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46" w:rsidRDefault="003D1146" w:rsidP="00476708">
      <w:pPr>
        <w:rPr>
          <w:rFonts w:ascii="Times New Roman" w:hAnsi="Times New Roman" w:cs="Times New Roman"/>
          <w:sz w:val="22"/>
          <w:szCs w:val="22"/>
          <w:lang w:val="sr-Cyrl-CS"/>
        </w:rPr>
      </w:pPr>
    </w:p>
    <w:p w:rsidR="00BE6B4D" w:rsidRDefault="00BE6B4D" w:rsidP="00476708">
      <w:pPr>
        <w:rPr>
          <w:rFonts w:ascii="Times New Roman" w:hAnsi="Times New Roman" w:cs="Times New Roman"/>
          <w:sz w:val="22"/>
          <w:szCs w:val="22"/>
          <w:lang w:val="sr-Cyrl-CS"/>
        </w:rPr>
      </w:pPr>
    </w:p>
    <w:p w:rsidR="00BE6B4D" w:rsidRDefault="00BE6B4D" w:rsidP="00476708">
      <w:pPr>
        <w:rPr>
          <w:rFonts w:ascii="Times New Roman" w:hAnsi="Times New Roman" w:cs="Times New Roman"/>
          <w:sz w:val="22"/>
          <w:szCs w:val="22"/>
          <w:lang w:val="sr-Cyrl-CS"/>
        </w:rPr>
      </w:pPr>
    </w:p>
    <w:p w:rsidR="00BE6B4D" w:rsidRDefault="00BE6B4D" w:rsidP="00476708">
      <w:pPr>
        <w:rPr>
          <w:rFonts w:ascii="Times New Roman" w:hAnsi="Times New Roman" w:cs="Times New Roman"/>
          <w:sz w:val="22"/>
          <w:szCs w:val="22"/>
          <w:lang w:val="sr-Cyrl-CS"/>
        </w:rPr>
      </w:pPr>
    </w:p>
    <w:p w:rsidR="00BE6B4D" w:rsidRDefault="00BE6B4D" w:rsidP="00476708">
      <w:pPr>
        <w:rPr>
          <w:rFonts w:ascii="Times New Roman" w:hAnsi="Times New Roman" w:cs="Times New Roman"/>
          <w:sz w:val="22"/>
          <w:szCs w:val="22"/>
          <w:lang w:val="sr-Cyrl-CS"/>
        </w:rPr>
      </w:pPr>
    </w:p>
    <w:p w:rsidR="00BE6B4D" w:rsidRDefault="00BE6B4D" w:rsidP="00476708">
      <w:pPr>
        <w:rPr>
          <w:rFonts w:ascii="Times New Roman" w:hAnsi="Times New Roman" w:cs="Times New Roman"/>
          <w:sz w:val="22"/>
          <w:szCs w:val="22"/>
          <w:lang w:val="sr-Cyrl-CS"/>
        </w:rPr>
      </w:pPr>
    </w:p>
    <w:p w:rsidR="00BE6B4D" w:rsidRDefault="00BE6B4D" w:rsidP="00476708">
      <w:pPr>
        <w:rPr>
          <w:rFonts w:ascii="Times New Roman" w:hAnsi="Times New Roman" w:cs="Times New Roman"/>
          <w:sz w:val="22"/>
          <w:szCs w:val="22"/>
          <w:lang w:val="sr-Cyrl-CS"/>
        </w:rPr>
      </w:pPr>
    </w:p>
    <w:p w:rsidR="00BE6B4D" w:rsidRPr="00FF2F08" w:rsidRDefault="00BE6B4D" w:rsidP="00476708">
      <w:pPr>
        <w:rPr>
          <w:rFonts w:ascii="Times New Roman" w:hAnsi="Times New Roman" w:cs="Times New Roman"/>
          <w:sz w:val="22"/>
          <w:szCs w:val="22"/>
          <w:lang w:val="sr-Cyrl-CS"/>
        </w:rPr>
      </w:pPr>
      <w:bookmarkStart w:id="0" w:name="_GoBack"/>
      <w:bookmarkEnd w:id="0"/>
    </w:p>
    <w:tbl>
      <w:tblPr>
        <w:tblW w:w="9360" w:type="dxa"/>
        <w:jc w:val="center"/>
        <w:tblLayout w:type="fixed"/>
        <w:tblLook w:val="0000" w:firstRow="0" w:lastRow="0" w:firstColumn="0" w:lastColumn="0" w:noHBand="0" w:noVBand="0"/>
      </w:tblPr>
      <w:tblGrid>
        <w:gridCol w:w="9360"/>
      </w:tblGrid>
      <w:tr w:rsidR="007D0A1B" w:rsidRPr="00FF2F08">
        <w:trPr>
          <w:trHeight w:val="530"/>
          <w:jc w:val="center"/>
        </w:trPr>
        <w:tc>
          <w:tcPr>
            <w:tcW w:w="9360" w:type="dxa"/>
            <w:vAlign w:val="center"/>
          </w:tcPr>
          <w:p w:rsidR="003D1146" w:rsidRPr="00FF2F08" w:rsidRDefault="003D1146" w:rsidP="00476708">
            <w:pPr>
              <w:jc w:val="center"/>
              <w:rPr>
                <w:rFonts w:ascii="Times New Roman" w:hAnsi="Times New Roman" w:cs="Times New Roman"/>
                <w:b/>
                <w:bCs/>
                <w:iCs/>
                <w:sz w:val="22"/>
                <w:szCs w:val="22"/>
                <w:u w:val="single"/>
              </w:rPr>
            </w:pPr>
            <w:r w:rsidRPr="00FF2F08">
              <w:rPr>
                <w:rFonts w:ascii="Times New Roman" w:hAnsi="Times New Roman" w:cs="Times New Roman"/>
                <w:b/>
                <w:bCs/>
                <w:iCs/>
                <w:sz w:val="22"/>
                <w:szCs w:val="22"/>
                <w:u w:val="single"/>
              </w:rPr>
              <w:t>САЖЕТАК КАРАКТЕРИСТИКА Л</w:t>
            </w:r>
            <w:r w:rsidR="00E83FC7" w:rsidRPr="00FF2F08">
              <w:rPr>
                <w:rFonts w:ascii="Times New Roman" w:hAnsi="Times New Roman" w:cs="Times New Roman"/>
                <w:b/>
                <w:bCs/>
                <w:iCs/>
                <w:sz w:val="22"/>
                <w:szCs w:val="22"/>
                <w:u w:val="single"/>
                <w:lang w:val="sr-Cyrl-CS"/>
              </w:rPr>
              <w:t>ИЈ</w:t>
            </w:r>
            <w:r w:rsidRPr="00FF2F08">
              <w:rPr>
                <w:rFonts w:ascii="Times New Roman" w:hAnsi="Times New Roman" w:cs="Times New Roman"/>
                <w:b/>
                <w:bCs/>
                <w:iCs/>
                <w:sz w:val="22"/>
                <w:szCs w:val="22"/>
                <w:u w:val="single"/>
              </w:rPr>
              <w:t>ЕКА</w:t>
            </w:r>
          </w:p>
        </w:tc>
      </w:tr>
      <w:tr w:rsidR="00407A66" w:rsidRPr="00957997" w:rsidTr="00407A66">
        <w:trPr>
          <w:trHeight w:val="1969"/>
          <w:jc w:val="center"/>
        </w:trPr>
        <w:tc>
          <w:tcPr>
            <w:tcW w:w="9360" w:type="dxa"/>
            <w:vAlign w:val="bottom"/>
          </w:tcPr>
          <w:p w:rsidR="00407A66" w:rsidRPr="00407A66" w:rsidRDefault="00407A66" w:rsidP="00407A66">
            <w:pPr>
              <w:autoSpaceDE w:val="0"/>
              <w:autoSpaceDN w:val="0"/>
              <w:adjustRightInd w:val="0"/>
              <w:jc w:val="center"/>
              <w:rPr>
                <w:rFonts w:ascii="Times New Roman" w:hAnsi="Times New Roman" w:cs="Times New Roman"/>
                <w:b/>
                <w:bCs/>
                <w:sz w:val="22"/>
                <w:szCs w:val="22"/>
                <w:u w:val="single"/>
                <w:lang w:val="mk-MK"/>
              </w:rPr>
            </w:pPr>
          </w:p>
          <w:p w:rsidR="00407A66" w:rsidRPr="00407A66" w:rsidRDefault="00407A66" w:rsidP="00407A66">
            <w:pPr>
              <w:autoSpaceDE w:val="0"/>
              <w:autoSpaceDN w:val="0"/>
              <w:adjustRightInd w:val="0"/>
              <w:jc w:val="center"/>
              <w:rPr>
                <w:rFonts w:ascii="Times New Roman" w:hAnsi="Times New Roman" w:cs="Times New Roman"/>
                <w:b/>
                <w:bCs/>
                <w:sz w:val="22"/>
                <w:szCs w:val="22"/>
                <w:u w:val="single"/>
                <w:lang w:val="mk-MK"/>
              </w:rPr>
            </w:pPr>
          </w:p>
          <w:p w:rsidR="00407A66" w:rsidRPr="00407A66" w:rsidRDefault="00407A66" w:rsidP="001C3150">
            <w:pPr>
              <w:autoSpaceDE w:val="0"/>
              <w:autoSpaceDN w:val="0"/>
              <w:adjustRightInd w:val="0"/>
              <w:jc w:val="center"/>
              <w:rPr>
                <w:rFonts w:ascii="Times New Roman" w:hAnsi="Times New Roman" w:cs="Times New Roman"/>
                <w:b/>
                <w:bCs/>
                <w:sz w:val="22"/>
                <w:szCs w:val="22"/>
                <w:lang w:val="mk-MK"/>
              </w:rPr>
            </w:pPr>
            <w:r w:rsidRPr="00407A66">
              <w:rPr>
                <w:rFonts w:ascii="Times New Roman" w:hAnsi="Times New Roman" w:cs="Times New Roman"/>
                <w:b/>
                <w:bCs/>
                <w:sz w:val="22"/>
                <w:szCs w:val="22"/>
                <w:lang w:val="mk-MK"/>
              </w:rPr>
              <w:t xml:space="preserve">Indapamid SR Alkaloid®, таблета са продуженим ослобађањем, 1.5 mg, </w:t>
            </w:r>
          </w:p>
          <w:p w:rsidR="00407A66" w:rsidRPr="00407A66" w:rsidRDefault="00407A66" w:rsidP="001C3150">
            <w:pPr>
              <w:autoSpaceDE w:val="0"/>
              <w:autoSpaceDN w:val="0"/>
              <w:adjustRightInd w:val="0"/>
              <w:jc w:val="center"/>
              <w:rPr>
                <w:rFonts w:ascii="Times New Roman" w:hAnsi="Times New Roman" w:cs="Times New Roman"/>
                <w:b/>
                <w:bCs/>
                <w:sz w:val="22"/>
                <w:szCs w:val="22"/>
                <w:lang w:val="mk-MK"/>
              </w:rPr>
            </w:pPr>
            <w:r w:rsidRPr="00407A66">
              <w:rPr>
                <w:rFonts w:ascii="Times New Roman" w:hAnsi="Times New Roman" w:cs="Times New Roman"/>
                <w:b/>
                <w:bCs/>
                <w:sz w:val="22"/>
                <w:szCs w:val="22"/>
                <w:lang w:val="mk-MK"/>
              </w:rPr>
              <w:t>блистер (3x10), 30 таблета</w:t>
            </w:r>
          </w:p>
          <w:p w:rsidR="00407A66" w:rsidRPr="00407A66" w:rsidRDefault="00407A66" w:rsidP="00407A66">
            <w:pPr>
              <w:autoSpaceDE w:val="0"/>
              <w:autoSpaceDN w:val="0"/>
              <w:adjustRightInd w:val="0"/>
              <w:jc w:val="center"/>
              <w:rPr>
                <w:rFonts w:ascii="Times New Roman" w:hAnsi="Times New Roman" w:cs="Times New Roman"/>
                <w:b/>
                <w:bCs/>
                <w:sz w:val="22"/>
                <w:szCs w:val="22"/>
                <w:u w:val="single"/>
                <w:lang w:val="mk-MK"/>
              </w:rPr>
            </w:pPr>
          </w:p>
        </w:tc>
      </w:tr>
      <w:tr w:rsidR="00407A66" w:rsidRPr="00957997" w:rsidTr="00407A66">
        <w:trPr>
          <w:trHeight w:val="1969"/>
          <w:jc w:val="center"/>
        </w:trPr>
        <w:tc>
          <w:tcPr>
            <w:tcW w:w="9360" w:type="dxa"/>
            <w:vAlign w:val="bottom"/>
          </w:tcPr>
          <w:p w:rsidR="00407A66" w:rsidRPr="00407A66" w:rsidRDefault="00407A66" w:rsidP="00407A66">
            <w:pPr>
              <w:autoSpaceDE w:val="0"/>
              <w:autoSpaceDN w:val="0"/>
              <w:adjustRightInd w:val="0"/>
              <w:jc w:val="center"/>
              <w:rPr>
                <w:rFonts w:ascii="Times New Roman" w:hAnsi="Times New Roman" w:cs="Times New Roman"/>
                <w:b/>
                <w:bCs/>
                <w:sz w:val="22"/>
                <w:szCs w:val="22"/>
                <w:u w:val="single"/>
                <w:lang w:val="mk-MK"/>
              </w:rPr>
            </w:pPr>
          </w:p>
          <w:tbl>
            <w:tblPr>
              <w:tblW w:w="9360" w:type="dxa"/>
              <w:jc w:val="center"/>
              <w:tblLayout w:type="fixed"/>
              <w:tblLook w:val="0000" w:firstRow="0" w:lastRow="0" w:firstColumn="0" w:lastColumn="0" w:noHBand="0" w:noVBand="0"/>
            </w:tblPr>
            <w:tblGrid>
              <w:gridCol w:w="2160"/>
              <w:gridCol w:w="7200"/>
            </w:tblGrid>
            <w:tr w:rsidR="00407A66" w:rsidRPr="00957997" w:rsidTr="001C3150">
              <w:trPr>
                <w:trHeight w:val="88"/>
                <w:jc w:val="center"/>
              </w:trPr>
              <w:tc>
                <w:tcPr>
                  <w:tcW w:w="2160" w:type="dxa"/>
                  <w:tcBorders>
                    <w:top w:val="nil"/>
                    <w:left w:val="nil"/>
                    <w:bottom w:val="nil"/>
                    <w:right w:val="nil"/>
                  </w:tcBorders>
                  <w:vAlign w:val="bottom"/>
                </w:tcPr>
                <w:p w:rsidR="00407A66" w:rsidRPr="00957997" w:rsidRDefault="00407A66" w:rsidP="001C3150">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Произвођач:</w:t>
                  </w:r>
                </w:p>
              </w:tc>
              <w:tc>
                <w:tcPr>
                  <w:tcW w:w="7200" w:type="dxa"/>
                  <w:tcBorders>
                    <w:top w:val="nil"/>
                    <w:left w:val="nil"/>
                    <w:bottom w:val="nil"/>
                    <w:right w:val="nil"/>
                  </w:tcBorders>
                </w:tcPr>
                <w:p w:rsidR="00407A66" w:rsidRPr="00957997" w:rsidRDefault="00407A66" w:rsidP="001C3150">
                  <w:pPr>
                    <w:tabs>
                      <w:tab w:val="clear" w:pos="284"/>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АЛКАЛОИД АД Скопје</w:t>
                  </w:r>
                </w:p>
              </w:tc>
            </w:tr>
            <w:tr w:rsidR="00407A66" w:rsidRPr="00957997" w:rsidTr="001C3150">
              <w:trPr>
                <w:trHeight w:val="360"/>
                <w:jc w:val="center"/>
              </w:trPr>
              <w:tc>
                <w:tcPr>
                  <w:tcW w:w="2160" w:type="dxa"/>
                  <w:tcBorders>
                    <w:top w:val="nil"/>
                    <w:left w:val="nil"/>
                    <w:bottom w:val="nil"/>
                    <w:right w:val="nil"/>
                  </w:tcBorders>
                  <w:vAlign w:val="bottom"/>
                </w:tcPr>
                <w:p w:rsidR="00407A66" w:rsidRPr="00957997" w:rsidRDefault="00407A66" w:rsidP="001C3150">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Адреса:</w:t>
                  </w:r>
                </w:p>
              </w:tc>
              <w:tc>
                <w:tcPr>
                  <w:tcW w:w="7200" w:type="dxa"/>
                  <w:tcBorders>
                    <w:top w:val="nil"/>
                    <w:left w:val="nil"/>
                    <w:bottom w:val="nil"/>
                    <w:right w:val="nil"/>
                  </w:tcBorders>
                </w:tcPr>
                <w:p w:rsidR="00407A66" w:rsidRPr="00957997" w:rsidRDefault="00407A66" w:rsidP="001C3150">
                  <w:pPr>
                    <w:tabs>
                      <w:tab w:val="clear" w:pos="284"/>
                      <w:tab w:val="left" w:pos="720"/>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Бул. Александар Македонски 12, 1000 Скопје</w:t>
                  </w:r>
                </w:p>
                <w:p w:rsidR="00407A66" w:rsidRPr="00957997" w:rsidRDefault="00407A66" w:rsidP="001C3150">
                  <w:pPr>
                    <w:tabs>
                      <w:tab w:val="clear" w:pos="284"/>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Р. Македонија</w:t>
                  </w:r>
                </w:p>
              </w:tc>
            </w:tr>
            <w:tr w:rsidR="00407A66" w:rsidRPr="00957997" w:rsidTr="001C3150">
              <w:trPr>
                <w:trHeight w:val="68"/>
                <w:jc w:val="center"/>
              </w:trPr>
              <w:tc>
                <w:tcPr>
                  <w:tcW w:w="2160" w:type="dxa"/>
                  <w:tcBorders>
                    <w:top w:val="nil"/>
                    <w:left w:val="nil"/>
                    <w:bottom w:val="nil"/>
                    <w:right w:val="nil"/>
                  </w:tcBorders>
                  <w:vAlign w:val="bottom"/>
                </w:tcPr>
                <w:p w:rsidR="00407A66" w:rsidRPr="00957997" w:rsidRDefault="00407A66" w:rsidP="001C3150">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Подносилац захтјева:</w:t>
                  </w:r>
                </w:p>
              </w:tc>
              <w:tc>
                <w:tcPr>
                  <w:tcW w:w="7200" w:type="dxa"/>
                  <w:tcBorders>
                    <w:top w:val="nil"/>
                    <w:left w:val="nil"/>
                    <w:bottom w:val="nil"/>
                    <w:right w:val="nil"/>
                  </w:tcBorders>
                  <w:vAlign w:val="center"/>
                </w:tcPr>
                <w:p w:rsidR="00407A66" w:rsidRPr="00957997" w:rsidRDefault="00407A66" w:rsidP="001C3150">
                  <w:pPr>
                    <w:tabs>
                      <w:tab w:val="clear" w:pos="284"/>
                    </w:tabs>
                    <w:jc w:val="left"/>
                    <w:rPr>
                      <w:rFonts w:ascii="Times New Roman" w:hAnsi="Times New Roman" w:cs="Times New Roman"/>
                      <w:b/>
                      <w:bCs/>
                      <w:sz w:val="22"/>
                      <w:szCs w:val="22"/>
                      <w:lang w:val="sr-Cyrl-CS"/>
                    </w:rPr>
                  </w:pPr>
                </w:p>
                <w:p w:rsidR="00407A66" w:rsidRPr="00957997" w:rsidRDefault="00407A66" w:rsidP="001C3150">
                  <w:pPr>
                    <w:tabs>
                      <w:tab w:val="clear" w:pos="284"/>
                    </w:tabs>
                    <w:jc w:val="left"/>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АЛКАЛОИД д.о.о. Подгорица</w:t>
                  </w:r>
                </w:p>
              </w:tc>
            </w:tr>
            <w:tr w:rsidR="00407A66" w:rsidRPr="00957997" w:rsidTr="001C3150">
              <w:trPr>
                <w:trHeight w:val="353"/>
                <w:jc w:val="center"/>
              </w:trPr>
              <w:tc>
                <w:tcPr>
                  <w:tcW w:w="2160" w:type="dxa"/>
                  <w:tcBorders>
                    <w:top w:val="nil"/>
                    <w:left w:val="nil"/>
                    <w:bottom w:val="nil"/>
                    <w:right w:val="nil"/>
                  </w:tcBorders>
                  <w:vAlign w:val="bottom"/>
                </w:tcPr>
                <w:p w:rsidR="00407A66" w:rsidRPr="00957997" w:rsidRDefault="00407A66" w:rsidP="001C3150">
                  <w:pPr>
                    <w:jc w:val="right"/>
                    <w:rPr>
                      <w:rFonts w:ascii="Times New Roman" w:hAnsi="Times New Roman" w:cs="Times New Roman"/>
                      <w:sz w:val="22"/>
                      <w:szCs w:val="22"/>
                      <w:lang w:val="sr-Cyrl-CS"/>
                    </w:rPr>
                  </w:pPr>
                  <w:r w:rsidRPr="00957997">
                    <w:rPr>
                      <w:rFonts w:ascii="Times New Roman" w:hAnsi="Times New Roman" w:cs="Times New Roman"/>
                      <w:sz w:val="22"/>
                      <w:szCs w:val="22"/>
                      <w:lang w:val="sr-Cyrl-CS"/>
                    </w:rPr>
                    <w:t>Адреса:</w:t>
                  </w:r>
                </w:p>
              </w:tc>
              <w:tc>
                <w:tcPr>
                  <w:tcW w:w="7200" w:type="dxa"/>
                  <w:tcBorders>
                    <w:top w:val="nil"/>
                    <w:left w:val="nil"/>
                    <w:bottom w:val="nil"/>
                    <w:right w:val="nil"/>
                  </w:tcBorders>
                </w:tcPr>
                <w:p w:rsidR="00407A66" w:rsidRPr="00957997" w:rsidRDefault="00407A66" w:rsidP="001C3150">
                  <w:pPr>
                    <w:tabs>
                      <w:tab w:val="clear" w:pos="284"/>
                      <w:tab w:val="left" w:pos="720"/>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Ул. Светлане Кане Радевић бр. 3/V</w:t>
                  </w:r>
                </w:p>
                <w:p w:rsidR="00407A66" w:rsidRPr="00957997" w:rsidRDefault="00407A66" w:rsidP="001C3150">
                  <w:pPr>
                    <w:tabs>
                      <w:tab w:val="clear" w:pos="284"/>
                    </w:tabs>
                    <w:rPr>
                      <w:rFonts w:ascii="Times New Roman" w:hAnsi="Times New Roman" w:cs="Times New Roman"/>
                      <w:b/>
                      <w:bCs/>
                      <w:sz w:val="22"/>
                      <w:szCs w:val="22"/>
                      <w:lang w:val="sr-Cyrl-CS"/>
                    </w:rPr>
                  </w:pPr>
                  <w:r w:rsidRPr="00957997">
                    <w:rPr>
                      <w:rFonts w:ascii="Times New Roman" w:hAnsi="Times New Roman" w:cs="Times New Roman"/>
                      <w:b/>
                      <w:bCs/>
                      <w:sz w:val="22"/>
                      <w:szCs w:val="22"/>
                      <w:lang w:val="sr-Cyrl-CS"/>
                    </w:rPr>
                    <w:t>81 000 Подгорица, Црна Гора</w:t>
                  </w:r>
                </w:p>
              </w:tc>
            </w:tr>
          </w:tbl>
          <w:p w:rsidR="00407A66" w:rsidRPr="00407A66" w:rsidRDefault="00407A66" w:rsidP="00407A66">
            <w:pPr>
              <w:autoSpaceDE w:val="0"/>
              <w:autoSpaceDN w:val="0"/>
              <w:adjustRightInd w:val="0"/>
              <w:jc w:val="center"/>
              <w:rPr>
                <w:rFonts w:ascii="Times New Roman" w:hAnsi="Times New Roman" w:cs="Times New Roman"/>
                <w:b/>
                <w:bCs/>
                <w:sz w:val="22"/>
                <w:szCs w:val="22"/>
                <w:u w:val="single"/>
                <w:lang w:val="mk-MK"/>
              </w:rPr>
            </w:pPr>
          </w:p>
          <w:p w:rsidR="00407A66" w:rsidRPr="00407A66" w:rsidRDefault="00407A66" w:rsidP="00407A66">
            <w:pPr>
              <w:autoSpaceDE w:val="0"/>
              <w:autoSpaceDN w:val="0"/>
              <w:adjustRightInd w:val="0"/>
              <w:jc w:val="center"/>
              <w:rPr>
                <w:rFonts w:ascii="Times New Roman" w:hAnsi="Times New Roman" w:cs="Times New Roman"/>
                <w:b/>
                <w:bCs/>
                <w:sz w:val="22"/>
                <w:szCs w:val="22"/>
                <w:u w:val="single"/>
                <w:lang w:val="mk-MK"/>
              </w:rPr>
            </w:pPr>
          </w:p>
        </w:tc>
      </w:tr>
    </w:tbl>
    <w:p w:rsidR="003D1146" w:rsidRPr="00FF2F08" w:rsidRDefault="003D1146" w:rsidP="00476708">
      <w:pPr>
        <w:pStyle w:val="Header"/>
        <w:tabs>
          <w:tab w:val="clear" w:pos="4536"/>
          <w:tab w:val="clear" w:pos="9072"/>
          <w:tab w:val="left" w:pos="284"/>
        </w:tabs>
        <w:rPr>
          <w:rFonts w:ascii="Times New Roman" w:hAnsi="Times New Roman"/>
          <w:sz w:val="22"/>
          <w:szCs w:val="22"/>
          <w:lang w:val="ru-RU"/>
        </w:rPr>
      </w:pPr>
    </w:p>
    <w:p w:rsidR="003D1146" w:rsidRPr="00FF2F08" w:rsidRDefault="003D1146" w:rsidP="00476708">
      <w:pPr>
        <w:pStyle w:val="Header"/>
        <w:tabs>
          <w:tab w:val="clear" w:pos="4536"/>
          <w:tab w:val="clear" w:pos="9072"/>
          <w:tab w:val="left" w:pos="284"/>
        </w:tabs>
        <w:rPr>
          <w:rFonts w:ascii="Times New Roman" w:hAnsi="Times New Roman"/>
          <w:sz w:val="22"/>
          <w:szCs w:val="22"/>
          <w:lang w:val="sr-Cyrl-RS"/>
        </w:rPr>
      </w:pPr>
      <w:r w:rsidRPr="00FF2F08">
        <w:rPr>
          <w:rFonts w:ascii="Times New Roman" w:hAnsi="Times New Roman"/>
          <w:sz w:val="22"/>
          <w:szCs w:val="22"/>
          <w:lang w:val="ru-RU"/>
        </w:rPr>
        <w:br w:type="page"/>
      </w:r>
    </w:p>
    <w:tbl>
      <w:tblPr>
        <w:tblW w:w="9356" w:type="dxa"/>
        <w:tblInd w:w="108" w:type="dxa"/>
        <w:tblLayout w:type="fixed"/>
        <w:tblLook w:val="0000" w:firstRow="0" w:lastRow="0" w:firstColumn="0" w:lastColumn="0" w:noHBand="0" w:noVBand="0"/>
      </w:tblPr>
      <w:tblGrid>
        <w:gridCol w:w="1111"/>
        <w:gridCol w:w="253"/>
        <w:gridCol w:w="1789"/>
        <w:gridCol w:w="6203"/>
      </w:tblGrid>
      <w:tr w:rsidR="00B0540F" w:rsidRPr="00FF2F08" w:rsidTr="00865739">
        <w:trPr>
          <w:trHeight w:val="284"/>
        </w:trPr>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sr-Latn-CS" w:eastAsia="en-US"/>
              </w:rPr>
            </w:pPr>
            <w:r w:rsidRPr="00FF2F08">
              <w:rPr>
                <w:rFonts w:ascii="Times New Roman" w:hAnsi="Times New Roman"/>
                <w:sz w:val="22"/>
                <w:szCs w:val="22"/>
                <w:lang w:val="ru-RU" w:eastAsia="en-US"/>
              </w:rPr>
              <w:lastRenderedPageBreak/>
              <w:br w:type="page"/>
            </w:r>
            <w:r w:rsidRPr="00FF2F08">
              <w:rPr>
                <w:rFonts w:ascii="Times New Roman" w:hAnsi="Times New Roman"/>
                <w:b/>
                <w:bCs/>
                <w:sz w:val="22"/>
                <w:szCs w:val="22"/>
                <w:lang w:eastAsia="en-US"/>
              </w:rPr>
              <w:t xml:space="preserve">1. </w:t>
            </w:r>
            <w:r w:rsidRPr="00FF2F08">
              <w:rPr>
                <w:rFonts w:ascii="Times New Roman" w:hAnsi="Times New Roman"/>
                <w:b/>
                <w:bCs/>
                <w:sz w:val="22"/>
                <w:szCs w:val="22"/>
                <w:lang w:val="mk-MK" w:eastAsia="en-US"/>
              </w:rPr>
              <w:t>НАЗИВ</w:t>
            </w:r>
            <w:r w:rsidRPr="00FF2F08">
              <w:rPr>
                <w:rFonts w:ascii="Times New Roman" w:hAnsi="Times New Roman"/>
                <w:b/>
                <w:bCs/>
                <w:sz w:val="22"/>
                <w:szCs w:val="22"/>
                <w:lang w:eastAsia="en-US"/>
              </w:rPr>
              <w:t xml:space="preserve"> Л</w:t>
            </w:r>
            <w:r w:rsidRPr="00FF2F08">
              <w:rPr>
                <w:rFonts w:ascii="Times New Roman" w:hAnsi="Times New Roman"/>
                <w:b/>
                <w:bCs/>
                <w:sz w:val="22"/>
                <w:szCs w:val="22"/>
                <w:lang w:val="mk-MK" w:eastAsia="en-US"/>
              </w:rPr>
              <w:t>ИЈ</w:t>
            </w:r>
            <w:r w:rsidRPr="00FF2F08">
              <w:rPr>
                <w:rFonts w:ascii="Times New Roman" w:hAnsi="Times New Roman"/>
                <w:b/>
                <w:bCs/>
                <w:sz w:val="22"/>
                <w:szCs w:val="22"/>
                <w:lang w:eastAsia="en-US"/>
              </w:rPr>
              <w:t>ЕКА</w:t>
            </w:r>
          </w:p>
        </w:tc>
      </w:tr>
      <w:tr w:rsidR="00B0540F" w:rsidRPr="00FF2F08" w:rsidTr="00865739">
        <w:trPr>
          <w:trHeight w:val="525"/>
        </w:trPr>
        <w:tc>
          <w:tcPr>
            <w:tcW w:w="9356" w:type="dxa"/>
            <w:gridSpan w:val="4"/>
            <w:vAlign w:val="center"/>
          </w:tcPr>
          <w:p w:rsidR="003D1146" w:rsidRPr="00FF2F08" w:rsidRDefault="003D1146" w:rsidP="00476708">
            <w:pPr>
              <w:autoSpaceDE w:val="0"/>
              <w:autoSpaceDN w:val="0"/>
              <w:adjustRightInd w:val="0"/>
              <w:rPr>
                <w:rFonts w:ascii="Times New Roman" w:hAnsi="Times New Roman" w:cs="Times New Roman"/>
                <w:bCs/>
                <w:sz w:val="22"/>
                <w:szCs w:val="22"/>
                <w:lang w:val="en-GB"/>
              </w:rPr>
            </w:pPr>
          </w:p>
          <w:p w:rsidR="00560F51" w:rsidRPr="00FF2F08" w:rsidRDefault="00560F51" w:rsidP="00476708">
            <w:pPr>
              <w:autoSpaceDE w:val="0"/>
              <w:autoSpaceDN w:val="0"/>
              <w:adjustRightInd w:val="0"/>
              <w:rPr>
                <w:rFonts w:ascii="Times New Roman" w:hAnsi="Times New Roman" w:cs="Times New Roman"/>
                <w:sz w:val="22"/>
                <w:szCs w:val="22"/>
                <w:lang w:val="sr-Cyrl-CS"/>
              </w:rPr>
            </w:pPr>
            <w:r w:rsidRPr="00FF2F08">
              <w:rPr>
                <w:rFonts w:ascii="Times New Roman" w:hAnsi="Times New Roman" w:cs="Times New Roman"/>
                <w:noProof/>
                <w:sz w:val="22"/>
                <w:szCs w:val="22"/>
              </w:rPr>
              <w:t>Indapamid SR Alkaloid</w:t>
            </w:r>
            <w:r w:rsidRPr="00FF2F08">
              <w:rPr>
                <w:rFonts w:ascii="Times New Roman" w:hAnsi="Times New Roman" w:cs="Times New Roman"/>
                <w:noProof/>
                <w:sz w:val="22"/>
                <w:szCs w:val="22"/>
                <w:vertAlign w:val="superscript"/>
              </w:rPr>
              <w:t>®</w:t>
            </w:r>
            <w:r w:rsidRPr="00FF2F08">
              <w:rPr>
                <w:rFonts w:ascii="Times New Roman" w:hAnsi="Times New Roman" w:cs="Times New Roman"/>
                <w:noProof/>
                <w:sz w:val="22"/>
                <w:szCs w:val="22"/>
              </w:rPr>
              <w:t xml:space="preserve"> 1</w:t>
            </w:r>
            <w:r w:rsidRPr="00FF2F08">
              <w:rPr>
                <w:rFonts w:ascii="Times New Roman" w:hAnsi="Times New Roman" w:cs="Times New Roman"/>
                <w:noProof/>
                <w:sz w:val="22"/>
                <w:szCs w:val="22"/>
                <w:lang w:val="mk-MK"/>
              </w:rPr>
              <w:t>.</w:t>
            </w:r>
            <w:r w:rsidRPr="00FF2F08">
              <w:rPr>
                <w:rFonts w:ascii="Times New Roman" w:hAnsi="Times New Roman" w:cs="Times New Roman"/>
                <w:noProof/>
                <w:sz w:val="22"/>
                <w:szCs w:val="22"/>
              </w:rPr>
              <w:t>5 mg таблете са продуженим ослобађањем</w:t>
            </w:r>
          </w:p>
        </w:tc>
      </w:tr>
      <w:tr w:rsidR="007D0A1B" w:rsidRPr="00FF2F08" w:rsidTr="00865739">
        <w:trPr>
          <w:trHeight w:val="338"/>
        </w:trPr>
        <w:tc>
          <w:tcPr>
            <w:tcW w:w="1111" w:type="dxa"/>
            <w:vAlign w:val="center"/>
          </w:tcPr>
          <w:p w:rsidR="003D1146" w:rsidRPr="00FF2F08" w:rsidRDefault="003D1146" w:rsidP="00476708">
            <w:pPr>
              <w:pStyle w:val="Header"/>
              <w:tabs>
                <w:tab w:val="clear" w:pos="4536"/>
                <w:tab w:val="clear" w:pos="9072"/>
                <w:tab w:val="left" w:pos="284"/>
              </w:tabs>
              <w:rPr>
                <w:rFonts w:ascii="Times New Roman" w:hAnsi="Times New Roman"/>
                <w:sz w:val="22"/>
                <w:szCs w:val="22"/>
                <w:lang w:eastAsia="en-US"/>
              </w:rPr>
            </w:pPr>
            <w:r w:rsidRPr="00FF2F08">
              <w:rPr>
                <w:rFonts w:ascii="Times New Roman" w:hAnsi="Times New Roman"/>
                <w:sz w:val="22"/>
                <w:szCs w:val="22"/>
                <w:lang w:eastAsia="en-US"/>
              </w:rPr>
              <w:t>ИНН:</w:t>
            </w:r>
          </w:p>
        </w:tc>
        <w:tc>
          <w:tcPr>
            <w:tcW w:w="8245" w:type="dxa"/>
            <w:gridSpan w:val="3"/>
            <w:vAlign w:val="center"/>
          </w:tcPr>
          <w:p w:rsidR="003D1146" w:rsidRPr="00FF2F08" w:rsidRDefault="00B45672" w:rsidP="00476708">
            <w:pPr>
              <w:pStyle w:val="Header"/>
              <w:tabs>
                <w:tab w:val="clear" w:pos="4536"/>
                <w:tab w:val="clear" w:pos="9072"/>
                <w:tab w:val="left" w:pos="284"/>
              </w:tabs>
              <w:rPr>
                <w:rFonts w:ascii="Times New Roman" w:hAnsi="Times New Roman"/>
                <w:sz w:val="22"/>
                <w:szCs w:val="22"/>
                <w:lang w:val="mk-MK" w:eastAsia="en-US"/>
              </w:rPr>
            </w:pPr>
            <w:r w:rsidRPr="00FF2F08">
              <w:rPr>
                <w:rFonts w:ascii="Times New Roman" w:hAnsi="Times New Roman"/>
                <w:sz w:val="22"/>
                <w:szCs w:val="22"/>
              </w:rPr>
              <w:t>И</w:t>
            </w:r>
            <w:r w:rsidR="007D0A1B" w:rsidRPr="00FF2F08">
              <w:rPr>
                <w:rFonts w:ascii="Times New Roman" w:hAnsi="Times New Roman"/>
                <w:sz w:val="22"/>
                <w:szCs w:val="22"/>
              </w:rPr>
              <w:t>ндапамид</w:t>
            </w:r>
          </w:p>
        </w:tc>
      </w:tr>
      <w:tr w:rsidR="00B0540F" w:rsidRPr="00FF2F08" w:rsidTr="00865739">
        <w:tc>
          <w:tcPr>
            <w:tcW w:w="9356" w:type="dxa"/>
            <w:gridSpan w:val="4"/>
            <w:shd w:val="clear" w:color="auto" w:fill="auto"/>
            <w:vAlign w:val="center"/>
          </w:tcPr>
          <w:p w:rsidR="007D0A1B" w:rsidRPr="00FF2F08" w:rsidRDefault="007D0A1B" w:rsidP="00476708">
            <w:pPr>
              <w:pStyle w:val="Header"/>
              <w:tabs>
                <w:tab w:val="clear" w:pos="4536"/>
                <w:tab w:val="clear" w:pos="9072"/>
                <w:tab w:val="left" w:pos="284"/>
              </w:tabs>
              <w:rPr>
                <w:rFonts w:ascii="Times New Roman" w:hAnsi="Times New Roman"/>
                <w:b/>
                <w:bCs/>
                <w:sz w:val="22"/>
                <w:szCs w:val="22"/>
                <w:lang w:eastAsia="en-US"/>
              </w:rPr>
            </w:pPr>
          </w:p>
          <w:p w:rsidR="00E83FC7" w:rsidRPr="00FF2F08" w:rsidRDefault="00E83FC7" w:rsidP="00476708">
            <w:pPr>
              <w:pStyle w:val="Header"/>
              <w:tabs>
                <w:tab w:val="clear" w:pos="4536"/>
                <w:tab w:val="clear" w:pos="9072"/>
                <w:tab w:val="left" w:pos="284"/>
              </w:tabs>
              <w:rPr>
                <w:rFonts w:ascii="Times New Roman" w:hAnsi="Times New Roman"/>
                <w:b/>
                <w:bCs/>
                <w:sz w:val="22"/>
                <w:szCs w:val="22"/>
                <w:lang w:eastAsia="en-US"/>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2. КВАЛИТАТИВНИ И КВАНТИТАТИВНИ САСТАВ</w:t>
            </w:r>
          </w:p>
        </w:tc>
      </w:tr>
      <w:tr w:rsidR="00B0540F" w:rsidRPr="00FF2F08" w:rsidTr="00865739">
        <w:trPr>
          <w:trHeight w:val="1145"/>
        </w:trPr>
        <w:tc>
          <w:tcPr>
            <w:tcW w:w="9356" w:type="dxa"/>
            <w:gridSpan w:val="4"/>
            <w:vAlign w:val="center"/>
          </w:tcPr>
          <w:p w:rsidR="003D1146" w:rsidRPr="00FF2F08" w:rsidRDefault="003D1146" w:rsidP="00476708">
            <w:pPr>
              <w:autoSpaceDE w:val="0"/>
              <w:autoSpaceDN w:val="0"/>
              <w:adjustRightInd w:val="0"/>
              <w:rPr>
                <w:rFonts w:ascii="Times New Roman" w:hAnsi="Times New Roman" w:cs="Times New Roman"/>
                <w:sz w:val="22"/>
                <w:szCs w:val="22"/>
                <w:lang w:val="en-GB"/>
              </w:rPr>
            </w:pPr>
          </w:p>
          <w:p w:rsidR="00560F51" w:rsidRPr="00FF2F08" w:rsidRDefault="00560F51" w:rsidP="00E83FC7">
            <w:pPr>
              <w:pStyle w:val="Header"/>
              <w:tabs>
                <w:tab w:val="clear" w:pos="4536"/>
                <w:tab w:val="clear" w:pos="9072"/>
                <w:tab w:val="left" w:pos="284"/>
              </w:tabs>
              <w:rPr>
                <w:rFonts w:ascii="Times New Roman" w:hAnsi="Times New Roman"/>
                <w:sz w:val="22"/>
                <w:szCs w:val="22"/>
              </w:rPr>
            </w:pPr>
            <w:r w:rsidRPr="00FF2F08">
              <w:rPr>
                <w:rFonts w:ascii="Times New Roman" w:hAnsi="Times New Roman"/>
                <w:sz w:val="22"/>
                <w:szCs w:val="22"/>
              </w:rPr>
              <w:t xml:space="preserve">Једна таблета </w:t>
            </w:r>
            <w:r w:rsidRPr="00FF2F08">
              <w:rPr>
                <w:rFonts w:ascii="Times New Roman" w:hAnsi="Times New Roman"/>
                <w:noProof/>
                <w:sz w:val="22"/>
                <w:szCs w:val="22"/>
                <w:lang w:val="mk-MK"/>
              </w:rPr>
              <w:t>са продуженим ослобађањем</w:t>
            </w:r>
            <w:r w:rsidRPr="00FF2F08">
              <w:rPr>
                <w:rFonts w:ascii="Times New Roman" w:hAnsi="Times New Roman"/>
                <w:sz w:val="22"/>
                <w:szCs w:val="22"/>
              </w:rPr>
              <w:t xml:space="preserve"> садржи 1.5 mg индапамида.</w:t>
            </w:r>
          </w:p>
          <w:p w:rsidR="003D1146" w:rsidRPr="00FF2F08" w:rsidRDefault="00560F51" w:rsidP="00E83FC7">
            <w:pPr>
              <w:autoSpaceDE w:val="0"/>
              <w:autoSpaceDN w:val="0"/>
              <w:adjustRightInd w:val="0"/>
              <w:rPr>
                <w:rFonts w:ascii="Times New Roman" w:hAnsi="Times New Roman" w:cs="Times New Roman"/>
                <w:noProof/>
                <w:sz w:val="22"/>
                <w:szCs w:val="22"/>
                <w:lang w:val="ru-RU"/>
              </w:rPr>
            </w:pPr>
            <w:r w:rsidRPr="00FF2F08">
              <w:rPr>
                <w:rFonts w:ascii="Times New Roman" w:hAnsi="Times New Roman" w:cs="Times New Roman"/>
                <w:noProof/>
                <w:sz w:val="22"/>
                <w:szCs w:val="22"/>
                <w:lang w:val="ru-RU"/>
              </w:rPr>
              <w:t xml:space="preserve">Помоћна супстанца са </w:t>
            </w:r>
            <w:r w:rsidR="002138BC" w:rsidRPr="00FF2F08">
              <w:rPr>
                <w:rFonts w:ascii="Times New Roman" w:hAnsi="Times New Roman" w:cs="Times New Roman"/>
                <w:noProof/>
                <w:sz w:val="22"/>
                <w:szCs w:val="22"/>
                <w:lang w:val="ru-RU"/>
              </w:rPr>
              <w:t>потврђеним</w:t>
            </w:r>
            <w:r w:rsidR="0007059E" w:rsidRPr="00FF2F08">
              <w:rPr>
                <w:rFonts w:ascii="Times New Roman" w:hAnsi="Times New Roman" w:cs="Times New Roman"/>
                <w:noProof/>
                <w:sz w:val="22"/>
                <w:szCs w:val="22"/>
                <w:lang w:val="ru-RU"/>
              </w:rPr>
              <w:t xml:space="preserve"> </w:t>
            </w:r>
            <w:r w:rsidRPr="00FF2F08">
              <w:rPr>
                <w:rFonts w:ascii="Times New Roman" w:hAnsi="Times New Roman" w:cs="Times New Roman"/>
                <w:noProof/>
                <w:sz w:val="22"/>
                <w:szCs w:val="22"/>
                <w:lang w:val="ru-RU"/>
              </w:rPr>
              <w:t xml:space="preserve">дејством: 129.5 </w:t>
            </w:r>
            <w:r w:rsidRPr="00FF2F08">
              <w:rPr>
                <w:rFonts w:ascii="Times New Roman" w:hAnsi="Times New Roman" w:cs="Times New Roman"/>
                <w:noProof/>
                <w:sz w:val="22"/>
                <w:szCs w:val="22"/>
                <w:lang w:val="bs-Latn-BA"/>
              </w:rPr>
              <w:t>mg</w:t>
            </w:r>
            <w:r w:rsidRPr="00FF2F08">
              <w:rPr>
                <w:rFonts w:ascii="Times New Roman" w:hAnsi="Times New Roman" w:cs="Times New Roman"/>
                <w:noProof/>
                <w:sz w:val="22"/>
                <w:szCs w:val="22"/>
                <w:lang w:val="ru-RU"/>
              </w:rPr>
              <w:t xml:space="preserve"> лактоза, монохидрат/</w:t>
            </w:r>
            <w:r w:rsidRPr="00FF2F08">
              <w:rPr>
                <w:rFonts w:ascii="Times New Roman" w:hAnsi="Times New Roman" w:cs="Times New Roman"/>
                <w:noProof/>
                <w:sz w:val="22"/>
                <w:szCs w:val="22"/>
                <w:lang w:val="mk-MK"/>
              </w:rPr>
              <w:t>таблета</w:t>
            </w:r>
            <w:r w:rsidRPr="00FF2F08">
              <w:rPr>
                <w:rFonts w:ascii="Times New Roman" w:hAnsi="Times New Roman" w:cs="Times New Roman"/>
                <w:noProof/>
                <w:sz w:val="22"/>
                <w:szCs w:val="22"/>
                <w:lang w:val="ru-RU"/>
              </w:rPr>
              <w:t>.</w:t>
            </w:r>
          </w:p>
          <w:p w:rsidR="003D1146" w:rsidRPr="00FF2F08" w:rsidRDefault="003D1146" w:rsidP="00476708">
            <w:pPr>
              <w:tabs>
                <w:tab w:val="clear" w:pos="284"/>
              </w:tabs>
              <w:rPr>
                <w:rFonts w:ascii="Times New Roman" w:hAnsi="Times New Roman" w:cs="Times New Roman"/>
                <w:sz w:val="22"/>
                <w:szCs w:val="22"/>
                <w:lang w:val="sr-Cyrl-CS"/>
              </w:rPr>
            </w:pPr>
            <w:r w:rsidRPr="00FF2F08">
              <w:rPr>
                <w:rFonts w:ascii="Times New Roman" w:hAnsi="Times New Roman" w:cs="Times New Roman"/>
                <w:sz w:val="22"/>
                <w:szCs w:val="22"/>
                <w:lang w:val="sr-Cyrl-CS"/>
              </w:rPr>
              <w:t xml:space="preserve">За листу свих помоћних супстанци, видјети одјељак 6.1. </w:t>
            </w:r>
          </w:p>
          <w:p w:rsidR="003D1146" w:rsidRPr="00FF2F08" w:rsidRDefault="003D1146" w:rsidP="00476708">
            <w:pPr>
              <w:pStyle w:val="Header"/>
              <w:tabs>
                <w:tab w:val="left" w:pos="284"/>
              </w:tabs>
              <w:rPr>
                <w:rFonts w:ascii="Times New Roman" w:hAnsi="Times New Roman"/>
                <w:sz w:val="22"/>
                <w:szCs w:val="22"/>
                <w:lang w:val="ru-RU" w:eastAsia="en-US"/>
              </w:rPr>
            </w:pPr>
          </w:p>
          <w:p w:rsidR="00E83FC7" w:rsidRPr="00FF2F08" w:rsidRDefault="00E83FC7" w:rsidP="00476708">
            <w:pPr>
              <w:pStyle w:val="Header"/>
              <w:tabs>
                <w:tab w:val="left" w:pos="284"/>
              </w:tabs>
              <w:rPr>
                <w:rFonts w:ascii="Times New Roman" w:hAnsi="Times New Roman"/>
                <w:sz w:val="22"/>
                <w:szCs w:val="22"/>
                <w:lang w:val="ru-RU" w:eastAsia="en-US"/>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3. ФАРМАЦЕУТСКИ ОБЛИК</w:t>
            </w:r>
          </w:p>
        </w:tc>
      </w:tr>
      <w:tr w:rsidR="00B0540F" w:rsidRPr="00FF2F08" w:rsidTr="00865739">
        <w:trPr>
          <w:trHeight w:val="1145"/>
        </w:trPr>
        <w:tc>
          <w:tcPr>
            <w:tcW w:w="9356" w:type="dxa"/>
            <w:gridSpan w:val="4"/>
            <w:vAlign w:val="center"/>
          </w:tcPr>
          <w:p w:rsidR="003D1146" w:rsidRPr="00FF2F08" w:rsidRDefault="003D1146" w:rsidP="00476708">
            <w:pPr>
              <w:autoSpaceDE w:val="0"/>
              <w:autoSpaceDN w:val="0"/>
              <w:adjustRightInd w:val="0"/>
              <w:rPr>
                <w:rFonts w:ascii="Times New Roman" w:hAnsi="Times New Roman" w:cs="Times New Roman"/>
                <w:sz w:val="22"/>
                <w:szCs w:val="22"/>
                <w:lang w:val="sr-Cyrl-CS"/>
              </w:rPr>
            </w:pPr>
          </w:p>
          <w:p w:rsidR="00560F51" w:rsidRPr="00FF2F08" w:rsidRDefault="00560F51" w:rsidP="00476708">
            <w:pPr>
              <w:pStyle w:val="Header"/>
              <w:numPr>
                <w:ilvl w:val="0"/>
                <w:numId w:val="10"/>
              </w:numPr>
              <w:tabs>
                <w:tab w:val="clear" w:pos="4536"/>
                <w:tab w:val="clear" w:pos="9072"/>
                <w:tab w:val="left" w:pos="284"/>
              </w:tabs>
              <w:ind w:left="0" w:firstLine="0"/>
              <w:rPr>
                <w:rFonts w:ascii="Times New Roman" w:hAnsi="Times New Roman"/>
                <w:sz w:val="22"/>
                <w:szCs w:val="22"/>
              </w:rPr>
            </w:pPr>
            <w:r w:rsidRPr="00FF2F08">
              <w:rPr>
                <w:rFonts w:ascii="Times New Roman" w:hAnsi="Times New Roman"/>
                <w:sz w:val="22"/>
                <w:szCs w:val="22"/>
              </w:rPr>
              <w:t>Таблета са продуженим ослобађањем</w:t>
            </w:r>
          </w:p>
          <w:p w:rsidR="007D0A1B" w:rsidRPr="00FF2F08" w:rsidRDefault="00560F51" w:rsidP="00476708">
            <w:pPr>
              <w:rPr>
                <w:rFonts w:ascii="Times New Roman" w:hAnsi="Times New Roman" w:cs="Times New Roman"/>
                <w:sz w:val="22"/>
                <w:szCs w:val="22"/>
                <w:lang w:val="mk-MK"/>
              </w:rPr>
            </w:pPr>
            <w:r w:rsidRPr="00FF2F08">
              <w:rPr>
                <w:rFonts w:ascii="Times New Roman" w:hAnsi="Times New Roman" w:cs="Times New Roman"/>
                <w:sz w:val="22"/>
                <w:szCs w:val="22"/>
              </w:rPr>
              <w:t>Б</w:t>
            </w:r>
            <w:r w:rsidR="00B45672" w:rsidRPr="00FF2F08">
              <w:rPr>
                <w:rFonts w:ascii="Times New Roman" w:hAnsi="Times New Roman" w:cs="Times New Roman"/>
                <w:sz w:val="22"/>
                <w:szCs w:val="22"/>
              </w:rPr>
              <w:t>иј</w:t>
            </w:r>
            <w:r w:rsidRPr="00FF2F08">
              <w:rPr>
                <w:rFonts w:ascii="Times New Roman" w:hAnsi="Times New Roman" w:cs="Times New Roman"/>
                <w:sz w:val="22"/>
                <w:szCs w:val="22"/>
              </w:rPr>
              <w:t>еле до скоро б</w:t>
            </w:r>
            <w:r w:rsidR="00B45672" w:rsidRPr="00FF2F08">
              <w:rPr>
                <w:rFonts w:ascii="Times New Roman" w:hAnsi="Times New Roman" w:cs="Times New Roman"/>
                <w:sz w:val="22"/>
                <w:szCs w:val="22"/>
              </w:rPr>
              <w:t>иј</w:t>
            </w:r>
            <w:r w:rsidRPr="00FF2F08">
              <w:rPr>
                <w:rFonts w:ascii="Times New Roman" w:hAnsi="Times New Roman" w:cs="Times New Roman"/>
                <w:sz w:val="22"/>
                <w:szCs w:val="22"/>
              </w:rPr>
              <w:t>еле, округле, биконвексне филм таблете.</w:t>
            </w:r>
          </w:p>
          <w:p w:rsidR="00560F51" w:rsidRPr="00FF2F08" w:rsidRDefault="00560F51" w:rsidP="00476708">
            <w:pPr>
              <w:rPr>
                <w:rFonts w:ascii="Times New Roman" w:hAnsi="Times New Roman" w:cs="Times New Roman"/>
                <w:sz w:val="22"/>
                <w:szCs w:val="22"/>
                <w:lang w:val="mk-MK"/>
              </w:rPr>
            </w:pPr>
          </w:p>
          <w:p w:rsidR="00E83FC7" w:rsidRPr="00FF2F08" w:rsidRDefault="00E83FC7" w:rsidP="00476708">
            <w:pPr>
              <w:rPr>
                <w:rFonts w:ascii="Times New Roman" w:hAnsi="Times New Roman" w:cs="Times New Roman"/>
                <w:sz w:val="22"/>
                <w:szCs w:val="22"/>
                <w:lang w:val="mk-MK"/>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4. КЛИНИЧКИ ПОДАЦИ</w:t>
            </w:r>
          </w:p>
        </w:tc>
      </w:tr>
      <w:tr w:rsidR="00B0540F" w:rsidRPr="00FF2F08" w:rsidTr="00865739">
        <w:tc>
          <w:tcPr>
            <w:tcW w:w="9356" w:type="dxa"/>
            <w:gridSpan w:val="4"/>
            <w:vAlign w:val="center"/>
          </w:tcPr>
          <w:p w:rsidR="00E83FC7" w:rsidRPr="00FF2F08" w:rsidRDefault="00E83FC7" w:rsidP="00476708">
            <w:pPr>
              <w:pStyle w:val="Header"/>
              <w:tabs>
                <w:tab w:val="clear" w:pos="4536"/>
                <w:tab w:val="clear" w:pos="9072"/>
                <w:tab w:val="left" w:pos="284"/>
              </w:tabs>
              <w:rPr>
                <w:rFonts w:ascii="Times New Roman" w:hAnsi="Times New Roman"/>
                <w:b/>
                <w:bCs/>
                <w:sz w:val="22"/>
                <w:szCs w:val="22"/>
                <w:lang w:eastAsia="en-US"/>
              </w:rPr>
            </w:pPr>
          </w:p>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4.1. Терапијскеиндикације</w:t>
            </w:r>
          </w:p>
        </w:tc>
      </w:tr>
      <w:tr w:rsidR="00B0540F" w:rsidRPr="00FF2F08" w:rsidTr="00E83FC7">
        <w:trPr>
          <w:trHeight w:val="68"/>
        </w:trPr>
        <w:tc>
          <w:tcPr>
            <w:tcW w:w="9356" w:type="dxa"/>
            <w:gridSpan w:val="4"/>
            <w:vAlign w:val="center"/>
          </w:tcPr>
          <w:p w:rsidR="007D0A1B" w:rsidRPr="00FF2F08" w:rsidRDefault="005A535A" w:rsidP="00476708">
            <w:pPr>
              <w:pStyle w:val="NoSpacing"/>
              <w:jc w:val="both"/>
              <w:rPr>
                <w:rFonts w:ascii="Times New Roman" w:hAnsi="Times New Roman"/>
                <w:lang w:val="mk-MK"/>
              </w:rPr>
            </w:pPr>
            <w:r w:rsidRPr="00FF2F08">
              <w:rPr>
                <w:rFonts w:ascii="Times New Roman" w:hAnsi="Times New Roman"/>
              </w:rPr>
              <w:t xml:space="preserve">Лијек </w:t>
            </w:r>
            <w:r w:rsidR="000E55C0" w:rsidRPr="00FF2F08">
              <w:rPr>
                <w:rFonts w:ascii="Times New Roman" w:hAnsi="Times New Roman"/>
                <w:lang w:val="mk-MK"/>
              </w:rPr>
              <w:t>Indapamid SR Alkaloid</w:t>
            </w:r>
            <w:r w:rsidR="000E55C0" w:rsidRPr="00FF2F08">
              <w:rPr>
                <w:rFonts w:ascii="Times New Roman" w:hAnsi="Times New Roman"/>
                <w:vertAlign w:val="superscript"/>
                <w:lang w:val="mk-MK"/>
              </w:rPr>
              <w:t xml:space="preserve">® </w:t>
            </w:r>
            <w:r w:rsidRPr="00FF2F08">
              <w:rPr>
                <w:rFonts w:ascii="Times New Roman" w:hAnsi="Times New Roman"/>
                <w:lang w:val="mk-MK"/>
              </w:rPr>
              <w:t>је индикован за лијечење</w:t>
            </w:r>
            <w:r w:rsidR="0007059E" w:rsidRPr="00FF2F08">
              <w:rPr>
                <w:rFonts w:ascii="Times New Roman" w:hAnsi="Times New Roman"/>
                <w:lang w:val="mk-MK"/>
              </w:rPr>
              <w:t xml:space="preserve"> </w:t>
            </w:r>
            <w:r w:rsidRPr="00FF2F08">
              <w:rPr>
                <w:rFonts w:ascii="Times New Roman" w:hAnsi="Times New Roman"/>
                <w:lang w:val="mk-MK"/>
              </w:rPr>
              <w:t>е</w:t>
            </w:r>
            <w:r w:rsidR="000E55C0" w:rsidRPr="00FF2F08">
              <w:rPr>
                <w:rFonts w:ascii="Times New Roman" w:hAnsi="Times New Roman"/>
                <w:lang w:val="mk-MK"/>
              </w:rPr>
              <w:t>сенцијалн</w:t>
            </w:r>
            <w:r w:rsidRPr="00FF2F08">
              <w:rPr>
                <w:rFonts w:ascii="Times New Roman" w:hAnsi="Times New Roman"/>
                <w:lang w:val="mk-MK"/>
              </w:rPr>
              <w:t>е</w:t>
            </w:r>
            <w:r w:rsidR="000E55C0" w:rsidRPr="00FF2F08">
              <w:rPr>
                <w:rFonts w:ascii="Times New Roman" w:hAnsi="Times New Roman"/>
                <w:lang w:val="mk-MK"/>
              </w:rPr>
              <w:t xml:space="preserve"> хипертензиј</w:t>
            </w:r>
            <w:r w:rsidRPr="00FF2F08">
              <w:rPr>
                <w:rFonts w:ascii="Times New Roman" w:hAnsi="Times New Roman"/>
                <w:lang w:val="mk-MK"/>
              </w:rPr>
              <w:t>е код одраслих</w:t>
            </w:r>
            <w:r w:rsidR="000E55C0" w:rsidRPr="00FF2F08">
              <w:rPr>
                <w:rFonts w:ascii="Times New Roman" w:hAnsi="Times New Roman"/>
                <w:lang w:val="mk-MK"/>
              </w:rPr>
              <w:t>.</w:t>
            </w:r>
          </w:p>
          <w:p w:rsidR="00E83FC7" w:rsidRPr="00FF2F08" w:rsidRDefault="00E83FC7" w:rsidP="00476708">
            <w:pPr>
              <w:pStyle w:val="NoSpacing"/>
              <w:jc w:val="both"/>
              <w:rPr>
                <w:rFonts w:ascii="Times New Roman" w:hAnsi="Times New Roman"/>
                <w:lang w:val="mk-MK"/>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4.2. Дозирање и начин</w:t>
            </w:r>
            <w:r w:rsidR="0007059E" w:rsidRPr="00FF2F08">
              <w:rPr>
                <w:rFonts w:ascii="Times New Roman" w:hAnsi="Times New Roman"/>
                <w:b/>
                <w:bCs/>
                <w:sz w:val="22"/>
                <w:szCs w:val="22"/>
                <w:lang w:eastAsia="en-US"/>
              </w:rPr>
              <w:t xml:space="preserve"> </w:t>
            </w:r>
            <w:r w:rsidRPr="00FF2F08">
              <w:rPr>
                <w:rFonts w:ascii="Times New Roman" w:hAnsi="Times New Roman"/>
                <w:b/>
                <w:bCs/>
                <w:sz w:val="22"/>
                <w:szCs w:val="22"/>
                <w:lang w:eastAsia="en-US"/>
              </w:rPr>
              <w:t>прим</w:t>
            </w:r>
            <w:r w:rsidRPr="00FF2F08">
              <w:rPr>
                <w:rFonts w:ascii="Times New Roman" w:hAnsi="Times New Roman"/>
                <w:b/>
                <w:bCs/>
                <w:sz w:val="22"/>
                <w:szCs w:val="22"/>
                <w:lang w:val="sr-Cyrl-CS" w:eastAsia="en-US"/>
              </w:rPr>
              <w:t>ј</w:t>
            </w:r>
            <w:r w:rsidRPr="00FF2F08">
              <w:rPr>
                <w:rFonts w:ascii="Times New Roman" w:hAnsi="Times New Roman"/>
                <w:b/>
                <w:bCs/>
                <w:sz w:val="22"/>
                <w:szCs w:val="22"/>
                <w:lang w:eastAsia="en-US"/>
              </w:rPr>
              <w:t>ене</w:t>
            </w:r>
          </w:p>
        </w:tc>
      </w:tr>
      <w:tr w:rsidR="00B0540F" w:rsidRPr="00FF2F08" w:rsidTr="00865739">
        <w:trPr>
          <w:trHeight w:val="1145"/>
        </w:trPr>
        <w:tc>
          <w:tcPr>
            <w:tcW w:w="9356" w:type="dxa"/>
            <w:gridSpan w:val="4"/>
            <w:vAlign w:val="center"/>
          </w:tcPr>
          <w:p w:rsidR="00572F05" w:rsidRPr="00FF2F08" w:rsidRDefault="000E55C0" w:rsidP="00476708">
            <w:pPr>
              <w:pStyle w:val="Header"/>
              <w:rPr>
                <w:rFonts w:ascii="Times New Roman" w:hAnsi="Times New Roman"/>
                <w:b/>
                <w:bCs/>
                <w:sz w:val="22"/>
                <w:szCs w:val="22"/>
              </w:rPr>
            </w:pPr>
            <w:r w:rsidRPr="00FF2F08">
              <w:rPr>
                <w:rFonts w:ascii="Times New Roman" w:hAnsi="Times New Roman"/>
                <w:b/>
                <w:bCs/>
                <w:sz w:val="22"/>
                <w:szCs w:val="22"/>
              </w:rPr>
              <w:t>Дозирање</w:t>
            </w:r>
          </w:p>
          <w:p w:rsidR="00B336F9" w:rsidRPr="00FF2F08" w:rsidRDefault="00B336F9" w:rsidP="00476708">
            <w:pPr>
              <w:pStyle w:val="Header"/>
              <w:rPr>
                <w:rFonts w:ascii="Times New Roman" w:hAnsi="Times New Roman"/>
                <w:bCs/>
                <w:i/>
                <w:sz w:val="22"/>
                <w:szCs w:val="22"/>
                <w:u w:val="single"/>
                <w:lang w:val="sr-Cyrl-RS"/>
              </w:rPr>
            </w:pPr>
            <w:r w:rsidRPr="00FF2F08">
              <w:rPr>
                <w:rFonts w:ascii="Times New Roman" w:hAnsi="Times New Roman"/>
                <w:bCs/>
                <w:i/>
                <w:sz w:val="22"/>
                <w:szCs w:val="22"/>
                <w:u w:val="single"/>
                <w:lang w:val="sr-Cyrl-RS"/>
              </w:rPr>
              <w:t>Одрасли</w:t>
            </w:r>
          </w:p>
          <w:p w:rsidR="00560F51" w:rsidRPr="00FF2F08" w:rsidRDefault="00B336F9" w:rsidP="00476708">
            <w:pPr>
              <w:pStyle w:val="Header"/>
              <w:rPr>
                <w:rFonts w:ascii="Times New Roman" w:hAnsi="Times New Roman"/>
                <w:bCs/>
                <w:sz w:val="22"/>
                <w:szCs w:val="22"/>
              </w:rPr>
            </w:pPr>
            <w:r w:rsidRPr="00FF2F08">
              <w:rPr>
                <w:rFonts w:ascii="Times New Roman" w:hAnsi="Times New Roman"/>
                <w:bCs/>
                <w:sz w:val="22"/>
                <w:szCs w:val="22"/>
                <w:lang w:val="sr-Cyrl-RS"/>
              </w:rPr>
              <w:t>Ј</w:t>
            </w:r>
            <w:r w:rsidR="00560F51" w:rsidRPr="00FF2F08">
              <w:rPr>
                <w:rFonts w:ascii="Times New Roman" w:hAnsi="Times New Roman"/>
                <w:bCs/>
                <w:sz w:val="22"/>
                <w:szCs w:val="22"/>
              </w:rPr>
              <w:t>едн</w:t>
            </w:r>
            <w:r w:rsidRPr="00FF2F08">
              <w:rPr>
                <w:rFonts w:ascii="Times New Roman" w:hAnsi="Times New Roman"/>
                <w:bCs/>
                <w:sz w:val="22"/>
                <w:szCs w:val="22"/>
                <w:lang w:val="sr-Cyrl-RS"/>
              </w:rPr>
              <w:t>у</w:t>
            </w:r>
            <w:r w:rsidR="00560F51" w:rsidRPr="00FF2F08">
              <w:rPr>
                <w:rFonts w:ascii="Times New Roman" w:hAnsi="Times New Roman"/>
                <w:bCs/>
                <w:sz w:val="22"/>
                <w:szCs w:val="22"/>
              </w:rPr>
              <w:t xml:space="preserve"> таблет</w:t>
            </w:r>
            <w:r w:rsidRPr="00FF2F08">
              <w:rPr>
                <w:rFonts w:ascii="Times New Roman" w:hAnsi="Times New Roman"/>
                <w:bCs/>
                <w:sz w:val="22"/>
                <w:szCs w:val="22"/>
                <w:lang w:val="sr-Cyrl-RS"/>
              </w:rPr>
              <w:t>у узети свака 24 сата</w:t>
            </w:r>
            <w:r w:rsidR="00560F51" w:rsidRPr="00FF2F08">
              <w:rPr>
                <w:rFonts w:ascii="Times New Roman" w:hAnsi="Times New Roman"/>
                <w:bCs/>
                <w:sz w:val="22"/>
                <w:szCs w:val="22"/>
              </w:rPr>
              <w:t>, најбоље ујутру. Треба је прогутати ц</w:t>
            </w:r>
            <w:r w:rsidR="00B45672" w:rsidRPr="00FF2F08">
              <w:rPr>
                <w:rFonts w:ascii="Times New Roman" w:hAnsi="Times New Roman"/>
                <w:bCs/>
                <w:sz w:val="22"/>
                <w:szCs w:val="22"/>
              </w:rPr>
              <w:t>иј</w:t>
            </w:r>
            <w:r w:rsidR="00560F51" w:rsidRPr="00FF2F08">
              <w:rPr>
                <w:rFonts w:ascii="Times New Roman" w:hAnsi="Times New Roman"/>
                <w:bCs/>
                <w:sz w:val="22"/>
                <w:szCs w:val="22"/>
              </w:rPr>
              <w:t>елу, са водом и не см</w:t>
            </w:r>
            <w:r w:rsidR="00B45672" w:rsidRPr="00FF2F08">
              <w:rPr>
                <w:rFonts w:ascii="Times New Roman" w:hAnsi="Times New Roman"/>
                <w:bCs/>
                <w:sz w:val="22"/>
                <w:szCs w:val="22"/>
              </w:rPr>
              <w:t>иј</w:t>
            </w:r>
            <w:r w:rsidR="00560F51" w:rsidRPr="00FF2F08">
              <w:rPr>
                <w:rFonts w:ascii="Times New Roman" w:hAnsi="Times New Roman"/>
                <w:bCs/>
                <w:sz w:val="22"/>
                <w:szCs w:val="22"/>
              </w:rPr>
              <w:t xml:space="preserve">е се жвакати. </w:t>
            </w:r>
          </w:p>
          <w:p w:rsidR="00560F51" w:rsidRPr="00FF2F08" w:rsidRDefault="00560F51" w:rsidP="00476708">
            <w:pPr>
              <w:pStyle w:val="Header"/>
              <w:rPr>
                <w:rFonts w:ascii="Times New Roman" w:hAnsi="Times New Roman"/>
                <w:bCs/>
                <w:sz w:val="22"/>
                <w:szCs w:val="22"/>
              </w:rPr>
            </w:pPr>
            <w:r w:rsidRPr="00FF2F08">
              <w:rPr>
                <w:rFonts w:ascii="Times New Roman" w:hAnsi="Times New Roman"/>
                <w:bCs/>
                <w:sz w:val="22"/>
                <w:szCs w:val="22"/>
              </w:rPr>
              <w:t>При</w:t>
            </w:r>
            <w:r w:rsidR="00B336F9" w:rsidRPr="00FF2F08">
              <w:rPr>
                <w:rFonts w:ascii="Times New Roman" w:hAnsi="Times New Roman"/>
                <w:bCs/>
                <w:sz w:val="22"/>
                <w:szCs w:val="22"/>
                <w:lang w:val="sr-Cyrl-RS"/>
              </w:rPr>
              <w:t xml:space="preserve"> примјени </w:t>
            </w:r>
            <w:r w:rsidRPr="00FF2F08">
              <w:rPr>
                <w:rFonts w:ascii="Times New Roman" w:hAnsi="Times New Roman"/>
                <w:bCs/>
                <w:sz w:val="22"/>
                <w:szCs w:val="22"/>
              </w:rPr>
              <w:t xml:space="preserve">већих доза не појачава се антихипертензивно дејство индапамида, али долази до појачане екскреције </w:t>
            </w:r>
            <w:r w:rsidR="00B336F9" w:rsidRPr="00FF2F08">
              <w:rPr>
                <w:rFonts w:ascii="Times New Roman" w:hAnsi="Times New Roman"/>
                <w:bCs/>
                <w:sz w:val="22"/>
                <w:szCs w:val="22"/>
              </w:rPr>
              <w:t>соли</w:t>
            </w:r>
            <w:r w:rsidR="00B336F9" w:rsidRPr="00FF2F08">
              <w:rPr>
                <w:rFonts w:ascii="Times New Roman" w:hAnsi="Times New Roman"/>
                <w:bCs/>
                <w:sz w:val="22"/>
                <w:szCs w:val="22"/>
                <w:lang w:val="sr-Cyrl-RS"/>
              </w:rPr>
              <w:t>.</w:t>
            </w:r>
          </w:p>
          <w:p w:rsidR="00560F51" w:rsidRPr="00FF2F08" w:rsidRDefault="00560F51" w:rsidP="00476708">
            <w:pPr>
              <w:pStyle w:val="Header"/>
              <w:rPr>
                <w:rFonts w:ascii="Times New Roman" w:hAnsi="Times New Roman"/>
                <w:bCs/>
                <w:sz w:val="22"/>
                <w:szCs w:val="22"/>
                <w:u w:val="single"/>
              </w:rPr>
            </w:pPr>
          </w:p>
          <w:p w:rsidR="009B6911" w:rsidRPr="00FF2F08" w:rsidRDefault="005A535A" w:rsidP="00476708">
            <w:pPr>
              <w:pStyle w:val="Header"/>
              <w:rPr>
                <w:rFonts w:ascii="Times New Roman" w:hAnsi="Times New Roman"/>
                <w:bCs/>
                <w:sz w:val="22"/>
                <w:szCs w:val="22"/>
                <w:u w:val="single"/>
              </w:rPr>
            </w:pPr>
            <w:r w:rsidRPr="00FF2F08">
              <w:rPr>
                <w:rFonts w:ascii="Times New Roman" w:hAnsi="Times New Roman"/>
                <w:bCs/>
                <w:sz w:val="22"/>
                <w:szCs w:val="22"/>
                <w:u w:val="single"/>
              </w:rPr>
              <w:t>Посебне популације</w:t>
            </w:r>
          </w:p>
          <w:p w:rsidR="00560F51" w:rsidRPr="00FF2F08" w:rsidRDefault="000E55C0" w:rsidP="00476708">
            <w:pPr>
              <w:pStyle w:val="Header"/>
              <w:rPr>
                <w:rFonts w:ascii="Times New Roman" w:hAnsi="Times New Roman"/>
                <w:bCs/>
                <w:i/>
                <w:sz w:val="22"/>
                <w:szCs w:val="22"/>
                <w:u w:val="single"/>
              </w:rPr>
            </w:pPr>
            <w:r w:rsidRPr="00FF2F08">
              <w:rPr>
                <w:rFonts w:ascii="Times New Roman" w:hAnsi="Times New Roman"/>
                <w:bCs/>
                <w:i/>
                <w:sz w:val="22"/>
                <w:szCs w:val="22"/>
                <w:u w:val="single"/>
              </w:rPr>
              <w:t>Бубрежна инсуфицијенција (видјети одјељке 4.3 и 4.4):</w:t>
            </w:r>
          </w:p>
          <w:p w:rsidR="00560F51" w:rsidRPr="00FF2F08" w:rsidRDefault="00560F51" w:rsidP="00476708">
            <w:pPr>
              <w:pStyle w:val="Header"/>
              <w:rPr>
                <w:rFonts w:ascii="Times New Roman" w:hAnsi="Times New Roman"/>
                <w:bCs/>
                <w:sz w:val="22"/>
                <w:szCs w:val="22"/>
              </w:rPr>
            </w:pPr>
            <w:r w:rsidRPr="00FF2F08">
              <w:rPr>
                <w:rFonts w:ascii="Times New Roman" w:hAnsi="Times New Roman"/>
                <w:bCs/>
                <w:sz w:val="22"/>
                <w:szCs w:val="22"/>
              </w:rPr>
              <w:t xml:space="preserve">Код озбиљне инсуфицијенције бубрега (клиренс креатинина испод 30 </w:t>
            </w:r>
            <w:r w:rsidR="00B45672" w:rsidRPr="00FF2F08">
              <w:rPr>
                <w:rFonts w:ascii="Times New Roman" w:hAnsi="Times New Roman"/>
                <w:bCs/>
                <w:sz w:val="22"/>
                <w:szCs w:val="22"/>
              </w:rPr>
              <w:t>ml/мин</w:t>
            </w:r>
            <w:r w:rsidRPr="00FF2F08">
              <w:rPr>
                <w:rFonts w:ascii="Times New Roman" w:hAnsi="Times New Roman"/>
                <w:bCs/>
                <w:sz w:val="22"/>
                <w:szCs w:val="22"/>
              </w:rPr>
              <w:t>), л</w:t>
            </w:r>
            <w:r w:rsidR="00B45672" w:rsidRPr="00FF2F08">
              <w:rPr>
                <w:rFonts w:ascii="Times New Roman" w:hAnsi="Times New Roman"/>
                <w:bCs/>
                <w:sz w:val="22"/>
                <w:szCs w:val="22"/>
              </w:rPr>
              <w:t>иј</w:t>
            </w:r>
            <w:r w:rsidRPr="00FF2F08">
              <w:rPr>
                <w:rFonts w:ascii="Times New Roman" w:hAnsi="Times New Roman"/>
                <w:bCs/>
                <w:sz w:val="22"/>
                <w:szCs w:val="22"/>
              </w:rPr>
              <w:t xml:space="preserve">ечење је контраиндиковано. </w:t>
            </w:r>
          </w:p>
          <w:p w:rsidR="00560F51" w:rsidRPr="00FF2F08" w:rsidRDefault="00560F51" w:rsidP="00476708">
            <w:pPr>
              <w:pStyle w:val="Header"/>
              <w:rPr>
                <w:rFonts w:ascii="Times New Roman" w:hAnsi="Times New Roman"/>
                <w:bCs/>
                <w:sz w:val="22"/>
                <w:szCs w:val="22"/>
              </w:rPr>
            </w:pPr>
            <w:r w:rsidRPr="00FF2F08">
              <w:rPr>
                <w:rFonts w:ascii="Times New Roman" w:hAnsi="Times New Roman"/>
                <w:bCs/>
                <w:sz w:val="22"/>
                <w:szCs w:val="22"/>
              </w:rPr>
              <w:t>Тиазидни и њима сродни диуретици су у пуној м</w:t>
            </w:r>
            <w:r w:rsidR="00B45672" w:rsidRPr="00FF2F08">
              <w:rPr>
                <w:rFonts w:ascii="Times New Roman" w:hAnsi="Times New Roman"/>
                <w:bCs/>
                <w:sz w:val="22"/>
                <w:szCs w:val="22"/>
              </w:rPr>
              <w:t>ј</w:t>
            </w:r>
            <w:r w:rsidRPr="00FF2F08">
              <w:rPr>
                <w:rFonts w:ascii="Times New Roman" w:hAnsi="Times New Roman"/>
                <w:bCs/>
                <w:sz w:val="22"/>
                <w:szCs w:val="22"/>
              </w:rPr>
              <w:t xml:space="preserve">ери ефикасни само када је функција бубрега нормална или </w:t>
            </w:r>
            <w:r w:rsidR="00251191" w:rsidRPr="00FF2F08">
              <w:rPr>
                <w:rFonts w:ascii="Times New Roman" w:hAnsi="Times New Roman"/>
                <w:bCs/>
                <w:sz w:val="22"/>
                <w:szCs w:val="22"/>
                <w:lang w:val="sr-Cyrl-RS"/>
              </w:rPr>
              <w:t>незнатно</w:t>
            </w:r>
            <w:r w:rsidR="00251191" w:rsidRPr="00FF2F08">
              <w:rPr>
                <w:rFonts w:ascii="Times New Roman" w:hAnsi="Times New Roman"/>
                <w:bCs/>
                <w:sz w:val="22"/>
                <w:szCs w:val="22"/>
              </w:rPr>
              <w:t xml:space="preserve"> </w:t>
            </w:r>
            <w:r w:rsidR="00251191" w:rsidRPr="00FF2F08">
              <w:rPr>
                <w:rFonts w:ascii="Times New Roman" w:hAnsi="Times New Roman"/>
                <w:bCs/>
                <w:sz w:val="22"/>
                <w:szCs w:val="22"/>
                <w:lang w:val="sr-Cyrl-RS"/>
              </w:rPr>
              <w:t>с</w:t>
            </w:r>
            <w:r w:rsidRPr="00FF2F08">
              <w:rPr>
                <w:rFonts w:ascii="Times New Roman" w:hAnsi="Times New Roman"/>
                <w:bCs/>
                <w:sz w:val="22"/>
                <w:szCs w:val="22"/>
              </w:rPr>
              <w:t>мањена.</w:t>
            </w:r>
          </w:p>
          <w:p w:rsidR="00560F51" w:rsidRPr="00FF2F08" w:rsidRDefault="00560F51" w:rsidP="00476708">
            <w:pPr>
              <w:pStyle w:val="Header"/>
              <w:rPr>
                <w:rFonts w:ascii="Times New Roman" w:hAnsi="Times New Roman"/>
                <w:bCs/>
                <w:sz w:val="22"/>
                <w:szCs w:val="22"/>
              </w:rPr>
            </w:pPr>
          </w:p>
          <w:p w:rsidR="009B6911" w:rsidRPr="00FF2F08" w:rsidRDefault="000E55C0" w:rsidP="00476708">
            <w:pPr>
              <w:pStyle w:val="Header"/>
              <w:rPr>
                <w:rFonts w:ascii="Times New Roman" w:hAnsi="Times New Roman"/>
                <w:bCs/>
                <w:i/>
                <w:sz w:val="22"/>
                <w:szCs w:val="22"/>
                <w:u w:val="single"/>
              </w:rPr>
            </w:pPr>
            <w:r w:rsidRPr="00FF2F08">
              <w:rPr>
                <w:rFonts w:ascii="Times New Roman" w:hAnsi="Times New Roman"/>
                <w:bCs/>
                <w:i/>
                <w:sz w:val="22"/>
                <w:szCs w:val="22"/>
                <w:u w:val="single"/>
              </w:rPr>
              <w:t>Пацијенти са оштећењем јетре (видјети одјељке 4.3 и 4.4):</w:t>
            </w:r>
          </w:p>
          <w:p w:rsidR="009B6911" w:rsidRPr="00FF2F08" w:rsidRDefault="009B6911" w:rsidP="00476708">
            <w:pPr>
              <w:pStyle w:val="Header"/>
              <w:rPr>
                <w:rFonts w:ascii="Times New Roman" w:hAnsi="Times New Roman"/>
                <w:bCs/>
                <w:sz w:val="22"/>
                <w:szCs w:val="22"/>
              </w:rPr>
            </w:pPr>
            <w:r w:rsidRPr="00FF2F08">
              <w:rPr>
                <w:rFonts w:ascii="Times New Roman" w:hAnsi="Times New Roman"/>
                <w:bCs/>
                <w:sz w:val="22"/>
                <w:szCs w:val="22"/>
              </w:rPr>
              <w:t>Код озбиљног оштећења јетре, терапија је контраиндикована.</w:t>
            </w:r>
          </w:p>
          <w:p w:rsidR="009B6911" w:rsidRPr="00FF2F08" w:rsidRDefault="009B6911" w:rsidP="00476708">
            <w:pPr>
              <w:pStyle w:val="Header"/>
              <w:rPr>
                <w:rFonts w:ascii="Times New Roman" w:hAnsi="Times New Roman"/>
                <w:bCs/>
                <w:sz w:val="22"/>
                <w:szCs w:val="22"/>
              </w:rPr>
            </w:pPr>
          </w:p>
          <w:p w:rsidR="00560F51" w:rsidRPr="00FF2F08" w:rsidRDefault="000E55C0" w:rsidP="00476708">
            <w:pPr>
              <w:pStyle w:val="Header"/>
              <w:rPr>
                <w:rFonts w:ascii="Times New Roman" w:hAnsi="Times New Roman"/>
                <w:bCs/>
                <w:i/>
                <w:sz w:val="22"/>
                <w:szCs w:val="22"/>
                <w:u w:val="single"/>
              </w:rPr>
            </w:pPr>
            <w:r w:rsidRPr="00FF2F08">
              <w:rPr>
                <w:rFonts w:ascii="Times New Roman" w:hAnsi="Times New Roman"/>
                <w:bCs/>
                <w:i/>
                <w:sz w:val="22"/>
                <w:szCs w:val="22"/>
                <w:u w:val="single"/>
              </w:rPr>
              <w:t>Старије особе (видјети одјељак 4.4):</w:t>
            </w:r>
          </w:p>
          <w:p w:rsidR="00560F51" w:rsidRPr="00FF2F08" w:rsidRDefault="00560F51" w:rsidP="00476708">
            <w:pPr>
              <w:pStyle w:val="Header"/>
              <w:rPr>
                <w:rFonts w:ascii="Times New Roman" w:hAnsi="Times New Roman"/>
                <w:bCs/>
                <w:sz w:val="22"/>
                <w:szCs w:val="22"/>
              </w:rPr>
            </w:pPr>
            <w:r w:rsidRPr="00FF2F08">
              <w:rPr>
                <w:rFonts w:ascii="Times New Roman" w:hAnsi="Times New Roman"/>
                <w:bCs/>
                <w:sz w:val="22"/>
                <w:szCs w:val="22"/>
              </w:rPr>
              <w:t>Код старијих особа, вр</w:t>
            </w:r>
            <w:r w:rsidR="00B45672" w:rsidRPr="00FF2F08">
              <w:rPr>
                <w:rFonts w:ascii="Times New Roman" w:hAnsi="Times New Roman"/>
                <w:bCs/>
                <w:sz w:val="22"/>
                <w:szCs w:val="22"/>
              </w:rPr>
              <w:t>иј</w:t>
            </w:r>
            <w:r w:rsidRPr="00FF2F08">
              <w:rPr>
                <w:rFonts w:ascii="Times New Roman" w:hAnsi="Times New Roman"/>
                <w:bCs/>
                <w:sz w:val="22"/>
                <w:szCs w:val="22"/>
              </w:rPr>
              <w:t>едност серумског креатинина се мора проц</w:t>
            </w:r>
            <w:r w:rsidR="00F6198C" w:rsidRPr="00FF2F08">
              <w:rPr>
                <w:rFonts w:ascii="Times New Roman" w:hAnsi="Times New Roman"/>
                <w:bCs/>
                <w:sz w:val="22"/>
                <w:szCs w:val="22"/>
              </w:rPr>
              <w:t>иј</w:t>
            </w:r>
            <w:r w:rsidRPr="00FF2F08">
              <w:rPr>
                <w:rFonts w:ascii="Times New Roman" w:hAnsi="Times New Roman"/>
                <w:bCs/>
                <w:sz w:val="22"/>
                <w:szCs w:val="22"/>
              </w:rPr>
              <w:t>ењивати у односу на године старости, т</w:t>
            </w:r>
            <w:r w:rsidR="00F6198C" w:rsidRPr="00FF2F08">
              <w:rPr>
                <w:rFonts w:ascii="Times New Roman" w:hAnsi="Times New Roman"/>
                <w:bCs/>
                <w:sz w:val="22"/>
                <w:szCs w:val="22"/>
              </w:rPr>
              <w:t>ј</w:t>
            </w:r>
            <w:r w:rsidRPr="00FF2F08">
              <w:rPr>
                <w:rFonts w:ascii="Times New Roman" w:hAnsi="Times New Roman"/>
                <w:bCs/>
                <w:sz w:val="22"/>
                <w:szCs w:val="22"/>
              </w:rPr>
              <w:t xml:space="preserve">елесну </w:t>
            </w:r>
            <w:r w:rsidR="00251191" w:rsidRPr="00FF2F08">
              <w:rPr>
                <w:rFonts w:ascii="Times New Roman" w:hAnsi="Times New Roman"/>
                <w:bCs/>
                <w:sz w:val="22"/>
                <w:szCs w:val="22"/>
                <w:lang w:val="sr-Cyrl-RS"/>
              </w:rPr>
              <w:t>масу</w:t>
            </w:r>
            <w:r w:rsidR="00251191" w:rsidRPr="00FF2F08">
              <w:rPr>
                <w:rFonts w:ascii="Times New Roman" w:hAnsi="Times New Roman"/>
                <w:bCs/>
                <w:sz w:val="22"/>
                <w:szCs w:val="22"/>
              </w:rPr>
              <w:t xml:space="preserve"> </w:t>
            </w:r>
            <w:r w:rsidRPr="00FF2F08">
              <w:rPr>
                <w:rFonts w:ascii="Times New Roman" w:hAnsi="Times New Roman"/>
                <w:bCs/>
                <w:sz w:val="22"/>
                <w:szCs w:val="22"/>
              </w:rPr>
              <w:t>и пол. Старији пацијенти се могу л</w:t>
            </w:r>
            <w:r w:rsidR="00F6198C" w:rsidRPr="00FF2F08">
              <w:rPr>
                <w:rFonts w:ascii="Times New Roman" w:hAnsi="Times New Roman"/>
                <w:bCs/>
                <w:sz w:val="22"/>
                <w:szCs w:val="22"/>
              </w:rPr>
              <w:t>иј</w:t>
            </w:r>
            <w:r w:rsidRPr="00FF2F08">
              <w:rPr>
                <w:rFonts w:ascii="Times New Roman" w:hAnsi="Times New Roman"/>
                <w:bCs/>
                <w:sz w:val="22"/>
                <w:szCs w:val="22"/>
              </w:rPr>
              <w:t>ечити л</w:t>
            </w:r>
            <w:r w:rsidR="00F6198C" w:rsidRPr="00FF2F08">
              <w:rPr>
                <w:rFonts w:ascii="Times New Roman" w:hAnsi="Times New Roman"/>
                <w:bCs/>
                <w:sz w:val="22"/>
                <w:szCs w:val="22"/>
              </w:rPr>
              <w:t>иј</w:t>
            </w:r>
            <w:r w:rsidRPr="00FF2F08">
              <w:rPr>
                <w:rFonts w:ascii="Times New Roman" w:hAnsi="Times New Roman"/>
                <w:bCs/>
                <w:sz w:val="22"/>
                <w:szCs w:val="22"/>
              </w:rPr>
              <w:t xml:space="preserve">еком </w:t>
            </w:r>
            <w:r w:rsidRPr="00FF2F08">
              <w:rPr>
                <w:rFonts w:ascii="Times New Roman" w:hAnsi="Times New Roman"/>
                <w:noProof/>
                <w:sz w:val="22"/>
                <w:szCs w:val="22"/>
              </w:rPr>
              <w:t xml:space="preserve">Indapamid </w:t>
            </w:r>
            <w:r w:rsidRPr="00FF2F08">
              <w:rPr>
                <w:rFonts w:ascii="Times New Roman" w:hAnsi="Times New Roman"/>
                <w:sz w:val="22"/>
                <w:szCs w:val="22"/>
              </w:rPr>
              <w:t xml:space="preserve">SR </w:t>
            </w:r>
            <w:r w:rsidRPr="00FF2F08">
              <w:rPr>
                <w:rFonts w:ascii="Times New Roman" w:hAnsi="Times New Roman"/>
                <w:noProof/>
                <w:sz w:val="22"/>
                <w:szCs w:val="22"/>
              </w:rPr>
              <w:t>Alkaloid</w:t>
            </w:r>
            <w:r w:rsidR="003C4163" w:rsidRPr="00FF2F08">
              <w:rPr>
                <w:rFonts w:ascii="Times New Roman" w:hAnsi="Times New Roman"/>
                <w:b/>
                <w:bCs/>
                <w:sz w:val="22"/>
                <w:szCs w:val="22"/>
                <w:vertAlign w:val="superscript"/>
                <w:lang w:val="en-GB"/>
              </w:rPr>
              <w:t>®</w:t>
            </w:r>
            <w:r w:rsidR="0007059E" w:rsidRPr="00FF2F08">
              <w:rPr>
                <w:rFonts w:ascii="Times New Roman" w:hAnsi="Times New Roman"/>
                <w:b/>
                <w:bCs/>
                <w:sz w:val="22"/>
                <w:szCs w:val="22"/>
                <w:vertAlign w:val="superscript"/>
              </w:rPr>
              <w:t xml:space="preserve"> </w:t>
            </w:r>
            <w:r w:rsidRPr="00FF2F08">
              <w:rPr>
                <w:rFonts w:ascii="Times New Roman" w:hAnsi="Times New Roman"/>
                <w:bCs/>
                <w:sz w:val="22"/>
                <w:szCs w:val="22"/>
              </w:rPr>
              <w:t xml:space="preserve">када је функција бубрега нормална или </w:t>
            </w:r>
            <w:r w:rsidR="00251191" w:rsidRPr="00FF2F08">
              <w:rPr>
                <w:rFonts w:ascii="Times New Roman" w:hAnsi="Times New Roman"/>
                <w:bCs/>
                <w:sz w:val="22"/>
                <w:szCs w:val="22"/>
                <w:lang w:val="sr-Cyrl-RS"/>
              </w:rPr>
              <w:t>незнатно</w:t>
            </w:r>
            <w:r w:rsidR="00251191" w:rsidRPr="00FF2F08">
              <w:rPr>
                <w:rFonts w:ascii="Times New Roman" w:hAnsi="Times New Roman"/>
                <w:bCs/>
                <w:sz w:val="22"/>
                <w:szCs w:val="22"/>
              </w:rPr>
              <w:t xml:space="preserve"> </w:t>
            </w:r>
            <w:r w:rsidR="00251191" w:rsidRPr="00FF2F08">
              <w:rPr>
                <w:rFonts w:ascii="Times New Roman" w:hAnsi="Times New Roman"/>
                <w:bCs/>
                <w:sz w:val="22"/>
                <w:szCs w:val="22"/>
                <w:lang w:val="sr-Cyrl-RS"/>
              </w:rPr>
              <w:t>с</w:t>
            </w:r>
            <w:r w:rsidRPr="00FF2F08">
              <w:rPr>
                <w:rFonts w:ascii="Times New Roman" w:hAnsi="Times New Roman"/>
                <w:bCs/>
                <w:sz w:val="22"/>
                <w:szCs w:val="22"/>
              </w:rPr>
              <w:t>мањена.</w:t>
            </w:r>
          </w:p>
          <w:p w:rsidR="00560F51" w:rsidRPr="00FF2F08" w:rsidRDefault="00560F51" w:rsidP="00476708">
            <w:pPr>
              <w:pStyle w:val="Header"/>
              <w:rPr>
                <w:rFonts w:ascii="Times New Roman" w:hAnsi="Times New Roman"/>
                <w:bCs/>
                <w:sz w:val="22"/>
                <w:szCs w:val="22"/>
              </w:rPr>
            </w:pPr>
          </w:p>
          <w:p w:rsidR="00560F51" w:rsidRPr="00FF2F08" w:rsidRDefault="005A535A" w:rsidP="00476708">
            <w:pPr>
              <w:pStyle w:val="Header"/>
              <w:rPr>
                <w:rFonts w:ascii="Times New Roman" w:hAnsi="Times New Roman"/>
                <w:bCs/>
                <w:sz w:val="22"/>
                <w:szCs w:val="22"/>
                <w:u w:val="single"/>
                <w:lang w:val="bs-Latn-BA"/>
              </w:rPr>
            </w:pPr>
            <w:r w:rsidRPr="00FF2F08">
              <w:rPr>
                <w:rFonts w:ascii="Times New Roman" w:hAnsi="Times New Roman"/>
                <w:bCs/>
                <w:i/>
                <w:iCs/>
                <w:sz w:val="22"/>
                <w:szCs w:val="22"/>
                <w:u w:val="single"/>
              </w:rPr>
              <w:t>Педијатријска популација</w:t>
            </w:r>
            <w:r w:rsidR="00560F51" w:rsidRPr="00FF2F08">
              <w:rPr>
                <w:rFonts w:ascii="Times New Roman" w:hAnsi="Times New Roman"/>
                <w:bCs/>
                <w:sz w:val="22"/>
                <w:szCs w:val="22"/>
                <w:u w:val="single"/>
                <w:lang w:val="bs-Latn-BA"/>
              </w:rPr>
              <w:t>:</w:t>
            </w:r>
          </w:p>
          <w:p w:rsidR="00560F51" w:rsidRPr="00FF2F08" w:rsidRDefault="00560F51" w:rsidP="00476708">
            <w:pPr>
              <w:pStyle w:val="Header"/>
              <w:rPr>
                <w:rFonts w:ascii="Times New Roman" w:hAnsi="Times New Roman"/>
                <w:bCs/>
                <w:sz w:val="22"/>
                <w:szCs w:val="22"/>
                <w:lang w:val="bs-Latn-BA"/>
              </w:rPr>
            </w:pPr>
            <w:r w:rsidRPr="00FF2F08">
              <w:rPr>
                <w:rFonts w:ascii="Times New Roman" w:hAnsi="Times New Roman"/>
                <w:bCs/>
                <w:sz w:val="22"/>
                <w:szCs w:val="22"/>
              </w:rPr>
              <w:t>Употреба</w:t>
            </w:r>
            <w:r w:rsidR="0007059E" w:rsidRPr="00FF2F08">
              <w:rPr>
                <w:rFonts w:ascii="Times New Roman" w:hAnsi="Times New Roman"/>
                <w:bCs/>
                <w:sz w:val="22"/>
                <w:szCs w:val="22"/>
              </w:rPr>
              <w:t xml:space="preserve"> </w:t>
            </w:r>
            <w:r w:rsidRPr="00FF2F08">
              <w:rPr>
                <w:rFonts w:ascii="Times New Roman" w:hAnsi="Times New Roman"/>
                <w:bCs/>
                <w:sz w:val="22"/>
                <w:szCs w:val="22"/>
              </w:rPr>
              <w:t>л</w:t>
            </w:r>
            <w:r w:rsidR="00F6198C" w:rsidRPr="00FF2F08">
              <w:rPr>
                <w:rFonts w:ascii="Times New Roman" w:hAnsi="Times New Roman"/>
                <w:bCs/>
                <w:sz w:val="22"/>
                <w:szCs w:val="22"/>
              </w:rPr>
              <w:t>иј</w:t>
            </w:r>
            <w:r w:rsidRPr="00FF2F08">
              <w:rPr>
                <w:rFonts w:ascii="Times New Roman" w:hAnsi="Times New Roman"/>
                <w:bCs/>
                <w:sz w:val="22"/>
                <w:szCs w:val="22"/>
              </w:rPr>
              <w:t>ека</w:t>
            </w:r>
            <w:r w:rsidR="0007059E" w:rsidRPr="00FF2F08">
              <w:rPr>
                <w:rFonts w:ascii="Times New Roman" w:hAnsi="Times New Roman"/>
                <w:bCs/>
                <w:sz w:val="22"/>
                <w:szCs w:val="22"/>
              </w:rPr>
              <w:t xml:space="preserve"> </w:t>
            </w:r>
            <w:r w:rsidRPr="00FF2F08">
              <w:rPr>
                <w:rFonts w:ascii="Times New Roman" w:hAnsi="Times New Roman"/>
                <w:noProof/>
                <w:sz w:val="22"/>
                <w:szCs w:val="22"/>
                <w:lang w:val="bs-Latn-BA"/>
              </w:rPr>
              <w:t xml:space="preserve">Indapamid </w:t>
            </w:r>
            <w:r w:rsidRPr="00FF2F08">
              <w:rPr>
                <w:rFonts w:ascii="Times New Roman" w:hAnsi="Times New Roman"/>
                <w:sz w:val="22"/>
                <w:szCs w:val="22"/>
                <w:lang w:val="bs-Latn-BA"/>
              </w:rPr>
              <w:t xml:space="preserve">SR </w:t>
            </w:r>
            <w:r w:rsidRPr="00FF2F08">
              <w:rPr>
                <w:rFonts w:ascii="Times New Roman" w:hAnsi="Times New Roman"/>
                <w:bCs/>
                <w:sz w:val="22"/>
                <w:szCs w:val="22"/>
                <w:lang w:val="bs-Latn-BA"/>
              </w:rPr>
              <w:t>Alkaloid</w:t>
            </w:r>
            <w:r w:rsidR="003C4163" w:rsidRPr="00FF2F08">
              <w:rPr>
                <w:rFonts w:ascii="Times New Roman" w:hAnsi="Times New Roman"/>
                <w:b/>
                <w:bCs/>
                <w:sz w:val="22"/>
                <w:szCs w:val="22"/>
                <w:vertAlign w:val="superscript"/>
                <w:lang w:val="bs-Latn-BA"/>
              </w:rPr>
              <w:t>®</w:t>
            </w:r>
            <w:r w:rsidR="0007059E" w:rsidRPr="00FF2F08">
              <w:rPr>
                <w:rFonts w:ascii="Times New Roman" w:hAnsi="Times New Roman"/>
                <w:b/>
                <w:bCs/>
                <w:sz w:val="22"/>
                <w:szCs w:val="22"/>
                <w:vertAlign w:val="superscript"/>
              </w:rPr>
              <w:t xml:space="preserve"> </w:t>
            </w:r>
            <w:r w:rsidRPr="00FF2F08">
              <w:rPr>
                <w:rFonts w:ascii="Times New Roman" w:hAnsi="Times New Roman"/>
                <w:bCs/>
                <w:sz w:val="22"/>
                <w:szCs w:val="22"/>
              </w:rPr>
              <w:t>се</w:t>
            </w:r>
            <w:r w:rsidR="0007059E" w:rsidRPr="00FF2F08">
              <w:rPr>
                <w:rFonts w:ascii="Times New Roman" w:hAnsi="Times New Roman"/>
                <w:bCs/>
                <w:sz w:val="22"/>
                <w:szCs w:val="22"/>
              </w:rPr>
              <w:t xml:space="preserve"> </w:t>
            </w:r>
            <w:r w:rsidRPr="00FF2F08">
              <w:rPr>
                <w:rFonts w:ascii="Times New Roman" w:hAnsi="Times New Roman"/>
                <w:bCs/>
                <w:sz w:val="22"/>
                <w:szCs w:val="22"/>
              </w:rPr>
              <w:t>не</w:t>
            </w:r>
            <w:r w:rsidR="0007059E" w:rsidRPr="00FF2F08">
              <w:rPr>
                <w:rFonts w:ascii="Times New Roman" w:hAnsi="Times New Roman"/>
                <w:bCs/>
                <w:sz w:val="22"/>
                <w:szCs w:val="22"/>
              </w:rPr>
              <w:t xml:space="preserve"> </w:t>
            </w:r>
            <w:r w:rsidRPr="00FF2F08">
              <w:rPr>
                <w:rFonts w:ascii="Times New Roman" w:hAnsi="Times New Roman"/>
                <w:bCs/>
                <w:sz w:val="22"/>
                <w:szCs w:val="22"/>
              </w:rPr>
              <w:t>препоручује</w:t>
            </w:r>
            <w:r w:rsidR="0007059E" w:rsidRPr="00FF2F08">
              <w:rPr>
                <w:rFonts w:ascii="Times New Roman" w:hAnsi="Times New Roman"/>
                <w:bCs/>
                <w:sz w:val="22"/>
                <w:szCs w:val="22"/>
              </w:rPr>
              <w:t xml:space="preserve"> </w:t>
            </w:r>
            <w:r w:rsidRPr="00FF2F08">
              <w:rPr>
                <w:rFonts w:ascii="Times New Roman" w:hAnsi="Times New Roman"/>
                <w:bCs/>
                <w:sz w:val="22"/>
                <w:szCs w:val="22"/>
              </w:rPr>
              <w:t>код</w:t>
            </w:r>
            <w:r w:rsidR="0007059E" w:rsidRPr="00FF2F08">
              <w:rPr>
                <w:rFonts w:ascii="Times New Roman" w:hAnsi="Times New Roman"/>
                <w:bCs/>
                <w:sz w:val="22"/>
                <w:szCs w:val="22"/>
              </w:rPr>
              <w:t xml:space="preserve"> </w:t>
            </w:r>
            <w:r w:rsidRPr="00FF2F08">
              <w:rPr>
                <w:rFonts w:ascii="Times New Roman" w:hAnsi="Times New Roman"/>
                <w:bCs/>
                <w:sz w:val="22"/>
                <w:szCs w:val="22"/>
              </w:rPr>
              <w:t>д</w:t>
            </w:r>
            <w:r w:rsidR="00F6198C" w:rsidRPr="00FF2F08">
              <w:rPr>
                <w:rFonts w:ascii="Times New Roman" w:hAnsi="Times New Roman"/>
                <w:bCs/>
                <w:sz w:val="22"/>
                <w:szCs w:val="22"/>
              </w:rPr>
              <w:t>ј</w:t>
            </w:r>
            <w:r w:rsidRPr="00FF2F08">
              <w:rPr>
                <w:rFonts w:ascii="Times New Roman" w:hAnsi="Times New Roman"/>
                <w:bCs/>
                <w:sz w:val="22"/>
                <w:szCs w:val="22"/>
              </w:rPr>
              <w:t>еце</w:t>
            </w:r>
            <w:r w:rsidR="0007059E" w:rsidRPr="00FF2F08">
              <w:rPr>
                <w:rFonts w:ascii="Times New Roman" w:hAnsi="Times New Roman"/>
                <w:bCs/>
                <w:sz w:val="22"/>
                <w:szCs w:val="22"/>
              </w:rPr>
              <w:t xml:space="preserve"> </w:t>
            </w:r>
            <w:r w:rsidRPr="00FF2F08">
              <w:rPr>
                <w:rFonts w:ascii="Times New Roman" w:hAnsi="Times New Roman"/>
                <w:bCs/>
                <w:sz w:val="22"/>
                <w:szCs w:val="22"/>
              </w:rPr>
              <w:t>и</w:t>
            </w:r>
            <w:r w:rsidR="0007059E" w:rsidRPr="00FF2F08">
              <w:rPr>
                <w:rFonts w:ascii="Times New Roman" w:hAnsi="Times New Roman"/>
                <w:bCs/>
                <w:sz w:val="22"/>
                <w:szCs w:val="22"/>
              </w:rPr>
              <w:t xml:space="preserve"> </w:t>
            </w:r>
            <w:r w:rsidRPr="00FF2F08">
              <w:rPr>
                <w:rFonts w:ascii="Times New Roman" w:hAnsi="Times New Roman"/>
                <w:bCs/>
                <w:sz w:val="22"/>
                <w:szCs w:val="22"/>
              </w:rPr>
              <w:t>адолесцената</w:t>
            </w:r>
            <w:r w:rsidR="0007059E" w:rsidRPr="00FF2F08">
              <w:rPr>
                <w:rFonts w:ascii="Times New Roman" w:hAnsi="Times New Roman"/>
                <w:bCs/>
                <w:sz w:val="22"/>
                <w:szCs w:val="22"/>
              </w:rPr>
              <w:t xml:space="preserve"> </w:t>
            </w:r>
            <w:r w:rsidRPr="00FF2F08">
              <w:rPr>
                <w:rFonts w:ascii="Times New Roman" w:hAnsi="Times New Roman"/>
                <w:bCs/>
                <w:sz w:val="22"/>
                <w:szCs w:val="22"/>
              </w:rPr>
              <w:t>због</w:t>
            </w:r>
            <w:r w:rsidR="0007059E" w:rsidRPr="00FF2F08">
              <w:rPr>
                <w:rFonts w:ascii="Times New Roman" w:hAnsi="Times New Roman"/>
                <w:bCs/>
                <w:sz w:val="22"/>
                <w:szCs w:val="22"/>
              </w:rPr>
              <w:t xml:space="preserve"> </w:t>
            </w:r>
            <w:r w:rsidRPr="00FF2F08">
              <w:rPr>
                <w:rFonts w:ascii="Times New Roman" w:hAnsi="Times New Roman"/>
                <w:bCs/>
                <w:sz w:val="22"/>
                <w:szCs w:val="22"/>
              </w:rPr>
              <w:t>недостатка</w:t>
            </w:r>
            <w:r w:rsidR="0007059E" w:rsidRPr="00FF2F08">
              <w:rPr>
                <w:rFonts w:ascii="Times New Roman" w:hAnsi="Times New Roman"/>
                <w:bCs/>
                <w:sz w:val="22"/>
                <w:szCs w:val="22"/>
              </w:rPr>
              <w:t xml:space="preserve"> </w:t>
            </w:r>
            <w:r w:rsidRPr="00FF2F08">
              <w:rPr>
                <w:rFonts w:ascii="Times New Roman" w:hAnsi="Times New Roman"/>
                <w:bCs/>
                <w:sz w:val="22"/>
                <w:szCs w:val="22"/>
              </w:rPr>
              <w:t>података</w:t>
            </w:r>
            <w:r w:rsidR="0007059E" w:rsidRPr="00FF2F08">
              <w:rPr>
                <w:rFonts w:ascii="Times New Roman" w:hAnsi="Times New Roman"/>
                <w:bCs/>
                <w:sz w:val="22"/>
                <w:szCs w:val="22"/>
              </w:rPr>
              <w:t xml:space="preserve"> </w:t>
            </w:r>
            <w:r w:rsidRPr="00FF2F08">
              <w:rPr>
                <w:rFonts w:ascii="Times New Roman" w:hAnsi="Times New Roman"/>
                <w:bCs/>
                <w:sz w:val="22"/>
                <w:szCs w:val="22"/>
              </w:rPr>
              <w:t>о</w:t>
            </w:r>
            <w:r w:rsidR="0007059E" w:rsidRPr="00FF2F08">
              <w:rPr>
                <w:rFonts w:ascii="Times New Roman" w:hAnsi="Times New Roman"/>
                <w:bCs/>
                <w:sz w:val="22"/>
                <w:szCs w:val="22"/>
              </w:rPr>
              <w:t xml:space="preserve"> </w:t>
            </w:r>
            <w:r w:rsidRPr="00FF2F08">
              <w:rPr>
                <w:rFonts w:ascii="Times New Roman" w:hAnsi="Times New Roman"/>
                <w:bCs/>
                <w:sz w:val="22"/>
                <w:szCs w:val="22"/>
              </w:rPr>
              <w:t>безб</w:t>
            </w:r>
            <w:r w:rsidR="00F6198C" w:rsidRPr="00FF2F08">
              <w:rPr>
                <w:rFonts w:ascii="Times New Roman" w:hAnsi="Times New Roman"/>
                <w:bCs/>
                <w:sz w:val="22"/>
                <w:szCs w:val="22"/>
              </w:rPr>
              <w:t>ј</w:t>
            </w:r>
            <w:r w:rsidRPr="00FF2F08">
              <w:rPr>
                <w:rFonts w:ascii="Times New Roman" w:hAnsi="Times New Roman"/>
                <w:bCs/>
                <w:sz w:val="22"/>
                <w:szCs w:val="22"/>
              </w:rPr>
              <w:t>едности</w:t>
            </w:r>
            <w:r w:rsidR="0007059E" w:rsidRPr="00FF2F08">
              <w:rPr>
                <w:rFonts w:ascii="Times New Roman" w:hAnsi="Times New Roman"/>
                <w:bCs/>
                <w:sz w:val="22"/>
                <w:szCs w:val="22"/>
              </w:rPr>
              <w:t xml:space="preserve"> </w:t>
            </w:r>
            <w:r w:rsidRPr="00FF2F08">
              <w:rPr>
                <w:rFonts w:ascii="Times New Roman" w:hAnsi="Times New Roman"/>
                <w:bCs/>
                <w:sz w:val="22"/>
                <w:szCs w:val="22"/>
              </w:rPr>
              <w:t>и</w:t>
            </w:r>
            <w:r w:rsidR="0007059E" w:rsidRPr="00FF2F08">
              <w:rPr>
                <w:rFonts w:ascii="Times New Roman" w:hAnsi="Times New Roman"/>
                <w:bCs/>
                <w:sz w:val="22"/>
                <w:szCs w:val="22"/>
              </w:rPr>
              <w:t xml:space="preserve"> </w:t>
            </w:r>
            <w:r w:rsidRPr="00FF2F08">
              <w:rPr>
                <w:rFonts w:ascii="Times New Roman" w:hAnsi="Times New Roman"/>
                <w:bCs/>
                <w:sz w:val="22"/>
                <w:szCs w:val="22"/>
              </w:rPr>
              <w:t>ефикасности</w:t>
            </w:r>
            <w:r w:rsidRPr="00FF2F08">
              <w:rPr>
                <w:rFonts w:ascii="Times New Roman" w:hAnsi="Times New Roman"/>
                <w:bCs/>
                <w:sz w:val="22"/>
                <w:szCs w:val="22"/>
                <w:lang w:val="bs-Latn-BA"/>
              </w:rPr>
              <w:t>.</w:t>
            </w:r>
          </w:p>
          <w:p w:rsidR="00572F05" w:rsidRPr="00FF2F08" w:rsidRDefault="00572F05" w:rsidP="00476708">
            <w:pPr>
              <w:pStyle w:val="Header"/>
              <w:keepNext/>
              <w:outlineLvl w:val="2"/>
              <w:rPr>
                <w:rFonts w:ascii="Times New Roman" w:hAnsi="Times New Roman"/>
                <w:bCs/>
                <w:sz w:val="22"/>
                <w:szCs w:val="22"/>
                <w:lang w:val="bs-Latn-BA"/>
              </w:rPr>
            </w:pPr>
          </w:p>
          <w:p w:rsidR="00572F05" w:rsidRPr="00FF2F08" w:rsidRDefault="00572F05" w:rsidP="00476708">
            <w:pPr>
              <w:pStyle w:val="Header"/>
              <w:rPr>
                <w:rFonts w:ascii="Times New Roman" w:hAnsi="Times New Roman"/>
                <w:b/>
                <w:bCs/>
                <w:sz w:val="22"/>
                <w:szCs w:val="22"/>
                <w:lang w:val="bs-Latn-BA"/>
              </w:rPr>
            </w:pPr>
            <w:r w:rsidRPr="00FF2F08">
              <w:rPr>
                <w:rFonts w:ascii="Times New Roman" w:hAnsi="Times New Roman"/>
                <w:b/>
                <w:bCs/>
                <w:sz w:val="22"/>
                <w:szCs w:val="22"/>
              </w:rPr>
              <w:t>Начин</w:t>
            </w:r>
            <w:r w:rsidR="00C04B2E" w:rsidRPr="00FF2F08">
              <w:rPr>
                <w:rFonts w:ascii="Times New Roman" w:hAnsi="Times New Roman"/>
                <w:b/>
                <w:bCs/>
                <w:sz w:val="22"/>
                <w:szCs w:val="22"/>
              </w:rPr>
              <w:t xml:space="preserve"> </w:t>
            </w:r>
            <w:r w:rsidRPr="00FF2F08">
              <w:rPr>
                <w:rFonts w:ascii="Times New Roman" w:hAnsi="Times New Roman"/>
                <w:b/>
                <w:bCs/>
                <w:sz w:val="22"/>
                <w:szCs w:val="22"/>
              </w:rPr>
              <w:t>прим</w:t>
            </w:r>
            <w:r w:rsidRPr="00FF2F08">
              <w:rPr>
                <w:rFonts w:ascii="Times New Roman" w:hAnsi="Times New Roman"/>
                <w:b/>
                <w:bCs/>
                <w:sz w:val="22"/>
                <w:szCs w:val="22"/>
                <w:lang w:val="sr-Cyrl-CS"/>
              </w:rPr>
              <w:t>ј</w:t>
            </w:r>
            <w:r w:rsidRPr="00FF2F08">
              <w:rPr>
                <w:rFonts w:ascii="Times New Roman" w:hAnsi="Times New Roman"/>
                <w:b/>
                <w:bCs/>
                <w:sz w:val="22"/>
                <w:szCs w:val="22"/>
              </w:rPr>
              <w:t>ене</w:t>
            </w:r>
          </w:p>
          <w:p w:rsidR="00572F05" w:rsidRPr="00FF2F08" w:rsidRDefault="00572F05" w:rsidP="00476708">
            <w:pPr>
              <w:pStyle w:val="Header"/>
              <w:rPr>
                <w:rFonts w:ascii="Times New Roman" w:hAnsi="Times New Roman"/>
                <w:bCs/>
                <w:sz w:val="22"/>
                <w:szCs w:val="22"/>
                <w:lang w:val="bs-Latn-BA"/>
              </w:rPr>
            </w:pPr>
            <w:r w:rsidRPr="00FF2F08">
              <w:rPr>
                <w:rFonts w:ascii="Times New Roman" w:hAnsi="Times New Roman"/>
                <w:bCs/>
                <w:sz w:val="22"/>
                <w:szCs w:val="22"/>
              </w:rPr>
              <w:t>Лијек</w:t>
            </w:r>
            <w:r w:rsidR="0007059E" w:rsidRPr="00FF2F08">
              <w:rPr>
                <w:rFonts w:ascii="Times New Roman" w:hAnsi="Times New Roman"/>
                <w:bCs/>
                <w:sz w:val="22"/>
                <w:szCs w:val="22"/>
              </w:rPr>
              <w:t xml:space="preserve"> </w:t>
            </w:r>
            <w:r w:rsidRPr="00FF2F08">
              <w:rPr>
                <w:rFonts w:ascii="Times New Roman" w:hAnsi="Times New Roman"/>
                <w:bCs/>
                <w:sz w:val="22"/>
                <w:szCs w:val="22"/>
              </w:rPr>
              <w:t>је</w:t>
            </w:r>
            <w:r w:rsidR="0007059E" w:rsidRPr="00FF2F08">
              <w:rPr>
                <w:rFonts w:ascii="Times New Roman" w:hAnsi="Times New Roman"/>
                <w:bCs/>
                <w:sz w:val="22"/>
                <w:szCs w:val="22"/>
              </w:rPr>
              <w:t xml:space="preserve"> </w:t>
            </w:r>
            <w:r w:rsidRPr="00FF2F08">
              <w:rPr>
                <w:rFonts w:ascii="Times New Roman" w:hAnsi="Times New Roman"/>
                <w:bCs/>
                <w:sz w:val="22"/>
                <w:szCs w:val="22"/>
              </w:rPr>
              <w:t>намијењен</w:t>
            </w:r>
            <w:r w:rsidR="0007059E" w:rsidRPr="00FF2F08">
              <w:rPr>
                <w:rFonts w:ascii="Times New Roman" w:hAnsi="Times New Roman"/>
                <w:bCs/>
                <w:sz w:val="22"/>
                <w:szCs w:val="22"/>
              </w:rPr>
              <w:t xml:space="preserve"> </w:t>
            </w:r>
            <w:r w:rsidRPr="00FF2F08">
              <w:rPr>
                <w:rFonts w:ascii="Times New Roman" w:hAnsi="Times New Roman"/>
                <w:bCs/>
                <w:sz w:val="22"/>
                <w:szCs w:val="22"/>
              </w:rPr>
              <w:t>за</w:t>
            </w:r>
            <w:r w:rsidR="0007059E" w:rsidRPr="00FF2F08">
              <w:rPr>
                <w:rFonts w:ascii="Times New Roman" w:hAnsi="Times New Roman"/>
                <w:bCs/>
                <w:sz w:val="22"/>
                <w:szCs w:val="22"/>
              </w:rPr>
              <w:t xml:space="preserve"> </w:t>
            </w:r>
            <w:r w:rsidR="00251191" w:rsidRPr="00FF2F08">
              <w:rPr>
                <w:rFonts w:ascii="Times New Roman" w:hAnsi="Times New Roman"/>
                <w:bCs/>
                <w:sz w:val="22"/>
                <w:szCs w:val="22"/>
                <w:lang w:val="sr-Cyrl-RS"/>
              </w:rPr>
              <w:t>пер</w:t>
            </w:r>
            <w:r w:rsidRPr="00FF2F08">
              <w:rPr>
                <w:rFonts w:ascii="Times New Roman" w:hAnsi="Times New Roman"/>
                <w:bCs/>
                <w:sz w:val="22"/>
                <w:szCs w:val="22"/>
              </w:rPr>
              <w:t>оралну</w:t>
            </w:r>
            <w:r w:rsidR="0007059E" w:rsidRPr="00FF2F08">
              <w:rPr>
                <w:rFonts w:ascii="Times New Roman" w:hAnsi="Times New Roman"/>
                <w:bCs/>
                <w:sz w:val="22"/>
                <w:szCs w:val="22"/>
              </w:rPr>
              <w:t xml:space="preserve"> </w:t>
            </w:r>
            <w:r w:rsidR="00251191" w:rsidRPr="00FF2F08">
              <w:rPr>
                <w:rFonts w:ascii="Times New Roman" w:hAnsi="Times New Roman"/>
                <w:bCs/>
                <w:sz w:val="22"/>
                <w:szCs w:val="22"/>
                <w:lang w:val="sr-Cyrl-RS"/>
              </w:rPr>
              <w:t>примјену</w:t>
            </w:r>
            <w:r w:rsidR="000E55C0" w:rsidRPr="00FF2F08">
              <w:rPr>
                <w:rFonts w:ascii="Times New Roman" w:hAnsi="Times New Roman"/>
                <w:bCs/>
                <w:sz w:val="22"/>
                <w:szCs w:val="22"/>
                <w:lang w:val="bs-Latn-BA"/>
              </w:rPr>
              <w:t>.</w:t>
            </w:r>
          </w:p>
          <w:p w:rsidR="003D1146" w:rsidRPr="00FF2F08" w:rsidRDefault="003D1146" w:rsidP="00476708">
            <w:pPr>
              <w:pStyle w:val="Header"/>
              <w:rPr>
                <w:rFonts w:ascii="Times New Roman" w:hAnsi="Times New Roman"/>
                <w:sz w:val="22"/>
                <w:szCs w:val="22"/>
                <w:lang w:val="bs-Latn-BA"/>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lastRenderedPageBreak/>
              <w:t>4.3. Контраиндикације</w:t>
            </w:r>
          </w:p>
        </w:tc>
      </w:tr>
      <w:tr w:rsidR="00B0540F" w:rsidRPr="00FF2F08" w:rsidTr="00865739">
        <w:trPr>
          <w:trHeight w:val="726"/>
        </w:trPr>
        <w:tc>
          <w:tcPr>
            <w:tcW w:w="9356" w:type="dxa"/>
            <w:gridSpan w:val="4"/>
            <w:vAlign w:val="center"/>
          </w:tcPr>
          <w:p w:rsidR="00560F51" w:rsidRPr="00FF2F08" w:rsidRDefault="000E55C0" w:rsidP="00476708">
            <w:pPr>
              <w:pStyle w:val="Header"/>
              <w:rPr>
                <w:rFonts w:ascii="Times New Roman" w:hAnsi="Times New Roman"/>
                <w:sz w:val="22"/>
                <w:szCs w:val="22"/>
                <w:lang w:val="mk-MK"/>
              </w:rPr>
            </w:pPr>
            <w:r w:rsidRPr="00FF2F08">
              <w:rPr>
                <w:rFonts w:ascii="Times New Roman" w:hAnsi="Times New Roman"/>
                <w:sz w:val="22"/>
                <w:szCs w:val="22"/>
                <w:lang w:val="mk-MK"/>
              </w:rPr>
              <w:t>- Преосјетљивост на индапамид, друге сулфонамиде или на било коју помоћну супстанцу</w:t>
            </w:r>
            <w:r w:rsidR="002138BC" w:rsidRPr="00FF2F08">
              <w:rPr>
                <w:rFonts w:ascii="Times New Roman" w:hAnsi="Times New Roman"/>
                <w:sz w:val="22"/>
                <w:szCs w:val="22"/>
                <w:lang w:val="mk-MK"/>
              </w:rPr>
              <w:t xml:space="preserve"> наведен</w:t>
            </w:r>
            <w:r w:rsidR="0007059E" w:rsidRPr="00FF2F08">
              <w:rPr>
                <w:rFonts w:ascii="Times New Roman" w:hAnsi="Times New Roman"/>
                <w:sz w:val="22"/>
                <w:szCs w:val="22"/>
                <w:lang w:val="mk-MK"/>
              </w:rPr>
              <w:t>у</w:t>
            </w:r>
            <w:r w:rsidR="002138BC" w:rsidRPr="00FF2F08">
              <w:rPr>
                <w:rFonts w:ascii="Times New Roman" w:hAnsi="Times New Roman"/>
                <w:sz w:val="22"/>
                <w:szCs w:val="22"/>
                <w:lang w:val="mk-MK"/>
              </w:rPr>
              <w:t xml:space="preserve"> у одјељку</w:t>
            </w:r>
            <w:r w:rsidR="0007059E" w:rsidRPr="00FF2F08">
              <w:rPr>
                <w:rFonts w:ascii="Times New Roman" w:hAnsi="Times New Roman"/>
                <w:sz w:val="22"/>
                <w:szCs w:val="22"/>
                <w:lang w:val="mk-MK"/>
              </w:rPr>
              <w:t xml:space="preserve"> </w:t>
            </w:r>
            <w:r w:rsidRPr="00FF2F08">
              <w:rPr>
                <w:rFonts w:ascii="Times New Roman" w:hAnsi="Times New Roman"/>
                <w:sz w:val="22"/>
                <w:szCs w:val="22"/>
                <w:lang w:val="mk-MK"/>
              </w:rPr>
              <w:t>6.1.</w:t>
            </w:r>
          </w:p>
          <w:p w:rsidR="00560F51" w:rsidRPr="00FF2F08" w:rsidRDefault="000E55C0" w:rsidP="00476708">
            <w:pPr>
              <w:pStyle w:val="Header"/>
              <w:rPr>
                <w:rFonts w:ascii="Times New Roman" w:hAnsi="Times New Roman"/>
                <w:sz w:val="22"/>
                <w:szCs w:val="22"/>
                <w:lang w:val="mk-MK"/>
              </w:rPr>
            </w:pPr>
            <w:r w:rsidRPr="00FF2F08">
              <w:rPr>
                <w:rFonts w:ascii="Times New Roman" w:hAnsi="Times New Roman"/>
                <w:sz w:val="22"/>
                <w:szCs w:val="22"/>
                <w:lang w:val="mk-MK"/>
              </w:rPr>
              <w:t>- Тешка бубрежна инсуфицијенција.</w:t>
            </w:r>
          </w:p>
          <w:p w:rsidR="00560F51" w:rsidRPr="00FF2F08" w:rsidRDefault="000E55C0" w:rsidP="00476708">
            <w:pPr>
              <w:pStyle w:val="Header"/>
              <w:rPr>
                <w:rFonts w:ascii="Times New Roman" w:hAnsi="Times New Roman"/>
                <w:sz w:val="22"/>
                <w:szCs w:val="22"/>
                <w:lang w:val="mk-MK"/>
              </w:rPr>
            </w:pPr>
            <w:r w:rsidRPr="00FF2F08">
              <w:rPr>
                <w:rFonts w:ascii="Times New Roman" w:hAnsi="Times New Roman"/>
                <w:sz w:val="22"/>
                <w:szCs w:val="22"/>
                <w:lang w:val="mk-MK"/>
              </w:rPr>
              <w:t>- Хепатична енцефалопатија или тешко оштећење функције јетре.</w:t>
            </w:r>
          </w:p>
          <w:p w:rsidR="00560F51" w:rsidRPr="00FF2F08" w:rsidRDefault="00560F51" w:rsidP="00476708">
            <w:pPr>
              <w:pStyle w:val="Header"/>
              <w:tabs>
                <w:tab w:val="clear" w:pos="4536"/>
                <w:tab w:val="clear" w:pos="9072"/>
                <w:tab w:val="left" w:pos="284"/>
              </w:tabs>
              <w:rPr>
                <w:rFonts w:ascii="Times New Roman" w:hAnsi="Times New Roman"/>
                <w:sz w:val="22"/>
                <w:szCs w:val="22"/>
              </w:rPr>
            </w:pPr>
            <w:r w:rsidRPr="00FF2F08">
              <w:rPr>
                <w:rFonts w:ascii="Times New Roman" w:hAnsi="Times New Roman"/>
                <w:sz w:val="22"/>
                <w:szCs w:val="22"/>
              </w:rPr>
              <w:t>- Хипокал</w:t>
            </w:r>
            <w:r w:rsidR="00251191" w:rsidRPr="00FF2F08">
              <w:rPr>
                <w:rFonts w:ascii="Times New Roman" w:hAnsi="Times New Roman"/>
                <w:sz w:val="22"/>
                <w:szCs w:val="22"/>
                <w:lang w:val="sr-Cyrl-RS"/>
              </w:rPr>
              <w:t>иј</w:t>
            </w:r>
            <w:r w:rsidRPr="00FF2F08">
              <w:rPr>
                <w:rFonts w:ascii="Times New Roman" w:hAnsi="Times New Roman"/>
                <w:sz w:val="22"/>
                <w:szCs w:val="22"/>
              </w:rPr>
              <w:t>емија.</w:t>
            </w:r>
          </w:p>
          <w:p w:rsidR="003D1146" w:rsidRPr="00FF2F08" w:rsidRDefault="003D1146" w:rsidP="00476708">
            <w:pPr>
              <w:rPr>
                <w:rFonts w:ascii="Times New Roman" w:hAnsi="Times New Roman" w:cs="Times New Roman"/>
                <w:sz w:val="22"/>
                <w:szCs w:val="22"/>
                <w:lang w:val="mk-MK"/>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t>4.4. Посебна упозорења и мјере опреза при употреби лијека</w:t>
            </w:r>
          </w:p>
        </w:tc>
      </w:tr>
      <w:tr w:rsidR="00B0540F" w:rsidRPr="00FF2F08" w:rsidTr="00865739">
        <w:trPr>
          <w:trHeight w:val="1145"/>
        </w:trPr>
        <w:tc>
          <w:tcPr>
            <w:tcW w:w="9356" w:type="dxa"/>
            <w:gridSpan w:val="4"/>
            <w:vAlign w:val="center"/>
          </w:tcPr>
          <w:p w:rsidR="00560F51" w:rsidRPr="00FF2F08" w:rsidRDefault="00560F51" w:rsidP="00476708">
            <w:pPr>
              <w:pStyle w:val="Header"/>
              <w:rPr>
                <w:rFonts w:ascii="Times New Roman" w:hAnsi="Times New Roman"/>
                <w:sz w:val="22"/>
                <w:szCs w:val="22"/>
                <w:u w:val="single"/>
                <w:lang w:val="ru-RU"/>
              </w:rPr>
            </w:pPr>
            <w:r w:rsidRPr="00FF2F08">
              <w:rPr>
                <w:rFonts w:ascii="Times New Roman" w:hAnsi="Times New Roman"/>
                <w:sz w:val="22"/>
                <w:szCs w:val="22"/>
                <w:u w:val="single"/>
                <w:lang w:val="ru-RU"/>
              </w:rPr>
              <w:t>Посебна упозорења</w:t>
            </w:r>
          </w:p>
          <w:p w:rsidR="00560F51" w:rsidRPr="00FF2F08" w:rsidRDefault="00560F51" w:rsidP="00476708">
            <w:pPr>
              <w:pStyle w:val="Header"/>
              <w:rPr>
                <w:rFonts w:ascii="Times New Roman" w:hAnsi="Times New Roman"/>
                <w:sz w:val="22"/>
                <w:szCs w:val="22"/>
                <w:lang w:val="ru-RU"/>
              </w:rPr>
            </w:pPr>
            <w:r w:rsidRPr="00FF2F08">
              <w:rPr>
                <w:rFonts w:ascii="Times New Roman" w:hAnsi="Times New Roman"/>
                <w:sz w:val="22"/>
                <w:szCs w:val="22"/>
                <w:lang w:val="ru-RU"/>
              </w:rPr>
              <w:t>Код пацијената са оштећеном функцијом јетре, тиазидни диуретици и њима слични могу довести до настанка хепатичне енцефалопатије, а посебно у случајевима поремећаја равнотеже електролита. Уколико до овога дође</w:t>
            </w:r>
            <w:r w:rsidR="0007059E" w:rsidRPr="00FF2F08">
              <w:rPr>
                <w:rFonts w:ascii="Times New Roman" w:hAnsi="Times New Roman"/>
                <w:sz w:val="22"/>
                <w:szCs w:val="22"/>
                <w:lang w:val="ru-RU"/>
              </w:rPr>
              <w:t>,</w:t>
            </w:r>
            <w:r w:rsidRPr="00FF2F08">
              <w:rPr>
                <w:rFonts w:ascii="Times New Roman" w:hAnsi="Times New Roman"/>
                <w:sz w:val="22"/>
                <w:szCs w:val="22"/>
                <w:lang w:val="ru-RU"/>
              </w:rPr>
              <w:t xml:space="preserve"> одмах треба престати са давањем диуретика.</w:t>
            </w:r>
          </w:p>
          <w:p w:rsidR="00560F51" w:rsidRPr="00FF2F08" w:rsidRDefault="00560F51" w:rsidP="00476708">
            <w:pPr>
              <w:pStyle w:val="Header"/>
              <w:rPr>
                <w:rFonts w:ascii="Times New Roman" w:hAnsi="Times New Roman"/>
                <w:sz w:val="22"/>
                <w:szCs w:val="22"/>
                <w:lang w:val="ru-RU"/>
              </w:rPr>
            </w:pPr>
          </w:p>
          <w:p w:rsidR="00560F51" w:rsidRPr="00FF2F08" w:rsidRDefault="00560F51" w:rsidP="00476708">
            <w:pPr>
              <w:pStyle w:val="Header"/>
              <w:rPr>
                <w:rFonts w:ascii="Times New Roman" w:hAnsi="Times New Roman"/>
                <w:sz w:val="22"/>
                <w:szCs w:val="22"/>
                <w:lang w:val="ru-RU"/>
              </w:rPr>
            </w:pPr>
            <w:r w:rsidRPr="00FF2F08">
              <w:rPr>
                <w:rFonts w:ascii="Times New Roman" w:hAnsi="Times New Roman"/>
                <w:i/>
                <w:sz w:val="22"/>
                <w:szCs w:val="22"/>
                <w:lang w:val="ru-RU"/>
              </w:rPr>
              <w:t>Фотосензитивност</w:t>
            </w:r>
            <w:r w:rsidRPr="00FF2F08">
              <w:rPr>
                <w:rFonts w:ascii="Times New Roman" w:hAnsi="Times New Roman"/>
                <w:sz w:val="22"/>
                <w:szCs w:val="22"/>
                <w:lang w:val="ru-RU"/>
              </w:rPr>
              <w:t>:</w:t>
            </w:r>
          </w:p>
          <w:p w:rsidR="00560F51" w:rsidRPr="00FF2F08" w:rsidRDefault="00560F51" w:rsidP="00476708">
            <w:pPr>
              <w:pStyle w:val="Header"/>
              <w:tabs>
                <w:tab w:val="clear" w:pos="4536"/>
                <w:tab w:val="clear" w:pos="9072"/>
                <w:tab w:val="left" w:pos="284"/>
              </w:tabs>
              <w:rPr>
                <w:rFonts w:ascii="Times New Roman" w:hAnsi="Times New Roman"/>
                <w:sz w:val="22"/>
                <w:szCs w:val="22"/>
                <w:lang w:val="ru-RU"/>
              </w:rPr>
            </w:pPr>
            <w:r w:rsidRPr="00FF2F08">
              <w:rPr>
                <w:rFonts w:ascii="Times New Roman" w:hAnsi="Times New Roman"/>
                <w:sz w:val="22"/>
                <w:szCs w:val="22"/>
                <w:lang w:val="ru-RU"/>
              </w:rPr>
              <w:t xml:space="preserve">При употреби тиазидних </w:t>
            </w:r>
            <w:r w:rsidR="00F6198C" w:rsidRPr="00FF2F08">
              <w:rPr>
                <w:rFonts w:ascii="Times New Roman" w:hAnsi="Times New Roman"/>
                <w:sz w:val="22"/>
                <w:szCs w:val="22"/>
                <w:lang w:val="ru-RU"/>
              </w:rPr>
              <w:t>и њима сродних диуретика, забиље</w:t>
            </w:r>
            <w:r w:rsidRPr="00FF2F08">
              <w:rPr>
                <w:rFonts w:ascii="Times New Roman" w:hAnsi="Times New Roman"/>
                <w:sz w:val="22"/>
                <w:szCs w:val="22"/>
                <w:lang w:val="ru-RU"/>
              </w:rPr>
              <w:t>жени су случајеви фотосензитивних реакција (вид</w:t>
            </w:r>
            <w:r w:rsidR="00F6198C" w:rsidRPr="00FF2F08">
              <w:rPr>
                <w:rFonts w:ascii="Times New Roman" w:hAnsi="Times New Roman"/>
                <w:sz w:val="22"/>
                <w:szCs w:val="22"/>
                <w:lang w:val="ru-RU"/>
              </w:rPr>
              <w:t>ј</w:t>
            </w:r>
            <w:r w:rsidRPr="00FF2F08">
              <w:rPr>
                <w:rFonts w:ascii="Times New Roman" w:hAnsi="Times New Roman"/>
                <w:sz w:val="22"/>
                <w:szCs w:val="22"/>
                <w:lang w:val="ru-RU"/>
              </w:rPr>
              <w:t>ети од</w:t>
            </w:r>
            <w:r w:rsidR="00F6198C" w:rsidRPr="00FF2F08">
              <w:rPr>
                <w:rFonts w:ascii="Times New Roman" w:hAnsi="Times New Roman"/>
                <w:sz w:val="22"/>
                <w:szCs w:val="22"/>
                <w:lang w:val="ru-RU"/>
              </w:rPr>
              <w:t>ј</w:t>
            </w:r>
            <w:r w:rsidRPr="00FF2F08">
              <w:rPr>
                <w:rFonts w:ascii="Times New Roman" w:hAnsi="Times New Roman"/>
                <w:sz w:val="22"/>
                <w:szCs w:val="22"/>
                <w:lang w:val="ru-RU"/>
              </w:rPr>
              <w:t>ељак 4.8). Ако се</w:t>
            </w:r>
            <w:r w:rsidR="0007059E" w:rsidRPr="00FF2F08">
              <w:rPr>
                <w:rFonts w:ascii="Times New Roman" w:hAnsi="Times New Roman"/>
                <w:sz w:val="22"/>
                <w:szCs w:val="22"/>
                <w:lang w:val="ru-RU"/>
              </w:rPr>
              <w:t xml:space="preserve"> </w:t>
            </w:r>
            <w:r w:rsidRPr="00FF2F08">
              <w:rPr>
                <w:rFonts w:ascii="Times New Roman" w:hAnsi="Times New Roman"/>
                <w:sz w:val="22"/>
                <w:szCs w:val="22"/>
                <w:lang w:val="ru-RU"/>
              </w:rPr>
              <w:t>за вр</w:t>
            </w:r>
            <w:r w:rsidR="00F6198C" w:rsidRPr="00FF2F08">
              <w:rPr>
                <w:rFonts w:ascii="Times New Roman" w:hAnsi="Times New Roman"/>
                <w:sz w:val="22"/>
                <w:szCs w:val="22"/>
                <w:lang w:val="ru-RU"/>
              </w:rPr>
              <w:t>иј</w:t>
            </w:r>
            <w:r w:rsidRPr="00FF2F08">
              <w:rPr>
                <w:rFonts w:ascii="Times New Roman" w:hAnsi="Times New Roman"/>
                <w:sz w:val="22"/>
                <w:szCs w:val="22"/>
                <w:lang w:val="ru-RU"/>
              </w:rPr>
              <w:t>еме терапије појаве фотосензитивне реакције, препоручује се њено прекидање. Ако се сматра да је поновна прим</w:t>
            </w:r>
            <w:r w:rsidR="00F6198C" w:rsidRPr="00FF2F08">
              <w:rPr>
                <w:rFonts w:ascii="Times New Roman" w:hAnsi="Times New Roman"/>
                <w:sz w:val="22"/>
                <w:szCs w:val="22"/>
                <w:lang w:val="ru-RU"/>
              </w:rPr>
              <w:t>ј</w:t>
            </w:r>
            <w:r w:rsidRPr="00FF2F08">
              <w:rPr>
                <w:rFonts w:ascii="Times New Roman" w:hAnsi="Times New Roman"/>
                <w:sz w:val="22"/>
                <w:szCs w:val="22"/>
                <w:lang w:val="ru-RU"/>
              </w:rPr>
              <w:t>ена диуретика неопходна, препоручује се заштита изложених површина од сунца или од в</w:t>
            </w:r>
            <w:r w:rsidR="00F6198C" w:rsidRPr="00FF2F08">
              <w:rPr>
                <w:rFonts w:ascii="Times New Roman" w:hAnsi="Times New Roman"/>
                <w:sz w:val="22"/>
                <w:szCs w:val="22"/>
                <w:lang w:val="ru-RU"/>
              </w:rPr>
              <w:t>ј</w:t>
            </w:r>
            <w:r w:rsidRPr="00FF2F08">
              <w:rPr>
                <w:rFonts w:ascii="Times New Roman" w:hAnsi="Times New Roman"/>
                <w:sz w:val="22"/>
                <w:szCs w:val="22"/>
                <w:lang w:val="ru-RU"/>
              </w:rPr>
              <w:t xml:space="preserve">ештачких </w:t>
            </w:r>
            <w:r w:rsidRPr="00FF2F08">
              <w:rPr>
                <w:rFonts w:ascii="Times New Roman" w:hAnsi="Times New Roman"/>
                <w:sz w:val="22"/>
                <w:szCs w:val="22"/>
              </w:rPr>
              <w:t>UV</w:t>
            </w:r>
            <w:r w:rsidRPr="00FF2F08">
              <w:rPr>
                <w:rFonts w:ascii="Times New Roman" w:hAnsi="Times New Roman"/>
                <w:sz w:val="22"/>
                <w:szCs w:val="22"/>
                <w:lang w:val="ru-RU"/>
              </w:rPr>
              <w:t xml:space="preserve"> зрака.</w:t>
            </w:r>
          </w:p>
          <w:p w:rsidR="00560F51" w:rsidRPr="00FF2F08" w:rsidRDefault="00560F51" w:rsidP="00476708">
            <w:pPr>
              <w:pStyle w:val="Header"/>
              <w:keepNext/>
              <w:tabs>
                <w:tab w:val="clear" w:pos="4536"/>
                <w:tab w:val="clear" w:pos="9072"/>
                <w:tab w:val="left" w:pos="284"/>
              </w:tabs>
              <w:outlineLvl w:val="2"/>
              <w:rPr>
                <w:rFonts w:ascii="Times New Roman" w:hAnsi="Times New Roman"/>
                <w:sz w:val="22"/>
                <w:szCs w:val="22"/>
                <w:lang w:val="ru-RU"/>
              </w:rPr>
            </w:pPr>
          </w:p>
          <w:p w:rsidR="0007059E" w:rsidRPr="00FF2F08" w:rsidRDefault="00436B0A" w:rsidP="00C04B2E">
            <w:pPr>
              <w:pStyle w:val="Header"/>
              <w:tabs>
                <w:tab w:val="left" w:pos="284"/>
              </w:tabs>
              <w:rPr>
                <w:rFonts w:ascii="Times New Roman" w:hAnsi="Times New Roman"/>
                <w:sz w:val="22"/>
                <w:szCs w:val="22"/>
                <w:lang w:val="ru-RU"/>
              </w:rPr>
            </w:pPr>
            <w:r w:rsidRPr="00FF2F08">
              <w:rPr>
                <w:rFonts w:ascii="Times New Roman" w:hAnsi="Times New Roman"/>
                <w:i/>
                <w:iCs/>
                <w:sz w:val="22"/>
                <w:szCs w:val="22"/>
                <w:lang w:val="mk-MK"/>
              </w:rPr>
              <w:t>П</w:t>
            </w:r>
            <w:r w:rsidR="005A535A" w:rsidRPr="00FF2F08">
              <w:rPr>
                <w:rFonts w:ascii="Times New Roman" w:hAnsi="Times New Roman"/>
                <w:i/>
                <w:iCs/>
                <w:sz w:val="22"/>
                <w:szCs w:val="22"/>
              </w:rPr>
              <w:t>омоћне супстанце</w:t>
            </w:r>
            <w:r w:rsidR="000E55C0" w:rsidRPr="00FF2F08">
              <w:rPr>
                <w:rFonts w:ascii="Times New Roman" w:hAnsi="Times New Roman"/>
                <w:i/>
                <w:iCs/>
                <w:sz w:val="22"/>
                <w:szCs w:val="22"/>
                <w:lang w:val="ru-RU"/>
              </w:rPr>
              <w:t>:</w:t>
            </w:r>
          </w:p>
          <w:p w:rsidR="00560F51" w:rsidRPr="00FF2F08" w:rsidRDefault="00560F51" w:rsidP="00476708">
            <w:pPr>
              <w:pStyle w:val="Header"/>
              <w:tabs>
                <w:tab w:val="clear" w:pos="4536"/>
                <w:tab w:val="clear" w:pos="9072"/>
                <w:tab w:val="left" w:pos="284"/>
              </w:tabs>
              <w:rPr>
                <w:rFonts w:ascii="Times New Roman" w:hAnsi="Times New Roman"/>
                <w:sz w:val="22"/>
                <w:szCs w:val="22"/>
                <w:lang w:val="sr-Cyrl-CS"/>
              </w:rPr>
            </w:pPr>
            <w:r w:rsidRPr="00FF2F08">
              <w:rPr>
                <w:rFonts w:ascii="Times New Roman" w:hAnsi="Times New Roman"/>
                <w:i/>
                <w:sz w:val="22"/>
                <w:szCs w:val="22"/>
                <w:lang w:val="sr-Cyrl-CS"/>
              </w:rPr>
              <w:t>Овај л</w:t>
            </w:r>
            <w:r w:rsidR="00F6198C" w:rsidRPr="00FF2F08">
              <w:rPr>
                <w:rFonts w:ascii="Times New Roman" w:hAnsi="Times New Roman"/>
                <w:i/>
                <w:sz w:val="22"/>
                <w:szCs w:val="22"/>
                <w:lang w:val="sr-Cyrl-CS"/>
              </w:rPr>
              <w:t>иј</w:t>
            </w:r>
            <w:r w:rsidRPr="00FF2F08">
              <w:rPr>
                <w:rFonts w:ascii="Times New Roman" w:hAnsi="Times New Roman"/>
                <w:i/>
                <w:sz w:val="22"/>
                <w:szCs w:val="22"/>
                <w:lang w:val="sr-Cyrl-CS"/>
              </w:rPr>
              <w:t>ек садржи лактозу монохидрат.</w:t>
            </w:r>
            <w:r w:rsidRPr="00FF2F08">
              <w:rPr>
                <w:rFonts w:ascii="Times New Roman" w:hAnsi="Times New Roman"/>
                <w:sz w:val="22"/>
                <w:szCs w:val="22"/>
                <w:lang w:val="sr-Cyrl-CS"/>
              </w:rPr>
              <w:t xml:space="preserve"> Пацијенти који болују од р</w:t>
            </w:r>
            <w:r w:rsidR="00F6198C" w:rsidRPr="00FF2F08">
              <w:rPr>
                <w:rFonts w:ascii="Times New Roman" w:hAnsi="Times New Roman"/>
                <w:sz w:val="22"/>
                <w:szCs w:val="22"/>
                <w:lang w:val="sr-Cyrl-CS"/>
              </w:rPr>
              <w:t>иј</w:t>
            </w:r>
            <w:r w:rsidRPr="00FF2F08">
              <w:rPr>
                <w:rFonts w:ascii="Times New Roman" w:hAnsi="Times New Roman"/>
                <w:sz w:val="22"/>
                <w:szCs w:val="22"/>
                <w:lang w:val="sr-Cyrl-CS"/>
              </w:rPr>
              <w:t>етког нас</w:t>
            </w:r>
            <w:r w:rsidR="0007059E" w:rsidRPr="00FF2F08">
              <w:rPr>
                <w:rFonts w:ascii="Times New Roman" w:hAnsi="Times New Roman"/>
                <w:sz w:val="22"/>
                <w:szCs w:val="22"/>
                <w:lang w:val="sr-Cyrl-CS"/>
              </w:rPr>
              <w:t>љ</w:t>
            </w:r>
            <w:r w:rsidRPr="00FF2F08">
              <w:rPr>
                <w:rFonts w:ascii="Times New Roman" w:hAnsi="Times New Roman"/>
                <w:sz w:val="22"/>
                <w:szCs w:val="22"/>
                <w:lang w:val="sr-Cyrl-CS"/>
              </w:rPr>
              <w:t xml:space="preserve">едног обољења интолеранције на галактозу, </w:t>
            </w:r>
            <w:r w:rsidRPr="00FF2F08">
              <w:rPr>
                <w:rFonts w:ascii="Times New Roman" w:hAnsi="Times New Roman"/>
                <w:sz w:val="22"/>
                <w:szCs w:val="22"/>
              </w:rPr>
              <w:t>Lapp</w:t>
            </w:r>
            <w:r w:rsidRPr="00FF2F08">
              <w:rPr>
                <w:rFonts w:ascii="Times New Roman" w:hAnsi="Times New Roman"/>
                <w:sz w:val="22"/>
                <w:szCs w:val="22"/>
                <w:lang w:val="mk-MK"/>
              </w:rPr>
              <w:t xml:space="preserve"> лактозног дефицита </w:t>
            </w:r>
            <w:r w:rsidRPr="00FF2F08">
              <w:rPr>
                <w:rFonts w:ascii="Times New Roman" w:hAnsi="Times New Roman"/>
                <w:sz w:val="22"/>
                <w:szCs w:val="22"/>
                <w:lang w:val="sr-Cyrl-CS"/>
              </w:rPr>
              <w:t>или лоше глук</w:t>
            </w:r>
            <w:r w:rsidR="00F6198C" w:rsidRPr="00FF2F08">
              <w:rPr>
                <w:rFonts w:ascii="Times New Roman" w:hAnsi="Times New Roman"/>
                <w:sz w:val="22"/>
                <w:szCs w:val="22"/>
                <w:lang w:val="sr-Cyrl-CS"/>
              </w:rPr>
              <w:t xml:space="preserve">озо-галактозне </w:t>
            </w:r>
            <w:r w:rsidR="00251191" w:rsidRPr="00FF2F08">
              <w:rPr>
                <w:rFonts w:ascii="Times New Roman" w:hAnsi="Times New Roman"/>
                <w:sz w:val="22"/>
                <w:szCs w:val="22"/>
                <w:lang w:val="sr-Cyrl-CS"/>
              </w:rPr>
              <w:t>ре</w:t>
            </w:r>
            <w:r w:rsidR="00F6198C" w:rsidRPr="00FF2F08">
              <w:rPr>
                <w:rFonts w:ascii="Times New Roman" w:hAnsi="Times New Roman"/>
                <w:sz w:val="22"/>
                <w:szCs w:val="22"/>
                <w:lang w:val="sr-Cyrl-CS"/>
              </w:rPr>
              <w:t>сорпције не сми</w:t>
            </w:r>
            <w:r w:rsidRPr="00FF2F08">
              <w:rPr>
                <w:rFonts w:ascii="Times New Roman" w:hAnsi="Times New Roman"/>
                <w:sz w:val="22"/>
                <w:szCs w:val="22"/>
                <w:lang w:val="sr-Cyrl-CS"/>
              </w:rPr>
              <w:t>ју користити овај л</w:t>
            </w:r>
            <w:r w:rsidR="00F6198C" w:rsidRPr="00FF2F08">
              <w:rPr>
                <w:rFonts w:ascii="Times New Roman" w:hAnsi="Times New Roman"/>
                <w:sz w:val="22"/>
                <w:szCs w:val="22"/>
                <w:lang w:val="sr-Cyrl-CS"/>
              </w:rPr>
              <w:t>иј</w:t>
            </w:r>
            <w:r w:rsidRPr="00FF2F08">
              <w:rPr>
                <w:rFonts w:ascii="Times New Roman" w:hAnsi="Times New Roman"/>
                <w:sz w:val="22"/>
                <w:szCs w:val="22"/>
                <w:lang w:val="sr-Cyrl-CS"/>
              </w:rPr>
              <w:t>ек.</w:t>
            </w:r>
          </w:p>
          <w:p w:rsidR="00560F51" w:rsidRPr="00FF2F08" w:rsidRDefault="00560F51" w:rsidP="00476708">
            <w:pPr>
              <w:pStyle w:val="Header"/>
              <w:tabs>
                <w:tab w:val="clear" w:pos="4536"/>
                <w:tab w:val="clear" w:pos="9072"/>
                <w:tab w:val="left" w:pos="284"/>
              </w:tabs>
              <w:rPr>
                <w:rFonts w:ascii="Times New Roman" w:hAnsi="Times New Roman"/>
                <w:sz w:val="22"/>
                <w:szCs w:val="22"/>
                <w:lang w:val="sr-Cyrl-CS"/>
              </w:rPr>
            </w:pPr>
          </w:p>
          <w:p w:rsidR="00DB741C" w:rsidRPr="00FF2F08" w:rsidRDefault="00560F51" w:rsidP="00E83FC7">
            <w:pPr>
              <w:pStyle w:val="Header"/>
              <w:tabs>
                <w:tab w:val="clear" w:pos="4536"/>
                <w:tab w:val="clear" w:pos="9072"/>
                <w:tab w:val="left" w:pos="284"/>
              </w:tabs>
              <w:rPr>
                <w:rFonts w:ascii="Times New Roman" w:hAnsi="Times New Roman"/>
                <w:bCs/>
                <w:sz w:val="22"/>
                <w:szCs w:val="22"/>
                <w:u w:val="single"/>
                <w:lang w:val="sr-Cyrl-CS"/>
              </w:rPr>
            </w:pPr>
            <w:r w:rsidRPr="00FF2F08">
              <w:rPr>
                <w:rFonts w:ascii="Times New Roman" w:hAnsi="Times New Roman"/>
                <w:bCs/>
                <w:sz w:val="22"/>
                <w:szCs w:val="22"/>
                <w:u w:val="single"/>
                <w:lang w:val="ru-RU"/>
              </w:rPr>
              <w:t>Посебне м</w:t>
            </w:r>
            <w:r w:rsidR="00F6198C" w:rsidRPr="00FF2F08">
              <w:rPr>
                <w:rFonts w:ascii="Times New Roman" w:hAnsi="Times New Roman"/>
                <w:bCs/>
                <w:sz w:val="22"/>
                <w:szCs w:val="22"/>
                <w:u w:val="single"/>
                <w:lang w:val="ru-RU"/>
              </w:rPr>
              <w:t>ј</w:t>
            </w:r>
            <w:r w:rsidRPr="00FF2F08">
              <w:rPr>
                <w:rFonts w:ascii="Times New Roman" w:hAnsi="Times New Roman"/>
                <w:bCs/>
                <w:sz w:val="22"/>
                <w:szCs w:val="22"/>
                <w:u w:val="single"/>
                <w:lang w:val="ru-RU"/>
              </w:rPr>
              <w:t xml:space="preserve">ере опреза при употреби </w:t>
            </w:r>
          </w:p>
          <w:p w:rsidR="00560F51" w:rsidRPr="00FF2F08" w:rsidRDefault="00560F51" w:rsidP="00476708">
            <w:pPr>
              <w:pStyle w:val="Header"/>
              <w:rPr>
                <w:rFonts w:ascii="Times New Roman" w:hAnsi="Times New Roman"/>
                <w:b/>
                <w:bCs/>
                <w:sz w:val="22"/>
                <w:szCs w:val="22"/>
                <w:lang w:val="sr-Cyrl-CS"/>
              </w:rPr>
            </w:pPr>
            <w:r w:rsidRPr="00FF2F08">
              <w:rPr>
                <w:rFonts w:ascii="Times New Roman" w:hAnsi="Times New Roman"/>
                <w:b/>
                <w:bCs/>
                <w:sz w:val="22"/>
                <w:szCs w:val="22"/>
                <w:lang w:val="ru-RU"/>
              </w:rPr>
              <w:t>Равнотежа воде и електролита</w:t>
            </w:r>
          </w:p>
          <w:p w:rsidR="00560F51" w:rsidRPr="00FF2F08" w:rsidRDefault="00560F51" w:rsidP="00476708">
            <w:pPr>
              <w:pStyle w:val="Header"/>
              <w:rPr>
                <w:rFonts w:ascii="Times New Roman" w:hAnsi="Times New Roman"/>
                <w:bCs/>
                <w:sz w:val="22"/>
                <w:szCs w:val="22"/>
                <w:lang w:val="ru-RU"/>
              </w:rPr>
            </w:pPr>
            <w:r w:rsidRPr="00FF2F08">
              <w:rPr>
                <w:rFonts w:ascii="Times New Roman" w:hAnsi="Times New Roman"/>
                <w:bCs/>
                <w:sz w:val="22"/>
                <w:szCs w:val="22"/>
                <w:lang w:val="ru-RU"/>
              </w:rPr>
              <w:t>-</w:t>
            </w:r>
            <w:r w:rsidR="00436B0A" w:rsidRPr="00FF2F08">
              <w:rPr>
                <w:rFonts w:ascii="Times New Roman" w:hAnsi="Times New Roman"/>
                <w:bCs/>
                <w:sz w:val="22"/>
                <w:szCs w:val="22"/>
                <w:lang w:val="ru-RU"/>
              </w:rPr>
              <w:t xml:space="preserve"> </w:t>
            </w:r>
            <w:r w:rsidRPr="00FF2F08">
              <w:rPr>
                <w:rFonts w:ascii="Times New Roman" w:hAnsi="Times New Roman"/>
                <w:bCs/>
                <w:sz w:val="22"/>
                <w:szCs w:val="22"/>
                <w:lang w:val="ru-RU"/>
              </w:rPr>
              <w:t>Концентрација натријума у плазми:</w:t>
            </w:r>
          </w:p>
          <w:p w:rsidR="00560F51" w:rsidRPr="00FF2F08" w:rsidRDefault="00560F51" w:rsidP="00476708">
            <w:pPr>
              <w:pStyle w:val="Header"/>
              <w:rPr>
                <w:rFonts w:ascii="Times New Roman" w:hAnsi="Times New Roman"/>
                <w:bCs/>
                <w:sz w:val="22"/>
                <w:szCs w:val="22"/>
              </w:rPr>
            </w:pPr>
            <w:r w:rsidRPr="00FF2F08">
              <w:rPr>
                <w:rFonts w:ascii="Times New Roman" w:hAnsi="Times New Roman"/>
                <w:bCs/>
                <w:sz w:val="22"/>
                <w:szCs w:val="22"/>
                <w:lang w:val="ru-RU"/>
              </w:rPr>
              <w:t>Концентрација натријума у плазми мора да се м</w:t>
            </w:r>
            <w:r w:rsidR="00F6198C" w:rsidRPr="00FF2F08">
              <w:rPr>
                <w:rFonts w:ascii="Times New Roman" w:hAnsi="Times New Roman"/>
                <w:bCs/>
                <w:sz w:val="22"/>
                <w:szCs w:val="22"/>
                <w:lang w:val="ru-RU"/>
              </w:rPr>
              <w:t>ј</w:t>
            </w:r>
            <w:r w:rsidRPr="00FF2F08">
              <w:rPr>
                <w:rFonts w:ascii="Times New Roman" w:hAnsi="Times New Roman"/>
                <w:bCs/>
                <w:sz w:val="22"/>
                <w:szCs w:val="22"/>
                <w:lang w:val="ru-RU"/>
              </w:rPr>
              <w:t>ери пр</w:t>
            </w:r>
            <w:r w:rsidR="00F6198C" w:rsidRPr="00FF2F08">
              <w:rPr>
                <w:rFonts w:ascii="Times New Roman" w:hAnsi="Times New Roman"/>
                <w:bCs/>
                <w:sz w:val="22"/>
                <w:szCs w:val="22"/>
                <w:lang w:val="ru-RU"/>
              </w:rPr>
              <w:t>иј</w:t>
            </w:r>
            <w:r w:rsidRPr="00FF2F08">
              <w:rPr>
                <w:rFonts w:ascii="Times New Roman" w:hAnsi="Times New Roman"/>
                <w:bCs/>
                <w:sz w:val="22"/>
                <w:szCs w:val="22"/>
                <w:lang w:val="ru-RU"/>
              </w:rPr>
              <w:t xml:space="preserve">е почетка терапије, а затим у </w:t>
            </w:r>
            <w:r w:rsidR="00251191" w:rsidRPr="00FF2F08">
              <w:rPr>
                <w:rFonts w:ascii="Times New Roman" w:hAnsi="Times New Roman"/>
                <w:bCs/>
                <w:sz w:val="22"/>
                <w:szCs w:val="22"/>
                <w:lang w:val="ru-RU"/>
              </w:rPr>
              <w:t xml:space="preserve">редовним </w:t>
            </w:r>
            <w:r w:rsidRPr="00FF2F08">
              <w:rPr>
                <w:rFonts w:ascii="Times New Roman" w:hAnsi="Times New Roman"/>
                <w:bCs/>
                <w:sz w:val="22"/>
                <w:szCs w:val="22"/>
                <w:lang w:val="ru-RU"/>
              </w:rPr>
              <w:t>интервалима током терапије.</w:t>
            </w:r>
            <w:r w:rsidR="0007059E" w:rsidRPr="00FF2F08">
              <w:rPr>
                <w:rFonts w:ascii="Times New Roman" w:hAnsi="Times New Roman"/>
                <w:bCs/>
                <w:sz w:val="22"/>
                <w:szCs w:val="22"/>
                <w:lang w:val="ru-RU"/>
              </w:rPr>
              <w:t xml:space="preserve"> </w:t>
            </w:r>
            <w:r w:rsidRPr="00FF2F08">
              <w:rPr>
                <w:rFonts w:ascii="Times New Roman" w:hAnsi="Times New Roman"/>
                <w:bCs/>
                <w:sz w:val="22"/>
                <w:szCs w:val="22"/>
                <w:lang w:val="ru-RU"/>
              </w:rPr>
              <w:t>Смањење концентрације натријума у плазми у почетку може да буде асимптоматск</w:t>
            </w:r>
            <w:r w:rsidR="00251191" w:rsidRPr="00FF2F08">
              <w:rPr>
                <w:rFonts w:ascii="Times New Roman" w:hAnsi="Times New Roman"/>
                <w:bCs/>
                <w:sz w:val="22"/>
                <w:szCs w:val="22"/>
                <w:lang w:val="ru-RU"/>
              </w:rPr>
              <w:t>о</w:t>
            </w:r>
            <w:r w:rsidRPr="00FF2F08">
              <w:rPr>
                <w:rFonts w:ascii="Times New Roman" w:hAnsi="Times New Roman"/>
                <w:bCs/>
                <w:sz w:val="22"/>
                <w:szCs w:val="22"/>
                <w:lang w:val="ru-RU"/>
              </w:rPr>
              <w:t xml:space="preserve">, па је </w:t>
            </w:r>
            <w:r w:rsidR="00251191" w:rsidRPr="00FF2F08">
              <w:rPr>
                <w:rFonts w:ascii="Times New Roman" w:hAnsi="Times New Roman"/>
                <w:bCs/>
                <w:sz w:val="22"/>
                <w:szCs w:val="22"/>
                <w:lang w:val="ru-RU"/>
              </w:rPr>
              <w:t xml:space="preserve">зато </w:t>
            </w:r>
            <w:r w:rsidRPr="00FF2F08">
              <w:rPr>
                <w:rFonts w:ascii="Times New Roman" w:hAnsi="Times New Roman"/>
                <w:bCs/>
                <w:sz w:val="22"/>
                <w:szCs w:val="22"/>
                <w:lang w:val="ru-RU"/>
              </w:rPr>
              <w:t xml:space="preserve">неопходно </w:t>
            </w:r>
            <w:r w:rsidR="00251191" w:rsidRPr="00FF2F08">
              <w:rPr>
                <w:rFonts w:ascii="Times New Roman" w:hAnsi="Times New Roman"/>
                <w:sz w:val="22"/>
                <w:szCs w:val="22"/>
                <w:lang w:val="ru-RU"/>
              </w:rPr>
              <w:t>њ</w:t>
            </w:r>
            <w:r w:rsidR="00251191" w:rsidRPr="00FF2F08">
              <w:rPr>
                <w:rFonts w:ascii="Times New Roman" w:hAnsi="Times New Roman"/>
                <w:bCs/>
                <w:sz w:val="22"/>
                <w:szCs w:val="22"/>
                <w:lang w:val="ru-RU"/>
              </w:rPr>
              <w:t xml:space="preserve">егово </w:t>
            </w:r>
            <w:r w:rsidRPr="00FF2F08">
              <w:rPr>
                <w:rFonts w:ascii="Times New Roman" w:hAnsi="Times New Roman"/>
                <w:bCs/>
                <w:sz w:val="22"/>
                <w:szCs w:val="22"/>
                <w:lang w:val="ru-RU"/>
              </w:rPr>
              <w:t>редовно праћење. Код старијих и пацијената са цирозом јетре концентрацију натријума треба пратити и чешће (вид</w:t>
            </w:r>
            <w:r w:rsidR="00F6198C" w:rsidRPr="00FF2F08">
              <w:rPr>
                <w:rFonts w:ascii="Times New Roman" w:hAnsi="Times New Roman"/>
                <w:bCs/>
                <w:sz w:val="22"/>
                <w:szCs w:val="22"/>
                <w:lang w:val="ru-RU"/>
              </w:rPr>
              <w:t>ј</w:t>
            </w:r>
            <w:r w:rsidRPr="00FF2F08">
              <w:rPr>
                <w:rFonts w:ascii="Times New Roman" w:hAnsi="Times New Roman"/>
                <w:bCs/>
                <w:sz w:val="22"/>
                <w:szCs w:val="22"/>
                <w:lang w:val="ru-RU"/>
              </w:rPr>
              <w:t>ети од</w:t>
            </w:r>
            <w:r w:rsidR="00F6198C" w:rsidRPr="00FF2F08">
              <w:rPr>
                <w:rFonts w:ascii="Times New Roman" w:hAnsi="Times New Roman"/>
                <w:bCs/>
                <w:sz w:val="22"/>
                <w:szCs w:val="22"/>
                <w:lang w:val="ru-RU"/>
              </w:rPr>
              <w:t>ј</w:t>
            </w:r>
            <w:r w:rsidRPr="00FF2F08">
              <w:rPr>
                <w:rFonts w:ascii="Times New Roman" w:hAnsi="Times New Roman"/>
                <w:bCs/>
                <w:sz w:val="22"/>
                <w:szCs w:val="22"/>
                <w:lang w:val="ru-RU"/>
              </w:rPr>
              <w:t>ељке 4.8 и 4.9).</w:t>
            </w:r>
            <w:r w:rsidR="00DB741C" w:rsidRPr="00FF2F08">
              <w:rPr>
                <w:rFonts w:ascii="Times New Roman" w:hAnsi="Times New Roman"/>
                <w:bCs/>
                <w:sz w:val="22"/>
                <w:szCs w:val="22"/>
                <w:lang w:val="ru-RU"/>
              </w:rPr>
              <w:t xml:space="preserve"> Диуретици могу да доведу до хипонатремије, понекад са веома озбиљним посљедицама.</w:t>
            </w:r>
            <w:r w:rsidR="005A535A" w:rsidRPr="00FF2F08">
              <w:rPr>
                <w:rFonts w:ascii="Times New Roman" w:hAnsi="Times New Roman"/>
                <w:bCs/>
                <w:sz w:val="22"/>
                <w:szCs w:val="22"/>
                <w:lang w:val="ru-RU"/>
              </w:rPr>
              <w:t xml:space="preserve"> Хипонатремија са хиповолемијом може бити одговорна за дехидратацију и ортостатску хипотензију. Истовремени губитак хлоридних јона може довести до секундарне компензаторне метаболичке алкалозе: инциденца и степен овог ефекта су благи</w:t>
            </w:r>
            <w:r w:rsidR="00251191" w:rsidRPr="00FF2F08">
              <w:rPr>
                <w:rFonts w:ascii="Times New Roman" w:hAnsi="Times New Roman"/>
                <w:bCs/>
                <w:sz w:val="22"/>
                <w:szCs w:val="22"/>
                <w:lang w:val="ru-RU"/>
              </w:rPr>
              <w:t>.</w:t>
            </w:r>
          </w:p>
          <w:p w:rsidR="00560F51" w:rsidRPr="00FF2F08" w:rsidRDefault="00560F51" w:rsidP="00476708">
            <w:pPr>
              <w:pStyle w:val="Header"/>
              <w:rPr>
                <w:rFonts w:ascii="Times New Roman" w:hAnsi="Times New Roman"/>
                <w:bCs/>
                <w:sz w:val="22"/>
                <w:szCs w:val="22"/>
                <w:lang w:val="ru-RU"/>
              </w:rPr>
            </w:pPr>
          </w:p>
          <w:p w:rsidR="00560F51" w:rsidRPr="00FF2F08" w:rsidRDefault="00560F51" w:rsidP="00476708">
            <w:pPr>
              <w:pStyle w:val="Header"/>
              <w:rPr>
                <w:rFonts w:ascii="Times New Roman" w:hAnsi="Times New Roman"/>
                <w:sz w:val="22"/>
                <w:szCs w:val="22"/>
                <w:lang w:val="ru-RU"/>
              </w:rPr>
            </w:pPr>
            <w:r w:rsidRPr="00FF2F08">
              <w:rPr>
                <w:rFonts w:ascii="Times New Roman" w:hAnsi="Times New Roman"/>
                <w:sz w:val="22"/>
                <w:szCs w:val="22"/>
                <w:lang w:val="ru-RU"/>
              </w:rPr>
              <w:t>-</w:t>
            </w:r>
            <w:r w:rsidR="00436B0A" w:rsidRPr="00FF2F08">
              <w:rPr>
                <w:rFonts w:ascii="Times New Roman" w:hAnsi="Times New Roman"/>
                <w:sz w:val="22"/>
                <w:szCs w:val="22"/>
                <w:lang w:val="ru-RU"/>
              </w:rPr>
              <w:t xml:space="preserve"> </w:t>
            </w:r>
            <w:r w:rsidRPr="00FF2F08">
              <w:rPr>
                <w:rFonts w:ascii="Times New Roman" w:hAnsi="Times New Roman"/>
                <w:sz w:val="22"/>
                <w:szCs w:val="22"/>
                <w:lang w:val="ru-RU"/>
              </w:rPr>
              <w:t>Концентрација калијума у плазми:</w:t>
            </w:r>
          </w:p>
          <w:p w:rsidR="00560F51" w:rsidRPr="00FF2F08" w:rsidRDefault="00560F51" w:rsidP="00476708">
            <w:pPr>
              <w:pStyle w:val="Header"/>
              <w:rPr>
                <w:rFonts w:ascii="Times New Roman" w:hAnsi="Times New Roman"/>
                <w:sz w:val="22"/>
                <w:szCs w:val="22"/>
                <w:lang w:val="ru-RU"/>
              </w:rPr>
            </w:pPr>
            <w:r w:rsidRPr="00FF2F08">
              <w:rPr>
                <w:rFonts w:ascii="Times New Roman" w:hAnsi="Times New Roman"/>
                <w:sz w:val="22"/>
                <w:szCs w:val="22"/>
                <w:lang w:val="ru-RU"/>
              </w:rPr>
              <w:t>Главни ризик приликом терапије тиазидима и сродним диуретицима представља губитак калијума са хипокал</w:t>
            </w:r>
            <w:r w:rsidR="00ED0860" w:rsidRPr="00FF2F08">
              <w:rPr>
                <w:rFonts w:ascii="Times New Roman" w:hAnsi="Times New Roman"/>
                <w:sz w:val="22"/>
                <w:szCs w:val="22"/>
                <w:lang w:val="ru-RU"/>
              </w:rPr>
              <w:t>иј</w:t>
            </w:r>
            <w:r w:rsidRPr="00FF2F08">
              <w:rPr>
                <w:rFonts w:ascii="Times New Roman" w:hAnsi="Times New Roman"/>
                <w:sz w:val="22"/>
                <w:szCs w:val="22"/>
                <w:lang w:val="ru-RU"/>
              </w:rPr>
              <w:t>емијом. Ризик од појаве хипокал</w:t>
            </w:r>
            <w:r w:rsidR="00ED0860" w:rsidRPr="00FF2F08">
              <w:rPr>
                <w:rFonts w:ascii="Times New Roman" w:hAnsi="Times New Roman"/>
                <w:sz w:val="22"/>
                <w:szCs w:val="22"/>
                <w:lang w:val="ru-RU"/>
              </w:rPr>
              <w:t>иј</w:t>
            </w:r>
            <w:r w:rsidRPr="00FF2F08">
              <w:rPr>
                <w:rFonts w:ascii="Times New Roman" w:hAnsi="Times New Roman"/>
                <w:sz w:val="22"/>
                <w:szCs w:val="22"/>
                <w:lang w:val="ru-RU"/>
              </w:rPr>
              <w:t>емије (&lt; 3</w:t>
            </w:r>
            <w:r w:rsidR="00436B0A" w:rsidRPr="00FF2F08">
              <w:rPr>
                <w:rFonts w:ascii="Times New Roman" w:hAnsi="Times New Roman"/>
                <w:sz w:val="22"/>
                <w:szCs w:val="22"/>
                <w:lang w:val="ru-RU"/>
              </w:rPr>
              <w:t>.</w:t>
            </w:r>
            <w:r w:rsidRPr="00FF2F08">
              <w:rPr>
                <w:rFonts w:ascii="Times New Roman" w:hAnsi="Times New Roman"/>
                <w:sz w:val="22"/>
                <w:szCs w:val="22"/>
                <w:lang w:val="ru-RU"/>
              </w:rPr>
              <w:t xml:space="preserve">4 </w:t>
            </w:r>
            <w:r w:rsidRPr="00FF2F08">
              <w:rPr>
                <w:rFonts w:ascii="Times New Roman" w:hAnsi="Times New Roman"/>
                <w:sz w:val="22"/>
                <w:szCs w:val="22"/>
              </w:rPr>
              <w:t>mmol</w:t>
            </w:r>
            <w:r w:rsidRPr="00FF2F08">
              <w:rPr>
                <w:rFonts w:ascii="Times New Roman" w:hAnsi="Times New Roman"/>
                <w:sz w:val="22"/>
                <w:szCs w:val="22"/>
                <w:lang w:val="ru-RU"/>
              </w:rPr>
              <w:t>/</w:t>
            </w:r>
            <w:r w:rsidRPr="00FF2F08">
              <w:rPr>
                <w:rFonts w:ascii="Times New Roman" w:hAnsi="Times New Roman"/>
                <w:sz w:val="22"/>
                <w:szCs w:val="22"/>
              </w:rPr>
              <w:t>l</w:t>
            </w:r>
            <w:r w:rsidRPr="00FF2F08">
              <w:rPr>
                <w:rFonts w:ascii="Times New Roman" w:hAnsi="Times New Roman"/>
                <w:sz w:val="22"/>
                <w:szCs w:val="22"/>
                <w:lang w:val="ru-RU"/>
              </w:rPr>
              <w:t>) мора се</w:t>
            </w:r>
            <w:r w:rsidR="0007059E" w:rsidRPr="00FF2F08">
              <w:rPr>
                <w:rFonts w:ascii="Times New Roman" w:hAnsi="Times New Roman"/>
                <w:sz w:val="22"/>
                <w:szCs w:val="22"/>
                <w:lang w:val="ru-RU"/>
              </w:rPr>
              <w:t xml:space="preserve"> </w:t>
            </w:r>
            <w:r w:rsidRPr="00FF2F08">
              <w:rPr>
                <w:rFonts w:ascii="Times New Roman" w:hAnsi="Times New Roman"/>
                <w:sz w:val="22"/>
                <w:szCs w:val="22"/>
                <w:lang w:val="ru-RU"/>
              </w:rPr>
              <w:t>спр</w:t>
            </w:r>
            <w:r w:rsidR="0007059E" w:rsidRPr="00FF2F08">
              <w:rPr>
                <w:rFonts w:ascii="Times New Roman" w:hAnsi="Times New Roman"/>
                <w:sz w:val="22"/>
                <w:szCs w:val="22"/>
                <w:lang w:val="ru-RU"/>
              </w:rPr>
              <w:t>иј</w:t>
            </w:r>
            <w:r w:rsidRPr="00FF2F08">
              <w:rPr>
                <w:rFonts w:ascii="Times New Roman" w:hAnsi="Times New Roman"/>
                <w:sz w:val="22"/>
                <w:szCs w:val="22"/>
                <w:lang w:val="ru-RU"/>
              </w:rPr>
              <w:t xml:space="preserve">ечити </w:t>
            </w:r>
            <w:r w:rsidRPr="00FF2F08">
              <w:rPr>
                <w:rFonts w:ascii="Times New Roman" w:hAnsi="Times New Roman"/>
                <w:sz w:val="22"/>
                <w:szCs w:val="22"/>
                <w:lang w:val="ru-RU"/>
              </w:rPr>
              <w:lastRenderedPageBreak/>
              <w:t>у високо ризичним групама пацијената, нпр. код старијих пацијената, код неу</w:t>
            </w:r>
            <w:r w:rsidR="00F6198C" w:rsidRPr="00FF2F08">
              <w:rPr>
                <w:rFonts w:ascii="Times New Roman" w:hAnsi="Times New Roman"/>
                <w:sz w:val="22"/>
                <w:szCs w:val="22"/>
                <w:lang w:val="ru-RU"/>
              </w:rPr>
              <w:t>храњених  и/или код пацијената који узимају више љ</w:t>
            </w:r>
            <w:r w:rsidRPr="00FF2F08">
              <w:rPr>
                <w:rFonts w:ascii="Times New Roman" w:hAnsi="Times New Roman"/>
                <w:sz w:val="22"/>
                <w:szCs w:val="22"/>
                <w:lang w:val="ru-RU"/>
              </w:rPr>
              <w:t>екова истовремено,  код циротичних пацијената са едемима и асцитесом, код пацијената са  болестима коронарних артерија и срчаном инсуфицијенцијом. Код ових пацијената хипокал</w:t>
            </w:r>
            <w:r w:rsidR="00ED0860" w:rsidRPr="00FF2F08">
              <w:rPr>
                <w:rFonts w:ascii="Times New Roman" w:hAnsi="Times New Roman"/>
                <w:sz w:val="22"/>
                <w:szCs w:val="22"/>
                <w:lang w:val="ru-RU"/>
              </w:rPr>
              <w:t>иј</w:t>
            </w:r>
            <w:r w:rsidRPr="00FF2F08">
              <w:rPr>
                <w:rFonts w:ascii="Times New Roman" w:hAnsi="Times New Roman"/>
                <w:sz w:val="22"/>
                <w:szCs w:val="22"/>
                <w:lang w:val="ru-RU"/>
              </w:rPr>
              <w:t>емија повећава кардиотоксичност препарата дигиталиса и ризик од аритмија.</w:t>
            </w:r>
          </w:p>
          <w:p w:rsidR="00560F51" w:rsidRPr="00FF2F08" w:rsidRDefault="00560F51" w:rsidP="00476708">
            <w:pPr>
              <w:pStyle w:val="Header"/>
              <w:rPr>
                <w:rFonts w:ascii="Times New Roman" w:hAnsi="Times New Roman"/>
                <w:sz w:val="22"/>
                <w:szCs w:val="22"/>
                <w:lang w:val="ru-RU"/>
              </w:rPr>
            </w:pPr>
            <w:r w:rsidRPr="00FF2F08">
              <w:rPr>
                <w:rFonts w:ascii="Times New Roman" w:hAnsi="Times New Roman"/>
                <w:sz w:val="22"/>
                <w:szCs w:val="22"/>
                <w:lang w:val="ru-RU"/>
              </w:rPr>
              <w:t xml:space="preserve">Пацијенти са продуженим </w:t>
            </w:r>
            <w:r w:rsidRPr="00FF2F08">
              <w:rPr>
                <w:rFonts w:ascii="Times New Roman" w:hAnsi="Times New Roman"/>
                <w:sz w:val="22"/>
                <w:szCs w:val="22"/>
              </w:rPr>
              <w:t>Q</w:t>
            </w:r>
            <w:r w:rsidRPr="00FF2F08">
              <w:rPr>
                <w:rFonts w:ascii="Times New Roman" w:hAnsi="Times New Roman"/>
                <w:sz w:val="22"/>
                <w:szCs w:val="22"/>
                <w:lang w:val="ru-RU"/>
              </w:rPr>
              <w:t>Т интервалом такође су под ризиком, без обзира на то да ли је узрок</w:t>
            </w:r>
            <w:r w:rsidR="00F6198C" w:rsidRPr="00FF2F08">
              <w:rPr>
                <w:rFonts w:ascii="Times New Roman" w:hAnsi="Times New Roman"/>
                <w:sz w:val="22"/>
                <w:szCs w:val="22"/>
                <w:lang w:val="ru-RU"/>
              </w:rPr>
              <w:t xml:space="preserve"> овог стања урођен или изазван љ</w:t>
            </w:r>
            <w:r w:rsidRPr="00FF2F08">
              <w:rPr>
                <w:rFonts w:ascii="Times New Roman" w:hAnsi="Times New Roman"/>
                <w:sz w:val="22"/>
                <w:szCs w:val="22"/>
                <w:lang w:val="ru-RU"/>
              </w:rPr>
              <w:t>ековима.</w:t>
            </w:r>
            <w:r w:rsidR="0007059E" w:rsidRPr="00FF2F08">
              <w:rPr>
                <w:rFonts w:ascii="Times New Roman" w:hAnsi="Times New Roman"/>
                <w:sz w:val="22"/>
                <w:szCs w:val="22"/>
                <w:lang w:val="ru-RU"/>
              </w:rPr>
              <w:t xml:space="preserve"> </w:t>
            </w:r>
            <w:r w:rsidRPr="00FF2F08">
              <w:rPr>
                <w:rFonts w:ascii="Times New Roman" w:hAnsi="Times New Roman"/>
                <w:sz w:val="22"/>
                <w:szCs w:val="22"/>
                <w:lang w:val="ru-RU"/>
              </w:rPr>
              <w:t>Хипокал</w:t>
            </w:r>
            <w:r w:rsidR="00ED0860" w:rsidRPr="00FF2F08">
              <w:rPr>
                <w:rFonts w:ascii="Times New Roman" w:hAnsi="Times New Roman"/>
                <w:sz w:val="22"/>
                <w:szCs w:val="22"/>
                <w:lang w:val="ru-RU"/>
              </w:rPr>
              <w:t>иј</w:t>
            </w:r>
            <w:r w:rsidRPr="00FF2F08">
              <w:rPr>
                <w:rFonts w:ascii="Times New Roman" w:hAnsi="Times New Roman"/>
                <w:sz w:val="22"/>
                <w:szCs w:val="22"/>
                <w:lang w:val="ru-RU"/>
              </w:rPr>
              <w:t>емија (као и брадикардија) представља предиспонирајући фактор за појаву тешких аритмија, нарочито потенцијално фаталне аритмије типа „</w:t>
            </w:r>
            <w:r w:rsidRPr="00FF2F08">
              <w:rPr>
                <w:rFonts w:ascii="Times New Roman" w:hAnsi="Times New Roman"/>
                <w:sz w:val="22"/>
                <w:szCs w:val="22"/>
              </w:rPr>
              <w:t>torsade</w:t>
            </w:r>
            <w:r w:rsidR="00436B0A" w:rsidRPr="00FF2F08">
              <w:rPr>
                <w:rFonts w:ascii="Times New Roman" w:hAnsi="Times New Roman"/>
                <w:sz w:val="22"/>
                <w:szCs w:val="22"/>
                <w:lang w:val="mk-MK"/>
              </w:rPr>
              <w:t xml:space="preserve"> </w:t>
            </w:r>
            <w:r w:rsidRPr="00FF2F08">
              <w:rPr>
                <w:rFonts w:ascii="Times New Roman" w:hAnsi="Times New Roman"/>
                <w:sz w:val="22"/>
                <w:szCs w:val="22"/>
              </w:rPr>
              <w:t>de</w:t>
            </w:r>
            <w:r w:rsidR="00436B0A" w:rsidRPr="00FF2F08">
              <w:rPr>
                <w:rFonts w:ascii="Times New Roman" w:hAnsi="Times New Roman"/>
                <w:sz w:val="22"/>
                <w:szCs w:val="22"/>
                <w:lang w:val="mk-MK"/>
              </w:rPr>
              <w:t xml:space="preserve"> </w:t>
            </w:r>
            <w:r w:rsidRPr="00FF2F08">
              <w:rPr>
                <w:rFonts w:ascii="Times New Roman" w:hAnsi="Times New Roman"/>
                <w:sz w:val="22"/>
                <w:szCs w:val="22"/>
              </w:rPr>
              <w:t>pointes</w:t>
            </w:r>
            <w:r w:rsidRPr="00FF2F08">
              <w:rPr>
                <w:rFonts w:ascii="Times New Roman" w:hAnsi="Times New Roman"/>
                <w:sz w:val="22"/>
                <w:szCs w:val="22"/>
                <w:lang w:val="ru-RU"/>
              </w:rPr>
              <w:t>“.</w:t>
            </w:r>
          </w:p>
          <w:p w:rsidR="00560F51" w:rsidRPr="00FF2F08" w:rsidRDefault="00560F51" w:rsidP="00476708">
            <w:pPr>
              <w:pStyle w:val="Header"/>
              <w:rPr>
                <w:rFonts w:ascii="Times New Roman" w:hAnsi="Times New Roman"/>
                <w:sz w:val="22"/>
                <w:szCs w:val="22"/>
                <w:lang w:val="ru-RU"/>
              </w:rPr>
            </w:pPr>
            <w:r w:rsidRPr="00FF2F08">
              <w:rPr>
                <w:rFonts w:ascii="Times New Roman" w:hAnsi="Times New Roman"/>
                <w:sz w:val="22"/>
                <w:szCs w:val="22"/>
                <w:lang w:val="ru-RU"/>
              </w:rPr>
              <w:t>Код свих ових пацијената треба чешће пратити концентрације калијума у плазми. Прво м</w:t>
            </w:r>
            <w:r w:rsidR="00F6198C" w:rsidRPr="00FF2F08">
              <w:rPr>
                <w:rFonts w:ascii="Times New Roman" w:hAnsi="Times New Roman"/>
                <w:sz w:val="22"/>
                <w:szCs w:val="22"/>
                <w:lang w:val="ru-RU"/>
              </w:rPr>
              <w:t>ј</w:t>
            </w:r>
            <w:r w:rsidRPr="00FF2F08">
              <w:rPr>
                <w:rFonts w:ascii="Times New Roman" w:hAnsi="Times New Roman"/>
                <w:sz w:val="22"/>
                <w:szCs w:val="22"/>
                <w:lang w:val="ru-RU"/>
              </w:rPr>
              <w:t>ерење концентрације калијума у плазми ради се током прве нед</w:t>
            </w:r>
            <w:r w:rsidR="00F6198C" w:rsidRPr="00FF2F08">
              <w:rPr>
                <w:rFonts w:ascii="Times New Roman" w:hAnsi="Times New Roman"/>
                <w:sz w:val="22"/>
                <w:szCs w:val="22"/>
                <w:lang w:val="ru-RU"/>
              </w:rPr>
              <w:t>ј</w:t>
            </w:r>
            <w:r w:rsidRPr="00FF2F08">
              <w:rPr>
                <w:rFonts w:ascii="Times New Roman" w:hAnsi="Times New Roman"/>
                <w:sz w:val="22"/>
                <w:szCs w:val="22"/>
                <w:lang w:val="ru-RU"/>
              </w:rPr>
              <w:t>еље терапије.</w:t>
            </w:r>
          </w:p>
          <w:p w:rsidR="0007059E" w:rsidRPr="00FF2F08" w:rsidRDefault="00F6198C" w:rsidP="00476708">
            <w:pPr>
              <w:pStyle w:val="Header"/>
              <w:tabs>
                <w:tab w:val="clear" w:pos="4536"/>
                <w:tab w:val="clear" w:pos="9072"/>
                <w:tab w:val="left" w:pos="284"/>
              </w:tabs>
              <w:rPr>
                <w:rFonts w:ascii="Times New Roman" w:hAnsi="Times New Roman"/>
                <w:sz w:val="22"/>
                <w:szCs w:val="22"/>
                <w:lang w:val="ru-RU"/>
              </w:rPr>
            </w:pPr>
            <w:r w:rsidRPr="00FF2F08">
              <w:rPr>
                <w:rFonts w:ascii="Times New Roman" w:hAnsi="Times New Roman"/>
                <w:sz w:val="22"/>
                <w:szCs w:val="22"/>
                <w:lang w:val="ru-RU"/>
              </w:rPr>
              <w:t>Уколико се забиљ</w:t>
            </w:r>
            <w:r w:rsidR="00560F51" w:rsidRPr="00FF2F08">
              <w:rPr>
                <w:rFonts w:ascii="Times New Roman" w:hAnsi="Times New Roman"/>
                <w:sz w:val="22"/>
                <w:szCs w:val="22"/>
                <w:lang w:val="ru-RU"/>
              </w:rPr>
              <w:t xml:space="preserve">ежи ниска концентрација калијума, потребна је </w:t>
            </w:r>
            <w:r w:rsidR="005A535A" w:rsidRPr="00FF2F08">
              <w:rPr>
                <w:rFonts w:ascii="Times New Roman" w:hAnsi="Times New Roman"/>
                <w:sz w:val="22"/>
                <w:szCs w:val="22"/>
                <w:lang w:val="ru-RU"/>
              </w:rPr>
              <w:t xml:space="preserve">њена </w:t>
            </w:r>
            <w:r w:rsidR="00560F51" w:rsidRPr="00FF2F08">
              <w:rPr>
                <w:rFonts w:ascii="Times New Roman" w:hAnsi="Times New Roman"/>
                <w:sz w:val="22"/>
                <w:szCs w:val="22"/>
                <w:lang w:val="ru-RU"/>
              </w:rPr>
              <w:t>корекција.</w:t>
            </w:r>
            <w:r w:rsidR="00436B0A" w:rsidRPr="00FF2F08">
              <w:rPr>
                <w:rFonts w:ascii="Times New Roman" w:hAnsi="Times New Roman"/>
                <w:sz w:val="22"/>
                <w:szCs w:val="22"/>
                <w:lang w:val="ru-RU"/>
              </w:rPr>
              <w:t xml:space="preserve"> </w:t>
            </w:r>
          </w:p>
          <w:p w:rsidR="00560F51" w:rsidRPr="00FF2F08" w:rsidRDefault="00560F51" w:rsidP="00476708">
            <w:pPr>
              <w:pStyle w:val="NoSpacing"/>
              <w:jc w:val="both"/>
              <w:rPr>
                <w:rFonts w:ascii="Times New Roman" w:hAnsi="Times New Roman"/>
                <w:lang w:val="mk-MK"/>
              </w:rPr>
            </w:pP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w:t>
            </w:r>
            <w:r w:rsidR="00436B0A" w:rsidRPr="00FF2F08">
              <w:rPr>
                <w:rFonts w:ascii="Times New Roman" w:hAnsi="Times New Roman"/>
                <w:sz w:val="22"/>
                <w:szCs w:val="22"/>
                <w:lang w:val="mk-MK"/>
              </w:rPr>
              <w:t xml:space="preserve"> </w:t>
            </w:r>
            <w:r w:rsidRPr="00FF2F08">
              <w:rPr>
                <w:rFonts w:ascii="Times New Roman" w:hAnsi="Times New Roman"/>
                <w:sz w:val="22"/>
                <w:szCs w:val="22"/>
                <w:lang w:val="mk-MK"/>
              </w:rPr>
              <w:t>Концентрација калцијума у плазми:</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 xml:space="preserve">Тиазидни и њима сродни диуретици могу да доведу до смањене екскреције калцијума у урин, као и до благог и пролазног повећања концентрације калцијума у плазми. Значајна </w:t>
            </w:r>
            <w:r w:rsidR="00F6198C" w:rsidRPr="00FF2F08">
              <w:rPr>
                <w:rFonts w:ascii="Times New Roman" w:hAnsi="Times New Roman"/>
                <w:sz w:val="22"/>
                <w:szCs w:val="22"/>
                <w:lang w:val="mk-MK"/>
              </w:rPr>
              <w:t>хиперкалц</w:t>
            </w:r>
            <w:r w:rsidR="00ED0860" w:rsidRPr="00FF2F08">
              <w:rPr>
                <w:rFonts w:ascii="Times New Roman" w:hAnsi="Times New Roman"/>
                <w:sz w:val="22"/>
                <w:szCs w:val="22"/>
                <w:lang w:val="mk-MK"/>
              </w:rPr>
              <w:t>иј</w:t>
            </w:r>
            <w:r w:rsidR="00F6198C" w:rsidRPr="00FF2F08">
              <w:rPr>
                <w:rFonts w:ascii="Times New Roman" w:hAnsi="Times New Roman"/>
                <w:sz w:val="22"/>
                <w:szCs w:val="22"/>
                <w:lang w:val="mk-MK"/>
              </w:rPr>
              <w:t>емија може да буде посљ</w:t>
            </w:r>
            <w:r w:rsidRPr="00FF2F08">
              <w:rPr>
                <w:rFonts w:ascii="Times New Roman" w:hAnsi="Times New Roman"/>
                <w:sz w:val="22"/>
                <w:szCs w:val="22"/>
                <w:lang w:val="mk-MK"/>
              </w:rPr>
              <w:t>едица претходно непрепознатог хиперпаратиреоидизма.</w:t>
            </w:r>
          </w:p>
          <w:p w:rsidR="00560F51" w:rsidRPr="00FF2F08" w:rsidRDefault="00560F51" w:rsidP="00476708">
            <w:pPr>
              <w:pStyle w:val="Header"/>
              <w:tabs>
                <w:tab w:val="clear" w:pos="4536"/>
                <w:tab w:val="clear" w:pos="9072"/>
                <w:tab w:val="left" w:pos="284"/>
              </w:tabs>
              <w:rPr>
                <w:rFonts w:ascii="Times New Roman" w:hAnsi="Times New Roman"/>
                <w:sz w:val="22"/>
                <w:szCs w:val="22"/>
                <w:lang w:val="mk-MK"/>
              </w:rPr>
            </w:pPr>
            <w:r w:rsidRPr="00FF2F08">
              <w:rPr>
                <w:rFonts w:ascii="Times New Roman" w:hAnsi="Times New Roman"/>
                <w:sz w:val="22"/>
                <w:szCs w:val="22"/>
                <w:lang w:val="mk-MK"/>
              </w:rPr>
              <w:t>Треба прекинути са терапијом диуретицима пр</w:t>
            </w:r>
            <w:r w:rsidR="00F6198C" w:rsidRPr="00FF2F08">
              <w:rPr>
                <w:rFonts w:ascii="Times New Roman" w:hAnsi="Times New Roman"/>
                <w:sz w:val="22"/>
                <w:szCs w:val="22"/>
                <w:lang w:val="mk-MK"/>
              </w:rPr>
              <w:t>иј</w:t>
            </w:r>
            <w:r w:rsidRPr="00FF2F08">
              <w:rPr>
                <w:rFonts w:ascii="Times New Roman" w:hAnsi="Times New Roman"/>
                <w:sz w:val="22"/>
                <w:szCs w:val="22"/>
                <w:lang w:val="mk-MK"/>
              </w:rPr>
              <w:t>е испитивања паратироидне функције.</w:t>
            </w:r>
          </w:p>
          <w:p w:rsidR="00560F51" w:rsidRPr="00FF2F08" w:rsidRDefault="00560F51" w:rsidP="00476708">
            <w:pPr>
              <w:pStyle w:val="Header"/>
              <w:tabs>
                <w:tab w:val="clear" w:pos="4536"/>
                <w:tab w:val="clear" w:pos="9072"/>
                <w:tab w:val="left" w:pos="284"/>
              </w:tabs>
              <w:rPr>
                <w:rFonts w:ascii="Times New Roman" w:hAnsi="Times New Roman"/>
                <w:sz w:val="22"/>
                <w:szCs w:val="22"/>
                <w:lang w:val="mk-MK"/>
              </w:rPr>
            </w:pPr>
          </w:p>
          <w:p w:rsidR="00560F51" w:rsidRPr="00FF2F08" w:rsidRDefault="00560F51" w:rsidP="00476708">
            <w:pPr>
              <w:pStyle w:val="Header"/>
              <w:rPr>
                <w:rFonts w:ascii="Times New Roman" w:hAnsi="Times New Roman"/>
                <w:b/>
                <w:sz w:val="22"/>
                <w:szCs w:val="22"/>
                <w:lang w:val="mk-MK"/>
              </w:rPr>
            </w:pPr>
            <w:r w:rsidRPr="00FF2F08">
              <w:rPr>
                <w:rFonts w:ascii="Times New Roman" w:hAnsi="Times New Roman"/>
                <w:b/>
                <w:sz w:val="22"/>
                <w:szCs w:val="22"/>
                <w:lang w:val="mk-MK"/>
              </w:rPr>
              <w:t>Концентрација глукозе у крви</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Праћење концентрације глукозе у крви је важно код дијабетичара, нарочито ако је присутна хипокал</w:t>
            </w:r>
            <w:r w:rsidR="00ED0860" w:rsidRPr="00FF2F08">
              <w:rPr>
                <w:rFonts w:ascii="Times New Roman" w:hAnsi="Times New Roman"/>
                <w:sz w:val="22"/>
                <w:szCs w:val="22"/>
                <w:lang w:val="mk-MK"/>
              </w:rPr>
              <w:t>иј</w:t>
            </w:r>
            <w:r w:rsidRPr="00FF2F08">
              <w:rPr>
                <w:rFonts w:ascii="Times New Roman" w:hAnsi="Times New Roman"/>
                <w:sz w:val="22"/>
                <w:szCs w:val="22"/>
                <w:lang w:val="mk-MK"/>
              </w:rPr>
              <w:t>емија.</w:t>
            </w:r>
          </w:p>
          <w:p w:rsidR="00560F51" w:rsidRPr="00FF2F08" w:rsidRDefault="00560F51" w:rsidP="00476708">
            <w:pPr>
              <w:pStyle w:val="Header"/>
              <w:rPr>
                <w:rFonts w:ascii="Times New Roman" w:hAnsi="Times New Roman"/>
                <w:sz w:val="22"/>
                <w:szCs w:val="22"/>
                <w:lang w:val="mk-MK"/>
              </w:rPr>
            </w:pPr>
          </w:p>
          <w:p w:rsidR="00560F51" w:rsidRPr="00FF2F08" w:rsidRDefault="00560F51" w:rsidP="00476708">
            <w:pPr>
              <w:pStyle w:val="Header"/>
              <w:rPr>
                <w:rFonts w:ascii="Times New Roman" w:hAnsi="Times New Roman"/>
                <w:b/>
                <w:sz w:val="22"/>
                <w:szCs w:val="22"/>
                <w:lang w:val="mk-MK"/>
              </w:rPr>
            </w:pPr>
            <w:r w:rsidRPr="00FF2F08">
              <w:rPr>
                <w:rFonts w:ascii="Times New Roman" w:hAnsi="Times New Roman"/>
                <w:b/>
                <w:sz w:val="22"/>
                <w:szCs w:val="22"/>
                <w:lang w:val="mk-MK"/>
              </w:rPr>
              <w:t>Концентрација мокраћне кис</w:t>
            </w:r>
            <w:r w:rsidR="00F6198C" w:rsidRPr="00FF2F08">
              <w:rPr>
                <w:rFonts w:ascii="Times New Roman" w:hAnsi="Times New Roman"/>
                <w:b/>
                <w:sz w:val="22"/>
                <w:szCs w:val="22"/>
                <w:lang w:val="mk-MK"/>
              </w:rPr>
              <w:t>ј</w:t>
            </w:r>
            <w:r w:rsidRPr="00FF2F08">
              <w:rPr>
                <w:rFonts w:ascii="Times New Roman" w:hAnsi="Times New Roman"/>
                <w:b/>
                <w:sz w:val="22"/>
                <w:szCs w:val="22"/>
                <w:lang w:val="mk-MK"/>
              </w:rPr>
              <w:t>елине</w:t>
            </w:r>
          </w:p>
          <w:p w:rsidR="00560F51" w:rsidRPr="00FF2F08" w:rsidRDefault="00560F51" w:rsidP="00476708">
            <w:pPr>
              <w:pStyle w:val="Header"/>
              <w:tabs>
                <w:tab w:val="clear" w:pos="4536"/>
                <w:tab w:val="clear" w:pos="9072"/>
                <w:tab w:val="left" w:pos="284"/>
              </w:tabs>
              <w:rPr>
                <w:rFonts w:ascii="Times New Roman" w:hAnsi="Times New Roman"/>
                <w:sz w:val="22"/>
                <w:szCs w:val="22"/>
                <w:lang w:val="mk-MK"/>
              </w:rPr>
            </w:pPr>
            <w:r w:rsidRPr="00FF2F08">
              <w:rPr>
                <w:rFonts w:ascii="Times New Roman" w:hAnsi="Times New Roman"/>
                <w:sz w:val="22"/>
                <w:szCs w:val="22"/>
                <w:lang w:val="mk-MK"/>
              </w:rPr>
              <w:t>Хиперурикемични пацијенти имају повећану склоност ка нападима гихта.</w:t>
            </w:r>
          </w:p>
          <w:p w:rsidR="00560F51" w:rsidRPr="00FF2F08" w:rsidRDefault="00560F51" w:rsidP="00476708">
            <w:pPr>
              <w:pStyle w:val="Header"/>
              <w:tabs>
                <w:tab w:val="clear" w:pos="4536"/>
                <w:tab w:val="clear" w:pos="9072"/>
                <w:tab w:val="left" w:pos="284"/>
              </w:tabs>
              <w:rPr>
                <w:rFonts w:ascii="Times New Roman" w:hAnsi="Times New Roman"/>
                <w:sz w:val="22"/>
                <w:szCs w:val="22"/>
                <w:lang w:val="mk-MK"/>
              </w:rPr>
            </w:pPr>
          </w:p>
          <w:p w:rsidR="00560F51" w:rsidRPr="00FF2F08" w:rsidRDefault="00560F51" w:rsidP="00476708">
            <w:pPr>
              <w:pStyle w:val="Header"/>
              <w:rPr>
                <w:rFonts w:ascii="Times New Roman" w:hAnsi="Times New Roman"/>
                <w:b/>
                <w:sz w:val="22"/>
                <w:szCs w:val="22"/>
                <w:lang w:val="mk-MK"/>
              </w:rPr>
            </w:pPr>
            <w:r w:rsidRPr="00FF2F08">
              <w:rPr>
                <w:rFonts w:ascii="Times New Roman" w:hAnsi="Times New Roman"/>
                <w:b/>
                <w:sz w:val="22"/>
                <w:szCs w:val="22"/>
                <w:lang w:val="mk-MK"/>
              </w:rPr>
              <w:t>Бубрежна функција и диуретици</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 xml:space="preserve">Тиазидни и њима сродни диуретици максимално су ефикасни само када је функција бубрега нормална или </w:t>
            </w:r>
            <w:r w:rsidR="00ED0860" w:rsidRPr="00FF2F08">
              <w:rPr>
                <w:rFonts w:ascii="Times New Roman" w:hAnsi="Times New Roman"/>
                <w:sz w:val="22"/>
                <w:szCs w:val="22"/>
                <w:lang w:val="mk-MK"/>
              </w:rPr>
              <w:t xml:space="preserve">незнатно </w:t>
            </w:r>
            <w:r w:rsidRPr="00FF2F08">
              <w:rPr>
                <w:rFonts w:ascii="Times New Roman" w:hAnsi="Times New Roman"/>
                <w:sz w:val="22"/>
                <w:szCs w:val="22"/>
                <w:lang w:val="mk-MK"/>
              </w:rPr>
              <w:t>оштећена (ниво креатинина у плазми испод 25 mg/l, тј. 220 µmol/l код одраслих). Код старијих пацијената ове вр</w:t>
            </w:r>
            <w:r w:rsidR="0014194B" w:rsidRPr="00FF2F08">
              <w:rPr>
                <w:rFonts w:ascii="Times New Roman" w:hAnsi="Times New Roman"/>
                <w:sz w:val="22"/>
                <w:szCs w:val="22"/>
                <w:lang w:val="mk-MK"/>
              </w:rPr>
              <w:t>иј</w:t>
            </w:r>
            <w:r w:rsidRPr="00FF2F08">
              <w:rPr>
                <w:rFonts w:ascii="Times New Roman" w:hAnsi="Times New Roman"/>
                <w:sz w:val="22"/>
                <w:szCs w:val="22"/>
                <w:lang w:val="mk-MK"/>
              </w:rPr>
              <w:t>едности креатинина у плазми треба прилагодити у зависности од година старости, т</w:t>
            </w:r>
            <w:r w:rsidR="0014194B" w:rsidRPr="00FF2F08">
              <w:rPr>
                <w:rFonts w:ascii="Times New Roman" w:hAnsi="Times New Roman"/>
                <w:sz w:val="22"/>
                <w:szCs w:val="22"/>
                <w:lang w:val="mk-MK"/>
              </w:rPr>
              <w:t>ј</w:t>
            </w:r>
            <w:r w:rsidRPr="00FF2F08">
              <w:rPr>
                <w:rFonts w:ascii="Times New Roman" w:hAnsi="Times New Roman"/>
                <w:sz w:val="22"/>
                <w:szCs w:val="22"/>
                <w:lang w:val="mk-MK"/>
              </w:rPr>
              <w:t xml:space="preserve">елесне </w:t>
            </w:r>
            <w:r w:rsidR="00ED0860" w:rsidRPr="00FF2F08">
              <w:rPr>
                <w:rFonts w:ascii="Times New Roman" w:hAnsi="Times New Roman"/>
                <w:sz w:val="22"/>
                <w:szCs w:val="22"/>
                <w:lang w:val="mk-MK"/>
              </w:rPr>
              <w:t xml:space="preserve">масе </w:t>
            </w:r>
            <w:r w:rsidRPr="00FF2F08">
              <w:rPr>
                <w:rFonts w:ascii="Times New Roman" w:hAnsi="Times New Roman"/>
                <w:sz w:val="22"/>
                <w:szCs w:val="22"/>
                <w:lang w:val="mk-MK"/>
              </w:rPr>
              <w:t>и пола.</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 xml:space="preserve">Хиповолемија, </w:t>
            </w:r>
            <w:r w:rsidR="0014194B" w:rsidRPr="00FF2F08">
              <w:rPr>
                <w:rFonts w:ascii="Times New Roman" w:hAnsi="Times New Roman"/>
                <w:sz w:val="22"/>
                <w:szCs w:val="22"/>
                <w:lang w:val="mk-MK"/>
              </w:rPr>
              <w:t>која настаје секундарно као посљ</w:t>
            </w:r>
            <w:r w:rsidRPr="00FF2F08">
              <w:rPr>
                <w:rFonts w:ascii="Times New Roman" w:hAnsi="Times New Roman"/>
                <w:sz w:val="22"/>
                <w:szCs w:val="22"/>
                <w:lang w:val="mk-MK"/>
              </w:rPr>
              <w:t>едица губитка воде и натријума због дејства диуретика, на почетку терапије доводи до смањења гломеруларне филтрације. Ово може да доведе до повећања концентрације урее и креатинина у плазми. Та пролазна бубрежна и</w:t>
            </w:r>
            <w:r w:rsidR="0014194B" w:rsidRPr="00FF2F08">
              <w:rPr>
                <w:rFonts w:ascii="Times New Roman" w:hAnsi="Times New Roman"/>
                <w:sz w:val="22"/>
                <w:szCs w:val="22"/>
                <w:lang w:val="mk-MK"/>
              </w:rPr>
              <w:t>нсуфицијенција не доводи до посљ</w:t>
            </w:r>
            <w:r w:rsidRPr="00FF2F08">
              <w:rPr>
                <w:rFonts w:ascii="Times New Roman" w:hAnsi="Times New Roman"/>
                <w:sz w:val="22"/>
                <w:szCs w:val="22"/>
                <w:lang w:val="mk-MK"/>
              </w:rPr>
              <w:t>едица код пацијената са нормалном бубрежном функцијом, али може да погорша инсуфицијенцију која је претходно постојала.</w:t>
            </w:r>
          </w:p>
          <w:p w:rsidR="00560F51" w:rsidRPr="00FF2F08" w:rsidRDefault="00560F51" w:rsidP="00476708">
            <w:pPr>
              <w:pStyle w:val="Header"/>
              <w:tabs>
                <w:tab w:val="clear" w:pos="4536"/>
                <w:tab w:val="clear" w:pos="9072"/>
                <w:tab w:val="left" w:pos="284"/>
              </w:tabs>
              <w:rPr>
                <w:rFonts w:ascii="Times New Roman" w:hAnsi="Times New Roman"/>
                <w:sz w:val="22"/>
                <w:szCs w:val="22"/>
                <w:lang w:val="mk-MK"/>
              </w:rPr>
            </w:pPr>
          </w:p>
          <w:p w:rsidR="00560F51" w:rsidRPr="00FF2F08" w:rsidRDefault="00560F51" w:rsidP="00476708">
            <w:pPr>
              <w:pStyle w:val="Header"/>
              <w:rPr>
                <w:rFonts w:ascii="Times New Roman" w:hAnsi="Times New Roman"/>
                <w:b/>
                <w:sz w:val="22"/>
                <w:szCs w:val="22"/>
                <w:lang w:val="mk-MK"/>
              </w:rPr>
            </w:pPr>
            <w:r w:rsidRPr="00FF2F08">
              <w:rPr>
                <w:rFonts w:ascii="Times New Roman" w:hAnsi="Times New Roman"/>
                <w:b/>
                <w:sz w:val="22"/>
                <w:szCs w:val="22"/>
                <w:lang w:val="mk-MK"/>
              </w:rPr>
              <w:t>Спортисти</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Спортисти би требало да знају да овај л</w:t>
            </w:r>
            <w:r w:rsidR="0014194B" w:rsidRPr="00FF2F08">
              <w:rPr>
                <w:rFonts w:ascii="Times New Roman" w:hAnsi="Times New Roman"/>
                <w:sz w:val="22"/>
                <w:szCs w:val="22"/>
                <w:lang w:val="mk-MK"/>
              </w:rPr>
              <w:t>иј</w:t>
            </w:r>
            <w:r w:rsidRPr="00FF2F08">
              <w:rPr>
                <w:rFonts w:ascii="Times New Roman" w:hAnsi="Times New Roman"/>
                <w:sz w:val="22"/>
                <w:szCs w:val="22"/>
                <w:lang w:val="mk-MK"/>
              </w:rPr>
              <w:t>ек садржи супстанце које могу да дају позитивну реакцију на допинг тесту.</w:t>
            </w:r>
          </w:p>
          <w:p w:rsidR="003D1146" w:rsidRPr="00FF2F08" w:rsidRDefault="003D1146" w:rsidP="00476708">
            <w:pPr>
              <w:pStyle w:val="Header"/>
              <w:rPr>
                <w:rFonts w:ascii="Times New Roman" w:hAnsi="Times New Roman"/>
                <w:sz w:val="22"/>
                <w:szCs w:val="22"/>
                <w:lang w:val="sr-Cyrl-CS"/>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lastRenderedPageBreak/>
              <w:t>4.5. Интеракције са другим љековима и друге врсте интеракција</w:t>
            </w:r>
          </w:p>
        </w:tc>
      </w:tr>
      <w:tr w:rsidR="00B0540F" w:rsidRPr="00FF2F08" w:rsidTr="00865739">
        <w:trPr>
          <w:trHeight w:val="1145"/>
        </w:trPr>
        <w:tc>
          <w:tcPr>
            <w:tcW w:w="9356" w:type="dxa"/>
            <w:gridSpan w:val="4"/>
            <w:vAlign w:val="center"/>
          </w:tcPr>
          <w:p w:rsidR="00467F7A" w:rsidRPr="00FF2F08" w:rsidRDefault="0014194B" w:rsidP="00476708">
            <w:pPr>
              <w:pStyle w:val="Header"/>
              <w:rPr>
                <w:rFonts w:ascii="Times New Roman" w:hAnsi="Times New Roman"/>
                <w:sz w:val="22"/>
                <w:szCs w:val="22"/>
                <w:u w:val="single"/>
                <w:lang w:val="mk-MK"/>
              </w:rPr>
            </w:pPr>
            <w:r w:rsidRPr="00FF2F08">
              <w:rPr>
                <w:rFonts w:ascii="Times New Roman" w:hAnsi="Times New Roman"/>
                <w:sz w:val="22"/>
                <w:szCs w:val="22"/>
                <w:u w:val="single"/>
                <w:lang w:val="mk-MK"/>
              </w:rPr>
              <w:t>Комбинације љ</w:t>
            </w:r>
            <w:r w:rsidR="00560F51" w:rsidRPr="00FF2F08">
              <w:rPr>
                <w:rFonts w:ascii="Times New Roman" w:hAnsi="Times New Roman"/>
                <w:sz w:val="22"/>
                <w:szCs w:val="22"/>
                <w:u w:val="single"/>
                <w:lang w:val="mk-MK"/>
              </w:rPr>
              <w:t>екова које се не препоручују</w:t>
            </w:r>
          </w:p>
          <w:p w:rsidR="00560F51" w:rsidRPr="00FF2F08" w:rsidRDefault="00560F51" w:rsidP="00476708">
            <w:pPr>
              <w:pStyle w:val="Header"/>
              <w:rPr>
                <w:rFonts w:ascii="Times New Roman" w:hAnsi="Times New Roman"/>
                <w:b/>
                <w:sz w:val="22"/>
                <w:szCs w:val="22"/>
                <w:lang w:val="mk-MK"/>
              </w:rPr>
            </w:pPr>
            <w:r w:rsidRPr="00FF2F08">
              <w:rPr>
                <w:rFonts w:ascii="Times New Roman" w:hAnsi="Times New Roman"/>
                <w:b/>
                <w:sz w:val="22"/>
                <w:szCs w:val="22"/>
                <w:lang w:val="mk-MK"/>
              </w:rPr>
              <w:t>Литијум:</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Истовремена употреба литијума може да доведе до повећања концентрације литијума у плазми са знацима предозирања, као и у случају дијете са смањеним уносом натријума (смањена екскреција литијума урин</w:t>
            </w:r>
            <w:r w:rsidR="00DB7806" w:rsidRPr="00FF2F08">
              <w:rPr>
                <w:rFonts w:ascii="Times New Roman" w:hAnsi="Times New Roman"/>
                <w:sz w:val="22"/>
                <w:szCs w:val="22"/>
                <w:lang w:val="mk-MK"/>
              </w:rPr>
              <w:t>ом</w:t>
            </w:r>
            <w:r w:rsidRPr="00FF2F08">
              <w:rPr>
                <w:rFonts w:ascii="Times New Roman" w:hAnsi="Times New Roman"/>
                <w:sz w:val="22"/>
                <w:szCs w:val="22"/>
                <w:lang w:val="mk-MK"/>
              </w:rPr>
              <w:t>). Међутим, уколико је неопходн</w:t>
            </w:r>
            <w:r w:rsidR="0014194B" w:rsidRPr="00FF2F08">
              <w:rPr>
                <w:rFonts w:ascii="Times New Roman" w:hAnsi="Times New Roman"/>
                <w:sz w:val="22"/>
                <w:szCs w:val="22"/>
                <w:lang w:val="mk-MK"/>
              </w:rPr>
              <w:t>а</w:t>
            </w:r>
            <w:r w:rsidRPr="00FF2F08">
              <w:rPr>
                <w:rFonts w:ascii="Times New Roman" w:hAnsi="Times New Roman"/>
                <w:sz w:val="22"/>
                <w:szCs w:val="22"/>
                <w:lang w:val="mk-MK"/>
              </w:rPr>
              <w:t xml:space="preserve"> употреба диуретика у терапији, </w:t>
            </w:r>
            <w:r w:rsidRPr="00FF2F08">
              <w:rPr>
                <w:rFonts w:ascii="Times New Roman" w:hAnsi="Times New Roman"/>
                <w:sz w:val="22"/>
                <w:szCs w:val="22"/>
                <w:lang w:val="mk-MK"/>
              </w:rPr>
              <w:lastRenderedPageBreak/>
              <w:t>потребно је пажљиво пратити концентрацију литијума у плазми и прилагодити дозу уколико је то неопходно.</w:t>
            </w:r>
          </w:p>
          <w:p w:rsidR="00467F7A" w:rsidRPr="00FF2F08" w:rsidRDefault="0014194B" w:rsidP="00476708">
            <w:pPr>
              <w:pStyle w:val="Header"/>
              <w:rPr>
                <w:rFonts w:ascii="Times New Roman" w:hAnsi="Times New Roman"/>
                <w:sz w:val="22"/>
                <w:szCs w:val="22"/>
                <w:u w:val="single"/>
                <w:lang w:val="mk-MK"/>
              </w:rPr>
            </w:pPr>
            <w:r w:rsidRPr="00FF2F08">
              <w:rPr>
                <w:rFonts w:ascii="Times New Roman" w:hAnsi="Times New Roman"/>
                <w:sz w:val="22"/>
                <w:szCs w:val="22"/>
                <w:u w:val="single"/>
                <w:lang w:val="mk-MK"/>
              </w:rPr>
              <w:t>Комбинације љ</w:t>
            </w:r>
            <w:r w:rsidR="00560F51" w:rsidRPr="00FF2F08">
              <w:rPr>
                <w:rFonts w:ascii="Times New Roman" w:hAnsi="Times New Roman"/>
                <w:sz w:val="22"/>
                <w:szCs w:val="22"/>
                <w:u w:val="single"/>
                <w:lang w:val="mk-MK"/>
              </w:rPr>
              <w:t>екова које захт</w:t>
            </w:r>
            <w:r w:rsidRPr="00FF2F08">
              <w:rPr>
                <w:rFonts w:ascii="Times New Roman" w:hAnsi="Times New Roman"/>
                <w:sz w:val="22"/>
                <w:szCs w:val="22"/>
                <w:u w:val="single"/>
                <w:lang w:val="mk-MK"/>
              </w:rPr>
              <w:t>иј</w:t>
            </w:r>
            <w:r w:rsidR="00560F51" w:rsidRPr="00FF2F08">
              <w:rPr>
                <w:rFonts w:ascii="Times New Roman" w:hAnsi="Times New Roman"/>
                <w:sz w:val="22"/>
                <w:szCs w:val="22"/>
                <w:u w:val="single"/>
                <w:lang w:val="mk-MK"/>
              </w:rPr>
              <w:t>евају посебан опрез</w:t>
            </w:r>
          </w:p>
          <w:p w:rsidR="00560F51" w:rsidRPr="00FF2F08" w:rsidRDefault="0014194B" w:rsidP="00476708">
            <w:pPr>
              <w:pStyle w:val="Header"/>
              <w:rPr>
                <w:rFonts w:ascii="Times New Roman" w:hAnsi="Times New Roman"/>
                <w:b/>
                <w:sz w:val="22"/>
                <w:szCs w:val="22"/>
              </w:rPr>
            </w:pPr>
            <w:r w:rsidRPr="00FF2F08">
              <w:rPr>
                <w:rFonts w:ascii="Times New Roman" w:hAnsi="Times New Roman"/>
                <w:b/>
                <w:sz w:val="22"/>
                <w:szCs w:val="22"/>
              </w:rPr>
              <w:t>Љ</w:t>
            </w:r>
            <w:r w:rsidR="00560F51" w:rsidRPr="00FF2F08">
              <w:rPr>
                <w:rFonts w:ascii="Times New Roman" w:hAnsi="Times New Roman"/>
                <w:b/>
                <w:sz w:val="22"/>
                <w:szCs w:val="22"/>
              </w:rPr>
              <w:t>екови који изазивају „torsades de pointes“:</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 антиаритмици класе</w:t>
            </w:r>
            <w:r w:rsidR="0007059E" w:rsidRPr="00FF2F08">
              <w:rPr>
                <w:rFonts w:ascii="Times New Roman" w:hAnsi="Times New Roman"/>
                <w:sz w:val="22"/>
                <w:szCs w:val="22"/>
              </w:rPr>
              <w:t xml:space="preserve"> </w:t>
            </w:r>
            <w:r w:rsidRPr="00FF2F08">
              <w:rPr>
                <w:rFonts w:ascii="Times New Roman" w:hAnsi="Times New Roman"/>
                <w:sz w:val="22"/>
                <w:szCs w:val="22"/>
              </w:rPr>
              <w:t>Iа (хинидин, хидрохинидин, дисопирамид),</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 антиаритмици класе III  (амјодарон, соталол, дофетилид, ибутилид),</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 xml:space="preserve">- неки антипсихотици: </w:t>
            </w:r>
          </w:p>
          <w:p w:rsidR="00560F51" w:rsidRPr="00FF2F08" w:rsidRDefault="00560F51" w:rsidP="00865739">
            <w:pPr>
              <w:pStyle w:val="Header"/>
              <w:numPr>
                <w:ilvl w:val="0"/>
                <w:numId w:val="11"/>
              </w:numPr>
              <w:tabs>
                <w:tab w:val="clear" w:pos="4536"/>
                <w:tab w:val="center" w:pos="318"/>
              </w:tabs>
              <w:ind w:left="0" w:firstLine="0"/>
              <w:rPr>
                <w:rFonts w:ascii="Times New Roman" w:hAnsi="Times New Roman"/>
                <w:sz w:val="22"/>
                <w:szCs w:val="22"/>
              </w:rPr>
            </w:pPr>
            <w:r w:rsidRPr="00FF2F08">
              <w:rPr>
                <w:rFonts w:ascii="Times New Roman" w:hAnsi="Times New Roman"/>
                <w:sz w:val="22"/>
                <w:szCs w:val="22"/>
              </w:rPr>
              <w:t>фенотиазини (хлорпромазин, циамемазин, левомепромазин, тиоридазин, трифлуоперазин),</w:t>
            </w:r>
          </w:p>
          <w:p w:rsidR="00560F51" w:rsidRPr="00FF2F08" w:rsidRDefault="00560F51" w:rsidP="00865739">
            <w:pPr>
              <w:pStyle w:val="Header"/>
              <w:numPr>
                <w:ilvl w:val="0"/>
                <w:numId w:val="11"/>
              </w:numPr>
              <w:tabs>
                <w:tab w:val="clear" w:pos="4536"/>
                <w:tab w:val="center" w:pos="318"/>
              </w:tabs>
              <w:ind w:left="0" w:firstLine="0"/>
              <w:rPr>
                <w:rFonts w:ascii="Times New Roman" w:hAnsi="Times New Roman"/>
                <w:sz w:val="22"/>
                <w:szCs w:val="22"/>
              </w:rPr>
            </w:pPr>
            <w:r w:rsidRPr="00FF2F08">
              <w:rPr>
                <w:rFonts w:ascii="Times New Roman" w:hAnsi="Times New Roman"/>
                <w:sz w:val="22"/>
                <w:szCs w:val="22"/>
              </w:rPr>
              <w:t>бензамиди (амисулприд, сулпирид, султоприд, тиаприд),</w:t>
            </w:r>
          </w:p>
          <w:p w:rsidR="00560F51" w:rsidRPr="00FF2F08" w:rsidRDefault="00560F51" w:rsidP="00865739">
            <w:pPr>
              <w:pStyle w:val="Header"/>
              <w:numPr>
                <w:ilvl w:val="0"/>
                <w:numId w:val="11"/>
              </w:numPr>
              <w:tabs>
                <w:tab w:val="clear" w:pos="4536"/>
                <w:tab w:val="center" w:pos="318"/>
              </w:tabs>
              <w:ind w:left="0" w:firstLine="0"/>
              <w:rPr>
                <w:rFonts w:ascii="Times New Roman" w:hAnsi="Times New Roman"/>
                <w:sz w:val="22"/>
                <w:szCs w:val="22"/>
              </w:rPr>
            </w:pPr>
            <w:r w:rsidRPr="00FF2F08">
              <w:rPr>
                <w:rFonts w:ascii="Times New Roman" w:hAnsi="Times New Roman"/>
                <w:sz w:val="22"/>
                <w:szCs w:val="22"/>
              </w:rPr>
              <w:t>бутирофенони (дроперидол, халоперидол),</w:t>
            </w:r>
          </w:p>
          <w:p w:rsidR="00560F51" w:rsidRPr="00FF2F08" w:rsidRDefault="00560F51" w:rsidP="00865739">
            <w:pPr>
              <w:pStyle w:val="Header"/>
              <w:numPr>
                <w:ilvl w:val="0"/>
                <w:numId w:val="11"/>
              </w:numPr>
              <w:tabs>
                <w:tab w:val="clear" w:pos="4536"/>
                <w:tab w:val="center" w:pos="318"/>
              </w:tabs>
              <w:ind w:left="0" w:firstLine="0"/>
              <w:rPr>
                <w:rFonts w:ascii="Times New Roman" w:hAnsi="Times New Roman"/>
                <w:sz w:val="22"/>
                <w:szCs w:val="22"/>
              </w:rPr>
            </w:pPr>
            <w:r w:rsidRPr="00FF2F08">
              <w:rPr>
                <w:rFonts w:ascii="Times New Roman" w:hAnsi="Times New Roman"/>
                <w:sz w:val="22"/>
                <w:szCs w:val="22"/>
              </w:rPr>
              <w:t>други: бепридил, цисаприд, дифеманил, еритромицин IV, халофантрин, мизоластин, пентамидин, спарфлоксацин, моксифлоксацин, винкамин IV.</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Истовремена употре</w:t>
            </w:r>
            <w:r w:rsidR="0014194B" w:rsidRPr="00FF2F08">
              <w:rPr>
                <w:rFonts w:ascii="Times New Roman" w:hAnsi="Times New Roman"/>
                <w:sz w:val="22"/>
                <w:szCs w:val="22"/>
              </w:rPr>
              <w:t>ба индапамида са неким од ових љ</w:t>
            </w:r>
            <w:r w:rsidRPr="00FF2F08">
              <w:rPr>
                <w:rFonts w:ascii="Times New Roman" w:hAnsi="Times New Roman"/>
                <w:sz w:val="22"/>
                <w:szCs w:val="22"/>
              </w:rPr>
              <w:t>екова, нарочито ако је присутна хипокал</w:t>
            </w:r>
            <w:r w:rsidR="00DB7806" w:rsidRPr="00FF2F08">
              <w:rPr>
                <w:rFonts w:ascii="Times New Roman" w:hAnsi="Times New Roman"/>
                <w:sz w:val="22"/>
                <w:szCs w:val="22"/>
                <w:lang w:val="sr-Cyrl-RS"/>
              </w:rPr>
              <w:t>иј</w:t>
            </w:r>
            <w:r w:rsidRPr="00FF2F08">
              <w:rPr>
                <w:rFonts w:ascii="Times New Roman" w:hAnsi="Times New Roman"/>
                <w:sz w:val="22"/>
                <w:szCs w:val="22"/>
              </w:rPr>
              <w:t>емија, повећава ризик појаве вентрикуларних аритмија, пр</w:t>
            </w:r>
            <w:r w:rsidR="0014194B" w:rsidRPr="00FF2F08">
              <w:rPr>
                <w:rFonts w:ascii="Times New Roman" w:hAnsi="Times New Roman"/>
                <w:sz w:val="22"/>
                <w:szCs w:val="22"/>
              </w:rPr>
              <w:t>иј</w:t>
            </w:r>
            <w:r w:rsidRPr="00FF2F08">
              <w:rPr>
                <w:rFonts w:ascii="Times New Roman" w:hAnsi="Times New Roman"/>
                <w:sz w:val="22"/>
                <w:szCs w:val="22"/>
              </w:rPr>
              <w:t xml:space="preserve">е свега </w:t>
            </w:r>
            <w:r w:rsidR="006D53C2" w:rsidRPr="00FF2F08">
              <w:rPr>
                <w:rFonts w:ascii="Times New Roman" w:hAnsi="Times New Roman"/>
                <w:sz w:val="22"/>
                <w:szCs w:val="22"/>
                <w:lang w:val="mk-MK"/>
              </w:rPr>
              <w:t>„</w:t>
            </w:r>
            <w:r w:rsidRPr="00FF2F08">
              <w:rPr>
                <w:rFonts w:ascii="Times New Roman" w:hAnsi="Times New Roman"/>
                <w:sz w:val="22"/>
                <w:szCs w:val="22"/>
              </w:rPr>
              <w:t>torsades de pointes</w:t>
            </w:r>
            <w:r w:rsidR="006D53C2" w:rsidRPr="00FF2F08">
              <w:rPr>
                <w:rFonts w:ascii="Times New Roman" w:hAnsi="Times New Roman"/>
                <w:sz w:val="22"/>
                <w:szCs w:val="22"/>
                <w:lang w:val="mk-MK"/>
              </w:rPr>
              <w:t>“</w:t>
            </w:r>
            <w:r w:rsidRPr="00FF2F08">
              <w:rPr>
                <w:rFonts w:ascii="Times New Roman" w:hAnsi="Times New Roman"/>
                <w:sz w:val="22"/>
                <w:szCs w:val="22"/>
              </w:rPr>
              <w:t>.</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Препоручује се испитивање, ако је потребно и кориговање хипокал</w:t>
            </w:r>
            <w:r w:rsidR="00DB7806" w:rsidRPr="00FF2F08">
              <w:rPr>
                <w:rFonts w:ascii="Times New Roman" w:hAnsi="Times New Roman"/>
                <w:sz w:val="22"/>
                <w:szCs w:val="22"/>
                <w:lang w:val="sr-Cyrl-RS"/>
              </w:rPr>
              <w:t>иј</w:t>
            </w:r>
            <w:r w:rsidRPr="00FF2F08">
              <w:rPr>
                <w:rFonts w:ascii="Times New Roman" w:hAnsi="Times New Roman"/>
                <w:sz w:val="22"/>
                <w:szCs w:val="22"/>
              </w:rPr>
              <w:t>емије</w:t>
            </w:r>
            <w:r w:rsidR="0007059E" w:rsidRPr="00FF2F08">
              <w:rPr>
                <w:rFonts w:ascii="Times New Roman" w:hAnsi="Times New Roman"/>
                <w:sz w:val="22"/>
                <w:szCs w:val="22"/>
              </w:rPr>
              <w:t>,</w:t>
            </w:r>
            <w:r w:rsidRPr="00FF2F08">
              <w:rPr>
                <w:rFonts w:ascii="Times New Roman" w:hAnsi="Times New Roman"/>
                <w:sz w:val="22"/>
                <w:szCs w:val="22"/>
              </w:rPr>
              <w:t xml:space="preserve"> пр</w:t>
            </w:r>
            <w:r w:rsidR="00E010E8" w:rsidRPr="00FF2F08">
              <w:rPr>
                <w:rFonts w:ascii="Times New Roman" w:hAnsi="Times New Roman"/>
                <w:sz w:val="22"/>
                <w:szCs w:val="22"/>
              </w:rPr>
              <w:t>иј</w:t>
            </w:r>
            <w:r w:rsidRPr="00FF2F08">
              <w:rPr>
                <w:rFonts w:ascii="Times New Roman" w:hAnsi="Times New Roman"/>
                <w:sz w:val="22"/>
                <w:szCs w:val="22"/>
              </w:rPr>
              <w:t xml:space="preserve">е започињања терапије. Потребно је клиничко праћење, праћење електролита у плазми и EKG праћење </w:t>
            </w:r>
            <w:r w:rsidR="00E010E8" w:rsidRPr="00FF2F08">
              <w:rPr>
                <w:rFonts w:ascii="Times New Roman" w:hAnsi="Times New Roman"/>
                <w:sz w:val="22"/>
                <w:szCs w:val="22"/>
              </w:rPr>
              <w:t>при истовременој употреби ових љ</w:t>
            </w:r>
            <w:r w:rsidRPr="00FF2F08">
              <w:rPr>
                <w:rFonts w:ascii="Times New Roman" w:hAnsi="Times New Roman"/>
                <w:sz w:val="22"/>
                <w:szCs w:val="22"/>
              </w:rPr>
              <w:t>екова.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Када постоји хипокал</w:t>
            </w:r>
            <w:r w:rsidR="00DB7806" w:rsidRPr="00FF2F08">
              <w:rPr>
                <w:rFonts w:ascii="Times New Roman" w:hAnsi="Times New Roman"/>
                <w:sz w:val="22"/>
                <w:szCs w:val="22"/>
                <w:lang w:val="sr-Cyrl-RS"/>
              </w:rPr>
              <w:t>иј</w:t>
            </w:r>
            <w:r w:rsidRPr="00FF2F08">
              <w:rPr>
                <w:rFonts w:ascii="Times New Roman" w:hAnsi="Times New Roman"/>
                <w:sz w:val="22"/>
                <w:szCs w:val="22"/>
              </w:rPr>
              <w:t>емија, п</w:t>
            </w:r>
            <w:r w:rsidR="00E010E8" w:rsidRPr="00FF2F08">
              <w:rPr>
                <w:rFonts w:ascii="Times New Roman" w:hAnsi="Times New Roman"/>
                <w:sz w:val="22"/>
                <w:szCs w:val="22"/>
              </w:rPr>
              <w:t>ацијенти би требало да узимају љ</w:t>
            </w:r>
            <w:r w:rsidRPr="00FF2F08">
              <w:rPr>
                <w:rFonts w:ascii="Times New Roman" w:hAnsi="Times New Roman"/>
                <w:sz w:val="22"/>
                <w:szCs w:val="22"/>
              </w:rPr>
              <w:t>екове који не изазивају „torsades de pointes“.</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Нестероидни антиинфламат</w:t>
            </w:r>
            <w:r w:rsidR="00E010E8" w:rsidRPr="00FF2F08">
              <w:rPr>
                <w:rFonts w:ascii="Times New Roman" w:hAnsi="Times New Roman"/>
                <w:b/>
                <w:sz w:val="22"/>
                <w:szCs w:val="22"/>
              </w:rPr>
              <w:t>орни љ</w:t>
            </w:r>
            <w:r w:rsidRPr="00FF2F08">
              <w:rPr>
                <w:rFonts w:ascii="Times New Roman" w:hAnsi="Times New Roman"/>
                <w:b/>
                <w:sz w:val="22"/>
                <w:szCs w:val="22"/>
              </w:rPr>
              <w:t>екови (системскa употреба), укључујући селективне инхибиторе COX-2, високе дозе салицилне кис</w:t>
            </w:r>
            <w:r w:rsidR="00E010E8" w:rsidRPr="00FF2F08">
              <w:rPr>
                <w:rFonts w:ascii="Times New Roman" w:hAnsi="Times New Roman"/>
                <w:b/>
                <w:sz w:val="22"/>
                <w:szCs w:val="22"/>
              </w:rPr>
              <w:t>ј</w:t>
            </w:r>
            <w:r w:rsidRPr="00FF2F08">
              <w:rPr>
                <w:rFonts w:ascii="Times New Roman" w:hAnsi="Times New Roman"/>
                <w:b/>
                <w:sz w:val="22"/>
                <w:szCs w:val="22"/>
              </w:rPr>
              <w:t>елине  (≥3 g/дневно):</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Могуће је смањење антихипертензивног дејства индапамида.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Ризик од акутне бубрежне инсуфицијенције код дехидрираних пацијената (смањена гломеруларна филтрација).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Пацијенти би требало да уносе доста течности. Пратити функцију бубрега од почетка терапије.</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Инхибитори ангиотензин конвертујућег ензима (ACE инхибитори)</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Када се започне са терапијом ACE инхибиторима, може доћи до изненадне хипотензије и/или акутне бубрежне инсуфицијенције код пацијената који већ имају снижену концентрацију натријума (посебно код пацијената са стенозом бубрежне артерије).</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Када претходна терапија диуретицима доведе до смањења концентрације натријума код пацијената са хипертензијом, неопходно је:</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 прекинути терапију диуретицима 3 дана пр</w:t>
            </w:r>
            <w:r w:rsidR="00E010E8" w:rsidRPr="00FF2F08">
              <w:rPr>
                <w:rFonts w:ascii="Times New Roman" w:hAnsi="Times New Roman"/>
                <w:sz w:val="22"/>
                <w:szCs w:val="22"/>
              </w:rPr>
              <w:t>иј</w:t>
            </w:r>
            <w:r w:rsidRPr="00FF2F08">
              <w:rPr>
                <w:rFonts w:ascii="Times New Roman" w:hAnsi="Times New Roman"/>
                <w:sz w:val="22"/>
                <w:szCs w:val="22"/>
              </w:rPr>
              <w:t>е започињања терапије ACE инхибиторима и поново, уколико је неопходно, у терапију увести диуретике који не штеде калијум,</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 или давати ниже почетне дозе ACE инхибитора, а затим постеп</w:t>
            </w:r>
            <w:r w:rsidR="00E010E8" w:rsidRPr="00FF2F08">
              <w:rPr>
                <w:rFonts w:ascii="Times New Roman" w:hAnsi="Times New Roman"/>
                <w:sz w:val="22"/>
                <w:szCs w:val="22"/>
              </w:rPr>
              <w:t>ено повећавати сљ</w:t>
            </w:r>
            <w:r w:rsidRPr="00FF2F08">
              <w:rPr>
                <w:rFonts w:ascii="Times New Roman" w:hAnsi="Times New Roman"/>
                <w:sz w:val="22"/>
                <w:szCs w:val="22"/>
              </w:rPr>
              <w:t>едеће дозе.</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Код пацијената са конгестивном срчаном инсуфицијен</w:t>
            </w:r>
            <w:r w:rsidR="00343E52" w:rsidRPr="00FF2F08">
              <w:rPr>
                <w:rFonts w:ascii="Times New Roman" w:hAnsi="Times New Roman"/>
                <w:sz w:val="22"/>
                <w:szCs w:val="22"/>
              </w:rPr>
              <w:t>цијом терапију треба започети</w:t>
            </w:r>
            <w:r w:rsidRPr="00FF2F08">
              <w:rPr>
                <w:rFonts w:ascii="Times New Roman" w:hAnsi="Times New Roman"/>
                <w:sz w:val="22"/>
                <w:szCs w:val="22"/>
              </w:rPr>
              <w:t xml:space="preserve"> веома ниским  дозама ACE инхибитора, а препоручује се да то буде посл</w:t>
            </w:r>
            <w:r w:rsidR="00E010E8" w:rsidRPr="00FF2F08">
              <w:rPr>
                <w:rFonts w:ascii="Times New Roman" w:hAnsi="Times New Roman"/>
                <w:sz w:val="22"/>
                <w:szCs w:val="22"/>
              </w:rPr>
              <w:t>иј</w:t>
            </w:r>
            <w:r w:rsidRPr="00FF2F08">
              <w:rPr>
                <w:rFonts w:ascii="Times New Roman" w:hAnsi="Times New Roman"/>
                <w:sz w:val="22"/>
                <w:szCs w:val="22"/>
              </w:rPr>
              <w:t>е смањења дозе диуретика који не штеде калијум.</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Код свих пацијената функцију бубрега (концентрација креатинина у плазми) треба пратити током првих нед</w:t>
            </w:r>
            <w:r w:rsidR="00E010E8" w:rsidRPr="00FF2F08">
              <w:rPr>
                <w:rFonts w:ascii="Times New Roman" w:hAnsi="Times New Roman"/>
                <w:sz w:val="22"/>
                <w:szCs w:val="22"/>
              </w:rPr>
              <w:t>ј</w:t>
            </w:r>
            <w:r w:rsidRPr="00FF2F08">
              <w:rPr>
                <w:rFonts w:ascii="Times New Roman" w:hAnsi="Times New Roman"/>
                <w:sz w:val="22"/>
                <w:szCs w:val="22"/>
              </w:rPr>
              <w:t>еља по започињању терапије ACE инхибиторима.</w:t>
            </w:r>
          </w:p>
          <w:p w:rsidR="00560F51" w:rsidRPr="00FF2F08" w:rsidRDefault="00560F51" w:rsidP="00476708">
            <w:pPr>
              <w:pStyle w:val="Header"/>
              <w:rPr>
                <w:rFonts w:ascii="Times New Roman" w:hAnsi="Times New Roman"/>
                <w:sz w:val="22"/>
                <w:szCs w:val="22"/>
              </w:rPr>
            </w:pPr>
          </w:p>
          <w:p w:rsidR="00560F51" w:rsidRPr="00FF2F08" w:rsidRDefault="00E010E8" w:rsidP="00476708">
            <w:pPr>
              <w:pStyle w:val="Header"/>
              <w:rPr>
                <w:rFonts w:ascii="Times New Roman" w:hAnsi="Times New Roman"/>
                <w:sz w:val="22"/>
                <w:szCs w:val="22"/>
              </w:rPr>
            </w:pPr>
            <w:r w:rsidRPr="00FF2F08">
              <w:rPr>
                <w:rFonts w:ascii="Times New Roman" w:hAnsi="Times New Roman"/>
                <w:b/>
                <w:sz w:val="22"/>
                <w:szCs w:val="22"/>
              </w:rPr>
              <w:t>Други љ</w:t>
            </w:r>
            <w:r w:rsidR="00560F51" w:rsidRPr="00FF2F08">
              <w:rPr>
                <w:rFonts w:ascii="Times New Roman" w:hAnsi="Times New Roman"/>
                <w:b/>
                <w:sz w:val="22"/>
                <w:szCs w:val="22"/>
              </w:rPr>
              <w:t>екови који доводе до хипокал</w:t>
            </w:r>
            <w:r w:rsidR="00DB7806" w:rsidRPr="00FF2F08">
              <w:rPr>
                <w:rFonts w:ascii="Times New Roman" w:hAnsi="Times New Roman"/>
                <w:b/>
                <w:sz w:val="22"/>
                <w:szCs w:val="22"/>
                <w:lang w:val="sr-Cyrl-RS"/>
              </w:rPr>
              <w:t>иј</w:t>
            </w:r>
            <w:r w:rsidR="00560F51" w:rsidRPr="00FF2F08">
              <w:rPr>
                <w:rFonts w:ascii="Times New Roman" w:hAnsi="Times New Roman"/>
                <w:b/>
                <w:sz w:val="22"/>
                <w:szCs w:val="22"/>
              </w:rPr>
              <w:t>емије:</w:t>
            </w:r>
            <w:r w:rsidR="00487332" w:rsidRPr="00FF2F08">
              <w:rPr>
                <w:rFonts w:ascii="Times New Roman" w:hAnsi="Times New Roman"/>
                <w:b/>
                <w:sz w:val="22"/>
                <w:szCs w:val="22"/>
              </w:rPr>
              <w:t xml:space="preserve"> </w:t>
            </w:r>
            <w:r w:rsidR="00560F51" w:rsidRPr="00FF2F08">
              <w:rPr>
                <w:rFonts w:ascii="Times New Roman" w:hAnsi="Times New Roman"/>
                <w:b/>
                <w:sz w:val="22"/>
                <w:szCs w:val="22"/>
              </w:rPr>
              <w:t>амфотерицин Б (IV.),</w:t>
            </w:r>
            <w:r w:rsidR="00487332" w:rsidRPr="00FF2F08">
              <w:rPr>
                <w:rFonts w:ascii="Times New Roman" w:hAnsi="Times New Roman"/>
                <w:b/>
                <w:sz w:val="22"/>
                <w:szCs w:val="22"/>
              </w:rPr>
              <w:t xml:space="preserve"> </w:t>
            </w:r>
            <w:r w:rsidR="00560F51" w:rsidRPr="00FF2F08">
              <w:rPr>
                <w:rFonts w:ascii="Times New Roman" w:hAnsi="Times New Roman"/>
                <w:b/>
                <w:sz w:val="22"/>
                <w:szCs w:val="22"/>
              </w:rPr>
              <w:t>глукокортикоиди и минералокортикоиди (системски),</w:t>
            </w:r>
            <w:r w:rsidR="00487332" w:rsidRPr="00FF2F08">
              <w:rPr>
                <w:rFonts w:ascii="Times New Roman" w:hAnsi="Times New Roman"/>
                <w:b/>
                <w:sz w:val="22"/>
                <w:szCs w:val="22"/>
              </w:rPr>
              <w:t xml:space="preserve"> </w:t>
            </w:r>
            <w:r w:rsidR="00560F51" w:rsidRPr="00FF2F08">
              <w:rPr>
                <w:rFonts w:ascii="Times New Roman" w:hAnsi="Times New Roman"/>
                <w:b/>
                <w:sz w:val="22"/>
                <w:szCs w:val="22"/>
              </w:rPr>
              <w:t>тетракосактиди,</w:t>
            </w:r>
            <w:r w:rsidR="00487332" w:rsidRPr="00FF2F08">
              <w:rPr>
                <w:rFonts w:ascii="Times New Roman" w:hAnsi="Times New Roman"/>
                <w:b/>
                <w:sz w:val="22"/>
                <w:szCs w:val="22"/>
              </w:rPr>
              <w:t xml:space="preserve"> </w:t>
            </w:r>
            <w:r w:rsidR="00560F51" w:rsidRPr="00FF2F08">
              <w:rPr>
                <w:rFonts w:ascii="Times New Roman" w:hAnsi="Times New Roman"/>
                <w:b/>
                <w:sz w:val="22"/>
                <w:szCs w:val="22"/>
              </w:rPr>
              <w:t>стимулативни лаксативи:</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Ризик од хипокал</w:t>
            </w:r>
            <w:r w:rsidR="00DB7806" w:rsidRPr="00FF2F08">
              <w:rPr>
                <w:rFonts w:ascii="Times New Roman" w:hAnsi="Times New Roman"/>
                <w:sz w:val="22"/>
                <w:szCs w:val="22"/>
                <w:lang w:val="sr-Cyrl-RS"/>
              </w:rPr>
              <w:t>иј</w:t>
            </w:r>
            <w:r w:rsidRPr="00FF2F08">
              <w:rPr>
                <w:rFonts w:ascii="Times New Roman" w:hAnsi="Times New Roman"/>
                <w:sz w:val="22"/>
                <w:szCs w:val="22"/>
              </w:rPr>
              <w:t xml:space="preserve">емије је повећан (адитивни ефекат). </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lastRenderedPageBreak/>
              <w:t>Потребно је пратити концентрацију калијума у плазми и</w:t>
            </w:r>
            <w:r w:rsidR="00487332" w:rsidRPr="00FF2F08">
              <w:rPr>
                <w:rFonts w:ascii="Times New Roman" w:hAnsi="Times New Roman"/>
                <w:sz w:val="22"/>
                <w:szCs w:val="22"/>
              </w:rPr>
              <w:t xml:space="preserve">, </w:t>
            </w:r>
            <w:r w:rsidRPr="00FF2F08">
              <w:rPr>
                <w:rFonts w:ascii="Times New Roman" w:hAnsi="Times New Roman"/>
                <w:sz w:val="22"/>
                <w:szCs w:val="22"/>
              </w:rPr>
              <w:t>уколико је неопходно, кориговати. Посебно треба бити опрезан код пацијената који истовремено узимају дигиталис. Ови пацијенти треба да узимају нестимулативне лаксативе.</w:t>
            </w:r>
          </w:p>
          <w:p w:rsidR="00EC3931" w:rsidRPr="00FF2F08" w:rsidRDefault="00EC393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Баклофен</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Повећани антихипертензивни ефекат.</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Пацијенти треба да уносе доста течности; бубрежну функцију треба пратити од самог почетка терапије.</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Препарати дигиталиса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Хипокал</w:t>
            </w:r>
            <w:r w:rsidR="00DB7806" w:rsidRPr="00FF2F08">
              <w:rPr>
                <w:rFonts w:ascii="Times New Roman" w:hAnsi="Times New Roman"/>
                <w:sz w:val="22"/>
                <w:szCs w:val="22"/>
                <w:lang w:val="sr-Cyrl-RS"/>
              </w:rPr>
              <w:t>иј</w:t>
            </w:r>
            <w:r w:rsidRPr="00FF2F08">
              <w:rPr>
                <w:rFonts w:ascii="Times New Roman" w:hAnsi="Times New Roman"/>
                <w:sz w:val="22"/>
                <w:szCs w:val="22"/>
              </w:rPr>
              <w:t>емија повећава ризик од токсичног ефекта дигиталиса.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Потребно је пратити концентрацију калијума у плазми и EKG и</w:t>
            </w:r>
            <w:r w:rsidR="00343E52" w:rsidRPr="00FF2F08">
              <w:rPr>
                <w:rFonts w:ascii="Times New Roman" w:hAnsi="Times New Roman"/>
                <w:sz w:val="22"/>
                <w:szCs w:val="22"/>
              </w:rPr>
              <w:t>,</w:t>
            </w:r>
            <w:r w:rsidRPr="00FF2F08">
              <w:rPr>
                <w:rFonts w:ascii="Times New Roman" w:hAnsi="Times New Roman"/>
                <w:sz w:val="22"/>
                <w:szCs w:val="22"/>
              </w:rPr>
              <w:t xml:space="preserve"> уколико је неопходно, прилагодити терапију.</w:t>
            </w:r>
          </w:p>
          <w:p w:rsidR="00560F51" w:rsidRPr="00FF2F08" w:rsidRDefault="00560F51" w:rsidP="00476708">
            <w:pPr>
              <w:pStyle w:val="Header"/>
              <w:rPr>
                <w:rFonts w:ascii="Times New Roman" w:hAnsi="Times New Roman"/>
                <w:sz w:val="22"/>
                <w:szCs w:val="22"/>
              </w:rPr>
            </w:pPr>
          </w:p>
          <w:p w:rsidR="00A2648C" w:rsidRPr="00FF2F08" w:rsidRDefault="00E010E8" w:rsidP="00476708">
            <w:pPr>
              <w:pStyle w:val="Header"/>
              <w:rPr>
                <w:rFonts w:ascii="Times New Roman" w:hAnsi="Times New Roman"/>
                <w:sz w:val="22"/>
                <w:szCs w:val="22"/>
                <w:u w:val="single"/>
              </w:rPr>
            </w:pPr>
            <w:r w:rsidRPr="00FF2F08">
              <w:rPr>
                <w:rFonts w:ascii="Times New Roman" w:hAnsi="Times New Roman"/>
                <w:sz w:val="22"/>
                <w:szCs w:val="22"/>
                <w:u w:val="single"/>
              </w:rPr>
              <w:t>Комбинације љ</w:t>
            </w:r>
            <w:r w:rsidR="00560F51" w:rsidRPr="00FF2F08">
              <w:rPr>
                <w:rFonts w:ascii="Times New Roman" w:hAnsi="Times New Roman"/>
                <w:sz w:val="22"/>
                <w:szCs w:val="22"/>
                <w:u w:val="single"/>
              </w:rPr>
              <w:t>екова које треба узети у обзир</w:t>
            </w:r>
          </w:p>
          <w:p w:rsidR="00560F51" w:rsidRPr="00FF2F08" w:rsidRDefault="00560F51" w:rsidP="00476708">
            <w:pPr>
              <w:pStyle w:val="Header"/>
              <w:rPr>
                <w:rFonts w:ascii="Times New Roman" w:hAnsi="Times New Roman"/>
                <w:sz w:val="22"/>
                <w:szCs w:val="22"/>
              </w:rPr>
            </w:pPr>
            <w:r w:rsidRPr="00FF2F08">
              <w:rPr>
                <w:rFonts w:ascii="Times New Roman" w:hAnsi="Times New Roman"/>
                <w:b/>
                <w:sz w:val="22"/>
                <w:szCs w:val="22"/>
              </w:rPr>
              <w:t>Диуретици који штеде калијум</w:t>
            </w:r>
            <w:r w:rsidR="00487332" w:rsidRPr="00FF2F08">
              <w:rPr>
                <w:rFonts w:ascii="Times New Roman" w:hAnsi="Times New Roman"/>
                <w:b/>
                <w:sz w:val="22"/>
                <w:szCs w:val="22"/>
              </w:rPr>
              <w:t xml:space="preserve"> </w:t>
            </w:r>
            <w:r w:rsidRPr="00FF2F08">
              <w:rPr>
                <w:rFonts w:ascii="Times New Roman" w:hAnsi="Times New Roman"/>
                <w:b/>
                <w:sz w:val="22"/>
                <w:szCs w:val="22"/>
              </w:rPr>
              <w:t>(амилорид, спиронолактон, триамтерен):</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Ове рационалне и код неких пацијената корисне комбинације не искључују могућност појаве хипокал</w:t>
            </w:r>
            <w:r w:rsidR="00DB7806" w:rsidRPr="00FF2F08">
              <w:rPr>
                <w:rFonts w:ascii="Times New Roman" w:hAnsi="Times New Roman"/>
                <w:sz w:val="22"/>
                <w:szCs w:val="22"/>
                <w:lang w:val="sr-Cyrl-RS"/>
              </w:rPr>
              <w:t>иј</w:t>
            </w:r>
            <w:r w:rsidRPr="00FF2F08">
              <w:rPr>
                <w:rFonts w:ascii="Times New Roman" w:hAnsi="Times New Roman"/>
                <w:sz w:val="22"/>
                <w:szCs w:val="22"/>
              </w:rPr>
              <w:t>емије  или хиперкал</w:t>
            </w:r>
            <w:r w:rsidR="00DB7806" w:rsidRPr="00FF2F08">
              <w:rPr>
                <w:rFonts w:ascii="Times New Roman" w:hAnsi="Times New Roman"/>
                <w:sz w:val="22"/>
                <w:szCs w:val="22"/>
                <w:lang w:val="sr-Cyrl-RS"/>
              </w:rPr>
              <w:t>иј</w:t>
            </w:r>
            <w:r w:rsidRPr="00FF2F08">
              <w:rPr>
                <w:rFonts w:ascii="Times New Roman" w:hAnsi="Times New Roman"/>
                <w:sz w:val="22"/>
                <w:szCs w:val="22"/>
              </w:rPr>
              <w:t>емије</w:t>
            </w:r>
            <w:r w:rsidR="00487332" w:rsidRPr="00FF2F08">
              <w:rPr>
                <w:rFonts w:ascii="Times New Roman" w:hAnsi="Times New Roman"/>
                <w:sz w:val="22"/>
                <w:szCs w:val="22"/>
              </w:rPr>
              <w:t xml:space="preserve"> </w:t>
            </w:r>
            <w:r w:rsidR="00420050" w:rsidRPr="00FF2F08">
              <w:rPr>
                <w:rFonts w:ascii="Times New Roman" w:hAnsi="Times New Roman"/>
                <w:sz w:val="22"/>
                <w:szCs w:val="22"/>
              </w:rPr>
              <w:t>(посебно код пацијената са бубрежном инсуфицијенцијом и шећерном болешћу)</w:t>
            </w:r>
            <w:r w:rsidRPr="00FF2F08">
              <w:rPr>
                <w:rFonts w:ascii="Times New Roman" w:hAnsi="Times New Roman"/>
                <w:sz w:val="22"/>
                <w:szCs w:val="22"/>
              </w:rPr>
              <w:t>. Потребно је пратити концентрацију калијума у плазми и EKG и</w:t>
            </w:r>
            <w:r w:rsidR="00487332" w:rsidRPr="00FF2F08">
              <w:rPr>
                <w:rFonts w:ascii="Times New Roman" w:hAnsi="Times New Roman"/>
                <w:sz w:val="22"/>
                <w:szCs w:val="22"/>
              </w:rPr>
              <w:t>,</w:t>
            </w:r>
            <w:r w:rsidRPr="00FF2F08">
              <w:rPr>
                <w:rFonts w:ascii="Times New Roman" w:hAnsi="Times New Roman"/>
                <w:sz w:val="22"/>
                <w:szCs w:val="22"/>
              </w:rPr>
              <w:t xml:space="preserve"> уколико је неопходно, прилагодити терапију.</w:t>
            </w:r>
          </w:p>
          <w:p w:rsidR="00560F51" w:rsidRPr="00FF2F08" w:rsidRDefault="00560F51" w:rsidP="00476708">
            <w:pPr>
              <w:pStyle w:val="Header"/>
              <w:rPr>
                <w:rFonts w:ascii="Times New Roman" w:hAnsi="Times New Roman"/>
                <w:b/>
                <w:sz w:val="22"/>
                <w:szCs w:val="22"/>
              </w:rPr>
            </w:pPr>
          </w:p>
          <w:p w:rsidR="00560F51" w:rsidRPr="00FF2F08" w:rsidRDefault="00E010E8" w:rsidP="00476708">
            <w:pPr>
              <w:pStyle w:val="Header"/>
              <w:rPr>
                <w:rFonts w:ascii="Times New Roman" w:hAnsi="Times New Roman"/>
                <w:b/>
                <w:sz w:val="22"/>
                <w:szCs w:val="22"/>
              </w:rPr>
            </w:pPr>
            <w:r w:rsidRPr="00FF2F08">
              <w:rPr>
                <w:rFonts w:ascii="Times New Roman" w:hAnsi="Times New Roman"/>
                <w:b/>
                <w:sz w:val="22"/>
                <w:szCs w:val="22"/>
              </w:rPr>
              <w:t>Мет</w:t>
            </w:r>
            <w:r w:rsidR="00560F51" w:rsidRPr="00FF2F08">
              <w:rPr>
                <w:rFonts w:ascii="Times New Roman" w:hAnsi="Times New Roman"/>
                <w:b/>
                <w:sz w:val="22"/>
                <w:szCs w:val="22"/>
              </w:rPr>
              <w:t>ф</w:t>
            </w:r>
            <w:r w:rsidRPr="00FF2F08">
              <w:rPr>
                <w:rFonts w:ascii="Times New Roman" w:hAnsi="Times New Roman"/>
                <w:b/>
                <w:sz w:val="22"/>
                <w:szCs w:val="22"/>
              </w:rPr>
              <w:t>орм</w:t>
            </w:r>
            <w:r w:rsidR="00560F51" w:rsidRPr="00FF2F08">
              <w:rPr>
                <w:rFonts w:ascii="Times New Roman" w:hAnsi="Times New Roman"/>
                <w:b/>
                <w:sz w:val="22"/>
                <w:szCs w:val="22"/>
              </w:rPr>
              <w:t>ин:</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Повећан је ризик од лактоацидозе индуковане метформином због могуће функционалне</w:t>
            </w:r>
            <w:r w:rsidR="00487332" w:rsidRPr="00FF2F08">
              <w:rPr>
                <w:rFonts w:ascii="Times New Roman" w:hAnsi="Times New Roman"/>
                <w:sz w:val="22"/>
                <w:szCs w:val="22"/>
              </w:rPr>
              <w:t xml:space="preserve"> </w:t>
            </w:r>
            <w:r w:rsidRPr="00FF2F08">
              <w:rPr>
                <w:rFonts w:ascii="Times New Roman" w:hAnsi="Times New Roman"/>
                <w:sz w:val="22"/>
                <w:szCs w:val="22"/>
              </w:rPr>
              <w:t>бубрежне инсуфицијенције повезане са прим</w:t>
            </w:r>
            <w:r w:rsidR="00E010E8" w:rsidRPr="00FF2F08">
              <w:rPr>
                <w:rFonts w:ascii="Times New Roman" w:hAnsi="Times New Roman"/>
                <w:sz w:val="22"/>
                <w:szCs w:val="22"/>
              </w:rPr>
              <w:t>ј</w:t>
            </w:r>
            <w:r w:rsidRPr="00FF2F08">
              <w:rPr>
                <w:rFonts w:ascii="Times New Roman" w:hAnsi="Times New Roman"/>
                <w:sz w:val="22"/>
                <w:szCs w:val="22"/>
              </w:rPr>
              <w:t>еном  диуретика, а посебно са диуретицима Хенлеове петље. Не препоручује се употреба метформина уколико концентрација креатинина пређе</w:t>
            </w:r>
            <w:r w:rsidR="00487332" w:rsidRPr="00FF2F08">
              <w:rPr>
                <w:rFonts w:ascii="Times New Roman" w:hAnsi="Times New Roman"/>
                <w:sz w:val="22"/>
                <w:szCs w:val="22"/>
              </w:rPr>
              <w:t xml:space="preserve"> </w:t>
            </w:r>
            <w:r w:rsidRPr="00FF2F08">
              <w:rPr>
                <w:rFonts w:ascii="Times New Roman" w:hAnsi="Times New Roman"/>
                <w:sz w:val="22"/>
                <w:szCs w:val="22"/>
              </w:rPr>
              <w:t>вр</w:t>
            </w:r>
            <w:r w:rsidR="00E010E8" w:rsidRPr="00FF2F08">
              <w:rPr>
                <w:rFonts w:ascii="Times New Roman" w:hAnsi="Times New Roman"/>
                <w:sz w:val="22"/>
                <w:szCs w:val="22"/>
              </w:rPr>
              <w:t>иј</w:t>
            </w:r>
            <w:r w:rsidRPr="00FF2F08">
              <w:rPr>
                <w:rFonts w:ascii="Times New Roman" w:hAnsi="Times New Roman"/>
                <w:sz w:val="22"/>
                <w:szCs w:val="22"/>
              </w:rPr>
              <w:t>едности од 15 mg/</w:t>
            </w:r>
            <w:r w:rsidR="00DB7806" w:rsidRPr="00FF2F08">
              <w:rPr>
                <w:rFonts w:ascii="Times New Roman" w:hAnsi="Times New Roman"/>
                <w:sz w:val="22"/>
                <w:szCs w:val="22"/>
                <w:lang w:val="sr-Cyrl-RS"/>
              </w:rPr>
              <w:t>л</w:t>
            </w:r>
            <w:r w:rsidRPr="00FF2F08">
              <w:rPr>
                <w:rFonts w:ascii="Times New Roman" w:hAnsi="Times New Roman"/>
                <w:sz w:val="22"/>
                <w:szCs w:val="22"/>
              </w:rPr>
              <w:t xml:space="preserve"> (135 μmol/</w:t>
            </w:r>
            <w:r w:rsidR="00DB7806" w:rsidRPr="00FF2F08">
              <w:rPr>
                <w:rFonts w:ascii="Times New Roman" w:hAnsi="Times New Roman"/>
                <w:sz w:val="22"/>
                <w:szCs w:val="22"/>
                <w:lang w:val="sr-Cyrl-RS"/>
              </w:rPr>
              <w:t>л</w:t>
            </w:r>
            <w:r w:rsidRPr="00FF2F08">
              <w:rPr>
                <w:rFonts w:ascii="Times New Roman" w:hAnsi="Times New Roman"/>
                <w:sz w:val="22"/>
                <w:szCs w:val="22"/>
              </w:rPr>
              <w:t>) код мушкараца и 12 mg/</w:t>
            </w:r>
            <w:r w:rsidR="00DB7806" w:rsidRPr="00FF2F08">
              <w:rPr>
                <w:rFonts w:ascii="Times New Roman" w:hAnsi="Times New Roman"/>
                <w:sz w:val="22"/>
                <w:szCs w:val="22"/>
                <w:lang w:val="sr-Cyrl-RS"/>
              </w:rPr>
              <w:t>л</w:t>
            </w:r>
            <w:r w:rsidRPr="00FF2F08">
              <w:rPr>
                <w:rFonts w:ascii="Times New Roman" w:hAnsi="Times New Roman"/>
                <w:sz w:val="22"/>
                <w:szCs w:val="22"/>
              </w:rPr>
              <w:t xml:space="preserve"> (110 μmol/</w:t>
            </w:r>
            <w:r w:rsidR="00DB7806" w:rsidRPr="00FF2F08">
              <w:rPr>
                <w:rFonts w:ascii="Times New Roman" w:hAnsi="Times New Roman"/>
                <w:sz w:val="22"/>
                <w:szCs w:val="22"/>
                <w:lang w:val="sr-Cyrl-RS"/>
              </w:rPr>
              <w:t>л</w:t>
            </w:r>
            <w:r w:rsidRPr="00FF2F08">
              <w:rPr>
                <w:rFonts w:ascii="Times New Roman" w:hAnsi="Times New Roman"/>
                <w:sz w:val="22"/>
                <w:szCs w:val="22"/>
              </w:rPr>
              <w:t>) код жена.</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Контрастна средства на бази јода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Код дехидрираних пацијената због употребе диуретика, повећан је ризик од акутне бубрежне инсуфицијенције, посебно уколико се користе велике дозе контрастних средстава на бази јода. Пр</w:t>
            </w:r>
            <w:r w:rsidR="00E010E8" w:rsidRPr="00FF2F08">
              <w:rPr>
                <w:rFonts w:ascii="Times New Roman" w:hAnsi="Times New Roman"/>
                <w:sz w:val="22"/>
                <w:szCs w:val="22"/>
              </w:rPr>
              <w:t>иј</w:t>
            </w:r>
            <w:r w:rsidRPr="00FF2F08">
              <w:rPr>
                <w:rFonts w:ascii="Times New Roman" w:hAnsi="Times New Roman"/>
                <w:sz w:val="22"/>
                <w:szCs w:val="22"/>
              </w:rPr>
              <w:t>е прим</w:t>
            </w:r>
            <w:r w:rsidR="00E010E8" w:rsidRPr="00FF2F08">
              <w:rPr>
                <w:rFonts w:ascii="Times New Roman" w:hAnsi="Times New Roman"/>
                <w:sz w:val="22"/>
                <w:szCs w:val="22"/>
              </w:rPr>
              <w:t>ј</w:t>
            </w:r>
            <w:r w:rsidRPr="00FF2F08">
              <w:rPr>
                <w:rFonts w:ascii="Times New Roman" w:hAnsi="Times New Roman"/>
                <w:sz w:val="22"/>
                <w:szCs w:val="22"/>
              </w:rPr>
              <w:t>ене једињења на бази јода, пацијента треба рехидрирати.</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Антидепресиви попут имипрамина, неуролептици:</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Појачан је антихипертензивни ефекат и ризик од ортостатске хипотензије (адитивни ефекат).</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Соли калцијума: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Ризик од хиперкал</w:t>
            </w:r>
            <w:r w:rsidR="00FE3364" w:rsidRPr="00FF2F08">
              <w:rPr>
                <w:rFonts w:ascii="Times New Roman" w:hAnsi="Times New Roman"/>
                <w:sz w:val="22"/>
                <w:szCs w:val="22"/>
                <w:lang w:val="sr-Cyrl-RS"/>
              </w:rPr>
              <w:t>ц</w:t>
            </w:r>
            <w:r w:rsidR="00DB7806" w:rsidRPr="00FF2F08">
              <w:rPr>
                <w:rFonts w:ascii="Times New Roman" w:hAnsi="Times New Roman"/>
                <w:sz w:val="22"/>
                <w:szCs w:val="22"/>
                <w:lang w:val="sr-Cyrl-RS"/>
              </w:rPr>
              <w:t>иј</w:t>
            </w:r>
            <w:r w:rsidRPr="00FF2F08">
              <w:rPr>
                <w:rFonts w:ascii="Times New Roman" w:hAnsi="Times New Roman"/>
                <w:sz w:val="22"/>
                <w:szCs w:val="22"/>
              </w:rPr>
              <w:t>емије је пос</w:t>
            </w:r>
            <w:r w:rsidR="00487332" w:rsidRPr="00FF2F08">
              <w:rPr>
                <w:rFonts w:ascii="Times New Roman" w:hAnsi="Times New Roman"/>
                <w:sz w:val="22"/>
                <w:szCs w:val="22"/>
              </w:rPr>
              <w:t>љ</w:t>
            </w:r>
            <w:r w:rsidRPr="00FF2F08">
              <w:rPr>
                <w:rFonts w:ascii="Times New Roman" w:hAnsi="Times New Roman"/>
                <w:sz w:val="22"/>
                <w:szCs w:val="22"/>
              </w:rPr>
              <w:t>едица смањене елиминације калцијума урином.</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Циклоспорин, такролимус:</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Постоји ризик од повећања концентрације креатинина у плазми без пром</w:t>
            </w:r>
            <w:r w:rsidR="00E010E8" w:rsidRPr="00FF2F08">
              <w:rPr>
                <w:rFonts w:ascii="Times New Roman" w:hAnsi="Times New Roman"/>
                <w:sz w:val="22"/>
                <w:szCs w:val="22"/>
              </w:rPr>
              <w:t>ј</w:t>
            </w:r>
            <w:r w:rsidRPr="00FF2F08">
              <w:rPr>
                <w:rFonts w:ascii="Times New Roman" w:hAnsi="Times New Roman"/>
                <w:sz w:val="22"/>
                <w:szCs w:val="22"/>
              </w:rPr>
              <w:t>ене концентрације циклоспорина у серуму, чак и при нормалном балансу вода/натријум.</w:t>
            </w:r>
          </w:p>
          <w:p w:rsidR="00560F51" w:rsidRPr="00FF2F08" w:rsidRDefault="00560F51" w:rsidP="00476708">
            <w:pPr>
              <w:pStyle w:val="Header"/>
              <w:rPr>
                <w:rFonts w:ascii="Times New Roman" w:hAnsi="Times New Roman"/>
                <w:sz w:val="22"/>
                <w:szCs w:val="22"/>
              </w:rPr>
            </w:pPr>
          </w:p>
          <w:p w:rsidR="00560F51" w:rsidRPr="00FF2F08" w:rsidRDefault="00560F51" w:rsidP="00476708">
            <w:pPr>
              <w:pStyle w:val="Header"/>
              <w:rPr>
                <w:rFonts w:ascii="Times New Roman" w:hAnsi="Times New Roman"/>
                <w:b/>
                <w:sz w:val="22"/>
                <w:szCs w:val="22"/>
              </w:rPr>
            </w:pPr>
            <w:r w:rsidRPr="00FF2F08">
              <w:rPr>
                <w:rFonts w:ascii="Times New Roman" w:hAnsi="Times New Roman"/>
                <w:b/>
                <w:sz w:val="22"/>
                <w:szCs w:val="22"/>
              </w:rPr>
              <w:t>Кортикостероиди, тетракосактиди (системски):</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 xml:space="preserve">Антихипертензивни ефекат </w:t>
            </w:r>
            <w:r w:rsidR="00FE3364" w:rsidRPr="00FF2F08">
              <w:rPr>
                <w:rFonts w:ascii="Times New Roman" w:hAnsi="Times New Roman"/>
                <w:sz w:val="22"/>
                <w:szCs w:val="22"/>
                <w:lang w:val="sr-Cyrl-RS"/>
              </w:rPr>
              <w:t xml:space="preserve">индапамида </w:t>
            </w:r>
            <w:r w:rsidRPr="00FF2F08">
              <w:rPr>
                <w:rFonts w:ascii="Times New Roman" w:hAnsi="Times New Roman"/>
                <w:sz w:val="22"/>
                <w:szCs w:val="22"/>
              </w:rPr>
              <w:t>може бити смањен (ретенција воде и натријума</w:t>
            </w:r>
            <w:r w:rsidR="00FE3364" w:rsidRPr="00FF2F08">
              <w:rPr>
                <w:rFonts w:ascii="Times New Roman" w:hAnsi="Times New Roman"/>
                <w:sz w:val="22"/>
                <w:szCs w:val="22"/>
                <w:lang w:val="sr-Cyrl-RS"/>
              </w:rPr>
              <w:t xml:space="preserve"> као пос</w:t>
            </w:r>
            <w:r w:rsidR="00FE3364" w:rsidRPr="00FF2F08">
              <w:rPr>
                <w:rFonts w:ascii="Times New Roman" w:hAnsi="Times New Roman"/>
                <w:sz w:val="22"/>
                <w:szCs w:val="22"/>
              </w:rPr>
              <w:t>љ</w:t>
            </w:r>
            <w:r w:rsidR="00FE3364" w:rsidRPr="00FF2F08">
              <w:rPr>
                <w:rFonts w:ascii="Times New Roman" w:hAnsi="Times New Roman"/>
                <w:sz w:val="22"/>
                <w:szCs w:val="22"/>
                <w:lang w:val="sr-Cyrl-RS"/>
              </w:rPr>
              <w:t>едица ефекта кортикостероида</w:t>
            </w:r>
            <w:r w:rsidRPr="00FF2F08">
              <w:rPr>
                <w:rFonts w:ascii="Times New Roman" w:hAnsi="Times New Roman"/>
                <w:sz w:val="22"/>
                <w:szCs w:val="22"/>
              </w:rPr>
              <w:t>).</w:t>
            </w:r>
          </w:p>
          <w:p w:rsidR="003D1146" w:rsidRPr="00FF2F08" w:rsidRDefault="003D1146" w:rsidP="00476708">
            <w:pPr>
              <w:pStyle w:val="Header"/>
              <w:rPr>
                <w:rFonts w:ascii="Times New Roman" w:hAnsi="Times New Roman"/>
                <w:sz w:val="22"/>
                <w:szCs w:val="22"/>
                <w:lang w:val="sr-Cyrl-CS"/>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lastRenderedPageBreak/>
              <w:t>4.6. Примјена у периоду трудноће и дојења</w:t>
            </w:r>
          </w:p>
        </w:tc>
      </w:tr>
      <w:tr w:rsidR="00B0540F" w:rsidRPr="00FF2F08" w:rsidTr="00865739">
        <w:trPr>
          <w:trHeight w:val="1145"/>
        </w:trPr>
        <w:tc>
          <w:tcPr>
            <w:tcW w:w="9356" w:type="dxa"/>
            <w:gridSpan w:val="4"/>
            <w:vAlign w:val="center"/>
          </w:tcPr>
          <w:p w:rsidR="00560F51" w:rsidRPr="00FF2F08" w:rsidRDefault="00560F51" w:rsidP="00476708">
            <w:pPr>
              <w:pStyle w:val="Header"/>
              <w:rPr>
                <w:rFonts w:ascii="Times New Roman" w:hAnsi="Times New Roman"/>
                <w:b/>
                <w:sz w:val="22"/>
                <w:szCs w:val="22"/>
                <w:lang w:val="mk-MK"/>
              </w:rPr>
            </w:pPr>
            <w:r w:rsidRPr="00FF2F08">
              <w:rPr>
                <w:rFonts w:ascii="Times New Roman" w:hAnsi="Times New Roman"/>
                <w:b/>
                <w:sz w:val="22"/>
                <w:szCs w:val="22"/>
                <w:lang w:val="mk-MK"/>
              </w:rPr>
              <w:lastRenderedPageBreak/>
              <w:t>Трудноћа</w:t>
            </w:r>
          </w:p>
          <w:p w:rsidR="00A5183C" w:rsidRPr="00FF2F08" w:rsidRDefault="00A5183C" w:rsidP="00476708">
            <w:pPr>
              <w:pStyle w:val="Header"/>
              <w:rPr>
                <w:rFonts w:ascii="Times New Roman" w:hAnsi="Times New Roman"/>
                <w:sz w:val="22"/>
                <w:szCs w:val="22"/>
              </w:rPr>
            </w:pPr>
            <w:r w:rsidRPr="00FF2F08">
              <w:rPr>
                <w:rFonts w:ascii="Times New Roman" w:hAnsi="Times New Roman"/>
                <w:sz w:val="22"/>
                <w:szCs w:val="22"/>
              </w:rPr>
              <w:t>Не постоје подаци или постоји ограничен број података (мање од 300 трудноћа) о примјени индапамида код трудница. Продужена изложеност тиазидима током трећег триместра трудноће може смањити запремину плазме код мајке као и утероплацентарни проток крви што може изазвати фето-плацентарну исхемију и пораст ретардације.</w:t>
            </w:r>
          </w:p>
          <w:p w:rsidR="00A5183C" w:rsidRPr="00FF2F08" w:rsidRDefault="00A5183C" w:rsidP="00476708">
            <w:pPr>
              <w:pStyle w:val="Header"/>
              <w:rPr>
                <w:rFonts w:ascii="Times New Roman" w:hAnsi="Times New Roman"/>
                <w:sz w:val="22"/>
                <w:szCs w:val="22"/>
              </w:rPr>
            </w:pPr>
            <w:r w:rsidRPr="00FF2F08">
              <w:rPr>
                <w:rFonts w:ascii="Times New Roman" w:hAnsi="Times New Roman"/>
                <w:sz w:val="22"/>
                <w:szCs w:val="22"/>
              </w:rPr>
              <w:t>Испитивања на животињама не указују на директне или индиректне штетне ефекте у погледу репродуктивне токсичности (видјети одјељак 5.3).</w:t>
            </w:r>
          </w:p>
          <w:p w:rsidR="00560F51" w:rsidRPr="00FF2F08" w:rsidRDefault="00A5183C" w:rsidP="00476708">
            <w:pPr>
              <w:pStyle w:val="Header"/>
              <w:rPr>
                <w:rFonts w:ascii="Times New Roman" w:hAnsi="Times New Roman"/>
                <w:sz w:val="22"/>
                <w:szCs w:val="22"/>
                <w:lang w:val="mk-MK"/>
              </w:rPr>
            </w:pPr>
            <w:r w:rsidRPr="00FF2F08">
              <w:rPr>
                <w:rFonts w:ascii="Times New Roman" w:hAnsi="Times New Roman"/>
                <w:sz w:val="22"/>
                <w:szCs w:val="22"/>
              </w:rPr>
              <w:t>Као мјеру предострожности, треба избјегавати употребу индапамида у трудноћи.</w:t>
            </w:r>
          </w:p>
          <w:p w:rsidR="00560F51" w:rsidRPr="00FF2F08" w:rsidRDefault="00FE3364" w:rsidP="00476708">
            <w:pPr>
              <w:pStyle w:val="Header"/>
              <w:rPr>
                <w:rFonts w:ascii="Times New Roman" w:hAnsi="Times New Roman"/>
                <w:b/>
                <w:sz w:val="22"/>
                <w:szCs w:val="22"/>
                <w:lang w:val="mk-MK"/>
              </w:rPr>
            </w:pPr>
            <w:r w:rsidRPr="00FF2F08">
              <w:rPr>
                <w:rFonts w:ascii="Times New Roman" w:hAnsi="Times New Roman"/>
                <w:b/>
                <w:sz w:val="22"/>
                <w:szCs w:val="22"/>
                <w:lang w:val="mk-MK"/>
              </w:rPr>
              <w:t>Доје</w:t>
            </w:r>
            <w:r w:rsidRPr="00FF2F08">
              <w:rPr>
                <w:rFonts w:ascii="Times New Roman" w:hAnsi="Times New Roman"/>
                <w:b/>
                <w:sz w:val="22"/>
                <w:szCs w:val="22"/>
              </w:rPr>
              <w:t>њ</w:t>
            </w:r>
            <w:r w:rsidRPr="00FF2F08">
              <w:rPr>
                <w:rFonts w:ascii="Times New Roman" w:hAnsi="Times New Roman"/>
                <w:b/>
                <w:sz w:val="22"/>
                <w:szCs w:val="22"/>
                <w:lang w:val="mk-MK"/>
              </w:rPr>
              <w:t>е</w:t>
            </w:r>
          </w:p>
          <w:p w:rsidR="00A5183C" w:rsidRPr="00FF2F08" w:rsidRDefault="00A5183C" w:rsidP="00476708">
            <w:pPr>
              <w:pStyle w:val="Header"/>
              <w:tabs>
                <w:tab w:val="left" w:pos="284"/>
              </w:tabs>
              <w:rPr>
                <w:rFonts w:ascii="Times New Roman" w:hAnsi="Times New Roman"/>
                <w:sz w:val="22"/>
                <w:szCs w:val="22"/>
              </w:rPr>
            </w:pPr>
            <w:r w:rsidRPr="00FF2F08">
              <w:rPr>
                <w:rFonts w:ascii="Times New Roman" w:hAnsi="Times New Roman"/>
                <w:sz w:val="22"/>
                <w:szCs w:val="22"/>
              </w:rPr>
              <w:t>Нема довољно података о излучивању индапамида/метаболита у хумано млијеко. Могу се јавити преосјетљивост на деривате сулфонамида и хипокал</w:t>
            </w:r>
            <w:r w:rsidR="00FE3364" w:rsidRPr="00FF2F08">
              <w:rPr>
                <w:rFonts w:ascii="Times New Roman" w:hAnsi="Times New Roman"/>
                <w:sz w:val="22"/>
                <w:szCs w:val="22"/>
                <w:lang w:val="sr-Cyrl-RS"/>
              </w:rPr>
              <w:t>иј</w:t>
            </w:r>
            <w:r w:rsidRPr="00FF2F08">
              <w:rPr>
                <w:rFonts w:ascii="Times New Roman" w:hAnsi="Times New Roman"/>
                <w:sz w:val="22"/>
                <w:szCs w:val="22"/>
              </w:rPr>
              <w:t>емија. Не може се искључити ризик за новорођенче/одојче.</w:t>
            </w:r>
          </w:p>
          <w:p w:rsidR="00A5183C" w:rsidRPr="00FF2F08" w:rsidRDefault="00A5183C" w:rsidP="00476708">
            <w:pPr>
              <w:pStyle w:val="Header"/>
              <w:tabs>
                <w:tab w:val="left" w:pos="284"/>
              </w:tabs>
              <w:rPr>
                <w:rFonts w:ascii="Times New Roman" w:hAnsi="Times New Roman"/>
                <w:sz w:val="22"/>
                <w:szCs w:val="22"/>
              </w:rPr>
            </w:pPr>
            <w:r w:rsidRPr="00FF2F08">
              <w:rPr>
                <w:rFonts w:ascii="Times New Roman" w:hAnsi="Times New Roman"/>
                <w:sz w:val="22"/>
                <w:szCs w:val="22"/>
              </w:rPr>
              <w:t xml:space="preserve">Индапамид је </w:t>
            </w:r>
            <w:r w:rsidR="00FE3364" w:rsidRPr="00FF2F08">
              <w:rPr>
                <w:rFonts w:ascii="Times New Roman" w:hAnsi="Times New Roman"/>
                <w:sz w:val="22"/>
                <w:szCs w:val="22"/>
                <w:lang w:val="sr-Cyrl-RS"/>
              </w:rPr>
              <w:t>сродан</w:t>
            </w:r>
            <w:r w:rsidRPr="00FF2F08">
              <w:rPr>
                <w:rFonts w:ascii="Times New Roman" w:hAnsi="Times New Roman"/>
                <w:sz w:val="22"/>
                <w:szCs w:val="22"/>
              </w:rPr>
              <w:t xml:space="preserve"> са тиазидним диуретицима чија употреба у периоду лактације доводи до смањења или чак супресије лактације.</w:t>
            </w:r>
          </w:p>
          <w:p w:rsidR="003D1146" w:rsidRPr="00FF2F08" w:rsidRDefault="00A5183C" w:rsidP="00476708">
            <w:pPr>
              <w:rPr>
                <w:rFonts w:ascii="Times New Roman" w:hAnsi="Times New Roman" w:cs="Times New Roman"/>
                <w:sz w:val="22"/>
                <w:szCs w:val="22"/>
                <w:lang w:val="mk-MK"/>
              </w:rPr>
            </w:pPr>
            <w:r w:rsidRPr="00FF2F08">
              <w:rPr>
                <w:rFonts w:ascii="Times New Roman" w:hAnsi="Times New Roman" w:cs="Times New Roman"/>
                <w:sz w:val="22"/>
                <w:szCs w:val="22"/>
              </w:rPr>
              <w:t xml:space="preserve">Индапамид </w:t>
            </w:r>
            <w:r w:rsidR="00FE3364" w:rsidRPr="00FF2F08">
              <w:rPr>
                <w:rFonts w:ascii="Times New Roman" w:hAnsi="Times New Roman" w:cs="Times New Roman"/>
                <w:sz w:val="22"/>
                <w:szCs w:val="22"/>
                <w:lang w:val="sr-Cyrl-RS"/>
              </w:rPr>
              <w:t xml:space="preserve">се </w:t>
            </w:r>
            <w:r w:rsidRPr="00FF2F08">
              <w:rPr>
                <w:rFonts w:ascii="Times New Roman" w:hAnsi="Times New Roman" w:cs="Times New Roman"/>
                <w:sz w:val="22"/>
                <w:szCs w:val="22"/>
              </w:rPr>
              <w:t xml:space="preserve">не </w:t>
            </w:r>
            <w:r w:rsidR="00FE3364" w:rsidRPr="00FF2F08">
              <w:rPr>
                <w:rFonts w:ascii="Times New Roman" w:hAnsi="Times New Roman" w:cs="Times New Roman"/>
                <w:sz w:val="22"/>
                <w:szCs w:val="22"/>
                <w:lang w:val="sr-Cyrl-RS"/>
              </w:rPr>
              <w:t>смије</w:t>
            </w:r>
            <w:r w:rsidR="00FE3364" w:rsidRPr="00FF2F08">
              <w:rPr>
                <w:rFonts w:ascii="Times New Roman" w:hAnsi="Times New Roman" w:cs="Times New Roman"/>
                <w:sz w:val="22"/>
                <w:szCs w:val="22"/>
              </w:rPr>
              <w:t xml:space="preserve"> </w:t>
            </w:r>
            <w:r w:rsidRPr="00FF2F08">
              <w:rPr>
                <w:rFonts w:ascii="Times New Roman" w:hAnsi="Times New Roman" w:cs="Times New Roman"/>
                <w:sz w:val="22"/>
                <w:szCs w:val="22"/>
              </w:rPr>
              <w:t xml:space="preserve">користити у периоду дојења. </w:t>
            </w:r>
          </w:p>
          <w:p w:rsidR="001059AB" w:rsidRPr="00FF2F08" w:rsidRDefault="00FE3364" w:rsidP="00476708">
            <w:pPr>
              <w:rPr>
                <w:rFonts w:ascii="Times New Roman" w:hAnsi="Times New Roman" w:cs="Times New Roman"/>
                <w:b/>
                <w:sz w:val="22"/>
                <w:szCs w:val="22"/>
              </w:rPr>
            </w:pPr>
            <w:r w:rsidRPr="00FF2F08">
              <w:rPr>
                <w:rFonts w:ascii="Times New Roman" w:hAnsi="Times New Roman" w:cs="Times New Roman"/>
                <w:b/>
                <w:sz w:val="22"/>
                <w:szCs w:val="22"/>
                <w:lang w:val="sr-Cyrl-RS"/>
              </w:rPr>
              <w:t>Плодност</w:t>
            </w:r>
            <w:r w:rsidRPr="00FF2F08">
              <w:rPr>
                <w:rFonts w:ascii="Times New Roman" w:hAnsi="Times New Roman" w:cs="Times New Roman"/>
                <w:b/>
                <w:sz w:val="22"/>
                <w:szCs w:val="22"/>
                <w:lang w:val="mk-MK"/>
              </w:rPr>
              <w:t xml:space="preserve"> </w:t>
            </w:r>
          </w:p>
          <w:p w:rsidR="001059AB" w:rsidRPr="00FF2F08" w:rsidRDefault="00A5183C" w:rsidP="00476708">
            <w:pPr>
              <w:rPr>
                <w:rFonts w:ascii="Times New Roman" w:hAnsi="Times New Roman" w:cs="Times New Roman"/>
                <w:sz w:val="22"/>
                <w:szCs w:val="22"/>
                <w:lang w:val="mk-MK"/>
              </w:rPr>
            </w:pPr>
            <w:r w:rsidRPr="00FF2F08">
              <w:rPr>
                <w:rFonts w:ascii="Times New Roman" w:hAnsi="Times New Roman" w:cs="Times New Roman"/>
                <w:sz w:val="22"/>
                <w:szCs w:val="22"/>
              </w:rPr>
              <w:t xml:space="preserve">Студије репродуктивне токсичности су показале да нема утицаја на фертилитет мушких и женских пацова (видјети одјељак 5.3). Не очекује се никакав утицај на </w:t>
            </w:r>
            <w:r w:rsidR="00FE3364" w:rsidRPr="00FF2F08">
              <w:rPr>
                <w:rFonts w:ascii="Times New Roman" w:hAnsi="Times New Roman" w:cs="Times New Roman"/>
                <w:sz w:val="22"/>
                <w:szCs w:val="22"/>
                <w:lang w:val="sr-Cyrl-RS"/>
              </w:rPr>
              <w:t>плодност</w:t>
            </w:r>
            <w:r w:rsidR="00FE3364" w:rsidRPr="00FF2F08">
              <w:rPr>
                <w:rFonts w:ascii="Times New Roman" w:hAnsi="Times New Roman" w:cs="Times New Roman"/>
                <w:sz w:val="22"/>
                <w:szCs w:val="22"/>
              </w:rPr>
              <w:t xml:space="preserve"> </w:t>
            </w:r>
            <w:r w:rsidRPr="00FF2F08">
              <w:rPr>
                <w:rFonts w:ascii="Times New Roman" w:hAnsi="Times New Roman" w:cs="Times New Roman"/>
                <w:sz w:val="22"/>
                <w:szCs w:val="22"/>
              </w:rPr>
              <w:t>код људи.</w:t>
            </w:r>
          </w:p>
          <w:p w:rsidR="00E40DF9" w:rsidRPr="00FF2F08" w:rsidRDefault="00E40DF9" w:rsidP="00476708">
            <w:pPr>
              <w:rPr>
                <w:rFonts w:ascii="Times New Roman" w:hAnsi="Times New Roman" w:cs="Times New Roman"/>
                <w:sz w:val="22"/>
                <w:szCs w:val="22"/>
                <w:lang w:val="mk-MK"/>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t>4.7. Утицај на психофизичке способности приликом управљања моторним возилима и руковања машинама</w:t>
            </w:r>
          </w:p>
        </w:tc>
      </w:tr>
      <w:tr w:rsidR="00B0540F" w:rsidRPr="00FF2F08" w:rsidTr="00865739">
        <w:trPr>
          <w:trHeight w:val="1145"/>
        </w:trPr>
        <w:tc>
          <w:tcPr>
            <w:tcW w:w="9356" w:type="dxa"/>
            <w:gridSpan w:val="4"/>
            <w:vAlign w:val="center"/>
          </w:tcPr>
          <w:p w:rsidR="00E40DF9" w:rsidRPr="00FF2F08" w:rsidRDefault="00560F51" w:rsidP="00476708">
            <w:pPr>
              <w:pStyle w:val="Header"/>
              <w:rPr>
                <w:rFonts w:ascii="Times New Roman" w:hAnsi="Times New Roman"/>
                <w:sz w:val="22"/>
                <w:szCs w:val="22"/>
                <w:lang w:val="mk-MK"/>
              </w:rPr>
            </w:pPr>
            <w:r w:rsidRPr="00FF2F08">
              <w:rPr>
                <w:rFonts w:ascii="Times New Roman" w:hAnsi="Times New Roman"/>
                <w:noProof/>
                <w:sz w:val="22"/>
                <w:szCs w:val="22"/>
                <w:lang w:val="mk-MK"/>
              </w:rPr>
              <w:t>Индапамид</w:t>
            </w:r>
            <w:r w:rsidRPr="00FF2F08">
              <w:rPr>
                <w:rFonts w:ascii="Times New Roman" w:hAnsi="Times New Roman"/>
                <w:sz w:val="22"/>
                <w:szCs w:val="22"/>
                <w:lang w:val="mk-MK"/>
              </w:rPr>
              <w:t>не утиче на будност и брзину реаговања, али у појединим случајевима може доћи до појаве различитих реакција које су у вези са падом крвног притиска, посебно на почетку терапије или када се терапији дода други антихипертензивни л</w:t>
            </w:r>
            <w:r w:rsidR="00E010E8" w:rsidRPr="00FF2F08">
              <w:rPr>
                <w:rFonts w:ascii="Times New Roman" w:hAnsi="Times New Roman"/>
                <w:sz w:val="22"/>
                <w:szCs w:val="22"/>
                <w:lang w:val="mk-MK"/>
              </w:rPr>
              <w:t>иј</w:t>
            </w:r>
            <w:r w:rsidRPr="00FF2F08">
              <w:rPr>
                <w:rFonts w:ascii="Times New Roman" w:hAnsi="Times New Roman"/>
                <w:sz w:val="22"/>
                <w:szCs w:val="22"/>
                <w:lang w:val="mk-MK"/>
              </w:rPr>
              <w:t xml:space="preserve">ек. </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Као резултат тога</w:t>
            </w:r>
            <w:r w:rsidR="00487332" w:rsidRPr="00FF2F08">
              <w:rPr>
                <w:rFonts w:ascii="Times New Roman" w:hAnsi="Times New Roman"/>
                <w:sz w:val="22"/>
                <w:szCs w:val="22"/>
                <w:lang w:val="mk-MK"/>
              </w:rPr>
              <w:t>,</w:t>
            </w:r>
            <w:r w:rsidRPr="00FF2F08">
              <w:rPr>
                <w:rFonts w:ascii="Times New Roman" w:hAnsi="Times New Roman"/>
                <w:sz w:val="22"/>
                <w:szCs w:val="22"/>
                <w:lang w:val="mk-MK"/>
              </w:rPr>
              <w:t xml:space="preserve"> може бити умањена способност управљања моторним возилима и руковања машинама.</w:t>
            </w:r>
          </w:p>
          <w:p w:rsidR="003D1146" w:rsidRPr="00FF2F08" w:rsidRDefault="003D1146" w:rsidP="00476708">
            <w:pPr>
              <w:rPr>
                <w:rFonts w:ascii="Times New Roman" w:hAnsi="Times New Roman" w:cs="Times New Roman"/>
                <w:sz w:val="22"/>
                <w:szCs w:val="22"/>
                <w:lang w:val="sr-Cyrl-CS"/>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4.8. Нежељена</w:t>
            </w:r>
            <w:r w:rsidR="00FE3364" w:rsidRPr="00FF2F08">
              <w:rPr>
                <w:rFonts w:ascii="Times New Roman" w:hAnsi="Times New Roman"/>
                <w:b/>
                <w:bCs/>
                <w:sz w:val="22"/>
                <w:szCs w:val="22"/>
                <w:lang w:val="sr-Cyrl-RS" w:eastAsia="en-US"/>
              </w:rPr>
              <w:t xml:space="preserve"> </w:t>
            </w:r>
            <w:r w:rsidRPr="00FF2F08">
              <w:rPr>
                <w:rFonts w:ascii="Times New Roman" w:hAnsi="Times New Roman"/>
                <w:b/>
                <w:bCs/>
                <w:sz w:val="22"/>
                <w:szCs w:val="22"/>
                <w:lang w:eastAsia="en-US"/>
              </w:rPr>
              <w:t>дејства</w:t>
            </w:r>
          </w:p>
        </w:tc>
      </w:tr>
      <w:tr w:rsidR="00B0540F" w:rsidRPr="00FF2F08" w:rsidTr="00865739">
        <w:trPr>
          <w:trHeight w:val="1145"/>
        </w:trPr>
        <w:tc>
          <w:tcPr>
            <w:tcW w:w="9356" w:type="dxa"/>
            <w:gridSpan w:val="4"/>
            <w:vAlign w:val="center"/>
          </w:tcPr>
          <w:p w:rsidR="009A7DDB" w:rsidRPr="00FF2F08" w:rsidRDefault="00A5183C" w:rsidP="00476708">
            <w:pPr>
              <w:pStyle w:val="NoSpacing"/>
              <w:jc w:val="both"/>
              <w:rPr>
                <w:rFonts w:ascii="Times New Roman" w:hAnsi="Times New Roman"/>
              </w:rPr>
            </w:pPr>
            <w:r w:rsidRPr="00FF2F08">
              <w:rPr>
                <w:rFonts w:ascii="Times New Roman" w:hAnsi="Times New Roman"/>
                <w:u w:val="single"/>
              </w:rPr>
              <w:t>Сажетак безбједносног профила</w:t>
            </w:r>
            <w:r w:rsidR="00746C7E" w:rsidRPr="00FF2F08">
              <w:rPr>
                <w:rFonts w:ascii="Times New Roman" w:hAnsi="Times New Roman"/>
                <w:u w:val="single"/>
                <w:lang w:val="mk-MK"/>
              </w:rPr>
              <w:t xml:space="preserve"> </w:t>
            </w:r>
          </w:p>
          <w:p w:rsidR="00A5183C" w:rsidRPr="00FF2F08" w:rsidRDefault="00A5183C" w:rsidP="00476708">
            <w:pPr>
              <w:pStyle w:val="NoSpacing"/>
              <w:jc w:val="both"/>
              <w:rPr>
                <w:rFonts w:ascii="Times New Roman" w:hAnsi="Times New Roman"/>
              </w:rPr>
            </w:pPr>
            <w:r w:rsidRPr="00FF2F08">
              <w:rPr>
                <w:rFonts w:ascii="Times New Roman" w:hAnsi="Times New Roman"/>
              </w:rPr>
              <w:t>Најчешће пријављиване нежељене реакције су реакције преосјетљивости, углавном дерматолошке, код пацијената са предиспозицијом за алергијске и асматичне реакције, као и макопапуларне оспе.</w:t>
            </w:r>
          </w:p>
          <w:p w:rsidR="00561A38" w:rsidRPr="00FF2F08" w:rsidRDefault="00A5183C" w:rsidP="00476708">
            <w:pPr>
              <w:pStyle w:val="NoSpacing"/>
              <w:jc w:val="both"/>
              <w:rPr>
                <w:rFonts w:ascii="Times New Roman" w:hAnsi="Times New Roman"/>
                <w:lang w:val="en-US"/>
              </w:rPr>
            </w:pPr>
            <w:r w:rsidRPr="00FF2F08">
              <w:rPr>
                <w:rFonts w:ascii="Times New Roman" w:hAnsi="Times New Roman"/>
              </w:rPr>
              <w:t>Током клиничких испитивања, хипокалемија (конце</w:t>
            </w:r>
            <w:r w:rsidR="00487332" w:rsidRPr="00FF2F08">
              <w:rPr>
                <w:rFonts w:ascii="Times New Roman" w:hAnsi="Times New Roman"/>
              </w:rPr>
              <w:t>н</w:t>
            </w:r>
            <w:r w:rsidRPr="00FF2F08">
              <w:rPr>
                <w:rFonts w:ascii="Times New Roman" w:hAnsi="Times New Roman"/>
              </w:rPr>
              <w:t>трација калијума у плазми &lt; 3</w:t>
            </w:r>
            <w:r w:rsidR="00746C7E" w:rsidRPr="00FF2F08">
              <w:rPr>
                <w:rFonts w:ascii="Times New Roman" w:hAnsi="Times New Roman"/>
                <w:lang w:val="mk-MK"/>
              </w:rPr>
              <w:t>.</w:t>
            </w:r>
            <w:r w:rsidRPr="00FF2F08">
              <w:rPr>
                <w:rFonts w:ascii="Times New Roman" w:hAnsi="Times New Roman"/>
              </w:rPr>
              <w:t xml:space="preserve">4 </w:t>
            </w:r>
            <w:r w:rsidRPr="00FF2F08">
              <w:rPr>
                <w:rFonts w:ascii="Times New Roman" w:hAnsi="Times New Roman"/>
                <w:lang w:val="en-US"/>
              </w:rPr>
              <w:t>mmol/L</w:t>
            </w:r>
            <w:r w:rsidRPr="00FF2F08">
              <w:rPr>
                <w:rFonts w:ascii="Times New Roman" w:hAnsi="Times New Roman"/>
              </w:rPr>
              <w:t xml:space="preserve"> се јавила код 10% пацијената и &lt;</w:t>
            </w:r>
            <w:r w:rsidR="00561A38" w:rsidRPr="00FF2F08">
              <w:rPr>
                <w:rFonts w:ascii="Times New Roman" w:hAnsi="Times New Roman"/>
              </w:rPr>
              <w:t xml:space="preserve"> 3</w:t>
            </w:r>
            <w:r w:rsidR="00746C7E" w:rsidRPr="00FF2F08">
              <w:rPr>
                <w:rFonts w:ascii="Times New Roman" w:hAnsi="Times New Roman"/>
                <w:lang w:val="mk-MK"/>
              </w:rPr>
              <w:t>.</w:t>
            </w:r>
            <w:r w:rsidR="00561A38" w:rsidRPr="00FF2F08">
              <w:rPr>
                <w:rFonts w:ascii="Times New Roman" w:hAnsi="Times New Roman"/>
              </w:rPr>
              <w:t xml:space="preserve">2 </w:t>
            </w:r>
            <w:r w:rsidR="00561A38" w:rsidRPr="00FF2F08">
              <w:rPr>
                <w:rFonts w:ascii="Times New Roman" w:hAnsi="Times New Roman"/>
                <w:lang w:val="en-US"/>
              </w:rPr>
              <w:t xml:space="preserve">mmol/L </w:t>
            </w:r>
            <w:r w:rsidR="00561A38" w:rsidRPr="00FF2F08">
              <w:rPr>
                <w:rFonts w:ascii="Times New Roman" w:hAnsi="Times New Roman"/>
              </w:rPr>
              <w:t>код 4% пацијената након 4 до 6 нед</w:t>
            </w:r>
            <w:r w:rsidR="00487332" w:rsidRPr="00FF2F08">
              <w:rPr>
                <w:rFonts w:ascii="Times New Roman" w:hAnsi="Times New Roman"/>
              </w:rPr>
              <w:t>ј</w:t>
            </w:r>
            <w:r w:rsidR="00561A38" w:rsidRPr="00FF2F08">
              <w:rPr>
                <w:rFonts w:ascii="Times New Roman" w:hAnsi="Times New Roman"/>
              </w:rPr>
              <w:t>еља терапије. Након 12 нед</w:t>
            </w:r>
            <w:r w:rsidR="00487332" w:rsidRPr="00FF2F08">
              <w:rPr>
                <w:rFonts w:ascii="Times New Roman" w:hAnsi="Times New Roman"/>
              </w:rPr>
              <w:t>ј</w:t>
            </w:r>
            <w:r w:rsidR="00561A38" w:rsidRPr="00FF2F08">
              <w:rPr>
                <w:rFonts w:ascii="Times New Roman" w:hAnsi="Times New Roman"/>
              </w:rPr>
              <w:t>еља терапије</w:t>
            </w:r>
            <w:r w:rsidR="00487332" w:rsidRPr="00FF2F08">
              <w:rPr>
                <w:rFonts w:ascii="Times New Roman" w:hAnsi="Times New Roman"/>
              </w:rPr>
              <w:t>,</w:t>
            </w:r>
            <w:r w:rsidR="00561A38" w:rsidRPr="00FF2F08">
              <w:rPr>
                <w:rFonts w:ascii="Times New Roman" w:hAnsi="Times New Roman"/>
              </w:rPr>
              <w:t xml:space="preserve"> просјечно смањење у плазми је износило 0</w:t>
            </w:r>
            <w:r w:rsidR="00746C7E" w:rsidRPr="00FF2F08">
              <w:rPr>
                <w:rFonts w:ascii="Times New Roman" w:hAnsi="Times New Roman"/>
                <w:lang w:val="mk-MK"/>
              </w:rPr>
              <w:t>.</w:t>
            </w:r>
            <w:r w:rsidR="00561A38" w:rsidRPr="00FF2F08">
              <w:rPr>
                <w:rFonts w:ascii="Times New Roman" w:hAnsi="Times New Roman"/>
              </w:rPr>
              <w:t xml:space="preserve">23 </w:t>
            </w:r>
            <w:r w:rsidR="00561A38" w:rsidRPr="00FF2F08">
              <w:rPr>
                <w:rFonts w:ascii="Times New Roman" w:hAnsi="Times New Roman"/>
                <w:lang w:val="en-US"/>
              </w:rPr>
              <w:t>mmol/L.</w:t>
            </w:r>
          </w:p>
          <w:p w:rsidR="009A7DDB" w:rsidRPr="00FF2F08" w:rsidRDefault="009A7DDB" w:rsidP="00476708">
            <w:pPr>
              <w:pStyle w:val="NoSpacing"/>
              <w:jc w:val="both"/>
              <w:rPr>
                <w:rFonts w:ascii="Times New Roman" w:hAnsi="Times New Roman"/>
                <w:lang w:val="mk-MK"/>
              </w:rPr>
            </w:pPr>
          </w:p>
          <w:p w:rsidR="00560F51" w:rsidRPr="00FF2F08" w:rsidRDefault="00560F51" w:rsidP="00476708">
            <w:pPr>
              <w:autoSpaceDE w:val="0"/>
              <w:autoSpaceDN w:val="0"/>
              <w:adjustRightInd w:val="0"/>
              <w:rPr>
                <w:rFonts w:ascii="Times New Roman" w:hAnsi="Times New Roman" w:cs="Times New Roman"/>
                <w:noProof/>
                <w:sz w:val="22"/>
                <w:szCs w:val="22"/>
                <w:lang w:val="hr-HR"/>
              </w:rPr>
            </w:pPr>
            <w:r w:rsidRPr="00FF2F08">
              <w:rPr>
                <w:rFonts w:ascii="Times New Roman" w:hAnsi="Times New Roman" w:cs="Times New Roman"/>
                <w:noProof/>
                <w:sz w:val="22"/>
                <w:szCs w:val="22"/>
                <w:lang w:val="hr-HR"/>
              </w:rPr>
              <w:t xml:space="preserve">Већина нежељених </w:t>
            </w:r>
            <w:r w:rsidR="000E55C0" w:rsidRPr="00FF2F08">
              <w:rPr>
                <w:rFonts w:ascii="Times New Roman" w:hAnsi="Times New Roman" w:cs="Times New Roman"/>
                <w:noProof/>
                <w:sz w:val="22"/>
                <w:szCs w:val="22"/>
                <w:lang w:val="mk-MK"/>
              </w:rPr>
              <w:t>дејстава кој</w:t>
            </w:r>
            <w:r w:rsidR="00F53648" w:rsidRPr="00FF2F08">
              <w:rPr>
                <w:rFonts w:ascii="Times New Roman" w:hAnsi="Times New Roman" w:cs="Times New Roman"/>
                <w:noProof/>
                <w:sz w:val="22"/>
                <w:szCs w:val="22"/>
                <w:lang w:val="mk-MK"/>
              </w:rPr>
              <w:t>а</w:t>
            </w:r>
            <w:r w:rsidR="000E55C0" w:rsidRPr="00FF2F08">
              <w:rPr>
                <w:rFonts w:ascii="Times New Roman" w:hAnsi="Times New Roman" w:cs="Times New Roman"/>
                <w:noProof/>
                <w:sz w:val="22"/>
                <w:szCs w:val="22"/>
                <w:lang w:val="mk-MK"/>
              </w:rPr>
              <w:t xml:space="preserve"> се односе на клиничке и лабораторијске параметре</w:t>
            </w:r>
            <w:r w:rsidRPr="00FF2F08">
              <w:rPr>
                <w:rFonts w:ascii="Times New Roman" w:hAnsi="Times New Roman" w:cs="Times New Roman"/>
                <w:noProof/>
                <w:sz w:val="22"/>
                <w:szCs w:val="22"/>
                <w:lang w:val="hr-HR"/>
              </w:rPr>
              <w:t xml:space="preserve"> су дозно - зависн</w:t>
            </w:r>
            <w:r w:rsidR="00137168" w:rsidRPr="00FF2F08">
              <w:rPr>
                <w:rFonts w:ascii="Times New Roman" w:hAnsi="Times New Roman" w:cs="Times New Roman"/>
                <w:noProof/>
                <w:sz w:val="22"/>
                <w:szCs w:val="22"/>
                <w:lang w:val="mk-MK"/>
              </w:rPr>
              <w:t>а</w:t>
            </w:r>
            <w:r w:rsidRPr="00FF2F08">
              <w:rPr>
                <w:rFonts w:ascii="Times New Roman" w:hAnsi="Times New Roman" w:cs="Times New Roman"/>
                <w:noProof/>
                <w:sz w:val="22"/>
                <w:szCs w:val="22"/>
                <w:lang w:val="hr-HR"/>
              </w:rPr>
              <w:t>.</w:t>
            </w:r>
          </w:p>
          <w:p w:rsidR="0024628F" w:rsidRPr="00FF2F08" w:rsidRDefault="0024628F" w:rsidP="00476708">
            <w:pPr>
              <w:autoSpaceDE w:val="0"/>
              <w:autoSpaceDN w:val="0"/>
              <w:adjustRightInd w:val="0"/>
              <w:rPr>
                <w:rFonts w:ascii="Times New Roman" w:hAnsi="Times New Roman" w:cs="Times New Roman"/>
                <w:noProof/>
                <w:sz w:val="22"/>
                <w:szCs w:val="22"/>
                <w:lang w:val="hr-HR"/>
              </w:rPr>
            </w:pPr>
          </w:p>
          <w:p w:rsidR="0024628F" w:rsidRPr="00FF2F08" w:rsidRDefault="00561A38" w:rsidP="00476708">
            <w:pPr>
              <w:autoSpaceDE w:val="0"/>
              <w:autoSpaceDN w:val="0"/>
              <w:adjustRightInd w:val="0"/>
              <w:rPr>
                <w:rFonts w:ascii="Times New Roman" w:hAnsi="Times New Roman" w:cs="Times New Roman"/>
                <w:noProof/>
                <w:sz w:val="22"/>
                <w:szCs w:val="22"/>
              </w:rPr>
            </w:pPr>
            <w:r w:rsidRPr="00FF2F08">
              <w:rPr>
                <w:rFonts w:ascii="Times New Roman" w:hAnsi="Times New Roman" w:cs="Times New Roman"/>
                <w:noProof/>
                <w:sz w:val="22"/>
                <w:szCs w:val="22"/>
                <w:u w:val="single"/>
              </w:rPr>
              <w:t>Табеларни приказ нежељених дејстава</w:t>
            </w:r>
            <w:r w:rsidR="00746C7E" w:rsidRPr="00FF2F08">
              <w:rPr>
                <w:rFonts w:ascii="Times New Roman" w:hAnsi="Times New Roman" w:cs="Times New Roman"/>
                <w:noProof/>
                <w:sz w:val="22"/>
                <w:szCs w:val="22"/>
                <w:u w:val="single"/>
                <w:lang w:val="mk-MK"/>
              </w:rPr>
              <w:t xml:space="preserve"> </w:t>
            </w:r>
          </w:p>
          <w:p w:rsidR="0024628F" w:rsidRPr="00FF2F08" w:rsidRDefault="00561A38" w:rsidP="00476708">
            <w:pPr>
              <w:autoSpaceDE w:val="0"/>
              <w:autoSpaceDN w:val="0"/>
              <w:adjustRightInd w:val="0"/>
              <w:rPr>
                <w:rFonts w:ascii="Times New Roman" w:hAnsi="Times New Roman" w:cs="Times New Roman"/>
                <w:noProof/>
                <w:sz w:val="22"/>
                <w:szCs w:val="22"/>
              </w:rPr>
            </w:pPr>
            <w:r w:rsidRPr="00FF2F08">
              <w:rPr>
                <w:rFonts w:ascii="Times New Roman" w:hAnsi="Times New Roman" w:cs="Times New Roman"/>
                <w:noProof/>
                <w:sz w:val="22"/>
                <w:szCs w:val="22"/>
              </w:rPr>
              <w:t>Нежељена дејства која су се јавил</w:t>
            </w:r>
            <w:r w:rsidR="00487332" w:rsidRPr="00FF2F08">
              <w:rPr>
                <w:rFonts w:ascii="Times New Roman" w:hAnsi="Times New Roman" w:cs="Times New Roman"/>
                <w:noProof/>
                <w:sz w:val="22"/>
                <w:szCs w:val="22"/>
              </w:rPr>
              <w:t>а</w:t>
            </w:r>
            <w:r w:rsidRPr="00FF2F08">
              <w:rPr>
                <w:rFonts w:ascii="Times New Roman" w:hAnsi="Times New Roman" w:cs="Times New Roman"/>
                <w:noProof/>
                <w:sz w:val="22"/>
                <w:szCs w:val="22"/>
              </w:rPr>
              <w:t xml:space="preserve"> током терапије индапамидом приказан</w:t>
            </w:r>
            <w:r w:rsidR="00620CD0" w:rsidRPr="00FF2F08">
              <w:rPr>
                <w:rFonts w:ascii="Times New Roman" w:hAnsi="Times New Roman" w:cs="Times New Roman"/>
                <w:noProof/>
                <w:sz w:val="22"/>
                <w:szCs w:val="22"/>
                <w:lang w:val="sr-Cyrl-ME"/>
              </w:rPr>
              <w:t>а</w:t>
            </w:r>
            <w:r w:rsidRPr="00FF2F08">
              <w:rPr>
                <w:rFonts w:ascii="Times New Roman" w:hAnsi="Times New Roman" w:cs="Times New Roman"/>
                <w:noProof/>
                <w:sz w:val="22"/>
                <w:szCs w:val="22"/>
              </w:rPr>
              <w:t xml:space="preserve"> су према сљедећој класификацији учесталости:</w:t>
            </w:r>
          </w:p>
          <w:p w:rsidR="00560F51" w:rsidRPr="00FF2F08" w:rsidRDefault="00560F51" w:rsidP="00476708">
            <w:pPr>
              <w:autoSpaceDE w:val="0"/>
              <w:autoSpaceDN w:val="0"/>
              <w:adjustRightInd w:val="0"/>
              <w:rPr>
                <w:rFonts w:ascii="Times New Roman" w:hAnsi="Times New Roman" w:cs="Times New Roman"/>
                <w:noProof/>
                <w:sz w:val="22"/>
                <w:szCs w:val="22"/>
                <w:lang w:val="hr-HR"/>
              </w:rPr>
            </w:pPr>
            <w:r w:rsidRPr="00FF2F08">
              <w:rPr>
                <w:rFonts w:ascii="Times New Roman" w:hAnsi="Times New Roman" w:cs="Times New Roman"/>
                <w:noProof/>
                <w:sz w:val="22"/>
                <w:szCs w:val="22"/>
                <w:lang w:val="hr-HR"/>
              </w:rPr>
              <w:t>- веома често (≥ 1/10)</w:t>
            </w:r>
          </w:p>
          <w:p w:rsidR="00560F51" w:rsidRPr="00FF2F08" w:rsidRDefault="00560F51" w:rsidP="00476708">
            <w:pPr>
              <w:autoSpaceDE w:val="0"/>
              <w:autoSpaceDN w:val="0"/>
              <w:adjustRightInd w:val="0"/>
              <w:rPr>
                <w:rFonts w:ascii="Times New Roman" w:hAnsi="Times New Roman" w:cs="Times New Roman"/>
                <w:noProof/>
                <w:sz w:val="22"/>
                <w:szCs w:val="22"/>
                <w:lang w:val="hr-HR"/>
              </w:rPr>
            </w:pPr>
            <w:r w:rsidRPr="00FF2F08">
              <w:rPr>
                <w:rFonts w:ascii="Times New Roman" w:hAnsi="Times New Roman" w:cs="Times New Roman"/>
                <w:noProof/>
                <w:sz w:val="22"/>
                <w:szCs w:val="22"/>
                <w:lang w:val="hr-HR"/>
              </w:rPr>
              <w:t>- често (≥ 1/100 до &lt; 1/10)</w:t>
            </w:r>
          </w:p>
          <w:p w:rsidR="00560F51" w:rsidRPr="00FF2F08" w:rsidRDefault="00560F51" w:rsidP="00476708">
            <w:pPr>
              <w:autoSpaceDE w:val="0"/>
              <w:autoSpaceDN w:val="0"/>
              <w:adjustRightInd w:val="0"/>
              <w:rPr>
                <w:rFonts w:ascii="Times New Roman" w:hAnsi="Times New Roman" w:cs="Times New Roman"/>
                <w:noProof/>
                <w:sz w:val="22"/>
                <w:szCs w:val="22"/>
                <w:lang w:val="hr-HR"/>
              </w:rPr>
            </w:pPr>
            <w:r w:rsidRPr="00FF2F08">
              <w:rPr>
                <w:rFonts w:ascii="Times New Roman" w:hAnsi="Times New Roman" w:cs="Times New Roman"/>
                <w:noProof/>
                <w:sz w:val="22"/>
                <w:szCs w:val="22"/>
                <w:lang w:val="hr-HR"/>
              </w:rPr>
              <w:t>- повремено (≥ 1/1.000 до &lt; 1/100)</w:t>
            </w:r>
          </w:p>
          <w:p w:rsidR="00560F51" w:rsidRPr="00FF2F08" w:rsidRDefault="00560F51" w:rsidP="00476708">
            <w:pPr>
              <w:autoSpaceDE w:val="0"/>
              <w:autoSpaceDN w:val="0"/>
              <w:adjustRightInd w:val="0"/>
              <w:rPr>
                <w:rFonts w:ascii="Times New Roman" w:hAnsi="Times New Roman" w:cs="Times New Roman"/>
                <w:noProof/>
                <w:sz w:val="22"/>
                <w:szCs w:val="22"/>
                <w:lang w:val="hr-HR"/>
              </w:rPr>
            </w:pPr>
            <w:r w:rsidRPr="00FF2F08">
              <w:rPr>
                <w:rFonts w:ascii="Times New Roman" w:hAnsi="Times New Roman" w:cs="Times New Roman"/>
                <w:noProof/>
                <w:sz w:val="22"/>
                <w:szCs w:val="22"/>
                <w:lang w:val="hr-HR"/>
              </w:rPr>
              <w:t>- р</w:t>
            </w:r>
            <w:r w:rsidR="00A42F52" w:rsidRPr="00FF2F08">
              <w:rPr>
                <w:rFonts w:ascii="Times New Roman" w:hAnsi="Times New Roman" w:cs="Times New Roman"/>
                <w:noProof/>
                <w:sz w:val="22"/>
                <w:szCs w:val="22"/>
              </w:rPr>
              <w:t>иј</w:t>
            </w:r>
            <w:r w:rsidRPr="00FF2F08">
              <w:rPr>
                <w:rFonts w:ascii="Times New Roman" w:hAnsi="Times New Roman" w:cs="Times New Roman"/>
                <w:noProof/>
                <w:sz w:val="22"/>
                <w:szCs w:val="22"/>
                <w:lang w:val="hr-HR"/>
              </w:rPr>
              <w:t>етко (≥ 1/10.000 до &lt; 1/1.000)</w:t>
            </w:r>
          </w:p>
          <w:p w:rsidR="00560F51" w:rsidRPr="00FF2F08" w:rsidRDefault="00560F51" w:rsidP="00476708">
            <w:pPr>
              <w:autoSpaceDE w:val="0"/>
              <w:autoSpaceDN w:val="0"/>
              <w:adjustRightInd w:val="0"/>
              <w:rPr>
                <w:rFonts w:ascii="Times New Roman" w:hAnsi="Times New Roman" w:cs="Times New Roman"/>
                <w:noProof/>
                <w:sz w:val="22"/>
                <w:szCs w:val="22"/>
                <w:lang w:val="hr-HR"/>
              </w:rPr>
            </w:pPr>
            <w:r w:rsidRPr="00FF2F08">
              <w:rPr>
                <w:rFonts w:ascii="Times New Roman" w:hAnsi="Times New Roman" w:cs="Times New Roman"/>
                <w:noProof/>
                <w:sz w:val="22"/>
                <w:szCs w:val="22"/>
                <w:lang w:val="hr-HR"/>
              </w:rPr>
              <w:t>- веома р</w:t>
            </w:r>
            <w:r w:rsidR="00A42F52" w:rsidRPr="00FF2F08">
              <w:rPr>
                <w:rFonts w:ascii="Times New Roman" w:hAnsi="Times New Roman" w:cs="Times New Roman"/>
                <w:noProof/>
                <w:sz w:val="22"/>
                <w:szCs w:val="22"/>
              </w:rPr>
              <w:t>иј</w:t>
            </w:r>
            <w:r w:rsidRPr="00FF2F08">
              <w:rPr>
                <w:rFonts w:ascii="Times New Roman" w:hAnsi="Times New Roman" w:cs="Times New Roman"/>
                <w:noProof/>
                <w:sz w:val="22"/>
                <w:szCs w:val="22"/>
                <w:lang w:val="hr-HR"/>
              </w:rPr>
              <w:t>етко (&lt; 1/10.000)</w:t>
            </w:r>
          </w:p>
          <w:p w:rsidR="00560F51" w:rsidRPr="00FF2F08" w:rsidRDefault="00560F51" w:rsidP="00476708">
            <w:pPr>
              <w:autoSpaceDE w:val="0"/>
              <w:autoSpaceDN w:val="0"/>
              <w:adjustRightInd w:val="0"/>
              <w:rPr>
                <w:rFonts w:ascii="Times New Roman" w:hAnsi="Times New Roman" w:cs="Times New Roman"/>
                <w:noProof/>
                <w:sz w:val="22"/>
                <w:szCs w:val="22"/>
                <w:lang w:val="hr-HR"/>
              </w:rPr>
            </w:pPr>
            <w:r w:rsidRPr="00FF2F08">
              <w:rPr>
                <w:rFonts w:ascii="Times New Roman" w:hAnsi="Times New Roman" w:cs="Times New Roman"/>
                <w:noProof/>
                <w:sz w:val="22"/>
                <w:szCs w:val="22"/>
                <w:lang w:val="hr-HR"/>
              </w:rPr>
              <w:lastRenderedPageBreak/>
              <w:t>- непознато (не</w:t>
            </w:r>
            <w:r w:rsidR="00487332" w:rsidRPr="00FF2F08">
              <w:rPr>
                <w:rFonts w:ascii="Times New Roman" w:hAnsi="Times New Roman" w:cs="Times New Roman"/>
                <w:noProof/>
                <w:sz w:val="22"/>
                <w:szCs w:val="22"/>
              </w:rPr>
              <w:t xml:space="preserve"> </w:t>
            </w:r>
            <w:r w:rsidRPr="00FF2F08">
              <w:rPr>
                <w:rFonts w:ascii="Times New Roman" w:hAnsi="Times New Roman" w:cs="Times New Roman"/>
                <w:noProof/>
                <w:sz w:val="22"/>
                <w:szCs w:val="22"/>
                <w:lang w:val="hr-HR"/>
              </w:rPr>
              <w:t>може се проц</w:t>
            </w:r>
            <w:r w:rsidR="00A42F52" w:rsidRPr="00FF2F08">
              <w:rPr>
                <w:rFonts w:ascii="Times New Roman" w:hAnsi="Times New Roman" w:cs="Times New Roman"/>
                <w:noProof/>
                <w:sz w:val="22"/>
                <w:szCs w:val="22"/>
              </w:rPr>
              <w:t>иј</w:t>
            </w:r>
            <w:r w:rsidRPr="00FF2F08">
              <w:rPr>
                <w:rFonts w:ascii="Times New Roman" w:hAnsi="Times New Roman" w:cs="Times New Roman"/>
                <w:noProof/>
                <w:sz w:val="22"/>
                <w:szCs w:val="22"/>
                <w:lang w:val="hr-HR"/>
              </w:rPr>
              <w:t>енити на основу расположивих података).</w:t>
            </w:r>
          </w:p>
          <w:p w:rsidR="004B0BDE" w:rsidRPr="00FF2F08" w:rsidRDefault="004B0BDE" w:rsidP="00476708">
            <w:pPr>
              <w:autoSpaceDE w:val="0"/>
              <w:autoSpaceDN w:val="0"/>
              <w:adjustRightInd w:val="0"/>
              <w:rPr>
                <w:rFonts w:ascii="Times New Roman" w:hAnsi="Times New Roman" w:cs="Times New Roman"/>
                <w:noProof/>
                <w:sz w:val="22"/>
                <w:szCs w:val="22"/>
                <w:lang w:val="hr-HR"/>
              </w:rPr>
            </w:pPr>
          </w:p>
          <w:p w:rsidR="00E83FC7" w:rsidRPr="00FF2F08" w:rsidRDefault="00E83FC7" w:rsidP="00476708">
            <w:pPr>
              <w:autoSpaceDE w:val="0"/>
              <w:autoSpaceDN w:val="0"/>
              <w:adjustRightInd w:val="0"/>
              <w:rPr>
                <w:rFonts w:ascii="Times New Roman" w:hAnsi="Times New Roman" w:cs="Times New Roman"/>
                <w:noProof/>
                <w:sz w:val="22"/>
                <w:szCs w:val="22"/>
                <w:lang w:val="hr-HR"/>
              </w:rPr>
            </w:pPr>
          </w:p>
          <w:p w:rsidR="00E83FC7" w:rsidRPr="00FF2F08" w:rsidRDefault="00E83FC7" w:rsidP="00476708">
            <w:pPr>
              <w:autoSpaceDE w:val="0"/>
              <w:autoSpaceDN w:val="0"/>
              <w:adjustRightInd w:val="0"/>
              <w:rPr>
                <w:rFonts w:ascii="Times New Roman" w:hAnsi="Times New Roman" w:cs="Times New Roman"/>
                <w:noProof/>
                <w:sz w:val="22"/>
                <w:szCs w:val="22"/>
                <w:lang w:val="hr-HR"/>
              </w:rPr>
            </w:pPr>
          </w:p>
          <w:tbl>
            <w:tblPr>
              <w:tblW w:w="810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09"/>
              <w:gridCol w:w="3437"/>
              <w:gridCol w:w="1560"/>
            </w:tblGrid>
            <w:tr w:rsidR="004B0BDE" w:rsidRPr="00FF2F08" w:rsidTr="00865739">
              <w:tc>
                <w:tcPr>
                  <w:tcW w:w="1918"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b/>
                      <w:bCs/>
                      <w:sz w:val="22"/>
                      <w:szCs w:val="22"/>
                    </w:rPr>
                    <w:t>MedDRA</w:t>
                  </w:r>
                  <w:r w:rsidR="00746C7E" w:rsidRPr="00FF2F08">
                    <w:rPr>
                      <w:rFonts w:ascii="Times New Roman" w:hAnsi="Times New Roman" w:cs="Times New Roman"/>
                      <w:b/>
                      <w:bCs/>
                      <w:sz w:val="22"/>
                      <w:szCs w:val="22"/>
                      <w:lang w:val="mk-MK"/>
                    </w:rPr>
                    <w:t xml:space="preserve"> </w:t>
                  </w:r>
                  <w:r w:rsidR="00561A38" w:rsidRPr="00FF2F08">
                    <w:rPr>
                      <w:rFonts w:ascii="Times New Roman" w:hAnsi="Times New Roman" w:cs="Times New Roman"/>
                      <w:sz w:val="22"/>
                      <w:szCs w:val="22"/>
                    </w:rPr>
                    <w:t>класификација система органа</w:t>
                  </w:r>
                </w:p>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b/>
                      <w:bCs/>
                      <w:sz w:val="22"/>
                      <w:szCs w:val="22"/>
                    </w:rPr>
                    <w:t>Нежељена дејства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561A38" w:rsidP="00865739">
                  <w:pPr>
                    <w:jc w:val="left"/>
                    <w:rPr>
                      <w:rFonts w:ascii="Times New Roman" w:hAnsi="Times New Roman" w:cs="Times New Roman"/>
                      <w:sz w:val="22"/>
                      <w:szCs w:val="22"/>
                    </w:rPr>
                  </w:pPr>
                  <w:r w:rsidRPr="00FF2F08">
                    <w:rPr>
                      <w:rFonts w:ascii="Times New Roman" w:hAnsi="Times New Roman" w:cs="Times New Roman"/>
                      <w:b/>
                      <w:bCs/>
                      <w:sz w:val="22"/>
                      <w:szCs w:val="22"/>
                    </w:rPr>
                    <w:t>Учесталост</w:t>
                  </w:r>
                  <w:r w:rsidR="00746C7E" w:rsidRPr="00FF2F08">
                    <w:rPr>
                      <w:rFonts w:ascii="Times New Roman" w:hAnsi="Times New Roman" w:cs="Times New Roman"/>
                      <w:b/>
                      <w:bCs/>
                      <w:sz w:val="22"/>
                      <w:szCs w:val="22"/>
                      <w:lang w:val="mk-MK"/>
                    </w:rPr>
                    <w:t xml:space="preserve"> </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3504B0" w:rsidRPr="00FF2F08" w:rsidRDefault="000E55C0" w:rsidP="00865739">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Поремећаји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крви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лимфног</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система</w:t>
                  </w:r>
                </w:p>
                <w:p w:rsidR="004B0BDE" w:rsidRPr="00FF2F08" w:rsidRDefault="004B0BDE" w:rsidP="00865739">
                  <w:pPr>
                    <w:jc w:val="left"/>
                    <w:rPr>
                      <w:rFonts w:ascii="Times New Roman" w:hAnsi="Times New Roman" w:cs="Times New Roman"/>
                      <w:sz w:val="22"/>
                      <w:szCs w:val="22"/>
                      <w:lang w:val="hr-HR"/>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bCs/>
                      <w:sz w:val="22"/>
                      <w:szCs w:val="22"/>
                    </w:rPr>
                    <w:t>агранулоцитоза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56206A" w:rsidP="00865739">
                  <w:pPr>
                    <w:jc w:val="left"/>
                    <w:rPr>
                      <w:rFonts w:ascii="Times New Roman" w:hAnsi="Times New Roman" w:cs="Times New Roman"/>
                      <w:sz w:val="22"/>
                      <w:szCs w:val="22"/>
                    </w:rPr>
                  </w:pPr>
                  <w:r w:rsidRPr="00FF2F08">
                    <w:rPr>
                      <w:rFonts w:ascii="Times New Roman" w:hAnsi="Times New Roman" w:cs="Times New Roman"/>
                      <w:bCs/>
                      <w:sz w:val="22"/>
                      <w:szCs w:val="22"/>
                      <w:lang w:val="sr-Cyrl-ME"/>
                    </w:rPr>
                    <w:t>а</w:t>
                  </w:r>
                  <w:r w:rsidR="00746C7E" w:rsidRPr="00FF2F08">
                    <w:rPr>
                      <w:rFonts w:ascii="Times New Roman" w:hAnsi="Times New Roman" w:cs="Times New Roman"/>
                      <w:bCs/>
                      <w:sz w:val="22"/>
                      <w:szCs w:val="22"/>
                    </w:rPr>
                    <w:t>пластична</w:t>
                  </w:r>
                  <w:r w:rsidRPr="00FF2F08">
                    <w:rPr>
                      <w:rFonts w:ascii="Times New Roman" w:hAnsi="Times New Roman" w:cs="Times New Roman"/>
                      <w:bCs/>
                      <w:sz w:val="22"/>
                      <w:szCs w:val="22"/>
                      <w:lang w:val="sr-Cyrl-ME"/>
                    </w:rPr>
                    <w:t xml:space="preserve"> </w:t>
                  </w:r>
                  <w:r w:rsidR="00746C7E" w:rsidRPr="00FF2F08">
                    <w:rPr>
                      <w:rFonts w:ascii="Times New Roman" w:hAnsi="Times New Roman" w:cs="Times New Roman"/>
                      <w:bCs/>
                      <w:sz w:val="22"/>
                      <w:szCs w:val="22"/>
                    </w:rPr>
                    <w:t>анемија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56206A" w:rsidP="00865739">
                  <w:pPr>
                    <w:jc w:val="left"/>
                    <w:rPr>
                      <w:rFonts w:ascii="Times New Roman" w:hAnsi="Times New Roman" w:cs="Times New Roman"/>
                      <w:sz w:val="22"/>
                      <w:szCs w:val="22"/>
                    </w:rPr>
                  </w:pPr>
                  <w:r w:rsidRPr="00FF2F08">
                    <w:rPr>
                      <w:rFonts w:ascii="Times New Roman" w:hAnsi="Times New Roman" w:cs="Times New Roman"/>
                      <w:bCs/>
                      <w:sz w:val="22"/>
                      <w:szCs w:val="22"/>
                      <w:lang w:val="sr-Cyrl-ME"/>
                    </w:rPr>
                    <w:t>х</w:t>
                  </w:r>
                  <w:r w:rsidR="00746C7E" w:rsidRPr="00FF2F08">
                    <w:rPr>
                      <w:rFonts w:ascii="Times New Roman" w:hAnsi="Times New Roman" w:cs="Times New Roman"/>
                      <w:bCs/>
                      <w:sz w:val="22"/>
                      <w:szCs w:val="22"/>
                    </w:rPr>
                    <w:t>емолитичка</w:t>
                  </w:r>
                  <w:r w:rsidRPr="00FF2F08">
                    <w:rPr>
                      <w:rFonts w:ascii="Times New Roman" w:hAnsi="Times New Roman" w:cs="Times New Roman"/>
                      <w:bCs/>
                      <w:sz w:val="22"/>
                      <w:szCs w:val="22"/>
                      <w:lang w:val="sr-Cyrl-ME"/>
                    </w:rPr>
                    <w:t xml:space="preserve"> </w:t>
                  </w:r>
                  <w:r w:rsidR="00746C7E" w:rsidRPr="00FF2F08">
                    <w:rPr>
                      <w:rFonts w:ascii="Times New Roman" w:hAnsi="Times New Roman" w:cs="Times New Roman"/>
                      <w:bCs/>
                      <w:sz w:val="22"/>
                      <w:szCs w:val="22"/>
                    </w:rPr>
                    <w:t>анемија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bCs/>
                      <w:sz w:val="22"/>
                      <w:szCs w:val="22"/>
                    </w:rPr>
                    <w:t>леукопенија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bCs/>
                      <w:sz w:val="22"/>
                      <w:szCs w:val="22"/>
                    </w:rPr>
                    <w:t>тромбоцитопенија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3504B0" w:rsidRPr="00FF2F08" w:rsidRDefault="000E55C0" w:rsidP="00865739">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Поремећај</w:t>
                  </w:r>
                  <w:r w:rsidR="0056206A" w:rsidRPr="00FF2F08">
                    <w:rPr>
                      <w:rFonts w:ascii="Times New Roman" w:hAnsi="Times New Roman" w:cs="Times New Roman"/>
                      <w:b/>
                      <w:bCs/>
                      <w:sz w:val="22"/>
                      <w:szCs w:val="22"/>
                      <w:lang w:val="sr-Cyrl-ME"/>
                    </w:rPr>
                    <w:t>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метаболизма</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исхране</w:t>
                  </w:r>
                </w:p>
                <w:p w:rsidR="004B0BDE" w:rsidRPr="00FF2F08" w:rsidRDefault="004B0BDE" w:rsidP="00865739">
                  <w:pPr>
                    <w:jc w:val="left"/>
                    <w:rPr>
                      <w:rFonts w:ascii="Times New Roman" w:hAnsi="Times New Roman" w:cs="Times New Roman"/>
                      <w:sz w:val="22"/>
                      <w:szCs w:val="22"/>
                      <w:lang w:val="hr-HR"/>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хиперкалцемија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pPr>
                    <w:jc w:val="left"/>
                    <w:rPr>
                      <w:rFonts w:ascii="Times New Roman" w:hAnsi="Times New Roman" w:cs="Times New Roman"/>
                      <w:sz w:val="22"/>
                      <w:szCs w:val="22"/>
                    </w:rPr>
                  </w:pPr>
                  <w:r w:rsidRPr="00FF2F08">
                    <w:rPr>
                      <w:rFonts w:ascii="Times New Roman" w:hAnsi="Times New Roman" w:cs="Times New Roman"/>
                      <w:sz w:val="22"/>
                      <w:szCs w:val="22"/>
                    </w:rPr>
                    <w:t>губитак калијума са хипокалемијом, посебно о</w:t>
                  </w:r>
                  <w:r w:rsidR="0056206A" w:rsidRPr="00FF2F08">
                    <w:rPr>
                      <w:rFonts w:ascii="Times New Roman" w:hAnsi="Times New Roman" w:cs="Times New Roman"/>
                      <w:sz w:val="22"/>
                      <w:szCs w:val="22"/>
                      <w:lang w:val="sr-Cyrl-ME"/>
                    </w:rPr>
                    <w:t>збиљан</w:t>
                  </w:r>
                  <w:r w:rsidRPr="00FF2F08">
                    <w:rPr>
                      <w:rFonts w:ascii="Times New Roman" w:hAnsi="Times New Roman" w:cs="Times New Roman"/>
                      <w:sz w:val="22"/>
                      <w:szCs w:val="22"/>
                    </w:rPr>
                    <w:t xml:space="preserve"> код одређених популација са високим ризиком (видјети одјељак 4.4)</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56206A" w:rsidP="00865739">
                  <w:pPr>
                    <w:jc w:val="left"/>
                    <w:rPr>
                      <w:rFonts w:ascii="Times New Roman" w:hAnsi="Times New Roman" w:cs="Times New Roman"/>
                      <w:sz w:val="22"/>
                      <w:szCs w:val="22"/>
                    </w:rPr>
                  </w:pPr>
                  <w:r w:rsidRPr="00FF2F08">
                    <w:rPr>
                      <w:rFonts w:ascii="Times New Roman" w:hAnsi="Times New Roman" w:cs="Times New Roman"/>
                      <w:sz w:val="22"/>
                      <w:szCs w:val="22"/>
                      <w:lang w:val="sr-Cyrl-ME"/>
                    </w:rPr>
                    <w:t>х</w:t>
                  </w:r>
                  <w:r w:rsidR="000E55C0" w:rsidRPr="00FF2F08">
                    <w:rPr>
                      <w:rFonts w:ascii="Times New Roman" w:hAnsi="Times New Roman" w:cs="Times New Roman"/>
                      <w:sz w:val="22"/>
                      <w:szCs w:val="22"/>
                    </w:rPr>
                    <w:t>ипонатремија</w:t>
                  </w:r>
                  <w:r w:rsidRPr="00FF2F08">
                    <w:rPr>
                      <w:rFonts w:ascii="Times New Roman" w:hAnsi="Times New Roman" w:cs="Times New Roman"/>
                      <w:sz w:val="22"/>
                      <w:szCs w:val="22"/>
                      <w:lang w:val="sr-Cyrl-ME"/>
                    </w:rPr>
                    <w:t xml:space="preserve"> </w:t>
                  </w:r>
                  <w:r w:rsidR="000E55C0" w:rsidRPr="00FF2F08">
                    <w:rPr>
                      <w:rFonts w:ascii="Times New Roman" w:hAnsi="Times New Roman" w:cs="Times New Roman"/>
                      <w:sz w:val="22"/>
                      <w:szCs w:val="22"/>
                    </w:rPr>
                    <w:t>(видјети одјељак 4.4)</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07059E" w:rsidRPr="00FF2F08" w:rsidRDefault="000E55C0" w:rsidP="00C04B2E">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Поремећаји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нервног</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система</w:t>
                  </w:r>
                </w:p>
                <w:p w:rsidR="004B0BDE" w:rsidRPr="00FF2F08" w:rsidRDefault="004B0BDE" w:rsidP="00865739">
                  <w:pPr>
                    <w:jc w:val="left"/>
                    <w:rPr>
                      <w:rFonts w:ascii="Times New Roman" w:hAnsi="Times New Roman" w:cs="Times New Roman"/>
                      <w:sz w:val="22"/>
                      <w:szCs w:val="22"/>
                      <w:lang w:val="hr-HR"/>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lang w:val="mk-MK"/>
                    </w:rPr>
                  </w:pPr>
                  <w:r w:rsidRPr="00FF2F08">
                    <w:rPr>
                      <w:rFonts w:ascii="Times New Roman" w:hAnsi="Times New Roman" w:cs="Times New Roman"/>
                      <w:sz w:val="22"/>
                      <w:szCs w:val="22"/>
                    </w:rPr>
                    <w:t>вертиг</w:t>
                  </w:r>
                  <w:r w:rsidRPr="00FF2F08">
                    <w:rPr>
                      <w:rFonts w:ascii="Times New Roman" w:hAnsi="Times New Roman" w:cs="Times New Roman"/>
                      <w:sz w:val="22"/>
                      <w:szCs w:val="22"/>
                      <w:lang w:val="mk-MK"/>
                    </w:rPr>
                    <w:t>о</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замор</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главобоља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парестезија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синкопа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4B0BDE" w:rsidRPr="00FF2F08" w:rsidRDefault="002138BC" w:rsidP="00865739">
                  <w:pPr>
                    <w:jc w:val="left"/>
                    <w:rPr>
                      <w:rFonts w:ascii="Times New Roman" w:hAnsi="Times New Roman" w:cs="Times New Roman"/>
                      <w:sz w:val="22"/>
                      <w:szCs w:val="22"/>
                    </w:rPr>
                  </w:pPr>
                  <w:r w:rsidRPr="00FF2F08">
                    <w:rPr>
                      <w:rFonts w:ascii="Times New Roman" w:hAnsi="Times New Roman" w:cs="Times New Roman"/>
                      <w:b/>
                      <w:bCs/>
                      <w:sz w:val="22"/>
                      <w:szCs w:val="22"/>
                      <w:lang w:val="mk-MK"/>
                    </w:rPr>
                    <w:t>Поремећаји ока</w:t>
                  </w: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м</w:t>
                  </w:r>
                  <w:r w:rsidR="00561A38" w:rsidRPr="00FF2F08">
                    <w:rPr>
                      <w:rFonts w:ascii="Times New Roman" w:hAnsi="Times New Roman" w:cs="Times New Roman"/>
                      <w:sz w:val="22"/>
                      <w:szCs w:val="22"/>
                    </w:rPr>
                    <w:t>иопиа</w:t>
                  </w:r>
                  <w:r w:rsidRPr="00FF2F08">
                    <w:rPr>
                      <w:rFonts w:ascii="Times New Roman" w:hAnsi="Times New Roman" w:cs="Times New Roman"/>
                      <w:sz w:val="22"/>
                      <w:szCs w:val="22"/>
                      <w:lang w:val="mk-MK"/>
                    </w:rPr>
                    <w:t xml:space="preserve"> </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561A38" w:rsidP="00865739">
                  <w:pPr>
                    <w:jc w:val="left"/>
                    <w:rPr>
                      <w:rFonts w:ascii="Times New Roman" w:hAnsi="Times New Roman" w:cs="Times New Roman"/>
                      <w:sz w:val="22"/>
                      <w:szCs w:val="22"/>
                    </w:rPr>
                  </w:pPr>
                  <w:r w:rsidRPr="00FF2F08">
                    <w:rPr>
                      <w:rFonts w:ascii="Times New Roman" w:hAnsi="Times New Roman" w:cs="Times New Roman"/>
                      <w:sz w:val="22"/>
                      <w:szCs w:val="22"/>
                    </w:rPr>
                    <w:t>замућен вид</w:t>
                  </w:r>
                  <w:r w:rsidR="00746C7E" w:rsidRPr="00FF2F08">
                    <w:rPr>
                      <w:rFonts w:ascii="Times New Roman" w:hAnsi="Times New Roman" w:cs="Times New Roman"/>
                      <w:sz w:val="22"/>
                      <w:szCs w:val="22"/>
                      <w:lang w:val="mk-MK"/>
                    </w:rPr>
                    <w:t xml:space="preserve"> </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561A38" w:rsidP="00865739">
                  <w:pPr>
                    <w:jc w:val="left"/>
                    <w:rPr>
                      <w:rFonts w:ascii="Times New Roman" w:hAnsi="Times New Roman" w:cs="Times New Roman"/>
                      <w:sz w:val="22"/>
                      <w:szCs w:val="22"/>
                    </w:rPr>
                  </w:pPr>
                  <w:r w:rsidRPr="00FF2F08">
                    <w:rPr>
                      <w:rFonts w:ascii="Times New Roman" w:hAnsi="Times New Roman" w:cs="Times New Roman"/>
                      <w:sz w:val="22"/>
                      <w:szCs w:val="22"/>
                    </w:rPr>
                    <w:t>оштећење вида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DF219B" w:rsidRPr="00FF2F08" w:rsidRDefault="000E55C0" w:rsidP="00865739">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Кардиолошки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поремећаји</w:t>
                  </w:r>
                </w:p>
                <w:p w:rsidR="004B0BDE" w:rsidRPr="00FF2F08" w:rsidRDefault="004B0BDE" w:rsidP="00865739">
                  <w:pPr>
                    <w:jc w:val="left"/>
                    <w:rPr>
                      <w:rFonts w:ascii="Times New Roman" w:hAnsi="Times New Roman" w:cs="Times New Roman"/>
                      <w:sz w:val="22"/>
                      <w:szCs w:val="22"/>
                      <w:lang w:val="hr-HR"/>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а</w:t>
                  </w:r>
                  <w:r w:rsidR="000E55C0" w:rsidRPr="00FF2F08">
                    <w:rPr>
                      <w:rFonts w:ascii="Times New Roman" w:hAnsi="Times New Roman" w:cs="Times New Roman"/>
                      <w:sz w:val="22"/>
                      <w:szCs w:val="22"/>
                    </w:rPr>
                    <w:t>ритмија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torsade de pointes (потенцијално смртоносна) (видјети одјељке 4.4. и 4.5)</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b/>
                      <w:sz w:val="22"/>
                      <w:szCs w:val="22"/>
                      <w:lang w:val="mk-MK"/>
                    </w:rPr>
                  </w:pPr>
                  <w:r w:rsidRPr="00FF2F08">
                    <w:rPr>
                      <w:rFonts w:ascii="Times New Roman" w:hAnsi="Times New Roman" w:cs="Times New Roman"/>
                      <w:b/>
                      <w:sz w:val="22"/>
                      <w:szCs w:val="22"/>
                      <w:lang w:val="mk-MK"/>
                    </w:rPr>
                    <w:t>Васкуларни поремећаји</w:t>
                  </w: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х</w:t>
                  </w:r>
                  <w:r w:rsidR="000E55C0" w:rsidRPr="00FF2F08">
                    <w:rPr>
                      <w:rFonts w:ascii="Times New Roman" w:hAnsi="Times New Roman" w:cs="Times New Roman"/>
                      <w:sz w:val="22"/>
                      <w:szCs w:val="22"/>
                    </w:rPr>
                    <w:t>ипотензија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DF219B" w:rsidRPr="00FF2F08" w:rsidRDefault="000E55C0" w:rsidP="00865739">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Гастроинтестинални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поремећаји</w:t>
                  </w:r>
                </w:p>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повраћање</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повремено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мучнина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746C7E" w:rsidP="00865739">
                  <w:pPr>
                    <w:jc w:val="left"/>
                    <w:rPr>
                      <w:rFonts w:ascii="Times New Roman" w:hAnsi="Times New Roman" w:cs="Times New Roman"/>
                      <w:sz w:val="22"/>
                      <w:szCs w:val="22"/>
                    </w:rPr>
                  </w:pPr>
                  <w:r w:rsidRPr="00FF2F08">
                    <w:rPr>
                      <w:rFonts w:ascii="Times New Roman" w:hAnsi="Times New Roman" w:cs="Times New Roman"/>
                      <w:sz w:val="22"/>
                      <w:szCs w:val="22"/>
                    </w:rPr>
                    <w:t>опстипација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сува уста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панкреатитис</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DF219B" w:rsidRPr="00FF2F08" w:rsidRDefault="000E55C0" w:rsidP="00865739">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Хепатобилијарни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поремећаји</w:t>
                  </w:r>
                </w:p>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lastRenderedPageBreak/>
                    <w:t>поремећај рада јетре</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могућност појаве хепатичне енцефалопатије у случају инсуфицијенције јетре (видјети одјељке 4.3 и 4.4).</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хепатитис</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310463" w:rsidRPr="00FF2F08" w:rsidRDefault="000E55C0" w:rsidP="00865739">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Поремећаји</w:t>
                  </w:r>
                  <w:r w:rsidR="00746C7E" w:rsidRPr="00FF2F08">
                    <w:rPr>
                      <w:rFonts w:ascii="Times New Roman" w:hAnsi="Times New Roman" w:cs="Times New Roman"/>
                      <w:b/>
                      <w:bCs/>
                      <w:sz w:val="22"/>
                      <w:szCs w:val="22"/>
                      <w:lang w:val="mk-MK"/>
                    </w:rPr>
                    <w:t xml:space="preserve"> коже</w:t>
                  </w:r>
                  <w:r w:rsidR="00487332" w:rsidRPr="00FF2F08">
                    <w:rPr>
                      <w:rFonts w:ascii="Times New Roman" w:hAnsi="Times New Roman" w:cs="Times New Roman"/>
                      <w:b/>
                      <w:bCs/>
                      <w:sz w:val="22"/>
                      <w:szCs w:val="22"/>
                    </w:rPr>
                    <w:t xml:space="preserve"> </w:t>
                  </w:r>
                  <w:r w:rsidR="00746C7E" w:rsidRPr="00FF2F08">
                    <w:rPr>
                      <w:rFonts w:ascii="Times New Roman" w:hAnsi="Times New Roman" w:cs="Times New Roman"/>
                      <w:b/>
                      <w:bCs/>
                      <w:sz w:val="22"/>
                      <w:szCs w:val="22"/>
                      <w:lang w:val="mk-MK"/>
                    </w:rPr>
                    <w:t xml:space="preserve">и </w:t>
                  </w:r>
                  <w:r w:rsidRPr="00FF2F08">
                    <w:rPr>
                      <w:rFonts w:ascii="Times New Roman" w:hAnsi="Times New Roman" w:cs="Times New Roman"/>
                      <w:b/>
                      <w:bCs/>
                      <w:sz w:val="22"/>
                      <w:szCs w:val="22"/>
                    </w:rPr>
                    <w:t>поткожног</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ткива</w:t>
                  </w:r>
                </w:p>
                <w:p w:rsidR="004B0BDE" w:rsidRPr="00FF2F08" w:rsidRDefault="004B0BDE" w:rsidP="00865739">
                  <w:pPr>
                    <w:jc w:val="left"/>
                    <w:rPr>
                      <w:rFonts w:ascii="Times New Roman" w:hAnsi="Times New Roman" w:cs="Times New Roman"/>
                      <w:sz w:val="22"/>
                      <w:szCs w:val="22"/>
                      <w:lang w:val="hr-HR"/>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pеакције преосјетљивости</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често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макулопапуларни осип</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често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пурпура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повремено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ангoедем</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уртикарија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токсична епидермална некролиза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Steven-Johnson синдром</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могуће је погоршање раније постојећег акутног дисеминованог еритематозног лупуса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фотосензитивнe реакцијe (видјети одјељак 4.4)</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tcBorders>
                    <w:top w:val="outset" w:sz="6" w:space="0" w:color="auto"/>
                    <w:left w:val="outset" w:sz="6" w:space="0" w:color="auto"/>
                    <w:bottom w:val="outset" w:sz="6" w:space="0" w:color="auto"/>
                    <w:right w:val="outset" w:sz="6" w:space="0" w:color="auto"/>
                  </w:tcBorders>
                  <w:hideMark/>
                </w:tcPr>
                <w:p w:rsidR="0007059E" w:rsidRPr="00FF2F08" w:rsidRDefault="000E55C0" w:rsidP="00C04B2E">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Поремећај</w:t>
                  </w:r>
                  <w:r w:rsidR="00E13B55" w:rsidRPr="00FF2F08">
                    <w:rPr>
                      <w:rFonts w:ascii="Times New Roman" w:hAnsi="Times New Roman" w:cs="Times New Roman"/>
                      <w:b/>
                      <w:bCs/>
                      <w:sz w:val="22"/>
                      <w:szCs w:val="22"/>
                      <w:lang w:val="sr-Cyrl-ME"/>
                    </w:rPr>
                    <w:t>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бубрега</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и</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уринарног</w:t>
                  </w:r>
                  <w:r w:rsidR="00487332" w:rsidRPr="00FF2F08">
                    <w:rPr>
                      <w:rFonts w:ascii="Times New Roman" w:hAnsi="Times New Roman" w:cs="Times New Roman"/>
                      <w:b/>
                      <w:bCs/>
                      <w:sz w:val="22"/>
                      <w:szCs w:val="22"/>
                    </w:rPr>
                    <w:t xml:space="preserve"> </w:t>
                  </w:r>
                  <w:r w:rsidRPr="00FF2F08">
                    <w:rPr>
                      <w:rFonts w:ascii="Times New Roman" w:hAnsi="Times New Roman" w:cs="Times New Roman"/>
                      <w:b/>
                      <w:bCs/>
                      <w:sz w:val="22"/>
                      <w:szCs w:val="22"/>
                    </w:rPr>
                    <w:t>система</w:t>
                  </w:r>
                </w:p>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бубрежна инсуфицијенција</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веома р</w:t>
                  </w:r>
                  <w:r w:rsidRPr="00FF2F08">
                    <w:rPr>
                      <w:rFonts w:ascii="Times New Roman" w:hAnsi="Times New Roman" w:cs="Times New Roman"/>
                      <w:sz w:val="22"/>
                      <w:szCs w:val="22"/>
                    </w:rPr>
                    <w:t>иј</w:t>
                  </w:r>
                  <w:r w:rsidRPr="00FF2F08">
                    <w:rPr>
                      <w:rFonts w:ascii="Times New Roman" w:hAnsi="Times New Roman" w:cs="Times New Roman"/>
                      <w:sz w:val="22"/>
                      <w:szCs w:val="22"/>
                      <w:lang w:val="hr-HR"/>
                    </w:rPr>
                    <w:t>етко</w:t>
                  </w:r>
                </w:p>
              </w:tc>
            </w:tr>
            <w:tr w:rsidR="004B0BDE" w:rsidRPr="00FF2F08" w:rsidTr="00865739">
              <w:tc>
                <w:tcPr>
                  <w:tcW w:w="1918" w:type="pct"/>
                  <w:vMerge w:val="restart"/>
                  <w:tcBorders>
                    <w:top w:val="outset" w:sz="6" w:space="0" w:color="auto"/>
                    <w:left w:val="outset" w:sz="6" w:space="0" w:color="auto"/>
                    <w:bottom w:val="outset" w:sz="6" w:space="0" w:color="auto"/>
                    <w:right w:val="outset" w:sz="6" w:space="0" w:color="auto"/>
                  </w:tcBorders>
                  <w:hideMark/>
                </w:tcPr>
                <w:p w:rsidR="00DF219B" w:rsidRPr="00FF2F08" w:rsidRDefault="000E55C0" w:rsidP="00865739">
                  <w:pPr>
                    <w:jc w:val="left"/>
                    <w:rPr>
                      <w:rFonts w:ascii="Times New Roman" w:hAnsi="Times New Roman" w:cs="Times New Roman"/>
                      <w:b/>
                      <w:bCs/>
                      <w:sz w:val="22"/>
                      <w:szCs w:val="22"/>
                      <w:lang w:val="hr-HR"/>
                    </w:rPr>
                  </w:pPr>
                  <w:r w:rsidRPr="00FF2F08">
                    <w:rPr>
                      <w:rFonts w:ascii="Times New Roman" w:hAnsi="Times New Roman" w:cs="Times New Roman"/>
                      <w:b/>
                      <w:bCs/>
                      <w:sz w:val="22"/>
                      <w:szCs w:val="22"/>
                    </w:rPr>
                    <w:t>Испитивања</w:t>
                  </w:r>
                </w:p>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07059E" w:rsidRPr="00FF2F08" w:rsidRDefault="000E55C0" w:rsidP="00C04B2E">
                  <w:pPr>
                    <w:jc w:val="left"/>
                    <w:rPr>
                      <w:rFonts w:ascii="Times New Roman" w:hAnsi="Times New Roman" w:cs="Times New Roman"/>
                      <w:sz w:val="22"/>
                      <w:szCs w:val="22"/>
                    </w:rPr>
                  </w:pPr>
                  <w:r w:rsidRPr="00FF2F08">
                    <w:rPr>
                      <w:rFonts w:ascii="Times New Roman" w:hAnsi="Times New Roman" w:cs="Times New Roman"/>
                      <w:sz w:val="22"/>
                      <w:szCs w:val="22"/>
                    </w:rPr>
                    <w:t>eлектрокардиограм QT продужен (видјети oдјељке 4.4 и 4.5)</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повећа</w:t>
                  </w:r>
                  <w:r w:rsidRPr="00FF2F08">
                    <w:rPr>
                      <w:rFonts w:ascii="Times New Roman" w:hAnsi="Times New Roman" w:cs="Times New Roman"/>
                      <w:sz w:val="22"/>
                      <w:szCs w:val="22"/>
                      <w:lang w:val="mk-MK"/>
                    </w:rPr>
                    <w:t>н</w:t>
                  </w:r>
                  <w:r w:rsidRPr="00FF2F08">
                    <w:rPr>
                      <w:rFonts w:ascii="Times New Roman" w:hAnsi="Times New Roman" w:cs="Times New Roman"/>
                      <w:sz w:val="22"/>
                      <w:szCs w:val="22"/>
                    </w:rPr>
                    <w:t xml:space="preserve">а </w:t>
                  </w:r>
                  <w:r w:rsidRPr="00FF2F08">
                    <w:rPr>
                      <w:rFonts w:ascii="Times New Roman" w:hAnsi="Times New Roman" w:cs="Times New Roman"/>
                      <w:sz w:val="22"/>
                      <w:szCs w:val="22"/>
                      <w:lang w:val="mk-MK"/>
                    </w:rPr>
                    <w:t>к</w:t>
                  </w:r>
                  <w:r w:rsidRPr="00FF2F08">
                    <w:rPr>
                      <w:rFonts w:ascii="Times New Roman" w:hAnsi="Times New Roman" w:cs="Times New Roman"/>
                      <w:sz w:val="22"/>
                      <w:szCs w:val="22"/>
                    </w:rPr>
                    <w:t>онцетрација глукозе у крви</w:t>
                  </w:r>
                  <w:r w:rsidR="00746C7E" w:rsidRPr="00FF2F08">
                    <w:rPr>
                      <w:rFonts w:ascii="Times New Roman" w:hAnsi="Times New Roman" w:cs="Times New Roman"/>
                      <w:sz w:val="22"/>
                      <w:szCs w:val="22"/>
                      <w:lang w:val="mk-MK"/>
                    </w:rPr>
                    <w:t xml:space="preserve"> </w:t>
                  </w:r>
                  <w:r w:rsidRPr="00FF2F08">
                    <w:rPr>
                      <w:rFonts w:ascii="Times New Roman" w:hAnsi="Times New Roman" w:cs="Times New Roman"/>
                      <w:sz w:val="22"/>
                      <w:szCs w:val="22"/>
                    </w:rPr>
                    <w:t>(видјети одјељак 4.4)</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rPr>
                    <w:t>повећана концетрација мокраћне кисјелине у крви (видјети одјељак 4.4)</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r w:rsidR="004B0BDE" w:rsidRPr="00FF2F08" w:rsidTr="00865739">
              <w:tc>
                <w:tcPr>
                  <w:tcW w:w="1918" w:type="pct"/>
                  <w:vMerge/>
                  <w:tcBorders>
                    <w:top w:val="outset" w:sz="6" w:space="0" w:color="auto"/>
                    <w:left w:val="outset" w:sz="6" w:space="0" w:color="auto"/>
                    <w:bottom w:val="outset" w:sz="6" w:space="0" w:color="auto"/>
                    <w:right w:val="outset" w:sz="6" w:space="0" w:color="auto"/>
                  </w:tcBorders>
                  <w:vAlign w:val="center"/>
                  <w:hideMark/>
                </w:tcPr>
                <w:p w:rsidR="004B0BDE" w:rsidRPr="00FF2F08" w:rsidRDefault="004B0BDE" w:rsidP="00865739">
                  <w:pPr>
                    <w:jc w:val="left"/>
                    <w:rPr>
                      <w:rFonts w:ascii="Times New Roman" w:hAnsi="Times New Roman" w:cs="Times New Roman"/>
                      <w:sz w:val="22"/>
                      <w:szCs w:val="22"/>
                    </w:rPr>
                  </w:pPr>
                </w:p>
              </w:tc>
              <w:tc>
                <w:tcPr>
                  <w:tcW w:w="2120"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mk-MK"/>
                    </w:rPr>
                    <w:t>п</w:t>
                  </w:r>
                  <w:r w:rsidRPr="00FF2F08">
                    <w:rPr>
                      <w:rFonts w:ascii="Times New Roman" w:hAnsi="Times New Roman" w:cs="Times New Roman"/>
                      <w:sz w:val="22"/>
                      <w:szCs w:val="22"/>
                    </w:rPr>
                    <w:t>овишен ниво ензима јетре</w:t>
                  </w:r>
                </w:p>
              </w:tc>
              <w:tc>
                <w:tcPr>
                  <w:tcW w:w="962" w:type="pct"/>
                  <w:tcBorders>
                    <w:top w:val="outset" w:sz="6" w:space="0" w:color="auto"/>
                    <w:left w:val="outset" w:sz="6" w:space="0" w:color="auto"/>
                    <w:bottom w:val="outset" w:sz="6" w:space="0" w:color="auto"/>
                    <w:right w:val="outset" w:sz="6" w:space="0" w:color="auto"/>
                  </w:tcBorders>
                  <w:hideMark/>
                </w:tcPr>
                <w:p w:rsidR="004B0BDE" w:rsidRPr="00FF2F08" w:rsidRDefault="000E55C0" w:rsidP="00865739">
                  <w:pPr>
                    <w:jc w:val="left"/>
                    <w:rPr>
                      <w:rFonts w:ascii="Times New Roman" w:hAnsi="Times New Roman" w:cs="Times New Roman"/>
                      <w:sz w:val="22"/>
                      <w:szCs w:val="22"/>
                    </w:rPr>
                  </w:pPr>
                  <w:r w:rsidRPr="00FF2F08">
                    <w:rPr>
                      <w:rFonts w:ascii="Times New Roman" w:hAnsi="Times New Roman" w:cs="Times New Roman"/>
                      <w:sz w:val="22"/>
                      <w:szCs w:val="22"/>
                      <w:lang w:val="hr-HR"/>
                    </w:rPr>
                    <w:t>непознато</w:t>
                  </w:r>
                </w:p>
              </w:tc>
            </w:tr>
          </w:tbl>
          <w:p w:rsidR="00560F51" w:rsidRPr="00FF2F08" w:rsidRDefault="00560F51" w:rsidP="00476708">
            <w:pPr>
              <w:autoSpaceDE w:val="0"/>
              <w:autoSpaceDN w:val="0"/>
              <w:adjustRightInd w:val="0"/>
              <w:rPr>
                <w:rFonts w:ascii="Times New Roman" w:hAnsi="Times New Roman" w:cs="Times New Roman"/>
                <w:i/>
                <w:noProof/>
                <w:sz w:val="22"/>
                <w:szCs w:val="22"/>
                <w:lang w:val="hr-HR"/>
              </w:rPr>
            </w:pPr>
          </w:p>
          <w:p w:rsidR="00B0540F" w:rsidRPr="00FF2F08" w:rsidRDefault="00B0540F" w:rsidP="00476708">
            <w:pPr>
              <w:pStyle w:val="Header"/>
              <w:rPr>
                <w:rFonts w:ascii="Times New Roman" w:hAnsi="Times New Roman"/>
                <w:bCs/>
                <w:sz w:val="22"/>
                <w:szCs w:val="22"/>
                <w:u w:val="single"/>
                <w:lang w:val="hr-HR"/>
              </w:rPr>
            </w:pPr>
            <w:r w:rsidRPr="00FF2F08">
              <w:rPr>
                <w:rFonts w:ascii="Times New Roman" w:hAnsi="Times New Roman"/>
                <w:bCs/>
                <w:sz w:val="22"/>
                <w:szCs w:val="22"/>
                <w:u w:val="single"/>
              </w:rPr>
              <w:t>Пријављивање</w:t>
            </w:r>
            <w:r w:rsidR="00746C7E" w:rsidRPr="00FF2F08">
              <w:rPr>
                <w:rFonts w:ascii="Times New Roman" w:hAnsi="Times New Roman"/>
                <w:bCs/>
                <w:sz w:val="22"/>
                <w:szCs w:val="22"/>
                <w:u w:val="single"/>
                <w:lang w:val="mk-MK"/>
              </w:rPr>
              <w:t xml:space="preserve"> </w:t>
            </w:r>
            <w:r w:rsidRPr="00FF2F08">
              <w:rPr>
                <w:rFonts w:ascii="Times New Roman" w:hAnsi="Times New Roman"/>
                <w:bCs/>
                <w:sz w:val="22"/>
                <w:szCs w:val="22"/>
                <w:u w:val="single"/>
              </w:rPr>
              <w:t>сумњи</w:t>
            </w:r>
            <w:r w:rsidR="00746C7E" w:rsidRPr="00FF2F08">
              <w:rPr>
                <w:rFonts w:ascii="Times New Roman" w:hAnsi="Times New Roman"/>
                <w:bCs/>
                <w:sz w:val="22"/>
                <w:szCs w:val="22"/>
                <w:u w:val="single"/>
                <w:lang w:val="mk-MK"/>
              </w:rPr>
              <w:t xml:space="preserve"> </w:t>
            </w:r>
            <w:r w:rsidRPr="00FF2F08">
              <w:rPr>
                <w:rFonts w:ascii="Times New Roman" w:hAnsi="Times New Roman"/>
                <w:bCs/>
                <w:sz w:val="22"/>
                <w:szCs w:val="22"/>
                <w:u w:val="single"/>
              </w:rPr>
              <w:t>на</w:t>
            </w:r>
            <w:r w:rsidR="00746C7E" w:rsidRPr="00FF2F08">
              <w:rPr>
                <w:rFonts w:ascii="Times New Roman" w:hAnsi="Times New Roman"/>
                <w:bCs/>
                <w:sz w:val="22"/>
                <w:szCs w:val="22"/>
                <w:u w:val="single"/>
                <w:lang w:val="mk-MK"/>
              </w:rPr>
              <w:t xml:space="preserve"> </w:t>
            </w:r>
            <w:r w:rsidRPr="00FF2F08">
              <w:rPr>
                <w:rFonts w:ascii="Times New Roman" w:hAnsi="Times New Roman"/>
                <w:bCs/>
                <w:sz w:val="22"/>
                <w:szCs w:val="22"/>
                <w:u w:val="single"/>
              </w:rPr>
              <w:t>нежељена</w:t>
            </w:r>
            <w:r w:rsidR="00746C7E" w:rsidRPr="00FF2F08">
              <w:rPr>
                <w:rFonts w:ascii="Times New Roman" w:hAnsi="Times New Roman"/>
                <w:bCs/>
                <w:sz w:val="22"/>
                <w:szCs w:val="22"/>
                <w:u w:val="single"/>
                <w:lang w:val="mk-MK"/>
              </w:rPr>
              <w:t xml:space="preserve"> </w:t>
            </w:r>
            <w:r w:rsidRPr="00FF2F08">
              <w:rPr>
                <w:rFonts w:ascii="Times New Roman" w:hAnsi="Times New Roman"/>
                <w:bCs/>
                <w:sz w:val="22"/>
                <w:szCs w:val="22"/>
                <w:u w:val="single"/>
              </w:rPr>
              <w:t>дејства</w:t>
            </w:r>
          </w:p>
          <w:p w:rsidR="00C04B2E" w:rsidRPr="00FF2F08" w:rsidRDefault="00C04B2E" w:rsidP="00476708">
            <w:pPr>
              <w:pStyle w:val="Header"/>
              <w:rPr>
                <w:rFonts w:ascii="Times New Roman" w:hAnsi="Times New Roman"/>
                <w:bCs/>
                <w:sz w:val="22"/>
                <w:szCs w:val="22"/>
              </w:rPr>
            </w:pPr>
          </w:p>
          <w:p w:rsidR="00B0540F" w:rsidRPr="00FF2F08" w:rsidRDefault="00B0540F" w:rsidP="00476708">
            <w:pPr>
              <w:pStyle w:val="Header"/>
              <w:rPr>
                <w:rFonts w:ascii="Times New Roman" w:hAnsi="Times New Roman"/>
                <w:bCs/>
                <w:sz w:val="22"/>
                <w:szCs w:val="22"/>
                <w:lang w:val="hr-HR"/>
              </w:rPr>
            </w:pPr>
            <w:r w:rsidRPr="00FF2F08">
              <w:rPr>
                <w:rFonts w:ascii="Times New Roman" w:hAnsi="Times New Roman"/>
                <w:bCs/>
                <w:sz w:val="22"/>
                <w:szCs w:val="22"/>
              </w:rPr>
              <w:t>Пријављивање</w:t>
            </w:r>
            <w:r w:rsidR="00487332" w:rsidRPr="00FF2F08">
              <w:rPr>
                <w:rFonts w:ascii="Times New Roman" w:hAnsi="Times New Roman"/>
                <w:bCs/>
                <w:sz w:val="22"/>
                <w:szCs w:val="22"/>
              </w:rPr>
              <w:t xml:space="preserve"> </w:t>
            </w:r>
            <w:r w:rsidRPr="00FF2F08">
              <w:rPr>
                <w:rFonts w:ascii="Times New Roman" w:hAnsi="Times New Roman"/>
                <w:bCs/>
                <w:sz w:val="22"/>
                <w:szCs w:val="22"/>
              </w:rPr>
              <w:t>нежељених</w:t>
            </w:r>
            <w:r w:rsidR="00487332" w:rsidRPr="00FF2F08">
              <w:rPr>
                <w:rFonts w:ascii="Times New Roman" w:hAnsi="Times New Roman"/>
                <w:bCs/>
                <w:sz w:val="22"/>
                <w:szCs w:val="22"/>
              </w:rPr>
              <w:t xml:space="preserve"> </w:t>
            </w:r>
            <w:r w:rsidRPr="00FF2F08">
              <w:rPr>
                <w:rFonts w:ascii="Times New Roman" w:hAnsi="Times New Roman"/>
                <w:bCs/>
                <w:sz w:val="22"/>
                <w:szCs w:val="22"/>
              </w:rPr>
              <w:t>дејстава</w:t>
            </w:r>
            <w:r w:rsidR="00487332" w:rsidRPr="00FF2F08">
              <w:rPr>
                <w:rFonts w:ascii="Times New Roman" w:hAnsi="Times New Roman"/>
                <w:bCs/>
                <w:sz w:val="22"/>
                <w:szCs w:val="22"/>
              </w:rPr>
              <w:t xml:space="preserve"> </w:t>
            </w:r>
            <w:r w:rsidRPr="00FF2F08">
              <w:rPr>
                <w:rFonts w:ascii="Times New Roman" w:hAnsi="Times New Roman"/>
                <w:bCs/>
                <w:sz w:val="22"/>
                <w:szCs w:val="22"/>
              </w:rPr>
              <w:t>након</w:t>
            </w:r>
            <w:r w:rsidR="00487332" w:rsidRPr="00FF2F08">
              <w:rPr>
                <w:rFonts w:ascii="Times New Roman" w:hAnsi="Times New Roman"/>
                <w:bCs/>
                <w:sz w:val="22"/>
                <w:szCs w:val="22"/>
              </w:rPr>
              <w:t xml:space="preserve"> </w:t>
            </w:r>
            <w:r w:rsidRPr="00FF2F08">
              <w:rPr>
                <w:rFonts w:ascii="Times New Roman" w:hAnsi="Times New Roman"/>
                <w:bCs/>
                <w:sz w:val="22"/>
                <w:szCs w:val="22"/>
              </w:rPr>
              <w:t>добијања</w:t>
            </w:r>
            <w:r w:rsidR="00487332" w:rsidRPr="00FF2F08">
              <w:rPr>
                <w:rFonts w:ascii="Times New Roman" w:hAnsi="Times New Roman"/>
                <w:bCs/>
                <w:sz w:val="22"/>
                <w:szCs w:val="22"/>
              </w:rPr>
              <w:t xml:space="preserve"> </w:t>
            </w:r>
            <w:r w:rsidRPr="00FF2F08">
              <w:rPr>
                <w:rFonts w:ascii="Times New Roman" w:hAnsi="Times New Roman"/>
                <w:bCs/>
                <w:sz w:val="22"/>
                <w:szCs w:val="22"/>
              </w:rPr>
              <w:t>дозволе</w:t>
            </w:r>
            <w:r w:rsidR="00487332" w:rsidRPr="00FF2F08">
              <w:rPr>
                <w:rFonts w:ascii="Times New Roman" w:hAnsi="Times New Roman"/>
                <w:bCs/>
                <w:sz w:val="22"/>
                <w:szCs w:val="22"/>
              </w:rPr>
              <w:t xml:space="preserve"> </w:t>
            </w:r>
            <w:r w:rsidRPr="00FF2F08">
              <w:rPr>
                <w:rFonts w:ascii="Times New Roman" w:hAnsi="Times New Roman"/>
                <w:bCs/>
                <w:sz w:val="22"/>
                <w:szCs w:val="22"/>
              </w:rPr>
              <w:t>је</w:t>
            </w:r>
            <w:r w:rsidR="00487332" w:rsidRPr="00FF2F08">
              <w:rPr>
                <w:rFonts w:ascii="Times New Roman" w:hAnsi="Times New Roman"/>
                <w:bCs/>
                <w:sz w:val="22"/>
                <w:szCs w:val="22"/>
              </w:rPr>
              <w:t xml:space="preserve"> </w:t>
            </w:r>
            <w:r w:rsidRPr="00FF2F08">
              <w:rPr>
                <w:rFonts w:ascii="Times New Roman" w:hAnsi="Times New Roman"/>
                <w:bCs/>
                <w:sz w:val="22"/>
                <w:szCs w:val="22"/>
              </w:rPr>
              <w:t>од</w:t>
            </w:r>
            <w:r w:rsidR="00487332" w:rsidRPr="00FF2F08">
              <w:rPr>
                <w:rFonts w:ascii="Times New Roman" w:hAnsi="Times New Roman"/>
                <w:bCs/>
                <w:sz w:val="22"/>
                <w:szCs w:val="22"/>
              </w:rPr>
              <w:t xml:space="preserve"> </w:t>
            </w:r>
            <w:r w:rsidRPr="00FF2F08">
              <w:rPr>
                <w:rFonts w:ascii="Times New Roman" w:hAnsi="Times New Roman"/>
                <w:bCs/>
                <w:sz w:val="22"/>
                <w:szCs w:val="22"/>
              </w:rPr>
              <w:t>великог</w:t>
            </w:r>
            <w:r w:rsidR="00487332" w:rsidRPr="00FF2F08">
              <w:rPr>
                <w:rFonts w:ascii="Times New Roman" w:hAnsi="Times New Roman"/>
                <w:bCs/>
                <w:sz w:val="22"/>
                <w:szCs w:val="22"/>
              </w:rPr>
              <w:t xml:space="preserve"> </w:t>
            </w:r>
            <w:r w:rsidRPr="00FF2F08">
              <w:rPr>
                <w:rFonts w:ascii="Times New Roman" w:hAnsi="Times New Roman"/>
                <w:bCs/>
                <w:sz w:val="22"/>
                <w:szCs w:val="22"/>
              </w:rPr>
              <w:t>значаја</w:t>
            </w:r>
            <w:r w:rsidR="00487332" w:rsidRPr="00FF2F08">
              <w:rPr>
                <w:rFonts w:ascii="Times New Roman" w:hAnsi="Times New Roman"/>
                <w:bCs/>
                <w:sz w:val="22"/>
                <w:szCs w:val="22"/>
              </w:rPr>
              <w:t xml:space="preserve"> </w:t>
            </w:r>
            <w:r w:rsidRPr="00FF2F08">
              <w:rPr>
                <w:rFonts w:ascii="Times New Roman" w:hAnsi="Times New Roman"/>
                <w:bCs/>
                <w:sz w:val="22"/>
                <w:szCs w:val="22"/>
              </w:rPr>
              <w:t>јер</w:t>
            </w:r>
            <w:r w:rsidR="00487332" w:rsidRPr="00FF2F08">
              <w:rPr>
                <w:rFonts w:ascii="Times New Roman" w:hAnsi="Times New Roman"/>
                <w:bCs/>
                <w:sz w:val="22"/>
                <w:szCs w:val="22"/>
              </w:rPr>
              <w:t xml:space="preserve"> </w:t>
            </w:r>
            <w:r w:rsidRPr="00FF2F08">
              <w:rPr>
                <w:rFonts w:ascii="Times New Roman" w:hAnsi="Times New Roman"/>
                <w:bCs/>
                <w:sz w:val="22"/>
                <w:szCs w:val="22"/>
              </w:rPr>
              <w:t>обезбјеђује</w:t>
            </w:r>
            <w:r w:rsidR="00487332" w:rsidRPr="00FF2F08">
              <w:rPr>
                <w:rFonts w:ascii="Times New Roman" w:hAnsi="Times New Roman"/>
                <w:bCs/>
                <w:sz w:val="22"/>
                <w:szCs w:val="22"/>
              </w:rPr>
              <w:t xml:space="preserve"> </w:t>
            </w:r>
            <w:r w:rsidRPr="00FF2F08">
              <w:rPr>
                <w:rFonts w:ascii="Times New Roman" w:hAnsi="Times New Roman"/>
                <w:bCs/>
                <w:sz w:val="22"/>
                <w:szCs w:val="22"/>
              </w:rPr>
              <w:t>континуирано</w:t>
            </w:r>
            <w:r w:rsidR="00487332" w:rsidRPr="00FF2F08">
              <w:rPr>
                <w:rFonts w:ascii="Times New Roman" w:hAnsi="Times New Roman"/>
                <w:bCs/>
                <w:sz w:val="22"/>
                <w:szCs w:val="22"/>
              </w:rPr>
              <w:t xml:space="preserve"> </w:t>
            </w:r>
            <w:r w:rsidRPr="00FF2F08">
              <w:rPr>
                <w:rFonts w:ascii="Times New Roman" w:hAnsi="Times New Roman"/>
                <w:bCs/>
                <w:sz w:val="22"/>
                <w:szCs w:val="22"/>
              </w:rPr>
              <w:t>праћење</w:t>
            </w:r>
            <w:r w:rsidR="00487332" w:rsidRPr="00FF2F08">
              <w:rPr>
                <w:rFonts w:ascii="Times New Roman" w:hAnsi="Times New Roman"/>
                <w:bCs/>
                <w:sz w:val="22"/>
                <w:szCs w:val="22"/>
              </w:rPr>
              <w:t xml:space="preserve"> </w:t>
            </w:r>
            <w:r w:rsidRPr="00FF2F08">
              <w:rPr>
                <w:rFonts w:ascii="Times New Roman" w:hAnsi="Times New Roman"/>
                <w:bCs/>
                <w:sz w:val="22"/>
                <w:szCs w:val="22"/>
              </w:rPr>
              <w:t>односа</w:t>
            </w:r>
            <w:r w:rsidR="00487332" w:rsidRPr="00FF2F08">
              <w:rPr>
                <w:rFonts w:ascii="Times New Roman" w:hAnsi="Times New Roman"/>
                <w:bCs/>
                <w:sz w:val="22"/>
                <w:szCs w:val="22"/>
              </w:rPr>
              <w:t xml:space="preserve"> </w:t>
            </w:r>
            <w:r w:rsidRPr="00FF2F08">
              <w:rPr>
                <w:rFonts w:ascii="Times New Roman" w:hAnsi="Times New Roman"/>
                <w:bCs/>
                <w:sz w:val="22"/>
                <w:szCs w:val="22"/>
              </w:rPr>
              <w:t>корист</w:t>
            </w:r>
            <w:r w:rsidRPr="00FF2F08">
              <w:rPr>
                <w:rFonts w:ascii="Times New Roman" w:hAnsi="Times New Roman"/>
                <w:bCs/>
                <w:sz w:val="22"/>
                <w:szCs w:val="22"/>
                <w:lang w:val="hr-HR"/>
              </w:rPr>
              <w:t>/</w:t>
            </w:r>
            <w:r w:rsidRPr="00FF2F08">
              <w:rPr>
                <w:rFonts w:ascii="Times New Roman" w:hAnsi="Times New Roman"/>
                <w:bCs/>
                <w:sz w:val="22"/>
                <w:szCs w:val="22"/>
              </w:rPr>
              <w:t>ризик</w:t>
            </w:r>
            <w:r w:rsidR="00487332" w:rsidRPr="00FF2F08">
              <w:rPr>
                <w:rFonts w:ascii="Times New Roman" w:hAnsi="Times New Roman"/>
                <w:bCs/>
                <w:sz w:val="22"/>
                <w:szCs w:val="22"/>
              </w:rPr>
              <w:t xml:space="preserve"> </w:t>
            </w:r>
            <w:r w:rsidRPr="00FF2F08">
              <w:rPr>
                <w:rFonts w:ascii="Times New Roman" w:hAnsi="Times New Roman"/>
                <w:bCs/>
                <w:sz w:val="22"/>
                <w:szCs w:val="22"/>
              </w:rPr>
              <w:t>примјене</w:t>
            </w:r>
            <w:r w:rsidR="00487332" w:rsidRPr="00FF2F08">
              <w:rPr>
                <w:rFonts w:ascii="Times New Roman" w:hAnsi="Times New Roman"/>
                <w:bCs/>
                <w:sz w:val="22"/>
                <w:szCs w:val="22"/>
              </w:rPr>
              <w:t xml:space="preserve"> </w:t>
            </w:r>
            <w:r w:rsidRPr="00FF2F08">
              <w:rPr>
                <w:rFonts w:ascii="Times New Roman" w:hAnsi="Times New Roman"/>
                <w:bCs/>
                <w:sz w:val="22"/>
                <w:szCs w:val="22"/>
              </w:rPr>
              <w:t>лијека</w:t>
            </w:r>
            <w:r w:rsidRPr="00FF2F08">
              <w:rPr>
                <w:rFonts w:ascii="Times New Roman" w:hAnsi="Times New Roman"/>
                <w:bCs/>
                <w:sz w:val="22"/>
                <w:szCs w:val="22"/>
                <w:lang w:val="hr-HR"/>
              </w:rPr>
              <w:t xml:space="preserve">. </w:t>
            </w:r>
            <w:r w:rsidRPr="00FF2F08">
              <w:rPr>
                <w:rFonts w:ascii="Times New Roman" w:hAnsi="Times New Roman"/>
                <w:bCs/>
                <w:sz w:val="22"/>
                <w:szCs w:val="22"/>
              </w:rPr>
              <w:t>Здравствени</w:t>
            </w:r>
            <w:r w:rsidR="00487332" w:rsidRPr="00FF2F08">
              <w:rPr>
                <w:rFonts w:ascii="Times New Roman" w:hAnsi="Times New Roman"/>
                <w:bCs/>
                <w:sz w:val="22"/>
                <w:szCs w:val="22"/>
              </w:rPr>
              <w:t xml:space="preserve"> </w:t>
            </w:r>
            <w:r w:rsidRPr="00FF2F08">
              <w:rPr>
                <w:rFonts w:ascii="Times New Roman" w:hAnsi="Times New Roman"/>
                <w:bCs/>
                <w:sz w:val="22"/>
                <w:szCs w:val="22"/>
              </w:rPr>
              <w:t>радници</w:t>
            </w:r>
            <w:r w:rsidR="00487332" w:rsidRPr="00FF2F08">
              <w:rPr>
                <w:rFonts w:ascii="Times New Roman" w:hAnsi="Times New Roman"/>
                <w:bCs/>
                <w:sz w:val="22"/>
                <w:szCs w:val="22"/>
              </w:rPr>
              <w:t xml:space="preserve"> </w:t>
            </w:r>
            <w:r w:rsidRPr="00FF2F08">
              <w:rPr>
                <w:rFonts w:ascii="Times New Roman" w:hAnsi="Times New Roman"/>
                <w:bCs/>
                <w:sz w:val="22"/>
                <w:szCs w:val="22"/>
              </w:rPr>
              <w:t>треба</w:t>
            </w:r>
            <w:r w:rsidR="00487332" w:rsidRPr="00FF2F08">
              <w:rPr>
                <w:rFonts w:ascii="Times New Roman" w:hAnsi="Times New Roman"/>
                <w:bCs/>
                <w:sz w:val="22"/>
                <w:szCs w:val="22"/>
              </w:rPr>
              <w:t xml:space="preserve"> </w:t>
            </w:r>
            <w:r w:rsidRPr="00FF2F08">
              <w:rPr>
                <w:rFonts w:ascii="Times New Roman" w:hAnsi="Times New Roman"/>
                <w:bCs/>
                <w:sz w:val="22"/>
                <w:szCs w:val="22"/>
              </w:rPr>
              <w:t>да</w:t>
            </w:r>
            <w:r w:rsidR="00487332" w:rsidRPr="00FF2F08">
              <w:rPr>
                <w:rFonts w:ascii="Times New Roman" w:hAnsi="Times New Roman"/>
                <w:bCs/>
                <w:sz w:val="22"/>
                <w:szCs w:val="22"/>
              </w:rPr>
              <w:t xml:space="preserve"> </w:t>
            </w:r>
            <w:r w:rsidRPr="00FF2F08">
              <w:rPr>
                <w:rFonts w:ascii="Times New Roman" w:hAnsi="Times New Roman"/>
                <w:bCs/>
                <w:sz w:val="22"/>
                <w:szCs w:val="22"/>
              </w:rPr>
              <w:t>пријаве</w:t>
            </w:r>
            <w:r w:rsidR="00487332" w:rsidRPr="00FF2F08">
              <w:rPr>
                <w:rFonts w:ascii="Times New Roman" w:hAnsi="Times New Roman"/>
                <w:bCs/>
                <w:sz w:val="22"/>
                <w:szCs w:val="22"/>
              </w:rPr>
              <w:t xml:space="preserve"> </w:t>
            </w:r>
            <w:r w:rsidRPr="00FF2F08">
              <w:rPr>
                <w:rFonts w:ascii="Times New Roman" w:hAnsi="Times New Roman"/>
                <w:bCs/>
                <w:sz w:val="22"/>
                <w:szCs w:val="22"/>
              </w:rPr>
              <w:t>сваку</w:t>
            </w:r>
            <w:r w:rsidR="00487332" w:rsidRPr="00FF2F08">
              <w:rPr>
                <w:rFonts w:ascii="Times New Roman" w:hAnsi="Times New Roman"/>
                <w:bCs/>
                <w:sz w:val="22"/>
                <w:szCs w:val="22"/>
              </w:rPr>
              <w:t xml:space="preserve"> </w:t>
            </w:r>
            <w:r w:rsidRPr="00FF2F08">
              <w:rPr>
                <w:rFonts w:ascii="Times New Roman" w:hAnsi="Times New Roman"/>
                <w:bCs/>
                <w:sz w:val="22"/>
                <w:szCs w:val="22"/>
              </w:rPr>
              <w:t>сумњу</w:t>
            </w:r>
            <w:r w:rsidR="00487332" w:rsidRPr="00FF2F08">
              <w:rPr>
                <w:rFonts w:ascii="Times New Roman" w:hAnsi="Times New Roman"/>
                <w:bCs/>
                <w:sz w:val="22"/>
                <w:szCs w:val="22"/>
              </w:rPr>
              <w:t xml:space="preserve"> </w:t>
            </w:r>
            <w:r w:rsidRPr="00FF2F08">
              <w:rPr>
                <w:rFonts w:ascii="Times New Roman" w:hAnsi="Times New Roman"/>
                <w:bCs/>
                <w:sz w:val="22"/>
                <w:szCs w:val="22"/>
              </w:rPr>
              <w:t>на</w:t>
            </w:r>
            <w:r w:rsidR="00487332" w:rsidRPr="00FF2F08">
              <w:rPr>
                <w:rFonts w:ascii="Times New Roman" w:hAnsi="Times New Roman"/>
                <w:bCs/>
                <w:sz w:val="22"/>
                <w:szCs w:val="22"/>
              </w:rPr>
              <w:t xml:space="preserve"> </w:t>
            </w:r>
            <w:r w:rsidRPr="00FF2F08">
              <w:rPr>
                <w:rFonts w:ascii="Times New Roman" w:hAnsi="Times New Roman"/>
                <w:bCs/>
                <w:sz w:val="22"/>
                <w:szCs w:val="22"/>
              </w:rPr>
              <w:t>нежељено</w:t>
            </w:r>
            <w:r w:rsidR="00487332" w:rsidRPr="00FF2F08">
              <w:rPr>
                <w:rFonts w:ascii="Times New Roman" w:hAnsi="Times New Roman"/>
                <w:bCs/>
                <w:sz w:val="22"/>
                <w:szCs w:val="22"/>
              </w:rPr>
              <w:t xml:space="preserve"> </w:t>
            </w:r>
            <w:r w:rsidRPr="00FF2F08">
              <w:rPr>
                <w:rFonts w:ascii="Times New Roman" w:hAnsi="Times New Roman"/>
                <w:bCs/>
                <w:sz w:val="22"/>
                <w:szCs w:val="22"/>
              </w:rPr>
              <w:t>дејство</w:t>
            </w:r>
            <w:r w:rsidR="00487332" w:rsidRPr="00FF2F08">
              <w:rPr>
                <w:rFonts w:ascii="Times New Roman" w:hAnsi="Times New Roman"/>
                <w:bCs/>
                <w:sz w:val="22"/>
                <w:szCs w:val="22"/>
              </w:rPr>
              <w:t xml:space="preserve"> </w:t>
            </w:r>
            <w:r w:rsidRPr="00FF2F08">
              <w:rPr>
                <w:rFonts w:ascii="Times New Roman" w:hAnsi="Times New Roman"/>
                <w:bCs/>
                <w:sz w:val="22"/>
                <w:szCs w:val="22"/>
              </w:rPr>
              <w:t>овог</w:t>
            </w:r>
            <w:r w:rsidR="00487332" w:rsidRPr="00FF2F08">
              <w:rPr>
                <w:rFonts w:ascii="Times New Roman" w:hAnsi="Times New Roman"/>
                <w:bCs/>
                <w:sz w:val="22"/>
                <w:szCs w:val="22"/>
              </w:rPr>
              <w:t xml:space="preserve"> </w:t>
            </w:r>
            <w:r w:rsidRPr="00FF2F08">
              <w:rPr>
                <w:rFonts w:ascii="Times New Roman" w:hAnsi="Times New Roman"/>
                <w:bCs/>
                <w:sz w:val="22"/>
                <w:szCs w:val="22"/>
              </w:rPr>
              <w:t>лијека</w:t>
            </w:r>
            <w:r w:rsidR="00487332" w:rsidRPr="00FF2F08">
              <w:rPr>
                <w:rFonts w:ascii="Times New Roman" w:hAnsi="Times New Roman"/>
                <w:bCs/>
                <w:sz w:val="22"/>
                <w:szCs w:val="22"/>
              </w:rPr>
              <w:t xml:space="preserve"> </w:t>
            </w:r>
            <w:r w:rsidRPr="00FF2F08">
              <w:rPr>
                <w:rFonts w:ascii="Times New Roman" w:hAnsi="Times New Roman"/>
                <w:bCs/>
                <w:sz w:val="22"/>
                <w:szCs w:val="22"/>
              </w:rPr>
              <w:t>Агенцији</w:t>
            </w:r>
            <w:r w:rsidR="00487332" w:rsidRPr="00FF2F08">
              <w:rPr>
                <w:rFonts w:ascii="Times New Roman" w:hAnsi="Times New Roman"/>
                <w:bCs/>
                <w:sz w:val="22"/>
                <w:szCs w:val="22"/>
              </w:rPr>
              <w:t xml:space="preserve"> </w:t>
            </w:r>
            <w:r w:rsidRPr="00FF2F08">
              <w:rPr>
                <w:rFonts w:ascii="Times New Roman" w:hAnsi="Times New Roman"/>
                <w:bCs/>
                <w:sz w:val="22"/>
                <w:szCs w:val="22"/>
              </w:rPr>
              <w:t>за</w:t>
            </w:r>
            <w:r w:rsidR="00487332" w:rsidRPr="00FF2F08">
              <w:rPr>
                <w:rFonts w:ascii="Times New Roman" w:hAnsi="Times New Roman"/>
                <w:bCs/>
                <w:sz w:val="22"/>
                <w:szCs w:val="22"/>
              </w:rPr>
              <w:t xml:space="preserve"> </w:t>
            </w:r>
            <w:r w:rsidRPr="00FF2F08">
              <w:rPr>
                <w:rFonts w:ascii="Times New Roman" w:hAnsi="Times New Roman"/>
                <w:bCs/>
                <w:sz w:val="22"/>
                <w:szCs w:val="22"/>
              </w:rPr>
              <w:t>љекове</w:t>
            </w:r>
            <w:r w:rsidR="00487332" w:rsidRPr="00FF2F08">
              <w:rPr>
                <w:rFonts w:ascii="Times New Roman" w:hAnsi="Times New Roman"/>
                <w:bCs/>
                <w:sz w:val="22"/>
                <w:szCs w:val="22"/>
              </w:rPr>
              <w:t xml:space="preserve"> </w:t>
            </w:r>
            <w:r w:rsidRPr="00FF2F08">
              <w:rPr>
                <w:rFonts w:ascii="Times New Roman" w:hAnsi="Times New Roman"/>
                <w:bCs/>
                <w:sz w:val="22"/>
                <w:szCs w:val="22"/>
              </w:rPr>
              <w:t>и</w:t>
            </w:r>
            <w:r w:rsidR="00487332" w:rsidRPr="00FF2F08">
              <w:rPr>
                <w:rFonts w:ascii="Times New Roman" w:hAnsi="Times New Roman"/>
                <w:bCs/>
                <w:sz w:val="22"/>
                <w:szCs w:val="22"/>
              </w:rPr>
              <w:t xml:space="preserve"> </w:t>
            </w:r>
            <w:r w:rsidRPr="00FF2F08">
              <w:rPr>
                <w:rFonts w:ascii="Times New Roman" w:hAnsi="Times New Roman"/>
                <w:bCs/>
                <w:sz w:val="22"/>
                <w:szCs w:val="22"/>
              </w:rPr>
              <w:t>медицинска</w:t>
            </w:r>
            <w:r w:rsidR="00487332" w:rsidRPr="00FF2F08">
              <w:rPr>
                <w:rFonts w:ascii="Times New Roman" w:hAnsi="Times New Roman"/>
                <w:bCs/>
                <w:sz w:val="22"/>
                <w:szCs w:val="22"/>
              </w:rPr>
              <w:t xml:space="preserve"> </w:t>
            </w:r>
            <w:r w:rsidRPr="00FF2F08">
              <w:rPr>
                <w:rFonts w:ascii="Times New Roman" w:hAnsi="Times New Roman"/>
                <w:bCs/>
                <w:sz w:val="22"/>
                <w:szCs w:val="22"/>
              </w:rPr>
              <w:t>средства</w:t>
            </w:r>
            <w:r w:rsidR="00487332" w:rsidRPr="00FF2F08">
              <w:rPr>
                <w:rFonts w:ascii="Times New Roman" w:hAnsi="Times New Roman"/>
                <w:bCs/>
                <w:sz w:val="22"/>
                <w:szCs w:val="22"/>
              </w:rPr>
              <w:t xml:space="preserve"> </w:t>
            </w:r>
            <w:r w:rsidRPr="00FF2F08">
              <w:rPr>
                <w:rFonts w:ascii="Times New Roman" w:hAnsi="Times New Roman"/>
                <w:bCs/>
                <w:sz w:val="22"/>
                <w:szCs w:val="22"/>
              </w:rPr>
              <w:t>Црне</w:t>
            </w:r>
            <w:r w:rsidR="00487332" w:rsidRPr="00FF2F08">
              <w:rPr>
                <w:rFonts w:ascii="Times New Roman" w:hAnsi="Times New Roman"/>
                <w:bCs/>
                <w:sz w:val="22"/>
                <w:szCs w:val="22"/>
              </w:rPr>
              <w:t xml:space="preserve"> </w:t>
            </w:r>
            <w:r w:rsidRPr="00FF2F08">
              <w:rPr>
                <w:rFonts w:ascii="Times New Roman" w:hAnsi="Times New Roman"/>
                <w:bCs/>
                <w:sz w:val="22"/>
                <w:szCs w:val="22"/>
              </w:rPr>
              <w:t>Горе</w:t>
            </w:r>
            <w:r w:rsidRPr="00FF2F08">
              <w:rPr>
                <w:rFonts w:ascii="Times New Roman" w:hAnsi="Times New Roman"/>
                <w:bCs/>
                <w:sz w:val="22"/>
                <w:szCs w:val="22"/>
                <w:lang w:val="hr-HR"/>
              </w:rPr>
              <w:t xml:space="preserve"> (</w:t>
            </w:r>
            <w:r w:rsidRPr="00FF2F08">
              <w:rPr>
                <w:rFonts w:ascii="Times New Roman" w:hAnsi="Times New Roman"/>
                <w:sz w:val="22"/>
                <w:szCs w:val="22"/>
                <w:lang w:val="hr-HR"/>
              </w:rPr>
              <w:t>CALIMS</w:t>
            </w:r>
            <w:r w:rsidRPr="00FF2F08">
              <w:rPr>
                <w:rFonts w:ascii="Times New Roman" w:hAnsi="Times New Roman"/>
                <w:bCs/>
                <w:sz w:val="22"/>
                <w:szCs w:val="22"/>
                <w:lang w:val="hr-HR"/>
              </w:rPr>
              <w:t>):</w:t>
            </w:r>
          </w:p>
          <w:p w:rsidR="009055D6" w:rsidRPr="00FF2F08" w:rsidRDefault="009055D6" w:rsidP="00476708">
            <w:pPr>
              <w:pStyle w:val="Header"/>
              <w:rPr>
                <w:rFonts w:ascii="Times New Roman" w:hAnsi="Times New Roman"/>
                <w:bCs/>
                <w:sz w:val="22"/>
                <w:szCs w:val="22"/>
                <w:lang w:val="hr-HR"/>
              </w:rPr>
            </w:pPr>
          </w:p>
          <w:p w:rsidR="00B0540F" w:rsidRPr="00FF2F08" w:rsidRDefault="00B0540F" w:rsidP="00476708">
            <w:pPr>
              <w:pStyle w:val="Header"/>
              <w:rPr>
                <w:rFonts w:ascii="Times New Roman" w:hAnsi="Times New Roman"/>
                <w:bCs/>
                <w:sz w:val="22"/>
                <w:szCs w:val="22"/>
                <w:lang w:val="hr-HR"/>
              </w:rPr>
            </w:pPr>
            <w:r w:rsidRPr="00FF2F08">
              <w:rPr>
                <w:rFonts w:ascii="Times New Roman" w:hAnsi="Times New Roman"/>
                <w:bCs/>
                <w:sz w:val="22"/>
                <w:szCs w:val="22"/>
              </w:rPr>
              <w:t>Агенција</w:t>
            </w:r>
            <w:r w:rsidR="00487332" w:rsidRPr="00FF2F08">
              <w:rPr>
                <w:rFonts w:ascii="Times New Roman" w:hAnsi="Times New Roman"/>
                <w:bCs/>
                <w:sz w:val="22"/>
                <w:szCs w:val="22"/>
              </w:rPr>
              <w:t xml:space="preserve"> </w:t>
            </w:r>
            <w:r w:rsidRPr="00FF2F08">
              <w:rPr>
                <w:rFonts w:ascii="Times New Roman" w:hAnsi="Times New Roman"/>
                <w:bCs/>
                <w:sz w:val="22"/>
                <w:szCs w:val="22"/>
              </w:rPr>
              <w:t>за</w:t>
            </w:r>
            <w:r w:rsidR="00487332" w:rsidRPr="00FF2F08">
              <w:rPr>
                <w:rFonts w:ascii="Times New Roman" w:hAnsi="Times New Roman"/>
                <w:bCs/>
                <w:sz w:val="22"/>
                <w:szCs w:val="22"/>
              </w:rPr>
              <w:t xml:space="preserve"> </w:t>
            </w:r>
            <w:r w:rsidRPr="00FF2F08">
              <w:rPr>
                <w:rFonts w:ascii="Times New Roman" w:hAnsi="Times New Roman"/>
                <w:bCs/>
                <w:sz w:val="22"/>
                <w:szCs w:val="22"/>
              </w:rPr>
              <w:t>љекове</w:t>
            </w:r>
            <w:r w:rsidR="00487332" w:rsidRPr="00FF2F08">
              <w:rPr>
                <w:rFonts w:ascii="Times New Roman" w:hAnsi="Times New Roman"/>
                <w:bCs/>
                <w:sz w:val="22"/>
                <w:szCs w:val="22"/>
              </w:rPr>
              <w:t xml:space="preserve"> </w:t>
            </w:r>
            <w:r w:rsidRPr="00FF2F08">
              <w:rPr>
                <w:rFonts w:ascii="Times New Roman" w:hAnsi="Times New Roman"/>
                <w:bCs/>
                <w:sz w:val="22"/>
                <w:szCs w:val="22"/>
              </w:rPr>
              <w:t>и</w:t>
            </w:r>
            <w:r w:rsidR="00487332" w:rsidRPr="00FF2F08">
              <w:rPr>
                <w:rFonts w:ascii="Times New Roman" w:hAnsi="Times New Roman"/>
                <w:bCs/>
                <w:sz w:val="22"/>
                <w:szCs w:val="22"/>
              </w:rPr>
              <w:t xml:space="preserve"> </w:t>
            </w:r>
            <w:r w:rsidRPr="00FF2F08">
              <w:rPr>
                <w:rFonts w:ascii="Times New Roman" w:hAnsi="Times New Roman"/>
                <w:bCs/>
                <w:sz w:val="22"/>
                <w:szCs w:val="22"/>
              </w:rPr>
              <w:t>медицинска</w:t>
            </w:r>
            <w:r w:rsidR="00487332" w:rsidRPr="00FF2F08">
              <w:rPr>
                <w:rFonts w:ascii="Times New Roman" w:hAnsi="Times New Roman"/>
                <w:bCs/>
                <w:sz w:val="22"/>
                <w:szCs w:val="22"/>
              </w:rPr>
              <w:t xml:space="preserve"> </w:t>
            </w:r>
            <w:r w:rsidRPr="00FF2F08">
              <w:rPr>
                <w:rFonts w:ascii="Times New Roman" w:hAnsi="Times New Roman"/>
                <w:bCs/>
                <w:sz w:val="22"/>
                <w:szCs w:val="22"/>
              </w:rPr>
              <w:t>средства</w:t>
            </w:r>
            <w:r w:rsidR="00487332" w:rsidRPr="00FF2F08">
              <w:rPr>
                <w:rFonts w:ascii="Times New Roman" w:hAnsi="Times New Roman"/>
                <w:bCs/>
                <w:sz w:val="22"/>
                <w:szCs w:val="22"/>
              </w:rPr>
              <w:t xml:space="preserve"> </w:t>
            </w:r>
            <w:r w:rsidRPr="00FF2F08">
              <w:rPr>
                <w:rFonts w:ascii="Times New Roman" w:hAnsi="Times New Roman"/>
                <w:bCs/>
                <w:sz w:val="22"/>
                <w:szCs w:val="22"/>
              </w:rPr>
              <w:t>Црне</w:t>
            </w:r>
            <w:r w:rsidR="00487332" w:rsidRPr="00FF2F08">
              <w:rPr>
                <w:rFonts w:ascii="Times New Roman" w:hAnsi="Times New Roman"/>
                <w:bCs/>
                <w:sz w:val="22"/>
                <w:szCs w:val="22"/>
              </w:rPr>
              <w:t xml:space="preserve"> </w:t>
            </w:r>
            <w:r w:rsidRPr="00FF2F08">
              <w:rPr>
                <w:rFonts w:ascii="Times New Roman" w:hAnsi="Times New Roman"/>
                <w:bCs/>
                <w:sz w:val="22"/>
                <w:szCs w:val="22"/>
              </w:rPr>
              <w:t>Горе</w:t>
            </w:r>
          </w:p>
          <w:p w:rsidR="00B0540F" w:rsidRPr="00FF2F08" w:rsidRDefault="00B0540F" w:rsidP="00476708">
            <w:pPr>
              <w:pStyle w:val="Header"/>
              <w:rPr>
                <w:rFonts w:ascii="Times New Roman" w:hAnsi="Times New Roman"/>
                <w:bCs/>
                <w:sz w:val="22"/>
                <w:szCs w:val="22"/>
                <w:lang w:val="hr-HR"/>
              </w:rPr>
            </w:pPr>
            <w:r w:rsidRPr="00FF2F08">
              <w:rPr>
                <w:rFonts w:ascii="Times New Roman" w:hAnsi="Times New Roman"/>
                <w:bCs/>
                <w:sz w:val="22"/>
                <w:szCs w:val="22"/>
              </w:rPr>
              <w:t>Одјељење</w:t>
            </w:r>
            <w:r w:rsidR="00487332" w:rsidRPr="00FF2F08">
              <w:rPr>
                <w:rFonts w:ascii="Times New Roman" w:hAnsi="Times New Roman"/>
                <w:bCs/>
                <w:sz w:val="22"/>
                <w:szCs w:val="22"/>
              </w:rPr>
              <w:t xml:space="preserve"> </w:t>
            </w:r>
            <w:r w:rsidRPr="00FF2F08">
              <w:rPr>
                <w:rFonts w:ascii="Times New Roman" w:hAnsi="Times New Roman"/>
                <w:bCs/>
                <w:sz w:val="22"/>
                <w:szCs w:val="22"/>
              </w:rPr>
              <w:t>за</w:t>
            </w:r>
            <w:r w:rsidR="00487332" w:rsidRPr="00FF2F08">
              <w:rPr>
                <w:rFonts w:ascii="Times New Roman" w:hAnsi="Times New Roman"/>
                <w:bCs/>
                <w:sz w:val="22"/>
                <w:szCs w:val="22"/>
              </w:rPr>
              <w:t xml:space="preserve"> </w:t>
            </w:r>
            <w:r w:rsidRPr="00FF2F08">
              <w:rPr>
                <w:rFonts w:ascii="Times New Roman" w:hAnsi="Times New Roman"/>
                <w:bCs/>
                <w:sz w:val="22"/>
                <w:szCs w:val="22"/>
              </w:rPr>
              <w:t>фармаковигиланцу</w:t>
            </w:r>
          </w:p>
          <w:p w:rsidR="00B0540F" w:rsidRPr="00FF2F08" w:rsidRDefault="00B0540F" w:rsidP="00476708">
            <w:pPr>
              <w:pStyle w:val="Header"/>
              <w:rPr>
                <w:rFonts w:ascii="Times New Roman" w:hAnsi="Times New Roman"/>
                <w:bCs/>
                <w:sz w:val="22"/>
                <w:szCs w:val="22"/>
              </w:rPr>
            </w:pPr>
            <w:r w:rsidRPr="00FF2F08">
              <w:rPr>
                <w:rFonts w:ascii="Times New Roman" w:hAnsi="Times New Roman"/>
                <w:bCs/>
                <w:sz w:val="22"/>
                <w:szCs w:val="22"/>
              </w:rPr>
              <w:t>Булевар</w:t>
            </w:r>
            <w:r w:rsidR="00487332" w:rsidRPr="00FF2F08">
              <w:rPr>
                <w:rFonts w:ascii="Times New Roman" w:hAnsi="Times New Roman"/>
                <w:bCs/>
                <w:sz w:val="22"/>
                <w:szCs w:val="22"/>
              </w:rPr>
              <w:t xml:space="preserve"> </w:t>
            </w:r>
            <w:r w:rsidRPr="00FF2F08">
              <w:rPr>
                <w:rFonts w:ascii="Times New Roman" w:hAnsi="Times New Roman"/>
                <w:bCs/>
                <w:sz w:val="22"/>
                <w:szCs w:val="22"/>
              </w:rPr>
              <w:t>Ивана</w:t>
            </w:r>
            <w:r w:rsidR="00487332" w:rsidRPr="00FF2F08">
              <w:rPr>
                <w:rFonts w:ascii="Times New Roman" w:hAnsi="Times New Roman"/>
                <w:bCs/>
                <w:sz w:val="22"/>
                <w:szCs w:val="22"/>
              </w:rPr>
              <w:t xml:space="preserve"> </w:t>
            </w:r>
            <w:r w:rsidRPr="00FF2F08">
              <w:rPr>
                <w:rFonts w:ascii="Times New Roman" w:hAnsi="Times New Roman"/>
                <w:bCs/>
                <w:sz w:val="22"/>
                <w:szCs w:val="22"/>
              </w:rPr>
              <w:t>Црнојевића</w:t>
            </w:r>
            <w:r w:rsidRPr="00FF2F08">
              <w:rPr>
                <w:rFonts w:ascii="Times New Roman" w:hAnsi="Times New Roman"/>
                <w:bCs/>
                <w:sz w:val="22"/>
                <w:szCs w:val="22"/>
                <w:lang w:val="hr-HR"/>
              </w:rPr>
              <w:t xml:space="preserve"> 64</w:t>
            </w:r>
            <w:r w:rsidRPr="00FF2F08">
              <w:rPr>
                <w:rFonts w:ascii="Times New Roman" w:hAnsi="Times New Roman"/>
                <w:bCs/>
                <w:sz w:val="22"/>
                <w:szCs w:val="22"/>
              </w:rPr>
              <w:t>а</w:t>
            </w:r>
            <w:r w:rsidRPr="00FF2F08">
              <w:rPr>
                <w:rFonts w:ascii="Times New Roman" w:hAnsi="Times New Roman"/>
                <w:bCs/>
                <w:sz w:val="22"/>
                <w:szCs w:val="22"/>
                <w:lang w:val="hr-HR"/>
              </w:rPr>
              <w:t xml:space="preserve">, 81000 </w:t>
            </w:r>
            <w:r w:rsidRPr="00FF2F08">
              <w:rPr>
                <w:rFonts w:ascii="Times New Roman" w:hAnsi="Times New Roman"/>
                <w:bCs/>
                <w:sz w:val="22"/>
                <w:szCs w:val="22"/>
              </w:rPr>
              <w:t>Подгорица</w:t>
            </w:r>
          </w:p>
          <w:p w:rsidR="009055D6" w:rsidRPr="00FF2F08" w:rsidRDefault="009055D6" w:rsidP="00476708">
            <w:pPr>
              <w:pStyle w:val="Header"/>
              <w:rPr>
                <w:rFonts w:ascii="Times New Roman" w:hAnsi="Times New Roman"/>
                <w:bCs/>
                <w:sz w:val="22"/>
                <w:szCs w:val="22"/>
                <w:lang w:val="hr-HR"/>
              </w:rPr>
            </w:pPr>
          </w:p>
          <w:p w:rsidR="00B0540F" w:rsidRPr="00FF2F08" w:rsidRDefault="00B0540F" w:rsidP="00476708">
            <w:pPr>
              <w:pStyle w:val="Header"/>
              <w:rPr>
                <w:rFonts w:ascii="Times New Roman" w:hAnsi="Times New Roman"/>
                <w:bCs/>
                <w:sz w:val="22"/>
                <w:szCs w:val="22"/>
                <w:lang w:val="hr-HR"/>
              </w:rPr>
            </w:pPr>
            <w:r w:rsidRPr="00FF2F08">
              <w:rPr>
                <w:rFonts w:ascii="Times New Roman" w:hAnsi="Times New Roman"/>
                <w:bCs/>
                <w:sz w:val="22"/>
                <w:szCs w:val="22"/>
              </w:rPr>
              <w:t>тел</w:t>
            </w:r>
            <w:r w:rsidRPr="00FF2F08">
              <w:rPr>
                <w:rFonts w:ascii="Times New Roman" w:hAnsi="Times New Roman"/>
                <w:bCs/>
                <w:sz w:val="22"/>
                <w:szCs w:val="22"/>
                <w:lang w:val="hr-HR"/>
              </w:rPr>
              <w:t>: +382 (0) 20 310 280</w:t>
            </w:r>
          </w:p>
          <w:p w:rsidR="00B0540F" w:rsidRPr="00FF2F08" w:rsidRDefault="00B0540F" w:rsidP="00476708">
            <w:pPr>
              <w:pStyle w:val="Header"/>
              <w:tabs>
                <w:tab w:val="clear" w:pos="4536"/>
                <w:tab w:val="clear" w:pos="9072"/>
                <w:tab w:val="left" w:pos="284"/>
              </w:tabs>
              <w:rPr>
                <w:rFonts w:ascii="Times New Roman" w:hAnsi="Times New Roman"/>
                <w:bCs/>
                <w:sz w:val="22"/>
                <w:szCs w:val="22"/>
                <w:lang w:val="hr-HR"/>
              </w:rPr>
            </w:pPr>
            <w:r w:rsidRPr="00FF2F08">
              <w:rPr>
                <w:rFonts w:ascii="Times New Roman" w:hAnsi="Times New Roman"/>
                <w:bCs/>
                <w:sz w:val="22"/>
                <w:szCs w:val="22"/>
              </w:rPr>
              <w:t>факс</w:t>
            </w:r>
            <w:r w:rsidRPr="00FF2F08">
              <w:rPr>
                <w:rFonts w:ascii="Times New Roman" w:hAnsi="Times New Roman"/>
                <w:bCs/>
                <w:sz w:val="22"/>
                <w:szCs w:val="22"/>
                <w:lang w:val="hr-HR"/>
              </w:rPr>
              <w:t>:+382 (0) 20 310 581</w:t>
            </w:r>
          </w:p>
          <w:p w:rsidR="00B0540F" w:rsidRPr="00FF2F08" w:rsidRDefault="00966894" w:rsidP="00476708">
            <w:pPr>
              <w:pStyle w:val="Header"/>
              <w:rPr>
                <w:rFonts w:ascii="Times New Roman" w:hAnsi="Times New Roman"/>
                <w:bCs/>
                <w:sz w:val="22"/>
                <w:szCs w:val="22"/>
                <w:lang w:val="hr-HR"/>
              </w:rPr>
            </w:pPr>
            <w:hyperlink r:id="rId7" w:history="1">
              <w:r w:rsidR="00B0540F" w:rsidRPr="00FF2F08">
                <w:rPr>
                  <w:rStyle w:val="Hyperlink"/>
                  <w:rFonts w:ascii="Times New Roman" w:hAnsi="Times New Roman"/>
                  <w:bCs/>
                  <w:color w:val="auto"/>
                  <w:sz w:val="22"/>
                  <w:szCs w:val="22"/>
                  <w:lang w:val="hr-HR"/>
                </w:rPr>
                <w:t>www.calims.me</w:t>
              </w:r>
            </w:hyperlink>
          </w:p>
          <w:p w:rsidR="00746C7E" w:rsidRPr="00FF2F08" w:rsidRDefault="00966894" w:rsidP="00476708">
            <w:pPr>
              <w:pStyle w:val="Header"/>
              <w:tabs>
                <w:tab w:val="clear" w:pos="4536"/>
                <w:tab w:val="clear" w:pos="9072"/>
                <w:tab w:val="left" w:pos="284"/>
              </w:tabs>
              <w:rPr>
                <w:rFonts w:ascii="Times New Roman" w:hAnsi="Times New Roman"/>
                <w:bCs/>
                <w:sz w:val="22"/>
                <w:szCs w:val="22"/>
                <w:lang w:val="mk-MK"/>
              </w:rPr>
            </w:pPr>
            <w:hyperlink r:id="rId8" w:history="1">
              <w:r w:rsidR="00B0540F" w:rsidRPr="00FF2F08">
                <w:rPr>
                  <w:rStyle w:val="Hyperlink"/>
                  <w:rFonts w:ascii="Times New Roman" w:hAnsi="Times New Roman"/>
                  <w:bCs/>
                  <w:color w:val="auto"/>
                  <w:sz w:val="22"/>
                  <w:szCs w:val="22"/>
                  <w:lang w:val="hr-HR"/>
                </w:rPr>
                <w:t>nezeljenadejstva@calims.me</w:t>
              </w:r>
            </w:hyperlink>
          </w:p>
          <w:p w:rsidR="0007059E" w:rsidRPr="00FF2F08" w:rsidRDefault="00B0540F" w:rsidP="00476708">
            <w:pPr>
              <w:pStyle w:val="Header"/>
              <w:tabs>
                <w:tab w:val="clear" w:pos="4536"/>
                <w:tab w:val="clear" w:pos="9072"/>
                <w:tab w:val="left" w:pos="284"/>
              </w:tabs>
              <w:rPr>
                <w:rFonts w:ascii="Times New Roman" w:hAnsi="Times New Roman"/>
                <w:bCs/>
                <w:sz w:val="22"/>
                <w:szCs w:val="22"/>
                <w:lang w:val="mk-MK"/>
              </w:rPr>
            </w:pPr>
            <w:r w:rsidRPr="00FF2F08">
              <w:rPr>
                <w:rFonts w:ascii="Times New Roman" w:hAnsi="Times New Roman"/>
                <w:bCs/>
                <w:sz w:val="22"/>
                <w:szCs w:val="22"/>
              </w:rPr>
              <w:t>путем</w:t>
            </w:r>
            <w:r w:rsidR="00487332" w:rsidRPr="00FF2F08">
              <w:rPr>
                <w:rFonts w:ascii="Times New Roman" w:hAnsi="Times New Roman"/>
                <w:bCs/>
                <w:sz w:val="22"/>
                <w:szCs w:val="22"/>
              </w:rPr>
              <w:t xml:space="preserve"> </w:t>
            </w:r>
            <w:r w:rsidRPr="00FF2F08">
              <w:rPr>
                <w:rFonts w:ascii="Times New Roman" w:hAnsi="Times New Roman"/>
                <w:bCs/>
                <w:sz w:val="22"/>
                <w:szCs w:val="22"/>
              </w:rPr>
              <w:t>ИС</w:t>
            </w:r>
            <w:r w:rsidR="00487332" w:rsidRPr="00FF2F08">
              <w:rPr>
                <w:rFonts w:ascii="Times New Roman" w:hAnsi="Times New Roman"/>
                <w:bCs/>
                <w:sz w:val="22"/>
                <w:szCs w:val="22"/>
              </w:rPr>
              <w:t xml:space="preserve"> </w:t>
            </w:r>
            <w:r w:rsidRPr="00FF2F08">
              <w:rPr>
                <w:rFonts w:ascii="Times New Roman" w:hAnsi="Times New Roman"/>
                <w:bCs/>
                <w:sz w:val="22"/>
                <w:szCs w:val="22"/>
              </w:rPr>
              <w:t>здравствене</w:t>
            </w:r>
            <w:r w:rsidR="00487332" w:rsidRPr="00FF2F08">
              <w:rPr>
                <w:rFonts w:ascii="Times New Roman" w:hAnsi="Times New Roman"/>
                <w:bCs/>
                <w:sz w:val="22"/>
                <w:szCs w:val="22"/>
              </w:rPr>
              <w:t xml:space="preserve"> </w:t>
            </w:r>
            <w:r w:rsidRPr="00FF2F08">
              <w:rPr>
                <w:rFonts w:ascii="Times New Roman" w:hAnsi="Times New Roman"/>
                <w:bCs/>
                <w:sz w:val="22"/>
                <w:szCs w:val="22"/>
              </w:rPr>
              <w:t>заштите</w:t>
            </w:r>
          </w:p>
          <w:p w:rsidR="00746C7E" w:rsidRPr="00FF2F08" w:rsidRDefault="00746C7E" w:rsidP="00476708">
            <w:pPr>
              <w:pStyle w:val="Header"/>
              <w:tabs>
                <w:tab w:val="clear" w:pos="4536"/>
                <w:tab w:val="clear" w:pos="9072"/>
                <w:tab w:val="left" w:pos="284"/>
              </w:tabs>
              <w:rPr>
                <w:rFonts w:ascii="Times New Roman" w:hAnsi="Times New Roman"/>
                <w:b/>
                <w:bCs/>
                <w:sz w:val="22"/>
                <w:szCs w:val="22"/>
                <w:lang w:val="mk-MK"/>
              </w:rPr>
            </w:pPr>
          </w:p>
        </w:tc>
      </w:tr>
      <w:tr w:rsidR="00B0540F" w:rsidRPr="00FF2F08" w:rsidTr="00865739">
        <w:tc>
          <w:tcPr>
            <w:tcW w:w="9356" w:type="dxa"/>
            <w:gridSpan w:val="4"/>
            <w:vAlign w:val="center"/>
          </w:tcPr>
          <w:p w:rsidR="005146B7" w:rsidRPr="00FF2F08" w:rsidRDefault="003D1146" w:rsidP="00476708">
            <w:pPr>
              <w:pStyle w:val="Header"/>
              <w:tabs>
                <w:tab w:val="clear" w:pos="4536"/>
                <w:tab w:val="clear" w:pos="9072"/>
                <w:tab w:val="left" w:pos="284"/>
              </w:tabs>
              <w:rPr>
                <w:rFonts w:ascii="Times New Roman" w:hAnsi="Times New Roman"/>
                <w:b/>
                <w:bCs/>
                <w:sz w:val="22"/>
                <w:szCs w:val="22"/>
                <w:lang w:val="mk-MK" w:eastAsia="en-US"/>
              </w:rPr>
            </w:pPr>
            <w:r w:rsidRPr="00FF2F08">
              <w:rPr>
                <w:rFonts w:ascii="Times New Roman" w:hAnsi="Times New Roman"/>
                <w:b/>
                <w:bCs/>
                <w:sz w:val="22"/>
                <w:szCs w:val="22"/>
                <w:lang w:eastAsia="en-US"/>
              </w:rPr>
              <w:lastRenderedPageBreak/>
              <w:t>4.9. Предозирање</w:t>
            </w:r>
            <w:r w:rsidRPr="00FF2F08">
              <w:rPr>
                <w:rFonts w:ascii="Times New Roman" w:hAnsi="Times New Roman"/>
                <w:b/>
                <w:bCs/>
                <w:sz w:val="22"/>
                <w:szCs w:val="22"/>
                <w:lang w:val="mk-MK" w:eastAsia="en-US"/>
              </w:rPr>
              <w:t xml:space="preserve"> и мјере које је потребно предузети</w:t>
            </w:r>
          </w:p>
        </w:tc>
      </w:tr>
      <w:tr w:rsidR="00B0540F" w:rsidRPr="00FF2F08" w:rsidTr="00865739">
        <w:trPr>
          <w:trHeight w:val="1145"/>
        </w:trPr>
        <w:tc>
          <w:tcPr>
            <w:tcW w:w="9356" w:type="dxa"/>
            <w:gridSpan w:val="4"/>
            <w:vAlign w:val="center"/>
          </w:tcPr>
          <w:p w:rsidR="003D1146" w:rsidRPr="00FF2F08" w:rsidRDefault="00561A38" w:rsidP="00476708">
            <w:pPr>
              <w:pStyle w:val="NoSpacing"/>
              <w:tabs>
                <w:tab w:val="left" w:pos="284"/>
              </w:tabs>
              <w:jc w:val="both"/>
              <w:rPr>
                <w:rFonts w:ascii="Times New Roman" w:hAnsi="Times New Roman"/>
                <w:u w:val="single"/>
                <w:lang w:val="mk-MK"/>
              </w:rPr>
            </w:pPr>
            <w:r w:rsidRPr="00FF2F08">
              <w:rPr>
                <w:rFonts w:ascii="Times New Roman" w:hAnsi="Times New Roman"/>
                <w:u w:val="single"/>
                <w:lang w:val="mk-MK"/>
              </w:rPr>
              <w:t>Симптоми</w:t>
            </w:r>
            <w:r w:rsidR="005D3C02" w:rsidRPr="00FF2F08">
              <w:rPr>
                <w:rFonts w:ascii="Times New Roman" w:hAnsi="Times New Roman"/>
                <w:u w:val="single"/>
                <w:lang w:val="mk-MK"/>
              </w:rPr>
              <w:t xml:space="preserve"> </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Индапамид</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није</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токсичан у дозама</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 xml:space="preserve">до 40 mg, тј. </w:t>
            </w:r>
            <w:r w:rsidR="00487332" w:rsidRPr="00FF2F08">
              <w:rPr>
                <w:rFonts w:ascii="Times New Roman" w:hAnsi="Times New Roman"/>
                <w:sz w:val="22"/>
                <w:szCs w:val="22"/>
                <w:lang w:val="mk-MK"/>
              </w:rPr>
              <w:t>д</w:t>
            </w:r>
            <w:r w:rsidRPr="00FF2F08">
              <w:rPr>
                <w:rFonts w:ascii="Times New Roman" w:hAnsi="Times New Roman"/>
                <w:sz w:val="22"/>
                <w:szCs w:val="22"/>
                <w:lang w:val="mk-MK"/>
              </w:rPr>
              <w:t>о</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вр</w:t>
            </w:r>
            <w:r w:rsidR="00A42F52" w:rsidRPr="00FF2F08">
              <w:rPr>
                <w:rFonts w:ascii="Times New Roman" w:hAnsi="Times New Roman"/>
                <w:sz w:val="22"/>
                <w:szCs w:val="22"/>
                <w:lang w:val="mk-MK"/>
              </w:rPr>
              <w:t>иј</w:t>
            </w:r>
            <w:r w:rsidRPr="00FF2F08">
              <w:rPr>
                <w:rFonts w:ascii="Times New Roman" w:hAnsi="Times New Roman"/>
                <w:sz w:val="22"/>
                <w:szCs w:val="22"/>
                <w:lang w:val="mk-MK"/>
              </w:rPr>
              <w:t>едности</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која</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је</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приближно 27 пута</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већа</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од</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терапијске.</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lang w:val="mk-MK"/>
              </w:rPr>
              <w:t>Знаци</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акутног</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тровања</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углавном</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се испољавају као</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поремећај</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равнотеже</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вода/електролит (хипонатр</w:t>
            </w:r>
            <w:r w:rsidR="00C71013" w:rsidRPr="00FF2F08">
              <w:rPr>
                <w:rFonts w:ascii="Times New Roman" w:hAnsi="Times New Roman"/>
                <w:sz w:val="22"/>
                <w:szCs w:val="22"/>
                <w:lang w:val="mk-MK"/>
              </w:rPr>
              <w:t>иј</w:t>
            </w:r>
            <w:r w:rsidRPr="00FF2F08">
              <w:rPr>
                <w:rFonts w:ascii="Times New Roman" w:hAnsi="Times New Roman"/>
                <w:sz w:val="22"/>
                <w:szCs w:val="22"/>
                <w:lang w:val="mk-MK"/>
              </w:rPr>
              <w:t>емија, хипокал</w:t>
            </w:r>
            <w:r w:rsidR="00C71013" w:rsidRPr="00FF2F08">
              <w:rPr>
                <w:rFonts w:ascii="Times New Roman" w:hAnsi="Times New Roman"/>
                <w:sz w:val="22"/>
                <w:szCs w:val="22"/>
                <w:lang w:val="mk-MK"/>
              </w:rPr>
              <w:t>иј</w:t>
            </w:r>
            <w:r w:rsidRPr="00FF2F08">
              <w:rPr>
                <w:rFonts w:ascii="Times New Roman" w:hAnsi="Times New Roman"/>
                <w:sz w:val="22"/>
                <w:szCs w:val="22"/>
                <w:lang w:val="mk-MK"/>
              </w:rPr>
              <w:t>емија). Клинички, могућност појаве</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мучнине, повраћања, хипотензије, грчева, вертига, поспаности, конфузије, полиурије</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или</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олигурије</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све</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до</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анурије (као</w:t>
            </w:r>
            <w:r w:rsidR="00A42F52" w:rsidRPr="00FF2F08">
              <w:rPr>
                <w:rFonts w:ascii="Times New Roman" w:hAnsi="Times New Roman"/>
                <w:sz w:val="22"/>
                <w:szCs w:val="22"/>
                <w:lang w:val="mk-MK"/>
              </w:rPr>
              <w:t xml:space="preserve"> посљ</w:t>
            </w:r>
            <w:r w:rsidRPr="00FF2F08">
              <w:rPr>
                <w:rFonts w:ascii="Times New Roman" w:hAnsi="Times New Roman"/>
                <w:sz w:val="22"/>
                <w:szCs w:val="22"/>
                <w:lang w:val="mk-MK"/>
              </w:rPr>
              <w:t>едица</w:t>
            </w:r>
            <w:r w:rsidR="00487332" w:rsidRPr="00FF2F08">
              <w:rPr>
                <w:rFonts w:ascii="Times New Roman" w:hAnsi="Times New Roman"/>
                <w:sz w:val="22"/>
                <w:szCs w:val="22"/>
                <w:lang w:val="mk-MK"/>
              </w:rPr>
              <w:t xml:space="preserve"> </w:t>
            </w:r>
            <w:r w:rsidRPr="00FF2F08">
              <w:rPr>
                <w:rFonts w:ascii="Times New Roman" w:hAnsi="Times New Roman"/>
                <w:sz w:val="22"/>
                <w:szCs w:val="22"/>
                <w:lang w:val="mk-MK"/>
              </w:rPr>
              <w:t>хиповолемије).</w:t>
            </w:r>
          </w:p>
          <w:p w:rsidR="005146B7" w:rsidRPr="00FF2F08" w:rsidRDefault="005146B7" w:rsidP="00476708">
            <w:pPr>
              <w:pStyle w:val="Header"/>
              <w:rPr>
                <w:rFonts w:ascii="Times New Roman" w:hAnsi="Times New Roman"/>
                <w:sz w:val="22"/>
                <w:szCs w:val="22"/>
                <w:lang w:val="mk-MK"/>
              </w:rPr>
            </w:pPr>
          </w:p>
          <w:p w:rsidR="005146B7" w:rsidRPr="00FF2F08" w:rsidRDefault="00561A38" w:rsidP="00476708">
            <w:pPr>
              <w:pStyle w:val="Header"/>
              <w:rPr>
                <w:rFonts w:ascii="Times New Roman" w:hAnsi="Times New Roman"/>
                <w:sz w:val="22"/>
                <w:szCs w:val="22"/>
                <w:u w:val="single"/>
                <w:lang w:val="mk-MK"/>
              </w:rPr>
            </w:pPr>
            <w:r w:rsidRPr="00FF2F08">
              <w:rPr>
                <w:rFonts w:ascii="Times New Roman" w:hAnsi="Times New Roman"/>
                <w:sz w:val="22"/>
                <w:szCs w:val="22"/>
                <w:u w:val="single"/>
                <w:lang w:val="mk-MK"/>
              </w:rPr>
              <w:t>Лијечење</w:t>
            </w:r>
            <w:r w:rsidR="005D3C02" w:rsidRPr="00FF2F08">
              <w:rPr>
                <w:rFonts w:ascii="Times New Roman" w:hAnsi="Times New Roman"/>
                <w:sz w:val="22"/>
                <w:szCs w:val="22"/>
                <w:u w:val="single"/>
                <w:lang w:val="mk-MK"/>
              </w:rPr>
              <w:t xml:space="preserve"> </w:t>
            </w:r>
          </w:p>
          <w:p w:rsidR="003D1146" w:rsidRPr="00FF2F08" w:rsidRDefault="00560F51" w:rsidP="00C04B2E">
            <w:pPr>
              <w:pStyle w:val="Header"/>
              <w:rPr>
                <w:rFonts w:ascii="Times New Roman" w:hAnsi="Times New Roman"/>
                <w:sz w:val="22"/>
                <w:szCs w:val="22"/>
                <w:lang w:val="mk-MK"/>
              </w:rPr>
            </w:pPr>
            <w:r w:rsidRPr="00FF2F08">
              <w:rPr>
                <w:rFonts w:ascii="Times New Roman" w:hAnsi="Times New Roman"/>
                <w:sz w:val="22"/>
                <w:szCs w:val="22"/>
                <w:lang w:val="mk-MK"/>
              </w:rPr>
              <w:t>Почетне м</w:t>
            </w:r>
            <w:r w:rsidR="00A42F52" w:rsidRPr="00FF2F08">
              <w:rPr>
                <w:rFonts w:ascii="Times New Roman" w:hAnsi="Times New Roman"/>
                <w:sz w:val="22"/>
                <w:szCs w:val="22"/>
                <w:lang w:val="mk-MK"/>
              </w:rPr>
              <w:t>ј</w:t>
            </w:r>
            <w:r w:rsidRPr="00FF2F08">
              <w:rPr>
                <w:rFonts w:ascii="Times New Roman" w:hAnsi="Times New Roman"/>
                <w:sz w:val="22"/>
                <w:szCs w:val="22"/>
                <w:lang w:val="mk-MK"/>
              </w:rPr>
              <w:t>ере подразум</w:t>
            </w:r>
            <w:r w:rsidR="00487332" w:rsidRPr="00FF2F08">
              <w:rPr>
                <w:rFonts w:ascii="Times New Roman" w:hAnsi="Times New Roman"/>
                <w:sz w:val="22"/>
                <w:szCs w:val="22"/>
                <w:lang w:val="mk-MK"/>
              </w:rPr>
              <w:t>иј</w:t>
            </w:r>
            <w:r w:rsidRPr="00FF2F08">
              <w:rPr>
                <w:rFonts w:ascii="Times New Roman" w:hAnsi="Times New Roman"/>
                <w:sz w:val="22"/>
                <w:szCs w:val="22"/>
                <w:lang w:val="mk-MK"/>
              </w:rPr>
              <w:t>евају брзу елиминацију ун</w:t>
            </w:r>
            <w:r w:rsidR="007C32D7" w:rsidRPr="00FF2F08">
              <w:rPr>
                <w:rFonts w:ascii="Times New Roman" w:hAnsi="Times New Roman"/>
                <w:sz w:val="22"/>
                <w:szCs w:val="22"/>
                <w:lang w:val="mk-MK"/>
              </w:rPr>
              <w:t>иј</w:t>
            </w:r>
            <w:r w:rsidRPr="00FF2F08">
              <w:rPr>
                <w:rFonts w:ascii="Times New Roman" w:hAnsi="Times New Roman"/>
                <w:sz w:val="22"/>
                <w:szCs w:val="22"/>
                <w:lang w:val="mk-MK"/>
              </w:rPr>
              <w:t>ете супстанце испирањем  желуца и/или давањем активног угља, а непосредно посл</w:t>
            </w:r>
            <w:r w:rsidR="00A42F52" w:rsidRPr="00FF2F08">
              <w:rPr>
                <w:rFonts w:ascii="Times New Roman" w:hAnsi="Times New Roman"/>
                <w:sz w:val="22"/>
                <w:szCs w:val="22"/>
                <w:lang w:val="mk-MK"/>
              </w:rPr>
              <w:t>иј</w:t>
            </w:r>
            <w:r w:rsidRPr="00FF2F08">
              <w:rPr>
                <w:rFonts w:ascii="Times New Roman" w:hAnsi="Times New Roman"/>
                <w:sz w:val="22"/>
                <w:szCs w:val="22"/>
                <w:lang w:val="mk-MK"/>
              </w:rPr>
              <w:t>е тога у болничкој установи треба успоставити равнотежу вода/електролит</w:t>
            </w:r>
            <w:r w:rsidR="00CA4937" w:rsidRPr="00FF2F08">
              <w:rPr>
                <w:rFonts w:ascii="Times New Roman" w:hAnsi="Times New Roman"/>
                <w:sz w:val="22"/>
                <w:szCs w:val="22"/>
                <w:lang w:val="mk-MK"/>
              </w:rPr>
              <w:t>и</w:t>
            </w:r>
            <w:r w:rsidRPr="00FF2F08">
              <w:rPr>
                <w:rFonts w:ascii="Times New Roman" w:hAnsi="Times New Roman"/>
                <w:sz w:val="22"/>
                <w:szCs w:val="22"/>
                <w:lang w:val="mk-MK"/>
              </w:rPr>
              <w:t>.</w:t>
            </w:r>
          </w:p>
          <w:p w:rsidR="00C71013" w:rsidRPr="00FF2F08" w:rsidRDefault="00C71013" w:rsidP="00C04B2E">
            <w:pPr>
              <w:pStyle w:val="Header"/>
              <w:rPr>
                <w:rFonts w:ascii="Times New Roman" w:hAnsi="Times New Roman"/>
                <w:sz w:val="22"/>
                <w:szCs w:val="22"/>
                <w:lang w:val="sr-Cyrl-CS"/>
              </w:rPr>
            </w:pPr>
          </w:p>
          <w:p w:rsidR="00E83FC7" w:rsidRPr="00FF2F08" w:rsidRDefault="00E83FC7" w:rsidP="00C04B2E">
            <w:pPr>
              <w:pStyle w:val="Header"/>
              <w:rPr>
                <w:rFonts w:ascii="Times New Roman" w:hAnsi="Times New Roman"/>
                <w:sz w:val="22"/>
                <w:szCs w:val="22"/>
                <w:lang w:val="sr-Cyrl-CS"/>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5. ФАРМАКОЛОШКИ ПОДАЦИ</w:t>
            </w:r>
          </w:p>
        </w:tc>
      </w:tr>
      <w:tr w:rsidR="00B0540F" w:rsidRPr="00FF2F08" w:rsidTr="00865739">
        <w:tc>
          <w:tcPr>
            <w:tcW w:w="9356" w:type="dxa"/>
            <w:gridSpan w:val="4"/>
            <w:vAlign w:val="center"/>
          </w:tcPr>
          <w:p w:rsidR="00E83FC7" w:rsidRPr="00FF2F08" w:rsidRDefault="00E83FC7" w:rsidP="00476708">
            <w:pPr>
              <w:pStyle w:val="Header"/>
              <w:tabs>
                <w:tab w:val="clear" w:pos="4536"/>
                <w:tab w:val="clear" w:pos="9072"/>
                <w:tab w:val="left" w:pos="284"/>
              </w:tabs>
              <w:rPr>
                <w:rFonts w:ascii="Times New Roman" w:hAnsi="Times New Roman"/>
                <w:b/>
                <w:bCs/>
                <w:sz w:val="22"/>
                <w:szCs w:val="22"/>
                <w:lang w:eastAsia="en-US"/>
              </w:rPr>
            </w:pPr>
          </w:p>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5.1. Фармакодинамски</w:t>
            </w:r>
            <w:r w:rsidR="00EC3931" w:rsidRPr="00FF2F08">
              <w:rPr>
                <w:rFonts w:ascii="Times New Roman" w:hAnsi="Times New Roman"/>
                <w:b/>
                <w:bCs/>
                <w:sz w:val="22"/>
                <w:szCs w:val="22"/>
                <w:lang w:val="sr-Cyrl-CS" w:eastAsia="en-US"/>
              </w:rPr>
              <w:t xml:space="preserve"> </w:t>
            </w:r>
            <w:r w:rsidRPr="00FF2F08">
              <w:rPr>
                <w:rFonts w:ascii="Times New Roman" w:hAnsi="Times New Roman"/>
                <w:b/>
                <w:bCs/>
                <w:sz w:val="22"/>
                <w:szCs w:val="22"/>
                <w:lang w:eastAsia="en-US"/>
              </w:rPr>
              <w:t>подаци</w:t>
            </w:r>
          </w:p>
        </w:tc>
      </w:tr>
      <w:tr w:rsidR="00B0540F" w:rsidRPr="00FF2F08" w:rsidTr="00E83FC7">
        <w:trPr>
          <w:trHeight w:val="68"/>
        </w:trPr>
        <w:tc>
          <w:tcPr>
            <w:tcW w:w="3153" w:type="dxa"/>
            <w:gridSpan w:val="3"/>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Фармакотерапијска</w:t>
            </w:r>
            <w:r w:rsidR="00CA4937" w:rsidRPr="00FF2F08">
              <w:rPr>
                <w:rFonts w:ascii="Times New Roman" w:hAnsi="Times New Roman"/>
                <w:b/>
                <w:bCs/>
                <w:sz w:val="22"/>
                <w:szCs w:val="22"/>
                <w:lang w:eastAsia="en-US"/>
              </w:rPr>
              <w:t xml:space="preserve"> </w:t>
            </w:r>
            <w:r w:rsidRPr="00FF2F08">
              <w:rPr>
                <w:rFonts w:ascii="Times New Roman" w:hAnsi="Times New Roman"/>
                <w:b/>
                <w:bCs/>
                <w:sz w:val="22"/>
                <w:szCs w:val="22"/>
                <w:lang w:eastAsia="en-US"/>
              </w:rPr>
              <w:t>група:</w:t>
            </w:r>
          </w:p>
        </w:tc>
        <w:tc>
          <w:tcPr>
            <w:tcW w:w="6203" w:type="dxa"/>
            <w:vAlign w:val="center"/>
          </w:tcPr>
          <w:p w:rsidR="003D1146" w:rsidRPr="00FF2F08" w:rsidRDefault="00C71013" w:rsidP="00476708">
            <w:pPr>
              <w:rPr>
                <w:rFonts w:ascii="Times New Roman" w:hAnsi="Times New Roman" w:cs="Times New Roman"/>
                <w:sz w:val="22"/>
                <w:szCs w:val="22"/>
              </w:rPr>
            </w:pPr>
            <w:r w:rsidRPr="00FF2F08">
              <w:rPr>
                <w:rFonts w:ascii="Times New Roman" w:hAnsi="Times New Roman" w:cs="Times New Roman"/>
                <w:bCs/>
                <w:sz w:val="22"/>
                <w:szCs w:val="22"/>
                <w:lang w:val="sr-Cyrl-RS"/>
              </w:rPr>
              <w:t xml:space="preserve">Диуретици, </w:t>
            </w:r>
            <w:r w:rsidR="00561A38" w:rsidRPr="00FF2F08">
              <w:rPr>
                <w:rFonts w:ascii="Times New Roman" w:hAnsi="Times New Roman" w:cs="Times New Roman"/>
                <w:bCs/>
                <w:sz w:val="22"/>
                <w:szCs w:val="22"/>
              </w:rPr>
              <w:t>Сулфонамиди, монокомпонентни</w:t>
            </w:r>
          </w:p>
        </w:tc>
      </w:tr>
      <w:tr w:rsidR="00B0540F" w:rsidRPr="00FF2F08" w:rsidTr="00E83FC7">
        <w:trPr>
          <w:trHeight w:val="68"/>
        </w:trPr>
        <w:tc>
          <w:tcPr>
            <w:tcW w:w="1364" w:type="dxa"/>
            <w:gridSpan w:val="2"/>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АТЦ код:</w:t>
            </w:r>
          </w:p>
        </w:tc>
        <w:tc>
          <w:tcPr>
            <w:tcW w:w="7992" w:type="dxa"/>
            <w:gridSpan w:val="2"/>
            <w:vAlign w:val="center"/>
          </w:tcPr>
          <w:p w:rsidR="003D1146" w:rsidRPr="00FF2F08" w:rsidRDefault="00B66BB3" w:rsidP="00476708">
            <w:pPr>
              <w:pStyle w:val="Header"/>
              <w:tabs>
                <w:tab w:val="clear" w:pos="4536"/>
                <w:tab w:val="clear" w:pos="9072"/>
                <w:tab w:val="left" w:pos="284"/>
              </w:tabs>
              <w:rPr>
                <w:rFonts w:ascii="Times New Roman" w:hAnsi="Times New Roman"/>
                <w:sz w:val="22"/>
                <w:szCs w:val="22"/>
                <w:lang w:eastAsia="en-US"/>
              </w:rPr>
            </w:pPr>
            <w:r w:rsidRPr="00FF2F08">
              <w:rPr>
                <w:rFonts w:ascii="Times New Roman" w:hAnsi="Times New Roman"/>
                <w:bCs/>
                <w:sz w:val="22"/>
                <w:szCs w:val="22"/>
              </w:rPr>
              <w:t>C03BA11</w:t>
            </w:r>
          </w:p>
        </w:tc>
      </w:tr>
      <w:tr w:rsidR="00B0540F" w:rsidRPr="00FF2F08" w:rsidTr="00865739">
        <w:trPr>
          <w:trHeight w:val="707"/>
        </w:trPr>
        <w:tc>
          <w:tcPr>
            <w:tcW w:w="9356" w:type="dxa"/>
            <w:gridSpan w:val="4"/>
            <w:vAlign w:val="center"/>
          </w:tcPr>
          <w:p w:rsidR="002138BC" w:rsidRPr="00FF2F08" w:rsidRDefault="002138BC" w:rsidP="00476708">
            <w:pPr>
              <w:pStyle w:val="NoSpacing"/>
              <w:jc w:val="both"/>
              <w:rPr>
                <w:rFonts w:ascii="Times New Roman" w:hAnsi="Times New Roman"/>
                <w:u w:val="single"/>
                <w:lang w:val="mk-MK"/>
              </w:rPr>
            </w:pPr>
          </w:p>
          <w:p w:rsidR="005508DD" w:rsidRPr="00FF2F08" w:rsidRDefault="00561A38" w:rsidP="00476708">
            <w:pPr>
              <w:pStyle w:val="NoSpacing"/>
              <w:jc w:val="both"/>
              <w:rPr>
                <w:rFonts w:ascii="Times New Roman" w:hAnsi="Times New Roman"/>
              </w:rPr>
            </w:pPr>
            <w:r w:rsidRPr="00FF2F08">
              <w:rPr>
                <w:rFonts w:ascii="Times New Roman" w:hAnsi="Times New Roman"/>
                <w:u w:val="single"/>
              </w:rPr>
              <w:t>Механизам дејства</w:t>
            </w:r>
            <w:r w:rsidR="008E7A6F" w:rsidRPr="00FF2F08">
              <w:rPr>
                <w:rFonts w:ascii="Times New Roman" w:hAnsi="Times New Roman"/>
                <w:u w:val="single"/>
                <w:lang w:val="mk-MK"/>
              </w:rPr>
              <w:t xml:space="preserve"> </w:t>
            </w:r>
          </w:p>
          <w:p w:rsidR="00560F51" w:rsidRPr="00FF2F08" w:rsidRDefault="00560F51" w:rsidP="00476708">
            <w:pPr>
              <w:pStyle w:val="Header"/>
              <w:rPr>
                <w:rFonts w:ascii="Times New Roman" w:hAnsi="Times New Roman"/>
                <w:sz w:val="22"/>
                <w:szCs w:val="22"/>
                <w:lang w:val="mk-MK"/>
              </w:rPr>
            </w:pPr>
            <w:r w:rsidRPr="00FF2F08">
              <w:rPr>
                <w:rFonts w:ascii="Times New Roman" w:hAnsi="Times New Roman"/>
                <w:sz w:val="22"/>
                <w:szCs w:val="22"/>
              </w:rPr>
              <w:t>Структурно, индапамид</w:t>
            </w:r>
            <w:r w:rsidR="00CA4937" w:rsidRPr="00FF2F08">
              <w:rPr>
                <w:rFonts w:ascii="Times New Roman" w:hAnsi="Times New Roman"/>
                <w:sz w:val="22"/>
                <w:szCs w:val="22"/>
              </w:rPr>
              <w:t xml:space="preserve"> </w:t>
            </w:r>
            <w:r w:rsidRPr="00FF2F08">
              <w:rPr>
                <w:rFonts w:ascii="Times New Roman" w:hAnsi="Times New Roman"/>
                <w:sz w:val="22"/>
                <w:szCs w:val="22"/>
              </w:rPr>
              <w:t>је</w:t>
            </w:r>
            <w:r w:rsidR="00CA4937" w:rsidRPr="00FF2F08">
              <w:rPr>
                <w:rFonts w:ascii="Times New Roman" w:hAnsi="Times New Roman"/>
                <w:sz w:val="22"/>
                <w:szCs w:val="22"/>
              </w:rPr>
              <w:t xml:space="preserve"> </w:t>
            </w:r>
            <w:r w:rsidRPr="00FF2F08">
              <w:rPr>
                <w:rFonts w:ascii="Times New Roman" w:hAnsi="Times New Roman"/>
                <w:sz w:val="22"/>
                <w:szCs w:val="22"/>
              </w:rPr>
              <w:t>дериват</w:t>
            </w:r>
            <w:r w:rsidR="00CA4937" w:rsidRPr="00FF2F08">
              <w:rPr>
                <w:rFonts w:ascii="Times New Roman" w:hAnsi="Times New Roman"/>
                <w:sz w:val="22"/>
                <w:szCs w:val="22"/>
              </w:rPr>
              <w:t xml:space="preserve"> </w:t>
            </w:r>
            <w:r w:rsidRPr="00FF2F08">
              <w:rPr>
                <w:rFonts w:ascii="Times New Roman" w:hAnsi="Times New Roman"/>
                <w:sz w:val="22"/>
                <w:szCs w:val="22"/>
              </w:rPr>
              <w:t>сулфонамида</w:t>
            </w:r>
            <w:r w:rsidR="00CA4937" w:rsidRPr="00FF2F08">
              <w:rPr>
                <w:rFonts w:ascii="Times New Roman" w:hAnsi="Times New Roman"/>
                <w:sz w:val="22"/>
                <w:szCs w:val="22"/>
              </w:rPr>
              <w:t xml:space="preserve"> </w:t>
            </w:r>
            <w:r w:rsidRPr="00FF2F08">
              <w:rPr>
                <w:rFonts w:ascii="Times New Roman" w:hAnsi="Times New Roman"/>
                <w:sz w:val="22"/>
                <w:szCs w:val="22"/>
              </w:rPr>
              <w:t>са</w:t>
            </w:r>
            <w:r w:rsidR="00CA4937" w:rsidRPr="00FF2F08">
              <w:rPr>
                <w:rFonts w:ascii="Times New Roman" w:hAnsi="Times New Roman"/>
                <w:sz w:val="22"/>
                <w:szCs w:val="22"/>
              </w:rPr>
              <w:t xml:space="preserve"> </w:t>
            </w:r>
            <w:r w:rsidRPr="00FF2F08">
              <w:rPr>
                <w:rFonts w:ascii="Times New Roman" w:hAnsi="Times New Roman"/>
                <w:sz w:val="22"/>
                <w:szCs w:val="22"/>
              </w:rPr>
              <w:t>индолским</w:t>
            </w:r>
            <w:r w:rsidR="00CA4937" w:rsidRPr="00FF2F08">
              <w:rPr>
                <w:rFonts w:ascii="Times New Roman" w:hAnsi="Times New Roman"/>
                <w:sz w:val="22"/>
                <w:szCs w:val="22"/>
              </w:rPr>
              <w:t xml:space="preserve"> </w:t>
            </w:r>
            <w:r w:rsidRPr="00FF2F08">
              <w:rPr>
                <w:rFonts w:ascii="Times New Roman" w:hAnsi="Times New Roman"/>
                <w:sz w:val="22"/>
                <w:szCs w:val="22"/>
              </w:rPr>
              <w:t>прстеном, фармаколошки</w:t>
            </w:r>
            <w:r w:rsidR="00CA4937" w:rsidRPr="00FF2F08">
              <w:rPr>
                <w:rFonts w:ascii="Times New Roman" w:hAnsi="Times New Roman"/>
                <w:sz w:val="22"/>
                <w:szCs w:val="22"/>
              </w:rPr>
              <w:t xml:space="preserve"> </w:t>
            </w:r>
            <w:r w:rsidRPr="00FF2F08">
              <w:rPr>
                <w:rFonts w:ascii="Times New Roman" w:hAnsi="Times New Roman"/>
                <w:sz w:val="22"/>
                <w:szCs w:val="22"/>
              </w:rPr>
              <w:t>гледано</w:t>
            </w:r>
            <w:r w:rsidR="00CA4937" w:rsidRPr="00FF2F08">
              <w:rPr>
                <w:rFonts w:ascii="Times New Roman" w:hAnsi="Times New Roman"/>
                <w:sz w:val="22"/>
                <w:szCs w:val="22"/>
              </w:rPr>
              <w:t xml:space="preserve"> </w:t>
            </w:r>
            <w:r w:rsidRPr="00FF2F08">
              <w:rPr>
                <w:rFonts w:ascii="Times New Roman" w:hAnsi="Times New Roman"/>
                <w:sz w:val="22"/>
                <w:szCs w:val="22"/>
              </w:rPr>
              <w:t>припада</w:t>
            </w:r>
            <w:r w:rsidR="00CA4937" w:rsidRPr="00FF2F08">
              <w:rPr>
                <w:rFonts w:ascii="Times New Roman" w:hAnsi="Times New Roman"/>
                <w:sz w:val="22"/>
                <w:szCs w:val="22"/>
              </w:rPr>
              <w:t xml:space="preserve"> </w:t>
            </w:r>
            <w:r w:rsidRPr="00FF2F08">
              <w:rPr>
                <w:rFonts w:ascii="Times New Roman" w:hAnsi="Times New Roman"/>
                <w:sz w:val="22"/>
                <w:szCs w:val="22"/>
              </w:rPr>
              <w:t>групи</w:t>
            </w:r>
            <w:r w:rsidR="00CA4937" w:rsidRPr="00FF2F08">
              <w:rPr>
                <w:rFonts w:ascii="Times New Roman" w:hAnsi="Times New Roman"/>
                <w:sz w:val="22"/>
                <w:szCs w:val="22"/>
              </w:rPr>
              <w:t xml:space="preserve"> </w:t>
            </w:r>
            <w:r w:rsidRPr="00FF2F08">
              <w:rPr>
                <w:rFonts w:ascii="Times New Roman" w:hAnsi="Times New Roman"/>
                <w:sz w:val="22"/>
                <w:szCs w:val="22"/>
              </w:rPr>
              <w:t>тиазидних</w:t>
            </w:r>
            <w:r w:rsidR="00CA4937" w:rsidRPr="00FF2F08">
              <w:rPr>
                <w:rFonts w:ascii="Times New Roman" w:hAnsi="Times New Roman"/>
                <w:sz w:val="22"/>
                <w:szCs w:val="22"/>
              </w:rPr>
              <w:t xml:space="preserve"> </w:t>
            </w:r>
            <w:r w:rsidRPr="00FF2F08">
              <w:rPr>
                <w:rFonts w:ascii="Times New Roman" w:hAnsi="Times New Roman"/>
                <w:sz w:val="22"/>
                <w:szCs w:val="22"/>
              </w:rPr>
              <w:t>диуретика. Он</w:t>
            </w:r>
            <w:r w:rsidR="00CA4937" w:rsidRPr="00FF2F08">
              <w:rPr>
                <w:rFonts w:ascii="Times New Roman" w:hAnsi="Times New Roman"/>
                <w:sz w:val="22"/>
                <w:szCs w:val="22"/>
              </w:rPr>
              <w:t xml:space="preserve"> </w:t>
            </w:r>
            <w:r w:rsidRPr="00FF2F08">
              <w:rPr>
                <w:rFonts w:ascii="Times New Roman" w:hAnsi="Times New Roman"/>
                <w:sz w:val="22"/>
                <w:szCs w:val="22"/>
              </w:rPr>
              <w:t>д</w:t>
            </w:r>
            <w:r w:rsidR="00A42F52" w:rsidRPr="00FF2F08">
              <w:rPr>
                <w:rFonts w:ascii="Times New Roman" w:hAnsi="Times New Roman"/>
                <w:sz w:val="22"/>
                <w:szCs w:val="22"/>
              </w:rPr>
              <w:t>ј</w:t>
            </w:r>
            <w:r w:rsidRPr="00FF2F08">
              <w:rPr>
                <w:rFonts w:ascii="Times New Roman" w:hAnsi="Times New Roman"/>
                <w:sz w:val="22"/>
                <w:szCs w:val="22"/>
              </w:rPr>
              <w:t>елује</w:t>
            </w:r>
            <w:r w:rsidR="00CA4937" w:rsidRPr="00FF2F08">
              <w:rPr>
                <w:rFonts w:ascii="Times New Roman" w:hAnsi="Times New Roman"/>
                <w:sz w:val="22"/>
                <w:szCs w:val="22"/>
              </w:rPr>
              <w:t xml:space="preserve"> </w:t>
            </w:r>
            <w:r w:rsidRPr="00FF2F08">
              <w:rPr>
                <w:rFonts w:ascii="Times New Roman" w:hAnsi="Times New Roman"/>
                <w:sz w:val="22"/>
                <w:szCs w:val="22"/>
              </w:rPr>
              <w:t>тако</w:t>
            </w:r>
            <w:r w:rsidR="00CA4937" w:rsidRPr="00FF2F08">
              <w:rPr>
                <w:rFonts w:ascii="Times New Roman" w:hAnsi="Times New Roman"/>
                <w:sz w:val="22"/>
                <w:szCs w:val="22"/>
              </w:rPr>
              <w:t xml:space="preserve"> </w:t>
            </w:r>
            <w:r w:rsidRPr="00FF2F08">
              <w:rPr>
                <w:rFonts w:ascii="Times New Roman" w:hAnsi="Times New Roman"/>
                <w:sz w:val="22"/>
                <w:szCs w:val="22"/>
              </w:rPr>
              <w:t>што</w:t>
            </w:r>
            <w:r w:rsidR="00CA4937" w:rsidRPr="00FF2F08">
              <w:rPr>
                <w:rFonts w:ascii="Times New Roman" w:hAnsi="Times New Roman"/>
                <w:sz w:val="22"/>
                <w:szCs w:val="22"/>
              </w:rPr>
              <w:t xml:space="preserve"> </w:t>
            </w:r>
            <w:r w:rsidRPr="00FF2F08">
              <w:rPr>
                <w:rFonts w:ascii="Times New Roman" w:hAnsi="Times New Roman"/>
                <w:sz w:val="22"/>
                <w:szCs w:val="22"/>
              </w:rPr>
              <w:t>инхибира</w:t>
            </w:r>
            <w:r w:rsidR="00CA4937" w:rsidRPr="00FF2F08">
              <w:rPr>
                <w:rFonts w:ascii="Times New Roman" w:hAnsi="Times New Roman"/>
                <w:sz w:val="22"/>
                <w:szCs w:val="22"/>
              </w:rPr>
              <w:t xml:space="preserve"> </w:t>
            </w:r>
            <w:r w:rsidRPr="00FF2F08">
              <w:rPr>
                <w:rFonts w:ascii="Times New Roman" w:hAnsi="Times New Roman"/>
                <w:sz w:val="22"/>
                <w:szCs w:val="22"/>
              </w:rPr>
              <w:t>ресорпцију</w:t>
            </w:r>
            <w:r w:rsidR="00CA4937" w:rsidRPr="00FF2F08">
              <w:rPr>
                <w:rFonts w:ascii="Times New Roman" w:hAnsi="Times New Roman"/>
                <w:sz w:val="22"/>
                <w:szCs w:val="22"/>
              </w:rPr>
              <w:t xml:space="preserve"> </w:t>
            </w:r>
            <w:r w:rsidRPr="00FF2F08">
              <w:rPr>
                <w:rFonts w:ascii="Times New Roman" w:hAnsi="Times New Roman"/>
                <w:sz w:val="22"/>
                <w:szCs w:val="22"/>
              </w:rPr>
              <w:t>натријума у кортикалном</w:t>
            </w:r>
            <w:r w:rsidR="00CA4937" w:rsidRPr="00FF2F08">
              <w:rPr>
                <w:rFonts w:ascii="Times New Roman" w:hAnsi="Times New Roman"/>
                <w:sz w:val="22"/>
                <w:szCs w:val="22"/>
              </w:rPr>
              <w:t xml:space="preserve"> </w:t>
            </w:r>
            <w:r w:rsidRPr="00FF2F08">
              <w:rPr>
                <w:rFonts w:ascii="Times New Roman" w:hAnsi="Times New Roman"/>
                <w:sz w:val="22"/>
                <w:szCs w:val="22"/>
              </w:rPr>
              <w:t>дилуционом</w:t>
            </w:r>
            <w:r w:rsidR="00CA4937" w:rsidRPr="00FF2F08">
              <w:rPr>
                <w:rFonts w:ascii="Times New Roman" w:hAnsi="Times New Roman"/>
                <w:sz w:val="22"/>
                <w:szCs w:val="22"/>
              </w:rPr>
              <w:t xml:space="preserve"> </w:t>
            </w:r>
            <w:r w:rsidRPr="00FF2F08">
              <w:rPr>
                <w:rFonts w:ascii="Times New Roman" w:hAnsi="Times New Roman"/>
                <w:sz w:val="22"/>
                <w:szCs w:val="22"/>
              </w:rPr>
              <w:t>сегменту</w:t>
            </w:r>
            <w:r w:rsidR="00CA4937" w:rsidRPr="00FF2F08">
              <w:rPr>
                <w:rFonts w:ascii="Times New Roman" w:hAnsi="Times New Roman"/>
                <w:sz w:val="22"/>
                <w:szCs w:val="22"/>
              </w:rPr>
              <w:t xml:space="preserve"> </w:t>
            </w:r>
            <w:r w:rsidRPr="00FF2F08">
              <w:rPr>
                <w:rFonts w:ascii="Times New Roman" w:hAnsi="Times New Roman"/>
                <w:sz w:val="22"/>
                <w:szCs w:val="22"/>
              </w:rPr>
              <w:t>бубрежних</w:t>
            </w:r>
            <w:r w:rsidR="00CA4937" w:rsidRPr="00FF2F08">
              <w:rPr>
                <w:rFonts w:ascii="Times New Roman" w:hAnsi="Times New Roman"/>
                <w:sz w:val="22"/>
                <w:szCs w:val="22"/>
              </w:rPr>
              <w:t xml:space="preserve"> </w:t>
            </w:r>
            <w:r w:rsidRPr="00FF2F08">
              <w:rPr>
                <w:rFonts w:ascii="Times New Roman" w:hAnsi="Times New Roman"/>
                <w:sz w:val="22"/>
                <w:szCs w:val="22"/>
              </w:rPr>
              <w:t>тубула. Индапамид</w:t>
            </w:r>
            <w:r w:rsidR="00CA4937" w:rsidRPr="00FF2F08">
              <w:rPr>
                <w:rFonts w:ascii="Times New Roman" w:hAnsi="Times New Roman"/>
                <w:sz w:val="22"/>
                <w:szCs w:val="22"/>
              </w:rPr>
              <w:t xml:space="preserve"> </w:t>
            </w:r>
            <w:r w:rsidRPr="00FF2F08">
              <w:rPr>
                <w:rFonts w:ascii="Times New Roman" w:hAnsi="Times New Roman"/>
                <w:sz w:val="22"/>
                <w:szCs w:val="22"/>
              </w:rPr>
              <w:t>повећава</w:t>
            </w:r>
            <w:r w:rsidR="00CA4937" w:rsidRPr="00FF2F08">
              <w:rPr>
                <w:rFonts w:ascii="Times New Roman" w:hAnsi="Times New Roman"/>
                <w:sz w:val="22"/>
                <w:szCs w:val="22"/>
              </w:rPr>
              <w:t xml:space="preserve"> </w:t>
            </w:r>
            <w:r w:rsidRPr="00FF2F08">
              <w:rPr>
                <w:rFonts w:ascii="Times New Roman" w:hAnsi="Times New Roman"/>
                <w:sz w:val="22"/>
                <w:szCs w:val="22"/>
              </w:rPr>
              <w:t>екскрецију</w:t>
            </w:r>
            <w:r w:rsidR="00CA4937" w:rsidRPr="00FF2F08">
              <w:rPr>
                <w:rFonts w:ascii="Times New Roman" w:hAnsi="Times New Roman"/>
                <w:sz w:val="22"/>
                <w:szCs w:val="22"/>
              </w:rPr>
              <w:t xml:space="preserve"> </w:t>
            </w:r>
            <w:r w:rsidRPr="00FF2F08">
              <w:rPr>
                <w:rFonts w:ascii="Times New Roman" w:hAnsi="Times New Roman"/>
                <w:sz w:val="22"/>
                <w:szCs w:val="22"/>
              </w:rPr>
              <w:t>натријумових и хлоридних</w:t>
            </w:r>
            <w:r w:rsidR="00CA4937" w:rsidRPr="00FF2F08">
              <w:rPr>
                <w:rFonts w:ascii="Times New Roman" w:hAnsi="Times New Roman"/>
                <w:sz w:val="22"/>
                <w:szCs w:val="22"/>
              </w:rPr>
              <w:t xml:space="preserve"> </w:t>
            </w:r>
            <w:r w:rsidRPr="00FF2F08">
              <w:rPr>
                <w:rFonts w:ascii="Times New Roman" w:hAnsi="Times New Roman"/>
                <w:sz w:val="22"/>
                <w:szCs w:val="22"/>
              </w:rPr>
              <w:t>јона у урин, а у мањем</w:t>
            </w:r>
            <w:r w:rsidR="00CA4937" w:rsidRPr="00FF2F08">
              <w:rPr>
                <w:rFonts w:ascii="Times New Roman" w:hAnsi="Times New Roman"/>
                <w:sz w:val="22"/>
                <w:szCs w:val="22"/>
              </w:rPr>
              <w:t xml:space="preserve"> </w:t>
            </w:r>
            <w:r w:rsidRPr="00FF2F08">
              <w:rPr>
                <w:rFonts w:ascii="Times New Roman" w:hAnsi="Times New Roman"/>
                <w:sz w:val="22"/>
                <w:szCs w:val="22"/>
              </w:rPr>
              <w:t>степену и калијума и магнезијума. На</w:t>
            </w:r>
            <w:r w:rsidR="00CA4937" w:rsidRPr="00FF2F08">
              <w:rPr>
                <w:rFonts w:ascii="Times New Roman" w:hAnsi="Times New Roman"/>
                <w:sz w:val="22"/>
                <w:szCs w:val="22"/>
              </w:rPr>
              <w:t xml:space="preserve"> </w:t>
            </w:r>
            <w:r w:rsidRPr="00FF2F08">
              <w:rPr>
                <w:rFonts w:ascii="Times New Roman" w:hAnsi="Times New Roman"/>
                <w:sz w:val="22"/>
                <w:szCs w:val="22"/>
              </w:rPr>
              <w:t>тај</w:t>
            </w:r>
            <w:r w:rsidR="00CA4937" w:rsidRPr="00FF2F08">
              <w:rPr>
                <w:rFonts w:ascii="Times New Roman" w:hAnsi="Times New Roman"/>
                <w:sz w:val="22"/>
                <w:szCs w:val="22"/>
              </w:rPr>
              <w:t xml:space="preserve"> </w:t>
            </w:r>
            <w:r w:rsidRPr="00FF2F08">
              <w:rPr>
                <w:rFonts w:ascii="Times New Roman" w:hAnsi="Times New Roman"/>
                <w:sz w:val="22"/>
                <w:szCs w:val="22"/>
              </w:rPr>
              <w:t>начин</w:t>
            </w:r>
            <w:r w:rsidR="00CA4937" w:rsidRPr="00FF2F08">
              <w:rPr>
                <w:rFonts w:ascii="Times New Roman" w:hAnsi="Times New Roman"/>
                <w:sz w:val="22"/>
                <w:szCs w:val="22"/>
              </w:rPr>
              <w:t xml:space="preserve"> </w:t>
            </w:r>
            <w:r w:rsidRPr="00FF2F08">
              <w:rPr>
                <w:rFonts w:ascii="Times New Roman" w:hAnsi="Times New Roman"/>
                <w:sz w:val="22"/>
                <w:szCs w:val="22"/>
              </w:rPr>
              <w:t>д</w:t>
            </w:r>
            <w:r w:rsidR="00A42F52" w:rsidRPr="00FF2F08">
              <w:rPr>
                <w:rFonts w:ascii="Times New Roman" w:hAnsi="Times New Roman"/>
                <w:sz w:val="22"/>
                <w:szCs w:val="22"/>
              </w:rPr>
              <w:t>ј</w:t>
            </w:r>
            <w:r w:rsidRPr="00FF2F08">
              <w:rPr>
                <w:rFonts w:ascii="Times New Roman" w:hAnsi="Times New Roman"/>
                <w:sz w:val="22"/>
                <w:szCs w:val="22"/>
              </w:rPr>
              <w:t>елује</w:t>
            </w:r>
            <w:r w:rsidR="00CA4937" w:rsidRPr="00FF2F08">
              <w:rPr>
                <w:rFonts w:ascii="Times New Roman" w:hAnsi="Times New Roman"/>
                <w:sz w:val="22"/>
                <w:szCs w:val="22"/>
              </w:rPr>
              <w:t xml:space="preserve"> </w:t>
            </w:r>
            <w:r w:rsidRPr="00FF2F08">
              <w:rPr>
                <w:rFonts w:ascii="Times New Roman" w:hAnsi="Times New Roman"/>
                <w:sz w:val="22"/>
                <w:szCs w:val="22"/>
              </w:rPr>
              <w:t>диуретски и има</w:t>
            </w:r>
            <w:r w:rsidR="00CA4937" w:rsidRPr="00FF2F08">
              <w:rPr>
                <w:rFonts w:ascii="Times New Roman" w:hAnsi="Times New Roman"/>
                <w:sz w:val="22"/>
                <w:szCs w:val="22"/>
              </w:rPr>
              <w:t xml:space="preserve"> </w:t>
            </w:r>
            <w:r w:rsidRPr="00FF2F08">
              <w:rPr>
                <w:rFonts w:ascii="Times New Roman" w:hAnsi="Times New Roman"/>
                <w:sz w:val="22"/>
                <w:szCs w:val="22"/>
              </w:rPr>
              <w:t>антихипертензивно</w:t>
            </w:r>
            <w:r w:rsidR="00CA4937" w:rsidRPr="00FF2F08">
              <w:rPr>
                <w:rFonts w:ascii="Times New Roman" w:hAnsi="Times New Roman"/>
                <w:sz w:val="22"/>
                <w:szCs w:val="22"/>
              </w:rPr>
              <w:t xml:space="preserve"> </w:t>
            </w:r>
            <w:r w:rsidRPr="00FF2F08">
              <w:rPr>
                <w:rFonts w:ascii="Times New Roman" w:hAnsi="Times New Roman"/>
                <w:sz w:val="22"/>
                <w:szCs w:val="22"/>
              </w:rPr>
              <w:t>дејство.</w:t>
            </w:r>
          </w:p>
          <w:p w:rsidR="0089599C" w:rsidRPr="00FF2F08" w:rsidRDefault="0089599C" w:rsidP="00476708">
            <w:pPr>
              <w:pStyle w:val="Header"/>
              <w:rPr>
                <w:rFonts w:ascii="Times New Roman" w:hAnsi="Times New Roman"/>
                <w:sz w:val="22"/>
                <w:szCs w:val="22"/>
                <w:lang w:val="mk-MK"/>
              </w:rPr>
            </w:pPr>
          </w:p>
          <w:p w:rsidR="0089599C" w:rsidRPr="00FF2F08" w:rsidRDefault="00561A38" w:rsidP="00476708">
            <w:pPr>
              <w:pStyle w:val="Header"/>
              <w:rPr>
                <w:rFonts w:ascii="Times New Roman" w:hAnsi="Times New Roman"/>
                <w:sz w:val="22"/>
                <w:szCs w:val="22"/>
                <w:lang w:val="mk-MK"/>
              </w:rPr>
            </w:pPr>
            <w:r w:rsidRPr="00FF2F08">
              <w:rPr>
                <w:rFonts w:ascii="Times New Roman" w:hAnsi="Times New Roman"/>
                <w:sz w:val="22"/>
                <w:szCs w:val="22"/>
                <w:u w:val="single"/>
                <w:lang w:val="mk-MK"/>
              </w:rPr>
              <w:t>Фармакодинамско дејство</w:t>
            </w:r>
            <w:r w:rsidR="008E7A6F" w:rsidRPr="00FF2F08">
              <w:rPr>
                <w:rFonts w:ascii="Times New Roman" w:hAnsi="Times New Roman"/>
                <w:sz w:val="22"/>
                <w:szCs w:val="22"/>
                <w:u w:val="single"/>
                <w:lang w:val="mk-MK"/>
              </w:rPr>
              <w:t xml:space="preserve"> </w:t>
            </w:r>
          </w:p>
          <w:p w:rsidR="00560F51" w:rsidRPr="00FF2F08" w:rsidRDefault="000E55C0" w:rsidP="00476708">
            <w:pPr>
              <w:pStyle w:val="Header"/>
              <w:rPr>
                <w:rFonts w:ascii="Times New Roman" w:hAnsi="Times New Roman"/>
                <w:sz w:val="22"/>
                <w:szCs w:val="22"/>
                <w:lang w:val="mk-MK"/>
              </w:rPr>
            </w:pPr>
            <w:r w:rsidRPr="00FF2F08">
              <w:rPr>
                <w:rFonts w:ascii="Times New Roman" w:hAnsi="Times New Roman"/>
                <w:sz w:val="22"/>
                <w:szCs w:val="22"/>
                <w:lang w:val="mk-MK"/>
              </w:rPr>
              <w:t xml:space="preserve">II и III фаза студија </w:t>
            </w:r>
            <w:r w:rsidR="00561A38" w:rsidRPr="00FF2F08">
              <w:rPr>
                <w:rFonts w:ascii="Times New Roman" w:hAnsi="Times New Roman"/>
                <w:sz w:val="22"/>
                <w:szCs w:val="22"/>
                <w:lang w:val="mk-MK"/>
              </w:rPr>
              <w:t>у којима је примјењивана</w:t>
            </w:r>
            <w:r w:rsidR="00C71013" w:rsidRPr="00FF2F08">
              <w:rPr>
                <w:rFonts w:ascii="Times New Roman" w:hAnsi="Times New Roman"/>
                <w:sz w:val="22"/>
                <w:szCs w:val="22"/>
                <w:lang w:val="mk-MK"/>
              </w:rPr>
              <w:t xml:space="preserve"> </w:t>
            </w:r>
            <w:r w:rsidRPr="00FF2F08">
              <w:rPr>
                <w:rFonts w:ascii="Times New Roman" w:hAnsi="Times New Roman"/>
                <w:sz w:val="22"/>
                <w:szCs w:val="22"/>
                <w:lang w:val="mk-MK"/>
              </w:rPr>
              <w:t>монотерапиј</w:t>
            </w:r>
            <w:r w:rsidR="00483F35" w:rsidRPr="00FF2F08">
              <w:rPr>
                <w:rFonts w:ascii="Times New Roman" w:hAnsi="Times New Roman"/>
                <w:sz w:val="22"/>
                <w:szCs w:val="22"/>
                <w:lang w:val="mk-MK"/>
              </w:rPr>
              <w:t>а индапамида</w:t>
            </w:r>
            <w:r w:rsidR="008E7A6F" w:rsidRPr="00FF2F08">
              <w:rPr>
                <w:rFonts w:ascii="Times New Roman" w:hAnsi="Times New Roman"/>
                <w:sz w:val="22"/>
                <w:szCs w:val="22"/>
                <w:lang w:val="mk-MK"/>
              </w:rPr>
              <w:t xml:space="preserve"> </w:t>
            </w:r>
            <w:r w:rsidRPr="00FF2F08">
              <w:rPr>
                <w:rFonts w:ascii="Times New Roman" w:hAnsi="Times New Roman"/>
                <w:sz w:val="22"/>
                <w:szCs w:val="22"/>
                <w:lang w:val="mk-MK"/>
              </w:rPr>
              <w:t>показале су</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да</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антихипертензивно</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дејство</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траје 24 сата. Оно</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је</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било</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присутно</w:t>
            </w:r>
            <w:r w:rsidR="00CA4937" w:rsidRPr="00FF2F08">
              <w:rPr>
                <w:rFonts w:ascii="Times New Roman" w:hAnsi="Times New Roman"/>
                <w:sz w:val="22"/>
                <w:szCs w:val="22"/>
                <w:lang w:val="mk-MK"/>
              </w:rPr>
              <w:t xml:space="preserve"> </w:t>
            </w:r>
            <w:r w:rsidR="00D753AF" w:rsidRPr="00FF2F08">
              <w:rPr>
                <w:rFonts w:ascii="Times New Roman" w:hAnsi="Times New Roman"/>
                <w:sz w:val="22"/>
                <w:szCs w:val="22"/>
                <w:lang w:val="mk-MK"/>
              </w:rPr>
              <w:t xml:space="preserve">и </w:t>
            </w:r>
            <w:r w:rsidRPr="00FF2F08">
              <w:rPr>
                <w:rFonts w:ascii="Times New Roman" w:hAnsi="Times New Roman"/>
                <w:sz w:val="22"/>
                <w:szCs w:val="22"/>
                <w:lang w:val="mk-MK"/>
              </w:rPr>
              <w:t>код</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доза</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при</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којима</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је</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диуретско</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дејство</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било</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благог</w:t>
            </w:r>
            <w:r w:rsidR="00CA4937" w:rsidRPr="00FF2F08">
              <w:rPr>
                <w:rFonts w:ascii="Times New Roman" w:hAnsi="Times New Roman"/>
                <w:sz w:val="22"/>
                <w:szCs w:val="22"/>
                <w:lang w:val="mk-MK"/>
              </w:rPr>
              <w:t xml:space="preserve"> </w:t>
            </w:r>
            <w:r w:rsidRPr="00FF2F08">
              <w:rPr>
                <w:rFonts w:ascii="Times New Roman" w:hAnsi="Times New Roman"/>
                <w:sz w:val="22"/>
                <w:szCs w:val="22"/>
                <w:lang w:val="mk-MK"/>
              </w:rPr>
              <w:t>интензитета.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Антихипертензивно</w:t>
            </w:r>
            <w:r w:rsidR="00CA4937" w:rsidRPr="00FF2F08">
              <w:rPr>
                <w:rFonts w:ascii="Times New Roman" w:hAnsi="Times New Roman"/>
                <w:sz w:val="22"/>
                <w:szCs w:val="22"/>
              </w:rPr>
              <w:t xml:space="preserve"> </w:t>
            </w:r>
            <w:r w:rsidRPr="00FF2F08">
              <w:rPr>
                <w:rFonts w:ascii="Times New Roman" w:hAnsi="Times New Roman"/>
                <w:sz w:val="22"/>
                <w:szCs w:val="22"/>
              </w:rPr>
              <w:t>дејство</w:t>
            </w:r>
            <w:r w:rsidR="00CA4937" w:rsidRPr="00FF2F08">
              <w:rPr>
                <w:rFonts w:ascii="Times New Roman" w:hAnsi="Times New Roman"/>
                <w:sz w:val="22"/>
                <w:szCs w:val="22"/>
              </w:rPr>
              <w:t xml:space="preserve"> </w:t>
            </w:r>
            <w:r w:rsidRPr="00FF2F08">
              <w:rPr>
                <w:rFonts w:ascii="Times New Roman" w:hAnsi="Times New Roman"/>
                <w:sz w:val="22"/>
                <w:szCs w:val="22"/>
              </w:rPr>
              <w:t>индапамида</w:t>
            </w:r>
            <w:r w:rsidR="00CA4937" w:rsidRPr="00FF2F08">
              <w:rPr>
                <w:rFonts w:ascii="Times New Roman" w:hAnsi="Times New Roman"/>
                <w:sz w:val="22"/>
                <w:szCs w:val="22"/>
              </w:rPr>
              <w:t xml:space="preserve"> </w:t>
            </w:r>
            <w:r w:rsidRPr="00FF2F08">
              <w:rPr>
                <w:rFonts w:ascii="Times New Roman" w:hAnsi="Times New Roman"/>
                <w:sz w:val="22"/>
                <w:szCs w:val="22"/>
              </w:rPr>
              <w:t>повезано</w:t>
            </w:r>
            <w:r w:rsidR="00CA4937" w:rsidRPr="00FF2F08">
              <w:rPr>
                <w:rFonts w:ascii="Times New Roman" w:hAnsi="Times New Roman"/>
                <w:sz w:val="22"/>
                <w:szCs w:val="22"/>
              </w:rPr>
              <w:t xml:space="preserve"> </w:t>
            </w:r>
            <w:r w:rsidRPr="00FF2F08">
              <w:rPr>
                <w:rFonts w:ascii="Times New Roman" w:hAnsi="Times New Roman"/>
                <w:sz w:val="22"/>
                <w:szCs w:val="22"/>
              </w:rPr>
              <w:t>је</w:t>
            </w:r>
            <w:r w:rsidR="00CA4937" w:rsidRPr="00FF2F08">
              <w:rPr>
                <w:rFonts w:ascii="Times New Roman" w:hAnsi="Times New Roman"/>
                <w:sz w:val="22"/>
                <w:szCs w:val="22"/>
              </w:rPr>
              <w:t xml:space="preserve"> </w:t>
            </w:r>
            <w:r w:rsidR="00C71013" w:rsidRPr="00FF2F08">
              <w:rPr>
                <w:rFonts w:ascii="Times New Roman" w:hAnsi="Times New Roman"/>
                <w:sz w:val="22"/>
                <w:szCs w:val="22"/>
              </w:rPr>
              <w:t>по</w:t>
            </w:r>
            <w:r w:rsidR="00C71013" w:rsidRPr="00FF2F08">
              <w:rPr>
                <w:rFonts w:ascii="Times New Roman" w:hAnsi="Times New Roman"/>
                <w:sz w:val="22"/>
                <w:szCs w:val="22"/>
                <w:lang w:val="sr-Cyrl-RS"/>
              </w:rPr>
              <w:t>већа</w:t>
            </w:r>
            <w:r w:rsidR="00394E02" w:rsidRPr="00FF2F08">
              <w:rPr>
                <w:rFonts w:ascii="Times New Roman" w:hAnsi="Times New Roman"/>
                <w:sz w:val="22"/>
                <w:szCs w:val="22"/>
                <w:lang w:val="mk-MK"/>
              </w:rPr>
              <w:t>њ</w:t>
            </w:r>
            <w:r w:rsidR="00C71013" w:rsidRPr="00FF2F08">
              <w:rPr>
                <w:rFonts w:ascii="Times New Roman" w:hAnsi="Times New Roman"/>
                <w:sz w:val="22"/>
                <w:szCs w:val="22"/>
                <w:lang w:val="sr-Cyrl-RS"/>
              </w:rPr>
              <w:t>ем</w:t>
            </w:r>
            <w:r w:rsidR="00C71013" w:rsidRPr="00FF2F08">
              <w:rPr>
                <w:rFonts w:ascii="Times New Roman" w:hAnsi="Times New Roman"/>
                <w:sz w:val="22"/>
                <w:szCs w:val="22"/>
              </w:rPr>
              <w:t xml:space="preserve"> </w:t>
            </w:r>
            <w:r w:rsidRPr="00FF2F08">
              <w:rPr>
                <w:rFonts w:ascii="Times New Roman" w:hAnsi="Times New Roman"/>
                <w:sz w:val="22"/>
                <w:szCs w:val="22"/>
              </w:rPr>
              <w:t>усклађености рада</w:t>
            </w:r>
            <w:r w:rsidR="00CA4937" w:rsidRPr="00FF2F08">
              <w:rPr>
                <w:rFonts w:ascii="Times New Roman" w:hAnsi="Times New Roman"/>
                <w:sz w:val="22"/>
                <w:szCs w:val="22"/>
              </w:rPr>
              <w:t xml:space="preserve"> </w:t>
            </w:r>
            <w:r w:rsidRPr="00FF2F08">
              <w:rPr>
                <w:rFonts w:ascii="Times New Roman" w:hAnsi="Times New Roman"/>
                <w:sz w:val="22"/>
                <w:szCs w:val="22"/>
              </w:rPr>
              <w:t>артерија и смањењем</w:t>
            </w:r>
            <w:r w:rsidR="00CA4937" w:rsidRPr="00FF2F08">
              <w:rPr>
                <w:rFonts w:ascii="Times New Roman" w:hAnsi="Times New Roman"/>
                <w:sz w:val="22"/>
                <w:szCs w:val="22"/>
              </w:rPr>
              <w:t xml:space="preserve"> </w:t>
            </w:r>
            <w:r w:rsidRPr="00FF2F08">
              <w:rPr>
                <w:rFonts w:ascii="Times New Roman" w:hAnsi="Times New Roman"/>
                <w:sz w:val="22"/>
                <w:szCs w:val="22"/>
              </w:rPr>
              <w:t>артеријског и укупног</w:t>
            </w:r>
            <w:r w:rsidR="00CA4937" w:rsidRPr="00FF2F08">
              <w:rPr>
                <w:rFonts w:ascii="Times New Roman" w:hAnsi="Times New Roman"/>
                <w:sz w:val="22"/>
                <w:szCs w:val="22"/>
              </w:rPr>
              <w:t xml:space="preserve"> </w:t>
            </w:r>
            <w:r w:rsidRPr="00FF2F08">
              <w:rPr>
                <w:rFonts w:ascii="Times New Roman" w:hAnsi="Times New Roman"/>
                <w:sz w:val="22"/>
                <w:szCs w:val="22"/>
              </w:rPr>
              <w:t>периферног</w:t>
            </w:r>
            <w:r w:rsidR="00CA4937" w:rsidRPr="00FF2F08">
              <w:rPr>
                <w:rFonts w:ascii="Times New Roman" w:hAnsi="Times New Roman"/>
                <w:sz w:val="22"/>
                <w:szCs w:val="22"/>
              </w:rPr>
              <w:t xml:space="preserve"> </w:t>
            </w:r>
            <w:r w:rsidRPr="00FF2F08">
              <w:rPr>
                <w:rFonts w:ascii="Times New Roman" w:hAnsi="Times New Roman"/>
                <w:sz w:val="22"/>
                <w:szCs w:val="22"/>
              </w:rPr>
              <w:t>отпора.</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Индапамид</w:t>
            </w:r>
            <w:r w:rsidR="00CA4937" w:rsidRPr="00FF2F08">
              <w:rPr>
                <w:rFonts w:ascii="Times New Roman" w:hAnsi="Times New Roman"/>
                <w:sz w:val="22"/>
                <w:szCs w:val="22"/>
              </w:rPr>
              <w:t xml:space="preserve"> </w:t>
            </w:r>
            <w:r w:rsidRPr="00FF2F08">
              <w:rPr>
                <w:rFonts w:ascii="Times New Roman" w:hAnsi="Times New Roman"/>
                <w:sz w:val="22"/>
                <w:szCs w:val="22"/>
              </w:rPr>
              <w:t>смањује</w:t>
            </w:r>
            <w:r w:rsidR="00CA4937" w:rsidRPr="00FF2F08">
              <w:rPr>
                <w:rFonts w:ascii="Times New Roman" w:hAnsi="Times New Roman"/>
                <w:sz w:val="22"/>
                <w:szCs w:val="22"/>
              </w:rPr>
              <w:t xml:space="preserve"> </w:t>
            </w:r>
            <w:r w:rsidRPr="00FF2F08">
              <w:rPr>
                <w:rFonts w:ascii="Times New Roman" w:hAnsi="Times New Roman"/>
                <w:sz w:val="22"/>
                <w:szCs w:val="22"/>
              </w:rPr>
              <w:t>хипертрофију</w:t>
            </w:r>
            <w:r w:rsidR="00CA4937" w:rsidRPr="00FF2F08">
              <w:rPr>
                <w:rFonts w:ascii="Times New Roman" w:hAnsi="Times New Roman"/>
                <w:sz w:val="22"/>
                <w:szCs w:val="22"/>
              </w:rPr>
              <w:t xml:space="preserve"> </w:t>
            </w:r>
            <w:r w:rsidRPr="00FF2F08">
              <w:rPr>
                <w:rFonts w:ascii="Times New Roman" w:hAnsi="Times New Roman"/>
                <w:sz w:val="22"/>
                <w:szCs w:val="22"/>
              </w:rPr>
              <w:t>л</w:t>
            </w:r>
            <w:r w:rsidR="004E6204" w:rsidRPr="00FF2F08">
              <w:rPr>
                <w:rFonts w:ascii="Times New Roman" w:hAnsi="Times New Roman"/>
                <w:sz w:val="22"/>
                <w:szCs w:val="22"/>
              </w:rPr>
              <w:t>иј</w:t>
            </w:r>
            <w:r w:rsidRPr="00FF2F08">
              <w:rPr>
                <w:rFonts w:ascii="Times New Roman" w:hAnsi="Times New Roman"/>
                <w:sz w:val="22"/>
                <w:szCs w:val="22"/>
              </w:rPr>
              <w:t>еве</w:t>
            </w:r>
            <w:r w:rsidR="00CA4937" w:rsidRPr="00FF2F08">
              <w:rPr>
                <w:rFonts w:ascii="Times New Roman" w:hAnsi="Times New Roman"/>
                <w:sz w:val="22"/>
                <w:szCs w:val="22"/>
              </w:rPr>
              <w:t xml:space="preserve"> </w:t>
            </w:r>
            <w:r w:rsidRPr="00FF2F08">
              <w:rPr>
                <w:rFonts w:ascii="Times New Roman" w:hAnsi="Times New Roman"/>
                <w:sz w:val="22"/>
                <w:szCs w:val="22"/>
              </w:rPr>
              <w:t>коморе.</w:t>
            </w:r>
          </w:p>
          <w:p w:rsidR="00560F51" w:rsidRPr="00FF2F08" w:rsidRDefault="00DA38D0" w:rsidP="00476708">
            <w:pPr>
              <w:pStyle w:val="Header"/>
              <w:rPr>
                <w:rFonts w:ascii="Times New Roman" w:hAnsi="Times New Roman"/>
                <w:sz w:val="22"/>
                <w:szCs w:val="22"/>
              </w:rPr>
            </w:pPr>
            <w:r w:rsidRPr="00FF2F08">
              <w:rPr>
                <w:rFonts w:ascii="Times New Roman" w:hAnsi="Times New Roman"/>
                <w:sz w:val="22"/>
                <w:szCs w:val="22"/>
                <w:lang w:val="mk-MK"/>
              </w:rPr>
              <w:t>Д</w:t>
            </w:r>
            <w:r w:rsidR="00560F51" w:rsidRPr="00FF2F08">
              <w:rPr>
                <w:rFonts w:ascii="Times New Roman" w:hAnsi="Times New Roman"/>
                <w:sz w:val="22"/>
                <w:szCs w:val="22"/>
              </w:rPr>
              <w:t>ејство</w:t>
            </w:r>
            <w:r w:rsidR="00CA4937" w:rsidRPr="00FF2F08">
              <w:rPr>
                <w:rFonts w:ascii="Times New Roman" w:hAnsi="Times New Roman"/>
                <w:sz w:val="22"/>
                <w:szCs w:val="22"/>
              </w:rPr>
              <w:t xml:space="preserve"> </w:t>
            </w:r>
            <w:r w:rsidR="00560F51" w:rsidRPr="00FF2F08">
              <w:rPr>
                <w:rFonts w:ascii="Times New Roman" w:hAnsi="Times New Roman"/>
                <w:sz w:val="22"/>
                <w:szCs w:val="22"/>
              </w:rPr>
              <w:t>тиазидних и њима</w:t>
            </w:r>
            <w:r w:rsidR="00CA4937" w:rsidRPr="00FF2F08">
              <w:rPr>
                <w:rFonts w:ascii="Times New Roman" w:hAnsi="Times New Roman"/>
                <w:sz w:val="22"/>
                <w:szCs w:val="22"/>
              </w:rPr>
              <w:t xml:space="preserve"> </w:t>
            </w:r>
            <w:r w:rsidR="00560F51" w:rsidRPr="00FF2F08">
              <w:rPr>
                <w:rFonts w:ascii="Times New Roman" w:hAnsi="Times New Roman"/>
                <w:sz w:val="22"/>
                <w:szCs w:val="22"/>
              </w:rPr>
              <w:t>сродних</w:t>
            </w:r>
            <w:r w:rsidR="00CA4937" w:rsidRPr="00FF2F08">
              <w:rPr>
                <w:rFonts w:ascii="Times New Roman" w:hAnsi="Times New Roman"/>
                <w:sz w:val="22"/>
                <w:szCs w:val="22"/>
              </w:rPr>
              <w:t xml:space="preserve">  </w:t>
            </w:r>
            <w:r w:rsidR="00560F51" w:rsidRPr="00FF2F08">
              <w:rPr>
                <w:rFonts w:ascii="Times New Roman" w:hAnsi="Times New Roman"/>
                <w:sz w:val="22"/>
                <w:szCs w:val="22"/>
              </w:rPr>
              <w:t>диуретика, укључујући и индапамид, не</w:t>
            </w:r>
            <w:r w:rsidR="00CA4937" w:rsidRPr="00FF2F08">
              <w:rPr>
                <w:rFonts w:ascii="Times New Roman" w:hAnsi="Times New Roman"/>
                <w:sz w:val="22"/>
                <w:szCs w:val="22"/>
              </w:rPr>
              <w:t xml:space="preserve"> </w:t>
            </w:r>
            <w:r w:rsidR="00560F51" w:rsidRPr="00FF2F08">
              <w:rPr>
                <w:rFonts w:ascii="Times New Roman" w:hAnsi="Times New Roman"/>
                <w:sz w:val="22"/>
                <w:szCs w:val="22"/>
              </w:rPr>
              <w:t>појачава</w:t>
            </w:r>
            <w:r w:rsidR="00CA4937" w:rsidRPr="00FF2F08">
              <w:rPr>
                <w:rFonts w:ascii="Times New Roman" w:hAnsi="Times New Roman"/>
                <w:sz w:val="22"/>
                <w:szCs w:val="22"/>
              </w:rPr>
              <w:t xml:space="preserve"> </w:t>
            </w:r>
            <w:r w:rsidR="00560F51" w:rsidRPr="00FF2F08">
              <w:rPr>
                <w:rFonts w:ascii="Times New Roman" w:hAnsi="Times New Roman"/>
                <w:sz w:val="22"/>
                <w:szCs w:val="22"/>
              </w:rPr>
              <w:t>се</w:t>
            </w:r>
            <w:r w:rsidR="00CA4937" w:rsidRPr="00FF2F08">
              <w:rPr>
                <w:rFonts w:ascii="Times New Roman" w:hAnsi="Times New Roman"/>
                <w:sz w:val="22"/>
                <w:szCs w:val="22"/>
              </w:rPr>
              <w:t xml:space="preserve"> </w:t>
            </w:r>
            <w:r w:rsidR="00560F51" w:rsidRPr="00FF2F08">
              <w:rPr>
                <w:rFonts w:ascii="Times New Roman" w:hAnsi="Times New Roman"/>
                <w:sz w:val="22"/>
                <w:szCs w:val="22"/>
              </w:rPr>
              <w:t>при</w:t>
            </w:r>
            <w:r w:rsidR="00CA4937" w:rsidRPr="00FF2F08">
              <w:rPr>
                <w:rFonts w:ascii="Times New Roman" w:hAnsi="Times New Roman"/>
                <w:sz w:val="22"/>
                <w:szCs w:val="22"/>
              </w:rPr>
              <w:t xml:space="preserve"> </w:t>
            </w:r>
            <w:r w:rsidR="00560F51" w:rsidRPr="00FF2F08">
              <w:rPr>
                <w:rFonts w:ascii="Times New Roman" w:hAnsi="Times New Roman"/>
                <w:sz w:val="22"/>
                <w:szCs w:val="22"/>
              </w:rPr>
              <w:t>вишим</w:t>
            </w:r>
            <w:r w:rsidR="00CA4937" w:rsidRPr="00FF2F08">
              <w:rPr>
                <w:rFonts w:ascii="Times New Roman" w:hAnsi="Times New Roman"/>
                <w:sz w:val="22"/>
                <w:szCs w:val="22"/>
              </w:rPr>
              <w:t xml:space="preserve"> </w:t>
            </w:r>
            <w:r w:rsidR="00560F51" w:rsidRPr="00FF2F08">
              <w:rPr>
                <w:rFonts w:ascii="Times New Roman" w:hAnsi="Times New Roman"/>
                <w:sz w:val="22"/>
                <w:szCs w:val="22"/>
              </w:rPr>
              <w:t>дозама, док</w:t>
            </w:r>
            <w:r w:rsidR="00CA4937" w:rsidRPr="00FF2F08">
              <w:rPr>
                <w:rFonts w:ascii="Times New Roman" w:hAnsi="Times New Roman"/>
                <w:sz w:val="22"/>
                <w:szCs w:val="22"/>
              </w:rPr>
              <w:t xml:space="preserve"> </w:t>
            </w:r>
            <w:r w:rsidR="00820C98" w:rsidRPr="00FF2F08">
              <w:rPr>
                <w:rFonts w:ascii="Times New Roman" w:hAnsi="Times New Roman"/>
                <w:sz w:val="22"/>
                <w:szCs w:val="22"/>
                <w:lang w:val="sr-Cyrl-RS"/>
              </w:rPr>
              <w:t xml:space="preserve">појава </w:t>
            </w:r>
            <w:r w:rsidR="00560F51" w:rsidRPr="00FF2F08">
              <w:rPr>
                <w:rFonts w:ascii="Times New Roman" w:hAnsi="Times New Roman"/>
                <w:sz w:val="22"/>
                <w:szCs w:val="22"/>
              </w:rPr>
              <w:t>нежељен</w:t>
            </w:r>
            <w:r w:rsidR="00820C98" w:rsidRPr="00FF2F08">
              <w:rPr>
                <w:rFonts w:ascii="Times New Roman" w:hAnsi="Times New Roman"/>
                <w:sz w:val="22"/>
                <w:szCs w:val="22"/>
                <w:lang w:val="sr-Cyrl-RS"/>
              </w:rPr>
              <w:t>их</w:t>
            </w:r>
            <w:r w:rsidR="00CA4937" w:rsidRPr="00FF2F08">
              <w:rPr>
                <w:rFonts w:ascii="Times New Roman" w:hAnsi="Times New Roman"/>
                <w:sz w:val="22"/>
                <w:szCs w:val="22"/>
              </w:rPr>
              <w:t xml:space="preserve"> </w:t>
            </w:r>
            <w:r w:rsidR="00560F51" w:rsidRPr="00FF2F08">
              <w:rPr>
                <w:rFonts w:ascii="Times New Roman" w:hAnsi="Times New Roman"/>
                <w:sz w:val="22"/>
                <w:szCs w:val="22"/>
              </w:rPr>
              <w:t>дејст</w:t>
            </w:r>
            <w:r w:rsidR="00820C98" w:rsidRPr="00FF2F08">
              <w:rPr>
                <w:rFonts w:ascii="Times New Roman" w:hAnsi="Times New Roman"/>
                <w:sz w:val="22"/>
                <w:szCs w:val="22"/>
                <w:lang w:val="sr-Cyrl-RS"/>
              </w:rPr>
              <w:t>ава</w:t>
            </w:r>
            <w:r w:rsidR="00CA4937" w:rsidRPr="00FF2F08">
              <w:rPr>
                <w:rFonts w:ascii="Times New Roman" w:hAnsi="Times New Roman"/>
                <w:sz w:val="22"/>
                <w:szCs w:val="22"/>
              </w:rPr>
              <w:t xml:space="preserve"> </w:t>
            </w:r>
            <w:r w:rsidR="00560F51" w:rsidRPr="00FF2F08">
              <w:rPr>
                <w:rFonts w:ascii="Times New Roman" w:hAnsi="Times New Roman"/>
                <w:sz w:val="22"/>
                <w:szCs w:val="22"/>
              </w:rPr>
              <w:t>настављај</w:t>
            </w:r>
            <w:r w:rsidR="00820C98" w:rsidRPr="00FF2F08">
              <w:rPr>
                <w:rFonts w:ascii="Times New Roman" w:hAnsi="Times New Roman"/>
                <w:sz w:val="22"/>
                <w:szCs w:val="22"/>
                <w:lang w:val="sr-Cyrl-RS"/>
              </w:rPr>
              <w:t>а</w:t>
            </w:r>
            <w:r w:rsidR="00CA4937" w:rsidRPr="00FF2F08">
              <w:rPr>
                <w:rFonts w:ascii="Times New Roman" w:hAnsi="Times New Roman"/>
                <w:sz w:val="22"/>
                <w:szCs w:val="22"/>
              </w:rPr>
              <w:t xml:space="preserve"> </w:t>
            </w:r>
            <w:r w:rsidR="00560F51" w:rsidRPr="00FF2F08">
              <w:rPr>
                <w:rFonts w:ascii="Times New Roman" w:hAnsi="Times New Roman"/>
                <w:sz w:val="22"/>
                <w:szCs w:val="22"/>
              </w:rPr>
              <w:t>да</w:t>
            </w:r>
            <w:r w:rsidR="00CA4937" w:rsidRPr="00FF2F08">
              <w:rPr>
                <w:rFonts w:ascii="Times New Roman" w:hAnsi="Times New Roman"/>
                <w:sz w:val="22"/>
                <w:szCs w:val="22"/>
              </w:rPr>
              <w:t xml:space="preserve"> </w:t>
            </w:r>
            <w:r w:rsidR="00560F51" w:rsidRPr="00FF2F08">
              <w:rPr>
                <w:rFonts w:ascii="Times New Roman" w:hAnsi="Times New Roman"/>
                <w:sz w:val="22"/>
                <w:szCs w:val="22"/>
              </w:rPr>
              <w:t>раст</w:t>
            </w:r>
            <w:r w:rsidR="00820C98" w:rsidRPr="00FF2F08">
              <w:rPr>
                <w:rFonts w:ascii="Times New Roman" w:hAnsi="Times New Roman"/>
                <w:sz w:val="22"/>
                <w:szCs w:val="22"/>
                <w:lang w:val="sr-Cyrl-RS"/>
              </w:rPr>
              <w:t>е</w:t>
            </w:r>
            <w:r w:rsidR="00560F51" w:rsidRPr="00FF2F08">
              <w:rPr>
                <w:rFonts w:ascii="Times New Roman" w:hAnsi="Times New Roman"/>
                <w:sz w:val="22"/>
                <w:szCs w:val="22"/>
              </w:rPr>
              <w:t>. Уколико</w:t>
            </w:r>
            <w:r w:rsidR="00CA4937" w:rsidRPr="00FF2F08">
              <w:rPr>
                <w:rFonts w:ascii="Times New Roman" w:hAnsi="Times New Roman"/>
                <w:sz w:val="22"/>
                <w:szCs w:val="22"/>
              </w:rPr>
              <w:t xml:space="preserve"> </w:t>
            </w:r>
            <w:r w:rsidR="00560F51" w:rsidRPr="00FF2F08">
              <w:rPr>
                <w:rFonts w:ascii="Times New Roman" w:hAnsi="Times New Roman"/>
                <w:sz w:val="22"/>
                <w:szCs w:val="22"/>
              </w:rPr>
              <w:t>терапија</w:t>
            </w:r>
            <w:r w:rsidR="00CA4937" w:rsidRPr="00FF2F08">
              <w:rPr>
                <w:rFonts w:ascii="Times New Roman" w:hAnsi="Times New Roman"/>
                <w:sz w:val="22"/>
                <w:szCs w:val="22"/>
              </w:rPr>
              <w:t xml:space="preserve"> </w:t>
            </w:r>
            <w:r w:rsidR="00560F51" w:rsidRPr="00FF2F08">
              <w:rPr>
                <w:rFonts w:ascii="Times New Roman" w:hAnsi="Times New Roman"/>
                <w:sz w:val="22"/>
                <w:szCs w:val="22"/>
              </w:rPr>
              <w:t>није</w:t>
            </w:r>
            <w:r w:rsidR="00CA4937" w:rsidRPr="00FF2F08">
              <w:rPr>
                <w:rFonts w:ascii="Times New Roman" w:hAnsi="Times New Roman"/>
                <w:sz w:val="22"/>
                <w:szCs w:val="22"/>
              </w:rPr>
              <w:t xml:space="preserve"> </w:t>
            </w:r>
            <w:r w:rsidR="00560F51" w:rsidRPr="00FF2F08">
              <w:rPr>
                <w:rFonts w:ascii="Times New Roman" w:hAnsi="Times New Roman"/>
                <w:sz w:val="22"/>
                <w:szCs w:val="22"/>
              </w:rPr>
              <w:t>ефикасна, дозе</w:t>
            </w:r>
            <w:r w:rsidR="00CA4937" w:rsidRPr="00FF2F08">
              <w:rPr>
                <w:rFonts w:ascii="Times New Roman" w:hAnsi="Times New Roman"/>
                <w:sz w:val="22"/>
                <w:szCs w:val="22"/>
              </w:rPr>
              <w:t xml:space="preserve"> </w:t>
            </w:r>
            <w:r w:rsidR="00560F51" w:rsidRPr="00FF2F08">
              <w:rPr>
                <w:rFonts w:ascii="Times New Roman" w:hAnsi="Times New Roman"/>
                <w:sz w:val="22"/>
                <w:szCs w:val="22"/>
              </w:rPr>
              <w:t>не</w:t>
            </w:r>
            <w:r w:rsidR="00CA4937" w:rsidRPr="00FF2F08">
              <w:rPr>
                <w:rFonts w:ascii="Times New Roman" w:hAnsi="Times New Roman"/>
                <w:sz w:val="22"/>
                <w:szCs w:val="22"/>
              </w:rPr>
              <w:t xml:space="preserve"> </w:t>
            </w:r>
            <w:r w:rsidR="00560F51" w:rsidRPr="00FF2F08">
              <w:rPr>
                <w:rFonts w:ascii="Times New Roman" w:hAnsi="Times New Roman"/>
                <w:sz w:val="22"/>
                <w:szCs w:val="22"/>
              </w:rPr>
              <w:t>треба</w:t>
            </w:r>
            <w:r w:rsidR="00CA4937" w:rsidRPr="00FF2F08">
              <w:rPr>
                <w:rFonts w:ascii="Times New Roman" w:hAnsi="Times New Roman"/>
                <w:sz w:val="22"/>
                <w:szCs w:val="22"/>
              </w:rPr>
              <w:t xml:space="preserve"> </w:t>
            </w:r>
            <w:r w:rsidR="00560F51" w:rsidRPr="00FF2F08">
              <w:rPr>
                <w:rFonts w:ascii="Times New Roman" w:hAnsi="Times New Roman"/>
                <w:sz w:val="22"/>
                <w:szCs w:val="22"/>
              </w:rPr>
              <w:t>повећавати.</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Такође је показано да током  краткотрајне, средње и</w:t>
            </w:r>
            <w:r w:rsidR="00CA4937" w:rsidRPr="00FF2F08">
              <w:rPr>
                <w:rFonts w:ascii="Times New Roman" w:hAnsi="Times New Roman"/>
                <w:sz w:val="22"/>
                <w:szCs w:val="22"/>
              </w:rPr>
              <w:t xml:space="preserve"> </w:t>
            </w:r>
            <w:r w:rsidRPr="00FF2F08">
              <w:rPr>
                <w:rFonts w:ascii="Times New Roman" w:hAnsi="Times New Roman"/>
                <w:sz w:val="22"/>
                <w:szCs w:val="22"/>
              </w:rPr>
              <w:t>дуготрајне</w:t>
            </w:r>
            <w:r w:rsidR="00CA4937" w:rsidRPr="00FF2F08">
              <w:rPr>
                <w:rFonts w:ascii="Times New Roman" w:hAnsi="Times New Roman"/>
                <w:sz w:val="22"/>
                <w:szCs w:val="22"/>
              </w:rPr>
              <w:t xml:space="preserve"> </w:t>
            </w:r>
            <w:r w:rsidRPr="00FF2F08">
              <w:rPr>
                <w:rFonts w:ascii="Times New Roman" w:hAnsi="Times New Roman"/>
                <w:sz w:val="22"/>
                <w:szCs w:val="22"/>
              </w:rPr>
              <w:t>употребе</w:t>
            </w:r>
            <w:r w:rsidR="00CA4937" w:rsidRPr="00FF2F08">
              <w:rPr>
                <w:rFonts w:ascii="Times New Roman" w:hAnsi="Times New Roman"/>
                <w:sz w:val="22"/>
                <w:szCs w:val="22"/>
              </w:rPr>
              <w:t xml:space="preserve"> </w:t>
            </w:r>
            <w:r w:rsidRPr="00FF2F08">
              <w:rPr>
                <w:rFonts w:ascii="Times New Roman" w:hAnsi="Times New Roman"/>
                <w:sz w:val="22"/>
                <w:szCs w:val="22"/>
              </w:rPr>
              <w:t>индапамида код пацијената са хипертензијом,</w:t>
            </w:r>
            <w:r w:rsidR="00CA4937" w:rsidRPr="00FF2F08">
              <w:rPr>
                <w:rFonts w:ascii="Times New Roman" w:hAnsi="Times New Roman"/>
                <w:sz w:val="22"/>
                <w:szCs w:val="22"/>
              </w:rPr>
              <w:t xml:space="preserve"> </w:t>
            </w:r>
            <w:r w:rsidRPr="00FF2F08">
              <w:rPr>
                <w:rFonts w:ascii="Times New Roman" w:hAnsi="Times New Roman"/>
                <w:sz w:val="22"/>
                <w:szCs w:val="22"/>
              </w:rPr>
              <w:t>индапамид:</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t>• не</w:t>
            </w:r>
            <w:r w:rsidR="00CA4937" w:rsidRPr="00FF2F08">
              <w:rPr>
                <w:rFonts w:ascii="Times New Roman" w:hAnsi="Times New Roman"/>
                <w:sz w:val="22"/>
                <w:szCs w:val="22"/>
              </w:rPr>
              <w:t xml:space="preserve"> </w:t>
            </w:r>
            <w:r w:rsidRPr="00FF2F08">
              <w:rPr>
                <w:rFonts w:ascii="Times New Roman" w:hAnsi="Times New Roman"/>
                <w:sz w:val="22"/>
                <w:szCs w:val="22"/>
              </w:rPr>
              <w:t>омета</w:t>
            </w:r>
            <w:r w:rsidR="00CA4937" w:rsidRPr="00FF2F08">
              <w:rPr>
                <w:rFonts w:ascii="Times New Roman" w:hAnsi="Times New Roman"/>
                <w:sz w:val="22"/>
                <w:szCs w:val="22"/>
              </w:rPr>
              <w:t xml:space="preserve"> </w:t>
            </w:r>
            <w:r w:rsidRPr="00FF2F08">
              <w:rPr>
                <w:rFonts w:ascii="Times New Roman" w:hAnsi="Times New Roman"/>
                <w:sz w:val="22"/>
                <w:szCs w:val="22"/>
              </w:rPr>
              <w:t>метаболизам</w:t>
            </w:r>
            <w:r w:rsidR="00CA4937" w:rsidRPr="00FF2F08">
              <w:rPr>
                <w:rFonts w:ascii="Times New Roman" w:hAnsi="Times New Roman"/>
                <w:sz w:val="22"/>
                <w:szCs w:val="22"/>
              </w:rPr>
              <w:t xml:space="preserve"> </w:t>
            </w:r>
            <w:r w:rsidRPr="00FF2F08">
              <w:rPr>
                <w:rFonts w:ascii="Times New Roman" w:hAnsi="Times New Roman"/>
                <w:sz w:val="22"/>
                <w:szCs w:val="22"/>
              </w:rPr>
              <w:t>липида: триглицерида, LDL-холестерола и HDL-холестеролa;</w:t>
            </w:r>
          </w:p>
          <w:p w:rsidR="00560F51" w:rsidRPr="00FF2F08" w:rsidRDefault="00560F51" w:rsidP="00476708">
            <w:pPr>
              <w:pStyle w:val="Header"/>
              <w:rPr>
                <w:rFonts w:ascii="Times New Roman" w:hAnsi="Times New Roman"/>
                <w:sz w:val="22"/>
                <w:szCs w:val="22"/>
              </w:rPr>
            </w:pPr>
            <w:r w:rsidRPr="00FF2F08">
              <w:rPr>
                <w:rFonts w:ascii="Times New Roman" w:hAnsi="Times New Roman"/>
                <w:sz w:val="22"/>
                <w:szCs w:val="22"/>
              </w:rPr>
              <w:lastRenderedPageBreak/>
              <w:t>• не</w:t>
            </w:r>
            <w:r w:rsidR="00CA4937" w:rsidRPr="00FF2F08">
              <w:rPr>
                <w:rFonts w:ascii="Times New Roman" w:hAnsi="Times New Roman"/>
                <w:sz w:val="22"/>
                <w:szCs w:val="22"/>
              </w:rPr>
              <w:t xml:space="preserve"> </w:t>
            </w:r>
            <w:r w:rsidRPr="00FF2F08">
              <w:rPr>
                <w:rFonts w:ascii="Times New Roman" w:hAnsi="Times New Roman"/>
                <w:sz w:val="22"/>
                <w:szCs w:val="22"/>
              </w:rPr>
              <w:t>омета</w:t>
            </w:r>
            <w:r w:rsidR="00CA4937" w:rsidRPr="00FF2F08">
              <w:rPr>
                <w:rFonts w:ascii="Times New Roman" w:hAnsi="Times New Roman"/>
                <w:sz w:val="22"/>
                <w:szCs w:val="22"/>
              </w:rPr>
              <w:t xml:space="preserve"> </w:t>
            </w:r>
            <w:r w:rsidRPr="00FF2F08">
              <w:rPr>
                <w:rFonts w:ascii="Times New Roman" w:hAnsi="Times New Roman"/>
                <w:sz w:val="22"/>
                <w:szCs w:val="22"/>
              </w:rPr>
              <w:t>метаболизам</w:t>
            </w:r>
            <w:r w:rsidR="00CA4937" w:rsidRPr="00FF2F08">
              <w:rPr>
                <w:rFonts w:ascii="Times New Roman" w:hAnsi="Times New Roman"/>
                <w:sz w:val="22"/>
                <w:szCs w:val="22"/>
              </w:rPr>
              <w:t xml:space="preserve"> </w:t>
            </w:r>
            <w:r w:rsidRPr="00FF2F08">
              <w:rPr>
                <w:rFonts w:ascii="Times New Roman" w:hAnsi="Times New Roman"/>
                <w:sz w:val="22"/>
                <w:szCs w:val="22"/>
              </w:rPr>
              <w:t>угљених</w:t>
            </w:r>
            <w:r w:rsidR="00CA4937" w:rsidRPr="00FF2F08">
              <w:rPr>
                <w:rFonts w:ascii="Times New Roman" w:hAnsi="Times New Roman"/>
                <w:sz w:val="22"/>
                <w:szCs w:val="22"/>
              </w:rPr>
              <w:t xml:space="preserve"> </w:t>
            </w:r>
            <w:r w:rsidRPr="00FF2F08">
              <w:rPr>
                <w:rFonts w:ascii="Times New Roman" w:hAnsi="Times New Roman"/>
                <w:sz w:val="22"/>
                <w:szCs w:val="22"/>
              </w:rPr>
              <w:t xml:space="preserve">хидрата, чак и код хипертензивних пацијената који имају дијабетес. </w:t>
            </w:r>
          </w:p>
          <w:p w:rsidR="003D1146" w:rsidRPr="00FF2F08" w:rsidRDefault="003D1146" w:rsidP="00476708">
            <w:pPr>
              <w:rPr>
                <w:rFonts w:ascii="Times New Roman" w:hAnsi="Times New Roman" w:cs="Times New Roman"/>
                <w:sz w:val="22"/>
                <w:szCs w:val="22"/>
                <w:lang w:val="sr-Cyrl-CS"/>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lastRenderedPageBreak/>
              <w:t>5.2. Фармакокинетички</w:t>
            </w:r>
            <w:r w:rsidR="00820C98" w:rsidRPr="00FF2F08">
              <w:rPr>
                <w:rFonts w:ascii="Times New Roman" w:hAnsi="Times New Roman"/>
                <w:b/>
                <w:bCs/>
                <w:sz w:val="22"/>
                <w:szCs w:val="22"/>
                <w:lang w:val="sr-Cyrl-RS" w:eastAsia="en-US"/>
              </w:rPr>
              <w:t xml:space="preserve"> </w:t>
            </w:r>
            <w:r w:rsidRPr="00FF2F08">
              <w:rPr>
                <w:rFonts w:ascii="Times New Roman" w:hAnsi="Times New Roman"/>
                <w:b/>
                <w:bCs/>
                <w:sz w:val="22"/>
                <w:szCs w:val="22"/>
                <w:lang w:eastAsia="en-US"/>
              </w:rPr>
              <w:t>подаци</w:t>
            </w:r>
          </w:p>
        </w:tc>
      </w:tr>
      <w:tr w:rsidR="00B0540F" w:rsidRPr="00FF2F08" w:rsidTr="00C04B2E">
        <w:trPr>
          <w:trHeight w:val="849"/>
        </w:trPr>
        <w:tc>
          <w:tcPr>
            <w:tcW w:w="9356" w:type="dxa"/>
            <w:gridSpan w:val="4"/>
            <w:vAlign w:val="center"/>
          </w:tcPr>
          <w:p w:rsidR="00387E9C" w:rsidRPr="00FF2F08" w:rsidRDefault="00387E9C" w:rsidP="00476708">
            <w:pPr>
              <w:pStyle w:val="Header"/>
              <w:rPr>
                <w:rFonts w:ascii="Times New Roman" w:hAnsi="Times New Roman"/>
                <w:sz w:val="22"/>
                <w:szCs w:val="22"/>
              </w:rPr>
            </w:pPr>
            <w:r w:rsidRPr="00FF2F08">
              <w:rPr>
                <w:rFonts w:ascii="Times New Roman" w:hAnsi="Times New Roman"/>
                <w:noProof/>
                <w:sz w:val="22"/>
                <w:szCs w:val="22"/>
              </w:rPr>
              <w:t xml:space="preserve">Indapamid </w:t>
            </w:r>
            <w:r w:rsidRPr="00FF2F08">
              <w:rPr>
                <w:rFonts w:ascii="Times New Roman" w:hAnsi="Times New Roman"/>
                <w:sz w:val="22"/>
                <w:szCs w:val="22"/>
              </w:rPr>
              <w:t xml:space="preserve">SR </w:t>
            </w:r>
            <w:r w:rsidRPr="00FF2F08">
              <w:rPr>
                <w:rFonts w:ascii="Times New Roman" w:hAnsi="Times New Roman"/>
                <w:noProof/>
                <w:sz w:val="22"/>
                <w:szCs w:val="22"/>
              </w:rPr>
              <w:t>Alkaloid</w:t>
            </w:r>
            <w:r w:rsidR="003C4163" w:rsidRPr="00FF2F08">
              <w:rPr>
                <w:rFonts w:ascii="Times New Roman" w:hAnsi="Times New Roman"/>
                <w:b/>
                <w:bCs/>
                <w:sz w:val="22"/>
                <w:szCs w:val="22"/>
                <w:vertAlign w:val="superscript"/>
                <w:lang w:val="en-GB"/>
              </w:rPr>
              <w:t>®</w:t>
            </w:r>
            <w:r w:rsidR="00CA4937" w:rsidRPr="00FF2F08">
              <w:rPr>
                <w:rFonts w:ascii="Times New Roman" w:hAnsi="Times New Roman"/>
                <w:b/>
                <w:bCs/>
                <w:sz w:val="22"/>
                <w:szCs w:val="22"/>
                <w:vertAlign w:val="superscript"/>
              </w:rPr>
              <w:t xml:space="preserve"> </w:t>
            </w:r>
            <w:r w:rsidRPr="00FF2F08">
              <w:rPr>
                <w:rFonts w:ascii="Times New Roman" w:hAnsi="Times New Roman"/>
                <w:sz w:val="22"/>
                <w:szCs w:val="22"/>
              </w:rPr>
              <w:t xml:space="preserve">се налази у </w:t>
            </w:r>
            <w:r w:rsidR="00820C98" w:rsidRPr="00FF2F08">
              <w:rPr>
                <w:rFonts w:ascii="Times New Roman" w:hAnsi="Times New Roman"/>
                <w:sz w:val="22"/>
                <w:szCs w:val="22"/>
                <w:lang w:val="sr-Cyrl-RS"/>
              </w:rPr>
              <w:t>облику</w:t>
            </w:r>
            <w:r w:rsidR="00820C98" w:rsidRPr="00FF2F08">
              <w:rPr>
                <w:rFonts w:ascii="Times New Roman" w:hAnsi="Times New Roman"/>
                <w:sz w:val="22"/>
                <w:szCs w:val="22"/>
              </w:rPr>
              <w:t xml:space="preserve"> </w:t>
            </w:r>
            <w:r w:rsidRPr="00FF2F08">
              <w:rPr>
                <w:rFonts w:ascii="Times New Roman" w:hAnsi="Times New Roman"/>
                <w:sz w:val="22"/>
                <w:szCs w:val="22"/>
              </w:rPr>
              <w:t>таблета са продуженим ослобађањем</w:t>
            </w:r>
            <w:r w:rsidR="007C32D7" w:rsidRPr="00FF2F08">
              <w:rPr>
                <w:rFonts w:ascii="Times New Roman" w:hAnsi="Times New Roman"/>
                <w:sz w:val="22"/>
                <w:szCs w:val="22"/>
              </w:rPr>
              <w:t>,</w:t>
            </w:r>
            <w:r w:rsidRPr="00FF2F08">
              <w:rPr>
                <w:rFonts w:ascii="Times New Roman" w:hAnsi="Times New Roman"/>
                <w:sz w:val="22"/>
                <w:szCs w:val="22"/>
                <w:lang w:val="mk-MK"/>
              </w:rPr>
              <w:t xml:space="preserve"> заснован на систему матрице у којој је активна супстанца дисперг</w:t>
            </w:r>
            <w:r w:rsidR="004E6204" w:rsidRPr="00FF2F08">
              <w:rPr>
                <w:rFonts w:ascii="Times New Roman" w:hAnsi="Times New Roman"/>
                <w:sz w:val="22"/>
                <w:szCs w:val="22"/>
                <w:lang w:val="mk-MK"/>
              </w:rPr>
              <w:t>ована тако да омогућава продужен</w:t>
            </w:r>
            <w:r w:rsidRPr="00FF2F08">
              <w:rPr>
                <w:rFonts w:ascii="Times New Roman" w:hAnsi="Times New Roman"/>
                <w:sz w:val="22"/>
                <w:szCs w:val="22"/>
                <w:lang w:val="mk-MK"/>
              </w:rPr>
              <w:t>о ослобађање индапамида.</w:t>
            </w:r>
          </w:p>
          <w:p w:rsidR="00C04B2E" w:rsidRPr="00FF2F08" w:rsidRDefault="00C04B2E" w:rsidP="00476708">
            <w:pPr>
              <w:pStyle w:val="Header"/>
              <w:rPr>
                <w:rFonts w:ascii="Times New Roman" w:hAnsi="Times New Roman"/>
                <w:sz w:val="22"/>
                <w:szCs w:val="22"/>
              </w:rPr>
            </w:pPr>
          </w:p>
          <w:p w:rsidR="00387E9C" w:rsidRPr="00FF2F08" w:rsidRDefault="00387E9C" w:rsidP="00476708">
            <w:pPr>
              <w:pStyle w:val="Header"/>
              <w:rPr>
                <w:rFonts w:ascii="Times New Roman" w:hAnsi="Times New Roman"/>
                <w:sz w:val="22"/>
                <w:szCs w:val="22"/>
                <w:u w:val="single"/>
                <w:lang w:val="mk-MK"/>
              </w:rPr>
            </w:pPr>
            <w:r w:rsidRPr="00FF2F08">
              <w:rPr>
                <w:rFonts w:ascii="Times New Roman" w:hAnsi="Times New Roman"/>
                <w:sz w:val="22"/>
                <w:szCs w:val="22"/>
                <w:u w:val="single"/>
                <w:lang w:val="mk-MK"/>
              </w:rPr>
              <w:t>Ресорпција</w:t>
            </w:r>
          </w:p>
          <w:p w:rsidR="00387E9C" w:rsidRPr="00FF2F08" w:rsidRDefault="00387E9C" w:rsidP="00476708">
            <w:pPr>
              <w:pStyle w:val="Header"/>
              <w:rPr>
                <w:rFonts w:ascii="Times New Roman" w:hAnsi="Times New Roman"/>
                <w:sz w:val="22"/>
                <w:szCs w:val="22"/>
                <w:lang w:val="mk-MK"/>
              </w:rPr>
            </w:pPr>
            <w:r w:rsidRPr="00FF2F08">
              <w:rPr>
                <w:rFonts w:ascii="Times New Roman" w:hAnsi="Times New Roman"/>
                <w:sz w:val="22"/>
                <w:szCs w:val="22"/>
                <w:lang w:val="mk-MK"/>
              </w:rPr>
              <w:t xml:space="preserve">Ослобођена фракција индапамида се брзо и готово потпуно ресорбује преко гастроинтестиналног тракта. Храна незнатно </w:t>
            </w:r>
            <w:r w:rsidR="00483F35" w:rsidRPr="00FF2F08">
              <w:rPr>
                <w:rFonts w:ascii="Times New Roman" w:hAnsi="Times New Roman"/>
                <w:sz w:val="22"/>
                <w:szCs w:val="22"/>
                <w:lang w:val="mk-MK"/>
              </w:rPr>
              <w:t>може повећати брзину</w:t>
            </w:r>
            <w:r w:rsidR="008E1D6D" w:rsidRPr="00FF2F08">
              <w:rPr>
                <w:rFonts w:ascii="Times New Roman" w:hAnsi="Times New Roman"/>
                <w:sz w:val="22"/>
                <w:szCs w:val="22"/>
                <w:lang w:val="mk-MK"/>
              </w:rPr>
              <w:t xml:space="preserve"> </w:t>
            </w:r>
            <w:r w:rsidRPr="00FF2F08">
              <w:rPr>
                <w:rFonts w:ascii="Times New Roman" w:hAnsi="Times New Roman"/>
                <w:sz w:val="22"/>
                <w:szCs w:val="22"/>
                <w:lang w:val="mk-MK"/>
              </w:rPr>
              <w:t>ресорпције, а нема никаквог утицаја на количину л</w:t>
            </w:r>
            <w:r w:rsidR="004E6204" w:rsidRPr="00FF2F08">
              <w:rPr>
                <w:rFonts w:ascii="Times New Roman" w:hAnsi="Times New Roman"/>
                <w:sz w:val="22"/>
                <w:szCs w:val="22"/>
                <w:lang w:val="mk-MK"/>
              </w:rPr>
              <w:t>иј</w:t>
            </w:r>
            <w:r w:rsidRPr="00FF2F08">
              <w:rPr>
                <w:rFonts w:ascii="Times New Roman" w:hAnsi="Times New Roman"/>
                <w:sz w:val="22"/>
                <w:szCs w:val="22"/>
                <w:lang w:val="mk-MK"/>
              </w:rPr>
              <w:t xml:space="preserve">ека који је ресорбован. Максимална концентрација у серуму постиже се 12 сати након узимања </w:t>
            </w:r>
            <w:r w:rsidR="00483F35" w:rsidRPr="00FF2F08">
              <w:rPr>
                <w:rFonts w:ascii="Times New Roman" w:hAnsi="Times New Roman"/>
                <w:sz w:val="22"/>
                <w:szCs w:val="22"/>
                <w:lang w:val="mk-MK"/>
              </w:rPr>
              <w:t>ј</w:t>
            </w:r>
            <w:r w:rsidR="00706B5C" w:rsidRPr="00FF2F08">
              <w:rPr>
                <w:rFonts w:ascii="Times New Roman" w:hAnsi="Times New Roman"/>
                <w:sz w:val="22"/>
                <w:szCs w:val="22"/>
                <w:lang w:val="mk-MK"/>
              </w:rPr>
              <w:t>едн</w:t>
            </w:r>
            <w:r w:rsidR="00483F35" w:rsidRPr="00FF2F08">
              <w:rPr>
                <w:rFonts w:ascii="Times New Roman" w:hAnsi="Times New Roman"/>
                <w:sz w:val="22"/>
                <w:szCs w:val="22"/>
                <w:lang w:val="mk-MK"/>
              </w:rPr>
              <w:t>е</w:t>
            </w:r>
            <w:r w:rsidR="00706B5C" w:rsidRPr="00FF2F08">
              <w:rPr>
                <w:rFonts w:ascii="Times New Roman" w:hAnsi="Times New Roman"/>
                <w:sz w:val="22"/>
                <w:szCs w:val="22"/>
                <w:lang w:val="mk-MK"/>
              </w:rPr>
              <w:t xml:space="preserve"> доз</w:t>
            </w:r>
            <w:r w:rsidR="00483F35" w:rsidRPr="00FF2F08">
              <w:rPr>
                <w:rFonts w:ascii="Times New Roman" w:hAnsi="Times New Roman"/>
                <w:sz w:val="22"/>
                <w:szCs w:val="22"/>
                <w:lang w:val="mk-MK"/>
              </w:rPr>
              <w:t>е</w:t>
            </w:r>
            <w:r w:rsidR="00820C98" w:rsidRPr="00FF2F08">
              <w:rPr>
                <w:rFonts w:ascii="Times New Roman" w:hAnsi="Times New Roman"/>
                <w:sz w:val="22"/>
                <w:szCs w:val="22"/>
                <w:lang w:val="mk-MK"/>
              </w:rPr>
              <w:t xml:space="preserve"> </w:t>
            </w:r>
            <w:r w:rsidRPr="00FF2F08">
              <w:rPr>
                <w:rFonts w:ascii="Times New Roman" w:hAnsi="Times New Roman"/>
                <w:sz w:val="22"/>
                <w:szCs w:val="22"/>
                <w:lang w:val="mk-MK"/>
              </w:rPr>
              <w:t>л</w:t>
            </w:r>
            <w:r w:rsidR="004E6204" w:rsidRPr="00FF2F08">
              <w:rPr>
                <w:rFonts w:ascii="Times New Roman" w:hAnsi="Times New Roman"/>
                <w:sz w:val="22"/>
                <w:szCs w:val="22"/>
                <w:lang w:val="mk-MK"/>
              </w:rPr>
              <w:t>и</w:t>
            </w:r>
            <w:r w:rsidR="00CA4937" w:rsidRPr="00FF2F08">
              <w:rPr>
                <w:rFonts w:ascii="Times New Roman" w:hAnsi="Times New Roman"/>
                <w:sz w:val="22"/>
                <w:szCs w:val="22"/>
                <w:lang w:val="mk-MK"/>
              </w:rPr>
              <w:t>ј</w:t>
            </w:r>
            <w:r w:rsidRPr="00FF2F08">
              <w:rPr>
                <w:rFonts w:ascii="Times New Roman" w:hAnsi="Times New Roman"/>
                <w:sz w:val="22"/>
                <w:szCs w:val="22"/>
                <w:lang w:val="mk-MK"/>
              </w:rPr>
              <w:t>ека, а поновљена прим</w:t>
            </w:r>
            <w:r w:rsidR="004E6204" w:rsidRPr="00FF2F08">
              <w:rPr>
                <w:rFonts w:ascii="Times New Roman" w:hAnsi="Times New Roman"/>
                <w:sz w:val="22"/>
                <w:szCs w:val="22"/>
                <w:lang w:val="mk-MK"/>
              </w:rPr>
              <w:t>ј</w:t>
            </w:r>
            <w:r w:rsidRPr="00FF2F08">
              <w:rPr>
                <w:rFonts w:ascii="Times New Roman" w:hAnsi="Times New Roman"/>
                <w:sz w:val="22"/>
                <w:szCs w:val="22"/>
                <w:lang w:val="mk-MK"/>
              </w:rPr>
              <w:t>ена смањује варирање концентрације л</w:t>
            </w:r>
            <w:r w:rsidR="004E6204" w:rsidRPr="00FF2F08">
              <w:rPr>
                <w:rFonts w:ascii="Times New Roman" w:hAnsi="Times New Roman"/>
                <w:sz w:val="22"/>
                <w:szCs w:val="22"/>
                <w:lang w:val="mk-MK"/>
              </w:rPr>
              <w:t>иј</w:t>
            </w:r>
            <w:r w:rsidRPr="00FF2F08">
              <w:rPr>
                <w:rFonts w:ascii="Times New Roman" w:hAnsi="Times New Roman"/>
                <w:sz w:val="22"/>
                <w:szCs w:val="22"/>
                <w:lang w:val="mk-MK"/>
              </w:rPr>
              <w:t>ека у серуму између дв</w:t>
            </w:r>
            <w:r w:rsidR="004E6204" w:rsidRPr="00FF2F08">
              <w:rPr>
                <w:rFonts w:ascii="Times New Roman" w:hAnsi="Times New Roman"/>
                <w:sz w:val="22"/>
                <w:szCs w:val="22"/>
                <w:lang w:val="mk-MK"/>
              </w:rPr>
              <w:t>иј</w:t>
            </w:r>
            <w:r w:rsidRPr="00FF2F08">
              <w:rPr>
                <w:rFonts w:ascii="Times New Roman" w:hAnsi="Times New Roman"/>
                <w:sz w:val="22"/>
                <w:szCs w:val="22"/>
                <w:lang w:val="mk-MK"/>
              </w:rPr>
              <w:t>е дозе.</w:t>
            </w:r>
            <w:r w:rsidR="00CA4937" w:rsidRPr="00FF2F08">
              <w:rPr>
                <w:rFonts w:ascii="Times New Roman" w:hAnsi="Times New Roman"/>
                <w:sz w:val="22"/>
                <w:szCs w:val="22"/>
                <w:lang w:val="mk-MK"/>
              </w:rPr>
              <w:t xml:space="preserve"> </w:t>
            </w:r>
            <w:r w:rsidR="00483F35" w:rsidRPr="00FF2F08">
              <w:rPr>
                <w:rFonts w:ascii="Times New Roman" w:hAnsi="Times New Roman"/>
                <w:sz w:val="22"/>
                <w:szCs w:val="22"/>
                <w:lang w:val="mk-MK"/>
              </w:rPr>
              <w:t>Постоји разлика у постигнутој концентрацији лијека у плазми код различитих пацијената</w:t>
            </w:r>
            <w:r w:rsidR="00820C98" w:rsidRPr="00FF2F08">
              <w:rPr>
                <w:rFonts w:ascii="Times New Roman" w:hAnsi="Times New Roman"/>
                <w:sz w:val="22"/>
                <w:szCs w:val="22"/>
                <w:lang w:val="mk-MK"/>
              </w:rPr>
              <w:t xml:space="preserve"> </w:t>
            </w:r>
            <w:r w:rsidR="00483F35" w:rsidRPr="00FF2F08">
              <w:rPr>
                <w:rFonts w:ascii="Times New Roman" w:hAnsi="Times New Roman"/>
                <w:sz w:val="22"/>
                <w:szCs w:val="22"/>
                <w:lang w:val="mk-MK"/>
              </w:rPr>
              <w:t>(интра-индивидуална варијабилност)</w:t>
            </w:r>
            <w:r w:rsidRPr="00FF2F08">
              <w:rPr>
                <w:rFonts w:ascii="Times New Roman" w:hAnsi="Times New Roman"/>
                <w:sz w:val="22"/>
                <w:szCs w:val="22"/>
                <w:lang w:val="mk-MK"/>
              </w:rPr>
              <w:t>.</w:t>
            </w:r>
          </w:p>
          <w:p w:rsidR="00387E9C" w:rsidRPr="00FF2F08" w:rsidRDefault="00387E9C" w:rsidP="00476708">
            <w:pPr>
              <w:pStyle w:val="Header"/>
              <w:rPr>
                <w:rFonts w:ascii="Times New Roman" w:hAnsi="Times New Roman"/>
                <w:sz w:val="22"/>
                <w:szCs w:val="22"/>
                <w:u w:val="single"/>
                <w:lang w:val="mk-MK"/>
              </w:rPr>
            </w:pPr>
            <w:r w:rsidRPr="00FF2F08">
              <w:rPr>
                <w:rFonts w:ascii="Times New Roman" w:hAnsi="Times New Roman"/>
                <w:sz w:val="22"/>
                <w:szCs w:val="22"/>
                <w:u w:val="single"/>
                <w:lang w:val="mk-MK"/>
              </w:rPr>
              <w:t>Дистрибуција</w:t>
            </w:r>
          </w:p>
          <w:p w:rsidR="00387E9C" w:rsidRPr="00FF2F08" w:rsidRDefault="00387E9C" w:rsidP="00476708">
            <w:pPr>
              <w:pStyle w:val="Header"/>
              <w:rPr>
                <w:rFonts w:ascii="Times New Roman" w:hAnsi="Times New Roman"/>
                <w:sz w:val="22"/>
                <w:szCs w:val="22"/>
                <w:lang w:val="mk-MK"/>
              </w:rPr>
            </w:pPr>
            <w:r w:rsidRPr="00FF2F08">
              <w:rPr>
                <w:rFonts w:ascii="Times New Roman" w:hAnsi="Times New Roman"/>
                <w:sz w:val="22"/>
                <w:szCs w:val="22"/>
                <w:lang w:val="mk-MK"/>
              </w:rPr>
              <w:t>Везивање индапамида за протеине плазме износи 79%. Полувр</w:t>
            </w:r>
            <w:r w:rsidR="004E6204" w:rsidRPr="00FF2F08">
              <w:rPr>
                <w:rFonts w:ascii="Times New Roman" w:hAnsi="Times New Roman"/>
                <w:sz w:val="22"/>
                <w:szCs w:val="22"/>
                <w:lang w:val="mk-MK"/>
              </w:rPr>
              <w:t>иј</w:t>
            </w:r>
            <w:r w:rsidRPr="00FF2F08">
              <w:rPr>
                <w:rFonts w:ascii="Times New Roman" w:hAnsi="Times New Roman"/>
                <w:sz w:val="22"/>
                <w:szCs w:val="22"/>
                <w:lang w:val="mk-MK"/>
              </w:rPr>
              <w:t>еме елиминације из плазме је од 14 до 24 сата (средња вр</w:t>
            </w:r>
            <w:r w:rsidR="004E6204" w:rsidRPr="00FF2F08">
              <w:rPr>
                <w:rFonts w:ascii="Times New Roman" w:hAnsi="Times New Roman"/>
                <w:sz w:val="22"/>
                <w:szCs w:val="22"/>
                <w:lang w:val="mk-MK"/>
              </w:rPr>
              <w:t>иј</w:t>
            </w:r>
            <w:r w:rsidRPr="00FF2F08">
              <w:rPr>
                <w:rFonts w:ascii="Times New Roman" w:hAnsi="Times New Roman"/>
                <w:sz w:val="22"/>
                <w:szCs w:val="22"/>
                <w:lang w:val="mk-MK"/>
              </w:rPr>
              <w:t xml:space="preserve">едност 18 сати). Стање </w:t>
            </w:r>
            <w:r w:rsidR="00820C98" w:rsidRPr="00FF2F08">
              <w:rPr>
                <w:rFonts w:ascii="Times New Roman" w:hAnsi="Times New Roman"/>
                <w:sz w:val="22"/>
                <w:szCs w:val="22"/>
                <w:lang w:val="mk-MK"/>
              </w:rPr>
              <w:t xml:space="preserve">динамичке </w:t>
            </w:r>
            <w:r w:rsidRPr="00FF2F08">
              <w:rPr>
                <w:rFonts w:ascii="Times New Roman" w:hAnsi="Times New Roman"/>
                <w:sz w:val="22"/>
                <w:szCs w:val="22"/>
                <w:lang w:val="mk-MK"/>
              </w:rPr>
              <w:t>равнотеже у плазми постиже се у року од 7 дана. Поновно давање л</w:t>
            </w:r>
            <w:r w:rsidR="004E6204" w:rsidRPr="00FF2F08">
              <w:rPr>
                <w:rFonts w:ascii="Times New Roman" w:hAnsi="Times New Roman"/>
                <w:sz w:val="22"/>
                <w:szCs w:val="22"/>
                <w:lang w:val="mk-MK"/>
              </w:rPr>
              <w:t>иј</w:t>
            </w:r>
            <w:r w:rsidRPr="00FF2F08">
              <w:rPr>
                <w:rFonts w:ascii="Times New Roman" w:hAnsi="Times New Roman"/>
                <w:sz w:val="22"/>
                <w:szCs w:val="22"/>
                <w:lang w:val="mk-MK"/>
              </w:rPr>
              <w:t>ека  не доводи до акумулације индапамида.</w:t>
            </w:r>
          </w:p>
          <w:p w:rsidR="00387E9C" w:rsidRPr="00FF2F08" w:rsidRDefault="00387E9C" w:rsidP="00476708">
            <w:pPr>
              <w:pStyle w:val="NoSpacing"/>
              <w:jc w:val="both"/>
              <w:rPr>
                <w:rFonts w:ascii="Times New Roman" w:hAnsi="Times New Roman"/>
                <w:u w:val="single"/>
                <w:lang w:val="mk-MK"/>
              </w:rPr>
            </w:pPr>
            <w:r w:rsidRPr="00FF2F08">
              <w:rPr>
                <w:rFonts w:ascii="Times New Roman" w:hAnsi="Times New Roman"/>
                <w:u w:val="single"/>
                <w:lang w:val="mk-MK"/>
              </w:rPr>
              <w:t>Биотрансформација</w:t>
            </w:r>
            <w:r w:rsidR="00820C98" w:rsidRPr="00FF2F08">
              <w:rPr>
                <w:rFonts w:ascii="Times New Roman" w:hAnsi="Times New Roman"/>
                <w:u w:val="single"/>
                <w:lang w:val="mk-MK"/>
              </w:rPr>
              <w:t xml:space="preserve"> и излучива</w:t>
            </w:r>
            <w:r w:rsidR="00820C98" w:rsidRPr="00FF2F08">
              <w:rPr>
                <w:rFonts w:ascii="Times New Roman" w:hAnsi="Times New Roman"/>
                <w:lang w:val="mk-MK"/>
              </w:rPr>
              <w:t>ње</w:t>
            </w:r>
          </w:p>
          <w:p w:rsidR="00387E9C" w:rsidRPr="00FF2F08" w:rsidRDefault="00387E9C" w:rsidP="00476708">
            <w:pPr>
              <w:pStyle w:val="Header"/>
              <w:rPr>
                <w:rFonts w:ascii="Times New Roman" w:hAnsi="Times New Roman"/>
                <w:sz w:val="22"/>
                <w:szCs w:val="22"/>
                <w:lang w:val="mk-MK"/>
              </w:rPr>
            </w:pPr>
            <w:r w:rsidRPr="00FF2F08">
              <w:rPr>
                <w:rFonts w:ascii="Times New Roman" w:hAnsi="Times New Roman"/>
                <w:sz w:val="22"/>
                <w:szCs w:val="22"/>
                <w:lang w:val="mk-MK"/>
              </w:rPr>
              <w:t>Индапамид се углавном елиминише путем урина (70% од прим</w:t>
            </w:r>
            <w:r w:rsidR="00820C98" w:rsidRPr="00FF2F08">
              <w:rPr>
                <w:rFonts w:ascii="Times New Roman" w:hAnsi="Times New Roman"/>
                <w:sz w:val="22"/>
                <w:szCs w:val="22"/>
                <w:lang w:val="mk-MK"/>
              </w:rPr>
              <w:t>и</w:t>
            </w:r>
            <w:r w:rsidR="007C32D7" w:rsidRPr="00FF2F08">
              <w:rPr>
                <w:rFonts w:ascii="Times New Roman" w:hAnsi="Times New Roman"/>
                <w:sz w:val="22"/>
                <w:szCs w:val="22"/>
                <w:lang w:val="mk-MK"/>
              </w:rPr>
              <w:t>ј</w:t>
            </w:r>
            <w:r w:rsidRPr="00FF2F08">
              <w:rPr>
                <w:rFonts w:ascii="Times New Roman" w:hAnsi="Times New Roman"/>
                <w:sz w:val="22"/>
                <w:szCs w:val="22"/>
                <w:lang w:val="mk-MK"/>
              </w:rPr>
              <w:t>ењене дозе) и путем фецеса (22%), у облику неактивног метаболита.</w:t>
            </w:r>
          </w:p>
          <w:p w:rsidR="00387E9C" w:rsidRPr="00FF2F08" w:rsidRDefault="00387E9C" w:rsidP="00476708">
            <w:pPr>
              <w:pStyle w:val="Header"/>
              <w:rPr>
                <w:rFonts w:ascii="Times New Roman" w:hAnsi="Times New Roman"/>
                <w:sz w:val="22"/>
                <w:szCs w:val="22"/>
                <w:u w:val="single"/>
                <w:lang w:val="mk-MK"/>
              </w:rPr>
            </w:pPr>
            <w:r w:rsidRPr="00FF2F08">
              <w:rPr>
                <w:rFonts w:ascii="Times New Roman" w:hAnsi="Times New Roman"/>
                <w:sz w:val="22"/>
                <w:szCs w:val="22"/>
                <w:u w:val="single"/>
                <w:lang w:val="mk-MK"/>
              </w:rPr>
              <w:t>Особе са високим ризиком</w:t>
            </w:r>
          </w:p>
          <w:p w:rsidR="00387E9C" w:rsidRPr="00FF2F08" w:rsidRDefault="00387E9C" w:rsidP="00476708">
            <w:pPr>
              <w:pStyle w:val="Header"/>
              <w:tabs>
                <w:tab w:val="clear" w:pos="4536"/>
                <w:tab w:val="clear" w:pos="9072"/>
                <w:tab w:val="left" w:pos="284"/>
              </w:tabs>
              <w:rPr>
                <w:rFonts w:ascii="Times New Roman" w:hAnsi="Times New Roman"/>
                <w:sz w:val="22"/>
                <w:szCs w:val="22"/>
                <w:lang w:val="mk-MK"/>
              </w:rPr>
            </w:pPr>
            <w:r w:rsidRPr="00FF2F08">
              <w:rPr>
                <w:rFonts w:ascii="Times New Roman" w:hAnsi="Times New Roman"/>
                <w:sz w:val="22"/>
                <w:szCs w:val="22"/>
                <w:lang w:val="mk-MK"/>
              </w:rPr>
              <w:t>Фармакокинетички параметри л</w:t>
            </w:r>
            <w:r w:rsidR="004E6204" w:rsidRPr="00FF2F08">
              <w:rPr>
                <w:rFonts w:ascii="Times New Roman" w:hAnsi="Times New Roman"/>
                <w:sz w:val="22"/>
                <w:szCs w:val="22"/>
                <w:lang w:val="mk-MK"/>
              </w:rPr>
              <w:t>иј</w:t>
            </w:r>
            <w:r w:rsidRPr="00FF2F08">
              <w:rPr>
                <w:rFonts w:ascii="Times New Roman" w:hAnsi="Times New Roman"/>
                <w:sz w:val="22"/>
                <w:szCs w:val="22"/>
                <w:lang w:val="mk-MK"/>
              </w:rPr>
              <w:t>ека не м</w:t>
            </w:r>
            <w:r w:rsidR="007C32D7" w:rsidRPr="00FF2F08">
              <w:rPr>
                <w:rFonts w:ascii="Times New Roman" w:hAnsi="Times New Roman"/>
                <w:sz w:val="22"/>
                <w:szCs w:val="22"/>
                <w:lang w:val="mk-MK"/>
              </w:rPr>
              <w:t>иј</w:t>
            </w:r>
            <w:r w:rsidRPr="00FF2F08">
              <w:rPr>
                <w:rFonts w:ascii="Times New Roman" w:hAnsi="Times New Roman"/>
                <w:sz w:val="22"/>
                <w:szCs w:val="22"/>
                <w:lang w:val="mk-MK"/>
              </w:rPr>
              <w:t>ењају се значајно код пацијената са бубрежном инсуфицијенцијом.</w:t>
            </w:r>
          </w:p>
          <w:p w:rsidR="00476708" w:rsidRPr="00FF2F08" w:rsidRDefault="00476708" w:rsidP="00476708">
            <w:pPr>
              <w:rPr>
                <w:rFonts w:ascii="Times New Roman" w:hAnsi="Times New Roman" w:cs="Times New Roman"/>
                <w:sz w:val="22"/>
                <w:szCs w:val="22"/>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t xml:space="preserve">5.3. Претклинички подаци о безбједности </w:t>
            </w:r>
          </w:p>
        </w:tc>
      </w:tr>
      <w:tr w:rsidR="00B0540F" w:rsidRPr="00FF2F08" w:rsidTr="00865739">
        <w:trPr>
          <w:trHeight w:val="2333"/>
        </w:trPr>
        <w:tc>
          <w:tcPr>
            <w:tcW w:w="9356" w:type="dxa"/>
            <w:gridSpan w:val="4"/>
            <w:vAlign w:val="center"/>
          </w:tcPr>
          <w:p w:rsidR="0066721C" w:rsidRPr="00FF2F08" w:rsidRDefault="000E55C0" w:rsidP="00476708">
            <w:pPr>
              <w:pStyle w:val="Header"/>
              <w:tabs>
                <w:tab w:val="clear" w:pos="4536"/>
                <w:tab w:val="clear" w:pos="9072"/>
                <w:tab w:val="left" w:pos="284"/>
              </w:tabs>
              <w:rPr>
                <w:rFonts w:ascii="Times New Roman" w:hAnsi="Times New Roman"/>
                <w:sz w:val="22"/>
                <w:szCs w:val="22"/>
                <w:lang w:val="mk-MK"/>
              </w:rPr>
            </w:pPr>
            <w:r w:rsidRPr="00FF2F08">
              <w:rPr>
                <w:rFonts w:ascii="Times New Roman" w:hAnsi="Times New Roman"/>
                <w:sz w:val="22"/>
                <w:szCs w:val="22"/>
                <w:lang w:val="mk-MK"/>
              </w:rPr>
              <w:t xml:space="preserve">Индапамид је био негативан </w:t>
            </w:r>
            <w:r w:rsidR="00820C98" w:rsidRPr="00FF2F08">
              <w:rPr>
                <w:rFonts w:ascii="Times New Roman" w:hAnsi="Times New Roman"/>
                <w:sz w:val="22"/>
                <w:szCs w:val="22"/>
                <w:lang w:val="mk-MK"/>
              </w:rPr>
              <w:t xml:space="preserve">у </w:t>
            </w:r>
            <w:r w:rsidRPr="00FF2F08">
              <w:rPr>
                <w:rFonts w:ascii="Times New Roman" w:hAnsi="Times New Roman"/>
                <w:sz w:val="22"/>
                <w:szCs w:val="22"/>
                <w:lang w:val="mk-MK"/>
              </w:rPr>
              <w:t>тестовима мутаген</w:t>
            </w:r>
            <w:r w:rsidR="00820C98" w:rsidRPr="00FF2F08">
              <w:rPr>
                <w:rFonts w:ascii="Times New Roman" w:hAnsi="Times New Roman"/>
                <w:sz w:val="22"/>
                <w:szCs w:val="22"/>
                <w:lang w:val="mk-MK"/>
              </w:rPr>
              <w:t>ости</w:t>
            </w:r>
            <w:r w:rsidRPr="00FF2F08">
              <w:rPr>
                <w:rFonts w:ascii="Times New Roman" w:hAnsi="Times New Roman"/>
                <w:sz w:val="22"/>
                <w:szCs w:val="22"/>
                <w:lang w:val="mk-MK"/>
              </w:rPr>
              <w:t xml:space="preserve"> и канцероген</w:t>
            </w:r>
            <w:r w:rsidR="00820C98" w:rsidRPr="00FF2F08">
              <w:rPr>
                <w:rFonts w:ascii="Times New Roman" w:hAnsi="Times New Roman"/>
                <w:sz w:val="22"/>
                <w:szCs w:val="22"/>
                <w:lang w:val="mk-MK"/>
              </w:rPr>
              <w:t>ости</w:t>
            </w:r>
            <w:r w:rsidRPr="00FF2F08">
              <w:rPr>
                <w:rFonts w:ascii="Times New Roman" w:hAnsi="Times New Roman"/>
                <w:sz w:val="22"/>
                <w:szCs w:val="22"/>
                <w:lang w:val="mk-MK"/>
              </w:rPr>
              <w:t>.</w:t>
            </w:r>
          </w:p>
          <w:p w:rsidR="00387E9C" w:rsidRPr="00FF2F08" w:rsidRDefault="000E55C0" w:rsidP="00476708">
            <w:pPr>
              <w:pStyle w:val="Header"/>
              <w:rPr>
                <w:rFonts w:ascii="Times New Roman" w:hAnsi="Times New Roman"/>
                <w:sz w:val="22"/>
                <w:szCs w:val="22"/>
                <w:lang w:val="mk-MK"/>
              </w:rPr>
            </w:pPr>
            <w:r w:rsidRPr="00FF2F08">
              <w:rPr>
                <w:rFonts w:ascii="Times New Roman" w:hAnsi="Times New Roman"/>
                <w:sz w:val="22"/>
                <w:szCs w:val="22"/>
                <w:lang w:val="mk-MK"/>
              </w:rPr>
              <w:t xml:space="preserve">Највише </w:t>
            </w:r>
            <w:r w:rsidR="00820C98" w:rsidRPr="00FF2F08">
              <w:rPr>
                <w:rFonts w:ascii="Times New Roman" w:hAnsi="Times New Roman"/>
                <w:sz w:val="22"/>
                <w:szCs w:val="22"/>
                <w:lang w:val="mk-MK"/>
              </w:rPr>
              <w:t xml:space="preserve">перорално </w:t>
            </w:r>
            <w:r w:rsidRPr="00FF2F08">
              <w:rPr>
                <w:rFonts w:ascii="Times New Roman" w:hAnsi="Times New Roman"/>
                <w:sz w:val="22"/>
                <w:szCs w:val="22"/>
                <w:lang w:val="mk-MK"/>
              </w:rPr>
              <w:t>дозе које су прим</w:t>
            </w:r>
            <w:r w:rsidR="00820C98" w:rsidRPr="00FF2F08">
              <w:rPr>
                <w:rFonts w:ascii="Times New Roman" w:hAnsi="Times New Roman"/>
                <w:sz w:val="22"/>
                <w:szCs w:val="22"/>
                <w:lang w:val="mk-MK"/>
              </w:rPr>
              <w:t>и</w:t>
            </w:r>
            <w:r w:rsidRPr="00FF2F08">
              <w:rPr>
                <w:rFonts w:ascii="Times New Roman" w:hAnsi="Times New Roman"/>
                <w:sz w:val="22"/>
                <w:szCs w:val="22"/>
                <w:lang w:val="mk-MK"/>
              </w:rPr>
              <w:t xml:space="preserve">јењене на различитим животињским врстама (40 до 8000 пута веће од терапијске дозе) </w:t>
            </w:r>
            <w:r w:rsidR="009E3BEB" w:rsidRPr="00FF2F08">
              <w:rPr>
                <w:rFonts w:ascii="Times New Roman" w:hAnsi="Times New Roman"/>
                <w:sz w:val="22"/>
                <w:szCs w:val="22"/>
                <w:lang w:val="mk-MK"/>
              </w:rPr>
              <w:t>довеле су</w:t>
            </w:r>
            <w:r w:rsidRPr="00FF2F08">
              <w:rPr>
                <w:rFonts w:ascii="Times New Roman" w:hAnsi="Times New Roman"/>
                <w:sz w:val="22"/>
                <w:szCs w:val="22"/>
                <w:lang w:val="mk-MK"/>
              </w:rPr>
              <w:t xml:space="preserve"> </w:t>
            </w:r>
            <w:r w:rsidR="009E3BEB" w:rsidRPr="00FF2F08">
              <w:rPr>
                <w:rFonts w:ascii="Times New Roman" w:hAnsi="Times New Roman"/>
                <w:sz w:val="22"/>
                <w:szCs w:val="22"/>
                <w:lang w:val="mk-MK"/>
              </w:rPr>
              <w:t>до изузетно наглашеног</w:t>
            </w:r>
            <w:r w:rsidRPr="00FF2F08">
              <w:rPr>
                <w:rFonts w:ascii="Times New Roman" w:hAnsi="Times New Roman"/>
                <w:sz w:val="22"/>
                <w:szCs w:val="22"/>
                <w:lang w:val="mk-MK"/>
              </w:rPr>
              <w:t xml:space="preserve"> диуретск</w:t>
            </w:r>
            <w:r w:rsidR="009E3BEB" w:rsidRPr="00FF2F08">
              <w:rPr>
                <w:rFonts w:ascii="Times New Roman" w:hAnsi="Times New Roman"/>
                <w:sz w:val="22"/>
                <w:szCs w:val="22"/>
                <w:lang w:val="mk-MK"/>
              </w:rPr>
              <w:t>ог</w:t>
            </w:r>
            <w:r w:rsidRPr="00FF2F08">
              <w:rPr>
                <w:rFonts w:ascii="Times New Roman" w:hAnsi="Times New Roman"/>
                <w:sz w:val="22"/>
                <w:szCs w:val="22"/>
                <w:lang w:val="mk-MK"/>
              </w:rPr>
              <w:t xml:space="preserve"> </w:t>
            </w:r>
            <w:r w:rsidR="009E3BEB" w:rsidRPr="00FF2F08">
              <w:rPr>
                <w:rFonts w:ascii="Times New Roman" w:hAnsi="Times New Roman"/>
                <w:sz w:val="22"/>
                <w:szCs w:val="22"/>
                <w:lang w:val="mk-MK"/>
              </w:rPr>
              <w:t xml:space="preserve">ефекта </w:t>
            </w:r>
            <w:r w:rsidRPr="00FF2F08">
              <w:rPr>
                <w:rFonts w:ascii="Times New Roman" w:hAnsi="Times New Roman"/>
                <w:sz w:val="22"/>
                <w:szCs w:val="22"/>
                <w:lang w:val="mk-MK"/>
              </w:rPr>
              <w:t>индапамида. Главни симптоми</w:t>
            </w:r>
            <w:r w:rsidR="00CA4937" w:rsidRPr="00FF2F08">
              <w:rPr>
                <w:rFonts w:ascii="Times New Roman" w:hAnsi="Times New Roman"/>
                <w:sz w:val="22"/>
                <w:szCs w:val="22"/>
                <w:lang w:val="mk-MK"/>
              </w:rPr>
              <w:t xml:space="preserve"> </w:t>
            </w:r>
            <w:r w:rsidR="009E3BEB" w:rsidRPr="00FF2F08">
              <w:rPr>
                <w:rFonts w:ascii="Times New Roman" w:hAnsi="Times New Roman"/>
                <w:sz w:val="22"/>
                <w:szCs w:val="22"/>
                <w:lang w:val="mk-MK"/>
              </w:rPr>
              <w:t>токсичности</w:t>
            </w:r>
            <w:r w:rsidRPr="00FF2F08">
              <w:rPr>
                <w:rFonts w:ascii="Times New Roman" w:hAnsi="Times New Roman"/>
                <w:sz w:val="22"/>
                <w:szCs w:val="22"/>
                <w:lang w:val="mk-MK"/>
              </w:rPr>
              <w:t xml:space="preserve">, откривени током експеримената у којима је изазивана акутна токсичност индапамидом, који је </w:t>
            </w:r>
            <w:r w:rsidR="009E3BEB" w:rsidRPr="00FF2F08">
              <w:rPr>
                <w:rFonts w:ascii="Times New Roman" w:hAnsi="Times New Roman"/>
                <w:sz w:val="22"/>
                <w:szCs w:val="22"/>
                <w:lang w:val="mk-MK"/>
              </w:rPr>
              <w:t xml:space="preserve">примјењиван </w:t>
            </w:r>
            <w:r w:rsidRPr="00FF2F08">
              <w:rPr>
                <w:rFonts w:ascii="Times New Roman" w:hAnsi="Times New Roman"/>
                <w:sz w:val="22"/>
                <w:szCs w:val="22"/>
                <w:lang w:val="mk-MK"/>
              </w:rPr>
              <w:t>интравенски или интраперитонеално, били су повезани са фармаколошком активношћу индапамида, тј. брадипнеа и периферна вазодилатација.</w:t>
            </w:r>
          </w:p>
          <w:p w:rsidR="00B51278" w:rsidRPr="00FF2F08" w:rsidRDefault="00483F35" w:rsidP="00476708">
            <w:pPr>
              <w:rPr>
                <w:rFonts w:ascii="Times New Roman" w:hAnsi="Times New Roman" w:cs="Times New Roman"/>
                <w:sz w:val="22"/>
                <w:szCs w:val="22"/>
                <w:lang w:val="mk-MK"/>
              </w:rPr>
            </w:pPr>
            <w:r w:rsidRPr="00FF2F08">
              <w:rPr>
                <w:rFonts w:ascii="Times New Roman" w:hAnsi="Times New Roman" w:cs="Times New Roman"/>
                <w:sz w:val="22"/>
                <w:szCs w:val="22"/>
              </w:rPr>
              <w:t>Студије репродуктивне токсичности ни</w:t>
            </w:r>
            <w:r w:rsidR="009E3BEB" w:rsidRPr="00FF2F08">
              <w:rPr>
                <w:rFonts w:ascii="Times New Roman" w:hAnsi="Times New Roman" w:cs="Times New Roman"/>
                <w:sz w:val="22"/>
                <w:szCs w:val="22"/>
                <w:lang w:val="sr-Cyrl-RS"/>
              </w:rPr>
              <w:t>је</w:t>
            </w:r>
            <w:r w:rsidRPr="00FF2F08">
              <w:rPr>
                <w:rFonts w:ascii="Times New Roman" w:hAnsi="Times New Roman" w:cs="Times New Roman"/>
                <w:sz w:val="22"/>
                <w:szCs w:val="22"/>
              </w:rPr>
              <w:t>су показале ембриотоксичнос</w:t>
            </w:r>
            <w:r w:rsidR="00CA4937" w:rsidRPr="00FF2F08">
              <w:rPr>
                <w:rFonts w:ascii="Times New Roman" w:hAnsi="Times New Roman" w:cs="Times New Roman"/>
                <w:sz w:val="22"/>
                <w:szCs w:val="22"/>
              </w:rPr>
              <w:t>т</w:t>
            </w:r>
            <w:r w:rsidRPr="00FF2F08">
              <w:rPr>
                <w:rFonts w:ascii="Times New Roman" w:hAnsi="Times New Roman" w:cs="Times New Roman"/>
                <w:sz w:val="22"/>
                <w:szCs w:val="22"/>
              </w:rPr>
              <w:t xml:space="preserve"> и тератогеност.</w:t>
            </w:r>
          </w:p>
          <w:p w:rsidR="003D1146" w:rsidRPr="00FF2F08" w:rsidRDefault="00483F35" w:rsidP="00476708">
            <w:pPr>
              <w:rPr>
                <w:rFonts w:ascii="Times New Roman" w:hAnsi="Times New Roman" w:cs="Times New Roman"/>
                <w:sz w:val="22"/>
                <w:szCs w:val="22"/>
                <w:lang w:val="mk-MK"/>
              </w:rPr>
            </w:pPr>
            <w:r w:rsidRPr="00FF2F08">
              <w:rPr>
                <w:rFonts w:ascii="Times New Roman" w:hAnsi="Times New Roman" w:cs="Times New Roman"/>
                <w:sz w:val="22"/>
                <w:szCs w:val="22"/>
              </w:rPr>
              <w:t>Фертилитет није био оштећен ни код женки ни код мужјака пацова.</w:t>
            </w:r>
          </w:p>
          <w:p w:rsidR="00B51278" w:rsidRPr="00FF2F08" w:rsidRDefault="00B51278" w:rsidP="00476708">
            <w:pPr>
              <w:rPr>
                <w:rFonts w:ascii="Times New Roman" w:hAnsi="Times New Roman" w:cs="Times New Roman"/>
                <w:sz w:val="22"/>
                <w:szCs w:val="22"/>
                <w:lang w:val="mk-MK"/>
              </w:rPr>
            </w:pPr>
          </w:p>
          <w:p w:rsidR="00E83FC7" w:rsidRPr="00FF2F08" w:rsidRDefault="00E83FC7" w:rsidP="00476708">
            <w:pPr>
              <w:rPr>
                <w:rFonts w:ascii="Times New Roman" w:hAnsi="Times New Roman" w:cs="Times New Roman"/>
                <w:sz w:val="22"/>
                <w:szCs w:val="22"/>
                <w:lang w:val="mk-MK"/>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6. ФАРМАЦЕУТСКИ ПОДАЦИ</w:t>
            </w:r>
          </w:p>
        </w:tc>
      </w:tr>
      <w:tr w:rsidR="00B0540F" w:rsidRPr="00FF2F08" w:rsidTr="00865739">
        <w:tc>
          <w:tcPr>
            <w:tcW w:w="9356" w:type="dxa"/>
            <w:gridSpan w:val="4"/>
            <w:vAlign w:val="center"/>
          </w:tcPr>
          <w:p w:rsidR="00EC3931" w:rsidRPr="00FF2F08" w:rsidRDefault="00EC3931" w:rsidP="00476708">
            <w:pPr>
              <w:pStyle w:val="Header"/>
              <w:tabs>
                <w:tab w:val="clear" w:pos="4536"/>
                <w:tab w:val="clear" w:pos="9072"/>
                <w:tab w:val="left" w:pos="284"/>
              </w:tabs>
              <w:rPr>
                <w:rFonts w:ascii="Times New Roman" w:hAnsi="Times New Roman"/>
                <w:b/>
                <w:bCs/>
                <w:sz w:val="22"/>
                <w:szCs w:val="22"/>
                <w:lang w:eastAsia="en-US"/>
              </w:rPr>
            </w:pPr>
          </w:p>
          <w:p w:rsidR="003D1146" w:rsidRPr="00FF2F08" w:rsidRDefault="003D1146" w:rsidP="00476708">
            <w:pPr>
              <w:pStyle w:val="Header"/>
              <w:tabs>
                <w:tab w:val="clear" w:pos="4536"/>
                <w:tab w:val="clear" w:pos="9072"/>
                <w:tab w:val="left" w:pos="284"/>
              </w:tabs>
              <w:rPr>
                <w:rFonts w:ascii="Times New Roman" w:hAnsi="Times New Roman"/>
                <w:b/>
                <w:bCs/>
                <w:sz w:val="22"/>
                <w:szCs w:val="22"/>
                <w:lang w:val="sr-Latn-CS" w:eastAsia="en-US"/>
              </w:rPr>
            </w:pPr>
            <w:r w:rsidRPr="00FF2F08">
              <w:rPr>
                <w:rFonts w:ascii="Times New Roman" w:hAnsi="Times New Roman"/>
                <w:b/>
                <w:bCs/>
                <w:sz w:val="22"/>
                <w:szCs w:val="22"/>
                <w:lang w:eastAsia="en-US"/>
              </w:rPr>
              <w:t>6.1. Листа</w:t>
            </w:r>
            <w:r w:rsidR="00CA4937" w:rsidRPr="00FF2F08">
              <w:rPr>
                <w:rFonts w:ascii="Times New Roman" w:hAnsi="Times New Roman"/>
                <w:b/>
                <w:bCs/>
                <w:sz w:val="22"/>
                <w:szCs w:val="22"/>
                <w:lang w:eastAsia="en-US"/>
              </w:rPr>
              <w:t xml:space="preserve"> </w:t>
            </w:r>
            <w:r w:rsidRPr="00FF2F08">
              <w:rPr>
                <w:rFonts w:ascii="Times New Roman" w:hAnsi="Times New Roman"/>
                <w:b/>
                <w:bCs/>
                <w:sz w:val="22"/>
                <w:szCs w:val="22"/>
                <w:lang w:eastAsia="en-US"/>
              </w:rPr>
              <w:t>помо</w:t>
            </w:r>
            <w:r w:rsidRPr="00FF2F08">
              <w:rPr>
                <w:rFonts w:ascii="Times New Roman" w:hAnsi="Times New Roman"/>
                <w:b/>
                <w:bCs/>
                <w:sz w:val="22"/>
                <w:szCs w:val="22"/>
                <w:lang w:val="sr-Latn-CS" w:eastAsia="en-US"/>
              </w:rPr>
              <w:t>ћних супстанци</w:t>
            </w:r>
          </w:p>
        </w:tc>
      </w:tr>
      <w:tr w:rsidR="00B0540F" w:rsidRPr="00FF2F08" w:rsidTr="00865739">
        <w:trPr>
          <w:trHeight w:val="779"/>
        </w:trPr>
        <w:tc>
          <w:tcPr>
            <w:tcW w:w="9356" w:type="dxa"/>
            <w:gridSpan w:val="4"/>
            <w:vAlign w:val="center"/>
          </w:tcPr>
          <w:p w:rsidR="00B66BB3" w:rsidRPr="00FF2F08" w:rsidRDefault="00B66BB3" w:rsidP="00476708">
            <w:pPr>
              <w:pStyle w:val="Header"/>
              <w:rPr>
                <w:rFonts w:ascii="Times New Roman" w:hAnsi="Times New Roman"/>
                <w:i/>
                <w:sz w:val="22"/>
                <w:szCs w:val="22"/>
              </w:rPr>
            </w:pPr>
            <w:r w:rsidRPr="00FF2F08">
              <w:rPr>
                <w:rFonts w:ascii="Times New Roman" w:hAnsi="Times New Roman"/>
                <w:i/>
                <w:sz w:val="22"/>
                <w:szCs w:val="22"/>
              </w:rPr>
              <w:t>Таблетно језгро:</w:t>
            </w:r>
          </w:p>
          <w:p w:rsidR="00B66BB3" w:rsidRPr="00FF2F08" w:rsidRDefault="00B66BB3" w:rsidP="00476708">
            <w:pPr>
              <w:tabs>
                <w:tab w:val="left" w:pos="1260"/>
              </w:tabs>
              <w:rPr>
                <w:rFonts w:ascii="Times New Roman" w:hAnsi="Times New Roman" w:cs="Times New Roman"/>
                <w:noProof/>
                <w:sz w:val="22"/>
                <w:szCs w:val="22"/>
              </w:rPr>
            </w:pPr>
            <w:r w:rsidRPr="00FF2F08">
              <w:rPr>
                <w:rFonts w:ascii="Times New Roman" w:hAnsi="Times New Roman" w:cs="Times New Roman"/>
                <w:noProof/>
                <w:sz w:val="22"/>
                <w:szCs w:val="22"/>
              </w:rPr>
              <w:t>Лза, монохидрат;</w:t>
            </w:r>
          </w:p>
          <w:p w:rsidR="00B66BB3" w:rsidRPr="00FF2F08" w:rsidRDefault="00B66BB3" w:rsidP="00476708">
            <w:pPr>
              <w:tabs>
                <w:tab w:val="left" w:pos="1260"/>
              </w:tabs>
              <w:rPr>
                <w:rFonts w:ascii="Times New Roman" w:hAnsi="Times New Roman" w:cs="Times New Roman"/>
                <w:sz w:val="22"/>
                <w:szCs w:val="22"/>
              </w:rPr>
            </w:pPr>
            <w:r w:rsidRPr="00FF2F08">
              <w:rPr>
                <w:rFonts w:ascii="Times New Roman" w:hAnsi="Times New Roman" w:cs="Times New Roman"/>
                <w:noProof/>
                <w:sz w:val="22"/>
                <w:szCs w:val="22"/>
                <w:lang w:val="mk-MK"/>
              </w:rPr>
              <w:t>Хидроксиетилцелулоза (ниског степена вискозности)</w:t>
            </w:r>
            <w:r w:rsidRPr="00FF2F08">
              <w:rPr>
                <w:rFonts w:ascii="Times New Roman" w:hAnsi="Times New Roman" w:cs="Times New Roman"/>
                <w:sz w:val="22"/>
                <w:szCs w:val="22"/>
              </w:rPr>
              <w:t>;</w:t>
            </w:r>
          </w:p>
          <w:p w:rsidR="00B66BB3" w:rsidRPr="00FF2F08" w:rsidRDefault="00B66BB3" w:rsidP="00476708">
            <w:pPr>
              <w:tabs>
                <w:tab w:val="left" w:pos="1260"/>
              </w:tabs>
              <w:rPr>
                <w:rFonts w:ascii="Times New Roman" w:hAnsi="Times New Roman" w:cs="Times New Roman"/>
                <w:sz w:val="22"/>
                <w:szCs w:val="22"/>
              </w:rPr>
            </w:pPr>
            <w:r w:rsidRPr="00FF2F08">
              <w:rPr>
                <w:rFonts w:ascii="Times New Roman" w:hAnsi="Times New Roman" w:cs="Times New Roman"/>
                <w:noProof/>
                <w:sz w:val="22"/>
                <w:szCs w:val="22"/>
              </w:rPr>
              <w:t>Хидроксиетилцелулоза</w:t>
            </w:r>
            <w:r w:rsidR="00CA4937" w:rsidRPr="00FF2F08">
              <w:rPr>
                <w:rFonts w:ascii="Times New Roman" w:hAnsi="Times New Roman" w:cs="Times New Roman"/>
                <w:noProof/>
                <w:sz w:val="22"/>
                <w:szCs w:val="22"/>
              </w:rPr>
              <w:t xml:space="preserve"> </w:t>
            </w:r>
            <w:r w:rsidRPr="00FF2F08">
              <w:rPr>
                <w:rFonts w:ascii="Times New Roman" w:hAnsi="Times New Roman" w:cs="Times New Roman"/>
                <w:noProof/>
                <w:sz w:val="22"/>
                <w:szCs w:val="22"/>
              </w:rPr>
              <w:t>(</w:t>
            </w:r>
            <w:r w:rsidRPr="00FF2F08">
              <w:rPr>
                <w:rFonts w:ascii="Times New Roman" w:hAnsi="Times New Roman" w:cs="Times New Roman"/>
                <w:noProof/>
                <w:sz w:val="22"/>
                <w:szCs w:val="22"/>
                <w:lang w:val="mk-MK"/>
              </w:rPr>
              <w:t>високог</w:t>
            </w:r>
            <w:r w:rsidRPr="00FF2F08">
              <w:rPr>
                <w:rFonts w:ascii="Times New Roman" w:hAnsi="Times New Roman" w:cs="Times New Roman"/>
                <w:noProof/>
                <w:sz w:val="22"/>
                <w:szCs w:val="22"/>
              </w:rPr>
              <w:t xml:space="preserve"> степена вискозности)</w:t>
            </w:r>
            <w:r w:rsidRPr="00FF2F08">
              <w:rPr>
                <w:rFonts w:ascii="Times New Roman" w:hAnsi="Times New Roman" w:cs="Times New Roman"/>
                <w:sz w:val="22"/>
                <w:szCs w:val="22"/>
              </w:rPr>
              <w:t>;</w:t>
            </w:r>
          </w:p>
          <w:p w:rsidR="00B66BB3" w:rsidRPr="00FF2F08" w:rsidRDefault="004E6204" w:rsidP="00476708">
            <w:pPr>
              <w:pStyle w:val="Header"/>
              <w:rPr>
                <w:rFonts w:ascii="Times New Roman" w:hAnsi="Times New Roman"/>
                <w:sz w:val="22"/>
                <w:szCs w:val="22"/>
              </w:rPr>
            </w:pPr>
            <w:r w:rsidRPr="00FF2F08">
              <w:rPr>
                <w:rFonts w:ascii="Times New Roman" w:hAnsi="Times New Roman"/>
                <w:sz w:val="22"/>
                <w:szCs w:val="22"/>
              </w:rPr>
              <w:t xml:space="preserve">Силицијум </w:t>
            </w:r>
            <w:r w:rsidR="00B66BB3" w:rsidRPr="00FF2F08">
              <w:rPr>
                <w:rFonts w:ascii="Times New Roman" w:hAnsi="Times New Roman"/>
                <w:sz w:val="22"/>
                <w:szCs w:val="22"/>
              </w:rPr>
              <w:t>диоксид, колоидни безводни</w:t>
            </w:r>
          </w:p>
          <w:p w:rsidR="00B66BB3" w:rsidRPr="00FF2F08" w:rsidRDefault="004E6204" w:rsidP="00476708">
            <w:pPr>
              <w:pStyle w:val="Header"/>
              <w:tabs>
                <w:tab w:val="clear" w:pos="4536"/>
                <w:tab w:val="clear" w:pos="9072"/>
                <w:tab w:val="left" w:pos="284"/>
              </w:tabs>
              <w:rPr>
                <w:rFonts w:ascii="Times New Roman" w:hAnsi="Times New Roman"/>
                <w:sz w:val="22"/>
                <w:szCs w:val="22"/>
              </w:rPr>
            </w:pPr>
            <w:r w:rsidRPr="00FF2F08">
              <w:rPr>
                <w:rFonts w:ascii="Times New Roman" w:hAnsi="Times New Roman"/>
                <w:sz w:val="22"/>
                <w:szCs w:val="22"/>
              </w:rPr>
              <w:t xml:space="preserve">Магнезијум </w:t>
            </w:r>
            <w:r w:rsidR="00B66BB3" w:rsidRPr="00FF2F08">
              <w:rPr>
                <w:rFonts w:ascii="Times New Roman" w:hAnsi="Times New Roman"/>
                <w:sz w:val="22"/>
                <w:szCs w:val="22"/>
              </w:rPr>
              <w:t>стеарат</w:t>
            </w:r>
          </w:p>
          <w:p w:rsidR="00B66BB3" w:rsidRPr="00FF2F08" w:rsidRDefault="00B66BB3" w:rsidP="00476708">
            <w:pPr>
              <w:pStyle w:val="Header"/>
              <w:tabs>
                <w:tab w:val="clear" w:pos="4536"/>
                <w:tab w:val="clear" w:pos="9072"/>
                <w:tab w:val="left" w:pos="284"/>
              </w:tabs>
              <w:rPr>
                <w:rFonts w:ascii="Times New Roman" w:hAnsi="Times New Roman"/>
                <w:sz w:val="22"/>
                <w:szCs w:val="22"/>
              </w:rPr>
            </w:pPr>
          </w:p>
          <w:p w:rsidR="00B66BB3" w:rsidRPr="00FF2F08" w:rsidRDefault="00B66BB3" w:rsidP="00476708">
            <w:pPr>
              <w:pStyle w:val="Header"/>
              <w:rPr>
                <w:rFonts w:ascii="Times New Roman" w:hAnsi="Times New Roman"/>
                <w:i/>
                <w:sz w:val="22"/>
                <w:szCs w:val="22"/>
              </w:rPr>
            </w:pPr>
            <w:r w:rsidRPr="00FF2F08">
              <w:rPr>
                <w:rFonts w:ascii="Times New Roman" w:hAnsi="Times New Roman"/>
                <w:i/>
                <w:sz w:val="22"/>
                <w:szCs w:val="22"/>
              </w:rPr>
              <w:lastRenderedPageBreak/>
              <w:t>Филм</w:t>
            </w:r>
            <w:r w:rsidR="00210B58" w:rsidRPr="00FF2F08">
              <w:rPr>
                <w:rFonts w:ascii="Times New Roman" w:hAnsi="Times New Roman"/>
                <w:i/>
                <w:sz w:val="22"/>
                <w:szCs w:val="22"/>
                <w:lang w:val="mk-MK"/>
              </w:rPr>
              <w:t xml:space="preserve"> </w:t>
            </w:r>
            <w:r w:rsidRPr="00FF2F08">
              <w:rPr>
                <w:rFonts w:ascii="Times New Roman" w:hAnsi="Times New Roman"/>
                <w:i/>
                <w:sz w:val="22"/>
                <w:szCs w:val="22"/>
                <w:lang w:val="mk-MK"/>
              </w:rPr>
              <w:t>облога</w:t>
            </w:r>
            <w:r w:rsidRPr="00FF2F08">
              <w:rPr>
                <w:rFonts w:ascii="Times New Roman" w:hAnsi="Times New Roman"/>
                <w:i/>
                <w:sz w:val="22"/>
                <w:szCs w:val="22"/>
              </w:rPr>
              <w:t>:</w:t>
            </w:r>
          </w:p>
          <w:p w:rsidR="00B66BB3" w:rsidRPr="00FF2F08" w:rsidRDefault="00B66BB3" w:rsidP="00476708">
            <w:pPr>
              <w:tabs>
                <w:tab w:val="left" w:pos="1260"/>
              </w:tabs>
              <w:rPr>
                <w:rFonts w:ascii="Times New Roman" w:hAnsi="Times New Roman" w:cs="Times New Roman"/>
                <w:sz w:val="22"/>
                <w:szCs w:val="22"/>
                <w:lang w:val="mk-MK"/>
              </w:rPr>
            </w:pPr>
            <w:r w:rsidRPr="00FF2F08">
              <w:rPr>
                <w:rFonts w:ascii="Times New Roman" w:hAnsi="Times New Roman" w:cs="Times New Roman"/>
                <w:noProof/>
                <w:sz w:val="22"/>
                <w:szCs w:val="22"/>
                <w:lang w:val="mk-MK"/>
              </w:rPr>
              <w:t>Хидроксипропилцелулоза</w:t>
            </w:r>
            <w:r w:rsidRPr="00FF2F08">
              <w:rPr>
                <w:rFonts w:ascii="Times New Roman" w:hAnsi="Times New Roman" w:cs="Times New Roman"/>
                <w:sz w:val="22"/>
                <w:szCs w:val="22"/>
              </w:rPr>
              <w:t>;</w:t>
            </w:r>
          </w:p>
          <w:p w:rsidR="00B66BB3" w:rsidRPr="00FF2F08" w:rsidRDefault="004E6204" w:rsidP="00476708">
            <w:pPr>
              <w:tabs>
                <w:tab w:val="left" w:pos="1260"/>
              </w:tabs>
              <w:rPr>
                <w:rFonts w:ascii="Times New Roman" w:hAnsi="Times New Roman" w:cs="Times New Roman"/>
                <w:caps/>
                <w:noProof/>
                <w:sz w:val="22"/>
                <w:szCs w:val="22"/>
                <w:lang w:val="mk-MK"/>
              </w:rPr>
            </w:pPr>
            <w:r w:rsidRPr="00FF2F08">
              <w:rPr>
                <w:rFonts w:ascii="Times New Roman" w:hAnsi="Times New Roman" w:cs="Times New Roman"/>
                <w:noProof/>
                <w:sz w:val="22"/>
                <w:szCs w:val="22"/>
                <w:lang w:val="mk-MK"/>
              </w:rPr>
              <w:t xml:space="preserve">Титан </w:t>
            </w:r>
            <w:r w:rsidR="00B66BB3" w:rsidRPr="00FF2F08">
              <w:rPr>
                <w:rFonts w:ascii="Times New Roman" w:hAnsi="Times New Roman" w:cs="Times New Roman"/>
                <w:noProof/>
                <w:sz w:val="22"/>
                <w:szCs w:val="22"/>
                <w:lang w:val="mk-MK"/>
              </w:rPr>
              <w:t xml:space="preserve">диоксид </w:t>
            </w:r>
            <w:r w:rsidR="00B66BB3" w:rsidRPr="00FF2F08">
              <w:rPr>
                <w:rFonts w:ascii="Times New Roman" w:hAnsi="Times New Roman" w:cs="Times New Roman"/>
                <w:caps/>
                <w:noProof/>
                <w:sz w:val="22"/>
                <w:szCs w:val="22"/>
                <w:lang w:val="mk-MK"/>
              </w:rPr>
              <w:t>(Е171)</w:t>
            </w:r>
          </w:p>
          <w:p w:rsidR="003D1146" w:rsidRPr="00FF2F08" w:rsidRDefault="003D1146" w:rsidP="00476708">
            <w:pPr>
              <w:pStyle w:val="NoSpacing"/>
              <w:jc w:val="both"/>
              <w:rPr>
                <w:rFonts w:ascii="Times New Roman" w:hAnsi="Times New Roman"/>
                <w:lang w:val="sr-Cyrl-CS"/>
              </w:rPr>
            </w:pPr>
          </w:p>
        </w:tc>
      </w:tr>
      <w:tr w:rsidR="00B0540F" w:rsidRPr="00FF2F08" w:rsidTr="00EC3931">
        <w:trPr>
          <w:trHeight w:val="68"/>
        </w:trPr>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mk-MK" w:eastAsia="en-US"/>
              </w:rPr>
            </w:pPr>
            <w:r w:rsidRPr="00FF2F08">
              <w:rPr>
                <w:rFonts w:ascii="Times New Roman" w:hAnsi="Times New Roman"/>
                <w:b/>
                <w:bCs/>
                <w:sz w:val="22"/>
                <w:szCs w:val="22"/>
                <w:lang w:eastAsia="en-US"/>
              </w:rPr>
              <w:lastRenderedPageBreak/>
              <w:t>6.2. Инкомпатибилност</w:t>
            </w:r>
            <w:r w:rsidRPr="00FF2F08">
              <w:rPr>
                <w:rFonts w:ascii="Times New Roman" w:hAnsi="Times New Roman"/>
                <w:b/>
                <w:bCs/>
                <w:sz w:val="22"/>
                <w:szCs w:val="22"/>
                <w:lang w:val="mk-MK" w:eastAsia="en-US"/>
              </w:rPr>
              <w:t>и</w:t>
            </w:r>
          </w:p>
        </w:tc>
      </w:tr>
      <w:tr w:rsidR="00B0540F" w:rsidRPr="00FF2F08" w:rsidTr="00EC3931">
        <w:trPr>
          <w:trHeight w:val="102"/>
        </w:trPr>
        <w:tc>
          <w:tcPr>
            <w:tcW w:w="9356" w:type="dxa"/>
            <w:gridSpan w:val="4"/>
            <w:vAlign w:val="center"/>
          </w:tcPr>
          <w:p w:rsidR="003D1146" w:rsidRPr="00FF2F08" w:rsidRDefault="003D1146" w:rsidP="00EC3931">
            <w:pPr>
              <w:pStyle w:val="NormalIndent"/>
              <w:spacing w:after="0"/>
              <w:ind w:left="0"/>
              <w:jc w:val="both"/>
              <w:rPr>
                <w:rFonts w:ascii="Times New Roman" w:hAnsi="Times New Roman" w:cs="Times New Roman"/>
                <w:lang w:val="sr-Cyrl-CS"/>
              </w:rPr>
            </w:pPr>
            <w:r w:rsidRPr="00FF2F08">
              <w:rPr>
                <w:rFonts w:ascii="Times New Roman" w:hAnsi="Times New Roman" w:cs="Times New Roman"/>
                <w:lang w:val="sr-Cyrl-CS"/>
              </w:rPr>
              <w:t>Није примјењиво.</w:t>
            </w:r>
          </w:p>
          <w:p w:rsidR="00EC3931" w:rsidRPr="00FF2F08" w:rsidRDefault="00EC3931" w:rsidP="00EC3931">
            <w:pPr>
              <w:pStyle w:val="NormalIndent"/>
              <w:spacing w:after="0"/>
              <w:ind w:left="0"/>
              <w:jc w:val="both"/>
              <w:rPr>
                <w:rFonts w:ascii="Times New Roman" w:hAnsi="Times New Roman" w:cs="Times New Roman"/>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6.3. Рок</w:t>
            </w:r>
            <w:r w:rsidR="00CA4937" w:rsidRPr="00FF2F08">
              <w:rPr>
                <w:rFonts w:ascii="Times New Roman" w:hAnsi="Times New Roman"/>
                <w:b/>
                <w:bCs/>
                <w:sz w:val="22"/>
                <w:szCs w:val="22"/>
                <w:lang w:eastAsia="en-US"/>
              </w:rPr>
              <w:t xml:space="preserve"> </w:t>
            </w:r>
            <w:r w:rsidRPr="00FF2F08">
              <w:rPr>
                <w:rFonts w:ascii="Times New Roman" w:hAnsi="Times New Roman"/>
                <w:b/>
                <w:bCs/>
                <w:sz w:val="22"/>
                <w:szCs w:val="22"/>
                <w:lang w:eastAsia="en-US"/>
              </w:rPr>
              <w:t>употребе</w:t>
            </w:r>
          </w:p>
        </w:tc>
      </w:tr>
      <w:tr w:rsidR="00B0540F" w:rsidRPr="00FF2F08" w:rsidTr="00EC3931">
        <w:trPr>
          <w:trHeight w:val="68"/>
        </w:trPr>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sz w:val="22"/>
                <w:szCs w:val="22"/>
                <w:lang w:val="sr-Cyrl-CS" w:eastAsia="en-US"/>
              </w:rPr>
            </w:pPr>
            <w:r w:rsidRPr="00FF2F08">
              <w:rPr>
                <w:rFonts w:ascii="Times New Roman" w:hAnsi="Times New Roman"/>
                <w:sz w:val="22"/>
                <w:szCs w:val="22"/>
                <w:lang w:val="mk-MK" w:eastAsia="en-US"/>
              </w:rPr>
              <w:t>Двије</w:t>
            </w:r>
            <w:r w:rsidRPr="00FF2F08">
              <w:rPr>
                <w:rFonts w:ascii="Times New Roman" w:hAnsi="Times New Roman"/>
                <w:sz w:val="22"/>
                <w:szCs w:val="22"/>
                <w:lang w:val="sr-Cyrl-CS" w:eastAsia="en-US"/>
              </w:rPr>
              <w:t xml:space="preserve"> (2) године.</w:t>
            </w: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t>6.4. Посебне мјере упозорења при чувању лијека</w:t>
            </w:r>
          </w:p>
        </w:tc>
      </w:tr>
      <w:tr w:rsidR="00B0540F" w:rsidRPr="00FF2F08" w:rsidTr="00865739">
        <w:trPr>
          <w:trHeight w:val="446"/>
        </w:trPr>
        <w:tc>
          <w:tcPr>
            <w:tcW w:w="9356" w:type="dxa"/>
            <w:gridSpan w:val="4"/>
          </w:tcPr>
          <w:p w:rsidR="003D1146" w:rsidRPr="00FF2F08" w:rsidRDefault="00560F51" w:rsidP="00476708">
            <w:pPr>
              <w:autoSpaceDE w:val="0"/>
              <w:autoSpaceDN w:val="0"/>
              <w:adjustRightInd w:val="0"/>
              <w:rPr>
                <w:rFonts w:ascii="Times New Roman" w:hAnsi="Times New Roman" w:cs="Times New Roman"/>
                <w:sz w:val="22"/>
                <w:szCs w:val="22"/>
                <w:lang w:val="mk-MK"/>
              </w:rPr>
            </w:pPr>
            <w:r w:rsidRPr="00FF2F08">
              <w:rPr>
                <w:rFonts w:ascii="Times New Roman" w:hAnsi="Times New Roman" w:cs="Times New Roman"/>
                <w:sz w:val="22"/>
                <w:szCs w:val="22"/>
                <w:lang w:val="mk-MK"/>
              </w:rPr>
              <w:t>Чувати у оригиналном</w:t>
            </w:r>
            <w:r w:rsidR="00CA4937" w:rsidRPr="00FF2F08">
              <w:rPr>
                <w:rFonts w:ascii="Times New Roman" w:hAnsi="Times New Roman" w:cs="Times New Roman"/>
                <w:sz w:val="22"/>
                <w:szCs w:val="22"/>
                <w:lang w:val="mk-MK"/>
              </w:rPr>
              <w:t xml:space="preserve"> </w:t>
            </w:r>
            <w:r w:rsidRPr="00FF2F08">
              <w:rPr>
                <w:rFonts w:ascii="Times New Roman" w:hAnsi="Times New Roman" w:cs="Times New Roman"/>
                <w:sz w:val="22"/>
                <w:szCs w:val="22"/>
                <w:lang w:val="mk-MK"/>
              </w:rPr>
              <w:t>паковању</w:t>
            </w:r>
            <w:r w:rsidR="00CA4937" w:rsidRPr="00FF2F08">
              <w:rPr>
                <w:rFonts w:ascii="Times New Roman" w:hAnsi="Times New Roman" w:cs="Times New Roman"/>
                <w:sz w:val="22"/>
                <w:szCs w:val="22"/>
                <w:lang w:val="mk-MK"/>
              </w:rPr>
              <w:t xml:space="preserve"> </w:t>
            </w:r>
            <w:r w:rsidRPr="00FF2F08">
              <w:rPr>
                <w:rFonts w:ascii="Times New Roman" w:hAnsi="Times New Roman" w:cs="Times New Roman"/>
                <w:sz w:val="22"/>
                <w:szCs w:val="22"/>
                <w:lang w:val="mk-MK"/>
              </w:rPr>
              <w:t>ради</w:t>
            </w:r>
            <w:r w:rsidR="00CA4937" w:rsidRPr="00FF2F08">
              <w:rPr>
                <w:rFonts w:ascii="Times New Roman" w:hAnsi="Times New Roman" w:cs="Times New Roman"/>
                <w:sz w:val="22"/>
                <w:szCs w:val="22"/>
                <w:lang w:val="mk-MK"/>
              </w:rPr>
              <w:t xml:space="preserve"> </w:t>
            </w:r>
            <w:r w:rsidRPr="00FF2F08">
              <w:rPr>
                <w:rFonts w:ascii="Times New Roman" w:hAnsi="Times New Roman" w:cs="Times New Roman"/>
                <w:sz w:val="22"/>
                <w:szCs w:val="22"/>
                <w:lang w:val="mk-MK"/>
              </w:rPr>
              <w:t>заштите</w:t>
            </w:r>
            <w:r w:rsidR="00CA4937" w:rsidRPr="00FF2F08">
              <w:rPr>
                <w:rFonts w:ascii="Times New Roman" w:hAnsi="Times New Roman" w:cs="Times New Roman"/>
                <w:sz w:val="22"/>
                <w:szCs w:val="22"/>
                <w:lang w:val="mk-MK"/>
              </w:rPr>
              <w:t xml:space="preserve"> </w:t>
            </w:r>
            <w:r w:rsidRPr="00FF2F08">
              <w:rPr>
                <w:rFonts w:ascii="Times New Roman" w:hAnsi="Times New Roman" w:cs="Times New Roman"/>
                <w:sz w:val="22"/>
                <w:szCs w:val="22"/>
                <w:lang w:val="mk-MK"/>
              </w:rPr>
              <w:t>од</w:t>
            </w:r>
            <w:r w:rsidR="00CA4937" w:rsidRPr="00FF2F08">
              <w:rPr>
                <w:rFonts w:ascii="Times New Roman" w:hAnsi="Times New Roman" w:cs="Times New Roman"/>
                <w:sz w:val="22"/>
                <w:szCs w:val="22"/>
                <w:lang w:val="mk-MK"/>
              </w:rPr>
              <w:t xml:space="preserve"> </w:t>
            </w:r>
            <w:r w:rsidRPr="00FF2F08">
              <w:rPr>
                <w:rFonts w:ascii="Times New Roman" w:hAnsi="Times New Roman" w:cs="Times New Roman"/>
                <w:sz w:val="22"/>
                <w:szCs w:val="22"/>
                <w:lang w:val="mk-MK"/>
              </w:rPr>
              <w:t>св</w:t>
            </w:r>
            <w:r w:rsidR="004E6204" w:rsidRPr="00FF2F08">
              <w:rPr>
                <w:rFonts w:ascii="Times New Roman" w:hAnsi="Times New Roman" w:cs="Times New Roman"/>
                <w:sz w:val="22"/>
                <w:szCs w:val="22"/>
                <w:lang w:val="mk-MK"/>
              </w:rPr>
              <w:t>ј</w:t>
            </w:r>
            <w:r w:rsidRPr="00FF2F08">
              <w:rPr>
                <w:rFonts w:ascii="Times New Roman" w:hAnsi="Times New Roman" w:cs="Times New Roman"/>
                <w:sz w:val="22"/>
                <w:szCs w:val="22"/>
                <w:lang w:val="mk-MK"/>
              </w:rPr>
              <w:t>етлости.</w:t>
            </w:r>
          </w:p>
          <w:p w:rsidR="00560F51" w:rsidRPr="00FF2F08" w:rsidRDefault="00560F51" w:rsidP="00476708">
            <w:pPr>
              <w:autoSpaceDE w:val="0"/>
              <w:autoSpaceDN w:val="0"/>
              <w:adjustRightInd w:val="0"/>
              <w:rPr>
                <w:rFonts w:ascii="Times New Roman" w:hAnsi="Times New Roman" w:cs="Times New Roman"/>
                <w:sz w:val="22"/>
                <w:szCs w:val="22"/>
                <w:lang w:val="mk-MK"/>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sz w:val="22"/>
                <w:szCs w:val="22"/>
                <w:lang w:val="sr-Cyrl-CS" w:eastAsia="en-US"/>
              </w:rPr>
            </w:pPr>
            <w:r w:rsidRPr="00FF2F08">
              <w:rPr>
                <w:rFonts w:ascii="Times New Roman" w:hAnsi="Times New Roman"/>
                <w:b/>
                <w:bCs/>
                <w:sz w:val="22"/>
                <w:szCs w:val="22"/>
                <w:lang w:val="ru-RU" w:eastAsia="en-US"/>
              </w:rPr>
              <w:t>6.5. Врста и садржај паковања</w:t>
            </w:r>
          </w:p>
        </w:tc>
      </w:tr>
      <w:tr w:rsidR="00B0540F" w:rsidRPr="00FF2F08" w:rsidTr="00C04B2E">
        <w:trPr>
          <w:trHeight w:val="140"/>
        </w:trPr>
        <w:tc>
          <w:tcPr>
            <w:tcW w:w="9356" w:type="dxa"/>
            <w:gridSpan w:val="4"/>
            <w:vAlign w:val="center"/>
          </w:tcPr>
          <w:p w:rsidR="00560F51" w:rsidRPr="00FF2F08" w:rsidRDefault="00560F51" w:rsidP="00476708">
            <w:pPr>
              <w:rPr>
                <w:rFonts w:ascii="Times New Roman" w:hAnsi="Times New Roman" w:cs="Times New Roman"/>
                <w:sz w:val="22"/>
                <w:szCs w:val="22"/>
                <w:lang w:val="mk-MK"/>
              </w:rPr>
            </w:pPr>
            <w:r w:rsidRPr="00FF2F08">
              <w:rPr>
                <w:rFonts w:ascii="Times New Roman" w:hAnsi="Times New Roman" w:cs="Times New Roman"/>
                <w:sz w:val="22"/>
                <w:szCs w:val="22"/>
                <w:lang w:val="sr-Cyrl-CS"/>
              </w:rPr>
              <w:t xml:space="preserve">Таблете </w:t>
            </w:r>
            <w:r w:rsidRPr="00FF2F08">
              <w:rPr>
                <w:rFonts w:ascii="Times New Roman" w:hAnsi="Times New Roman" w:cs="Times New Roman"/>
                <w:sz w:val="22"/>
                <w:szCs w:val="22"/>
                <w:lang w:val="mk-MK"/>
              </w:rPr>
              <w:t xml:space="preserve">су паковане у блистере </w:t>
            </w:r>
            <w:r w:rsidRPr="00FF2F08">
              <w:rPr>
                <w:rFonts w:ascii="Times New Roman" w:hAnsi="Times New Roman" w:cs="Times New Roman"/>
                <w:sz w:val="22"/>
                <w:szCs w:val="22"/>
                <w:lang w:val="sr-Cyrl-CS"/>
              </w:rPr>
              <w:t>(</w:t>
            </w:r>
            <w:r w:rsidRPr="00FF2F08">
              <w:rPr>
                <w:rFonts w:ascii="Times New Roman" w:hAnsi="Times New Roman" w:cs="Times New Roman"/>
                <w:sz w:val="22"/>
                <w:szCs w:val="22"/>
                <w:lang w:val="mk-MK"/>
              </w:rPr>
              <w:t xml:space="preserve">тврда транспарентна </w:t>
            </w:r>
            <w:r w:rsidRPr="00FF2F08">
              <w:rPr>
                <w:rFonts w:ascii="Times New Roman" w:hAnsi="Times New Roman" w:cs="Times New Roman"/>
                <w:sz w:val="22"/>
                <w:szCs w:val="22"/>
              </w:rPr>
              <w:t>PVC/PVDC/Al фолија или алтернативно тврда нетранспарентна алуминијум/алуминијумска фолија</w:t>
            </w:r>
            <w:r w:rsidRPr="00FF2F08">
              <w:rPr>
                <w:rFonts w:ascii="Times New Roman" w:hAnsi="Times New Roman" w:cs="Times New Roman"/>
                <w:sz w:val="22"/>
                <w:szCs w:val="22"/>
                <w:lang w:val="mk-MK"/>
              </w:rPr>
              <w:t xml:space="preserve">), сваки блистер садржи 10 таблета. </w:t>
            </w:r>
          </w:p>
          <w:p w:rsidR="00C04B2E" w:rsidRPr="00FF2F08" w:rsidRDefault="00560F51" w:rsidP="00476708">
            <w:pPr>
              <w:rPr>
                <w:rFonts w:ascii="Times New Roman" w:hAnsi="Times New Roman" w:cs="Times New Roman"/>
                <w:sz w:val="22"/>
                <w:szCs w:val="22"/>
              </w:rPr>
            </w:pPr>
            <w:r w:rsidRPr="00FF2F08">
              <w:rPr>
                <w:rFonts w:ascii="Times New Roman" w:hAnsi="Times New Roman" w:cs="Times New Roman"/>
                <w:sz w:val="22"/>
                <w:szCs w:val="22"/>
                <w:lang w:val="mk-MK"/>
              </w:rPr>
              <w:t xml:space="preserve">Картонска кутија садржи </w:t>
            </w:r>
            <w:r w:rsidRPr="00FF2F08">
              <w:rPr>
                <w:rFonts w:ascii="Times New Roman" w:hAnsi="Times New Roman" w:cs="Times New Roman"/>
                <w:sz w:val="22"/>
                <w:szCs w:val="22"/>
                <w:lang w:val="ru-RU"/>
              </w:rPr>
              <w:t>30</w:t>
            </w:r>
            <w:r w:rsidRPr="00FF2F08">
              <w:rPr>
                <w:rFonts w:ascii="Times New Roman" w:hAnsi="Times New Roman" w:cs="Times New Roman"/>
                <w:sz w:val="22"/>
                <w:szCs w:val="22"/>
                <w:lang w:val="mk-MK"/>
              </w:rPr>
              <w:t xml:space="preserve"> таблета (</w:t>
            </w:r>
            <w:r w:rsidRPr="00FF2F08">
              <w:rPr>
                <w:rFonts w:ascii="Times New Roman" w:hAnsi="Times New Roman" w:cs="Times New Roman"/>
                <w:sz w:val="22"/>
                <w:szCs w:val="22"/>
                <w:lang w:val="ru-RU"/>
              </w:rPr>
              <w:t xml:space="preserve">3 </w:t>
            </w:r>
            <w:r w:rsidRPr="00FF2F08">
              <w:rPr>
                <w:rFonts w:ascii="Times New Roman" w:hAnsi="Times New Roman" w:cs="Times New Roman"/>
                <w:sz w:val="22"/>
                <w:szCs w:val="22"/>
                <w:lang w:val="mk-MK"/>
              </w:rPr>
              <w:t>блистера) и упутство за л</w:t>
            </w:r>
            <w:r w:rsidR="004E6204" w:rsidRPr="00FF2F08">
              <w:rPr>
                <w:rFonts w:ascii="Times New Roman" w:hAnsi="Times New Roman" w:cs="Times New Roman"/>
                <w:sz w:val="22"/>
                <w:szCs w:val="22"/>
                <w:lang w:val="mk-MK"/>
              </w:rPr>
              <w:t>иј</w:t>
            </w:r>
            <w:r w:rsidRPr="00FF2F08">
              <w:rPr>
                <w:rFonts w:ascii="Times New Roman" w:hAnsi="Times New Roman" w:cs="Times New Roman"/>
                <w:sz w:val="22"/>
                <w:szCs w:val="22"/>
                <w:lang w:val="mk-MK"/>
              </w:rPr>
              <w:t>ек.</w:t>
            </w:r>
            <w:r w:rsidR="008813D5" w:rsidRPr="00FF2F08" w:rsidDel="008813D5">
              <w:rPr>
                <w:rFonts w:ascii="Times New Roman" w:hAnsi="Times New Roman" w:cs="Times New Roman"/>
                <w:sz w:val="22"/>
                <w:szCs w:val="22"/>
                <w:lang w:val="mk-MK"/>
              </w:rPr>
              <w:t xml:space="preserve"> </w:t>
            </w:r>
          </w:p>
          <w:p w:rsidR="00C04B2E" w:rsidRPr="00FF2F08" w:rsidRDefault="00C04B2E" w:rsidP="00476708">
            <w:pPr>
              <w:rPr>
                <w:rFonts w:ascii="Times New Roman" w:hAnsi="Times New Roman" w:cs="Times New Roman"/>
                <w:sz w:val="22"/>
                <w:szCs w:val="22"/>
              </w:rPr>
            </w:pPr>
          </w:p>
        </w:tc>
      </w:tr>
      <w:tr w:rsidR="00B0540F" w:rsidRPr="00FF2F08" w:rsidTr="00865739">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t>6.6. Посебне мјере опреза при одлагању материјала који треба одбацити након прим</w:t>
            </w:r>
            <w:r w:rsidR="001A4D68" w:rsidRPr="00FF2F08">
              <w:rPr>
                <w:rFonts w:ascii="Times New Roman" w:hAnsi="Times New Roman"/>
                <w:b/>
                <w:bCs/>
                <w:sz w:val="22"/>
                <w:szCs w:val="22"/>
                <w:lang w:val="ru-RU" w:eastAsia="en-US"/>
              </w:rPr>
              <w:t>ј</w:t>
            </w:r>
            <w:r w:rsidRPr="00FF2F08">
              <w:rPr>
                <w:rFonts w:ascii="Times New Roman" w:hAnsi="Times New Roman"/>
                <w:b/>
                <w:bCs/>
                <w:sz w:val="22"/>
                <w:szCs w:val="22"/>
                <w:lang w:val="ru-RU" w:eastAsia="en-US"/>
              </w:rPr>
              <w:t xml:space="preserve">ене лијека </w:t>
            </w:r>
          </w:p>
        </w:tc>
      </w:tr>
      <w:tr w:rsidR="00B0540F" w:rsidRPr="00FF2F08" w:rsidTr="00865739">
        <w:trPr>
          <w:trHeight w:val="1031"/>
        </w:trPr>
        <w:tc>
          <w:tcPr>
            <w:tcW w:w="9356" w:type="dxa"/>
            <w:gridSpan w:val="4"/>
            <w:vAlign w:val="center"/>
          </w:tcPr>
          <w:p w:rsidR="003D1146" w:rsidRPr="00FF2F08" w:rsidRDefault="003D1146" w:rsidP="00476708">
            <w:pPr>
              <w:rPr>
                <w:rFonts w:ascii="Times New Roman" w:hAnsi="Times New Roman" w:cs="Times New Roman"/>
                <w:sz w:val="22"/>
                <w:szCs w:val="22"/>
                <w:lang w:val="ru-RU"/>
              </w:rPr>
            </w:pPr>
            <w:r w:rsidRPr="00FF2F08">
              <w:rPr>
                <w:rFonts w:ascii="Times New Roman" w:hAnsi="Times New Roman" w:cs="Times New Roman"/>
                <w:sz w:val="22"/>
                <w:szCs w:val="22"/>
                <w:lang w:val="ru-RU"/>
              </w:rPr>
              <w:t>Нема посебних захтјева.</w:t>
            </w:r>
          </w:p>
          <w:p w:rsidR="003D1146" w:rsidRPr="00FF2F08" w:rsidRDefault="003D1146" w:rsidP="00476708">
            <w:pPr>
              <w:rPr>
                <w:rFonts w:ascii="Times New Roman" w:hAnsi="Times New Roman" w:cs="Times New Roman"/>
                <w:sz w:val="22"/>
                <w:szCs w:val="22"/>
                <w:lang w:val="sr-Cyrl-CS"/>
              </w:rPr>
            </w:pPr>
            <w:r w:rsidRPr="00FF2F08">
              <w:rPr>
                <w:rFonts w:ascii="Times New Roman" w:hAnsi="Times New Roman" w:cs="Times New Roman"/>
                <w:sz w:val="22"/>
                <w:szCs w:val="22"/>
                <w:lang w:val="sr-Cyrl-CS"/>
              </w:rPr>
              <w:t>Сву неискоришћену количину лијека или отпадног материјала након његове употребе треба уклонити у складу са важећим прописима.</w:t>
            </w:r>
          </w:p>
          <w:p w:rsidR="003D1146" w:rsidRPr="00FF2F08" w:rsidRDefault="003D1146" w:rsidP="00476708">
            <w:pPr>
              <w:rPr>
                <w:rFonts w:ascii="Times New Roman" w:hAnsi="Times New Roman" w:cs="Times New Roman"/>
                <w:sz w:val="22"/>
                <w:szCs w:val="22"/>
                <w:lang w:val="ru-RU"/>
              </w:rPr>
            </w:pPr>
          </w:p>
        </w:tc>
      </w:tr>
      <w:tr w:rsidR="00B0540F" w:rsidRPr="00FF2F08" w:rsidTr="00865739">
        <w:trPr>
          <w:trHeight w:val="356"/>
        </w:trPr>
        <w:tc>
          <w:tcPr>
            <w:tcW w:w="9356" w:type="dxa"/>
            <w:gridSpan w:val="4"/>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mk-MK" w:eastAsia="en-US"/>
              </w:rPr>
            </w:pPr>
            <w:r w:rsidRPr="00FF2F08">
              <w:rPr>
                <w:rFonts w:ascii="Times New Roman" w:hAnsi="Times New Roman"/>
                <w:b/>
                <w:bCs/>
                <w:sz w:val="22"/>
                <w:szCs w:val="22"/>
                <w:lang w:val="mk-MK" w:eastAsia="en-US"/>
              </w:rPr>
              <w:t>6.7. Начин издавања лијека</w:t>
            </w:r>
          </w:p>
        </w:tc>
      </w:tr>
      <w:tr w:rsidR="00B0540F" w:rsidRPr="00FF2F08" w:rsidTr="00865739">
        <w:trPr>
          <w:trHeight w:val="356"/>
        </w:trPr>
        <w:tc>
          <w:tcPr>
            <w:tcW w:w="9356" w:type="dxa"/>
            <w:gridSpan w:val="4"/>
            <w:vAlign w:val="center"/>
          </w:tcPr>
          <w:p w:rsidR="003D1146" w:rsidRPr="00FF2F08" w:rsidRDefault="00483F35" w:rsidP="00476708">
            <w:pPr>
              <w:widowControl w:val="0"/>
              <w:autoSpaceDE w:val="0"/>
              <w:autoSpaceDN w:val="0"/>
              <w:rPr>
                <w:rFonts w:ascii="Times New Roman" w:hAnsi="Times New Roman" w:cs="Times New Roman"/>
                <w:sz w:val="22"/>
                <w:szCs w:val="22"/>
                <w:lang w:val="sr-Cyrl-CS"/>
              </w:rPr>
            </w:pPr>
            <w:r w:rsidRPr="00FF2F08">
              <w:rPr>
                <w:rFonts w:ascii="Times New Roman" w:hAnsi="Times New Roman" w:cs="Times New Roman"/>
                <w:sz w:val="22"/>
                <w:szCs w:val="22"/>
                <w:lang w:val="sr-Cyrl-CS"/>
              </w:rPr>
              <w:t>Обновљив (вишекратни) рецепт.</w:t>
            </w:r>
          </w:p>
          <w:p w:rsidR="00476708" w:rsidRPr="00FF2F08" w:rsidRDefault="00476708" w:rsidP="00476708">
            <w:pPr>
              <w:pStyle w:val="Header"/>
              <w:tabs>
                <w:tab w:val="clear" w:pos="4536"/>
                <w:tab w:val="clear" w:pos="9072"/>
                <w:tab w:val="left" w:pos="284"/>
              </w:tabs>
              <w:rPr>
                <w:rFonts w:ascii="Times New Roman" w:hAnsi="Times New Roman"/>
                <w:b/>
                <w:bCs/>
                <w:sz w:val="22"/>
                <w:szCs w:val="22"/>
                <w:lang w:eastAsia="en-US"/>
              </w:rPr>
            </w:pPr>
          </w:p>
          <w:p w:rsidR="00EC3931" w:rsidRPr="00FF2F08" w:rsidRDefault="00EC3931" w:rsidP="00476708">
            <w:pPr>
              <w:pStyle w:val="Header"/>
              <w:tabs>
                <w:tab w:val="clear" w:pos="4536"/>
                <w:tab w:val="clear" w:pos="9072"/>
                <w:tab w:val="left" w:pos="284"/>
              </w:tabs>
              <w:rPr>
                <w:rFonts w:ascii="Times New Roman" w:hAnsi="Times New Roman"/>
                <w:b/>
                <w:bCs/>
                <w:sz w:val="22"/>
                <w:szCs w:val="22"/>
                <w:lang w:eastAsia="en-US"/>
              </w:rPr>
            </w:pPr>
          </w:p>
        </w:tc>
      </w:tr>
      <w:tr w:rsidR="00B0540F" w:rsidRPr="00FF2F08" w:rsidTr="00865739">
        <w:trPr>
          <w:trHeight w:val="356"/>
        </w:trPr>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eastAsia="en-US"/>
              </w:rPr>
            </w:pPr>
            <w:r w:rsidRPr="00FF2F08">
              <w:rPr>
                <w:rFonts w:ascii="Times New Roman" w:hAnsi="Times New Roman"/>
                <w:b/>
                <w:bCs/>
                <w:sz w:val="22"/>
                <w:szCs w:val="22"/>
                <w:lang w:eastAsia="en-US"/>
              </w:rPr>
              <w:t xml:space="preserve">7. НОСИЛАЦ ДОЗВОЛЕ </w:t>
            </w:r>
          </w:p>
        </w:tc>
      </w:tr>
      <w:tr w:rsidR="00B0540F" w:rsidRPr="00FF2F08" w:rsidTr="00865739">
        <w:trPr>
          <w:trHeight w:val="140"/>
        </w:trPr>
        <w:tc>
          <w:tcPr>
            <w:tcW w:w="9356" w:type="dxa"/>
            <w:gridSpan w:val="4"/>
            <w:vAlign w:val="center"/>
          </w:tcPr>
          <w:p w:rsidR="003D1146" w:rsidRPr="00FF2F08" w:rsidRDefault="003D1146" w:rsidP="00476708">
            <w:pPr>
              <w:rPr>
                <w:rFonts w:ascii="Times New Roman" w:hAnsi="Times New Roman" w:cs="Times New Roman"/>
                <w:sz w:val="22"/>
                <w:szCs w:val="22"/>
                <w:lang w:val="mk-MK"/>
              </w:rPr>
            </w:pPr>
          </w:p>
          <w:p w:rsidR="003D1146" w:rsidRPr="00FF2F08" w:rsidRDefault="003D1146" w:rsidP="00476708">
            <w:pPr>
              <w:rPr>
                <w:rFonts w:ascii="Times New Roman" w:hAnsi="Times New Roman" w:cs="Times New Roman"/>
                <w:sz w:val="22"/>
                <w:szCs w:val="22"/>
                <w:lang w:val="mk-MK"/>
              </w:rPr>
            </w:pPr>
            <w:r w:rsidRPr="00FF2F08">
              <w:rPr>
                <w:rFonts w:ascii="Times New Roman" w:hAnsi="Times New Roman" w:cs="Times New Roman"/>
                <w:sz w:val="22"/>
                <w:szCs w:val="22"/>
                <w:lang w:val="mk-MK"/>
              </w:rPr>
              <w:t>АЛКАЛОИД д.о.о. Подгорица</w:t>
            </w:r>
          </w:p>
          <w:p w:rsidR="003D1146" w:rsidRPr="00FF2F08" w:rsidRDefault="001A4D68" w:rsidP="00476708">
            <w:pPr>
              <w:tabs>
                <w:tab w:val="clear" w:pos="284"/>
                <w:tab w:val="left" w:pos="720"/>
              </w:tabs>
              <w:rPr>
                <w:rFonts w:ascii="Times New Roman" w:hAnsi="Times New Roman" w:cs="Times New Roman"/>
                <w:bCs/>
                <w:sz w:val="22"/>
                <w:szCs w:val="22"/>
                <w:lang w:val="mk-MK"/>
              </w:rPr>
            </w:pPr>
            <w:r w:rsidRPr="00FF2F08">
              <w:rPr>
                <w:rFonts w:ascii="Times New Roman" w:hAnsi="Times New Roman" w:cs="Times New Roman"/>
                <w:bCs/>
                <w:sz w:val="22"/>
                <w:szCs w:val="22"/>
                <w:lang w:val="sr-Cyrl-CS"/>
              </w:rPr>
              <w:t>Ул. Светлане Кане Радевић</w:t>
            </w:r>
            <w:r w:rsidR="003D1146" w:rsidRPr="00FF2F08">
              <w:rPr>
                <w:rFonts w:ascii="Times New Roman" w:hAnsi="Times New Roman" w:cs="Times New Roman"/>
                <w:bCs/>
                <w:sz w:val="22"/>
                <w:szCs w:val="22"/>
                <w:lang w:val="sr-Cyrl-CS"/>
              </w:rPr>
              <w:t xml:space="preserve"> бр. 3/</w:t>
            </w:r>
            <w:r w:rsidR="003D1146" w:rsidRPr="00FF2F08">
              <w:rPr>
                <w:rFonts w:ascii="Times New Roman" w:hAnsi="Times New Roman" w:cs="Times New Roman"/>
                <w:bCs/>
                <w:sz w:val="22"/>
                <w:szCs w:val="22"/>
              </w:rPr>
              <w:t>V</w:t>
            </w:r>
          </w:p>
          <w:p w:rsidR="003D1146" w:rsidRPr="00FF2F08" w:rsidRDefault="003D1146" w:rsidP="00865739">
            <w:pPr>
              <w:widowControl w:val="0"/>
              <w:autoSpaceDE w:val="0"/>
              <w:autoSpaceDN w:val="0"/>
              <w:rPr>
                <w:rFonts w:ascii="Times New Roman" w:hAnsi="Times New Roman" w:cs="Times New Roman"/>
                <w:sz w:val="22"/>
                <w:szCs w:val="22"/>
              </w:rPr>
            </w:pPr>
            <w:r w:rsidRPr="00FF2F08">
              <w:rPr>
                <w:rFonts w:ascii="Times New Roman" w:hAnsi="Times New Roman" w:cs="Times New Roman"/>
                <w:sz w:val="22"/>
                <w:szCs w:val="22"/>
                <w:lang w:val="mk-MK"/>
              </w:rPr>
              <w:t>81000 Подгорица, Црна Гора</w:t>
            </w:r>
          </w:p>
          <w:p w:rsidR="00865739" w:rsidRPr="00FF2F08" w:rsidRDefault="00865739" w:rsidP="00865739">
            <w:pPr>
              <w:widowControl w:val="0"/>
              <w:autoSpaceDE w:val="0"/>
              <w:autoSpaceDN w:val="0"/>
              <w:rPr>
                <w:rFonts w:ascii="Times New Roman" w:hAnsi="Times New Roman" w:cs="Times New Roman"/>
                <w:sz w:val="22"/>
                <w:szCs w:val="22"/>
              </w:rPr>
            </w:pPr>
          </w:p>
          <w:p w:rsidR="00EC3931" w:rsidRPr="00FF2F08" w:rsidRDefault="00EC3931" w:rsidP="00865739">
            <w:pPr>
              <w:widowControl w:val="0"/>
              <w:autoSpaceDE w:val="0"/>
              <w:autoSpaceDN w:val="0"/>
              <w:rPr>
                <w:rFonts w:ascii="Times New Roman" w:hAnsi="Times New Roman" w:cs="Times New Roman"/>
                <w:sz w:val="22"/>
                <w:szCs w:val="22"/>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t>8. БРОЈ ПРВЕ ДОЗВОЛЕ / ОБНОВЕ ДОЗВОЛЕ</w:t>
            </w:r>
          </w:p>
        </w:tc>
      </w:tr>
      <w:tr w:rsidR="00B0540F" w:rsidRPr="00FF2F08" w:rsidTr="00865739">
        <w:trPr>
          <w:trHeight w:val="869"/>
        </w:trPr>
        <w:tc>
          <w:tcPr>
            <w:tcW w:w="9356" w:type="dxa"/>
            <w:gridSpan w:val="4"/>
            <w:vAlign w:val="center"/>
          </w:tcPr>
          <w:p w:rsidR="00E579F1" w:rsidRDefault="00E579F1" w:rsidP="00EC3931">
            <w:pPr>
              <w:widowControl w:val="0"/>
              <w:autoSpaceDE w:val="0"/>
              <w:autoSpaceDN w:val="0"/>
              <w:rPr>
                <w:rFonts w:ascii="Times New Roman" w:hAnsi="Times New Roman" w:cs="Times New Roman"/>
                <w:bCs/>
                <w:sz w:val="22"/>
                <w:szCs w:val="22"/>
                <w:lang w:val="sr-Cyrl-CS"/>
              </w:rPr>
            </w:pPr>
          </w:p>
          <w:p w:rsidR="00EC3931" w:rsidRPr="00FF2F08" w:rsidRDefault="00EC3931" w:rsidP="00EC3931">
            <w:pPr>
              <w:widowControl w:val="0"/>
              <w:autoSpaceDE w:val="0"/>
              <w:autoSpaceDN w:val="0"/>
              <w:rPr>
                <w:rFonts w:ascii="Times New Roman" w:hAnsi="Times New Roman" w:cs="Times New Roman"/>
                <w:bCs/>
                <w:sz w:val="22"/>
                <w:szCs w:val="22"/>
                <w:lang w:val="sr-Cyrl-CS"/>
              </w:rPr>
            </w:pPr>
            <w:r w:rsidRPr="00FF2F08">
              <w:rPr>
                <w:rFonts w:ascii="Times New Roman" w:hAnsi="Times New Roman" w:cs="Times New Roman"/>
                <w:bCs/>
                <w:sz w:val="22"/>
                <w:szCs w:val="22"/>
                <w:lang w:val="sr-Cyrl-CS"/>
              </w:rPr>
              <w:t>Indapamid SR Alkaloid®, таблета са продуженим ослобађањем, 1.5 mg, 30 таблета:</w:t>
            </w:r>
          </w:p>
          <w:p w:rsidR="003D1146" w:rsidRDefault="00EC3931" w:rsidP="00EC3931">
            <w:pPr>
              <w:pStyle w:val="Header"/>
              <w:tabs>
                <w:tab w:val="clear" w:pos="4536"/>
                <w:tab w:val="clear" w:pos="9072"/>
                <w:tab w:val="left" w:pos="284"/>
              </w:tabs>
              <w:rPr>
                <w:rFonts w:ascii="Times New Roman" w:hAnsi="Times New Roman"/>
                <w:bCs/>
                <w:sz w:val="22"/>
                <w:szCs w:val="22"/>
                <w:lang w:val="sr-Latn-ME"/>
              </w:rPr>
            </w:pPr>
            <w:r w:rsidRPr="00FF2F08">
              <w:rPr>
                <w:rFonts w:ascii="Times New Roman" w:hAnsi="Times New Roman"/>
                <w:bCs/>
                <w:sz w:val="22"/>
                <w:szCs w:val="22"/>
                <w:lang w:val="sr-Cyrl-CS"/>
              </w:rPr>
              <w:t>2030/17/273 – 902</w:t>
            </w:r>
            <w:r w:rsidRPr="00FF2F08">
              <w:rPr>
                <w:rFonts w:ascii="Times New Roman" w:hAnsi="Times New Roman"/>
                <w:bCs/>
                <w:sz w:val="22"/>
                <w:szCs w:val="22"/>
                <w:lang w:val="sr-Latn-ME"/>
              </w:rPr>
              <w:t xml:space="preserve"> </w:t>
            </w:r>
          </w:p>
          <w:p w:rsidR="00E579F1" w:rsidRDefault="00E579F1" w:rsidP="00EC3931">
            <w:pPr>
              <w:pStyle w:val="Header"/>
              <w:tabs>
                <w:tab w:val="clear" w:pos="4536"/>
                <w:tab w:val="clear" w:pos="9072"/>
                <w:tab w:val="left" w:pos="284"/>
              </w:tabs>
              <w:rPr>
                <w:rFonts w:ascii="Times New Roman" w:hAnsi="Times New Roman"/>
                <w:bCs/>
                <w:sz w:val="22"/>
                <w:szCs w:val="22"/>
                <w:lang w:val="sr-Latn-ME"/>
              </w:rPr>
            </w:pPr>
          </w:p>
          <w:p w:rsidR="00E579F1" w:rsidRPr="00FF2F08" w:rsidRDefault="00E579F1" w:rsidP="00EC3931">
            <w:pPr>
              <w:pStyle w:val="Header"/>
              <w:tabs>
                <w:tab w:val="clear" w:pos="4536"/>
                <w:tab w:val="clear" w:pos="9072"/>
                <w:tab w:val="left" w:pos="284"/>
              </w:tabs>
              <w:rPr>
                <w:rFonts w:ascii="Times New Roman" w:hAnsi="Times New Roman"/>
                <w:sz w:val="22"/>
                <w:szCs w:val="22"/>
                <w:lang w:eastAsia="en-US"/>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ru-RU" w:eastAsia="en-US"/>
              </w:rPr>
            </w:pPr>
            <w:r w:rsidRPr="00FF2F08">
              <w:rPr>
                <w:rFonts w:ascii="Times New Roman" w:hAnsi="Times New Roman"/>
                <w:b/>
                <w:bCs/>
                <w:sz w:val="22"/>
                <w:szCs w:val="22"/>
                <w:lang w:val="ru-RU" w:eastAsia="en-US"/>
              </w:rPr>
              <w:t>9. ДАТУМ ПРВЕ ДОЗВОЛЕ / ДАТУМ ОБНОВЕ ДОЗВОЛЕ</w:t>
            </w:r>
          </w:p>
        </w:tc>
      </w:tr>
      <w:tr w:rsidR="00B0540F" w:rsidRPr="00FF2F08" w:rsidTr="00865739">
        <w:trPr>
          <w:trHeight w:val="824"/>
        </w:trPr>
        <w:tc>
          <w:tcPr>
            <w:tcW w:w="9356" w:type="dxa"/>
            <w:gridSpan w:val="4"/>
            <w:vAlign w:val="center"/>
          </w:tcPr>
          <w:p w:rsidR="00E579F1" w:rsidRDefault="00E579F1" w:rsidP="00EC3931">
            <w:pPr>
              <w:widowControl w:val="0"/>
              <w:autoSpaceDE w:val="0"/>
              <w:autoSpaceDN w:val="0"/>
              <w:rPr>
                <w:rFonts w:ascii="Times New Roman" w:hAnsi="Times New Roman" w:cs="Times New Roman"/>
                <w:bCs/>
                <w:sz w:val="22"/>
                <w:szCs w:val="22"/>
                <w:lang w:val="sr-Cyrl-CS"/>
              </w:rPr>
            </w:pPr>
          </w:p>
          <w:p w:rsidR="00EC3931" w:rsidRPr="00FF2F08" w:rsidRDefault="00EC3931" w:rsidP="00EC3931">
            <w:pPr>
              <w:widowControl w:val="0"/>
              <w:autoSpaceDE w:val="0"/>
              <w:autoSpaceDN w:val="0"/>
              <w:rPr>
                <w:rFonts w:ascii="Times New Roman" w:hAnsi="Times New Roman" w:cs="Times New Roman"/>
                <w:bCs/>
                <w:sz w:val="22"/>
                <w:szCs w:val="22"/>
                <w:lang w:val="sr-Cyrl-CS"/>
              </w:rPr>
            </w:pPr>
            <w:r w:rsidRPr="00FF2F08">
              <w:rPr>
                <w:rFonts w:ascii="Times New Roman" w:hAnsi="Times New Roman" w:cs="Times New Roman"/>
                <w:bCs/>
                <w:sz w:val="22"/>
                <w:szCs w:val="22"/>
                <w:lang w:val="sr-Cyrl-CS"/>
              </w:rPr>
              <w:t>Indapamid SR Alkaloid®, таблета са продуженим ослобађањем, 1.5 mg, 30 таблета:</w:t>
            </w:r>
          </w:p>
          <w:p w:rsidR="003D1146" w:rsidRDefault="00EC3931" w:rsidP="00EC3931">
            <w:pPr>
              <w:pStyle w:val="Header"/>
              <w:tabs>
                <w:tab w:val="clear" w:pos="4536"/>
                <w:tab w:val="clear" w:pos="9072"/>
                <w:tab w:val="left" w:pos="284"/>
              </w:tabs>
              <w:rPr>
                <w:rFonts w:ascii="Times New Roman" w:hAnsi="Times New Roman"/>
                <w:bCs/>
                <w:sz w:val="22"/>
                <w:szCs w:val="22"/>
                <w:lang w:val="sr-Latn-ME"/>
              </w:rPr>
            </w:pPr>
            <w:r w:rsidRPr="00FF2F08">
              <w:rPr>
                <w:rFonts w:ascii="Times New Roman" w:hAnsi="Times New Roman"/>
                <w:bCs/>
                <w:sz w:val="22"/>
                <w:szCs w:val="22"/>
                <w:lang w:val="sr-Latn-ME"/>
              </w:rPr>
              <w:t>10.07.2017.</w:t>
            </w:r>
          </w:p>
          <w:p w:rsidR="00E579F1" w:rsidRDefault="00E579F1" w:rsidP="00EC3931">
            <w:pPr>
              <w:pStyle w:val="Header"/>
              <w:tabs>
                <w:tab w:val="clear" w:pos="4536"/>
                <w:tab w:val="clear" w:pos="9072"/>
                <w:tab w:val="left" w:pos="284"/>
              </w:tabs>
              <w:rPr>
                <w:rFonts w:ascii="Times New Roman" w:hAnsi="Times New Roman"/>
                <w:bCs/>
                <w:sz w:val="22"/>
                <w:szCs w:val="22"/>
                <w:lang w:val="sr-Latn-ME"/>
              </w:rPr>
            </w:pPr>
          </w:p>
          <w:p w:rsidR="00E579F1" w:rsidRPr="00FF2F08" w:rsidRDefault="00E579F1" w:rsidP="00EC3931">
            <w:pPr>
              <w:pStyle w:val="Header"/>
              <w:tabs>
                <w:tab w:val="clear" w:pos="4536"/>
                <w:tab w:val="clear" w:pos="9072"/>
                <w:tab w:val="left" w:pos="284"/>
              </w:tabs>
              <w:rPr>
                <w:rFonts w:ascii="Times New Roman" w:hAnsi="Times New Roman"/>
                <w:sz w:val="22"/>
                <w:szCs w:val="22"/>
                <w:lang w:eastAsia="en-US"/>
              </w:rPr>
            </w:pPr>
          </w:p>
        </w:tc>
      </w:tr>
      <w:tr w:rsidR="00B0540F" w:rsidRPr="00FF2F08" w:rsidTr="00865739">
        <w:tc>
          <w:tcPr>
            <w:tcW w:w="9356" w:type="dxa"/>
            <w:gridSpan w:val="4"/>
            <w:shd w:val="clear" w:color="auto" w:fill="E0E0E0"/>
            <w:vAlign w:val="center"/>
          </w:tcPr>
          <w:p w:rsidR="003D1146" w:rsidRPr="00FF2F08" w:rsidRDefault="003D1146" w:rsidP="00476708">
            <w:pPr>
              <w:pStyle w:val="Header"/>
              <w:tabs>
                <w:tab w:val="clear" w:pos="4536"/>
                <w:tab w:val="clear" w:pos="9072"/>
                <w:tab w:val="left" w:pos="284"/>
              </w:tabs>
              <w:rPr>
                <w:rFonts w:ascii="Times New Roman" w:hAnsi="Times New Roman"/>
                <w:b/>
                <w:bCs/>
                <w:sz w:val="22"/>
                <w:szCs w:val="22"/>
                <w:lang w:val="mk-MK" w:eastAsia="en-US"/>
              </w:rPr>
            </w:pPr>
            <w:r w:rsidRPr="00FF2F08">
              <w:rPr>
                <w:rFonts w:ascii="Times New Roman" w:hAnsi="Times New Roman"/>
                <w:b/>
                <w:bCs/>
                <w:sz w:val="22"/>
                <w:szCs w:val="22"/>
                <w:lang w:eastAsia="en-US"/>
              </w:rPr>
              <w:lastRenderedPageBreak/>
              <w:t xml:space="preserve">10. ДАТУМ </w:t>
            </w:r>
            <w:r w:rsidR="001A4D68" w:rsidRPr="00FF2F08">
              <w:rPr>
                <w:rFonts w:ascii="Times New Roman" w:hAnsi="Times New Roman"/>
                <w:b/>
                <w:bCs/>
                <w:sz w:val="22"/>
                <w:szCs w:val="22"/>
                <w:lang w:val="mk-MK" w:eastAsia="en-US"/>
              </w:rPr>
              <w:t>ПОСЉ</w:t>
            </w:r>
            <w:r w:rsidRPr="00FF2F08">
              <w:rPr>
                <w:rFonts w:ascii="Times New Roman" w:hAnsi="Times New Roman"/>
                <w:b/>
                <w:bCs/>
                <w:sz w:val="22"/>
                <w:szCs w:val="22"/>
                <w:lang w:val="mk-MK" w:eastAsia="en-US"/>
              </w:rPr>
              <w:t xml:space="preserve">ЕДЊЕ </w:t>
            </w:r>
            <w:r w:rsidRPr="00FF2F08">
              <w:rPr>
                <w:rFonts w:ascii="Times New Roman" w:hAnsi="Times New Roman"/>
                <w:b/>
                <w:bCs/>
                <w:sz w:val="22"/>
                <w:szCs w:val="22"/>
                <w:lang w:eastAsia="en-US"/>
              </w:rPr>
              <w:t>РЕВИЗИЈЕ ТЕКСТА</w:t>
            </w:r>
            <w:r w:rsidRPr="00FF2F08">
              <w:rPr>
                <w:rFonts w:ascii="Times New Roman" w:hAnsi="Times New Roman"/>
                <w:b/>
                <w:bCs/>
                <w:sz w:val="22"/>
                <w:szCs w:val="22"/>
                <w:lang w:val="mk-MK" w:eastAsia="en-US"/>
              </w:rPr>
              <w:t xml:space="preserve"> САЖЕТКА ОСНОВНИХ КАРАКТЕРИСТИКА ЛИЈЕКА</w:t>
            </w:r>
          </w:p>
        </w:tc>
      </w:tr>
      <w:tr w:rsidR="00B0540F" w:rsidRPr="00FF2F08" w:rsidTr="00865739">
        <w:trPr>
          <w:trHeight w:val="824"/>
        </w:trPr>
        <w:tc>
          <w:tcPr>
            <w:tcW w:w="9356" w:type="dxa"/>
            <w:gridSpan w:val="4"/>
            <w:vAlign w:val="center"/>
          </w:tcPr>
          <w:p w:rsidR="003D1146" w:rsidRPr="00FF2F08" w:rsidRDefault="00EC3931" w:rsidP="00476708">
            <w:pPr>
              <w:pStyle w:val="NormalIndent"/>
              <w:spacing w:after="0"/>
              <w:ind w:left="0"/>
              <w:jc w:val="both"/>
              <w:rPr>
                <w:rFonts w:ascii="Times New Roman" w:hAnsi="Times New Roman" w:cs="Times New Roman"/>
                <w:lang w:val="sr-Cyrl-CS"/>
              </w:rPr>
            </w:pPr>
            <w:r w:rsidRPr="00FF2F08">
              <w:rPr>
                <w:rFonts w:ascii="Times New Roman" w:hAnsi="Times New Roman" w:cs="Times New Roman"/>
                <w:lang w:val="sr-Cyrl-CS"/>
              </w:rPr>
              <w:t>Јул, 2017. године.</w:t>
            </w:r>
          </w:p>
        </w:tc>
      </w:tr>
    </w:tbl>
    <w:p w:rsidR="003D1146" w:rsidRPr="00FF2F08" w:rsidRDefault="003D1146" w:rsidP="00476708">
      <w:pPr>
        <w:rPr>
          <w:rFonts w:ascii="Times New Roman" w:hAnsi="Times New Roman" w:cs="Times New Roman"/>
          <w:sz w:val="22"/>
          <w:szCs w:val="22"/>
        </w:rPr>
      </w:pPr>
    </w:p>
    <w:sectPr w:rsidR="003D1146" w:rsidRPr="00FF2F08" w:rsidSect="00E579F1">
      <w:headerReference w:type="default" r:id="rId9"/>
      <w:footerReference w:type="default" r:id="rId10"/>
      <w:pgSz w:w="11907" w:h="16840" w:code="9"/>
      <w:pgMar w:top="2160" w:right="1140" w:bottom="1701" w:left="1140"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894" w:rsidRDefault="00966894">
      <w:r>
        <w:separator/>
      </w:r>
    </w:p>
  </w:endnote>
  <w:endnote w:type="continuationSeparator" w:id="0">
    <w:p w:rsidR="00966894" w:rsidRDefault="0096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anist777">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FC7" w:rsidRPr="00F1527C" w:rsidRDefault="00E83FC7" w:rsidP="00E83FC7">
    <w:pPr>
      <w:pBdr>
        <w:top w:val="thinThickSmallGap" w:sz="24" w:space="1" w:color="auto"/>
      </w:pBdr>
      <w:tabs>
        <w:tab w:val="center" w:pos="4320"/>
        <w:tab w:val="right" w:pos="8640"/>
      </w:tabs>
      <w:jc w:val="center"/>
      <w:rPr>
        <w:rFonts w:ascii="Times New Roman" w:hAnsi="Times New Roman" w:cs="Times New Roman"/>
        <w:sz w:val="20"/>
        <w:szCs w:val="20"/>
        <w:lang w:val="sr-Latn-ME"/>
      </w:rPr>
    </w:pPr>
  </w:p>
  <w:p w:rsidR="00E83FC7" w:rsidRPr="00F1527C" w:rsidRDefault="00E83FC7" w:rsidP="00E83FC7">
    <w:pPr>
      <w:tabs>
        <w:tab w:val="center" w:pos="4320"/>
        <w:tab w:val="right" w:pos="8640"/>
      </w:tabs>
      <w:jc w:val="center"/>
      <w:rPr>
        <w:rFonts w:ascii="Times New Roman" w:hAnsi="Times New Roman" w:cs="Times New Roman"/>
        <w:color w:val="E65900"/>
        <w:sz w:val="16"/>
        <w:szCs w:val="18"/>
        <w:lang w:val="sr-Latn-ME"/>
      </w:rPr>
    </w:pPr>
    <w:r w:rsidRPr="00F1527C">
      <w:rPr>
        <w:rFonts w:ascii="Times New Roman" w:hAnsi="Times New Roman" w:cs="Times New Roman"/>
        <w:color w:val="FA0000"/>
        <w:sz w:val="16"/>
        <w:szCs w:val="18"/>
        <w:lang w:val="sr-Latn-ME"/>
      </w:rPr>
      <w:t>Agencija za ljekove i medicinska sredstva Crne Gore,</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E65900"/>
        <w:sz w:val="16"/>
        <w:szCs w:val="18"/>
        <w:lang w:val="sr-Latn-ME"/>
      </w:rPr>
      <w:t>81000 Podgorica, Bul. Ivana Crnojevića 64a</w:t>
    </w:r>
  </w:p>
  <w:p w:rsidR="00E83FC7" w:rsidRPr="00F1527C" w:rsidRDefault="00E83FC7" w:rsidP="00E83FC7">
    <w:pPr>
      <w:tabs>
        <w:tab w:val="center" w:pos="4320"/>
        <w:tab w:val="right" w:pos="8640"/>
      </w:tabs>
      <w:jc w:val="center"/>
      <w:rPr>
        <w:rFonts w:ascii="Times New Roman" w:hAnsi="Times New Roman" w:cs="Times New Roman"/>
        <w:color w:val="FA0000"/>
        <w:sz w:val="16"/>
        <w:szCs w:val="18"/>
        <w:lang w:val="sr-Latn-ME"/>
      </w:rPr>
    </w:pPr>
    <w:r w:rsidRPr="00F1527C">
      <w:rPr>
        <w:rFonts w:ascii="Times New Roman" w:hAnsi="Times New Roman" w:cs="Times New Roman"/>
        <w:color w:val="E65900"/>
        <w:sz w:val="16"/>
        <w:szCs w:val="18"/>
        <w:lang w:val="sr-Latn-ME"/>
      </w:rPr>
      <w:t>tel: +382 (0) 20 310 280</w:t>
    </w:r>
    <w:r>
      <w:rPr>
        <w:rFonts w:ascii="Times New Roman" w:hAnsi="Times New Roman" w:cs="Times New Roman"/>
        <w:color w:val="E65900"/>
        <w:sz w:val="16"/>
        <w:szCs w:val="18"/>
        <w:lang w:val="sr-Latn-ME"/>
      </w:rPr>
      <w:t>,</w:t>
    </w:r>
    <w:r w:rsidRPr="00F1527C">
      <w:rPr>
        <w:rFonts w:ascii="Times New Roman" w:hAnsi="Times New Roman" w:cs="Times New Roman"/>
        <w:color w:val="E65900"/>
        <w:sz w:val="16"/>
        <w:szCs w:val="18"/>
        <w:lang w:val="sr-Latn-ME"/>
      </w:rPr>
      <w:t xml:space="preserve"> </w:t>
    </w:r>
    <w:r w:rsidRPr="00F1527C">
      <w:rPr>
        <w:rFonts w:ascii="Times New Roman" w:hAnsi="Times New Roman" w:cs="Times New Roman"/>
        <w:color w:val="FA0000"/>
        <w:sz w:val="16"/>
        <w:szCs w:val="18"/>
        <w:lang w:val="sr-Latn-ME"/>
      </w:rPr>
      <w:t>fax: +382 (0) 20 310 581,</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E65900"/>
        <w:sz w:val="16"/>
        <w:szCs w:val="18"/>
        <w:lang w:val="sr-Latn-ME"/>
      </w:rPr>
      <w:t>e-mail: info@calims.me,</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FA0000"/>
        <w:sz w:val="16"/>
        <w:szCs w:val="18"/>
        <w:lang w:val="sr-Latn-ME"/>
      </w:rPr>
      <w:t>www.calims.me</w:t>
    </w:r>
    <w:r w:rsidRPr="00F1527C">
      <w:rPr>
        <w:rFonts w:ascii="Times New Roman" w:hAnsi="Times New Roman" w:cs="Times New Roman"/>
        <w:color w:val="FF0000"/>
        <w:sz w:val="16"/>
        <w:szCs w:val="18"/>
        <w:lang w:val="sr-Latn-ME"/>
      </w:rPr>
      <w:t>,</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E65900"/>
        <w:sz w:val="16"/>
        <w:szCs w:val="18"/>
        <w:lang w:val="sr-Latn-ME"/>
      </w:rPr>
      <w:t>PIB: 02739658,</w:t>
    </w:r>
    <w:r w:rsidRPr="00F1527C">
      <w:rPr>
        <w:rFonts w:ascii="Times New Roman" w:hAnsi="Times New Roman" w:cs="Times New Roman"/>
        <w:sz w:val="16"/>
        <w:szCs w:val="18"/>
        <w:lang w:val="sr-Latn-ME"/>
      </w:rPr>
      <w:t xml:space="preserve"> </w:t>
    </w:r>
    <w:r w:rsidRPr="00F1527C">
      <w:rPr>
        <w:rFonts w:ascii="Times New Roman" w:hAnsi="Times New Roman" w:cs="Times New Roman"/>
        <w:color w:val="FA0000"/>
        <w:sz w:val="16"/>
        <w:szCs w:val="18"/>
        <w:lang w:val="sr-Latn-ME"/>
      </w:rPr>
      <w:t>žiro račun: 520-3603-33</w:t>
    </w:r>
  </w:p>
  <w:p w:rsidR="00E83FC7" w:rsidRPr="00F1527C" w:rsidRDefault="00E83FC7" w:rsidP="00E83FC7">
    <w:pPr>
      <w:tabs>
        <w:tab w:val="center" w:pos="4320"/>
        <w:tab w:val="right" w:pos="8640"/>
      </w:tabs>
      <w:jc w:val="center"/>
      <w:rPr>
        <w:rFonts w:ascii="Times New Roman" w:hAnsi="Times New Roman" w:cs="Times New Roman"/>
        <w:sz w:val="16"/>
        <w:szCs w:val="18"/>
        <w:lang w:val="sr-Latn-ME"/>
      </w:rPr>
    </w:pPr>
  </w:p>
  <w:p w:rsidR="00E83FC7" w:rsidRPr="00F1527C" w:rsidRDefault="00E83FC7" w:rsidP="00E83FC7">
    <w:pPr>
      <w:tabs>
        <w:tab w:val="center" w:pos="4320"/>
        <w:tab w:val="right" w:pos="8640"/>
      </w:tabs>
      <w:rPr>
        <w:rFonts w:ascii="Times New Roman" w:hAnsi="Times New Roman" w:cs="Times New Roman"/>
        <w:sz w:val="20"/>
        <w:szCs w:val="20"/>
        <w:lang w:val="sr-Latn-ME"/>
      </w:rPr>
    </w:pPr>
  </w:p>
  <w:p w:rsidR="00E33DCE" w:rsidRPr="00E83FC7" w:rsidRDefault="00E83FC7" w:rsidP="00E83FC7">
    <w:pPr>
      <w:tabs>
        <w:tab w:val="center" w:pos="4320"/>
        <w:tab w:val="right" w:pos="8640"/>
      </w:tabs>
      <w:jc w:val="center"/>
      <w:rPr>
        <w:rFonts w:ascii="Times New Roman" w:hAnsi="Times New Roman" w:cs="Times New Roman"/>
        <w:lang w:val="sr-Latn-ME"/>
      </w:rPr>
    </w:pPr>
    <w:r w:rsidRPr="00F1527C">
      <w:rPr>
        <w:rFonts w:ascii="Times New Roman" w:hAnsi="Times New Roman" w:cs="Times New Roman"/>
        <w:sz w:val="20"/>
        <w:szCs w:val="20"/>
        <w:lang w:val="sr-Latn-ME"/>
      </w:rPr>
      <w:fldChar w:fldCharType="begin"/>
    </w:r>
    <w:r w:rsidRPr="00F1527C">
      <w:rPr>
        <w:rFonts w:ascii="Times New Roman" w:hAnsi="Times New Roman" w:cs="Times New Roman"/>
        <w:sz w:val="20"/>
        <w:szCs w:val="20"/>
        <w:lang w:val="sr-Latn-ME"/>
      </w:rPr>
      <w:instrText xml:space="preserve"> PAGE </w:instrText>
    </w:r>
    <w:r w:rsidRPr="00F1527C">
      <w:rPr>
        <w:rFonts w:ascii="Times New Roman" w:hAnsi="Times New Roman" w:cs="Times New Roman"/>
        <w:sz w:val="20"/>
        <w:szCs w:val="20"/>
        <w:lang w:val="sr-Latn-ME"/>
      </w:rPr>
      <w:fldChar w:fldCharType="separate"/>
    </w:r>
    <w:r w:rsidR="00BE6B4D">
      <w:rPr>
        <w:rFonts w:ascii="Times New Roman" w:hAnsi="Times New Roman" w:cs="Times New Roman"/>
        <w:noProof/>
        <w:sz w:val="20"/>
        <w:szCs w:val="20"/>
        <w:lang w:val="sr-Latn-ME"/>
      </w:rPr>
      <w:t>13</w:t>
    </w:r>
    <w:r w:rsidRPr="00F1527C">
      <w:rPr>
        <w:rFonts w:ascii="Times New Roman" w:hAnsi="Times New Roman" w:cs="Times New Roman"/>
        <w:sz w:val="20"/>
        <w:szCs w:val="20"/>
        <w:lang w:val="sr-Latn-ME"/>
      </w:rPr>
      <w:fldChar w:fldCharType="end"/>
    </w:r>
    <w:r w:rsidRPr="00F1527C">
      <w:rPr>
        <w:rFonts w:ascii="Times New Roman" w:hAnsi="Times New Roman" w:cs="Times New Roman"/>
        <w:sz w:val="20"/>
        <w:szCs w:val="20"/>
        <w:lang w:val="sr-Latn-ME"/>
      </w:rPr>
      <w:t xml:space="preserve"> / </w:t>
    </w:r>
    <w:r w:rsidRPr="00F1527C">
      <w:rPr>
        <w:rFonts w:ascii="Times New Roman" w:hAnsi="Times New Roman" w:cs="Times New Roman"/>
        <w:sz w:val="20"/>
        <w:szCs w:val="20"/>
        <w:lang w:val="sr-Latn-ME"/>
      </w:rPr>
      <w:fldChar w:fldCharType="begin"/>
    </w:r>
    <w:r w:rsidRPr="00F1527C">
      <w:rPr>
        <w:rFonts w:ascii="Times New Roman" w:hAnsi="Times New Roman" w:cs="Times New Roman"/>
        <w:sz w:val="20"/>
        <w:szCs w:val="20"/>
        <w:lang w:val="sr-Latn-ME"/>
      </w:rPr>
      <w:instrText xml:space="preserve"> NUMPAGES </w:instrText>
    </w:r>
    <w:r w:rsidRPr="00F1527C">
      <w:rPr>
        <w:rFonts w:ascii="Times New Roman" w:hAnsi="Times New Roman" w:cs="Times New Roman"/>
        <w:sz w:val="20"/>
        <w:szCs w:val="20"/>
        <w:lang w:val="sr-Latn-ME"/>
      </w:rPr>
      <w:fldChar w:fldCharType="separate"/>
    </w:r>
    <w:r w:rsidR="00BE6B4D">
      <w:rPr>
        <w:rFonts w:ascii="Times New Roman" w:hAnsi="Times New Roman" w:cs="Times New Roman"/>
        <w:noProof/>
        <w:sz w:val="20"/>
        <w:szCs w:val="20"/>
        <w:lang w:val="sr-Latn-ME"/>
      </w:rPr>
      <w:t>13</w:t>
    </w:r>
    <w:r w:rsidRPr="00F1527C">
      <w:rPr>
        <w:rFonts w:ascii="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894" w:rsidRDefault="00966894">
      <w:r>
        <w:separator/>
      </w:r>
    </w:p>
  </w:footnote>
  <w:footnote w:type="continuationSeparator" w:id="0">
    <w:p w:rsidR="00966894" w:rsidRDefault="00966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FC7" w:rsidRPr="00E83FC7" w:rsidRDefault="00E83FC7" w:rsidP="00E83FC7">
    <w:pPr>
      <w:pStyle w:val="Header"/>
      <w:rPr>
        <w:rFonts w:asciiTheme="minorHAnsi" w:hAnsiTheme="minorHAnsi"/>
        <w:sz w:val="16"/>
        <w:szCs w:val="16"/>
      </w:rPr>
    </w:pPr>
  </w:p>
  <w:p w:rsidR="00E83FC7" w:rsidRPr="00E83FC7" w:rsidRDefault="00E83FC7" w:rsidP="00E83FC7">
    <w:pPr>
      <w:pStyle w:val="Header"/>
      <w:pBdr>
        <w:top w:val="thinThickSmallGap" w:sz="24" w:space="2" w:color="auto"/>
      </w:pBdr>
      <w:tabs>
        <w:tab w:val="left" w:pos="2775"/>
        <w:tab w:val="left" w:pos="3300"/>
      </w:tabs>
      <w:rPr>
        <w:rFonts w:asciiTheme="minorHAnsi" w:hAnsiTheme="minorHAnsi"/>
        <w:sz w:val="16"/>
        <w:szCs w:val="16"/>
      </w:rPr>
    </w:pPr>
    <w:r w:rsidRPr="00E83FC7">
      <w:rPr>
        <w:rFonts w:asciiTheme="minorHAnsi" w:hAnsiTheme="minorHAnsi"/>
        <w:noProof/>
        <w:sz w:val="16"/>
        <w:szCs w:val="16"/>
        <w:lang w:val="sr-Latn-ME" w:eastAsia="sr-Latn-ME"/>
      </w:rPr>
      <w:drawing>
        <wp:inline distT="0" distB="0" distL="0" distR="0" wp14:anchorId="38D09194" wp14:editId="346DA685">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E83FC7">
      <w:rPr>
        <w:rFonts w:asciiTheme="minorHAnsi" w:hAnsiTheme="minorHAnsi"/>
        <w:sz w:val="16"/>
        <w:szCs w:val="16"/>
      </w:rPr>
      <w:tab/>
    </w:r>
    <w:r w:rsidRPr="00E83FC7">
      <w:rPr>
        <w:rFonts w:asciiTheme="minorHAnsi" w:hAnsiTheme="minorHAnsi"/>
        <w:sz w:val="16"/>
        <w:szCs w:val="16"/>
      </w:rPr>
      <w:tab/>
    </w:r>
  </w:p>
  <w:p w:rsidR="00E33DCE" w:rsidRPr="00E83FC7" w:rsidRDefault="00E33DCE" w:rsidP="00E83FC7">
    <w:pPr>
      <w:pStyle w:val="Header"/>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0BD4"/>
    <w:multiLevelType w:val="hybridMultilevel"/>
    <w:tmpl w:val="AD38EDB6"/>
    <w:lvl w:ilvl="0" w:tplc="4EB0429C">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57DFB"/>
    <w:multiLevelType w:val="hybridMultilevel"/>
    <w:tmpl w:val="937679E6"/>
    <w:lvl w:ilvl="0" w:tplc="7144A198">
      <w:start w:val="2"/>
      <w:numFmt w:val="bullet"/>
      <w:lvlText w:val="-"/>
      <w:lvlJc w:val="left"/>
      <w:pPr>
        <w:tabs>
          <w:tab w:val="num" w:pos="567"/>
        </w:tabs>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C2FDD"/>
    <w:multiLevelType w:val="hybridMultilevel"/>
    <w:tmpl w:val="CD609578"/>
    <w:lvl w:ilvl="0" w:tplc="7144A198">
      <w:start w:val="2"/>
      <w:numFmt w:val="bullet"/>
      <w:lvlText w:val="-"/>
      <w:lvlJc w:val="left"/>
      <w:pPr>
        <w:tabs>
          <w:tab w:val="num" w:pos="567"/>
        </w:tabs>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5445C"/>
    <w:multiLevelType w:val="hybridMultilevel"/>
    <w:tmpl w:val="11265AB2"/>
    <w:lvl w:ilvl="0" w:tplc="D7F2E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B7306"/>
    <w:multiLevelType w:val="hybridMultilevel"/>
    <w:tmpl w:val="E2628CAA"/>
    <w:lvl w:ilvl="0" w:tplc="65563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B3C61"/>
    <w:multiLevelType w:val="hybridMultilevel"/>
    <w:tmpl w:val="06AA261E"/>
    <w:lvl w:ilvl="0" w:tplc="6298E598">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7093B"/>
    <w:multiLevelType w:val="hybridMultilevel"/>
    <w:tmpl w:val="B4ACD74C"/>
    <w:lvl w:ilvl="0" w:tplc="04090001">
      <w:start w:val="3"/>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90A76"/>
    <w:multiLevelType w:val="hybridMultilevel"/>
    <w:tmpl w:val="EA1E1BDE"/>
    <w:lvl w:ilvl="0" w:tplc="5522534C">
      <w:start w:val="4"/>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313644D"/>
    <w:multiLevelType w:val="hybridMultilevel"/>
    <w:tmpl w:val="42A4EF1C"/>
    <w:lvl w:ilvl="0" w:tplc="7144A198">
      <w:start w:val="2"/>
      <w:numFmt w:val="bullet"/>
      <w:lvlText w:val="-"/>
      <w:lvlJc w:val="left"/>
      <w:pPr>
        <w:tabs>
          <w:tab w:val="num" w:pos="567"/>
        </w:tabs>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080EBC"/>
    <w:multiLevelType w:val="hybridMultilevel"/>
    <w:tmpl w:val="57967F7A"/>
    <w:lvl w:ilvl="0" w:tplc="5072A506">
      <w:start w:val="4"/>
      <w:numFmt w:val="bullet"/>
      <w:lvlText w:val="-"/>
      <w:lvlJc w:val="left"/>
      <w:pPr>
        <w:tabs>
          <w:tab w:val="num" w:pos="720"/>
        </w:tabs>
        <w:ind w:left="720" w:hanging="360"/>
      </w:pPr>
      <w:rPr>
        <w:rFonts w:ascii="Humanist777" w:eastAsia="Times New Roman" w:hAnsi="Humanist777"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9925F9"/>
    <w:multiLevelType w:val="hybridMultilevel"/>
    <w:tmpl w:val="D2BC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0"/>
  </w:num>
  <w:num w:numId="6">
    <w:abstractNumId w:val="6"/>
  </w:num>
  <w:num w:numId="7">
    <w:abstractNumId w:val="5"/>
  </w:num>
  <w:num w:numId="8">
    <w:abstractNumId w:val="9"/>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418"/>
    <w:rsid w:val="00007472"/>
    <w:rsid w:val="00012E86"/>
    <w:rsid w:val="000150F5"/>
    <w:rsid w:val="0001639B"/>
    <w:rsid w:val="00020B4E"/>
    <w:rsid w:val="000232EE"/>
    <w:rsid w:val="000247D6"/>
    <w:rsid w:val="0002566F"/>
    <w:rsid w:val="00025890"/>
    <w:rsid w:val="00030075"/>
    <w:rsid w:val="00030C90"/>
    <w:rsid w:val="00046B13"/>
    <w:rsid w:val="0005014E"/>
    <w:rsid w:val="00053AEE"/>
    <w:rsid w:val="00053E29"/>
    <w:rsid w:val="0005791A"/>
    <w:rsid w:val="00063382"/>
    <w:rsid w:val="0007059E"/>
    <w:rsid w:val="00073D3B"/>
    <w:rsid w:val="00074F38"/>
    <w:rsid w:val="000752E6"/>
    <w:rsid w:val="00083BE0"/>
    <w:rsid w:val="00084683"/>
    <w:rsid w:val="00084768"/>
    <w:rsid w:val="00085063"/>
    <w:rsid w:val="000917D7"/>
    <w:rsid w:val="000943BE"/>
    <w:rsid w:val="000944FE"/>
    <w:rsid w:val="000A0415"/>
    <w:rsid w:val="000A0458"/>
    <w:rsid w:val="000A4E0B"/>
    <w:rsid w:val="000A7761"/>
    <w:rsid w:val="000B129C"/>
    <w:rsid w:val="000B1949"/>
    <w:rsid w:val="000B62E4"/>
    <w:rsid w:val="000B6DC5"/>
    <w:rsid w:val="000C5708"/>
    <w:rsid w:val="000C5CE5"/>
    <w:rsid w:val="000D4ED2"/>
    <w:rsid w:val="000E06AE"/>
    <w:rsid w:val="000E22AC"/>
    <w:rsid w:val="000E55C0"/>
    <w:rsid w:val="000E6DB8"/>
    <w:rsid w:val="000E7209"/>
    <w:rsid w:val="000F72E3"/>
    <w:rsid w:val="000F7CE6"/>
    <w:rsid w:val="00100D82"/>
    <w:rsid w:val="00104053"/>
    <w:rsid w:val="001059AB"/>
    <w:rsid w:val="00110209"/>
    <w:rsid w:val="00111001"/>
    <w:rsid w:val="00114F71"/>
    <w:rsid w:val="00120F10"/>
    <w:rsid w:val="0012184A"/>
    <w:rsid w:val="00123306"/>
    <w:rsid w:val="001238FD"/>
    <w:rsid w:val="00127A62"/>
    <w:rsid w:val="00130C64"/>
    <w:rsid w:val="00132D26"/>
    <w:rsid w:val="00133F7B"/>
    <w:rsid w:val="00134B42"/>
    <w:rsid w:val="00134BA4"/>
    <w:rsid w:val="00137168"/>
    <w:rsid w:val="0014194B"/>
    <w:rsid w:val="001448D5"/>
    <w:rsid w:val="00151191"/>
    <w:rsid w:val="001545B9"/>
    <w:rsid w:val="00161121"/>
    <w:rsid w:val="001627B3"/>
    <w:rsid w:val="00187A88"/>
    <w:rsid w:val="0019383B"/>
    <w:rsid w:val="001938F4"/>
    <w:rsid w:val="001A16E7"/>
    <w:rsid w:val="001A4D68"/>
    <w:rsid w:val="001A6116"/>
    <w:rsid w:val="001B1A55"/>
    <w:rsid w:val="001B1D80"/>
    <w:rsid w:val="001B49AB"/>
    <w:rsid w:val="001B5B7A"/>
    <w:rsid w:val="001B7E6C"/>
    <w:rsid w:val="001D652C"/>
    <w:rsid w:val="001D7938"/>
    <w:rsid w:val="001E2802"/>
    <w:rsid w:val="001E2831"/>
    <w:rsid w:val="001E37C0"/>
    <w:rsid w:val="001E5E45"/>
    <w:rsid w:val="001E6145"/>
    <w:rsid w:val="001F26E0"/>
    <w:rsid w:val="001F427C"/>
    <w:rsid w:val="002079F0"/>
    <w:rsid w:val="00210B58"/>
    <w:rsid w:val="002116D3"/>
    <w:rsid w:val="00211F40"/>
    <w:rsid w:val="00212A34"/>
    <w:rsid w:val="002138BC"/>
    <w:rsid w:val="002143C0"/>
    <w:rsid w:val="002223A0"/>
    <w:rsid w:val="00222AF1"/>
    <w:rsid w:val="00226AE5"/>
    <w:rsid w:val="002350B4"/>
    <w:rsid w:val="0023532C"/>
    <w:rsid w:val="0024628F"/>
    <w:rsid w:val="002473A3"/>
    <w:rsid w:val="00251191"/>
    <w:rsid w:val="0025257C"/>
    <w:rsid w:val="00256273"/>
    <w:rsid w:val="0025767D"/>
    <w:rsid w:val="002600B8"/>
    <w:rsid w:val="00263EB6"/>
    <w:rsid w:val="002643BC"/>
    <w:rsid w:val="00265191"/>
    <w:rsid w:val="00270384"/>
    <w:rsid w:val="00271652"/>
    <w:rsid w:val="0027371E"/>
    <w:rsid w:val="00273BE0"/>
    <w:rsid w:val="0027432C"/>
    <w:rsid w:val="0028207A"/>
    <w:rsid w:val="00285A1C"/>
    <w:rsid w:val="00285A97"/>
    <w:rsid w:val="00286E77"/>
    <w:rsid w:val="00293315"/>
    <w:rsid w:val="00295285"/>
    <w:rsid w:val="002A524A"/>
    <w:rsid w:val="002A74B8"/>
    <w:rsid w:val="002B15C8"/>
    <w:rsid w:val="002B382F"/>
    <w:rsid w:val="002B3A62"/>
    <w:rsid w:val="002B6F6A"/>
    <w:rsid w:val="002C0D3A"/>
    <w:rsid w:val="002C3781"/>
    <w:rsid w:val="002C750D"/>
    <w:rsid w:val="002E1B8D"/>
    <w:rsid w:val="002E1EEF"/>
    <w:rsid w:val="002E215F"/>
    <w:rsid w:val="002E29FB"/>
    <w:rsid w:val="002E3B7A"/>
    <w:rsid w:val="002E60FE"/>
    <w:rsid w:val="002F261C"/>
    <w:rsid w:val="002F304F"/>
    <w:rsid w:val="002F68B9"/>
    <w:rsid w:val="00301134"/>
    <w:rsid w:val="003034F4"/>
    <w:rsid w:val="003071A7"/>
    <w:rsid w:val="003079B1"/>
    <w:rsid w:val="00310463"/>
    <w:rsid w:val="00311D96"/>
    <w:rsid w:val="00314284"/>
    <w:rsid w:val="00320141"/>
    <w:rsid w:val="003216F0"/>
    <w:rsid w:val="0032305D"/>
    <w:rsid w:val="00325C5E"/>
    <w:rsid w:val="003336D5"/>
    <w:rsid w:val="003337DD"/>
    <w:rsid w:val="00335938"/>
    <w:rsid w:val="00342469"/>
    <w:rsid w:val="0034251E"/>
    <w:rsid w:val="00343E52"/>
    <w:rsid w:val="003469CD"/>
    <w:rsid w:val="003504B0"/>
    <w:rsid w:val="00363938"/>
    <w:rsid w:val="00370366"/>
    <w:rsid w:val="003731B7"/>
    <w:rsid w:val="00374D27"/>
    <w:rsid w:val="003843D6"/>
    <w:rsid w:val="00385FE3"/>
    <w:rsid w:val="003867B8"/>
    <w:rsid w:val="00387E9C"/>
    <w:rsid w:val="00387FC3"/>
    <w:rsid w:val="00391943"/>
    <w:rsid w:val="00391E66"/>
    <w:rsid w:val="00394E02"/>
    <w:rsid w:val="00396303"/>
    <w:rsid w:val="003A060B"/>
    <w:rsid w:val="003A512E"/>
    <w:rsid w:val="003B2082"/>
    <w:rsid w:val="003B34C6"/>
    <w:rsid w:val="003B44FF"/>
    <w:rsid w:val="003B61B6"/>
    <w:rsid w:val="003C0ADA"/>
    <w:rsid w:val="003C4163"/>
    <w:rsid w:val="003C5A45"/>
    <w:rsid w:val="003C6E02"/>
    <w:rsid w:val="003D1146"/>
    <w:rsid w:val="003D2590"/>
    <w:rsid w:val="003D390B"/>
    <w:rsid w:val="003D3A04"/>
    <w:rsid w:val="003F0A7D"/>
    <w:rsid w:val="003F23BE"/>
    <w:rsid w:val="003F3559"/>
    <w:rsid w:val="004020B8"/>
    <w:rsid w:val="004071C6"/>
    <w:rsid w:val="00407A66"/>
    <w:rsid w:val="00410E39"/>
    <w:rsid w:val="004123CD"/>
    <w:rsid w:val="00413E3B"/>
    <w:rsid w:val="004168CF"/>
    <w:rsid w:val="004169D6"/>
    <w:rsid w:val="00417E08"/>
    <w:rsid w:val="00420050"/>
    <w:rsid w:val="00423153"/>
    <w:rsid w:val="00423A16"/>
    <w:rsid w:val="004266C8"/>
    <w:rsid w:val="00426D2B"/>
    <w:rsid w:val="00427D41"/>
    <w:rsid w:val="00430E29"/>
    <w:rsid w:val="004362A8"/>
    <w:rsid w:val="00436B0A"/>
    <w:rsid w:val="00440457"/>
    <w:rsid w:val="00444A65"/>
    <w:rsid w:val="00446C2C"/>
    <w:rsid w:val="004477E4"/>
    <w:rsid w:val="004540FD"/>
    <w:rsid w:val="00454EE4"/>
    <w:rsid w:val="00455E4A"/>
    <w:rsid w:val="0045689C"/>
    <w:rsid w:val="0046334D"/>
    <w:rsid w:val="00467F7A"/>
    <w:rsid w:val="00470F22"/>
    <w:rsid w:val="00473A55"/>
    <w:rsid w:val="00473B81"/>
    <w:rsid w:val="00476708"/>
    <w:rsid w:val="00480EDE"/>
    <w:rsid w:val="00483F35"/>
    <w:rsid w:val="00484A0F"/>
    <w:rsid w:val="00485256"/>
    <w:rsid w:val="00487003"/>
    <w:rsid w:val="00487198"/>
    <w:rsid w:val="00487332"/>
    <w:rsid w:val="00493B20"/>
    <w:rsid w:val="00497031"/>
    <w:rsid w:val="004A1477"/>
    <w:rsid w:val="004A46F4"/>
    <w:rsid w:val="004A5F23"/>
    <w:rsid w:val="004A7963"/>
    <w:rsid w:val="004B0BDE"/>
    <w:rsid w:val="004B2F01"/>
    <w:rsid w:val="004C1AC2"/>
    <w:rsid w:val="004C5396"/>
    <w:rsid w:val="004C56D9"/>
    <w:rsid w:val="004D04F7"/>
    <w:rsid w:val="004D2A8B"/>
    <w:rsid w:val="004D37DE"/>
    <w:rsid w:val="004D68CA"/>
    <w:rsid w:val="004E1DF2"/>
    <w:rsid w:val="004E6204"/>
    <w:rsid w:val="004F3B22"/>
    <w:rsid w:val="004F529B"/>
    <w:rsid w:val="004F6595"/>
    <w:rsid w:val="004F7DAA"/>
    <w:rsid w:val="005012CD"/>
    <w:rsid w:val="005032A0"/>
    <w:rsid w:val="005078BC"/>
    <w:rsid w:val="00512546"/>
    <w:rsid w:val="005146B7"/>
    <w:rsid w:val="0051545F"/>
    <w:rsid w:val="00515F1F"/>
    <w:rsid w:val="005174A6"/>
    <w:rsid w:val="005174B2"/>
    <w:rsid w:val="00517693"/>
    <w:rsid w:val="0052015B"/>
    <w:rsid w:val="005249F9"/>
    <w:rsid w:val="00524EB0"/>
    <w:rsid w:val="00537EAD"/>
    <w:rsid w:val="00544C72"/>
    <w:rsid w:val="00546022"/>
    <w:rsid w:val="005473B1"/>
    <w:rsid w:val="00547413"/>
    <w:rsid w:val="005508DD"/>
    <w:rsid w:val="005508FD"/>
    <w:rsid w:val="00560F51"/>
    <w:rsid w:val="00561A38"/>
    <w:rsid w:val="0056206A"/>
    <w:rsid w:val="00565B31"/>
    <w:rsid w:val="005664F8"/>
    <w:rsid w:val="005665FE"/>
    <w:rsid w:val="00572F05"/>
    <w:rsid w:val="0057360B"/>
    <w:rsid w:val="0058352A"/>
    <w:rsid w:val="00593963"/>
    <w:rsid w:val="005A23CE"/>
    <w:rsid w:val="005A3467"/>
    <w:rsid w:val="005A3867"/>
    <w:rsid w:val="005A47B7"/>
    <w:rsid w:val="005A535A"/>
    <w:rsid w:val="005A6CB0"/>
    <w:rsid w:val="005B12A2"/>
    <w:rsid w:val="005C121C"/>
    <w:rsid w:val="005C3F73"/>
    <w:rsid w:val="005C7891"/>
    <w:rsid w:val="005D0074"/>
    <w:rsid w:val="005D0E5F"/>
    <w:rsid w:val="005D3C02"/>
    <w:rsid w:val="005D4CF0"/>
    <w:rsid w:val="005E2F4B"/>
    <w:rsid w:val="005E3991"/>
    <w:rsid w:val="005E3A8D"/>
    <w:rsid w:val="005F07B8"/>
    <w:rsid w:val="005F1F4F"/>
    <w:rsid w:val="005F5A08"/>
    <w:rsid w:val="005F6A43"/>
    <w:rsid w:val="0060022F"/>
    <w:rsid w:val="006034ED"/>
    <w:rsid w:val="006054EE"/>
    <w:rsid w:val="00605543"/>
    <w:rsid w:val="006078A3"/>
    <w:rsid w:val="00607AD0"/>
    <w:rsid w:val="00611341"/>
    <w:rsid w:val="00612E66"/>
    <w:rsid w:val="006160C2"/>
    <w:rsid w:val="0062050C"/>
    <w:rsid w:val="00620CD0"/>
    <w:rsid w:val="00622E34"/>
    <w:rsid w:val="006333A6"/>
    <w:rsid w:val="00633966"/>
    <w:rsid w:val="00633A93"/>
    <w:rsid w:val="0064173F"/>
    <w:rsid w:val="00652C16"/>
    <w:rsid w:val="006536CF"/>
    <w:rsid w:val="0065502F"/>
    <w:rsid w:val="006559AF"/>
    <w:rsid w:val="00655A4B"/>
    <w:rsid w:val="006578A2"/>
    <w:rsid w:val="00662335"/>
    <w:rsid w:val="00664507"/>
    <w:rsid w:val="0066721C"/>
    <w:rsid w:val="00667343"/>
    <w:rsid w:val="00674017"/>
    <w:rsid w:val="0067676D"/>
    <w:rsid w:val="006813D9"/>
    <w:rsid w:val="00685A8D"/>
    <w:rsid w:val="00690A80"/>
    <w:rsid w:val="00691E84"/>
    <w:rsid w:val="006940D3"/>
    <w:rsid w:val="00694FB5"/>
    <w:rsid w:val="00697542"/>
    <w:rsid w:val="00697D19"/>
    <w:rsid w:val="006A31A2"/>
    <w:rsid w:val="006A5B9D"/>
    <w:rsid w:val="006A6ADF"/>
    <w:rsid w:val="006B705C"/>
    <w:rsid w:val="006B786E"/>
    <w:rsid w:val="006C097B"/>
    <w:rsid w:val="006C2F1E"/>
    <w:rsid w:val="006C3F4A"/>
    <w:rsid w:val="006C5ADB"/>
    <w:rsid w:val="006D08DE"/>
    <w:rsid w:val="006D507E"/>
    <w:rsid w:val="006D53C2"/>
    <w:rsid w:val="006D6727"/>
    <w:rsid w:val="006E6AC6"/>
    <w:rsid w:val="006F5E83"/>
    <w:rsid w:val="006F6377"/>
    <w:rsid w:val="00700E72"/>
    <w:rsid w:val="00702E94"/>
    <w:rsid w:val="00706B5C"/>
    <w:rsid w:val="00707D7A"/>
    <w:rsid w:val="0071401E"/>
    <w:rsid w:val="00714E58"/>
    <w:rsid w:val="0071633D"/>
    <w:rsid w:val="0071662A"/>
    <w:rsid w:val="00717D83"/>
    <w:rsid w:val="007231D7"/>
    <w:rsid w:val="00732A41"/>
    <w:rsid w:val="00732D2B"/>
    <w:rsid w:val="007340C5"/>
    <w:rsid w:val="00736D76"/>
    <w:rsid w:val="00740CF3"/>
    <w:rsid w:val="00742F21"/>
    <w:rsid w:val="0074689F"/>
    <w:rsid w:val="00746998"/>
    <w:rsid w:val="00746C7E"/>
    <w:rsid w:val="0075349A"/>
    <w:rsid w:val="00755B1E"/>
    <w:rsid w:val="0075640E"/>
    <w:rsid w:val="00764C53"/>
    <w:rsid w:val="007716A7"/>
    <w:rsid w:val="0077575C"/>
    <w:rsid w:val="007776DA"/>
    <w:rsid w:val="0078027F"/>
    <w:rsid w:val="00791875"/>
    <w:rsid w:val="007940A8"/>
    <w:rsid w:val="007A09B4"/>
    <w:rsid w:val="007A20EC"/>
    <w:rsid w:val="007A7A91"/>
    <w:rsid w:val="007A7EC6"/>
    <w:rsid w:val="007B020A"/>
    <w:rsid w:val="007B2E85"/>
    <w:rsid w:val="007B4ADF"/>
    <w:rsid w:val="007B5EAD"/>
    <w:rsid w:val="007B7FF7"/>
    <w:rsid w:val="007C01B6"/>
    <w:rsid w:val="007C2D99"/>
    <w:rsid w:val="007C325D"/>
    <w:rsid w:val="007C32D7"/>
    <w:rsid w:val="007C49B9"/>
    <w:rsid w:val="007C4B89"/>
    <w:rsid w:val="007C5BF4"/>
    <w:rsid w:val="007C6B98"/>
    <w:rsid w:val="007C7DB6"/>
    <w:rsid w:val="007D0A1B"/>
    <w:rsid w:val="007D0EF4"/>
    <w:rsid w:val="007D3649"/>
    <w:rsid w:val="007D5194"/>
    <w:rsid w:val="007E1D93"/>
    <w:rsid w:val="007F2063"/>
    <w:rsid w:val="007F2C51"/>
    <w:rsid w:val="007F4055"/>
    <w:rsid w:val="00802AD8"/>
    <w:rsid w:val="00802BCE"/>
    <w:rsid w:val="008061E3"/>
    <w:rsid w:val="00810C75"/>
    <w:rsid w:val="00820C98"/>
    <w:rsid w:val="008330F8"/>
    <w:rsid w:val="00834DBB"/>
    <w:rsid w:val="00836B1A"/>
    <w:rsid w:val="00837798"/>
    <w:rsid w:val="008429C0"/>
    <w:rsid w:val="00842FFB"/>
    <w:rsid w:val="00843E75"/>
    <w:rsid w:val="00846930"/>
    <w:rsid w:val="0085179E"/>
    <w:rsid w:val="008542AB"/>
    <w:rsid w:val="00857446"/>
    <w:rsid w:val="00860C30"/>
    <w:rsid w:val="00860C83"/>
    <w:rsid w:val="008621C8"/>
    <w:rsid w:val="0086351A"/>
    <w:rsid w:val="00865739"/>
    <w:rsid w:val="008661E7"/>
    <w:rsid w:val="00866823"/>
    <w:rsid w:val="00867194"/>
    <w:rsid w:val="00872526"/>
    <w:rsid w:val="008813D5"/>
    <w:rsid w:val="00882DB4"/>
    <w:rsid w:val="00885ED8"/>
    <w:rsid w:val="008870C3"/>
    <w:rsid w:val="00887FBF"/>
    <w:rsid w:val="00892394"/>
    <w:rsid w:val="008936A9"/>
    <w:rsid w:val="0089599C"/>
    <w:rsid w:val="008A054A"/>
    <w:rsid w:val="008A460A"/>
    <w:rsid w:val="008A52DB"/>
    <w:rsid w:val="008B23EA"/>
    <w:rsid w:val="008B50E2"/>
    <w:rsid w:val="008B7A61"/>
    <w:rsid w:val="008C08A0"/>
    <w:rsid w:val="008D402A"/>
    <w:rsid w:val="008D43FE"/>
    <w:rsid w:val="008D670F"/>
    <w:rsid w:val="008D6751"/>
    <w:rsid w:val="008D76A3"/>
    <w:rsid w:val="008E135C"/>
    <w:rsid w:val="008E1D14"/>
    <w:rsid w:val="008E1D6D"/>
    <w:rsid w:val="008E23B5"/>
    <w:rsid w:val="008E468A"/>
    <w:rsid w:val="008E65EC"/>
    <w:rsid w:val="008E6DD9"/>
    <w:rsid w:val="008E7A6F"/>
    <w:rsid w:val="008F0E22"/>
    <w:rsid w:val="008F6266"/>
    <w:rsid w:val="0090152B"/>
    <w:rsid w:val="00902162"/>
    <w:rsid w:val="00904F5F"/>
    <w:rsid w:val="009055D6"/>
    <w:rsid w:val="00910911"/>
    <w:rsid w:val="00910AEE"/>
    <w:rsid w:val="0091132C"/>
    <w:rsid w:val="00915C9E"/>
    <w:rsid w:val="009175BE"/>
    <w:rsid w:val="0092000E"/>
    <w:rsid w:val="00931848"/>
    <w:rsid w:val="00934AE8"/>
    <w:rsid w:val="009357D7"/>
    <w:rsid w:val="009440CE"/>
    <w:rsid w:val="00950C62"/>
    <w:rsid w:val="00951F38"/>
    <w:rsid w:val="00964B27"/>
    <w:rsid w:val="00965C8D"/>
    <w:rsid w:val="00966894"/>
    <w:rsid w:val="00973ACD"/>
    <w:rsid w:val="009779E0"/>
    <w:rsid w:val="0098229F"/>
    <w:rsid w:val="00990BC7"/>
    <w:rsid w:val="00991AB7"/>
    <w:rsid w:val="009A2DC1"/>
    <w:rsid w:val="009A7DDB"/>
    <w:rsid w:val="009B6911"/>
    <w:rsid w:val="009B70BF"/>
    <w:rsid w:val="009B7534"/>
    <w:rsid w:val="009C0403"/>
    <w:rsid w:val="009C2894"/>
    <w:rsid w:val="009C2D86"/>
    <w:rsid w:val="009C5C3C"/>
    <w:rsid w:val="009D1DB7"/>
    <w:rsid w:val="009D2A9A"/>
    <w:rsid w:val="009D4CD5"/>
    <w:rsid w:val="009D793B"/>
    <w:rsid w:val="009E0EAB"/>
    <w:rsid w:val="009E1388"/>
    <w:rsid w:val="009E3BEB"/>
    <w:rsid w:val="009E476E"/>
    <w:rsid w:val="009F05E5"/>
    <w:rsid w:val="009F345E"/>
    <w:rsid w:val="009F4449"/>
    <w:rsid w:val="009F5204"/>
    <w:rsid w:val="009F5E93"/>
    <w:rsid w:val="00A05C31"/>
    <w:rsid w:val="00A06935"/>
    <w:rsid w:val="00A10805"/>
    <w:rsid w:val="00A11161"/>
    <w:rsid w:val="00A21C7A"/>
    <w:rsid w:val="00A24ADF"/>
    <w:rsid w:val="00A2648C"/>
    <w:rsid w:val="00A30E20"/>
    <w:rsid w:val="00A33799"/>
    <w:rsid w:val="00A3566D"/>
    <w:rsid w:val="00A37BDC"/>
    <w:rsid w:val="00A37E70"/>
    <w:rsid w:val="00A42F52"/>
    <w:rsid w:val="00A455EE"/>
    <w:rsid w:val="00A47878"/>
    <w:rsid w:val="00A5183C"/>
    <w:rsid w:val="00A577BC"/>
    <w:rsid w:val="00A61D97"/>
    <w:rsid w:val="00A62E8E"/>
    <w:rsid w:val="00A66CDB"/>
    <w:rsid w:val="00A73669"/>
    <w:rsid w:val="00A85EA8"/>
    <w:rsid w:val="00A86FDA"/>
    <w:rsid w:val="00A90189"/>
    <w:rsid w:val="00A90687"/>
    <w:rsid w:val="00A90868"/>
    <w:rsid w:val="00A928D9"/>
    <w:rsid w:val="00A9547A"/>
    <w:rsid w:val="00AA59A0"/>
    <w:rsid w:val="00AB06C2"/>
    <w:rsid w:val="00AB19B8"/>
    <w:rsid w:val="00AB2727"/>
    <w:rsid w:val="00AB5FC9"/>
    <w:rsid w:val="00AB69B2"/>
    <w:rsid w:val="00AB7161"/>
    <w:rsid w:val="00AB7570"/>
    <w:rsid w:val="00AC080A"/>
    <w:rsid w:val="00AC561C"/>
    <w:rsid w:val="00AC5628"/>
    <w:rsid w:val="00AC62FE"/>
    <w:rsid w:val="00AC708D"/>
    <w:rsid w:val="00AD0224"/>
    <w:rsid w:val="00AD0966"/>
    <w:rsid w:val="00AD68B5"/>
    <w:rsid w:val="00AE0994"/>
    <w:rsid w:val="00AE4408"/>
    <w:rsid w:val="00AE7C49"/>
    <w:rsid w:val="00AF46E5"/>
    <w:rsid w:val="00AF5060"/>
    <w:rsid w:val="00AF7DCD"/>
    <w:rsid w:val="00B01D21"/>
    <w:rsid w:val="00B01F37"/>
    <w:rsid w:val="00B04DDE"/>
    <w:rsid w:val="00B0540F"/>
    <w:rsid w:val="00B16CB4"/>
    <w:rsid w:val="00B17AEC"/>
    <w:rsid w:val="00B2177C"/>
    <w:rsid w:val="00B22DF6"/>
    <w:rsid w:val="00B27A3D"/>
    <w:rsid w:val="00B336F9"/>
    <w:rsid w:val="00B349FD"/>
    <w:rsid w:val="00B355B0"/>
    <w:rsid w:val="00B35A3D"/>
    <w:rsid w:val="00B35C0D"/>
    <w:rsid w:val="00B373DE"/>
    <w:rsid w:val="00B4057B"/>
    <w:rsid w:val="00B42490"/>
    <w:rsid w:val="00B427F9"/>
    <w:rsid w:val="00B43577"/>
    <w:rsid w:val="00B44004"/>
    <w:rsid w:val="00B45672"/>
    <w:rsid w:val="00B51278"/>
    <w:rsid w:val="00B54DF7"/>
    <w:rsid w:val="00B55BE1"/>
    <w:rsid w:val="00B56846"/>
    <w:rsid w:val="00B632EB"/>
    <w:rsid w:val="00B64EB6"/>
    <w:rsid w:val="00B65EA4"/>
    <w:rsid w:val="00B66BB3"/>
    <w:rsid w:val="00B677A1"/>
    <w:rsid w:val="00B70AB2"/>
    <w:rsid w:val="00B72737"/>
    <w:rsid w:val="00B77413"/>
    <w:rsid w:val="00B813E3"/>
    <w:rsid w:val="00B8226B"/>
    <w:rsid w:val="00B857AB"/>
    <w:rsid w:val="00B906D5"/>
    <w:rsid w:val="00BA0BB0"/>
    <w:rsid w:val="00BA0F5B"/>
    <w:rsid w:val="00BA17D1"/>
    <w:rsid w:val="00BA28A3"/>
    <w:rsid w:val="00BA330F"/>
    <w:rsid w:val="00BA36D7"/>
    <w:rsid w:val="00BA39CD"/>
    <w:rsid w:val="00BA7F75"/>
    <w:rsid w:val="00BB1D51"/>
    <w:rsid w:val="00BB21C5"/>
    <w:rsid w:val="00BB60B7"/>
    <w:rsid w:val="00BB6B5A"/>
    <w:rsid w:val="00BC4642"/>
    <w:rsid w:val="00BD725A"/>
    <w:rsid w:val="00BE2646"/>
    <w:rsid w:val="00BE6B4D"/>
    <w:rsid w:val="00C01FBE"/>
    <w:rsid w:val="00C02396"/>
    <w:rsid w:val="00C0348C"/>
    <w:rsid w:val="00C037FD"/>
    <w:rsid w:val="00C04B2E"/>
    <w:rsid w:val="00C04F50"/>
    <w:rsid w:val="00C075C6"/>
    <w:rsid w:val="00C108FD"/>
    <w:rsid w:val="00C16C9E"/>
    <w:rsid w:val="00C212D5"/>
    <w:rsid w:val="00C26474"/>
    <w:rsid w:val="00C317DE"/>
    <w:rsid w:val="00C41D95"/>
    <w:rsid w:val="00C45618"/>
    <w:rsid w:val="00C463FE"/>
    <w:rsid w:val="00C531A7"/>
    <w:rsid w:val="00C55F47"/>
    <w:rsid w:val="00C57150"/>
    <w:rsid w:val="00C66031"/>
    <w:rsid w:val="00C71013"/>
    <w:rsid w:val="00C7677D"/>
    <w:rsid w:val="00C85362"/>
    <w:rsid w:val="00C87A49"/>
    <w:rsid w:val="00C93338"/>
    <w:rsid w:val="00C938B8"/>
    <w:rsid w:val="00CA4937"/>
    <w:rsid w:val="00CB10DD"/>
    <w:rsid w:val="00CB2905"/>
    <w:rsid w:val="00CB2976"/>
    <w:rsid w:val="00CB322B"/>
    <w:rsid w:val="00CB33EB"/>
    <w:rsid w:val="00CB7DC9"/>
    <w:rsid w:val="00CC4C88"/>
    <w:rsid w:val="00CC747E"/>
    <w:rsid w:val="00CD48DC"/>
    <w:rsid w:val="00CD5B3B"/>
    <w:rsid w:val="00CE09DC"/>
    <w:rsid w:val="00CE76DA"/>
    <w:rsid w:val="00CF2344"/>
    <w:rsid w:val="00CF2399"/>
    <w:rsid w:val="00CF2D25"/>
    <w:rsid w:val="00D017B3"/>
    <w:rsid w:val="00D03677"/>
    <w:rsid w:val="00D055E6"/>
    <w:rsid w:val="00D057F1"/>
    <w:rsid w:val="00D0765A"/>
    <w:rsid w:val="00D1266E"/>
    <w:rsid w:val="00D12B30"/>
    <w:rsid w:val="00D15756"/>
    <w:rsid w:val="00D24196"/>
    <w:rsid w:val="00D249A6"/>
    <w:rsid w:val="00D25DAC"/>
    <w:rsid w:val="00D3129F"/>
    <w:rsid w:val="00D47981"/>
    <w:rsid w:val="00D50D6E"/>
    <w:rsid w:val="00D540BF"/>
    <w:rsid w:val="00D54E46"/>
    <w:rsid w:val="00D553C9"/>
    <w:rsid w:val="00D56996"/>
    <w:rsid w:val="00D6026D"/>
    <w:rsid w:val="00D62C76"/>
    <w:rsid w:val="00D630C6"/>
    <w:rsid w:val="00D64252"/>
    <w:rsid w:val="00D66ED9"/>
    <w:rsid w:val="00D7386C"/>
    <w:rsid w:val="00D75010"/>
    <w:rsid w:val="00D753AF"/>
    <w:rsid w:val="00D75B43"/>
    <w:rsid w:val="00D76A5C"/>
    <w:rsid w:val="00D76E3F"/>
    <w:rsid w:val="00D773B2"/>
    <w:rsid w:val="00D84D03"/>
    <w:rsid w:val="00D86544"/>
    <w:rsid w:val="00D86A54"/>
    <w:rsid w:val="00D96DC7"/>
    <w:rsid w:val="00D977EA"/>
    <w:rsid w:val="00DA38D0"/>
    <w:rsid w:val="00DA7E12"/>
    <w:rsid w:val="00DB39BA"/>
    <w:rsid w:val="00DB3D6F"/>
    <w:rsid w:val="00DB741C"/>
    <w:rsid w:val="00DB7806"/>
    <w:rsid w:val="00DB7867"/>
    <w:rsid w:val="00DC2F4C"/>
    <w:rsid w:val="00DC499A"/>
    <w:rsid w:val="00DC5613"/>
    <w:rsid w:val="00DC7BB8"/>
    <w:rsid w:val="00DD4084"/>
    <w:rsid w:val="00DD7842"/>
    <w:rsid w:val="00DE1D6B"/>
    <w:rsid w:val="00DE53B7"/>
    <w:rsid w:val="00DE5EF7"/>
    <w:rsid w:val="00DF219B"/>
    <w:rsid w:val="00DF3B1F"/>
    <w:rsid w:val="00DF640F"/>
    <w:rsid w:val="00E010E8"/>
    <w:rsid w:val="00E01F63"/>
    <w:rsid w:val="00E04293"/>
    <w:rsid w:val="00E051A4"/>
    <w:rsid w:val="00E05B5A"/>
    <w:rsid w:val="00E061AA"/>
    <w:rsid w:val="00E07BF3"/>
    <w:rsid w:val="00E12503"/>
    <w:rsid w:val="00E13B55"/>
    <w:rsid w:val="00E1438D"/>
    <w:rsid w:val="00E14BC2"/>
    <w:rsid w:val="00E17789"/>
    <w:rsid w:val="00E205B2"/>
    <w:rsid w:val="00E26CBA"/>
    <w:rsid w:val="00E2784F"/>
    <w:rsid w:val="00E31ADA"/>
    <w:rsid w:val="00E33DCE"/>
    <w:rsid w:val="00E33F29"/>
    <w:rsid w:val="00E40DF9"/>
    <w:rsid w:val="00E414A6"/>
    <w:rsid w:val="00E41FBD"/>
    <w:rsid w:val="00E43ECA"/>
    <w:rsid w:val="00E458B1"/>
    <w:rsid w:val="00E50EA9"/>
    <w:rsid w:val="00E528BA"/>
    <w:rsid w:val="00E562DD"/>
    <w:rsid w:val="00E56D38"/>
    <w:rsid w:val="00E579F1"/>
    <w:rsid w:val="00E57A06"/>
    <w:rsid w:val="00E60B23"/>
    <w:rsid w:val="00E60DEF"/>
    <w:rsid w:val="00E64A60"/>
    <w:rsid w:val="00E64CD8"/>
    <w:rsid w:val="00E64CF7"/>
    <w:rsid w:val="00E65DAF"/>
    <w:rsid w:val="00E71410"/>
    <w:rsid w:val="00E83FC7"/>
    <w:rsid w:val="00E84CB8"/>
    <w:rsid w:val="00E86371"/>
    <w:rsid w:val="00E90595"/>
    <w:rsid w:val="00E92A93"/>
    <w:rsid w:val="00E93416"/>
    <w:rsid w:val="00E9344F"/>
    <w:rsid w:val="00E946BA"/>
    <w:rsid w:val="00EA020F"/>
    <w:rsid w:val="00EA5F7D"/>
    <w:rsid w:val="00EB0AB0"/>
    <w:rsid w:val="00EB1C68"/>
    <w:rsid w:val="00EB57F2"/>
    <w:rsid w:val="00EB7222"/>
    <w:rsid w:val="00EC0F92"/>
    <w:rsid w:val="00EC28EB"/>
    <w:rsid w:val="00EC3931"/>
    <w:rsid w:val="00EC4355"/>
    <w:rsid w:val="00EC711D"/>
    <w:rsid w:val="00EC71AC"/>
    <w:rsid w:val="00ED0860"/>
    <w:rsid w:val="00ED25F8"/>
    <w:rsid w:val="00ED270A"/>
    <w:rsid w:val="00ED35D5"/>
    <w:rsid w:val="00ED5044"/>
    <w:rsid w:val="00ED6A3F"/>
    <w:rsid w:val="00EE1B26"/>
    <w:rsid w:val="00EE3CB2"/>
    <w:rsid w:val="00EE7C56"/>
    <w:rsid w:val="00EF33E1"/>
    <w:rsid w:val="00EF4952"/>
    <w:rsid w:val="00EF78C0"/>
    <w:rsid w:val="00F013A6"/>
    <w:rsid w:val="00F15AD3"/>
    <w:rsid w:val="00F20CE1"/>
    <w:rsid w:val="00F26EC4"/>
    <w:rsid w:val="00F31A53"/>
    <w:rsid w:val="00F33E51"/>
    <w:rsid w:val="00F346E7"/>
    <w:rsid w:val="00F40458"/>
    <w:rsid w:val="00F41F20"/>
    <w:rsid w:val="00F442E0"/>
    <w:rsid w:val="00F45C69"/>
    <w:rsid w:val="00F4614A"/>
    <w:rsid w:val="00F46CCD"/>
    <w:rsid w:val="00F53648"/>
    <w:rsid w:val="00F54286"/>
    <w:rsid w:val="00F6198C"/>
    <w:rsid w:val="00F714F0"/>
    <w:rsid w:val="00F73F1F"/>
    <w:rsid w:val="00F810A3"/>
    <w:rsid w:val="00F905E6"/>
    <w:rsid w:val="00F92F53"/>
    <w:rsid w:val="00F95A6B"/>
    <w:rsid w:val="00F97520"/>
    <w:rsid w:val="00FA2215"/>
    <w:rsid w:val="00FB1AC8"/>
    <w:rsid w:val="00FC10E6"/>
    <w:rsid w:val="00FC228A"/>
    <w:rsid w:val="00FC26B5"/>
    <w:rsid w:val="00FD0AB0"/>
    <w:rsid w:val="00FD3130"/>
    <w:rsid w:val="00FD65F8"/>
    <w:rsid w:val="00FE2484"/>
    <w:rsid w:val="00FE3364"/>
    <w:rsid w:val="00FE33EC"/>
    <w:rsid w:val="00FE353B"/>
    <w:rsid w:val="00FE4F9D"/>
    <w:rsid w:val="00FE5FF1"/>
    <w:rsid w:val="00FF2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DC1A796-1A7C-4DDC-B1E4-A6A1B2B9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29F"/>
    <w:pPr>
      <w:tabs>
        <w:tab w:val="left" w:pos="284"/>
      </w:tabs>
      <w:jc w:val="both"/>
    </w:pPr>
    <w:rPr>
      <w:rFonts w:ascii="Humanist777" w:hAnsi="Humanist777" w:cs="Humanist777"/>
      <w:sz w:val="24"/>
      <w:szCs w:val="24"/>
    </w:rPr>
  </w:style>
  <w:style w:type="paragraph" w:styleId="Heading1">
    <w:name w:val="heading 1"/>
    <w:basedOn w:val="Normal"/>
    <w:next w:val="Normal"/>
    <w:link w:val="Heading1Char"/>
    <w:uiPriority w:val="99"/>
    <w:qFormat/>
    <w:rsid w:val="00D3129F"/>
    <w:pPr>
      <w:keepNext/>
      <w:jc w:val="center"/>
      <w:outlineLvl w:val="0"/>
    </w:pPr>
    <w:rPr>
      <w:rFonts w:ascii="Cambria" w:hAnsi="Cambria" w:cs="Times New Roman"/>
      <w:b/>
      <w:bCs/>
      <w:kern w:val="32"/>
      <w:sz w:val="32"/>
      <w:szCs w:val="32"/>
      <w:lang w:eastAsia="en-GB"/>
    </w:rPr>
  </w:style>
  <w:style w:type="paragraph" w:styleId="Heading2">
    <w:name w:val="heading 2"/>
    <w:basedOn w:val="Normal"/>
    <w:next w:val="Normal"/>
    <w:link w:val="Heading2Char"/>
    <w:uiPriority w:val="99"/>
    <w:qFormat/>
    <w:rsid w:val="00D3129F"/>
    <w:pPr>
      <w:keepNext/>
      <w:jc w:val="center"/>
      <w:outlineLvl w:val="1"/>
    </w:pPr>
    <w:rPr>
      <w:rFonts w:ascii="Cambria" w:hAnsi="Cambria" w:cs="Times New Roman"/>
      <w:b/>
      <w:bCs/>
      <w:i/>
      <w:iCs/>
      <w:sz w:val="28"/>
      <w:szCs w:val="28"/>
      <w:lang w:eastAsia="en-GB"/>
    </w:rPr>
  </w:style>
  <w:style w:type="paragraph" w:styleId="Heading3">
    <w:name w:val="heading 3"/>
    <w:basedOn w:val="Normal"/>
    <w:next w:val="Normal"/>
    <w:link w:val="Heading3Char"/>
    <w:uiPriority w:val="99"/>
    <w:qFormat/>
    <w:rsid w:val="00D3129F"/>
    <w:pPr>
      <w:keepNext/>
      <w:tabs>
        <w:tab w:val="clear" w:pos="284"/>
      </w:tabs>
      <w:ind w:left="72" w:hanging="72"/>
      <w:jc w:val="left"/>
      <w:outlineLvl w:val="2"/>
    </w:pPr>
    <w:rPr>
      <w:rFonts w:ascii="Cambria" w:hAnsi="Cambria" w:cs="Times New Roman"/>
      <w:b/>
      <w:bCs/>
      <w:sz w:val="26"/>
      <w:szCs w:val="26"/>
      <w:lang w:eastAsia="en-GB"/>
    </w:rPr>
  </w:style>
  <w:style w:type="paragraph" w:styleId="Heading4">
    <w:name w:val="heading 4"/>
    <w:basedOn w:val="Normal"/>
    <w:next w:val="Normal"/>
    <w:link w:val="Heading4Char"/>
    <w:uiPriority w:val="99"/>
    <w:qFormat/>
    <w:rsid w:val="00D3129F"/>
    <w:pPr>
      <w:keepNext/>
      <w:ind w:right="265"/>
      <w:jc w:val="right"/>
      <w:outlineLvl w:val="3"/>
    </w:pPr>
    <w:rPr>
      <w:rFonts w:ascii="Calibri" w:hAnsi="Calibri" w:cs="Times New Roman"/>
      <w:b/>
      <w:bCs/>
      <w:sz w:val="28"/>
      <w:szCs w:val="28"/>
      <w:lang w:eastAsia="en-GB"/>
    </w:rPr>
  </w:style>
  <w:style w:type="paragraph" w:styleId="Heading5">
    <w:name w:val="heading 5"/>
    <w:basedOn w:val="Normal"/>
    <w:next w:val="Normal"/>
    <w:link w:val="Heading5Char"/>
    <w:uiPriority w:val="99"/>
    <w:unhideWhenUsed/>
    <w:qFormat/>
    <w:locked/>
    <w:rsid w:val="00EC393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16F0"/>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216F0"/>
    <w:rPr>
      <w:rFonts w:ascii="Cambria" w:hAnsi="Cambria" w:cs="Times New Roman"/>
      <w:b/>
      <w:i/>
      <w:sz w:val="28"/>
    </w:rPr>
  </w:style>
  <w:style w:type="character" w:customStyle="1" w:styleId="Heading3Char">
    <w:name w:val="Heading 3 Char"/>
    <w:basedOn w:val="DefaultParagraphFont"/>
    <w:link w:val="Heading3"/>
    <w:uiPriority w:val="99"/>
    <w:semiHidden/>
    <w:locked/>
    <w:rsid w:val="003216F0"/>
    <w:rPr>
      <w:rFonts w:ascii="Cambria" w:hAnsi="Cambria" w:cs="Times New Roman"/>
      <w:b/>
      <w:sz w:val="26"/>
    </w:rPr>
  </w:style>
  <w:style w:type="character" w:customStyle="1" w:styleId="Heading4Char">
    <w:name w:val="Heading 4 Char"/>
    <w:basedOn w:val="DefaultParagraphFont"/>
    <w:link w:val="Heading4"/>
    <w:uiPriority w:val="99"/>
    <w:semiHidden/>
    <w:locked/>
    <w:rsid w:val="003216F0"/>
    <w:rPr>
      <w:rFonts w:ascii="Calibri" w:hAnsi="Calibri" w:cs="Times New Roman"/>
      <w:b/>
      <w:sz w:val="28"/>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D3129F"/>
    <w:pPr>
      <w:tabs>
        <w:tab w:val="clear" w:pos="284"/>
        <w:tab w:val="center" w:pos="4536"/>
        <w:tab w:val="right" w:pos="9072"/>
      </w:tabs>
    </w:pPr>
    <w:rPr>
      <w:rFonts w:cs="Times New Roman"/>
      <w:lang w:eastAsia="en-GB"/>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uiPriority w:val="99"/>
    <w:locked/>
    <w:rsid w:val="003216F0"/>
    <w:rPr>
      <w:rFonts w:ascii="Humanist777" w:hAnsi="Humanist777" w:cs="Times New Roman"/>
      <w:sz w:val="24"/>
    </w:rPr>
  </w:style>
  <w:style w:type="paragraph" w:styleId="Footer">
    <w:name w:val="footer"/>
    <w:basedOn w:val="Normal"/>
    <w:link w:val="FooterChar"/>
    <w:uiPriority w:val="99"/>
    <w:rsid w:val="00D3129F"/>
    <w:pPr>
      <w:tabs>
        <w:tab w:val="clear" w:pos="284"/>
        <w:tab w:val="center" w:pos="4536"/>
        <w:tab w:val="right" w:pos="9072"/>
      </w:tabs>
    </w:pPr>
    <w:rPr>
      <w:rFonts w:cs="Times New Roman"/>
      <w:lang w:eastAsia="en-GB"/>
    </w:rPr>
  </w:style>
  <w:style w:type="character" w:customStyle="1" w:styleId="FooterChar">
    <w:name w:val="Footer Char"/>
    <w:basedOn w:val="DefaultParagraphFont"/>
    <w:link w:val="Footer"/>
    <w:uiPriority w:val="99"/>
    <w:locked/>
    <w:rsid w:val="003216F0"/>
    <w:rPr>
      <w:rFonts w:ascii="Humanist777" w:hAnsi="Humanist777" w:cs="Times New Roman"/>
      <w:sz w:val="24"/>
    </w:rPr>
  </w:style>
  <w:style w:type="character" w:styleId="PageNumber">
    <w:name w:val="page number"/>
    <w:basedOn w:val="DefaultParagraphFont"/>
    <w:uiPriority w:val="99"/>
    <w:rsid w:val="00D3129F"/>
    <w:rPr>
      <w:rFonts w:cs="Times New Roman"/>
    </w:rPr>
  </w:style>
  <w:style w:type="character" w:styleId="CommentReference">
    <w:name w:val="annotation reference"/>
    <w:basedOn w:val="DefaultParagraphFont"/>
    <w:uiPriority w:val="99"/>
    <w:semiHidden/>
    <w:rsid w:val="003B2082"/>
    <w:rPr>
      <w:rFonts w:cs="Times New Roman"/>
      <w:sz w:val="16"/>
    </w:rPr>
  </w:style>
  <w:style w:type="paragraph" w:styleId="CommentText">
    <w:name w:val="annotation text"/>
    <w:basedOn w:val="Normal"/>
    <w:link w:val="CommentTextChar"/>
    <w:uiPriority w:val="99"/>
    <w:semiHidden/>
    <w:rsid w:val="003B2082"/>
    <w:rPr>
      <w:rFonts w:cs="Times New Roman"/>
      <w:sz w:val="20"/>
      <w:szCs w:val="20"/>
      <w:lang w:eastAsia="en-GB"/>
    </w:rPr>
  </w:style>
  <w:style w:type="character" w:customStyle="1" w:styleId="CommentTextChar">
    <w:name w:val="Comment Text Char"/>
    <w:basedOn w:val="DefaultParagraphFont"/>
    <w:link w:val="CommentText"/>
    <w:uiPriority w:val="99"/>
    <w:semiHidden/>
    <w:locked/>
    <w:rsid w:val="003216F0"/>
    <w:rPr>
      <w:rFonts w:ascii="Humanist777" w:hAnsi="Humanist777" w:cs="Times New Roman"/>
      <w:sz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3216F0"/>
    <w:rPr>
      <w:rFonts w:ascii="Humanist777" w:hAnsi="Humanist777" w:cs="Times New Roman"/>
      <w:b/>
      <w:sz w:val="20"/>
    </w:rPr>
  </w:style>
  <w:style w:type="paragraph" w:styleId="BalloonText">
    <w:name w:val="Balloon Text"/>
    <w:basedOn w:val="Normal"/>
    <w:link w:val="BalloonTextChar"/>
    <w:uiPriority w:val="99"/>
    <w:semiHidden/>
    <w:rsid w:val="003B2082"/>
    <w:rPr>
      <w:rFonts w:ascii="Times New Roman" w:hAnsi="Times New Roman" w:cs="Times New Roman"/>
      <w:sz w:val="2"/>
      <w:szCs w:val="2"/>
      <w:lang w:eastAsia="en-GB"/>
    </w:rPr>
  </w:style>
  <w:style w:type="character" w:customStyle="1" w:styleId="BalloonTextChar">
    <w:name w:val="Balloon Text Char"/>
    <w:basedOn w:val="DefaultParagraphFont"/>
    <w:link w:val="BalloonText"/>
    <w:uiPriority w:val="99"/>
    <w:semiHidden/>
    <w:locked/>
    <w:rsid w:val="003216F0"/>
    <w:rPr>
      <w:rFonts w:cs="Times New Roman"/>
      <w:sz w:val="2"/>
    </w:rPr>
  </w:style>
  <w:style w:type="paragraph" w:styleId="NormalIndent">
    <w:name w:val="Normal Indent"/>
    <w:basedOn w:val="Normal"/>
    <w:uiPriority w:val="99"/>
    <w:rsid w:val="00D0765A"/>
    <w:pPr>
      <w:tabs>
        <w:tab w:val="clear" w:pos="284"/>
      </w:tabs>
      <w:spacing w:after="120"/>
      <w:ind w:left="720"/>
      <w:jc w:val="left"/>
    </w:pPr>
    <w:rPr>
      <w:sz w:val="22"/>
      <w:szCs w:val="22"/>
      <w:lang w:val="en-GB" w:eastAsia="en-GB"/>
    </w:rPr>
  </w:style>
  <w:style w:type="character" w:styleId="Hyperlink">
    <w:name w:val="Hyperlink"/>
    <w:basedOn w:val="DefaultParagraphFont"/>
    <w:uiPriority w:val="99"/>
    <w:rsid w:val="00301134"/>
    <w:rPr>
      <w:rFonts w:cs="Times New Roman"/>
      <w:color w:val="0000FF"/>
      <w:u w:val="single"/>
    </w:rPr>
  </w:style>
  <w:style w:type="character" w:customStyle="1" w:styleId="mediumtext1">
    <w:name w:val="medium_text1"/>
    <w:uiPriority w:val="99"/>
    <w:rsid w:val="00063382"/>
    <w:rPr>
      <w:sz w:val="24"/>
    </w:rPr>
  </w:style>
  <w:style w:type="character" w:customStyle="1" w:styleId="longtext1">
    <w:name w:val="long_text1"/>
    <w:uiPriority w:val="99"/>
    <w:rsid w:val="000F72E3"/>
    <w:rPr>
      <w:sz w:val="20"/>
    </w:rPr>
  </w:style>
  <w:style w:type="character" w:customStyle="1" w:styleId="shorttext1">
    <w:name w:val="short_text1"/>
    <w:uiPriority w:val="99"/>
    <w:rsid w:val="00104053"/>
    <w:rPr>
      <w:sz w:val="29"/>
    </w:rPr>
  </w:style>
  <w:style w:type="paragraph" w:styleId="BodyText2">
    <w:name w:val="Body Text 2"/>
    <w:basedOn w:val="Normal"/>
    <w:link w:val="BodyText2Char"/>
    <w:uiPriority w:val="99"/>
    <w:rsid w:val="00F346E7"/>
    <w:pPr>
      <w:tabs>
        <w:tab w:val="clear" w:pos="284"/>
      </w:tabs>
      <w:overflowPunct w:val="0"/>
      <w:autoSpaceDE w:val="0"/>
      <w:autoSpaceDN w:val="0"/>
      <w:adjustRightInd w:val="0"/>
      <w:textAlignment w:val="baseline"/>
    </w:pPr>
    <w:rPr>
      <w:rFonts w:cs="Times New Roman"/>
      <w:lang w:eastAsia="en-GB"/>
    </w:rPr>
  </w:style>
  <w:style w:type="character" w:customStyle="1" w:styleId="BodyText2Char">
    <w:name w:val="Body Text 2 Char"/>
    <w:basedOn w:val="DefaultParagraphFont"/>
    <w:link w:val="BodyText2"/>
    <w:uiPriority w:val="99"/>
    <w:semiHidden/>
    <w:locked/>
    <w:rsid w:val="003216F0"/>
    <w:rPr>
      <w:rFonts w:ascii="Humanist777" w:hAnsi="Humanist777" w:cs="Times New Roman"/>
      <w:sz w:val="24"/>
    </w:rPr>
  </w:style>
  <w:style w:type="paragraph" w:customStyle="1" w:styleId="Default">
    <w:name w:val="Default"/>
    <w:uiPriority w:val="99"/>
    <w:rsid w:val="00885ED8"/>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8D76A3"/>
    <w:pPr>
      <w:tabs>
        <w:tab w:val="clear" w:pos="284"/>
      </w:tabs>
      <w:jc w:val="left"/>
    </w:pPr>
    <w:rPr>
      <w:rFonts w:ascii="Times New Roman" w:hAnsi="Times New Roman" w:cs="Times New Roman"/>
      <w:i/>
      <w:iCs/>
      <w:color w:val="008000"/>
      <w:sz w:val="22"/>
      <w:szCs w:val="22"/>
      <w:lang w:val="en-GB" w:eastAsia="en-GB"/>
    </w:rPr>
  </w:style>
  <w:style w:type="character" w:customStyle="1" w:styleId="BodyTextChar">
    <w:name w:val="Body Text Char"/>
    <w:basedOn w:val="DefaultParagraphFont"/>
    <w:link w:val="BodyText"/>
    <w:uiPriority w:val="99"/>
    <w:locked/>
    <w:rsid w:val="008D76A3"/>
    <w:rPr>
      <w:rFonts w:cs="Times New Roman"/>
      <w:i/>
      <w:color w:val="008000"/>
      <w:sz w:val="22"/>
      <w:lang w:val="en-GB"/>
    </w:rPr>
  </w:style>
  <w:style w:type="character" w:customStyle="1" w:styleId="hps">
    <w:name w:val="hps"/>
    <w:uiPriority w:val="99"/>
    <w:rsid w:val="008621C8"/>
  </w:style>
  <w:style w:type="character" w:customStyle="1" w:styleId="hpsatn">
    <w:name w:val="hps atn"/>
    <w:uiPriority w:val="99"/>
    <w:rsid w:val="008621C8"/>
  </w:style>
  <w:style w:type="paragraph" w:styleId="NormalWeb">
    <w:name w:val="Normal (Web)"/>
    <w:basedOn w:val="Normal"/>
    <w:uiPriority w:val="99"/>
    <w:semiHidden/>
    <w:rsid w:val="00AB19B8"/>
    <w:pPr>
      <w:tabs>
        <w:tab w:val="clear" w:pos="284"/>
      </w:tabs>
      <w:spacing w:before="100" w:beforeAutospacing="1" w:after="75"/>
      <w:jc w:val="left"/>
    </w:pPr>
    <w:rPr>
      <w:rFonts w:ascii="Times New Roman" w:hAnsi="Times New Roman" w:cs="Times New Roman"/>
      <w:color w:val="000000"/>
    </w:rPr>
  </w:style>
  <w:style w:type="paragraph" w:styleId="NoSpacing">
    <w:name w:val="No Spacing"/>
    <w:uiPriority w:val="99"/>
    <w:qFormat/>
    <w:rsid w:val="007B5EAD"/>
    <w:rPr>
      <w:rFonts w:ascii="Arial" w:hAnsi="Arial"/>
      <w:lang w:val="en-GB"/>
    </w:rPr>
  </w:style>
  <w:style w:type="paragraph" w:styleId="ListParagraph">
    <w:name w:val="List Paragraph"/>
    <w:basedOn w:val="Normal"/>
    <w:uiPriority w:val="99"/>
    <w:qFormat/>
    <w:rsid w:val="00084768"/>
    <w:pPr>
      <w:ind w:left="720"/>
      <w:contextualSpacing/>
    </w:pPr>
  </w:style>
  <w:style w:type="paragraph" w:styleId="Title">
    <w:name w:val="Title"/>
    <w:basedOn w:val="Normal"/>
    <w:link w:val="TitleChar1"/>
    <w:uiPriority w:val="99"/>
    <w:qFormat/>
    <w:locked/>
    <w:rsid w:val="001238FD"/>
    <w:pPr>
      <w:tabs>
        <w:tab w:val="clear" w:pos="284"/>
      </w:tabs>
      <w:jc w:val="center"/>
    </w:pPr>
    <w:rPr>
      <w:rFonts w:ascii="Times New Roman" w:hAnsi="Times New Roman" w:cs="Times New Roman"/>
      <w:b/>
      <w:szCs w:val="20"/>
      <w:lang w:eastAsia="en-GB"/>
    </w:rPr>
  </w:style>
  <w:style w:type="character" w:customStyle="1" w:styleId="TitleChar">
    <w:name w:val="Title Char"/>
    <w:basedOn w:val="DefaultParagraphFont"/>
    <w:uiPriority w:val="99"/>
    <w:locked/>
    <w:rsid w:val="000752E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1238FD"/>
    <w:rPr>
      <w:rFonts w:cs="Times New Roman"/>
      <w:b/>
      <w:sz w:val="24"/>
      <w:lang w:val="en-US" w:eastAsia="en-GB" w:bidi="ar-SA"/>
    </w:rPr>
  </w:style>
  <w:style w:type="table" w:styleId="TableElegant">
    <w:name w:val="Table Elegant"/>
    <w:basedOn w:val="TableNormal"/>
    <w:uiPriority w:val="99"/>
    <w:rsid w:val="001238FD"/>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uiPriority w:val="99"/>
    <w:semiHidden/>
    <w:rsid w:val="00EC3931"/>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7177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3453</Words>
  <Characters>19685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Alkaloid</Company>
  <LinksUpToDate>false</LinksUpToDate>
  <CharactersWithSpaces>23092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Olivera Peneva</dc:creator>
  <cp:lastModifiedBy>Milena Lješković</cp:lastModifiedBy>
  <cp:revision>7</cp:revision>
  <cp:lastPrinted>2009-04-15T05:42:00Z</cp:lastPrinted>
  <dcterms:created xsi:type="dcterms:W3CDTF">2017-09-18T11:49:00Z</dcterms:created>
  <dcterms:modified xsi:type="dcterms:W3CDTF">2017-09-22T10:58:00Z</dcterms:modified>
</cp:coreProperties>
</file>