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B4" w:rsidRPr="00237B23" w:rsidRDefault="009318B4" w:rsidP="00237B23">
      <w:pPr>
        <w:spacing w:after="0" w:line="240" w:lineRule="auto"/>
        <w:rPr>
          <w:rFonts w:ascii="Times New Roman" w:hAnsi="Times New Roman" w:cs="Times New Roman"/>
        </w:rPr>
      </w:pPr>
    </w:p>
    <w:p w:rsidR="00237B23" w:rsidRDefault="00237B23" w:rsidP="00237B23">
      <w:pPr>
        <w:tabs>
          <w:tab w:val="left" w:pos="6150"/>
        </w:tabs>
        <w:spacing w:after="0" w:line="240" w:lineRule="auto"/>
        <w:rPr>
          <w:rFonts w:ascii="Times New Roman" w:hAnsi="Times New Roman" w:cs="Times New Roman"/>
        </w:rPr>
      </w:pPr>
    </w:p>
    <w:p w:rsidR="00237B23" w:rsidRDefault="00237B23" w:rsidP="00237B23">
      <w:pPr>
        <w:tabs>
          <w:tab w:val="left" w:pos="6150"/>
        </w:tabs>
        <w:spacing w:after="0" w:line="240" w:lineRule="auto"/>
        <w:rPr>
          <w:rFonts w:ascii="Times New Roman" w:hAnsi="Times New Roman" w:cs="Times New Roman"/>
        </w:rPr>
      </w:pPr>
    </w:p>
    <w:p w:rsidR="00237B23" w:rsidRDefault="00237B23" w:rsidP="00237B23">
      <w:pPr>
        <w:tabs>
          <w:tab w:val="left" w:pos="6150"/>
        </w:tabs>
        <w:spacing w:after="0" w:line="240" w:lineRule="auto"/>
        <w:rPr>
          <w:rFonts w:ascii="Times New Roman" w:hAnsi="Times New Roman" w:cs="Times New Roman"/>
        </w:rPr>
      </w:pPr>
    </w:p>
    <w:p w:rsidR="009318B4" w:rsidRPr="00237B23" w:rsidRDefault="00747C4B" w:rsidP="00237B23">
      <w:pPr>
        <w:tabs>
          <w:tab w:val="left" w:pos="6150"/>
        </w:tabs>
        <w:spacing w:after="0" w:line="240" w:lineRule="auto"/>
        <w:rPr>
          <w:rFonts w:ascii="Times New Roman" w:hAnsi="Times New Roman" w:cs="Times New Roman"/>
        </w:rPr>
      </w:pPr>
      <w:r w:rsidRPr="00237B23">
        <w:rPr>
          <w:rFonts w:ascii="Times New Roman" w:hAnsi="Times New Roman" w:cs="Times New Roman"/>
        </w:rPr>
        <w:tab/>
      </w:r>
    </w:p>
    <w:tbl>
      <w:tblPr>
        <w:tblW w:w="9360" w:type="dxa"/>
        <w:jc w:val="center"/>
        <w:tblLayout w:type="fixed"/>
        <w:tblLook w:val="0000" w:firstRow="0" w:lastRow="0" w:firstColumn="0" w:lastColumn="0" w:noHBand="0" w:noVBand="0"/>
      </w:tblPr>
      <w:tblGrid>
        <w:gridCol w:w="2160"/>
        <w:gridCol w:w="7200"/>
      </w:tblGrid>
      <w:tr w:rsidR="00237B23" w:rsidRPr="00237B23" w:rsidTr="00BB3C31">
        <w:trPr>
          <w:trHeight w:val="530"/>
          <w:jc w:val="center"/>
        </w:trPr>
        <w:tc>
          <w:tcPr>
            <w:tcW w:w="9360" w:type="dxa"/>
            <w:gridSpan w:val="2"/>
            <w:vAlign w:val="center"/>
          </w:tcPr>
          <w:p w:rsidR="00237B23" w:rsidRPr="00237B23" w:rsidRDefault="00237B23" w:rsidP="00237B23">
            <w:pPr>
              <w:spacing w:after="0" w:line="240" w:lineRule="auto"/>
              <w:jc w:val="center"/>
              <w:rPr>
                <w:rFonts w:ascii="Times New Roman" w:eastAsia="Times New Roman" w:hAnsi="Times New Roman" w:cs="Times New Roman"/>
                <w:b/>
                <w:bCs/>
                <w:iCs/>
                <w:u w:val="single"/>
                <w:lang w:val="sr-Latn-ME" w:eastAsia="sl-SI"/>
              </w:rPr>
            </w:pPr>
            <w:r w:rsidRPr="00237B23">
              <w:rPr>
                <w:rFonts w:ascii="Times New Roman" w:eastAsia="Times New Roman" w:hAnsi="Times New Roman" w:cs="Times New Roman"/>
                <w:b/>
                <w:bCs/>
                <w:iCs/>
                <w:u w:val="single"/>
                <w:lang w:val="sr-Latn-ME" w:eastAsia="sl-SI"/>
              </w:rPr>
              <w:t>SAŽETAK KARAKTERISTIKA LIJEKA</w:t>
            </w:r>
          </w:p>
        </w:tc>
      </w:tr>
      <w:tr w:rsidR="00237B23" w:rsidRPr="00237B23" w:rsidTr="00BB3C31">
        <w:trPr>
          <w:trHeight w:val="1969"/>
          <w:jc w:val="center"/>
        </w:trPr>
        <w:tc>
          <w:tcPr>
            <w:tcW w:w="9360" w:type="dxa"/>
            <w:gridSpan w:val="2"/>
            <w:vAlign w:val="bottom"/>
          </w:tcPr>
          <w:p w:rsidR="00237B23" w:rsidRPr="00237B23" w:rsidRDefault="00237B23" w:rsidP="00237B23">
            <w:pPr>
              <w:spacing w:after="0" w:line="240" w:lineRule="auto"/>
              <w:jc w:val="center"/>
              <w:rPr>
                <w:rFonts w:ascii="Times New Roman" w:eastAsia="Times New Roman" w:hAnsi="Times New Roman" w:cs="Times New Roman"/>
                <w:lang w:val="sr-Latn-ME" w:eastAsia="hr-HR"/>
              </w:rPr>
            </w:pPr>
            <w:r w:rsidRPr="00237B23">
              <w:rPr>
                <w:rFonts w:ascii="Times New Roman" w:eastAsia="Times New Roman" w:hAnsi="Times New Roman" w:cs="Times New Roman"/>
                <w:b/>
                <w:lang w:val="sr-Latn-ME" w:eastAsia="hr-HR"/>
              </w:rPr>
              <w:t>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b/>
                <w:lang w:val="sr-Latn-ME" w:eastAsia="hr-HR"/>
              </w:rPr>
              <w:t xml:space="preserve"> plus</w:t>
            </w:r>
            <w:r w:rsidRPr="00237B23">
              <w:rPr>
                <w:rFonts w:ascii="Times New Roman" w:eastAsia="Times New Roman" w:hAnsi="Times New Roman" w:cs="Times New Roman"/>
                <w:lang w:val="sr-Latn-ME" w:eastAsia="hr-HR"/>
              </w:rPr>
              <w:t>, sprej za usnu sluznicu, rastvor,</w:t>
            </w:r>
          </w:p>
          <w:p w:rsidR="00237B23" w:rsidRPr="00237B23" w:rsidRDefault="00237B23" w:rsidP="00237B23">
            <w:pPr>
              <w:spacing w:after="0" w:line="240" w:lineRule="auto"/>
              <w:jc w:val="center"/>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 xml:space="preserve">10 mg/ml + 2 mg/ml, </w:t>
            </w:r>
            <w:r w:rsidR="00881BEE">
              <w:rPr>
                <w:rFonts w:ascii="Times New Roman" w:eastAsia="Times New Roman" w:hAnsi="Times New Roman" w:cs="Times New Roman"/>
                <w:lang w:val="sr-Latn-ME" w:eastAsia="hr-HR"/>
              </w:rPr>
              <w:t>sprej kontejner</w:t>
            </w:r>
            <w:r w:rsidRPr="00237B23">
              <w:rPr>
                <w:rFonts w:ascii="Times New Roman" w:eastAsia="Times New Roman" w:hAnsi="Times New Roman" w:cs="Times New Roman"/>
                <w:lang w:val="sr-Latn-ME" w:eastAsia="hr-HR"/>
              </w:rPr>
              <w:t>, 1x30 ml</w:t>
            </w:r>
          </w:p>
          <w:p w:rsidR="00237B23" w:rsidRPr="00237B23" w:rsidRDefault="00237B23" w:rsidP="00237B23">
            <w:pPr>
              <w:spacing w:after="0" w:line="240" w:lineRule="auto"/>
              <w:jc w:val="center"/>
              <w:rPr>
                <w:rFonts w:ascii="Times New Roman" w:eastAsia="Times New Roman" w:hAnsi="Times New Roman" w:cs="Times New Roman"/>
                <w:b/>
                <w:bCs/>
                <w:u w:val="single"/>
                <w:lang w:val="sr-Latn-ME" w:eastAsia="sl-SI"/>
              </w:rPr>
            </w:pPr>
          </w:p>
        </w:tc>
      </w:tr>
      <w:tr w:rsidR="00237B23" w:rsidRPr="00237B23" w:rsidTr="00BB3C31">
        <w:trPr>
          <w:trHeight w:val="1225"/>
          <w:jc w:val="center"/>
        </w:trPr>
        <w:tc>
          <w:tcPr>
            <w:tcW w:w="9360" w:type="dxa"/>
            <w:gridSpan w:val="2"/>
          </w:tcPr>
          <w:p w:rsidR="00237B23" w:rsidRPr="00237B23" w:rsidRDefault="00237B23" w:rsidP="00237B23">
            <w:pPr>
              <w:keepNext/>
              <w:tabs>
                <w:tab w:val="left" w:pos="4300"/>
                <w:tab w:val="left" w:pos="5940"/>
                <w:tab w:val="left" w:pos="8180"/>
              </w:tabs>
              <w:spacing w:after="0" w:line="240" w:lineRule="auto"/>
              <w:outlineLvl w:val="1"/>
              <w:rPr>
                <w:rFonts w:ascii="Times New Roman" w:eastAsia="Times New Roman" w:hAnsi="Times New Roman" w:cs="Times New Roman"/>
                <w:b/>
                <w:color w:val="808080"/>
                <w:u w:val="single"/>
                <w:lang w:val="sr-Latn-ME" w:eastAsia="sl-SI"/>
              </w:rPr>
            </w:pPr>
          </w:p>
        </w:tc>
      </w:tr>
      <w:tr w:rsidR="00237B23" w:rsidRPr="00237B23" w:rsidTr="00237B23">
        <w:trPr>
          <w:trHeight w:val="570"/>
          <w:jc w:val="center"/>
        </w:trPr>
        <w:tc>
          <w:tcPr>
            <w:tcW w:w="2160" w:type="dxa"/>
            <w:vAlign w:val="bottom"/>
          </w:tcPr>
          <w:p w:rsidR="00237B23" w:rsidRPr="00237B23" w:rsidRDefault="00237B23" w:rsidP="00237B23">
            <w:pPr>
              <w:spacing w:after="0" w:line="240" w:lineRule="auto"/>
              <w:jc w:val="right"/>
              <w:rPr>
                <w:rFonts w:ascii="Times New Roman" w:eastAsia="Times New Roman" w:hAnsi="Times New Roman" w:cs="Times New Roman"/>
                <w:b/>
                <w:lang w:val="sr-Latn-ME" w:eastAsia="sl-SI"/>
              </w:rPr>
            </w:pPr>
            <w:r w:rsidRPr="00237B23">
              <w:rPr>
                <w:rFonts w:ascii="Times New Roman" w:eastAsia="Times New Roman" w:hAnsi="Times New Roman" w:cs="Times New Roman"/>
                <w:b/>
                <w:lang w:val="sr-Latn-ME" w:eastAsia="sl-SI"/>
              </w:rPr>
              <w:t>Proizvođač:</w:t>
            </w:r>
          </w:p>
        </w:tc>
        <w:tc>
          <w:tcPr>
            <w:tcW w:w="7200" w:type="dxa"/>
            <w:vAlign w:val="bottom"/>
          </w:tcPr>
          <w:p w:rsidR="00237B23" w:rsidRPr="00237B23" w:rsidRDefault="00237B23" w:rsidP="00934550">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KRKA d. d., Novo mesto,</w:t>
            </w:r>
          </w:p>
        </w:tc>
      </w:tr>
      <w:tr w:rsidR="00237B23" w:rsidRPr="00237B23" w:rsidTr="00237B23">
        <w:trPr>
          <w:trHeight w:val="575"/>
          <w:jc w:val="center"/>
        </w:trPr>
        <w:tc>
          <w:tcPr>
            <w:tcW w:w="2160" w:type="dxa"/>
            <w:vAlign w:val="bottom"/>
          </w:tcPr>
          <w:p w:rsidR="00237B23" w:rsidRPr="00237B23" w:rsidRDefault="00237B23" w:rsidP="00237B23">
            <w:pPr>
              <w:spacing w:after="0" w:line="240" w:lineRule="auto"/>
              <w:jc w:val="right"/>
              <w:rPr>
                <w:rFonts w:ascii="Times New Roman" w:eastAsia="Times New Roman" w:hAnsi="Times New Roman" w:cs="Times New Roman"/>
                <w:b/>
                <w:lang w:val="sr-Latn-ME" w:eastAsia="sl-SI"/>
              </w:rPr>
            </w:pPr>
            <w:r w:rsidRPr="00237B23">
              <w:rPr>
                <w:rFonts w:ascii="Times New Roman" w:eastAsia="Times New Roman" w:hAnsi="Times New Roman" w:cs="Times New Roman"/>
                <w:b/>
                <w:lang w:val="sr-Latn-ME" w:eastAsia="sl-SI"/>
              </w:rPr>
              <w:t>Adresa:</w:t>
            </w:r>
          </w:p>
        </w:tc>
        <w:tc>
          <w:tcPr>
            <w:tcW w:w="7200" w:type="dxa"/>
            <w:vAlign w:val="bottom"/>
          </w:tcPr>
          <w:p w:rsidR="00237B23" w:rsidRPr="00237B23" w:rsidRDefault="00237B23" w:rsidP="00237B23">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Šmarješka cesta 6, 8501 Novo mesto, Slovenija</w:t>
            </w:r>
          </w:p>
        </w:tc>
      </w:tr>
      <w:tr w:rsidR="00237B23" w:rsidRPr="00237B23" w:rsidTr="00237B23">
        <w:trPr>
          <w:trHeight w:val="558"/>
          <w:jc w:val="center"/>
        </w:trPr>
        <w:tc>
          <w:tcPr>
            <w:tcW w:w="2160" w:type="dxa"/>
            <w:vAlign w:val="bottom"/>
          </w:tcPr>
          <w:p w:rsidR="00237B23" w:rsidRPr="00237B23" w:rsidRDefault="00237B23" w:rsidP="00237B23">
            <w:pPr>
              <w:spacing w:after="0" w:line="240" w:lineRule="auto"/>
              <w:jc w:val="right"/>
              <w:rPr>
                <w:rFonts w:ascii="Times New Roman" w:eastAsia="Times New Roman" w:hAnsi="Times New Roman" w:cs="Times New Roman"/>
                <w:b/>
                <w:lang w:val="sr-Latn-ME" w:eastAsia="sl-SI"/>
              </w:rPr>
            </w:pPr>
            <w:r w:rsidRPr="00237B23">
              <w:rPr>
                <w:rFonts w:ascii="Times New Roman" w:eastAsia="Times New Roman" w:hAnsi="Times New Roman" w:cs="Times New Roman"/>
                <w:b/>
                <w:lang w:val="sr-Latn-ME" w:eastAsia="sl-SI"/>
              </w:rPr>
              <w:t>Podnosilac zahtjeva:</w:t>
            </w:r>
          </w:p>
        </w:tc>
        <w:tc>
          <w:tcPr>
            <w:tcW w:w="7200" w:type="dxa"/>
            <w:vAlign w:val="bottom"/>
          </w:tcPr>
          <w:p w:rsidR="00237B23" w:rsidRPr="00237B23" w:rsidRDefault="00237B23" w:rsidP="00934550">
            <w:pPr>
              <w:autoSpaceDE w:val="0"/>
              <w:autoSpaceDN w:val="0"/>
              <w:adjustRightInd w:val="0"/>
              <w:spacing w:after="0" w:line="240" w:lineRule="auto"/>
              <w:ind w:left="1985" w:hanging="1985"/>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sl-SI"/>
              </w:rPr>
              <w:t>D.S.D „KRKA d.d. Novo mesto“ - predstavništvo Podgorica</w:t>
            </w:r>
          </w:p>
        </w:tc>
      </w:tr>
      <w:tr w:rsidR="00237B23" w:rsidRPr="00237B23" w:rsidTr="00237B23">
        <w:trPr>
          <w:trHeight w:val="563"/>
          <w:jc w:val="center"/>
        </w:trPr>
        <w:tc>
          <w:tcPr>
            <w:tcW w:w="2160" w:type="dxa"/>
            <w:vAlign w:val="bottom"/>
          </w:tcPr>
          <w:p w:rsidR="00237B23" w:rsidRPr="00237B23" w:rsidRDefault="00237B23" w:rsidP="00237B23">
            <w:pPr>
              <w:spacing w:after="0" w:line="240" w:lineRule="auto"/>
              <w:jc w:val="right"/>
              <w:rPr>
                <w:rFonts w:ascii="Times New Roman" w:eastAsia="Times New Roman" w:hAnsi="Times New Roman" w:cs="Times New Roman"/>
                <w:b/>
                <w:lang w:val="sr-Latn-ME" w:eastAsia="sl-SI"/>
              </w:rPr>
            </w:pPr>
            <w:r w:rsidRPr="00237B23">
              <w:rPr>
                <w:rFonts w:ascii="Times New Roman" w:eastAsia="Times New Roman" w:hAnsi="Times New Roman" w:cs="Times New Roman"/>
                <w:b/>
                <w:lang w:val="sr-Latn-ME" w:eastAsia="sl-SI"/>
              </w:rPr>
              <w:t>Adresa:</w:t>
            </w:r>
          </w:p>
        </w:tc>
        <w:tc>
          <w:tcPr>
            <w:tcW w:w="7200" w:type="dxa"/>
            <w:vAlign w:val="bottom"/>
          </w:tcPr>
          <w:p w:rsidR="00237B23" w:rsidRPr="00237B23" w:rsidRDefault="00237B23" w:rsidP="00237B23">
            <w:pPr>
              <w:autoSpaceDE w:val="0"/>
              <w:autoSpaceDN w:val="0"/>
              <w:adjustRightInd w:val="0"/>
              <w:spacing w:after="0" w:line="240" w:lineRule="auto"/>
              <w:ind w:right="71"/>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sl-SI"/>
              </w:rPr>
              <w:t>Svetlane Kane Radević br. 3, 81000 Podgorica, Crna Gora</w:t>
            </w:r>
          </w:p>
        </w:tc>
      </w:tr>
    </w:tbl>
    <w:p w:rsidR="009318B4" w:rsidRPr="00237B23" w:rsidRDefault="009318B4" w:rsidP="00237B23">
      <w:pPr>
        <w:spacing w:after="0" w:line="240" w:lineRule="auto"/>
        <w:rPr>
          <w:rFonts w:ascii="Times New Roman" w:hAnsi="Times New Roman" w:cs="Times New Roman"/>
        </w:rPr>
      </w:pPr>
    </w:p>
    <w:p w:rsidR="00F1527C" w:rsidRPr="00237B23" w:rsidRDefault="00F1527C" w:rsidP="00237B23">
      <w:pPr>
        <w:spacing w:after="0" w:line="240" w:lineRule="auto"/>
        <w:rPr>
          <w:rFonts w:ascii="Times New Roman" w:hAnsi="Times New Roman" w:cs="Times New Roman"/>
        </w:rPr>
      </w:pPr>
    </w:p>
    <w:p w:rsidR="00F1527C" w:rsidRPr="00237B23" w:rsidRDefault="00F1527C" w:rsidP="00237B23">
      <w:pPr>
        <w:spacing w:after="0" w:line="240" w:lineRule="auto"/>
        <w:rPr>
          <w:rFonts w:ascii="Times New Roman" w:hAnsi="Times New Roman" w:cs="Times New Roman"/>
        </w:rPr>
      </w:pPr>
    </w:p>
    <w:p w:rsidR="00F1527C" w:rsidRPr="00237B23" w:rsidRDefault="00F1527C" w:rsidP="00237B23">
      <w:pPr>
        <w:spacing w:after="0" w:line="240" w:lineRule="auto"/>
        <w:rPr>
          <w:rFonts w:ascii="Times New Roman" w:hAnsi="Times New Roman" w:cs="Times New Roman"/>
        </w:rPr>
      </w:pPr>
    </w:p>
    <w:p w:rsidR="00F1527C" w:rsidRPr="00237B23" w:rsidRDefault="00F1527C" w:rsidP="00237B23">
      <w:pPr>
        <w:spacing w:after="0" w:line="240" w:lineRule="auto"/>
        <w:rPr>
          <w:rFonts w:ascii="Times New Roman" w:hAnsi="Times New Roman" w:cs="Times New Roman"/>
        </w:rPr>
      </w:pPr>
    </w:p>
    <w:p w:rsidR="00F1527C" w:rsidRPr="00237B23" w:rsidRDefault="00F1527C" w:rsidP="00237B23">
      <w:pPr>
        <w:spacing w:after="0" w:line="240" w:lineRule="auto"/>
        <w:rPr>
          <w:rFonts w:ascii="Times New Roman" w:hAnsi="Times New Roman" w:cs="Times New Roman"/>
        </w:rPr>
      </w:pPr>
    </w:p>
    <w:p w:rsidR="00F1527C" w:rsidRPr="00237B23" w:rsidRDefault="00F1527C" w:rsidP="00237B23">
      <w:pPr>
        <w:spacing w:after="0" w:line="240" w:lineRule="auto"/>
        <w:rPr>
          <w:rFonts w:ascii="Times New Roman" w:hAnsi="Times New Roman" w:cs="Times New Roman"/>
        </w:rPr>
      </w:pPr>
    </w:p>
    <w:p w:rsidR="00F1527C" w:rsidRPr="00237B23" w:rsidRDefault="00F1527C" w:rsidP="00237B23">
      <w:pPr>
        <w:spacing w:after="0" w:line="240" w:lineRule="auto"/>
        <w:rPr>
          <w:rFonts w:ascii="Times New Roman" w:hAnsi="Times New Roman" w:cs="Times New Roman"/>
        </w:rPr>
      </w:pPr>
    </w:p>
    <w:p w:rsidR="00F1527C" w:rsidRPr="00237B23" w:rsidRDefault="00F1527C" w:rsidP="00237B23">
      <w:pPr>
        <w:spacing w:after="0" w:line="240" w:lineRule="auto"/>
        <w:rPr>
          <w:rFonts w:ascii="Times New Roman" w:hAnsi="Times New Roman" w:cs="Times New Roman"/>
        </w:rPr>
      </w:pPr>
    </w:p>
    <w:p w:rsidR="00F1527C" w:rsidRPr="00237B23" w:rsidRDefault="00F1527C" w:rsidP="00237B23">
      <w:pPr>
        <w:spacing w:after="0" w:line="240" w:lineRule="auto"/>
        <w:rPr>
          <w:rFonts w:ascii="Times New Roman" w:hAnsi="Times New Roman" w:cs="Times New Roman"/>
        </w:rPr>
      </w:pPr>
    </w:p>
    <w:p w:rsidR="00F1527C" w:rsidRPr="00237B23" w:rsidRDefault="00F1527C" w:rsidP="00237B23">
      <w:pPr>
        <w:spacing w:after="0" w:line="240" w:lineRule="auto"/>
        <w:rPr>
          <w:rFonts w:ascii="Times New Roman" w:hAnsi="Times New Roman" w:cs="Times New Roman"/>
        </w:rPr>
      </w:pPr>
    </w:p>
    <w:p w:rsidR="00F1527C" w:rsidRPr="00237B23" w:rsidRDefault="00F1527C" w:rsidP="00237B23">
      <w:pPr>
        <w:spacing w:after="0" w:line="240" w:lineRule="auto"/>
        <w:rPr>
          <w:rFonts w:ascii="Times New Roman" w:hAnsi="Times New Roman" w:cs="Times New Roman"/>
        </w:rPr>
      </w:pPr>
    </w:p>
    <w:p w:rsidR="00F1527C" w:rsidRDefault="00F1527C" w:rsidP="00237B23">
      <w:pPr>
        <w:spacing w:after="0" w:line="240" w:lineRule="auto"/>
        <w:rPr>
          <w:rFonts w:ascii="Times New Roman" w:hAnsi="Times New Roman" w:cs="Times New Roman"/>
        </w:rPr>
      </w:pPr>
    </w:p>
    <w:p w:rsidR="00237B23" w:rsidRDefault="00237B23" w:rsidP="00237B23">
      <w:pPr>
        <w:spacing w:after="0" w:line="240" w:lineRule="auto"/>
        <w:rPr>
          <w:rFonts w:ascii="Times New Roman" w:hAnsi="Times New Roman" w:cs="Times New Roman"/>
        </w:rPr>
      </w:pPr>
    </w:p>
    <w:p w:rsidR="00237B23" w:rsidRDefault="00237B23" w:rsidP="00237B23">
      <w:pPr>
        <w:spacing w:after="0" w:line="240" w:lineRule="auto"/>
        <w:rPr>
          <w:rFonts w:ascii="Times New Roman" w:hAnsi="Times New Roman" w:cs="Times New Roman"/>
        </w:rPr>
      </w:pPr>
    </w:p>
    <w:p w:rsidR="00237B23" w:rsidRDefault="00237B23" w:rsidP="00237B23">
      <w:pPr>
        <w:spacing w:after="0" w:line="240" w:lineRule="auto"/>
        <w:rPr>
          <w:rFonts w:ascii="Times New Roman" w:hAnsi="Times New Roman" w:cs="Times New Roman"/>
        </w:rPr>
      </w:pPr>
    </w:p>
    <w:p w:rsidR="00237B23" w:rsidRDefault="00237B23" w:rsidP="00237B23">
      <w:pPr>
        <w:spacing w:after="0" w:line="240" w:lineRule="auto"/>
        <w:rPr>
          <w:rFonts w:ascii="Times New Roman" w:hAnsi="Times New Roman" w:cs="Times New Roman"/>
        </w:rPr>
      </w:pPr>
    </w:p>
    <w:p w:rsidR="00237B23" w:rsidRPr="00237B23" w:rsidRDefault="00237B23" w:rsidP="00237B23">
      <w:pPr>
        <w:spacing w:after="0" w:line="240" w:lineRule="auto"/>
        <w:rPr>
          <w:rFonts w:ascii="Times New Roman" w:hAnsi="Times New Roman" w:cs="Times New Roman"/>
        </w:rPr>
      </w:pPr>
    </w:p>
    <w:p w:rsidR="00237B23" w:rsidRPr="00237B23" w:rsidRDefault="00237B23" w:rsidP="003B0A06">
      <w:pPr>
        <w:tabs>
          <w:tab w:val="left" w:pos="426"/>
        </w:tabs>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lastRenderedPageBreak/>
        <w:t xml:space="preserve">1.    NAZIV LIJEKA </w:t>
      </w:r>
    </w:p>
    <w:p w:rsidR="00237B23" w:rsidRPr="00237B23" w:rsidRDefault="00237B23" w:rsidP="003B0A06">
      <w:pPr>
        <w:tabs>
          <w:tab w:val="left" w:pos="567"/>
        </w:tabs>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10 mg/ml + 2 mg/ml sprej za usnu sluznicu, rastvor</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INN: benzokain, cetilpiridinijum</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tabs>
          <w:tab w:val="left" w:pos="426"/>
        </w:tabs>
        <w:spacing w:after="0" w:line="240" w:lineRule="auto"/>
        <w:jc w:val="both"/>
        <w:rPr>
          <w:rFonts w:ascii="Times New Roman" w:eastAsia="Times New Roman" w:hAnsi="Times New Roman" w:cs="Times New Roman"/>
          <w:b/>
          <w:bCs/>
          <w:lang w:val="sr-Latn-ME" w:eastAsia="hr-HR"/>
        </w:rPr>
      </w:pPr>
      <w:r>
        <w:rPr>
          <w:rFonts w:ascii="Times New Roman" w:eastAsia="Times New Roman" w:hAnsi="Times New Roman" w:cs="Times New Roman"/>
          <w:b/>
          <w:bCs/>
          <w:lang w:val="sr-Latn-ME" w:eastAsia="hr-HR"/>
        </w:rPr>
        <w:t xml:space="preserve">2.    </w:t>
      </w:r>
      <w:r w:rsidRPr="00237B23">
        <w:rPr>
          <w:rFonts w:ascii="Times New Roman" w:eastAsia="Times New Roman" w:hAnsi="Times New Roman" w:cs="Times New Roman"/>
          <w:b/>
          <w:bCs/>
          <w:lang w:val="sr-Latn-ME" w:eastAsia="hr-HR"/>
        </w:rPr>
        <w:t>KVALITATIVNI I KVANTITATIVNI SASTAV</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Jedan ml spreja za usnu sluznicu, rastvora sadrži 10 mg benzokaina i 2 mg cetilipiridinijum hlorida.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Jedno raspršivanje sadrži 0,15 ml rastvora za usnu sluznicu, rastvora koji sadrži 1,5 mg benzokaina i 0,3 mg cetilpiridinijum hlorida.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Pomoćna supstanca:</w:t>
      </w:r>
    </w:p>
    <w:p w:rsidR="00237B23" w:rsidRPr="00237B23" w:rsidRDefault="00237B23" w:rsidP="003B0A06">
      <w:pPr>
        <w:numPr>
          <w:ilvl w:val="0"/>
          <w:numId w:val="1"/>
        </w:num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Etanol 96 %: 330 mg/ml rastvora (49,5 mg/raspršivanje)</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widowControl w:val="0"/>
        <w:tabs>
          <w:tab w:val="left" w:pos="567"/>
        </w:tabs>
        <w:spacing w:after="0" w:line="240" w:lineRule="auto"/>
        <w:jc w:val="both"/>
        <w:rPr>
          <w:rFonts w:ascii="Times New Roman" w:eastAsia="Times New Roman" w:hAnsi="Times New Roman" w:cs="Times New Roman"/>
          <w:lang w:val="sr-Latn-ME"/>
        </w:rPr>
      </w:pPr>
      <w:r w:rsidRPr="00237B23">
        <w:rPr>
          <w:rFonts w:ascii="Times New Roman" w:eastAsia="Times New Roman" w:hAnsi="Times New Roman" w:cs="Times New Roman"/>
          <w:lang w:val="sr-Latn-ME" w:eastAsia="ar-SA"/>
        </w:rPr>
        <w:t>Za kompletnu listu svih pomoćnih supstanci vidjeti odeljak 6.1.</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3B0A06" w:rsidP="003B0A06">
      <w:pPr>
        <w:tabs>
          <w:tab w:val="left" w:pos="284"/>
          <w:tab w:val="left" w:pos="426"/>
          <w:tab w:val="left" w:pos="709"/>
        </w:tabs>
        <w:spacing w:after="0" w:line="240" w:lineRule="auto"/>
        <w:jc w:val="both"/>
        <w:rPr>
          <w:rFonts w:ascii="Times New Roman" w:eastAsia="Times New Roman" w:hAnsi="Times New Roman" w:cs="Times New Roman"/>
          <w:b/>
          <w:bCs/>
          <w:lang w:val="sr-Latn-ME" w:eastAsia="hr-HR"/>
        </w:rPr>
      </w:pPr>
      <w:r>
        <w:rPr>
          <w:rFonts w:ascii="Times New Roman" w:eastAsia="Times New Roman" w:hAnsi="Times New Roman" w:cs="Times New Roman"/>
          <w:b/>
          <w:bCs/>
          <w:lang w:val="sr-Latn-ME" w:eastAsia="hr-HR"/>
        </w:rPr>
        <w:t xml:space="preserve">3.     </w:t>
      </w:r>
      <w:r w:rsidR="00237B23" w:rsidRPr="00237B23">
        <w:rPr>
          <w:rFonts w:ascii="Times New Roman" w:eastAsia="Times New Roman" w:hAnsi="Times New Roman" w:cs="Times New Roman"/>
          <w:b/>
          <w:bCs/>
          <w:lang w:val="sr-Latn-ME" w:eastAsia="hr-HR"/>
        </w:rPr>
        <w:t>FARMACEUTSKI OBLIK</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Sprej za usnu sluznicu, rastvor.</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Sprej za usnu sluznicu, rastvor, je bistar, bezbojni do žućkasti rastvor.</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tabs>
          <w:tab w:val="left" w:pos="426"/>
        </w:tabs>
        <w:spacing w:after="0" w:line="240" w:lineRule="auto"/>
        <w:jc w:val="both"/>
        <w:rPr>
          <w:rFonts w:ascii="Times New Roman" w:eastAsia="Times New Roman" w:hAnsi="Times New Roman" w:cs="Times New Roman"/>
          <w:lang w:val="sr-Latn-ME" w:eastAsia="hr-HR"/>
        </w:rPr>
      </w:pPr>
    </w:p>
    <w:p w:rsidR="00237B23" w:rsidRPr="00237B23" w:rsidRDefault="003B0A06" w:rsidP="003B0A06">
      <w:pPr>
        <w:spacing w:after="0" w:line="240" w:lineRule="auto"/>
        <w:jc w:val="both"/>
        <w:rPr>
          <w:rFonts w:ascii="Times New Roman" w:eastAsia="Times New Roman" w:hAnsi="Times New Roman" w:cs="Times New Roman"/>
          <w:b/>
          <w:bCs/>
          <w:lang w:val="sr-Latn-ME" w:eastAsia="hr-HR"/>
        </w:rPr>
      </w:pPr>
      <w:r>
        <w:rPr>
          <w:rFonts w:ascii="Times New Roman" w:eastAsia="Times New Roman" w:hAnsi="Times New Roman" w:cs="Times New Roman"/>
          <w:b/>
          <w:bCs/>
          <w:lang w:val="sr-Latn-ME" w:eastAsia="hr-HR"/>
        </w:rPr>
        <w:t xml:space="preserve">4.    </w:t>
      </w:r>
      <w:r w:rsidR="00237B23" w:rsidRPr="00237B23">
        <w:rPr>
          <w:rFonts w:ascii="Times New Roman" w:eastAsia="Times New Roman" w:hAnsi="Times New Roman" w:cs="Times New Roman"/>
          <w:b/>
          <w:bCs/>
          <w:lang w:val="sr-Latn-ME" w:eastAsia="hr-HR"/>
        </w:rPr>
        <w:t>KLINIČKI PODACI</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3B0A06" w:rsidP="003B0A06">
      <w:pPr>
        <w:spacing w:after="0" w:line="240" w:lineRule="auto"/>
        <w:jc w:val="both"/>
        <w:rPr>
          <w:rFonts w:ascii="Times New Roman" w:eastAsia="Times New Roman" w:hAnsi="Times New Roman" w:cs="Times New Roman"/>
          <w:b/>
          <w:bCs/>
          <w:lang w:val="sr-Latn-ME" w:eastAsia="hr-HR"/>
        </w:rPr>
      </w:pPr>
      <w:r>
        <w:rPr>
          <w:rFonts w:ascii="Times New Roman" w:eastAsia="Times New Roman" w:hAnsi="Times New Roman" w:cs="Times New Roman"/>
          <w:b/>
          <w:bCs/>
          <w:lang w:val="sr-Latn-ME" w:eastAsia="hr-HR"/>
        </w:rPr>
        <w:t xml:space="preserve">4.1  </w:t>
      </w:r>
      <w:r w:rsidR="00237B23" w:rsidRPr="00237B23">
        <w:rPr>
          <w:rFonts w:ascii="Times New Roman" w:eastAsia="Times New Roman" w:hAnsi="Times New Roman" w:cs="Times New Roman"/>
          <w:b/>
          <w:bCs/>
          <w:lang w:val="sr-Latn-ME" w:eastAsia="hr-HR"/>
        </w:rPr>
        <w:t>Terapijske indikacije</w:t>
      </w:r>
    </w:p>
    <w:p w:rsidR="00237B23" w:rsidRPr="00237B23" w:rsidRDefault="00237B23" w:rsidP="003B0A06">
      <w:pPr>
        <w:tabs>
          <w:tab w:val="left" w:pos="426"/>
        </w:tabs>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Lijek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je indikovan za kratkotrajno simptomatsko olakšavanje bola kod odraslih i djece starije od 6 godina:</w:t>
      </w:r>
    </w:p>
    <w:p w:rsidR="00237B23" w:rsidRPr="00237B23" w:rsidRDefault="00237B23" w:rsidP="003B0A06">
      <w:pPr>
        <w:numPr>
          <w:ilvl w:val="0"/>
          <w:numId w:val="1"/>
        </w:num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sl-SI"/>
        </w:rPr>
        <w:t>kod blažih oblika faringitisa i laringitisa,</w:t>
      </w:r>
    </w:p>
    <w:p w:rsidR="00237B23" w:rsidRPr="00237B23" w:rsidRDefault="00237B23" w:rsidP="003B0A06">
      <w:pPr>
        <w:numPr>
          <w:ilvl w:val="0"/>
          <w:numId w:val="1"/>
        </w:num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sl-SI"/>
        </w:rPr>
        <w:t>kod gingivitisa i stomatitisa</w:t>
      </w:r>
    </w:p>
    <w:p w:rsidR="00237B23" w:rsidRPr="00237B23" w:rsidRDefault="00237B23" w:rsidP="003B0A06">
      <w:pPr>
        <w:numPr>
          <w:ilvl w:val="0"/>
          <w:numId w:val="1"/>
        </w:num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sl-SI"/>
        </w:rPr>
        <w:t>kod bola u grlu usljed prehlade i gripa.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3B0A06" w:rsidP="003B0A06">
      <w:pPr>
        <w:tabs>
          <w:tab w:val="left" w:pos="567"/>
        </w:tabs>
        <w:spacing w:after="0" w:line="240" w:lineRule="auto"/>
        <w:jc w:val="both"/>
        <w:rPr>
          <w:rFonts w:ascii="Times New Roman" w:eastAsia="Times New Roman" w:hAnsi="Times New Roman" w:cs="Times New Roman"/>
          <w:b/>
          <w:bCs/>
          <w:lang w:val="sr-Latn-ME" w:eastAsia="hr-HR"/>
        </w:rPr>
      </w:pPr>
      <w:r>
        <w:rPr>
          <w:rFonts w:ascii="Times New Roman" w:eastAsia="Times New Roman" w:hAnsi="Times New Roman" w:cs="Times New Roman"/>
          <w:b/>
          <w:bCs/>
          <w:lang w:val="sr-Latn-ME" w:eastAsia="hr-HR"/>
        </w:rPr>
        <w:t xml:space="preserve">4.2  </w:t>
      </w:r>
      <w:r w:rsidR="00237B23" w:rsidRPr="00237B23">
        <w:rPr>
          <w:rFonts w:ascii="Times New Roman" w:eastAsia="Times New Roman" w:hAnsi="Times New Roman" w:cs="Times New Roman"/>
          <w:b/>
          <w:bCs/>
          <w:lang w:val="sr-Latn-ME" w:eastAsia="hr-HR"/>
        </w:rPr>
        <w:t>Doziranje i način primjene</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widowControl w:val="0"/>
        <w:tabs>
          <w:tab w:val="left" w:pos="567"/>
        </w:tabs>
        <w:spacing w:after="0" w:line="240" w:lineRule="auto"/>
        <w:jc w:val="both"/>
        <w:rPr>
          <w:rFonts w:ascii="Times New Roman" w:eastAsia="Times New Roman" w:hAnsi="Times New Roman" w:cs="Times New Roman"/>
          <w:u w:val="single"/>
          <w:lang w:val="sr-Latn-ME" w:eastAsia="sl-SI"/>
        </w:rPr>
      </w:pPr>
      <w:r w:rsidRPr="00237B23">
        <w:rPr>
          <w:rFonts w:ascii="Times New Roman" w:eastAsia="Times New Roman" w:hAnsi="Times New Roman" w:cs="Times New Roman"/>
          <w:u w:val="single"/>
          <w:lang w:val="sr-Latn-ME" w:eastAsia="sl-SI"/>
        </w:rPr>
        <w:t>Doziranje</w:t>
      </w:r>
    </w:p>
    <w:p w:rsidR="00237B23" w:rsidRPr="00237B23" w:rsidRDefault="00237B23" w:rsidP="003B0A06">
      <w:pPr>
        <w:widowControl w:val="0"/>
        <w:tabs>
          <w:tab w:val="left" w:pos="567"/>
        </w:tabs>
        <w:spacing w:after="0" w:line="240" w:lineRule="auto"/>
        <w:jc w:val="both"/>
        <w:rPr>
          <w:rFonts w:ascii="Times New Roman" w:eastAsia="Times New Roman" w:hAnsi="Times New Roman" w:cs="Times New Roman"/>
          <w:u w:val="single"/>
          <w:lang w:val="sr-Latn-ME" w:eastAsia="sl-SI"/>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b/>
          <w:bCs/>
          <w:lang w:val="sr-Latn-ME" w:eastAsia="hr-HR"/>
        </w:rPr>
        <w:t xml:space="preserve">Odrasli i adolescenti stariji od 12 godina: </w:t>
      </w:r>
      <w:r w:rsidRPr="00237B23">
        <w:rPr>
          <w:rFonts w:ascii="Times New Roman" w:eastAsia="Times New Roman" w:hAnsi="Times New Roman" w:cs="Times New Roman"/>
          <w:bCs/>
          <w:lang w:val="sr-Latn-ME" w:eastAsia="hr-HR"/>
        </w:rPr>
        <w:t xml:space="preserve">Za jednu dozu, raspršivač treba pritisnuti </w:t>
      </w:r>
      <w:r w:rsidRPr="00237B23">
        <w:rPr>
          <w:rFonts w:ascii="Times New Roman" w:eastAsia="Times New Roman" w:hAnsi="Times New Roman" w:cs="Times New Roman"/>
          <w:b/>
          <w:bCs/>
          <w:lang w:val="sr-Latn-ME" w:eastAsia="hr-HR"/>
        </w:rPr>
        <w:t>dva puta</w:t>
      </w:r>
      <w:r w:rsidRPr="00237B23">
        <w:rPr>
          <w:rFonts w:ascii="Times New Roman" w:eastAsia="Times New Roman" w:hAnsi="Times New Roman" w:cs="Times New Roman"/>
          <w:bCs/>
          <w:lang w:val="sr-Latn-ME" w:eastAsia="hr-HR"/>
        </w:rPr>
        <w:t xml:space="preserve">. Postupak se može ponoviti svakih </w:t>
      </w:r>
      <w:r w:rsidRPr="00237B23">
        <w:rPr>
          <w:rFonts w:ascii="Times New Roman" w:eastAsia="Times New Roman" w:hAnsi="Times New Roman" w:cs="Times New Roman"/>
          <w:lang w:val="sr-Latn-ME" w:eastAsia="hr-HR"/>
        </w:rPr>
        <w:t>2 do 3 sata, najviše 8 puta na dan.</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widowControl w:val="0"/>
        <w:tabs>
          <w:tab w:val="left" w:pos="567"/>
        </w:tabs>
        <w:spacing w:after="0" w:line="240" w:lineRule="auto"/>
        <w:jc w:val="both"/>
        <w:rPr>
          <w:rFonts w:ascii="Times New Roman" w:eastAsia="Times New Roman" w:hAnsi="Times New Roman" w:cs="Times New Roman"/>
          <w:i/>
          <w:lang w:val="sr-Latn-ME" w:eastAsia="sl-SI"/>
        </w:rPr>
      </w:pPr>
      <w:r w:rsidRPr="00237B23">
        <w:rPr>
          <w:rFonts w:ascii="Times New Roman" w:eastAsia="Times New Roman" w:hAnsi="Times New Roman" w:cs="Times New Roman"/>
          <w:i/>
          <w:lang w:val="sr-Latn-ME" w:eastAsia="sl-SI"/>
        </w:rPr>
        <w:t>Pedijatrijska populacija</w:t>
      </w:r>
    </w:p>
    <w:p w:rsidR="00237B23" w:rsidRPr="00237B23" w:rsidRDefault="00237B23" w:rsidP="003B0A06">
      <w:pPr>
        <w:widowControl w:val="0"/>
        <w:tabs>
          <w:tab w:val="left" w:pos="567"/>
        </w:tabs>
        <w:spacing w:after="0" w:line="240" w:lineRule="auto"/>
        <w:jc w:val="both"/>
        <w:rPr>
          <w:rFonts w:ascii="Times New Roman" w:eastAsia="Times New Roman" w:hAnsi="Times New Roman" w:cs="Times New Roman"/>
          <w:i/>
          <w:lang w:val="sr-Latn-ME" w:eastAsia="sl-SI"/>
        </w:rPr>
      </w:pPr>
    </w:p>
    <w:p w:rsidR="00237B23" w:rsidRPr="00237B23" w:rsidRDefault="00237B23" w:rsidP="00AF0EC5">
      <w:p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b/>
          <w:bCs/>
          <w:lang w:val="sr-Latn-ME" w:eastAsia="sl-SI"/>
        </w:rPr>
        <w:t xml:space="preserve">Djeca uzrasta od 6 do 12 godina: </w:t>
      </w:r>
      <w:r w:rsidRPr="00237B23">
        <w:rPr>
          <w:rFonts w:ascii="Times New Roman" w:eastAsia="Times New Roman" w:hAnsi="Times New Roman" w:cs="Times New Roman"/>
          <w:bCs/>
          <w:lang w:val="sr-Latn-ME" w:eastAsia="hr-HR"/>
        </w:rPr>
        <w:t xml:space="preserve">Za jednu dozu, raspršivač treba pritisnuti </w:t>
      </w:r>
      <w:r w:rsidRPr="00237B23">
        <w:rPr>
          <w:rFonts w:ascii="Times New Roman" w:eastAsia="Times New Roman" w:hAnsi="Times New Roman" w:cs="Times New Roman"/>
          <w:b/>
          <w:bCs/>
          <w:lang w:val="sr-Latn-ME" w:eastAsia="hr-HR"/>
        </w:rPr>
        <w:t>jednom</w:t>
      </w:r>
      <w:r w:rsidRPr="00237B23">
        <w:rPr>
          <w:rFonts w:ascii="Times New Roman" w:eastAsia="Times New Roman" w:hAnsi="Times New Roman" w:cs="Times New Roman"/>
          <w:bCs/>
          <w:lang w:val="sr-Latn-ME" w:eastAsia="hr-HR"/>
        </w:rPr>
        <w:t xml:space="preserve">. Postupak se može ponoviti svakih </w:t>
      </w:r>
      <w:r w:rsidRPr="00237B23">
        <w:rPr>
          <w:rFonts w:ascii="Times New Roman" w:eastAsia="Times New Roman" w:hAnsi="Times New Roman" w:cs="Times New Roman"/>
          <w:lang w:val="sr-Latn-ME" w:eastAsia="hr-HR"/>
        </w:rPr>
        <w:t>2 do 3 sata, najviše 8 puta na dan. P</w:t>
      </w:r>
      <w:r w:rsidRPr="00237B23">
        <w:rPr>
          <w:rFonts w:ascii="Times New Roman" w:eastAsia="Times New Roman" w:hAnsi="Times New Roman" w:cs="Times New Roman"/>
          <w:lang w:val="sr-Latn-ME" w:eastAsia="sl-SI"/>
        </w:rPr>
        <w:t>rimjena lijeka kod djece treba se odvijati pod nadzorom odraslih.</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b/>
          <w:bCs/>
          <w:lang w:val="sr-Latn-ME" w:eastAsia="sl-SI"/>
        </w:rPr>
        <w:lastRenderedPageBreak/>
        <w:t xml:space="preserve">Djeca mlađa od 6 godina: </w:t>
      </w:r>
      <w:r w:rsidRPr="00237B23">
        <w:rPr>
          <w:rFonts w:ascii="Times New Roman" w:eastAsia="Times New Roman" w:hAnsi="Times New Roman" w:cs="Times New Roman"/>
          <w:lang w:val="sr-Latn-ME" w:eastAsia="hr-HR"/>
        </w:rPr>
        <w:t>Upotreba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se ne preporučuje kod djece mlađe od 6 godina zbog ograničenih podataka o bezbjednosti (vidjeti odjeljak 4.4).</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Lijek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može se upotrebljavati najviše 7 dana uzastopno. </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keepNext/>
        <w:spacing w:after="0" w:line="240" w:lineRule="auto"/>
        <w:jc w:val="both"/>
        <w:outlineLvl w:val="0"/>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Način primjene</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Prije prve upotrebe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ili ako nije bio korišćen duži vremenski period, raspršivač treba pritisnuti nekoliko puta (5 do 9 puta) i ispustiti malu količinu lijeka u vazduh ili u umivaonik. Nastavite sa pritiskanjem dok se ne pojavi fini sprej.</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tbl>
      <w:tblPr>
        <w:tblW w:w="0" w:type="auto"/>
        <w:tblInd w:w="828" w:type="dxa"/>
        <w:tblLook w:val="0000" w:firstRow="0" w:lastRow="0" w:firstColumn="0" w:lastColumn="0" w:noHBand="0" w:noVBand="0"/>
      </w:tblPr>
      <w:tblGrid>
        <w:gridCol w:w="3005"/>
        <w:gridCol w:w="3005"/>
      </w:tblGrid>
      <w:tr w:rsidR="00237B23" w:rsidRPr="00237B23" w:rsidTr="00BB3C31">
        <w:tc>
          <w:tcPr>
            <w:tcW w:w="3005" w:type="dxa"/>
          </w:tcPr>
          <w:p w:rsidR="00237B23" w:rsidRPr="00237B23" w:rsidRDefault="00237B23" w:rsidP="003B0A06">
            <w:p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noProof/>
                <w:lang w:val="sr-Latn-ME" w:eastAsia="sr-Latn-ME"/>
              </w:rPr>
              <w:drawing>
                <wp:inline distT="0" distB="0" distL="0" distR="0">
                  <wp:extent cx="1412240" cy="1078230"/>
                  <wp:effectExtent l="0" t="0" r="0" b="7620"/>
                  <wp:docPr id="5" name="Picture 5" descr="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2240" cy="1078230"/>
                          </a:xfrm>
                          <a:prstGeom prst="rect">
                            <a:avLst/>
                          </a:prstGeom>
                          <a:noFill/>
                          <a:ln>
                            <a:noFill/>
                          </a:ln>
                        </pic:spPr>
                      </pic:pic>
                    </a:graphicData>
                  </a:graphic>
                </wp:inline>
              </w:drawing>
            </w:r>
          </w:p>
        </w:tc>
        <w:tc>
          <w:tcPr>
            <w:tcW w:w="3005" w:type="dxa"/>
          </w:tcPr>
          <w:p w:rsidR="00237B23" w:rsidRPr="00237B23" w:rsidRDefault="00237B23" w:rsidP="003B0A06">
            <w:pPr>
              <w:spacing w:after="0" w:line="240" w:lineRule="auto"/>
              <w:jc w:val="both"/>
              <w:rPr>
                <w:rFonts w:ascii="Times New Roman" w:eastAsia="Times New Roman" w:hAnsi="Times New Roman" w:cs="Times New Roman"/>
                <w:lang w:val="sr-Latn-ME" w:eastAsia="sl-SI"/>
              </w:rPr>
            </w:pPr>
          </w:p>
          <w:p w:rsidR="00237B23" w:rsidRPr="00237B23" w:rsidRDefault="00237B23" w:rsidP="003B0A06">
            <w:pPr>
              <w:spacing w:after="0" w:line="240" w:lineRule="auto"/>
              <w:jc w:val="both"/>
              <w:rPr>
                <w:rFonts w:ascii="Times New Roman" w:eastAsia="Times New Roman" w:hAnsi="Times New Roman" w:cs="Times New Roman"/>
                <w:lang w:val="sr-Latn-ME" w:eastAsia="sl-SI"/>
              </w:rPr>
            </w:pPr>
          </w:p>
          <w:p w:rsidR="00237B23" w:rsidRPr="00237B23" w:rsidRDefault="00237B23" w:rsidP="003B0A06">
            <w:p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hr-HR"/>
              </w:rPr>
              <w:t>Prije upotrebe ukloniti plastični poklopac.</w:t>
            </w:r>
          </w:p>
        </w:tc>
      </w:tr>
    </w:tbl>
    <w:p w:rsidR="00237B23" w:rsidRPr="00237B23" w:rsidRDefault="00237B23" w:rsidP="003B0A06">
      <w:pPr>
        <w:spacing w:after="0" w:line="240" w:lineRule="auto"/>
        <w:jc w:val="both"/>
        <w:rPr>
          <w:rFonts w:ascii="Times New Roman" w:eastAsia="Times New Roman" w:hAnsi="Times New Roman" w:cs="Times New Roman"/>
          <w:lang w:val="sr-Latn-ME" w:eastAsia="sl-SI"/>
        </w:rPr>
      </w:pPr>
    </w:p>
    <w:tbl>
      <w:tblPr>
        <w:tblW w:w="0" w:type="auto"/>
        <w:tblInd w:w="828" w:type="dxa"/>
        <w:tblLook w:val="0000" w:firstRow="0" w:lastRow="0" w:firstColumn="0" w:lastColumn="0" w:noHBand="0" w:noVBand="0"/>
      </w:tblPr>
      <w:tblGrid>
        <w:gridCol w:w="3005"/>
        <w:gridCol w:w="3005"/>
      </w:tblGrid>
      <w:tr w:rsidR="00237B23" w:rsidRPr="00237B23" w:rsidTr="00BB3C31">
        <w:tc>
          <w:tcPr>
            <w:tcW w:w="3005" w:type="dxa"/>
          </w:tcPr>
          <w:p w:rsidR="00237B23" w:rsidRPr="00237B23" w:rsidRDefault="00237B23" w:rsidP="003B0A06">
            <w:p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noProof/>
                <w:lang w:val="sr-Latn-ME" w:eastAsia="sr-Latn-ME"/>
              </w:rPr>
              <w:drawing>
                <wp:inline distT="0" distB="0" distL="0" distR="0">
                  <wp:extent cx="1391920" cy="1078230"/>
                  <wp:effectExtent l="0" t="0" r="0" b="7620"/>
                  <wp:docPr id="4" name="Picture 4" descr="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1920" cy="1078230"/>
                          </a:xfrm>
                          <a:prstGeom prst="rect">
                            <a:avLst/>
                          </a:prstGeom>
                          <a:noFill/>
                          <a:ln>
                            <a:noFill/>
                          </a:ln>
                        </pic:spPr>
                      </pic:pic>
                    </a:graphicData>
                  </a:graphic>
                </wp:inline>
              </w:drawing>
            </w:r>
          </w:p>
        </w:tc>
        <w:tc>
          <w:tcPr>
            <w:tcW w:w="3005" w:type="dxa"/>
          </w:tcPr>
          <w:p w:rsidR="00237B23" w:rsidRPr="00237B23" w:rsidRDefault="00237B23" w:rsidP="00AF0EC5">
            <w:pPr>
              <w:pStyle w:val="NoSpacing"/>
              <w:rPr>
                <w:lang w:val="sr-Latn-ME" w:eastAsia="sl-SI"/>
              </w:rPr>
            </w:pPr>
            <w:r w:rsidRPr="00237B23">
              <w:rPr>
                <w:lang w:val="sr-Latn-ME" w:eastAsia="hr-HR"/>
              </w:rPr>
              <w:t>Jako</w:t>
            </w:r>
            <w:r w:rsidR="00AF0EC5">
              <w:rPr>
                <w:lang w:val="sr-Latn-ME" w:eastAsia="hr-HR"/>
              </w:rPr>
              <w:t xml:space="preserve"> </w:t>
            </w:r>
            <w:r w:rsidRPr="00237B23">
              <w:rPr>
                <w:lang w:val="sr-Latn-ME" w:eastAsia="hr-HR"/>
              </w:rPr>
              <w:t>otvorite usta, usmjerite prskalicu spreja prema grlu i pritisnite raspršivač. Tokom prskanja zadržiti dah.</w:t>
            </w:r>
          </w:p>
        </w:tc>
      </w:tr>
    </w:tbl>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Nakon svake upotrebe lijeka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plastični poklopac vratiti  na glavu raspršivača.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Lijek Septolete</w:t>
      </w:r>
      <w:r w:rsidRPr="00237B23">
        <w:rPr>
          <w:rFonts w:ascii="Times New Roman" w:eastAsia="Times New Roman" w:hAnsi="Times New Roman" w:cs="Times New Roman"/>
          <w:b/>
          <w:bCs/>
          <w:vertAlign w:val="superscript"/>
          <w:lang w:val="sr-Latn-ME" w:eastAsia="hr-HR"/>
        </w:rPr>
        <w:t xml:space="preserve">® </w:t>
      </w:r>
      <w:r w:rsidRPr="00237B23">
        <w:rPr>
          <w:rFonts w:ascii="Times New Roman" w:eastAsia="Times New Roman" w:hAnsi="Times New Roman" w:cs="Times New Roman"/>
          <w:lang w:val="sr-Latn-ME" w:eastAsia="hr-HR"/>
        </w:rPr>
        <w:t>plus treba da koristi samo jedan pacijent.</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Kada se raspršivač pritisne jednom, otpušta se 0,15 ml rastvora koji sadrži 1,5 mg benzokaina i 0,3 mg cetilipiridinijum hlorida.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Za optimalan efekat ne preporučuje se uzimati lijek neposredno prije ili tokom obroka ili uzimanja tečnosti, odnosno neposredno prije ili poslije pranja zuba.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4.3   Kontraindikacije</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AF0EC5">
      <w:pPr>
        <w:pStyle w:val="NoSpacing"/>
        <w:rPr>
          <w:lang w:val="sr-Latn-ME" w:eastAsia="hr-HR"/>
        </w:rPr>
      </w:pPr>
      <w:r w:rsidRPr="00237B23">
        <w:rPr>
          <w:lang w:val="sr-Latn-ME" w:eastAsia="hr-HR"/>
        </w:rPr>
        <w:t>Preosjetljivost na aktivne supstance ili neku od pomoćnih supstanci navedenih u odjeljku 6.1. Poznata preosjetljivost na druge lokalne anestetike.</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Zloupotreba alkohola.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Methemoglobinemija.</w:t>
      </w:r>
    </w:p>
    <w:p w:rsidR="00237B23" w:rsidRPr="00237B23" w:rsidRDefault="00237B23" w:rsidP="00AF0EC5">
      <w:pPr>
        <w:tabs>
          <w:tab w:val="left" w:pos="567"/>
        </w:tabs>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4.4   Posebna upozorenja i mjere opreza pri upotrebi lijeka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AF0EC5" w:rsidRDefault="00AF0EC5"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lastRenderedPageBreak/>
        <w:t>Zbog povećanog rizika od methemoglobinemije, potreban je oprez:</w:t>
      </w:r>
    </w:p>
    <w:p w:rsidR="00237B23" w:rsidRPr="00237B23" w:rsidRDefault="00237B23" w:rsidP="003B0A06">
      <w:pPr>
        <w:numPr>
          <w:ilvl w:val="0"/>
          <w:numId w:val="2"/>
        </w:num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kod pacijenata sa otežanim disanjem (npr. astma, bronhitis),</w:t>
      </w:r>
    </w:p>
    <w:p w:rsidR="00237B23" w:rsidRPr="00237B23" w:rsidRDefault="00237B23" w:rsidP="003B0A06">
      <w:pPr>
        <w:numPr>
          <w:ilvl w:val="0"/>
          <w:numId w:val="2"/>
        </w:num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kod starijih pacijenata,</w:t>
      </w:r>
    </w:p>
    <w:p w:rsidR="00237B23" w:rsidRPr="00237B23" w:rsidRDefault="00237B23" w:rsidP="003B0A06">
      <w:pPr>
        <w:numPr>
          <w:ilvl w:val="0"/>
          <w:numId w:val="2"/>
        </w:num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kod pušača,</w:t>
      </w:r>
    </w:p>
    <w:p w:rsidR="00237B23" w:rsidRPr="00237B23" w:rsidRDefault="00237B23" w:rsidP="003B0A06">
      <w:pPr>
        <w:numPr>
          <w:ilvl w:val="0"/>
          <w:numId w:val="2"/>
        </w:num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kod pacijenata sa oboljenjem srca.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Ovi pacijenti treba da koriste lijek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samo nakon konsultacije sa ljekarom.</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Upotreba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se ne preporučuje kod djece mlađe od 6 godina zbog ograničenih podataka o bezbjednosti.</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Pacijenti koji imaju otvorene rane u ustima ne bi trebalo da koriste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zato što cetilpiridinijum hlorid usporava zarastanje rana.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AF0EC5" w:rsidRDefault="00237B23" w:rsidP="00AF0EC5">
      <w:pPr>
        <w:pStyle w:val="NoSpacing"/>
        <w:rPr>
          <w:rFonts w:ascii="Times New Roman" w:hAnsi="Times New Roman" w:cs="Times New Roman"/>
          <w:lang w:val="sr-Latn-ME" w:eastAsia="hr-HR"/>
        </w:rPr>
      </w:pPr>
      <w:r w:rsidRPr="00AF0EC5">
        <w:rPr>
          <w:rFonts w:ascii="Times New Roman" w:hAnsi="Times New Roman" w:cs="Times New Roman"/>
          <w:lang w:val="sr-Latn-ME" w:eastAsia="hr-HR"/>
        </w:rPr>
        <w:t>Kod</w:t>
      </w:r>
      <w:r w:rsidR="00AF0EC5" w:rsidRPr="00AF0EC5">
        <w:rPr>
          <w:rFonts w:ascii="Times New Roman" w:hAnsi="Times New Roman" w:cs="Times New Roman"/>
          <w:lang w:val="sr-Latn-ME" w:eastAsia="hr-HR"/>
        </w:rPr>
        <w:t xml:space="preserve"> ozbiljnijih infekcija praćenih </w:t>
      </w:r>
      <w:r w:rsidRPr="00AF0EC5">
        <w:rPr>
          <w:rFonts w:ascii="Times New Roman" w:hAnsi="Times New Roman" w:cs="Times New Roman"/>
          <w:lang w:val="sr-Latn-ME" w:eastAsia="hr-HR"/>
        </w:rPr>
        <w:t>ozbiljnim bolom u grlu, visokom tempe</w:t>
      </w:r>
      <w:r w:rsidR="00AF0EC5">
        <w:rPr>
          <w:rFonts w:ascii="Times New Roman" w:hAnsi="Times New Roman" w:cs="Times New Roman"/>
          <w:lang w:val="sr-Latn-ME" w:eastAsia="hr-HR"/>
        </w:rPr>
        <w:t xml:space="preserve">raturom, glavoboljom i </w:t>
      </w:r>
      <w:r w:rsidRPr="00AF0EC5">
        <w:rPr>
          <w:rFonts w:ascii="Times New Roman" w:hAnsi="Times New Roman" w:cs="Times New Roman"/>
          <w:lang w:val="sr-Latn-ME" w:eastAsia="hr-HR"/>
        </w:rPr>
        <w:t>povraćanjem, treba konsultovati ljekara, naročito ako se simptomi ne poboljšaju nakon 3 dana.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Lijek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ne smije da dođe u dodir sa očima i ne smije se udisati. </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Nakon upotrebe lijeka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može se javiti prolazno osjećanje peckanja, utrnulost u ustima i grlu ili problemi sa gutanjem. Možda će pacijentima biti teže da jedu i piju ili može postojati veća vjerovatnoća da se ugrizu za usne i/ili jezik. Zato ne bi trebalo da jedu, piju, žvaću ili peru zube najmanje sat vremena nakon korišćenja ovog lijeka.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Lijek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se ne smije koristiti duže vrijeme neprekidno ili previše često, jer doze koje su veće od propisanih povećavaju rizik od ozbiljnih neželjenih dejstava.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Lijek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ne sadrži saharozu, te ga mogu koristiti i pacijenti sa dijabetesom.</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Lijek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sadrži malu količinu etanola (alkohola),</w:t>
      </w:r>
      <w:r w:rsidRPr="00237B23">
        <w:rPr>
          <w:rFonts w:ascii="Times New Roman" w:eastAsia="Times New Roman" w:hAnsi="Times New Roman" w:cs="Times New Roman"/>
          <w:lang w:val="sr-Latn-ME"/>
        </w:rPr>
        <w:t xml:space="preserve"> manje od 100 mg po dozi</w:t>
      </w:r>
      <w:r w:rsidRPr="00237B23">
        <w:rPr>
          <w:rFonts w:ascii="Times New Roman" w:eastAsia="Times New Roman" w:hAnsi="Times New Roman" w:cs="Times New Roman"/>
          <w:lang w:val="sr-Latn-ME" w:eastAsia="hr-HR"/>
        </w:rPr>
        <w:t>.</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4.5   Interakcije sa drugim ljekovima i druge vrste interakcija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Nije poznato da lijek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utiče na djelovanje drugih ljekova. Ne treba ga uzimati zajedno sa mlijekom, zato što mlijeko smanjuje antimikrobnu efikasnost cetilpiridinijum hlorida.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4.6   Primjena u periodu trudnoće i dojenja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u w:val="single"/>
          <w:lang w:val="sr-Latn-ME" w:eastAsia="sl-SI"/>
        </w:rPr>
      </w:pPr>
      <w:r w:rsidRPr="00237B23">
        <w:rPr>
          <w:rFonts w:ascii="Times New Roman" w:eastAsia="Times New Roman" w:hAnsi="Times New Roman" w:cs="Times New Roman"/>
          <w:u w:val="single"/>
          <w:lang w:val="sr-Latn-ME" w:eastAsia="sl-SI"/>
        </w:rPr>
        <w:t xml:space="preserve">Trudnoća </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 xml:space="preserve">Nema dovoljno podataka ili su podaci o upotrebi benzokaina i cetilpiridinijum hlorida kod trudnica ograničeni. Studije na životinjama nijesu pružile dovoljno podataka o uticaju na trudnoću i razvoj fetusa (vidjeti odjeljak 5.3). </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sl-SI"/>
        </w:rPr>
        <w:t xml:space="preserve">Kao mjera opreza, </w:t>
      </w:r>
      <w:r w:rsidRPr="00237B23">
        <w:rPr>
          <w:rFonts w:ascii="Times New Roman" w:eastAsia="Times New Roman" w:hAnsi="Times New Roman" w:cs="Times New Roman"/>
          <w:lang w:val="sr-Latn-ME" w:eastAsia="hr-HR"/>
        </w:rPr>
        <w:t>ne preporučuje se upotrebu lijeka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tokom trudnoće.</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237B23">
        <w:rPr>
          <w:rFonts w:ascii="Times New Roman" w:eastAsia="Times New Roman" w:hAnsi="Times New Roman" w:cs="Times New Roman"/>
          <w:color w:val="000000"/>
          <w:u w:val="single"/>
          <w:lang w:val="sr-Latn-ME" w:eastAsia="sl-SI"/>
        </w:rPr>
        <w:t xml:space="preserve">Dojenje </w:t>
      </w:r>
    </w:p>
    <w:p w:rsidR="00237B23" w:rsidRPr="00237B23" w:rsidRDefault="00237B23" w:rsidP="003B0A06">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237B23">
        <w:rPr>
          <w:rFonts w:ascii="Times New Roman" w:eastAsia="Times New Roman" w:hAnsi="Times New Roman" w:cs="Times New Roman"/>
          <w:color w:val="000000"/>
          <w:lang w:val="sr-Latn-ME" w:eastAsia="sl-SI"/>
        </w:rPr>
        <w:t xml:space="preserve">Nije poznato izlučuju li se benzokain i cetilpiridinijum hlorid u majčino mlijeko. Ne može se isključiti rizik za novorođenče/odojče. </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sl-SI"/>
        </w:rPr>
        <w:t>Ne preporučuje se primjena lijeka tokom dojenja.</w:t>
      </w: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lastRenderedPageBreak/>
        <w:t>4.7   Uticaj na psihofizičke sposobnosti prilikom upravlja</w:t>
      </w:r>
      <w:r w:rsidR="00AF0EC5">
        <w:rPr>
          <w:rFonts w:ascii="Times New Roman" w:eastAsia="Times New Roman" w:hAnsi="Times New Roman" w:cs="Times New Roman"/>
          <w:b/>
          <w:bCs/>
          <w:lang w:val="sr-Latn-ME" w:eastAsia="hr-HR"/>
        </w:rPr>
        <w:t xml:space="preserve">nja motornim vozilima i </w:t>
      </w:r>
      <w:r w:rsidRPr="00237B23">
        <w:rPr>
          <w:rFonts w:ascii="Times New Roman" w:eastAsia="Times New Roman" w:hAnsi="Times New Roman" w:cs="Times New Roman"/>
          <w:b/>
          <w:bCs/>
          <w:lang w:val="sr-Latn-ME" w:eastAsia="hr-HR"/>
        </w:rPr>
        <w:t>rukovanja mašinama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Nije poznato da ovaj lijek utiče na sposobnost za upravljanje motornim vozilom ili rukovanje mašinama.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4.8   Neželjena dejstva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bCs/>
          <w:lang w:val="sr-Latn-ME" w:eastAsia="hr-HR"/>
        </w:rPr>
        <w:t>Neželjena dejstva</w:t>
      </w:r>
      <w:r w:rsidRPr="00237B23">
        <w:rPr>
          <w:rFonts w:ascii="Times New Roman" w:eastAsia="Times New Roman" w:hAnsi="Times New Roman" w:cs="Times New Roman"/>
          <w:lang w:val="sr-Latn-ME" w:eastAsia="hr-HR"/>
        </w:rPr>
        <w:t xml:space="preserve"> koja mogu da se jave tokom terapije lijekom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w:t>
      </w:r>
      <w:r w:rsidRPr="00237B23">
        <w:rPr>
          <w:rFonts w:ascii="Times New Roman" w:eastAsia="Times New Roman" w:hAnsi="Times New Roman" w:cs="Times New Roman"/>
          <w:lang w:val="sr-Latn-ME" w:eastAsia="sl-SI"/>
        </w:rPr>
        <w:t xml:space="preserve">navedena su prema MedDRA klasifikaciji organskih sistema i </w:t>
      </w:r>
      <w:r w:rsidRPr="00237B23">
        <w:rPr>
          <w:rFonts w:ascii="Times New Roman" w:eastAsia="Times New Roman" w:hAnsi="Times New Roman" w:cs="Times New Roman"/>
          <w:lang w:val="sr-Latn-ME" w:eastAsia="hr-HR"/>
        </w:rPr>
        <w:t>učestalosti ispoljavanja. Učestalost je definisana na sljedeći način:</w:t>
      </w:r>
    </w:p>
    <w:p w:rsidR="00237B23" w:rsidRPr="00237B23" w:rsidRDefault="00237B23" w:rsidP="003B0A06">
      <w:pPr>
        <w:numPr>
          <w:ilvl w:val="0"/>
          <w:numId w:val="3"/>
        </w:num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hr-HR"/>
        </w:rPr>
        <w:t>veoma česta (</w:t>
      </w:r>
      <w:r w:rsidRPr="00237B23">
        <w:rPr>
          <w:rFonts w:ascii="Times New Roman" w:eastAsia="Times New Roman" w:hAnsi="Times New Roman" w:cs="Times New Roman"/>
          <w:b/>
          <w:lang w:val="sr-Latn-ME" w:eastAsia="hr-HR"/>
        </w:rPr>
        <w:t>≥</w:t>
      </w:r>
      <w:r w:rsidRPr="00237B23">
        <w:rPr>
          <w:rFonts w:ascii="Times New Roman" w:eastAsia="Times New Roman" w:hAnsi="Times New Roman" w:cs="Times New Roman"/>
          <w:lang w:val="sr-Latn-ME" w:eastAsia="hr-HR"/>
        </w:rPr>
        <w:t xml:space="preserve"> 1/10)</w:t>
      </w:r>
    </w:p>
    <w:p w:rsidR="00237B23" w:rsidRPr="00237B23" w:rsidRDefault="00237B23" w:rsidP="003B0A06">
      <w:pPr>
        <w:numPr>
          <w:ilvl w:val="0"/>
          <w:numId w:val="3"/>
        </w:num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hr-HR"/>
        </w:rPr>
        <w:t>česta (</w:t>
      </w:r>
      <w:r w:rsidRPr="00237B23">
        <w:rPr>
          <w:rFonts w:ascii="Times New Roman" w:eastAsia="Times New Roman" w:hAnsi="Times New Roman" w:cs="Times New Roman"/>
          <w:b/>
          <w:lang w:val="sr-Latn-ME" w:eastAsia="hr-HR"/>
        </w:rPr>
        <w:t>≥</w:t>
      </w:r>
      <w:r w:rsidRPr="00237B23">
        <w:rPr>
          <w:rFonts w:ascii="Times New Roman" w:eastAsia="Times New Roman" w:hAnsi="Times New Roman" w:cs="Times New Roman"/>
          <w:lang w:val="sr-Latn-ME" w:eastAsia="hr-HR"/>
        </w:rPr>
        <w:t xml:space="preserve"> 1/100 do &lt; 1/10)</w:t>
      </w:r>
    </w:p>
    <w:p w:rsidR="00237B23" w:rsidRPr="00237B23" w:rsidRDefault="00237B23" w:rsidP="003B0A06">
      <w:pPr>
        <w:numPr>
          <w:ilvl w:val="0"/>
          <w:numId w:val="3"/>
        </w:num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hr-HR"/>
        </w:rPr>
        <w:t>povremena (</w:t>
      </w:r>
      <w:r w:rsidRPr="00237B23">
        <w:rPr>
          <w:rFonts w:ascii="Times New Roman" w:eastAsia="Times New Roman" w:hAnsi="Times New Roman" w:cs="Times New Roman"/>
          <w:b/>
          <w:lang w:val="sr-Latn-ME" w:eastAsia="hr-HR"/>
        </w:rPr>
        <w:t>≥</w:t>
      </w:r>
      <w:r w:rsidRPr="00237B23">
        <w:rPr>
          <w:rFonts w:ascii="Times New Roman" w:eastAsia="Times New Roman" w:hAnsi="Times New Roman" w:cs="Times New Roman"/>
          <w:lang w:val="sr-Latn-ME" w:eastAsia="hr-HR"/>
        </w:rPr>
        <w:t xml:space="preserve"> 1/1000 do &lt; 1/100)</w:t>
      </w:r>
    </w:p>
    <w:p w:rsidR="00237B23" w:rsidRPr="00237B23" w:rsidRDefault="00237B23" w:rsidP="003B0A06">
      <w:pPr>
        <w:numPr>
          <w:ilvl w:val="0"/>
          <w:numId w:val="3"/>
        </w:num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hr-HR"/>
        </w:rPr>
        <w:t>rijetka (</w:t>
      </w:r>
      <w:r w:rsidRPr="00237B23">
        <w:rPr>
          <w:rFonts w:ascii="Times New Roman" w:eastAsia="Times New Roman" w:hAnsi="Times New Roman" w:cs="Times New Roman"/>
          <w:b/>
          <w:lang w:val="sr-Latn-ME" w:eastAsia="hr-HR"/>
        </w:rPr>
        <w:t>≥</w:t>
      </w:r>
      <w:r w:rsidRPr="00237B23">
        <w:rPr>
          <w:rFonts w:ascii="Times New Roman" w:eastAsia="Times New Roman" w:hAnsi="Times New Roman" w:cs="Times New Roman"/>
          <w:lang w:val="sr-Latn-ME" w:eastAsia="hr-HR"/>
        </w:rPr>
        <w:t xml:space="preserve"> 1/10.000 do &lt; 1/1000)</w:t>
      </w:r>
    </w:p>
    <w:p w:rsidR="00237B23" w:rsidRPr="00237B23" w:rsidRDefault="00237B23" w:rsidP="003B0A06">
      <w:pPr>
        <w:numPr>
          <w:ilvl w:val="0"/>
          <w:numId w:val="3"/>
        </w:num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hr-HR"/>
        </w:rPr>
        <w:t>veoma rijetka (&lt; 1/10.000)</w:t>
      </w:r>
    </w:p>
    <w:p w:rsidR="00237B23" w:rsidRPr="00237B23" w:rsidRDefault="00237B23" w:rsidP="003B0A06">
      <w:pPr>
        <w:numPr>
          <w:ilvl w:val="0"/>
          <w:numId w:val="3"/>
        </w:num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hr-HR"/>
        </w:rPr>
        <w:t>nepoznata učestalost (nije moguće procijeniti iz raspoloživih podataka).</w:t>
      </w:r>
    </w:p>
    <w:p w:rsidR="00237B23" w:rsidRPr="00237B23" w:rsidRDefault="00237B23" w:rsidP="003B0A06">
      <w:pPr>
        <w:tabs>
          <w:tab w:val="center" w:pos="4536"/>
          <w:tab w:val="right" w:pos="9072"/>
        </w:tabs>
        <w:spacing w:after="0" w:line="240" w:lineRule="auto"/>
        <w:jc w:val="both"/>
        <w:rPr>
          <w:rFonts w:ascii="Times New Roman" w:eastAsia="Times New Roman" w:hAnsi="Times New Roman" w:cs="Times New Roman"/>
          <w:lang w:val="sr-Latn-ME" w:eastAsia="hr-HR"/>
        </w:rPr>
      </w:pPr>
    </w:p>
    <w:p w:rsidR="00237B23" w:rsidRPr="00237B23" w:rsidRDefault="00237B23" w:rsidP="003B0A06">
      <w:pPr>
        <w:tabs>
          <w:tab w:val="center" w:pos="4536"/>
          <w:tab w:val="right" w:pos="9072"/>
        </w:tabs>
        <w:spacing w:after="0" w:line="240" w:lineRule="auto"/>
        <w:jc w:val="both"/>
        <w:rPr>
          <w:rFonts w:ascii="Times New Roman" w:eastAsia="Times New Roman" w:hAnsi="Times New Roman" w:cs="Times New Roman"/>
          <w:iCs/>
          <w:lang w:val="sr-Latn-ME" w:eastAsia="sl-SI"/>
        </w:rPr>
      </w:pPr>
      <w:r w:rsidRPr="00237B23">
        <w:rPr>
          <w:rFonts w:ascii="Times New Roman" w:eastAsia="Times New Roman" w:hAnsi="Times New Roman" w:cs="Times New Roman"/>
          <w:iCs/>
          <w:lang w:val="sr-Latn-ME" w:eastAsia="sl-SI"/>
        </w:rPr>
        <w:t>Unutar svake grupe učestalosti neželjena dejstva su prikazana po opadajućem stepenu ozbiljnosti.</w:t>
      </w:r>
    </w:p>
    <w:p w:rsidR="00237B23" w:rsidRPr="00237B23" w:rsidRDefault="00237B23" w:rsidP="003B0A06">
      <w:pPr>
        <w:spacing w:after="0" w:line="240" w:lineRule="auto"/>
        <w:jc w:val="both"/>
        <w:rPr>
          <w:rFonts w:ascii="Times New Roman" w:eastAsia="Times New Roman" w:hAnsi="Times New Roman" w:cs="Times New Roman"/>
          <w:lang w:val="sr-Latn-ME"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3261"/>
        <w:gridCol w:w="3543"/>
      </w:tblGrid>
      <w:tr w:rsidR="00237B23" w:rsidRPr="00237B23" w:rsidTr="00BB3C31">
        <w:tc>
          <w:tcPr>
            <w:tcW w:w="2376" w:type="dxa"/>
            <w:tcBorders>
              <w:top w:val="single" w:sz="4" w:space="0" w:color="auto"/>
              <w:left w:val="single" w:sz="4" w:space="0" w:color="auto"/>
              <w:bottom w:val="single" w:sz="4" w:space="0" w:color="auto"/>
              <w:right w:val="single" w:sz="4" w:space="0" w:color="auto"/>
            </w:tcBorders>
            <w:vAlign w:val="center"/>
          </w:tcPr>
          <w:p w:rsidR="00237B23" w:rsidRPr="00237B23" w:rsidRDefault="00237B23" w:rsidP="003B0A06">
            <w:p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sl-SI"/>
              </w:rPr>
              <w:t>Klasa sistema organa</w:t>
            </w:r>
          </w:p>
        </w:tc>
        <w:tc>
          <w:tcPr>
            <w:tcW w:w="3261" w:type="dxa"/>
            <w:tcBorders>
              <w:top w:val="single" w:sz="4" w:space="0" w:color="auto"/>
              <w:left w:val="single" w:sz="4" w:space="0" w:color="auto"/>
              <w:bottom w:val="single" w:sz="4" w:space="0" w:color="auto"/>
              <w:right w:val="single" w:sz="4" w:space="0" w:color="auto"/>
            </w:tcBorders>
            <w:vAlign w:val="center"/>
          </w:tcPr>
          <w:p w:rsidR="00237B23" w:rsidRPr="00237B23" w:rsidRDefault="00237B23" w:rsidP="003B0A06">
            <w:p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hr-HR"/>
              </w:rPr>
              <w:t>Povremena</w:t>
            </w:r>
          </w:p>
        </w:tc>
        <w:tc>
          <w:tcPr>
            <w:tcW w:w="3543" w:type="dxa"/>
            <w:tcBorders>
              <w:top w:val="single" w:sz="4" w:space="0" w:color="auto"/>
              <w:left w:val="single" w:sz="4" w:space="0" w:color="auto"/>
              <w:bottom w:val="single" w:sz="4" w:space="0" w:color="auto"/>
              <w:right w:val="single" w:sz="4" w:space="0" w:color="auto"/>
            </w:tcBorders>
            <w:vAlign w:val="center"/>
          </w:tcPr>
          <w:p w:rsidR="00237B23" w:rsidRPr="00237B23" w:rsidRDefault="00237B23" w:rsidP="003B0A06">
            <w:p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hr-HR"/>
              </w:rPr>
              <w:t>Rijetka</w:t>
            </w:r>
          </w:p>
        </w:tc>
      </w:tr>
      <w:tr w:rsidR="00237B23" w:rsidRPr="00237B23" w:rsidTr="00BB3C31">
        <w:tc>
          <w:tcPr>
            <w:tcW w:w="2376" w:type="dxa"/>
            <w:tcBorders>
              <w:top w:val="single" w:sz="4" w:space="0" w:color="auto"/>
              <w:left w:val="single" w:sz="4" w:space="0" w:color="auto"/>
              <w:bottom w:val="single" w:sz="4" w:space="0" w:color="auto"/>
              <w:right w:val="single" w:sz="4" w:space="0" w:color="auto"/>
            </w:tcBorders>
            <w:vAlign w:val="center"/>
          </w:tcPr>
          <w:p w:rsidR="00237B23" w:rsidRPr="00237B23" w:rsidRDefault="00237B23" w:rsidP="003B0A06">
            <w:p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hr-HR"/>
              </w:rPr>
              <w:t>Poremećaji krvi i limfnog sistema</w:t>
            </w:r>
          </w:p>
        </w:tc>
        <w:tc>
          <w:tcPr>
            <w:tcW w:w="3261" w:type="dxa"/>
            <w:tcBorders>
              <w:top w:val="single" w:sz="4" w:space="0" w:color="auto"/>
              <w:left w:val="single" w:sz="4" w:space="0" w:color="auto"/>
              <w:bottom w:val="single" w:sz="4" w:space="0" w:color="auto"/>
              <w:right w:val="single" w:sz="4" w:space="0" w:color="auto"/>
            </w:tcBorders>
            <w:vAlign w:val="center"/>
          </w:tcPr>
          <w:p w:rsidR="00237B23" w:rsidRPr="00237B23" w:rsidRDefault="00237B23" w:rsidP="003B0A06">
            <w:pPr>
              <w:spacing w:after="0" w:line="240" w:lineRule="auto"/>
              <w:jc w:val="both"/>
              <w:rPr>
                <w:rFonts w:ascii="Times New Roman" w:eastAsia="Times New Roman" w:hAnsi="Times New Roman" w:cs="Times New Roman"/>
                <w:lang w:val="sr-Latn-ME" w:eastAsia="sl-SI"/>
              </w:rPr>
            </w:pPr>
          </w:p>
        </w:tc>
        <w:tc>
          <w:tcPr>
            <w:tcW w:w="3543" w:type="dxa"/>
            <w:tcBorders>
              <w:top w:val="single" w:sz="4" w:space="0" w:color="auto"/>
              <w:left w:val="single" w:sz="4" w:space="0" w:color="auto"/>
              <w:bottom w:val="single" w:sz="4" w:space="0" w:color="auto"/>
              <w:right w:val="single" w:sz="4" w:space="0" w:color="auto"/>
            </w:tcBorders>
            <w:vAlign w:val="center"/>
          </w:tcPr>
          <w:p w:rsidR="00237B23" w:rsidRPr="00237B23" w:rsidRDefault="00237B23" w:rsidP="003B0A06">
            <w:p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hr-HR"/>
              </w:rPr>
              <w:t>methemoglobinemija</w:t>
            </w:r>
          </w:p>
        </w:tc>
      </w:tr>
      <w:tr w:rsidR="00237B23" w:rsidRPr="00237B23" w:rsidTr="00AF0EC5">
        <w:tc>
          <w:tcPr>
            <w:tcW w:w="2376" w:type="dxa"/>
            <w:tcBorders>
              <w:top w:val="single" w:sz="4" w:space="0" w:color="auto"/>
              <w:left w:val="single" w:sz="4" w:space="0" w:color="auto"/>
              <w:bottom w:val="single" w:sz="4" w:space="0" w:color="auto"/>
              <w:right w:val="single" w:sz="4" w:space="0" w:color="auto"/>
            </w:tcBorders>
            <w:vAlign w:val="center"/>
          </w:tcPr>
          <w:p w:rsidR="00237B23" w:rsidRPr="00237B23" w:rsidRDefault="00237B23" w:rsidP="00AF0EC5">
            <w:pPr>
              <w:spacing w:after="0" w:line="240" w:lineRule="auto"/>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hr-HR"/>
              </w:rPr>
              <w:t>Gastrointestinalni poremećaji</w:t>
            </w:r>
          </w:p>
        </w:tc>
        <w:tc>
          <w:tcPr>
            <w:tcW w:w="3261" w:type="dxa"/>
            <w:tcBorders>
              <w:top w:val="single" w:sz="4" w:space="0" w:color="auto"/>
              <w:left w:val="single" w:sz="4" w:space="0" w:color="auto"/>
              <w:bottom w:val="single" w:sz="4" w:space="0" w:color="auto"/>
              <w:right w:val="single" w:sz="4" w:space="0" w:color="auto"/>
            </w:tcBorders>
            <w:vAlign w:val="center"/>
          </w:tcPr>
          <w:p w:rsidR="00237B23" w:rsidRPr="00237B23" w:rsidRDefault="00237B23" w:rsidP="003B0A06">
            <w:pPr>
              <w:spacing w:after="0" w:line="240" w:lineRule="auto"/>
              <w:jc w:val="both"/>
              <w:rPr>
                <w:rFonts w:ascii="Times New Roman" w:eastAsia="Times New Roman" w:hAnsi="Times New Roman" w:cs="Times New Roman"/>
                <w:lang w:val="sr-Latn-ME" w:eastAsia="sl-SI"/>
              </w:rPr>
            </w:pPr>
          </w:p>
        </w:tc>
        <w:tc>
          <w:tcPr>
            <w:tcW w:w="3543" w:type="dxa"/>
            <w:tcBorders>
              <w:top w:val="single" w:sz="4" w:space="0" w:color="auto"/>
              <w:left w:val="single" w:sz="4" w:space="0" w:color="auto"/>
              <w:bottom w:val="single" w:sz="4" w:space="0" w:color="auto"/>
              <w:right w:val="single" w:sz="4" w:space="0" w:color="auto"/>
            </w:tcBorders>
            <w:vAlign w:val="center"/>
          </w:tcPr>
          <w:p w:rsidR="00237B23" w:rsidRPr="00237B23" w:rsidRDefault="00237B23" w:rsidP="003B0A06">
            <w:pPr>
              <w:spacing w:after="0" w:line="240" w:lineRule="auto"/>
              <w:jc w:val="both"/>
              <w:rPr>
                <w:rFonts w:ascii="Times New Roman" w:eastAsia="Times New Roman" w:hAnsi="Times New Roman" w:cs="Times New Roman"/>
                <w:vertAlign w:val="superscript"/>
                <w:lang w:val="sr-Latn-ME" w:eastAsia="sl-SI"/>
              </w:rPr>
            </w:pPr>
            <w:r w:rsidRPr="00237B23">
              <w:rPr>
                <w:rFonts w:ascii="Times New Roman" w:eastAsia="Times New Roman" w:hAnsi="Times New Roman" w:cs="Times New Roman"/>
                <w:lang w:val="sr-Latn-ME" w:eastAsia="hr-HR"/>
              </w:rPr>
              <w:t>gastrointestinalne smetnje</w:t>
            </w:r>
            <w:r w:rsidRPr="00237B23">
              <w:rPr>
                <w:rFonts w:ascii="Times New Roman" w:eastAsia="Times New Roman" w:hAnsi="Times New Roman" w:cs="Times New Roman"/>
                <w:vertAlign w:val="superscript"/>
                <w:lang w:val="sr-Latn-ME" w:eastAsia="hr-HR"/>
              </w:rPr>
              <w:t>1</w:t>
            </w:r>
          </w:p>
        </w:tc>
      </w:tr>
      <w:tr w:rsidR="00237B23" w:rsidRPr="00237B23" w:rsidTr="00AF0EC5">
        <w:tc>
          <w:tcPr>
            <w:tcW w:w="2376" w:type="dxa"/>
            <w:tcBorders>
              <w:top w:val="single" w:sz="4" w:space="0" w:color="auto"/>
              <w:left w:val="single" w:sz="4" w:space="0" w:color="auto"/>
              <w:bottom w:val="single" w:sz="4" w:space="0" w:color="auto"/>
              <w:right w:val="single" w:sz="4" w:space="0" w:color="auto"/>
            </w:tcBorders>
          </w:tcPr>
          <w:p w:rsidR="00237B23" w:rsidRPr="00237B23" w:rsidRDefault="00AF0EC5" w:rsidP="00AF0EC5">
            <w:pPr>
              <w:tabs>
                <w:tab w:val="left" w:pos="1163"/>
              </w:tabs>
              <w:spacing w:after="0" w:line="240" w:lineRule="auto"/>
              <w:rPr>
                <w:rFonts w:ascii="Times New Roman" w:eastAsia="Times New Roman" w:hAnsi="Times New Roman" w:cs="Times New Roman"/>
                <w:lang w:val="sr-Latn-ME" w:eastAsia="sl-SI"/>
              </w:rPr>
            </w:pPr>
            <w:r>
              <w:rPr>
                <w:rFonts w:ascii="Times New Roman" w:eastAsia="Times New Roman" w:hAnsi="Times New Roman" w:cs="Times New Roman"/>
                <w:lang w:val="sr-Latn-ME" w:eastAsia="hr-HR"/>
              </w:rPr>
              <w:t xml:space="preserve">Poremećaji </w:t>
            </w:r>
            <w:r w:rsidR="00237B23" w:rsidRPr="00237B23">
              <w:rPr>
                <w:rFonts w:ascii="Times New Roman" w:eastAsia="Times New Roman" w:hAnsi="Times New Roman" w:cs="Times New Roman"/>
                <w:lang w:val="sr-Latn-ME" w:eastAsia="hr-HR"/>
              </w:rPr>
              <w:t>imunog sistema</w:t>
            </w:r>
          </w:p>
        </w:tc>
        <w:tc>
          <w:tcPr>
            <w:tcW w:w="3261" w:type="dxa"/>
            <w:tcBorders>
              <w:top w:val="single" w:sz="4" w:space="0" w:color="auto"/>
              <w:left w:val="single" w:sz="4" w:space="0" w:color="auto"/>
              <w:bottom w:val="single" w:sz="4" w:space="0" w:color="auto"/>
              <w:right w:val="single" w:sz="4" w:space="0" w:color="auto"/>
            </w:tcBorders>
            <w:vAlign w:val="center"/>
          </w:tcPr>
          <w:p w:rsidR="00237B23" w:rsidRPr="00237B23" w:rsidRDefault="00237B23" w:rsidP="003B0A06">
            <w:p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hr-HR"/>
              </w:rPr>
              <w:t>reakcija preosjetljivosti</w:t>
            </w:r>
            <w:r w:rsidRPr="00237B23">
              <w:rPr>
                <w:rFonts w:ascii="Times New Roman" w:eastAsia="Times New Roman" w:hAnsi="Times New Roman" w:cs="Times New Roman"/>
                <w:vertAlign w:val="superscript"/>
                <w:lang w:val="sr-Latn-ME" w:eastAsia="hr-HR"/>
              </w:rPr>
              <w:t>2</w:t>
            </w:r>
          </w:p>
          <w:p w:rsidR="00237B23" w:rsidRPr="00237B23" w:rsidRDefault="00237B23" w:rsidP="003B0A06">
            <w:p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hr-HR"/>
              </w:rPr>
              <w:t>(osip, svrab, oticanje kože, otežano disanje)</w:t>
            </w:r>
          </w:p>
        </w:tc>
        <w:tc>
          <w:tcPr>
            <w:tcW w:w="3543" w:type="dxa"/>
            <w:tcBorders>
              <w:top w:val="single" w:sz="4" w:space="0" w:color="auto"/>
              <w:left w:val="single" w:sz="4" w:space="0" w:color="auto"/>
              <w:bottom w:val="single" w:sz="4" w:space="0" w:color="auto"/>
              <w:right w:val="single" w:sz="4" w:space="0" w:color="auto"/>
            </w:tcBorders>
            <w:vAlign w:val="center"/>
          </w:tcPr>
          <w:p w:rsidR="00237B23" w:rsidRPr="00237B23" w:rsidRDefault="00237B23" w:rsidP="003B0A06">
            <w:pPr>
              <w:spacing w:after="0" w:line="240" w:lineRule="auto"/>
              <w:jc w:val="both"/>
              <w:rPr>
                <w:rFonts w:ascii="Times New Roman" w:eastAsia="Times New Roman" w:hAnsi="Times New Roman" w:cs="Times New Roman"/>
                <w:lang w:val="sr-Latn-ME" w:eastAsia="sl-SI"/>
              </w:rPr>
            </w:pPr>
          </w:p>
        </w:tc>
      </w:tr>
    </w:tbl>
    <w:p w:rsidR="00237B23" w:rsidRPr="00237B23" w:rsidRDefault="00237B23" w:rsidP="003B0A06">
      <w:pPr>
        <w:spacing w:after="0" w:line="240" w:lineRule="auto"/>
        <w:jc w:val="both"/>
        <w:rPr>
          <w:rFonts w:ascii="Times New Roman" w:eastAsia="Times New Roman" w:hAnsi="Times New Roman" w:cs="Times New Roman"/>
          <w:vertAlign w:val="superscript"/>
          <w:lang w:val="sr-Latn-ME" w:eastAsia="sl-SI"/>
        </w:rPr>
      </w:pPr>
    </w:p>
    <w:p w:rsidR="00237B23" w:rsidRPr="00237B23" w:rsidRDefault="00237B23" w:rsidP="003B0A06">
      <w:p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vertAlign w:val="superscript"/>
          <w:lang w:val="sr-Latn-ME" w:eastAsia="sl-SI"/>
        </w:rPr>
        <w:t>1</w:t>
      </w:r>
      <w:r w:rsidRPr="00237B23">
        <w:rPr>
          <w:rFonts w:ascii="Times New Roman" w:eastAsia="Times New Roman" w:hAnsi="Times New Roman" w:cs="Times New Roman"/>
          <w:lang w:val="sr-Latn-ME" w:eastAsia="sl-SI"/>
        </w:rPr>
        <w:t>naročito kada se koristi u dozama koje su veće od preporučene</w:t>
      </w:r>
    </w:p>
    <w:p w:rsidR="00237B23" w:rsidRPr="00237B23" w:rsidRDefault="00237B23" w:rsidP="003B0A06">
      <w:p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vertAlign w:val="superscript"/>
          <w:lang w:val="sr-Latn-ME" w:eastAsia="sl-SI"/>
        </w:rPr>
        <w:t>2</w:t>
      </w:r>
      <w:r w:rsidRPr="00237B23">
        <w:rPr>
          <w:rFonts w:ascii="Times New Roman" w:eastAsia="Times New Roman" w:hAnsi="Times New Roman" w:cs="Times New Roman"/>
          <w:lang w:val="sr-Latn-ME" w:eastAsia="sl-SI"/>
        </w:rPr>
        <w:t>kod pacijenata koji su preosjetljivi na benzokain (etil ester 4-aminobenzojeve kiseline) postoji mogućnost unakrsne preosjetljivosti na druge estere 4-aminobenzojeve kiseline (npr. prokain, tetrakain).</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Calibri" w:hAnsi="Times New Roman" w:cs="Times New Roman"/>
          <w:bCs/>
          <w:u w:val="single"/>
          <w:lang w:val="sr-Latn-ME"/>
        </w:rPr>
      </w:pPr>
      <w:r w:rsidRPr="00237B23">
        <w:rPr>
          <w:rFonts w:ascii="Times New Roman" w:eastAsia="Calibri" w:hAnsi="Times New Roman" w:cs="Times New Roman"/>
          <w:bCs/>
          <w:u w:val="single"/>
          <w:lang w:val="sr-Latn-ME"/>
        </w:rPr>
        <w:t>Prijavljivanje sumnji na neželjena dejstva</w:t>
      </w:r>
    </w:p>
    <w:p w:rsidR="00237B23" w:rsidRPr="00237B23" w:rsidRDefault="00237B23" w:rsidP="003B0A06">
      <w:pPr>
        <w:spacing w:after="0" w:line="240" w:lineRule="auto"/>
        <w:jc w:val="both"/>
        <w:rPr>
          <w:rFonts w:ascii="Times New Roman" w:eastAsia="Calibri" w:hAnsi="Times New Roman" w:cs="Times New Roman"/>
          <w:bCs/>
          <w:u w:val="single"/>
          <w:lang w:val="sr-Latn-ME"/>
        </w:rPr>
      </w:pPr>
    </w:p>
    <w:p w:rsidR="00237B23" w:rsidRPr="00237B23" w:rsidRDefault="00237B23" w:rsidP="003B0A06">
      <w:pPr>
        <w:spacing w:after="0" w:line="240" w:lineRule="auto"/>
        <w:jc w:val="both"/>
        <w:rPr>
          <w:rFonts w:ascii="Times New Roman" w:eastAsia="Calibri" w:hAnsi="Times New Roman" w:cs="Times New Roman"/>
          <w:bCs/>
          <w:lang w:val="sr-Latn-ME"/>
        </w:rPr>
      </w:pPr>
      <w:r w:rsidRPr="00237B23">
        <w:rPr>
          <w:rFonts w:ascii="Times New Roman" w:eastAsia="Calibri" w:hAnsi="Times New Roman" w:cs="Times New Roman"/>
          <w:bCs/>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237B23" w:rsidRPr="00237B23" w:rsidRDefault="00237B23" w:rsidP="003B0A06">
      <w:pPr>
        <w:tabs>
          <w:tab w:val="left" w:pos="1291"/>
        </w:tabs>
        <w:spacing w:after="0" w:line="240" w:lineRule="auto"/>
        <w:jc w:val="both"/>
        <w:rPr>
          <w:rFonts w:ascii="Times New Roman" w:eastAsia="Calibri" w:hAnsi="Times New Roman" w:cs="Times New Roman"/>
          <w:bCs/>
          <w:lang w:val="sr-Latn-ME"/>
        </w:rPr>
      </w:pPr>
    </w:p>
    <w:p w:rsidR="00237B23" w:rsidRPr="00237B23" w:rsidRDefault="00237B23" w:rsidP="003B0A06">
      <w:pPr>
        <w:spacing w:after="0" w:line="240" w:lineRule="auto"/>
        <w:jc w:val="both"/>
        <w:rPr>
          <w:rFonts w:ascii="Times New Roman" w:eastAsia="Calibri" w:hAnsi="Times New Roman" w:cs="Times New Roman"/>
          <w:bCs/>
          <w:lang w:val="sr-Latn-ME"/>
        </w:rPr>
      </w:pPr>
      <w:r w:rsidRPr="00237B23">
        <w:rPr>
          <w:rFonts w:ascii="Times New Roman" w:eastAsia="Calibri" w:hAnsi="Times New Roman" w:cs="Times New Roman"/>
          <w:bCs/>
          <w:lang w:val="sr-Latn-ME"/>
        </w:rPr>
        <w:t>Agencija za ljekove i medicinska sredstva Crne Gore</w:t>
      </w:r>
    </w:p>
    <w:p w:rsidR="00237B23" w:rsidRPr="00237B23" w:rsidRDefault="00237B23" w:rsidP="003B0A06">
      <w:pPr>
        <w:spacing w:after="0" w:line="240" w:lineRule="auto"/>
        <w:jc w:val="both"/>
        <w:rPr>
          <w:rFonts w:ascii="Times New Roman" w:eastAsia="Calibri" w:hAnsi="Times New Roman" w:cs="Times New Roman"/>
          <w:bCs/>
          <w:lang w:val="sr-Latn-ME"/>
        </w:rPr>
      </w:pPr>
      <w:r w:rsidRPr="00237B23">
        <w:rPr>
          <w:rFonts w:ascii="Times New Roman" w:eastAsia="Calibri" w:hAnsi="Times New Roman" w:cs="Times New Roman"/>
          <w:bCs/>
          <w:lang w:val="sr-Latn-ME"/>
        </w:rPr>
        <w:t>Odjeljenje za farmakovigilancu</w:t>
      </w:r>
    </w:p>
    <w:p w:rsidR="00237B23" w:rsidRPr="00237B23" w:rsidRDefault="00237B23" w:rsidP="003B0A06">
      <w:pPr>
        <w:spacing w:after="0" w:line="240" w:lineRule="auto"/>
        <w:jc w:val="both"/>
        <w:rPr>
          <w:rFonts w:ascii="Times New Roman" w:eastAsia="Calibri" w:hAnsi="Times New Roman" w:cs="Times New Roman"/>
          <w:bCs/>
          <w:lang w:val="sr-Latn-ME"/>
        </w:rPr>
      </w:pPr>
      <w:r w:rsidRPr="00237B23">
        <w:rPr>
          <w:rFonts w:ascii="Times New Roman" w:eastAsia="Calibri" w:hAnsi="Times New Roman" w:cs="Times New Roman"/>
          <w:bCs/>
          <w:lang w:val="sr-Latn-ME"/>
        </w:rPr>
        <w:t>Bulevar Ivana Crnojevića 64a, 81000 Podgorica</w:t>
      </w:r>
    </w:p>
    <w:p w:rsidR="00237B23" w:rsidRPr="00237B23" w:rsidRDefault="00237B23" w:rsidP="003B0A06">
      <w:pPr>
        <w:spacing w:after="0" w:line="240" w:lineRule="auto"/>
        <w:jc w:val="both"/>
        <w:rPr>
          <w:rFonts w:ascii="Times New Roman" w:eastAsia="Calibri" w:hAnsi="Times New Roman" w:cs="Times New Roman"/>
          <w:bCs/>
          <w:lang w:val="sr-Latn-ME"/>
        </w:rPr>
      </w:pPr>
    </w:p>
    <w:p w:rsidR="00237B23" w:rsidRPr="00237B23" w:rsidRDefault="00237B23" w:rsidP="003B0A06">
      <w:pPr>
        <w:spacing w:after="0" w:line="240" w:lineRule="auto"/>
        <w:jc w:val="both"/>
        <w:rPr>
          <w:rFonts w:ascii="Times New Roman" w:eastAsia="Calibri" w:hAnsi="Times New Roman" w:cs="Times New Roman"/>
          <w:bCs/>
          <w:lang w:val="sr-Latn-ME"/>
        </w:rPr>
      </w:pPr>
      <w:r w:rsidRPr="00237B23">
        <w:rPr>
          <w:rFonts w:ascii="Times New Roman" w:eastAsia="Calibri" w:hAnsi="Times New Roman" w:cs="Times New Roman"/>
          <w:bCs/>
          <w:lang w:val="sr-Latn-ME"/>
        </w:rPr>
        <w:t>tel: +382 (0) 20 310 280</w:t>
      </w:r>
    </w:p>
    <w:p w:rsidR="00237B23" w:rsidRPr="00237B23" w:rsidRDefault="00237B23" w:rsidP="003B0A06">
      <w:pPr>
        <w:spacing w:after="0" w:line="240" w:lineRule="auto"/>
        <w:jc w:val="both"/>
        <w:rPr>
          <w:rFonts w:ascii="Times New Roman" w:eastAsia="Calibri" w:hAnsi="Times New Roman" w:cs="Times New Roman"/>
          <w:bCs/>
          <w:lang w:val="sr-Latn-ME"/>
        </w:rPr>
      </w:pPr>
      <w:r w:rsidRPr="00237B23">
        <w:rPr>
          <w:rFonts w:ascii="Times New Roman" w:eastAsia="Calibri" w:hAnsi="Times New Roman" w:cs="Times New Roman"/>
          <w:bCs/>
          <w:lang w:val="sr-Latn-ME"/>
        </w:rPr>
        <w:t>fax:+382 (0) 20 310 581</w:t>
      </w:r>
    </w:p>
    <w:p w:rsidR="00237B23" w:rsidRPr="00237B23" w:rsidRDefault="00934550" w:rsidP="003B0A06">
      <w:pPr>
        <w:spacing w:after="0" w:line="240" w:lineRule="auto"/>
        <w:jc w:val="both"/>
        <w:rPr>
          <w:rFonts w:ascii="Times New Roman" w:eastAsia="Calibri" w:hAnsi="Times New Roman" w:cs="Times New Roman"/>
          <w:bCs/>
          <w:lang w:val="sr-Latn-ME"/>
        </w:rPr>
      </w:pPr>
      <w:hyperlink r:id="rId10" w:history="1">
        <w:r w:rsidR="00237B23" w:rsidRPr="00237B23">
          <w:rPr>
            <w:rFonts w:ascii="Times New Roman" w:eastAsia="Calibri" w:hAnsi="Times New Roman" w:cs="Times New Roman"/>
            <w:bCs/>
            <w:color w:val="0000FF"/>
            <w:u w:val="single"/>
            <w:lang w:val="sr-Latn-ME"/>
          </w:rPr>
          <w:t>www.calims.me</w:t>
        </w:r>
      </w:hyperlink>
    </w:p>
    <w:p w:rsidR="00237B23" w:rsidRPr="00237B23" w:rsidRDefault="00934550" w:rsidP="003B0A06">
      <w:pPr>
        <w:spacing w:after="0" w:line="240" w:lineRule="auto"/>
        <w:jc w:val="both"/>
        <w:rPr>
          <w:rFonts w:ascii="Times New Roman" w:eastAsia="Calibri" w:hAnsi="Times New Roman" w:cs="Times New Roman"/>
          <w:bCs/>
          <w:lang w:val="sr-Latn-ME"/>
        </w:rPr>
      </w:pPr>
      <w:hyperlink r:id="rId11" w:history="1">
        <w:r w:rsidR="00237B23" w:rsidRPr="00237B23">
          <w:rPr>
            <w:rFonts w:ascii="Times New Roman" w:eastAsia="Calibri" w:hAnsi="Times New Roman" w:cs="Times New Roman"/>
            <w:bCs/>
            <w:color w:val="0000FF"/>
            <w:u w:val="single"/>
            <w:lang w:val="sr-Latn-ME"/>
          </w:rPr>
          <w:t>nezeljenadejstva@calims.me</w:t>
        </w:r>
      </w:hyperlink>
    </w:p>
    <w:p w:rsidR="00237B23" w:rsidRPr="00237B23" w:rsidRDefault="00237B23" w:rsidP="003B0A06">
      <w:pPr>
        <w:spacing w:after="0" w:line="240" w:lineRule="auto"/>
        <w:jc w:val="both"/>
        <w:rPr>
          <w:rFonts w:ascii="Times New Roman" w:eastAsia="Calibri" w:hAnsi="Times New Roman" w:cs="Times New Roman"/>
          <w:bCs/>
          <w:lang w:val="sr-Latn-ME"/>
        </w:rPr>
      </w:pPr>
      <w:r w:rsidRPr="00237B23">
        <w:rPr>
          <w:rFonts w:ascii="Times New Roman" w:eastAsia="Calibri" w:hAnsi="Times New Roman" w:cs="Times New Roman"/>
          <w:bCs/>
          <w:lang w:val="sr-Latn-ME"/>
        </w:rPr>
        <w:t>putem IS zdravstvene zaštite</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AF0EC5">
      <w:pPr>
        <w:tabs>
          <w:tab w:val="left" w:pos="426"/>
        </w:tabs>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lastRenderedPageBreak/>
        <w:t>4.9   Predoziranje i mjere koje treba preduzeti</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Zbog malih koncentracija obje aktivne supstance u lijeku Septolete</w:t>
      </w:r>
      <w:r w:rsidRPr="00237B23">
        <w:rPr>
          <w:rFonts w:ascii="Times New Roman" w:eastAsia="Times New Roman" w:hAnsi="Times New Roman" w:cs="Times New Roman"/>
          <w:b/>
          <w:bCs/>
          <w:vertAlign w:val="superscript"/>
          <w:lang w:val="sr-Latn-ME" w:eastAsia="hr-HR"/>
        </w:rPr>
        <w:t>®</w:t>
      </w:r>
      <w:r w:rsidRPr="00237B23">
        <w:rPr>
          <w:rFonts w:ascii="Times New Roman" w:eastAsia="Times New Roman" w:hAnsi="Times New Roman" w:cs="Times New Roman"/>
          <w:lang w:val="sr-Latn-ME" w:eastAsia="hr-HR"/>
        </w:rPr>
        <w:t xml:space="preserve"> plus, predoziranje nije moguće ako se koriste preporučene doze. Dugotrajna upotreba doza većih od preporučenih ili suviše česta upotreba u kratkom vremenskom periodu može da izazove methemoglobinemiju. Ukoliko se jave znakovi intoksikacije, treba odmah prekinuti sa upotrebom lijeka. Znakovi i simptomi methemoglobinemije mogu da se jave 45 do 60 minuta nakon uzimanja doze. Na osnovu stepena oksidacije hemoglobina, mogu da se jave blagi simptomi kao što je glavobolja, cijanoza, malaksalost, nedostatak energije, dispneja. Kod ozbiljnije methemoglobinemije javljaju se palpitacije, konvulzije, aritmija i koma.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Terapija predoziranja uključuje primjenu 100% kiseonika, a u težim slučajevima i primjenu antidota metilen plavo i gastroinstetinalne dekontaminacije (gastrična lavaža i aktivni ugalj).</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Ako su uzete veće doze od onih koje su preporučene, mogu se javiti gastrointestinalni problemi kao što su mučnina, povraćanje i dijareja. Cetilpiridinijum hlorid može da izazove mučninu i povraćanje zato što nadražuje sluzokožu gastrointestinalnog trakta.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AF0EC5">
      <w:pPr>
        <w:tabs>
          <w:tab w:val="left" w:pos="567"/>
        </w:tabs>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5.     FARMAKOLOŠKI PODACI</w:t>
      </w: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p>
    <w:p w:rsidR="00237B23" w:rsidRPr="00237B23" w:rsidRDefault="00AF0EC5" w:rsidP="003B0A06">
      <w:pPr>
        <w:spacing w:after="0" w:line="240" w:lineRule="auto"/>
        <w:jc w:val="both"/>
        <w:rPr>
          <w:rFonts w:ascii="Times New Roman" w:eastAsia="Times New Roman" w:hAnsi="Times New Roman" w:cs="Times New Roman"/>
          <w:b/>
          <w:bCs/>
          <w:lang w:val="sr-Latn-ME" w:eastAsia="hr-HR"/>
        </w:rPr>
      </w:pPr>
      <w:r>
        <w:rPr>
          <w:rFonts w:ascii="Times New Roman" w:eastAsia="Times New Roman" w:hAnsi="Times New Roman" w:cs="Times New Roman"/>
          <w:b/>
          <w:bCs/>
          <w:lang w:val="sr-Latn-ME" w:eastAsia="hr-HR"/>
        </w:rPr>
        <w:t xml:space="preserve">5.1   Farmakodinamski </w:t>
      </w:r>
      <w:r w:rsidR="00237B23" w:rsidRPr="00237B23">
        <w:rPr>
          <w:rFonts w:ascii="Times New Roman" w:eastAsia="Times New Roman" w:hAnsi="Times New Roman" w:cs="Times New Roman"/>
          <w:b/>
          <w:bCs/>
          <w:lang w:val="sr-Latn-ME" w:eastAsia="hr-HR"/>
        </w:rPr>
        <w:t>podaci</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 xml:space="preserve">Farmakoterapijska grupa: </w:t>
      </w:r>
      <w:r w:rsidRPr="00237B23">
        <w:rPr>
          <w:rFonts w:ascii="Times New Roman" w:eastAsia="Times New Roman" w:hAnsi="Times New Roman" w:cs="Times New Roman"/>
          <w:lang w:val="sr-Latn-ME" w:eastAsia="sl-SI"/>
        </w:rPr>
        <w:t>preparati</w:t>
      </w:r>
      <w:r w:rsidRPr="00237B23">
        <w:rPr>
          <w:rFonts w:ascii="Times New Roman" w:eastAsia="Times New Roman" w:hAnsi="Times New Roman" w:cs="Times New Roman"/>
          <w:lang w:val="sr-Latn-ME"/>
        </w:rPr>
        <w:t xml:space="preserve"> za grlo, antiseptici</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ATC kod: R02A…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widowControl w:val="0"/>
        <w:tabs>
          <w:tab w:val="left" w:pos="567"/>
        </w:tabs>
        <w:spacing w:after="0" w:line="240" w:lineRule="auto"/>
        <w:jc w:val="both"/>
        <w:rPr>
          <w:rFonts w:ascii="Times New Roman" w:eastAsia="Times New Roman" w:hAnsi="Times New Roman" w:cs="Times New Roman"/>
          <w:u w:val="single"/>
          <w:lang w:val="sr-Latn-ME" w:eastAsia="sl-SI"/>
        </w:rPr>
      </w:pPr>
      <w:r w:rsidRPr="00237B23">
        <w:rPr>
          <w:rFonts w:ascii="Times New Roman" w:eastAsia="Times New Roman" w:hAnsi="Times New Roman" w:cs="Times New Roman"/>
          <w:u w:val="single"/>
          <w:lang w:val="sr-Latn-ME" w:eastAsia="sl-SI"/>
        </w:rPr>
        <w:t>Mehanizam djelovanja</w:t>
      </w:r>
    </w:p>
    <w:p w:rsidR="00237B23" w:rsidRPr="00237B23" w:rsidRDefault="00237B23" w:rsidP="003B0A06">
      <w:pPr>
        <w:widowControl w:val="0"/>
        <w:tabs>
          <w:tab w:val="left" w:pos="567"/>
        </w:tabs>
        <w:spacing w:after="0" w:line="240" w:lineRule="auto"/>
        <w:jc w:val="both"/>
        <w:rPr>
          <w:rFonts w:ascii="Times New Roman" w:eastAsia="Times New Roman" w:hAnsi="Times New Roman" w:cs="Times New Roman"/>
          <w:lang w:val="sr-Latn-ME" w:eastAsia="sl-SI"/>
        </w:rPr>
      </w:pPr>
    </w:p>
    <w:p w:rsidR="00237B23" w:rsidRPr="00237B23" w:rsidRDefault="00237B23" w:rsidP="003B0A06">
      <w:pPr>
        <w:widowControl w:val="0"/>
        <w:tabs>
          <w:tab w:val="left" w:pos="567"/>
        </w:tabs>
        <w:spacing w:after="0" w:line="240" w:lineRule="auto"/>
        <w:jc w:val="both"/>
        <w:rPr>
          <w:rFonts w:ascii="Times New Roman" w:eastAsia="Times New Roman" w:hAnsi="Times New Roman" w:cs="Times New Roman"/>
          <w:b/>
          <w:lang w:val="sr-Latn-ME" w:eastAsia="sl-SI"/>
        </w:rPr>
      </w:pPr>
      <w:r w:rsidRPr="00237B23">
        <w:rPr>
          <w:rFonts w:ascii="Times New Roman" w:eastAsia="Times New Roman" w:hAnsi="Times New Roman" w:cs="Times New Roman"/>
          <w:b/>
          <w:lang w:val="sr-Latn-ME" w:eastAsia="sl-SI"/>
        </w:rPr>
        <w:t>Benzokain</w:t>
      </w:r>
    </w:p>
    <w:p w:rsidR="00237B23" w:rsidRPr="00237B23" w:rsidRDefault="00237B23" w:rsidP="003B0A06">
      <w:pPr>
        <w:widowControl w:val="0"/>
        <w:tabs>
          <w:tab w:val="left" w:pos="567"/>
        </w:tabs>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sl-SI"/>
        </w:rPr>
        <w:t>Benzokain blokira sprovođenje impulsa duž nerava, uključujući i sprovodljivost nerava bola, čime se eliminiše osjećanje bola. Sprovodljivost nerava se blokira tako što se smanji propustljivost membrane nervnih ćelija za jone natrijuma.</w:t>
      </w:r>
    </w:p>
    <w:p w:rsidR="00237B23" w:rsidRPr="00237B23" w:rsidRDefault="00237B23" w:rsidP="003B0A06">
      <w:pPr>
        <w:widowControl w:val="0"/>
        <w:tabs>
          <w:tab w:val="left" w:pos="567"/>
        </w:tabs>
        <w:spacing w:after="0" w:line="240" w:lineRule="auto"/>
        <w:jc w:val="both"/>
        <w:rPr>
          <w:rFonts w:ascii="Times New Roman" w:eastAsia="Times New Roman" w:hAnsi="Times New Roman" w:cs="Times New Roman"/>
          <w:lang w:val="sr-Latn-ME" w:eastAsia="sl-SI"/>
        </w:rPr>
      </w:pPr>
    </w:p>
    <w:p w:rsidR="00237B23" w:rsidRPr="00237B23" w:rsidRDefault="00237B23" w:rsidP="003B0A06">
      <w:pPr>
        <w:spacing w:after="0" w:line="240" w:lineRule="auto"/>
        <w:jc w:val="both"/>
        <w:rPr>
          <w:rFonts w:ascii="Times New Roman" w:eastAsia="Times New Roman" w:hAnsi="Times New Roman" w:cs="Times New Roman"/>
          <w:b/>
          <w:lang w:val="sr-Latn-ME" w:eastAsia="hr-HR"/>
        </w:rPr>
      </w:pPr>
      <w:r w:rsidRPr="00237B23">
        <w:rPr>
          <w:rFonts w:ascii="Times New Roman" w:eastAsia="Times New Roman" w:hAnsi="Times New Roman" w:cs="Times New Roman"/>
          <w:b/>
          <w:lang w:val="sr-Latn-ME" w:eastAsia="hr-HR"/>
        </w:rPr>
        <w:t xml:space="preserve">Cetilpiridinijum hlorid </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Cetilpiridinijum hlorid je antiseptik iz grupe kvaternarnih amonijum jedinjenja. On djeluje kao katjonski surfaktant. Kvaternarna amonijum jedinjenja se vezuju za površinu ćelije bakterije, šire se po njoj i vezuju se za mikrobnu citoplazmatičnu membranu. Kao rezultat vezivanja, citoplazmatična membrana postaje propustljiva za niskomolekularne sastojke, prije svega za jone kalijuma. Kvaternarna amonijum jedinjenja zatim prodiru u ćeliju, konačno oštećujući funkcije ćelije i tako prouzrokuju smrt ćelije.</w:t>
      </w:r>
    </w:p>
    <w:p w:rsidR="00237B23" w:rsidRPr="00237B23" w:rsidRDefault="00237B23" w:rsidP="003B0A06">
      <w:pPr>
        <w:spacing w:after="0" w:line="240" w:lineRule="auto"/>
        <w:jc w:val="both"/>
        <w:rPr>
          <w:rFonts w:ascii="Times New Roman" w:eastAsia="Times New Roman" w:hAnsi="Times New Roman" w:cs="Times New Roman"/>
          <w:b/>
          <w:lang w:val="sr-Latn-ME" w:eastAsia="hr-HR"/>
        </w:rPr>
      </w:pPr>
      <w:r w:rsidRPr="00237B23">
        <w:rPr>
          <w:rFonts w:ascii="Times New Roman" w:eastAsia="Times New Roman" w:hAnsi="Times New Roman" w:cs="Times New Roman"/>
          <w:lang w:val="sr-Latn-ME" w:eastAsia="hr-HR"/>
        </w:rPr>
        <w:t xml:space="preserve">Cetilpiridinijum hlorid ima široki spektar antimikrobnog djelovanja; najizraženije dejstvo je njegovo antimikrobno dejstvo protiv gram-pozitivnih bakterija (npr. </w:t>
      </w:r>
      <w:r w:rsidRPr="00237B23">
        <w:rPr>
          <w:rFonts w:ascii="Times New Roman" w:eastAsia="Times New Roman" w:hAnsi="Times New Roman" w:cs="Times New Roman"/>
          <w:i/>
          <w:lang w:val="sr-Latn-ME" w:eastAsia="hr-HR"/>
        </w:rPr>
        <w:t>Staphylococcus</w:t>
      </w:r>
      <w:r w:rsidRPr="00237B23">
        <w:rPr>
          <w:rFonts w:ascii="Times New Roman" w:eastAsia="Times New Roman" w:hAnsi="Times New Roman" w:cs="Times New Roman"/>
          <w:lang w:val="sr-Latn-ME" w:eastAsia="hr-HR"/>
        </w:rPr>
        <w:t xml:space="preserve">). Gram-negativne bakterije su umjereno osjetljive na cetilpiridinijum hlorid, dok su neke vrste Pseudomonas relativno neosjetljive. Cetilpiridinijum hlorid ima i antimikotičko dejstvo (npr. na gljivice </w:t>
      </w:r>
      <w:r w:rsidRPr="00237B23">
        <w:rPr>
          <w:rFonts w:ascii="Times New Roman" w:eastAsia="Times New Roman" w:hAnsi="Times New Roman" w:cs="Times New Roman"/>
          <w:i/>
          <w:lang w:val="sr-Latn-ME" w:eastAsia="hr-HR"/>
        </w:rPr>
        <w:t>Candida</w:t>
      </w:r>
      <w:r w:rsidRPr="00237B23">
        <w:rPr>
          <w:rFonts w:ascii="Times New Roman" w:eastAsia="Times New Roman" w:hAnsi="Times New Roman" w:cs="Times New Roman"/>
          <w:lang w:val="sr-Latn-ME" w:eastAsia="hr-HR"/>
        </w:rPr>
        <w:t xml:space="preserve"> i </w:t>
      </w:r>
      <w:r w:rsidRPr="00237B23">
        <w:rPr>
          <w:rFonts w:ascii="Times New Roman" w:eastAsia="Times New Roman" w:hAnsi="Times New Roman" w:cs="Times New Roman"/>
          <w:i/>
          <w:lang w:val="sr-Latn-ME" w:eastAsia="hr-HR"/>
        </w:rPr>
        <w:t>Saccharomyces</w:t>
      </w:r>
      <w:r w:rsidRPr="00237B23">
        <w:rPr>
          <w:rFonts w:ascii="Times New Roman" w:eastAsia="Times New Roman" w:hAnsi="Times New Roman" w:cs="Times New Roman"/>
          <w:lang w:val="sr-Latn-ME" w:eastAsia="hr-HR"/>
        </w:rPr>
        <w:t>) i antivirusno dejstvo na neke omotače virusa.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5.2   Farmakokinetički podaci</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AF0EC5" w:rsidRDefault="00AF0EC5" w:rsidP="003B0A06">
      <w:pPr>
        <w:spacing w:after="0" w:line="240" w:lineRule="auto"/>
        <w:jc w:val="both"/>
        <w:rPr>
          <w:rFonts w:ascii="Times New Roman" w:eastAsia="Times New Roman" w:hAnsi="Times New Roman" w:cs="Times New Roman"/>
          <w:b/>
          <w:lang w:val="sr-Latn-ME" w:eastAsia="hr-HR"/>
        </w:rPr>
      </w:pPr>
    </w:p>
    <w:p w:rsidR="00237B23" w:rsidRPr="00237B23" w:rsidRDefault="00237B23" w:rsidP="003B0A06">
      <w:pPr>
        <w:spacing w:after="0" w:line="240" w:lineRule="auto"/>
        <w:jc w:val="both"/>
        <w:rPr>
          <w:rFonts w:ascii="Times New Roman" w:eastAsia="Times New Roman" w:hAnsi="Times New Roman" w:cs="Times New Roman"/>
          <w:b/>
          <w:lang w:val="sr-Latn-ME" w:eastAsia="hr-HR"/>
        </w:rPr>
      </w:pPr>
      <w:r w:rsidRPr="00237B23">
        <w:rPr>
          <w:rFonts w:ascii="Times New Roman" w:eastAsia="Times New Roman" w:hAnsi="Times New Roman" w:cs="Times New Roman"/>
          <w:b/>
          <w:lang w:val="sr-Latn-ME" w:eastAsia="hr-HR"/>
        </w:rPr>
        <w:lastRenderedPageBreak/>
        <w:t xml:space="preserve">Cetilpiridinijum hlorid </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Ne postoje podaci u literaturi o farmakokinetici cetilpiridinijum hlorida. Najveća količina podataka o farmakokinetici kvaternarnih amonijum jedinjenja dobijena je iz istraživanja na životinjama.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u w:val="single"/>
          <w:lang w:val="sr-Latn-ME" w:eastAsia="sl-SI"/>
        </w:rPr>
      </w:pPr>
      <w:r w:rsidRPr="00237B23">
        <w:rPr>
          <w:rFonts w:ascii="Times New Roman" w:eastAsia="Times New Roman" w:hAnsi="Times New Roman" w:cs="Times New Roman"/>
          <w:u w:val="single"/>
          <w:lang w:val="sr-Latn-ME" w:eastAsia="sl-SI"/>
        </w:rPr>
        <w:t xml:space="preserve">Resorpcija </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Poznato je da se kvarterna amonijumova jedinjenja slabo resorbuju, samo 10 – 20 %.</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237B23">
        <w:rPr>
          <w:rFonts w:ascii="Times New Roman" w:eastAsia="Times New Roman" w:hAnsi="Times New Roman" w:cs="Times New Roman"/>
          <w:color w:val="000000"/>
          <w:u w:val="single"/>
          <w:lang w:val="sr-Latn-ME" w:eastAsia="sl-SI"/>
        </w:rPr>
        <w:t xml:space="preserve">Distribucija </w:t>
      </w:r>
    </w:p>
    <w:p w:rsidR="00237B23" w:rsidRPr="00237B23" w:rsidRDefault="00237B23" w:rsidP="003B0A06">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237B23">
        <w:rPr>
          <w:rFonts w:ascii="Times New Roman" w:eastAsia="Times New Roman" w:hAnsi="Times New Roman" w:cs="Times New Roman"/>
          <w:color w:val="000000"/>
          <w:lang w:val="sr-Latn-ME" w:eastAsia="sl-SI"/>
        </w:rPr>
        <w:t xml:space="preserve">Literaturni podaci vezani za distribuciju cetilpiridinijum hlorida nijesu dostupni. </w:t>
      </w:r>
    </w:p>
    <w:p w:rsidR="00237B23" w:rsidRPr="00237B23" w:rsidRDefault="00237B23" w:rsidP="003B0A06">
      <w:pPr>
        <w:autoSpaceDE w:val="0"/>
        <w:autoSpaceDN w:val="0"/>
        <w:adjustRightInd w:val="0"/>
        <w:spacing w:after="0" w:line="240" w:lineRule="auto"/>
        <w:jc w:val="both"/>
        <w:rPr>
          <w:rFonts w:ascii="Times New Roman" w:eastAsia="Times New Roman" w:hAnsi="Times New Roman" w:cs="Times New Roman"/>
          <w:color w:val="000000"/>
          <w:u w:val="single"/>
          <w:lang w:val="sr-Latn-ME" w:eastAsia="sl-SI"/>
        </w:rPr>
      </w:pPr>
    </w:p>
    <w:p w:rsidR="00237B23" w:rsidRPr="00237B23" w:rsidRDefault="00237B23" w:rsidP="003B0A06">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237B23">
        <w:rPr>
          <w:rFonts w:ascii="Times New Roman" w:eastAsia="Times New Roman" w:hAnsi="Times New Roman" w:cs="Times New Roman"/>
          <w:color w:val="000000"/>
          <w:u w:val="single"/>
          <w:lang w:val="sr-Latn-ME" w:eastAsia="sl-SI"/>
        </w:rPr>
        <w:t xml:space="preserve">Biotransformacija </w:t>
      </w:r>
    </w:p>
    <w:p w:rsidR="00237B23" w:rsidRPr="00237B23" w:rsidRDefault="00237B23" w:rsidP="003B0A06">
      <w:pPr>
        <w:spacing w:after="0" w:line="240" w:lineRule="auto"/>
        <w:jc w:val="both"/>
        <w:rPr>
          <w:rFonts w:ascii="Times New Roman" w:eastAsia="Times New Roman" w:hAnsi="Times New Roman" w:cs="Times New Roman"/>
          <w:lang w:val="sr-Latn-ME" w:eastAsia="sl-SI"/>
        </w:rPr>
      </w:pPr>
      <w:r w:rsidRPr="00237B23">
        <w:rPr>
          <w:rFonts w:ascii="Times New Roman" w:eastAsia="Times New Roman" w:hAnsi="Times New Roman" w:cs="Times New Roman"/>
          <w:lang w:val="sr-Latn-ME" w:eastAsia="sl-SI"/>
        </w:rPr>
        <w:t>Literaturni podaci vezani za biotransformaciju cetilpiridinijum hlorida nijesu dostupni.</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u w:val="single"/>
          <w:lang w:val="sr-Latn-ME" w:eastAsia="sl-SI"/>
        </w:rPr>
      </w:pPr>
      <w:r w:rsidRPr="00237B23">
        <w:rPr>
          <w:rFonts w:ascii="Times New Roman" w:eastAsia="Times New Roman" w:hAnsi="Times New Roman" w:cs="Times New Roman"/>
          <w:u w:val="single"/>
          <w:lang w:val="sr-Latn-ME" w:eastAsia="sl-SI"/>
        </w:rPr>
        <w:t xml:space="preserve">Eliminacija </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Neresorbovani dio se nepromijenjen ekskretuje fecesom.</w:t>
      </w:r>
    </w:p>
    <w:p w:rsidR="00237B23" w:rsidRPr="00237B23" w:rsidRDefault="00237B23" w:rsidP="003B0A06">
      <w:pPr>
        <w:spacing w:after="0" w:line="240" w:lineRule="auto"/>
        <w:jc w:val="both"/>
        <w:rPr>
          <w:rFonts w:ascii="Times New Roman" w:eastAsia="Times New Roman" w:hAnsi="Times New Roman" w:cs="Times New Roman"/>
          <w:b/>
          <w:lang w:val="sr-Latn-ME" w:eastAsia="hr-HR"/>
        </w:rPr>
      </w:pPr>
    </w:p>
    <w:p w:rsidR="00237B23" w:rsidRPr="00237B23" w:rsidRDefault="00237B23" w:rsidP="003B0A06">
      <w:pPr>
        <w:spacing w:after="0" w:line="240" w:lineRule="auto"/>
        <w:jc w:val="both"/>
        <w:rPr>
          <w:rFonts w:ascii="Times New Roman" w:eastAsia="Times New Roman" w:hAnsi="Times New Roman" w:cs="Times New Roman"/>
          <w:b/>
          <w:lang w:val="sr-Latn-ME" w:eastAsia="hr-HR"/>
        </w:rPr>
      </w:pPr>
      <w:r w:rsidRPr="00237B23">
        <w:rPr>
          <w:rFonts w:ascii="Times New Roman" w:eastAsia="Times New Roman" w:hAnsi="Times New Roman" w:cs="Times New Roman"/>
          <w:b/>
          <w:lang w:val="sr-Latn-ME" w:eastAsia="hr-HR"/>
        </w:rPr>
        <w:t xml:space="preserve">Benzokain </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Podaci o farmakokinetici benzokaina u literaturi su veoma oskudni.</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u w:val="single"/>
          <w:lang w:val="sr-Latn-ME" w:eastAsia="sl-SI"/>
        </w:rPr>
      </w:pPr>
      <w:r w:rsidRPr="00237B23">
        <w:rPr>
          <w:rFonts w:ascii="Times New Roman" w:eastAsia="Times New Roman" w:hAnsi="Times New Roman" w:cs="Times New Roman"/>
          <w:u w:val="single"/>
          <w:lang w:val="sr-Latn-ME" w:eastAsia="sl-SI"/>
        </w:rPr>
        <w:t xml:space="preserve">Resorpcija </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Poznato je da se neki lokalni anestetici, uključujući i benzokain, slabo rastvaraju u vodi i zbog toga je njihova resorpcija minimalna.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u w:val="single"/>
          <w:lang w:val="sr-Latn-ME" w:eastAsia="sl-SI"/>
        </w:rPr>
      </w:pPr>
      <w:r w:rsidRPr="00237B23">
        <w:rPr>
          <w:rFonts w:ascii="Times New Roman" w:eastAsia="Times New Roman" w:hAnsi="Times New Roman" w:cs="Times New Roman"/>
          <w:u w:val="single"/>
          <w:lang w:val="sr-Latn-ME" w:eastAsia="sl-SI"/>
        </w:rPr>
        <w:t xml:space="preserve">Biotransformacija </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Resorbovani benzokain se uglavnom hidrolizuje pomoću holinesteraze u plazmi, a manji dio se metaboliše u jetri.</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u w:val="single"/>
          <w:lang w:val="sr-Latn-ME" w:eastAsia="sl-SI"/>
        </w:rPr>
      </w:pPr>
      <w:r w:rsidRPr="00237B23">
        <w:rPr>
          <w:rFonts w:ascii="Times New Roman" w:eastAsia="Times New Roman" w:hAnsi="Times New Roman" w:cs="Times New Roman"/>
          <w:u w:val="single"/>
          <w:lang w:val="sr-Latn-ME" w:eastAsia="sl-SI"/>
        </w:rPr>
        <w:t xml:space="preserve">Eliminacija </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Proizvodi razgradnje se ekskretuju urinom.</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5.3   Pretklinički podaci o bezbjednosti</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keepNext/>
        <w:spacing w:after="0" w:line="240" w:lineRule="auto"/>
        <w:jc w:val="both"/>
        <w:outlineLvl w:val="0"/>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Benzokain</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Zbog veoma slabe rastvorljivosti benzokaina u vodi i zbog njegove slabe resorpcije, incidenca sistemske toksičnosti je niska. Oralne vrednosti LD50 su više od 2.000 mg/kg za pacove i miševe. Benzokain nije mutagen i ne prouzrokuje oštećenja DNK. Prema NTP (</w:t>
      </w:r>
      <w:r w:rsidRPr="00237B23">
        <w:rPr>
          <w:rFonts w:ascii="Times New Roman" w:eastAsia="Times New Roman" w:hAnsi="Times New Roman" w:cs="Times New Roman"/>
          <w:i/>
          <w:lang w:val="sr-Latn-ME" w:eastAsia="hr-HR"/>
        </w:rPr>
        <w:t>National Toxicology Program</w:t>
      </w:r>
      <w:r w:rsidRPr="00237B23">
        <w:rPr>
          <w:rFonts w:ascii="Times New Roman" w:eastAsia="Times New Roman" w:hAnsi="Times New Roman" w:cs="Times New Roman"/>
          <w:lang w:val="sr-Latn-ME" w:eastAsia="hr-HR"/>
        </w:rPr>
        <w:t>), IARC (</w:t>
      </w:r>
      <w:r w:rsidRPr="00237B23">
        <w:rPr>
          <w:rFonts w:ascii="Times New Roman" w:eastAsia="Times New Roman" w:hAnsi="Times New Roman" w:cs="Times New Roman"/>
          <w:i/>
          <w:lang w:val="sr-Latn-ME" w:eastAsia="hr-HR"/>
        </w:rPr>
        <w:t>International Agency for Research on Cancer</w:t>
      </w:r>
      <w:r w:rsidRPr="00237B23">
        <w:rPr>
          <w:rFonts w:ascii="Times New Roman" w:eastAsia="Times New Roman" w:hAnsi="Times New Roman" w:cs="Times New Roman"/>
          <w:lang w:val="sr-Latn-ME" w:eastAsia="hr-HR"/>
        </w:rPr>
        <w:t>) i OSHA (</w:t>
      </w:r>
      <w:r w:rsidRPr="00237B23">
        <w:rPr>
          <w:rFonts w:ascii="Times New Roman" w:eastAsia="Times New Roman" w:hAnsi="Times New Roman" w:cs="Times New Roman"/>
          <w:i/>
          <w:lang w:val="sr-Latn-ME" w:eastAsia="hr-HR"/>
        </w:rPr>
        <w:t>Occupational Safety and Health Administration</w:t>
      </w:r>
      <w:r w:rsidRPr="00237B23">
        <w:rPr>
          <w:rFonts w:ascii="Times New Roman" w:eastAsia="Times New Roman" w:hAnsi="Times New Roman" w:cs="Times New Roman"/>
          <w:lang w:val="sr-Latn-ME" w:eastAsia="hr-HR"/>
        </w:rPr>
        <w:t>) podacima, benzokain nije kancerogen. Nema dostupnih podataka iz literature o reprotoksičnom dejstvu na eksperimentalnim životinjama.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keepNext/>
        <w:spacing w:after="0" w:line="240" w:lineRule="auto"/>
        <w:jc w:val="both"/>
        <w:outlineLvl w:val="0"/>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Cetilpiridinijum hlorid</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Uopšteno, kvaternarni amonijum germicidi (cetilpiridinijum hlorid) nijesu toksični i ne iritiraju kožu i sluzokožu pri koncentracijama koje se koriste za antiseptičko delovanje.</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 xml:space="preserve">Oralne vrijednosti LD50 za cetilpiridinijum hlorid bile su u opsegu od 192 do 538 mg/kg i od 108 do 195 kod pacova i miševa, tim redosledom. Dugotrajne studije toksičnosti kod zečeva nijesu pokazale velike patološke promjene koje se mogu pripisati cetilpiridinijum hloridu. Cetilpiridinijum hlorid u Amesovom testu nije imao mutageno dejstvo. Cetilpiridinijum hlorid nije uticao na reproduktivni kapacitet i nije imao teratogena dejstva </w:t>
      </w:r>
      <w:r w:rsidRPr="00237B23">
        <w:rPr>
          <w:rFonts w:ascii="Times New Roman" w:eastAsia="Times New Roman" w:hAnsi="Times New Roman" w:cs="Times New Roman"/>
          <w:lang w:val="sr-Latn-ME" w:eastAsia="hr-HR"/>
        </w:rPr>
        <w:lastRenderedPageBreak/>
        <w:t>kod pacova. Nijesu primijećeni dokazi o kancerogenosti kod pacova koji su primali 7 ili 35 mg cetilpiridinijum hlorida po kg telesne mase u hrani tokom 1 godine.</w:t>
      </w:r>
    </w:p>
    <w:p w:rsidR="00237B23" w:rsidRDefault="00237B23" w:rsidP="003B0A06">
      <w:pPr>
        <w:spacing w:after="0" w:line="240" w:lineRule="auto"/>
        <w:jc w:val="both"/>
        <w:rPr>
          <w:rFonts w:ascii="Times New Roman" w:eastAsia="Times New Roman" w:hAnsi="Times New Roman" w:cs="Times New Roman"/>
          <w:lang w:val="sr-Latn-ME" w:eastAsia="hr-HR"/>
        </w:rPr>
      </w:pPr>
    </w:p>
    <w:p w:rsidR="00AF0EC5" w:rsidRPr="00237B23" w:rsidRDefault="00AF0EC5"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AF0EC5">
      <w:pPr>
        <w:tabs>
          <w:tab w:val="left" w:pos="426"/>
          <w:tab w:val="left" w:pos="851"/>
        </w:tabs>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6.     FARMACEUTSKI PODACI</w:t>
      </w: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6.1   Lista pomoćnih supstanci</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96 % etanol</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 xml:space="preserve">glicerol </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saharin natrijum</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ulje peperminta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voda, prečišćena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AF0EC5">
      <w:pPr>
        <w:tabs>
          <w:tab w:val="left" w:pos="426"/>
        </w:tabs>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6.2   Inkompatibilnosti</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Nijesu poznate.</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6.3   Rok upotrebe</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Rok upotrebe prije otvaranja: 2 godine.</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Rok upotrebe nakon prvog otvaranja: 3 mjeseca.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6.4   Posebne mjere upozorenja pri čuvanju lijeka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Čuvati na temperaturi do 25 °C.</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6.5   Vrsta i sadržaj pakovanja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Plastičn</w:t>
      </w:r>
      <w:r w:rsidR="00881BEE">
        <w:rPr>
          <w:rFonts w:ascii="Times New Roman" w:eastAsia="Times New Roman" w:hAnsi="Times New Roman" w:cs="Times New Roman"/>
          <w:lang w:val="sr-Latn-ME" w:eastAsia="hr-HR"/>
        </w:rPr>
        <w:t>i</w:t>
      </w:r>
      <w:r w:rsidRPr="00237B23">
        <w:rPr>
          <w:rFonts w:ascii="Times New Roman" w:eastAsia="Times New Roman" w:hAnsi="Times New Roman" w:cs="Times New Roman"/>
          <w:lang w:val="sr-Latn-ME" w:eastAsia="hr-HR"/>
        </w:rPr>
        <w:t xml:space="preserve"> </w:t>
      </w:r>
      <w:r w:rsidR="00881BEE">
        <w:rPr>
          <w:rFonts w:ascii="Times New Roman" w:eastAsia="Times New Roman" w:hAnsi="Times New Roman" w:cs="Times New Roman"/>
          <w:lang w:val="sr-Latn-ME" w:eastAsia="hr-HR"/>
        </w:rPr>
        <w:t>sprej kontejner</w:t>
      </w:r>
      <w:r w:rsidR="00D2374E">
        <w:rPr>
          <w:rFonts w:ascii="Times New Roman" w:eastAsia="Times New Roman" w:hAnsi="Times New Roman" w:cs="Times New Roman"/>
          <w:lang w:val="sr-Latn-ME" w:eastAsia="hr-HR"/>
        </w:rPr>
        <w:t xml:space="preserve"> (HDPE) sa pumpicom za doziranje</w:t>
      </w:r>
      <w:r w:rsidRPr="00237B23">
        <w:rPr>
          <w:rFonts w:ascii="Times New Roman" w:eastAsia="Times New Roman" w:hAnsi="Times New Roman" w:cs="Times New Roman"/>
          <w:lang w:val="sr-Latn-ME" w:eastAsia="hr-HR"/>
        </w:rPr>
        <w:t xml:space="preserve"> i plastični</w:t>
      </w:r>
      <w:r w:rsidR="00D2374E">
        <w:rPr>
          <w:rFonts w:ascii="Times New Roman" w:eastAsia="Times New Roman" w:hAnsi="Times New Roman" w:cs="Times New Roman"/>
          <w:lang w:val="sr-Latn-ME" w:eastAsia="hr-HR"/>
        </w:rPr>
        <w:t>m</w:t>
      </w:r>
      <w:r w:rsidRPr="00237B23">
        <w:rPr>
          <w:rFonts w:ascii="Times New Roman" w:eastAsia="Times New Roman" w:hAnsi="Times New Roman" w:cs="Times New Roman"/>
          <w:lang w:val="sr-Latn-ME" w:eastAsia="hr-HR"/>
        </w:rPr>
        <w:t xml:space="preserve"> poklop</w:t>
      </w:r>
      <w:r w:rsidR="00D2374E">
        <w:rPr>
          <w:rFonts w:ascii="Times New Roman" w:eastAsia="Times New Roman" w:hAnsi="Times New Roman" w:cs="Times New Roman"/>
          <w:lang w:val="sr-Latn-ME" w:eastAsia="hr-HR"/>
        </w:rPr>
        <w:t>cem</w:t>
      </w:r>
      <w:r w:rsidRPr="00237B23">
        <w:rPr>
          <w:rFonts w:ascii="Times New Roman" w:eastAsia="Times New Roman" w:hAnsi="Times New Roman" w:cs="Times New Roman"/>
          <w:lang w:val="sr-Latn-ME" w:eastAsia="hr-HR"/>
        </w:rPr>
        <w:t>: 30 ml spreja za usnu sluznicu, u kutiji.</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6.6   Posebne mjere opreza pri odlaganju materijala koji treba odbaciti nakon primjene lijeka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Neupotrijebljeni lijek se uništava u skladu sa važećim propisima.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tabs>
          <w:tab w:val="left" w:pos="426"/>
        </w:tabs>
        <w:suppressAutoHyphens/>
        <w:spacing w:after="0" w:line="240" w:lineRule="auto"/>
        <w:jc w:val="both"/>
        <w:rPr>
          <w:rFonts w:ascii="Times New Roman" w:eastAsia="Times New Roman" w:hAnsi="Times New Roman" w:cs="Times New Roman"/>
          <w:b/>
          <w:lang w:val="sr-Latn-ME" w:eastAsia="ar-SA"/>
        </w:rPr>
      </w:pPr>
      <w:r w:rsidRPr="00237B23">
        <w:rPr>
          <w:rFonts w:ascii="Times New Roman" w:eastAsia="Times New Roman" w:hAnsi="Times New Roman" w:cs="Times New Roman"/>
          <w:b/>
          <w:lang w:val="sr-Latn-ME" w:eastAsia="hr-HR"/>
        </w:rPr>
        <w:t xml:space="preserve">6.7  </w:t>
      </w:r>
      <w:r w:rsidRPr="00237B23">
        <w:rPr>
          <w:rFonts w:ascii="Times New Roman" w:eastAsia="Times New Roman" w:hAnsi="Times New Roman" w:cs="Times New Roman"/>
          <w:b/>
          <w:lang w:val="sr-Latn-ME" w:eastAsia="ar-SA"/>
        </w:rPr>
        <w:t>Režim izdavanja lijeka</w:t>
      </w:r>
    </w:p>
    <w:p w:rsidR="00237B23" w:rsidRPr="00237B23" w:rsidRDefault="00237B23" w:rsidP="003B0A06">
      <w:pPr>
        <w:suppressAutoHyphens/>
        <w:spacing w:after="0" w:line="240" w:lineRule="auto"/>
        <w:jc w:val="both"/>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 xml:space="preserve">  </w:t>
      </w:r>
    </w:p>
    <w:p w:rsidR="00237B23" w:rsidRPr="00237B23" w:rsidRDefault="00237B23" w:rsidP="003B0A06">
      <w:pPr>
        <w:suppressAutoHyphens/>
        <w:spacing w:after="0" w:line="240" w:lineRule="auto"/>
        <w:jc w:val="both"/>
        <w:rPr>
          <w:rFonts w:ascii="Times New Roman" w:eastAsia="Times New Roman" w:hAnsi="Times New Roman" w:cs="Times New Roman"/>
          <w:b/>
          <w:bCs/>
          <w:lang w:val="sr-Latn-ME" w:eastAsia="ar-SA"/>
        </w:rPr>
      </w:pPr>
      <w:r w:rsidRPr="00237B23">
        <w:rPr>
          <w:rFonts w:ascii="Times New Roman" w:eastAsia="Times New Roman" w:hAnsi="Times New Roman" w:cs="Times New Roman"/>
          <w:lang w:val="sr-Latn-ME" w:eastAsia="hr-HR"/>
        </w:rPr>
        <w:t>Lijek se može izdavati bez ljekarskog recepta.</w:t>
      </w:r>
    </w:p>
    <w:p w:rsidR="00237B23" w:rsidRPr="00237B23" w:rsidRDefault="00237B23" w:rsidP="003B0A06">
      <w:pPr>
        <w:spacing w:after="0" w:line="240" w:lineRule="auto"/>
        <w:jc w:val="both"/>
        <w:rPr>
          <w:rFonts w:ascii="Times New Roman" w:eastAsia="Times New Roman" w:hAnsi="Times New Roman" w:cs="Times New Roman"/>
          <w:b/>
          <w:lang w:val="sr-Latn-ME" w:eastAsia="hr-HR"/>
        </w:rPr>
      </w:pP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p>
    <w:p w:rsidR="00237B23" w:rsidRPr="00237B23" w:rsidRDefault="00237B23" w:rsidP="000270A1">
      <w:pPr>
        <w:tabs>
          <w:tab w:val="left" w:pos="567"/>
        </w:tabs>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 xml:space="preserve">7.     NOSILAC DOZVOLE </w:t>
      </w:r>
    </w:p>
    <w:p w:rsidR="00237B23" w:rsidRPr="00237B23" w:rsidRDefault="00237B23" w:rsidP="003B0A06">
      <w:pPr>
        <w:spacing w:after="0" w:line="240" w:lineRule="auto"/>
        <w:jc w:val="both"/>
        <w:rPr>
          <w:rFonts w:ascii="Times New Roman" w:eastAsia="Times New Roman" w:hAnsi="Times New Roman" w:cs="Times New Roman"/>
          <w:lang w:val="sl-SI" w:eastAsia="sl-SI"/>
        </w:rPr>
      </w:pPr>
    </w:p>
    <w:p w:rsidR="00237B23" w:rsidRPr="00237B23" w:rsidRDefault="00237B23" w:rsidP="003B0A06">
      <w:pPr>
        <w:spacing w:after="0" w:line="240" w:lineRule="auto"/>
        <w:jc w:val="both"/>
        <w:rPr>
          <w:rFonts w:ascii="Times New Roman" w:eastAsia="Times New Roman" w:hAnsi="Times New Roman" w:cs="Times New Roman"/>
          <w:lang w:val="sl-SI" w:eastAsia="sl-SI"/>
        </w:rPr>
      </w:pPr>
      <w:r w:rsidRPr="00237B23">
        <w:rPr>
          <w:rFonts w:ascii="Times New Roman" w:eastAsia="Times New Roman" w:hAnsi="Times New Roman" w:cs="Times New Roman"/>
          <w:lang w:val="sl-SI" w:eastAsia="sl-SI"/>
        </w:rPr>
        <w:t>D.S.D. „KRKA</w:t>
      </w:r>
      <w:r w:rsidR="00934550">
        <w:rPr>
          <w:rFonts w:ascii="Times New Roman" w:eastAsia="Times New Roman" w:hAnsi="Times New Roman" w:cs="Times New Roman"/>
          <w:lang w:val="sl-SI" w:eastAsia="sl-SI"/>
        </w:rPr>
        <w:t xml:space="preserve"> d.d.</w:t>
      </w:r>
      <w:bookmarkStart w:id="0" w:name="_GoBack"/>
      <w:bookmarkEnd w:id="0"/>
      <w:r w:rsidRPr="00237B23">
        <w:rPr>
          <w:rFonts w:ascii="Times New Roman" w:eastAsia="Times New Roman" w:hAnsi="Times New Roman" w:cs="Times New Roman"/>
          <w:lang w:val="sl-SI" w:eastAsia="sl-SI"/>
        </w:rPr>
        <w:t xml:space="preserve"> Novo mesto“ - predstavništvo Podgorica,</w:t>
      </w:r>
    </w:p>
    <w:p w:rsidR="00237B23" w:rsidRPr="00237B23" w:rsidRDefault="00237B23" w:rsidP="003B0A06">
      <w:pPr>
        <w:spacing w:after="0" w:line="240" w:lineRule="auto"/>
        <w:jc w:val="both"/>
        <w:rPr>
          <w:rFonts w:ascii="Times New Roman" w:eastAsia="Times New Roman" w:hAnsi="Times New Roman" w:cs="Times New Roman"/>
          <w:lang w:val="sl-SI" w:eastAsia="sl-SI"/>
        </w:rPr>
      </w:pPr>
      <w:r w:rsidRPr="00237B23">
        <w:rPr>
          <w:rFonts w:ascii="Times New Roman" w:eastAsia="Times New Roman" w:hAnsi="Times New Roman" w:cs="Times New Roman"/>
          <w:lang w:val="sl-SI" w:eastAsia="sl-SI"/>
        </w:rPr>
        <w:t>Svetlane Kane Radević br. 3, 81000 Podgorica, Crna Gora</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Default="00237B23" w:rsidP="000270A1">
      <w:pPr>
        <w:tabs>
          <w:tab w:val="left" w:pos="567"/>
        </w:tabs>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lastRenderedPageBreak/>
        <w:t xml:space="preserve">8.    </w:t>
      </w:r>
      <w:r w:rsidR="000270A1">
        <w:rPr>
          <w:rFonts w:ascii="Times New Roman" w:eastAsia="Times New Roman" w:hAnsi="Times New Roman" w:cs="Times New Roman"/>
          <w:b/>
          <w:bCs/>
          <w:lang w:val="sr-Latn-ME" w:eastAsia="hr-HR"/>
        </w:rPr>
        <w:t xml:space="preserve"> </w:t>
      </w:r>
      <w:r w:rsidRPr="00237B23">
        <w:rPr>
          <w:rFonts w:ascii="Times New Roman" w:eastAsia="Times New Roman" w:hAnsi="Times New Roman" w:cs="Times New Roman"/>
          <w:b/>
          <w:bCs/>
          <w:lang w:val="sr-Latn-ME" w:eastAsia="hr-HR"/>
        </w:rPr>
        <w:t>BROJ PRVE DOZVOLE/ OBNOVE DOZVOLE</w:t>
      </w:r>
    </w:p>
    <w:p w:rsidR="003641EF" w:rsidRPr="00237B23" w:rsidRDefault="003641EF" w:rsidP="000270A1">
      <w:pPr>
        <w:tabs>
          <w:tab w:val="left" w:pos="567"/>
        </w:tabs>
        <w:spacing w:after="0" w:line="240" w:lineRule="auto"/>
        <w:jc w:val="both"/>
        <w:rPr>
          <w:rFonts w:ascii="Times New Roman" w:eastAsia="Times New Roman" w:hAnsi="Times New Roman" w:cs="Times New Roman"/>
          <w:b/>
          <w:bCs/>
          <w:lang w:val="sr-Latn-ME" w:eastAsia="hr-HR"/>
        </w:rPr>
      </w:pPr>
    </w:p>
    <w:p w:rsidR="003641EF" w:rsidRPr="00237B23" w:rsidRDefault="003641EF" w:rsidP="003641EF">
      <w:pPr>
        <w:spacing w:after="0" w:line="240" w:lineRule="auto"/>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Septolete</w:t>
      </w:r>
      <w:r w:rsidRPr="00237B23">
        <w:rPr>
          <w:rFonts w:ascii="Times New Roman" w:eastAsia="Times New Roman" w:hAnsi="Times New Roman" w:cs="Times New Roman"/>
          <w:bCs/>
          <w:vertAlign w:val="superscript"/>
          <w:lang w:val="sr-Latn-ME" w:eastAsia="hr-HR"/>
        </w:rPr>
        <w:t>®</w:t>
      </w:r>
      <w:r w:rsidRPr="00237B23">
        <w:rPr>
          <w:rFonts w:ascii="Times New Roman" w:eastAsia="Times New Roman" w:hAnsi="Times New Roman" w:cs="Times New Roman"/>
          <w:lang w:val="sr-Latn-ME" w:eastAsia="hr-HR"/>
        </w:rPr>
        <w:t xml:space="preserve"> plus, sprej za usnu sluznicu, rastvor,10 mg/ml + 2 mg/ml, </w:t>
      </w:r>
      <w:r w:rsidR="00881BEE">
        <w:rPr>
          <w:rFonts w:ascii="Times New Roman" w:eastAsia="Times New Roman" w:hAnsi="Times New Roman" w:cs="Times New Roman"/>
          <w:lang w:val="sr-Latn-ME" w:eastAsia="hr-HR"/>
        </w:rPr>
        <w:t>sprej kontejner</w:t>
      </w:r>
      <w:r w:rsidRPr="00237B23">
        <w:rPr>
          <w:rFonts w:ascii="Times New Roman" w:eastAsia="Times New Roman" w:hAnsi="Times New Roman" w:cs="Times New Roman"/>
          <w:lang w:val="sr-Latn-ME" w:eastAsia="hr-HR"/>
        </w:rPr>
        <w:t>, 1x30 ml</w:t>
      </w:r>
      <w:r>
        <w:rPr>
          <w:rFonts w:ascii="Times New Roman" w:eastAsia="Times New Roman" w:hAnsi="Times New Roman" w:cs="Times New Roman"/>
          <w:lang w:val="sr-Latn-ME" w:eastAsia="hr-HR"/>
        </w:rPr>
        <w:t xml:space="preserve">: </w:t>
      </w:r>
      <w:r w:rsidR="0087638C">
        <w:rPr>
          <w:rFonts w:ascii="Times New Roman" w:eastAsia="Times New Roman" w:hAnsi="Times New Roman" w:cs="Times New Roman"/>
          <w:lang w:val="sr-Latn-ME" w:eastAsia="hr-HR"/>
        </w:rPr>
        <w:t>2030/17/336-5486</w:t>
      </w: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Default="00237B23" w:rsidP="003B0A06">
      <w:pPr>
        <w:spacing w:after="0" w:line="240" w:lineRule="auto"/>
        <w:jc w:val="both"/>
        <w:rPr>
          <w:rFonts w:ascii="Times New Roman" w:eastAsia="Times New Roman" w:hAnsi="Times New Roman" w:cs="Times New Roman"/>
          <w:b/>
          <w:bCs/>
          <w:lang w:val="sr-Latn-ME" w:eastAsia="hr-HR"/>
        </w:rPr>
      </w:pPr>
      <w:r w:rsidRPr="00237B23">
        <w:rPr>
          <w:rFonts w:ascii="Times New Roman" w:eastAsia="Times New Roman" w:hAnsi="Times New Roman" w:cs="Times New Roman"/>
          <w:b/>
          <w:bCs/>
          <w:lang w:val="sr-Latn-ME" w:eastAsia="hr-HR"/>
        </w:rPr>
        <w:t>9.    DATUM PRVE DOZVOLE/ DATUM OBNOVE DOZVOLE</w:t>
      </w:r>
    </w:p>
    <w:p w:rsidR="003641EF" w:rsidRPr="00237B23" w:rsidRDefault="003641EF" w:rsidP="003B0A06">
      <w:pPr>
        <w:spacing w:after="0" w:line="240" w:lineRule="auto"/>
        <w:jc w:val="both"/>
        <w:rPr>
          <w:rFonts w:ascii="Times New Roman" w:eastAsia="Times New Roman" w:hAnsi="Times New Roman" w:cs="Times New Roman"/>
          <w:b/>
          <w:bCs/>
          <w:lang w:val="sr-Latn-ME" w:eastAsia="hr-HR"/>
        </w:rPr>
      </w:pPr>
    </w:p>
    <w:p w:rsidR="003641EF" w:rsidRPr="00237B23" w:rsidRDefault="003641EF" w:rsidP="003641EF">
      <w:pPr>
        <w:spacing w:after="0" w:line="240" w:lineRule="auto"/>
        <w:rPr>
          <w:rFonts w:ascii="Times New Roman" w:eastAsia="Times New Roman" w:hAnsi="Times New Roman" w:cs="Times New Roman"/>
          <w:lang w:val="sr-Latn-ME" w:eastAsia="hr-HR"/>
        </w:rPr>
      </w:pPr>
      <w:r w:rsidRPr="00237B23">
        <w:rPr>
          <w:rFonts w:ascii="Times New Roman" w:eastAsia="Times New Roman" w:hAnsi="Times New Roman" w:cs="Times New Roman"/>
          <w:lang w:val="sr-Latn-ME" w:eastAsia="hr-HR"/>
        </w:rPr>
        <w:t>Septolete</w:t>
      </w:r>
      <w:r w:rsidRPr="00237B23">
        <w:rPr>
          <w:rFonts w:ascii="Times New Roman" w:eastAsia="Times New Roman" w:hAnsi="Times New Roman" w:cs="Times New Roman"/>
          <w:bCs/>
          <w:vertAlign w:val="superscript"/>
          <w:lang w:val="sr-Latn-ME" w:eastAsia="hr-HR"/>
        </w:rPr>
        <w:t>®</w:t>
      </w:r>
      <w:r w:rsidRPr="00237B23">
        <w:rPr>
          <w:rFonts w:ascii="Times New Roman" w:eastAsia="Times New Roman" w:hAnsi="Times New Roman" w:cs="Times New Roman"/>
          <w:lang w:val="sr-Latn-ME" w:eastAsia="hr-HR"/>
        </w:rPr>
        <w:t xml:space="preserve"> plus, sprej za usnu sluznicu, rastvor,10 mg/ml + 2 mg/ml, </w:t>
      </w:r>
      <w:r w:rsidR="00881BEE">
        <w:rPr>
          <w:rFonts w:ascii="Times New Roman" w:eastAsia="Times New Roman" w:hAnsi="Times New Roman" w:cs="Times New Roman"/>
          <w:lang w:val="sr-Latn-ME" w:eastAsia="hr-HR"/>
        </w:rPr>
        <w:t>sprej kontejner</w:t>
      </w:r>
      <w:r w:rsidRPr="00237B23">
        <w:rPr>
          <w:rFonts w:ascii="Times New Roman" w:eastAsia="Times New Roman" w:hAnsi="Times New Roman" w:cs="Times New Roman"/>
          <w:lang w:val="sr-Latn-ME" w:eastAsia="hr-HR"/>
        </w:rPr>
        <w:t>, 1x30 ml</w:t>
      </w:r>
      <w:r>
        <w:rPr>
          <w:rFonts w:ascii="Times New Roman" w:eastAsia="Times New Roman" w:hAnsi="Times New Roman" w:cs="Times New Roman"/>
          <w:lang w:val="sr-Latn-ME" w:eastAsia="hr-HR"/>
        </w:rPr>
        <w:t xml:space="preserve">: </w:t>
      </w:r>
      <w:r w:rsidR="0087638C">
        <w:rPr>
          <w:rFonts w:ascii="Times New Roman" w:eastAsia="Times New Roman" w:hAnsi="Times New Roman" w:cs="Times New Roman"/>
          <w:lang w:val="sr-Latn-ME" w:eastAsia="hr-HR"/>
        </w:rPr>
        <w:t>16.01.2017. godine</w:t>
      </w:r>
    </w:p>
    <w:p w:rsidR="003641EF" w:rsidRPr="00237B23" w:rsidRDefault="003641EF" w:rsidP="003641EF">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0270A1" w:rsidP="000270A1">
      <w:pPr>
        <w:tabs>
          <w:tab w:val="left" w:pos="567"/>
        </w:tabs>
        <w:spacing w:after="0" w:line="240" w:lineRule="auto"/>
        <w:jc w:val="both"/>
        <w:rPr>
          <w:rFonts w:ascii="Times New Roman" w:eastAsia="Times New Roman" w:hAnsi="Times New Roman" w:cs="Times New Roman"/>
          <w:b/>
          <w:bCs/>
          <w:lang w:val="sr-Latn-ME" w:eastAsia="hr-HR"/>
        </w:rPr>
      </w:pPr>
      <w:r>
        <w:rPr>
          <w:rFonts w:ascii="Times New Roman" w:eastAsia="Times New Roman" w:hAnsi="Times New Roman" w:cs="Times New Roman"/>
          <w:b/>
          <w:bCs/>
          <w:lang w:val="sr-Latn-ME" w:eastAsia="hr-HR"/>
        </w:rPr>
        <w:t xml:space="preserve">10. </w:t>
      </w:r>
      <w:r w:rsidR="00237B23" w:rsidRPr="00237B23">
        <w:rPr>
          <w:rFonts w:ascii="Times New Roman" w:eastAsia="Times New Roman" w:hAnsi="Times New Roman" w:cs="Times New Roman"/>
          <w:b/>
          <w:bCs/>
          <w:lang w:val="sr-Latn-ME" w:eastAsia="hr-HR"/>
        </w:rPr>
        <w:t>DATUM POSLEDNJE REVIZIJE TEKSTA SAŽETKA OSNOVNIH KARAKTERISTIKA LIJEKA</w:t>
      </w:r>
    </w:p>
    <w:p w:rsidR="00237B23" w:rsidRPr="00237B23" w:rsidRDefault="0087638C" w:rsidP="003B0A06">
      <w:pPr>
        <w:spacing w:after="0" w:line="240" w:lineRule="auto"/>
        <w:jc w:val="both"/>
        <w:rPr>
          <w:rFonts w:ascii="Times New Roman" w:eastAsia="Times New Roman" w:hAnsi="Times New Roman" w:cs="Times New Roman"/>
          <w:lang w:val="sr-Latn-ME" w:eastAsia="hr-HR"/>
        </w:rPr>
      </w:pPr>
      <w:r>
        <w:rPr>
          <w:rFonts w:ascii="Times New Roman" w:eastAsia="Times New Roman" w:hAnsi="Times New Roman" w:cs="Times New Roman"/>
          <w:lang w:val="sr-Latn-ME" w:eastAsia="hr-HR"/>
        </w:rPr>
        <w:t>Januar, 2017. godine</w:t>
      </w:r>
    </w:p>
    <w:p w:rsidR="00237B23" w:rsidRPr="00237B23" w:rsidRDefault="00237B23" w:rsidP="003B0A06">
      <w:pPr>
        <w:spacing w:after="0" w:line="240" w:lineRule="auto"/>
        <w:jc w:val="both"/>
        <w:rPr>
          <w:rFonts w:ascii="Times New Roman" w:eastAsia="Times New Roman" w:hAnsi="Times New Roman" w:cs="Times New Roman"/>
          <w:b/>
          <w:bCs/>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hr-HR"/>
        </w:rPr>
      </w:pPr>
    </w:p>
    <w:p w:rsidR="00237B23" w:rsidRPr="00237B23" w:rsidRDefault="00237B23" w:rsidP="003B0A06">
      <w:pPr>
        <w:spacing w:after="0" w:line="240" w:lineRule="auto"/>
        <w:jc w:val="both"/>
        <w:rPr>
          <w:rFonts w:ascii="Times New Roman" w:eastAsia="Times New Roman" w:hAnsi="Times New Roman" w:cs="Times New Roman"/>
          <w:lang w:val="sr-Latn-ME" w:eastAsia="sl-SI"/>
        </w:rPr>
      </w:pPr>
    </w:p>
    <w:p w:rsidR="00237B23" w:rsidRPr="00237B23" w:rsidRDefault="00237B23" w:rsidP="003B0A06">
      <w:pPr>
        <w:spacing w:after="0" w:line="240" w:lineRule="auto"/>
        <w:jc w:val="both"/>
        <w:rPr>
          <w:rFonts w:ascii="Times New Roman" w:eastAsia="Times New Roman" w:hAnsi="Times New Roman" w:cs="Times New Roman"/>
          <w:lang w:val="sr-Latn-ME" w:eastAsia="sl-SI"/>
        </w:rPr>
      </w:pPr>
    </w:p>
    <w:p w:rsidR="00F1527C" w:rsidRPr="00237B23" w:rsidRDefault="00F1527C" w:rsidP="003B0A06">
      <w:pPr>
        <w:tabs>
          <w:tab w:val="left" w:pos="2751"/>
        </w:tabs>
        <w:spacing w:after="0" w:line="240" w:lineRule="auto"/>
        <w:jc w:val="both"/>
        <w:rPr>
          <w:rFonts w:ascii="Times New Roman" w:hAnsi="Times New Roman" w:cs="Times New Roman"/>
        </w:rPr>
      </w:pPr>
    </w:p>
    <w:p w:rsidR="00F1527C" w:rsidRPr="00237B23" w:rsidRDefault="00F1527C" w:rsidP="003B0A06">
      <w:pPr>
        <w:tabs>
          <w:tab w:val="left" w:pos="2751"/>
        </w:tabs>
        <w:spacing w:after="0" w:line="240" w:lineRule="auto"/>
        <w:jc w:val="both"/>
        <w:rPr>
          <w:rFonts w:ascii="Times New Roman" w:hAnsi="Times New Roman" w:cs="Times New Roman"/>
        </w:rPr>
      </w:pPr>
    </w:p>
    <w:p w:rsidR="00F1527C" w:rsidRPr="00237B23" w:rsidRDefault="00F1527C" w:rsidP="003B0A06">
      <w:pPr>
        <w:tabs>
          <w:tab w:val="left" w:pos="2751"/>
        </w:tabs>
        <w:spacing w:after="0" w:line="240" w:lineRule="auto"/>
        <w:jc w:val="both"/>
        <w:rPr>
          <w:rFonts w:ascii="Times New Roman" w:hAnsi="Times New Roman" w:cs="Times New Roman"/>
        </w:rPr>
      </w:pPr>
    </w:p>
    <w:p w:rsidR="009318B4" w:rsidRPr="00237B23" w:rsidRDefault="00F1527C" w:rsidP="003B0A06">
      <w:pPr>
        <w:tabs>
          <w:tab w:val="left" w:pos="2751"/>
        </w:tabs>
        <w:spacing w:after="0" w:line="240" w:lineRule="auto"/>
        <w:jc w:val="both"/>
        <w:rPr>
          <w:rFonts w:ascii="Times New Roman" w:hAnsi="Times New Roman" w:cs="Times New Roman"/>
        </w:rPr>
      </w:pPr>
      <w:r w:rsidRPr="00237B23">
        <w:rPr>
          <w:rFonts w:ascii="Times New Roman" w:hAnsi="Times New Roman" w:cs="Times New Roman"/>
        </w:rPr>
        <w:tab/>
      </w:r>
    </w:p>
    <w:sectPr w:rsidR="009318B4" w:rsidRPr="00237B23" w:rsidSect="00B34AF2">
      <w:headerReference w:type="default" r:id="rId12"/>
      <w:footerReference w:type="default" r:id="rId13"/>
      <w:headerReference w:type="first" r:id="rId14"/>
      <w:footerReference w:type="first" r:id="rId15"/>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1EE" w:rsidRDefault="00A671EE" w:rsidP="00FF2B5A">
      <w:pPr>
        <w:spacing w:after="0" w:line="240" w:lineRule="auto"/>
      </w:pPr>
      <w:r>
        <w:separator/>
      </w:r>
    </w:p>
  </w:endnote>
  <w:endnote w:type="continuationSeparator" w:id="0">
    <w:p w:rsidR="00A671EE" w:rsidRDefault="00A671EE"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934550">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934550">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1EE" w:rsidRDefault="00A671EE" w:rsidP="00FF2B5A">
      <w:pPr>
        <w:spacing w:after="0" w:line="240" w:lineRule="auto"/>
      </w:pPr>
      <w:r>
        <w:separator/>
      </w:r>
    </w:p>
  </w:footnote>
  <w:footnote w:type="continuationSeparator" w:id="0">
    <w:p w:rsidR="00A671EE" w:rsidRDefault="00A671EE"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91D87"/>
    <w:multiLevelType w:val="hybridMultilevel"/>
    <w:tmpl w:val="0BBA446A"/>
    <w:lvl w:ilvl="0" w:tplc="0452F988">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55030F41"/>
    <w:multiLevelType w:val="hybridMultilevel"/>
    <w:tmpl w:val="144875D6"/>
    <w:lvl w:ilvl="0" w:tplc="0452F988">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700133F8"/>
    <w:multiLevelType w:val="hybridMultilevel"/>
    <w:tmpl w:val="B9BE2584"/>
    <w:lvl w:ilvl="0" w:tplc="0452F988">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70A1"/>
    <w:rsid w:val="00116FE6"/>
    <w:rsid w:val="001A2F37"/>
    <w:rsid w:val="00224ED5"/>
    <w:rsid w:val="00237B23"/>
    <w:rsid w:val="003641EF"/>
    <w:rsid w:val="00372C40"/>
    <w:rsid w:val="003B0A06"/>
    <w:rsid w:val="00461135"/>
    <w:rsid w:val="00747C4B"/>
    <w:rsid w:val="0087638C"/>
    <w:rsid w:val="00881BEE"/>
    <w:rsid w:val="00883AF2"/>
    <w:rsid w:val="009318B4"/>
    <w:rsid w:val="00934541"/>
    <w:rsid w:val="00934550"/>
    <w:rsid w:val="00A06058"/>
    <w:rsid w:val="00A671EE"/>
    <w:rsid w:val="00AF0EC5"/>
    <w:rsid w:val="00B234CE"/>
    <w:rsid w:val="00B34AF2"/>
    <w:rsid w:val="00C4240B"/>
    <w:rsid w:val="00D2374E"/>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237B23"/>
    <w:pPr>
      <w:ind w:left="720"/>
      <w:contextualSpacing/>
    </w:pPr>
  </w:style>
  <w:style w:type="paragraph" w:styleId="NoSpacing">
    <w:name w:val="No Spacing"/>
    <w:uiPriority w:val="1"/>
    <w:qFormat/>
    <w:rsid w:val="00AF0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alims.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alims.m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FE6AD-5051-43DA-A397-E9361944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2066</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14</cp:revision>
  <dcterms:created xsi:type="dcterms:W3CDTF">2017-06-23T08:04:00Z</dcterms:created>
  <dcterms:modified xsi:type="dcterms:W3CDTF">2017-11-08T10:45:00Z</dcterms:modified>
</cp:coreProperties>
</file>