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8C" w:rsidRPr="004D038C" w:rsidRDefault="004D038C" w:rsidP="004D038C">
      <w:pPr>
        <w:tabs>
          <w:tab w:val="left" w:pos="360"/>
        </w:tabs>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p w:rsidR="004D038C" w:rsidRPr="004D038C" w:rsidRDefault="004D038C" w:rsidP="004D038C">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9360"/>
      </w:tblGrid>
      <w:tr w:rsidR="004D038C" w:rsidRPr="004D038C" w:rsidTr="004D038C">
        <w:trPr>
          <w:trHeight w:val="530"/>
          <w:jc w:val="center"/>
        </w:trPr>
        <w:tc>
          <w:tcPr>
            <w:tcW w:w="9360" w:type="dxa"/>
            <w:vAlign w:val="center"/>
          </w:tcPr>
          <w:p w:rsidR="004D038C" w:rsidRPr="004D038C" w:rsidRDefault="004D038C" w:rsidP="004D038C">
            <w:pPr>
              <w:spacing w:after="0" w:line="240" w:lineRule="auto"/>
              <w:jc w:val="center"/>
              <w:rPr>
                <w:rFonts w:ascii="Times New Roman" w:eastAsia="Times New Roman" w:hAnsi="Times New Roman" w:cs="Times New Roman"/>
                <w:b/>
                <w:bCs/>
                <w:iCs/>
                <w:u w:val="single"/>
              </w:rPr>
            </w:pPr>
            <w:r w:rsidRPr="004D038C">
              <w:rPr>
                <w:rFonts w:ascii="Times New Roman" w:eastAsia="Times New Roman" w:hAnsi="Times New Roman" w:cs="Times New Roman"/>
                <w:b/>
                <w:bCs/>
                <w:iCs/>
                <w:u w:val="single"/>
              </w:rPr>
              <w:t>SAŽETAK KARAKTERISTIKA LIJEKA</w:t>
            </w:r>
          </w:p>
        </w:tc>
      </w:tr>
      <w:tr w:rsidR="004D038C" w:rsidRPr="004D038C" w:rsidTr="004D038C">
        <w:trPr>
          <w:trHeight w:val="1969"/>
          <w:jc w:val="center"/>
        </w:trPr>
        <w:tc>
          <w:tcPr>
            <w:tcW w:w="9360" w:type="dxa"/>
            <w:vAlign w:val="bottom"/>
          </w:tcPr>
          <w:p w:rsidR="004D038C" w:rsidRPr="004D038C" w:rsidRDefault="004D038C" w:rsidP="004D038C">
            <w:pPr>
              <w:spacing w:after="40" w:line="240" w:lineRule="auto"/>
              <w:jc w:val="center"/>
              <w:rPr>
                <w:rFonts w:ascii="Times New Roman" w:eastAsia="Times New Roman" w:hAnsi="Times New Roman" w:cs="Times New Roman"/>
                <w:b/>
                <w:lang w:val="hr-HR"/>
              </w:rPr>
            </w:pPr>
          </w:p>
          <w:p w:rsidR="004D038C" w:rsidRPr="004D038C" w:rsidRDefault="004D038C" w:rsidP="004D038C">
            <w:pPr>
              <w:spacing w:after="40" w:line="240" w:lineRule="auto"/>
              <w:jc w:val="center"/>
              <w:rPr>
                <w:rFonts w:ascii="Times New Roman" w:eastAsia="Times New Roman" w:hAnsi="Times New Roman" w:cs="Times New Roman"/>
                <w:b/>
                <w:lang w:val="sr-Latn-CS"/>
              </w:rPr>
            </w:pPr>
            <w:r w:rsidRPr="004D038C">
              <w:rPr>
                <w:rFonts w:ascii="Times New Roman" w:eastAsia="Times New Roman" w:hAnsi="Times New Roman" w:cs="Times New Roman"/>
                <w:b/>
                <w:lang w:val="hr-HR"/>
              </w:rPr>
              <w:t>Tafinlar</w:t>
            </w:r>
            <w:r w:rsidRPr="004D038C">
              <w:rPr>
                <w:rFonts w:ascii="Times New Roman" w:eastAsia="Times New Roman" w:hAnsi="Times New Roman" w:cs="Times New Roman"/>
                <w:b/>
                <w:vertAlign w:val="superscript"/>
                <w:lang w:val="hr-HR"/>
              </w:rPr>
              <w:t>®</w:t>
            </w:r>
            <w:r w:rsidRPr="004D038C">
              <w:rPr>
                <w:rFonts w:ascii="Times New Roman" w:eastAsia="Times New Roman" w:hAnsi="Times New Roman" w:cs="Times New Roman"/>
                <w:b/>
                <w:lang w:val="sr-Latn-CS"/>
              </w:rPr>
              <w:t xml:space="preserve">, kapsula, tvrda, 50 mg, </w:t>
            </w:r>
          </w:p>
          <w:p w:rsidR="004D038C" w:rsidRPr="004D038C" w:rsidRDefault="004D038C" w:rsidP="004D038C">
            <w:pPr>
              <w:spacing w:after="40" w:line="240" w:lineRule="auto"/>
              <w:jc w:val="center"/>
              <w:rPr>
                <w:rFonts w:ascii="Times New Roman" w:eastAsia="Times New Roman" w:hAnsi="Times New Roman" w:cs="Times New Roman"/>
                <w:b/>
                <w:lang w:val="sr-Latn-CS"/>
              </w:rPr>
            </w:pPr>
            <w:r w:rsidRPr="004D038C">
              <w:rPr>
                <w:rFonts w:ascii="Times New Roman" w:eastAsia="Times New Roman" w:hAnsi="Times New Roman" w:cs="Times New Roman"/>
                <w:b/>
                <w:lang w:val="sr-Latn-CS"/>
              </w:rPr>
              <w:t>boca, plastična, 1 x 28 kapsula, tvrdih</w:t>
            </w:r>
          </w:p>
          <w:p w:rsidR="004D038C" w:rsidRPr="004D038C" w:rsidRDefault="004D038C" w:rsidP="004D038C">
            <w:pPr>
              <w:spacing w:after="40" w:line="240" w:lineRule="auto"/>
              <w:jc w:val="center"/>
              <w:rPr>
                <w:rFonts w:ascii="Times New Roman" w:eastAsia="Times New Roman" w:hAnsi="Times New Roman" w:cs="Times New Roman"/>
                <w:b/>
                <w:bCs/>
                <w:lang w:val="sr-Latn-CS"/>
              </w:rPr>
            </w:pPr>
          </w:p>
          <w:p w:rsidR="004D038C" w:rsidRPr="004D038C" w:rsidRDefault="004D038C" w:rsidP="004D038C">
            <w:pPr>
              <w:spacing w:after="40" w:line="240" w:lineRule="auto"/>
              <w:jc w:val="center"/>
              <w:rPr>
                <w:rFonts w:ascii="Times New Roman" w:eastAsia="Times New Roman" w:hAnsi="Times New Roman" w:cs="Times New Roman"/>
                <w:b/>
                <w:lang w:val="sr-Latn-CS"/>
              </w:rPr>
            </w:pPr>
            <w:r w:rsidRPr="004D038C">
              <w:rPr>
                <w:rFonts w:ascii="Times New Roman" w:eastAsia="Times New Roman" w:hAnsi="Times New Roman" w:cs="Times New Roman"/>
                <w:b/>
                <w:lang w:val="hr-HR"/>
              </w:rPr>
              <w:t>Tafinlar</w:t>
            </w:r>
            <w:r w:rsidRPr="004D038C">
              <w:rPr>
                <w:rFonts w:ascii="Times New Roman" w:eastAsia="Times New Roman" w:hAnsi="Times New Roman" w:cs="Times New Roman"/>
                <w:b/>
                <w:vertAlign w:val="superscript"/>
                <w:lang w:val="hr-HR"/>
              </w:rPr>
              <w:t>®</w:t>
            </w:r>
            <w:r w:rsidRPr="004D038C">
              <w:rPr>
                <w:rFonts w:ascii="Times New Roman" w:eastAsia="Times New Roman" w:hAnsi="Times New Roman" w:cs="Times New Roman"/>
                <w:b/>
                <w:lang w:val="sr-Latn-CS"/>
              </w:rPr>
              <w:t xml:space="preserve">, kapsula, tvrda, 75 mg, </w:t>
            </w:r>
          </w:p>
          <w:p w:rsidR="004D038C" w:rsidRPr="004D038C" w:rsidRDefault="004D038C" w:rsidP="004D038C">
            <w:pPr>
              <w:spacing w:after="40" w:line="240" w:lineRule="auto"/>
              <w:jc w:val="center"/>
              <w:rPr>
                <w:rFonts w:ascii="Times New Roman" w:eastAsia="Times New Roman" w:hAnsi="Times New Roman" w:cs="Times New Roman"/>
                <w:b/>
                <w:lang w:val="sr-Latn-CS"/>
              </w:rPr>
            </w:pPr>
            <w:r w:rsidRPr="004D038C">
              <w:rPr>
                <w:rFonts w:ascii="Times New Roman" w:eastAsia="Times New Roman" w:hAnsi="Times New Roman" w:cs="Times New Roman"/>
                <w:b/>
                <w:lang w:val="sr-Latn-CS"/>
              </w:rPr>
              <w:t>boca, plastična, 1 x 28 kapsula, tvrdih</w:t>
            </w:r>
          </w:p>
          <w:p w:rsidR="004D038C" w:rsidRPr="004D038C" w:rsidRDefault="004D038C" w:rsidP="004D038C">
            <w:pPr>
              <w:spacing w:after="40" w:line="240" w:lineRule="auto"/>
              <w:jc w:val="center"/>
              <w:rPr>
                <w:rFonts w:ascii="Times New Roman" w:eastAsia="Times New Roman" w:hAnsi="Times New Roman" w:cs="Times New Roman"/>
                <w:b/>
                <w:lang w:val="sr-Latn-CS"/>
              </w:rPr>
            </w:pPr>
          </w:p>
          <w:p w:rsidR="004D038C" w:rsidRPr="004D038C" w:rsidRDefault="004D038C" w:rsidP="004D038C">
            <w:pPr>
              <w:spacing w:after="40" w:line="240" w:lineRule="auto"/>
              <w:jc w:val="center"/>
              <w:rPr>
                <w:rFonts w:ascii="Times New Roman" w:eastAsia="Times New Roman" w:hAnsi="Times New Roman" w:cs="Times New Roman"/>
                <w:b/>
                <w:lang w:val="sr-Latn-CS"/>
              </w:rPr>
            </w:pPr>
            <w:r w:rsidRPr="004D038C">
              <w:rPr>
                <w:rFonts w:ascii="Times New Roman" w:eastAsia="Times New Roman" w:hAnsi="Times New Roman" w:cs="Times New Roman"/>
                <w:b/>
                <w:lang w:val="hr-HR"/>
              </w:rPr>
              <w:t xml:space="preserve">  Tafinlar</w:t>
            </w:r>
            <w:r w:rsidRPr="004D038C">
              <w:rPr>
                <w:rFonts w:ascii="Times New Roman" w:eastAsia="Times New Roman" w:hAnsi="Times New Roman" w:cs="Times New Roman"/>
                <w:b/>
                <w:vertAlign w:val="superscript"/>
                <w:lang w:val="hr-HR"/>
              </w:rPr>
              <w:t>®</w:t>
            </w:r>
            <w:r w:rsidRPr="004D038C">
              <w:rPr>
                <w:rFonts w:ascii="Times New Roman" w:eastAsia="Times New Roman" w:hAnsi="Times New Roman" w:cs="Times New Roman"/>
                <w:b/>
                <w:lang w:val="sr-Latn-CS"/>
              </w:rPr>
              <w:t xml:space="preserve">, kapsula, tvrda, 75 mg, </w:t>
            </w:r>
          </w:p>
          <w:p w:rsidR="004D038C" w:rsidRPr="004D038C" w:rsidRDefault="004D038C" w:rsidP="004D038C">
            <w:pPr>
              <w:spacing w:after="40" w:line="240" w:lineRule="auto"/>
              <w:jc w:val="center"/>
              <w:rPr>
                <w:rFonts w:ascii="Times New Roman" w:eastAsia="Times New Roman" w:hAnsi="Times New Roman" w:cs="Times New Roman"/>
                <w:b/>
                <w:bCs/>
                <w:u w:val="single"/>
                <w:lang w:val="hr-HR"/>
              </w:rPr>
            </w:pPr>
            <w:r w:rsidRPr="004D038C">
              <w:rPr>
                <w:rFonts w:ascii="Times New Roman" w:eastAsia="Times New Roman" w:hAnsi="Times New Roman" w:cs="Times New Roman"/>
                <w:b/>
                <w:lang w:val="sr-Latn-CS"/>
              </w:rPr>
              <w:t>boca, plastična, 1 x 120 kapsula, tvrdih</w:t>
            </w:r>
          </w:p>
        </w:tc>
      </w:tr>
      <w:tr w:rsidR="004D038C" w:rsidRPr="004D038C" w:rsidTr="004D038C">
        <w:trPr>
          <w:trHeight w:val="1225"/>
          <w:jc w:val="center"/>
        </w:trPr>
        <w:tc>
          <w:tcPr>
            <w:tcW w:w="9360" w:type="dxa"/>
          </w:tcPr>
          <w:p w:rsidR="004D038C" w:rsidRPr="004D038C" w:rsidRDefault="004D038C" w:rsidP="004D038C">
            <w:pPr>
              <w:keepNext/>
              <w:tabs>
                <w:tab w:val="left" w:pos="284"/>
                <w:tab w:val="left" w:pos="1741"/>
                <w:tab w:val="center" w:pos="4572"/>
              </w:tabs>
              <w:spacing w:after="0" w:line="240" w:lineRule="auto"/>
              <w:outlineLvl w:val="1"/>
              <w:rPr>
                <w:rFonts w:ascii="Times New Roman" w:eastAsia="Times New Roman" w:hAnsi="Times New Roman" w:cs="Times New Roman"/>
                <w:i/>
                <w:iCs/>
                <w:color w:val="808080"/>
                <w:lang w:val="ru-RU"/>
              </w:rPr>
            </w:pPr>
          </w:p>
        </w:tc>
      </w:tr>
    </w:tbl>
    <w:p w:rsidR="004D038C" w:rsidRPr="004D038C" w:rsidRDefault="004D038C" w:rsidP="004D038C">
      <w:pPr>
        <w:spacing w:after="0" w:line="240" w:lineRule="auto"/>
        <w:rPr>
          <w:rFonts w:ascii="Times New Roman" w:eastAsia="Times New Roman" w:hAnsi="Times New Roman" w:cs="Times New Roman"/>
          <w:b/>
          <w:bCs/>
          <w:i/>
          <w:iCs/>
          <w:u w:val="single"/>
          <w:lang w:val="hr-HR"/>
        </w:rPr>
      </w:pPr>
    </w:p>
    <w:p w:rsidR="004D038C" w:rsidRPr="004D038C" w:rsidRDefault="004D038C" w:rsidP="004D038C">
      <w:pPr>
        <w:spacing w:after="0" w:line="240" w:lineRule="auto"/>
        <w:rPr>
          <w:rFonts w:ascii="Times New Roman" w:eastAsia="Times New Roman" w:hAnsi="Times New Roman" w:cs="Times New Roman"/>
          <w:b/>
          <w:bCs/>
          <w:i/>
          <w:iCs/>
          <w:u w:val="single"/>
          <w:lang w:val="hr-HR"/>
        </w:rPr>
      </w:pPr>
    </w:p>
    <w:p w:rsidR="004D038C" w:rsidRPr="004D038C" w:rsidRDefault="004D038C" w:rsidP="004D038C">
      <w:pPr>
        <w:spacing w:after="0" w:line="240" w:lineRule="auto"/>
        <w:rPr>
          <w:rFonts w:ascii="Times New Roman" w:eastAsia="Times New Roman" w:hAnsi="Times New Roman" w:cs="Times New Roman"/>
          <w:b/>
          <w:bCs/>
          <w:i/>
          <w:iCs/>
          <w:u w:val="single"/>
          <w:lang w:val="hr-HR"/>
        </w:rPr>
      </w:pPr>
    </w:p>
    <w:p w:rsidR="004D038C" w:rsidRPr="004D038C" w:rsidRDefault="004D038C" w:rsidP="004D038C">
      <w:pPr>
        <w:spacing w:after="0" w:line="276" w:lineRule="auto"/>
        <w:rPr>
          <w:rFonts w:ascii="Times New Roman" w:eastAsia="Times New Roman" w:hAnsi="Times New Roman" w:cs="Times New Roman"/>
          <w:b/>
          <w:bCs/>
          <w:szCs w:val="24"/>
          <w:lang w:val="pt-BR"/>
        </w:rPr>
      </w:pPr>
      <w:r w:rsidRPr="004D038C">
        <w:rPr>
          <w:rFonts w:ascii="Times New Roman" w:eastAsia="Times New Roman" w:hAnsi="Times New Roman" w:cs="Times New Roman"/>
          <w:lang w:val="sr-Latn-CS"/>
        </w:rPr>
        <w:t xml:space="preserve">                          Proizvođač: </w:t>
      </w:r>
      <w:r w:rsidRPr="004D038C">
        <w:rPr>
          <w:rFonts w:ascii="Times New Roman" w:eastAsia="Times New Roman" w:hAnsi="Times New Roman" w:cs="Times New Roman"/>
          <w:b/>
          <w:bCs/>
          <w:szCs w:val="24"/>
          <w:lang w:val="pt-BR"/>
        </w:rPr>
        <w:t>Novartis Pharmaceuticals UK Limited</w:t>
      </w:r>
    </w:p>
    <w:p w:rsidR="004D038C" w:rsidRPr="004D038C" w:rsidRDefault="004D038C" w:rsidP="004D038C">
      <w:pPr>
        <w:spacing w:after="0" w:line="276" w:lineRule="auto"/>
        <w:rPr>
          <w:rFonts w:ascii="Times New Roman" w:eastAsia="Times New Roman" w:hAnsi="Times New Roman" w:cs="Times New Roman"/>
          <w:b/>
          <w:bCs/>
          <w:szCs w:val="24"/>
          <w:lang w:val="pt-BR"/>
        </w:rPr>
      </w:pPr>
      <w:r w:rsidRPr="004D038C">
        <w:rPr>
          <w:rFonts w:ascii="Times New Roman" w:eastAsia="Times New Roman" w:hAnsi="Times New Roman" w:cs="Times New Roman"/>
          <w:b/>
          <w:bCs/>
          <w:szCs w:val="24"/>
          <w:lang w:val="pt-BR"/>
        </w:rPr>
        <w:t xml:space="preserve">                                 </w:t>
      </w:r>
      <w:r w:rsidRPr="004D038C">
        <w:rPr>
          <w:rFonts w:ascii="Times New Roman" w:eastAsia="Times New Roman" w:hAnsi="Times New Roman" w:cs="Times New Roman"/>
        </w:rPr>
        <w:t>Adresa</w:t>
      </w:r>
      <w:r w:rsidRPr="004D038C">
        <w:rPr>
          <w:rFonts w:ascii="Times New Roman" w:eastAsia="Times New Roman" w:hAnsi="Times New Roman" w:cs="Times New Roman"/>
          <w:lang w:val="sr-Latn-CS"/>
        </w:rPr>
        <w:t xml:space="preserve">: </w:t>
      </w:r>
      <w:r w:rsidRPr="004D038C">
        <w:rPr>
          <w:rFonts w:ascii="Times New Roman" w:eastAsia="Times New Roman" w:hAnsi="Times New Roman" w:cs="Times New Roman"/>
          <w:b/>
          <w:bCs/>
          <w:szCs w:val="24"/>
          <w:lang w:val="pt-BR"/>
        </w:rPr>
        <w:t>Frimley Business Park, Frimley, Camberley, Surrey, GU16 7SR,</w:t>
      </w:r>
    </w:p>
    <w:p w:rsidR="004D038C" w:rsidRPr="004D038C" w:rsidRDefault="004D038C" w:rsidP="004D038C">
      <w:pPr>
        <w:spacing w:after="0" w:line="276" w:lineRule="auto"/>
        <w:rPr>
          <w:rFonts w:ascii="Times New Roman" w:eastAsia="Times New Roman" w:hAnsi="Times New Roman" w:cs="Times New Roman"/>
          <w:b/>
          <w:bCs/>
          <w:szCs w:val="24"/>
          <w:lang w:val="pt-BR"/>
        </w:rPr>
      </w:pPr>
      <w:r w:rsidRPr="004D038C">
        <w:rPr>
          <w:rFonts w:ascii="Times New Roman" w:eastAsia="Times New Roman" w:hAnsi="Times New Roman" w:cs="Times New Roman"/>
          <w:b/>
          <w:bCs/>
          <w:szCs w:val="24"/>
          <w:lang w:val="pt-BR"/>
        </w:rPr>
        <w:t xml:space="preserve">                                               Velika Britanija  </w:t>
      </w:r>
    </w:p>
    <w:p w:rsidR="004D038C" w:rsidRPr="004D038C" w:rsidRDefault="004D038C" w:rsidP="004D038C">
      <w:pPr>
        <w:spacing w:after="0" w:line="276" w:lineRule="auto"/>
        <w:ind w:left="720"/>
        <w:rPr>
          <w:rFonts w:ascii="Times New Roman" w:eastAsia="Times New Roman" w:hAnsi="Times New Roman" w:cs="Times New Roman"/>
          <w:b/>
          <w:bCs/>
          <w:szCs w:val="24"/>
          <w:lang w:val="pt-BR"/>
        </w:rPr>
      </w:pPr>
      <w:r w:rsidRPr="004D038C">
        <w:rPr>
          <w:rFonts w:ascii="Times New Roman" w:eastAsia="Times New Roman" w:hAnsi="Times New Roman" w:cs="Times New Roman"/>
          <w:lang w:val="sr-Latn-CS"/>
        </w:rPr>
        <w:t>Podnosilac zahtjeva</w:t>
      </w:r>
      <w:r w:rsidRPr="004D038C">
        <w:rPr>
          <w:rFonts w:ascii="Times New Roman" w:eastAsia="Times New Roman" w:hAnsi="Times New Roman" w:cs="Times New Roman"/>
          <w:lang w:val="pt-BR"/>
        </w:rPr>
        <w:t xml:space="preserve">: </w:t>
      </w:r>
      <w:r w:rsidRPr="004D038C">
        <w:rPr>
          <w:rFonts w:ascii="Times New Roman" w:eastAsia="Times New Roman" w:hAnsi="Times New Roman" w:cs="Times New Roman"/>
          <w:b/>
          <w:szCs w:val="24"/>
          <w:lang w:val="pt-BR"/>
        </w:rPr>
        <w:t>“Novartis Pharma Services AG” dio stranog društva Podgorica</w:t>
      </w:r>
      <w:r w:rsidRPr="004D038C">
        <w:rPr>
          <w:rFonts w:ascii="Times New Roman" w:eastAsia="Times New Roman" w:hAnsi="Times New Roman" w:cs="Times New Roman"/>
          <w:b/>
          <w:bCs/>
          <w:szCs w:val="24"/>
          <w:lang w:val="pt-BR"/>
        </w:rPr>
        <w:t xml:space="preserve"> </w:t>
      </w:r>
    </w:p>
    <w:p w:rsidR="004D038C" w:rsidRPr="004D038C" w:rsidRDefault="004D038C" w:rsidP="004D038C">
      <w:pPr>
        <w:spacing w:after="0" w:line="276" w:lineRule="auto"/>
        <w:ind w:left="720"/>
        <w:rPr>
          <w:rFonts w:ascii="Times New Roman" w:eastAsia="Times New Roman" w:hAnsi="Times New Roman" w:cs="Times New Roman"/>
          <w:b/>
          <w:bCs/>
          <w:i/>
          <w:iCs/>
          <w:u w:val="single"/>
          <w:lang w:val="pt-BR"/>
        </w:rPr>
      </w:pPr>
      <w:r w:rsidRPr="004D038C">
        <w:rPr>
          <w:rFonts w:ascii="Times New Roman" w:eastAsia="Times New Roman" w:hAnsi="Times New Roman" w:cs="Times New Roman"/>
          <w:bCs/>
          <w:szCs w:val="24"/>
          <w:lang w:val="pt-BR"/>
        </w:rPr>
        <w:t xml:space="preserve">                    </w:t>
      </w:r>
      <w:r w:rsidRPr="004D038C">
        <w:rPr>
          <w:rFonts w:ascii="Times New Roman" w:eastAsia="Times New Roman" w:hAnsi="Times New Roman" w:cs="Times New Roman"/>
          <w:bCs/>
          <w:sz w:val="6"/>
          <w:szCs w:val="24"/>
          <w:lang w:val="pt-BR"/>
        </w:rPr>
        <w:t xml:space="preserve">  </w:t>
      </w:r>
      <w:r w:rsidRPr="004D038C">
        <w:rPr>
          <w:rFonts w:ascii="Times New Roman" w:eastAsia="Times New Roman" w:hAnsi="Times New Roman" w:cs="Times New Roman"/>
          <w:bCs/>
          <w:szCs w:val="24"/>
          <w:lang w:val="pt-BR"/>
        </w:rPr>
        <w:t>Adresa:</w:t>
      </w:r>
      <w:r w:rsidRPr="004D038C">
        <w:rPr>
          <w:rFonts w:ascii="Times New Roman" w:eastAsia="Times New Roman" w:hAnsi="Times New Roman" w:cs="Times New Roman"/>
          <w:b/>
          <w:bCs/>
          <w:szCs w:val="24"/>
          <w:lang w:val="pt-BR"/>
        </w:rPr>
        <w:t xml:space="preserve"> Ul. Svetlane Kane Radević 3, Podgorica</w:t>
      </w:r>
      <w:r w:rsidR="001B30D2">
        <w:rPr>
          <w:rFonts w:ascii="Times New Roman" w:eastAsia="Times New Roman" w:hAnsi="Times New Roman" w:cs="Times New Roman"/>
          <w:b/>
          <w:bCs/>
          <w:szCs w:val="24"/>
          <w:lang w:val="pt-BR"/>
        </w:rPr>
        <w:t>, Crna Gora</w:t>
      </w:r>
      <w:r w:rsidRPr="004D038C">
        <w:rPr>
          <w:rFonts w:ascii="Times New Roman" w:eastAsia="Times New Roman" w:hAnsi="Times New Roman" w:cs="Times New Roman"/>
          <w:b/>
          <w:bCs/>
          <w:szCs w:val="24"/>
          <w:lang w:val="pt-BR"/>
        </w:rPr>
        <w:t xml:space="preserve">      </w:t>
      </w:r>
    </w:p>
    <w:p w:rsidR="004D038C" w:rsidRPr="004D038C" w:rsidRDefault="004D038C" w:rsidP="004D038C">
      <w:pPr>
        <w:spacing w:after="0" w:line="240" w:lineRule="auto"/>
        <w:rPr>
          <w:rFonts w:ascii="Times New Roman" w:eastAsia="Times New Roman" w:hAnsi="Times New Roman" w:cs="Times New Roman"/>
          <w:color w:val="808080"/>
          <w:lang w:val="sr-Latn-CS"/>
        </w:rPr>
      </w:pPr>
    </w:p>
    <w:p w:rsidR="004D038C" w:rsidRPr="004D038C" w:rsidRDefault="004D038C" w:rsidP="004D038C">
      <w:pPr>
        <w:spacing w:after="0" w:line="240" w:lineRule="auto"/>
        <w:rPr>
          <w:rFonts w:ascii="Times New Roman" w:eastAsia="Times New Roman" w:hAnsi="Times New Roman" w:cs="Times New Roman"/>
          <w:i/>
          <w:color w:val="808080"/>
          <w:lang w:val="sr-Latn-CS"/>
        </w:rPr>
      </w:pPr>
    </w:p>
    <w:p w:rsidR="004D038C" w:rsidRPr="004D038C" w:rsidRDefault="004D038C" w:rsidP="004D038C">
      <w:pPr>
        <w:spacing w:after="0" w:line="240" w:lineRule="auto"/>
        <w:rPr>
          <w:rFonts w:ascii="Times New Roman" w:eastAsia="Times New Roman" w:hAnsi="Times New Roman" w:cs="Times New Roman"/>
          <w:i/>
          <w:color w:val="808080"/>
          <w:lang w:val="sr-Latn-CS"/>
        </w:rPr>
      </w:pPr>
    </w:p>
    <w:p w:rsidR="004D038C" w:rsidRPr="004D038C" w:rsidRDefault="004D038C" w:rsidP="004D038C">
      <w:pPr>
        <w:spacing w:after="0" w:line="240" w:lineRule="auto"/>
        <w:rPr>
          <w:rFonts w:ascii="Times New Roman" w:eastAsia="Times New Roman" w:hAnsi="Times New Roman" w:cs="Times New Roman"/>
          <w:i/>
          <w:color w:val="808080"/>
          <w:lang w:val="sr-Latn-CS"/>
        </w:rPr>
      </w:pPr>
    </w:p>
    <w:p w:rsidR="004D038C" w:rsidRPr="004D038C" w:rsidRDefault="004D038C" w:rsidP="004D038C">
      <w:pPr>
        <w:spacing w:after="0" w:line="240" w:lineRule="auto"/>
        <w:rPr>
          <w:rFonts w:ascii="Times New Roman" w:eastAsia="Times New Roman" w:hAnsi="Times New Roman" w:cs="Times New Roman"/>
          <w:i/>
          <w:color w:val="808080"/>
          <w:lang w:val="sr-Latn-CS"/>
        </w:rPr>
      </w:pPr>
    </w:p>
    <w:p w:rsidR="004D038C" w:rsidRPr="004D038C" w:rsidRDefault="004D038C" w:rsidP="004D038C">
      <w:pPr>
        <w:spacing w:after="0" w:line="240" w:lineRule="auto"/>
        <w:rPr>
          <w:rFonts w:ascii="Times New Roman" w:eastAsia="Times New Roman" w:hAnsi="Times New Roman" w:cs="Times New Roman"/>
          <w:i/>
          <w:color w:val="808080"/>
          <w:lang w:val="sr-Latn-CS"/>
        </w:rPr>
      </w:pPr>
    </w:p>
    <w:p w:rsidR="004D038C" w:rsidRPr="004D038C" w:rsidRDefault="004D038C" w:rsidP="004D038C">
      <w:pPr>
        <w:spacing w:after="0" w:line="240" w:lineRule="auto"/>
        <w:rPr>
          <w:rFonts w:ascii="Times New Roman" w:eastAsia="Times New Roman" w:hAnsi="Times New Roman" w:cs="Times New Roman"/>
          <w:i/>
          <w:color w:val="808080"/>
          <w:lang w:val="sr-Latn-CS"/>
        </w:rPr>
      </w:pPr>
    </w:p>
    <w:p w:rsidR="004D038C" w:rsidRPr="004D038C" w:rsidRDefault="004D038C" w:rsidP="004D038C">
      <w:pPr>
        <w:spacing w:after="0" w:line="240" w:lineRule="auto"/>
        <w:rPr>
          <w:rFonts w:ascii="Times New Roman" w:eastAsia="Times New Roman" w:hAnsi="Times New Roman" w:cs="Times New Roman"/>
          <w:color w:val="808080"/>
          <w:lang w:val="sr-Latn-CS"/>
        </w:rPr>
      </w:pPr>
    </w:p>
    <w:p w:rsidR="004D038C" w:rsidRPr="004D038C" w:rsidRDefault="004D038C" w:rsidP="004D038C">
      <w:pPr>
        <w:spacing w:after="0" w:line="240" w:lineRule="auto"/>
        <w:rPr>
          <w:rFonts w:ascii="Times New Roman" w:eastAsia="Times New Roman" w:hAnsi="Times New Roman" w:cs="Times New Roman"/>
          <w:color w:val="808080"/>
          <w:lang w:val="sr-Latn-CS"/>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i/>
          <w:lang w:val="sr-Latn-CS"/>
        </w:rPr>
      </w:pPr>
    </w:p>
    <w:p w:rsidR="004D038C" w:rsidRPr="004D038C" w:rsidRDefault="004D038C" w:rsidP="004D038C">
      <w:pPr>
        <w:spacing w:after="0" w:line="240" w:lineRule="auto"/>
        <w:jc w:val="both"/>
        <w:rPr>
          <w:rFonts w:ascii="Times New Roman" w:eastAsia="Times New Roman" w:hAnsi="Times New Roman" w:cs="Times New Roman"/>
          <w:noProof/>
          <w:lang w:val="hr-HR"/>
        </w:rPr>
      </w:pPr>
      <w:r w:rsidRPr="004D038C">
        <w:rPr>
          <w:rFonts w:ascii="Times New Roman" w:eastAsia="Times New Roman" w:hAnsi="Times New Roman" w:cs="Times New Roman"/>
          <w:noProof/>
        </w:rPr>
        <w:lastRenderedPageBreak/>
        <w:drawing>
          <wp:inline distT="0" distB="0" distL="0" distR="0" wp14:anchorId="50CAD90A" wp14:editId="10F535D1">
            <wp:extent cx="171450" cy="142875"/>
            <wp:effectExtent l="0" t="0" r="0" b="9525"/>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4D038C">
        <w:rPr>
          <w:rFonts w:ascii="Times New Roman" w:eastAsia="Times New Roman" w:hAnsi="Times New Roman" w:cs="Times New Roman"/>
          <w:noProof/>
          <w:lang w:val="hr-HR"/>
        </w:rPr>
        <w:t xml:space="preserve"> Ovaj lijek je pod dodatnim praćenjem.</w:t>
      </w:r>
      <w:r w:rsidRPr="004D038C">
        <w:rPr>
          <w:rFonts w:ascii="Times New Roman" w:eastAsia="Times New Roman" w:hAnsi="Times New Roman" w:cs="Times New Roman"/>
          <w:lang w:val="hr-HR"/>
        </w:rPr>
        <w:t xml:space="preserve"> </w:t>
      </w:r>
      <w:r w:rsidRPr="004D038C">
        <w:rPr>
          <w:rFonts w:ascii="Times New Roman" w:eastAsia="Times New Roman" w:hAnsi="Times New Roman" w:cs="Times New Roman"/>
          <w:noProof/>
          <w:lang w:val="hr-HR"/>
        </w:rPr>
        <w:t>Time se omogućava brzo otkrivanje novih bezbjednosnih informacija. Zdravstveni radnici treba da prijave svaku sumnju na neželjeno dejstvo ovog lijeka.</w:t>
      </w:r>
      <w:r w:rsidRPr="004D038C">
        <w:rPr>
          <w:rFonts w:ascii="Times New Roman" w:eastAsia="Times New Roman" w:hAnsi="Times New Roman" w:cs="Times New Roman"/>
          <w:lang w:val="hr-HR"/>
        </w:rPr>
        <w:t xml:space="preserve"> Za način prijavljivanja neželjenih dejstava vidjeti odjeljak 4.8</w:t>
      </w:r>
      <w:r w:rsidRPr="004D038C">
        <w:rPr>
          <w:rFonts w:ascii="Times New Roman" w:eastAsia="Times New Roman" w:hAnsi="Times New Roman" w:cs="Times New Roman"/>
          <w:noProof/>
          <w:lang w:val="hr-HR"/>
        </w:rPr>
        <w:t>.</w:t>
      </w:r>
    </w:p>
    <w:p w:rsidR="004D038C" w:rsidRPr="004D038C" w:rsidRDefault="004D038C" w:rsidP="004D038C">
      <w:pPr>
        <w:spacing w:after="0" w:line="240" w:lineRule="auto"/>
        <w:jc w:val="both"/>
        <w:rPr>
          <w:rFonts w:ascii="Times New Roman" w:eastAsia="Times New Roman" w:hAnsi="Times New Roman" w:cs="Times New Roman"/>
          <w:noProof/>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1.</w:t>
      </w:r>
      <w:r w:rsidRPr="004D038C">
        <w:rPr>
          <w:rFonts w:ascii="Times New Roman" w:eastAsia="Times New Roman" w:hAnsi="Times New Roman" w:cs="Times New Roman"/>
          <w:b/>
          <w:bCs/>
          <w:lang w:val="hr-HR"/>
        </w:rPr>
        <w:tab/>
        <w:t>NAZIV LIJEKA</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lang w:val="hr-HR"/>
        </w:rPr>
        <w:t>Tafinlar</w:t>
      </w:r>
      <w:r w:rsidRPr="004D038C">
        <w:rPr>
          <w:rFonts w:ascii="Times New Roman" w:eastAsia="Times New Roman" w:hAnsi="Times New Roman" w:cs="Times New Roman"/>
          <w:vertAlign w:val="superscript"/>
          <w:lang w:val="hr-HR"/>
        </w:rPr>
        <w:t>®</w:t>
      </w:r>
      <w:r w:rsidRPr="004D038C">
        <w:rPr>
          <w:rFonts w:ascii="Times New Roman" w:eastAsia="Times New Roman" w:hAnsi="Times New Roman" w:cs="Times New Roman"/>
          <w:lang w:val="hr-HR"/>
        </w:rPr>
        <w:t>, 50 mg, kapsula, tvrda</w:t>
      </w:r>
    </w:p>
    <w:p w:rsidR="004D038C" w:rsidRPr="004D038C" w:rsidRDefault="004D038C" w:rsidP="004D038C">
      <w:pPr>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lang w:val="hr-HR"/>
        </w:rPr>
        <w:t>Tafinlar</w:t>
      </w:r>
      <w:r w:rsidRPr="004D038C">
        <w:rPr>
          <w:rFonts w:ascii="Times New Roman" w:eastAsia="Times New Roman" w:hAnsi="Times New Roman" w:cs="Times New Roman"/>
          <w:vertAlign w:val="superscript"/>
          <w:lang w:val="hr-HR"/>
        </w:rPr>
        <w:t>®</w:t>
      </w:r>
      <w:r w:rsidRPr="004D038C">
        <w:rPr>
          <w:rFonts w:ascii="Times New Roman" w:eastAsia="Times New Roman" w:hAnsi="Times New Roman" w:cs="Times New Roman"/>
          <w:lang w:val="hr-HR"/>
        </w:rPr>
        <w:t>, 75 mg, kapsula, tvrda</w:t>
      </w:r>
    </w:p>
    <w:p w:rsidR="004D038C" w:rsidRPr="004D038C" w:rsidRDefault="004D038C" w:rsidP="004D038C">
      <w:pPr>
        <w:spacing w:after="0" w:line="240" w:lineRule="auto"/>
        <w:rPr>
          <w:rFonts w:ascii="Times New Roman" w:eastAsia="Times New Roman" w:hAnsi="Times New Roman" w:cs="Times New Roman"/>
          <w:lang w:val="pl-PL"/>
        </w:rPr>
      </w:pPr>
    </w:p>
    <w:p w:rsidR="004D038C" w:rsidRPr="004D038C" w:rsidRDefault="004D038C" w:rsidP="004D038C">
      <w:pPr>
        <w:spacing w:after="0" w:line="240" w:lineRule="auto"/>
        <w:rPr>
          <w:rFonts w:ascii="Times New Roman" w:eastAsia="Times New Roman" w:hAnsi="Times New Roman" w:cs="Times New Roman"/>
          <w:lang w:val="de-DE"/>
        </w:rPr>
      </w:pPr>
      <w:r w:rsidRPr="004D038C">
        <w:rPr>
          <w:rFonts w:ascii="Times New Roman" w:eastAsia="Times New Roman" w:hAnsi="Times New Roman" w:cs="Times New Roman"/>
          <w:lang w:val="sv-SE"/>
        </w:rPr>
        <w:t>INN:</w:t>
      </w:r>
      <w:r w:rsidR="00A32E0D">
        <w:rPr>
          <w:rFonts w:ascii="Times New Roman" w:eastAsia="Times New Roman" w:hAnsi="Times New Roman" w:cs="Times New Roman"/>
          <w:noProof/>
          <w:color w:val="000000"/>
          <w:lang w:val="de-DE"/>
        </w:rPr>
        <w:t xml:space="preserve"> d</w:t>
      </w:r>
      <w:r w:rsidRPr="004D038C">
        <w:rPr>
          <w:rFonts w:ascii="Times New Roman" w:eastAsia="Times New Roman" w:hAnsi="Times New Roman" w:cs="Times New Roman"/>
          <w:noProof/>
          <w:color w:val="000000"/>
          <w:lang w:val="de-DE"/>
        </w:rPr>
        <w:t>abrafenib</w:t>
      </w:r>
    </w:p>
    <w:p w:rsidR="004D038C" w:rsidRPr="004D038C" w:rsidRDefault="004D038C" w:rsidP="004D038C">
      <w:pPr>
        <w:spacing w:after="0" w:line="240" w:lineRule="auto"/>
        <w:rPr>
          <w:rFonts w:ascii="Times New Roman" w:eastAsia="Times New Roman" w:hAnsi="Times New Roman" w:cs="Times New Roman"/>
          <w:bCs/>
          <w:lang w:val="sv-SE"/>
        </w:rPr>
      </w:pPr>
    </w:p>
    <w:p w:rsidR="004D038C" w:rsidRPr="004D038C" w:rsidRDefault="004D038C" w:rsidP="004D038C">
      <w:pPr>
        <w:spacing w:after="0" w:line="240" w:lineRule="auto"/>
        <w:rPr>
          <w:rFonts w:ascii="Times New Roman" w:eastAsia="Times New Roman" w:hAnsi="Times New Roman" w:cs="Times New Roman"/>
          <w:bCs/>
          <w:lang w:val="sv-SE"/>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it-IT"/>
        </w:rPr>
      </w:pPr>
      <w:r w:rsidRPr="004D038C">
        <w:rPr>
          <w:rFonts w:ascii="Times New Roman" w:eastAsia="Times New Roman" w:hAnsi="Times New Roman" w:cs="Times New Roman"/>
          <w:b/>
          <w:bCs/>
          <w:lang w:val="it-IT"/>
        </w:rPr>
        <w:t xml:space="preserve">2. </w:t>
      </w:r>
      <w:r w:rsidRPr="004D038C">
        <w:rPr>
          <w:rFonts w:ascii="Times New Roman" w:eastAsia="Times New Roman" w:hAnsi="Times New Roman" w:cs="Times New Roman"/>
          <w:b/>
          <w:bCs/>
          <w:lang w:val="it-IT"/>
        </w:rPr>
        <w:tab/>
        <w:t>KVALITATIVNI I KVANTITATIVNI SASTAV</w:t>
      </w:r>
    </w:p>
    <w:p w:rsidR="004D038C" w:rsidRPr="004D038C" w:rsidRDefault="004D038C" w:rsidP="004D038C">
      <w:pPr>
        <w:spacing w:after="0" w:line="240" w:lineRule="auto"/>
        <w:rPr>
          <w:rFonts w:ascii="Times New Roman" w:eastAsia="Times New Roman" w:hAnsi="Times New Roman" w:cs="Times New Roman"/>
          <w:sz w:val="24"/>
          <w:szCs w:val="24"/>
          <w:lang w:val="sr-Latn-CS"/>
        </w:rPr>
      </w:pPr>
    </w:p>
    <w:p w:rsidR="004D038C" w:rsidRPr="004D038C" w:rsidRDefault="004D038C" w:rsidP="004D038C">
      <w:pPr>
        <w:spacing w:after="0" w:line="240" w:lineRule="auto"/>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50 mg, kapsula</w:t>
      </w:r>
      <w:r w:rsidR="000E5B0F">
        <w:rPr>
          <w:rFonts w:ascii="Times New Roman" w:eastAsia="Times New Roman" w:hAnsi="Times New Roman" w:cs="Times New Roman"/>
          <w:u w:val="single"/>
          <w:lang w:val="pl-PL"/>
        </w:rPr>
        <w:t>,</w:t>
      </w:r>
      <w:r w:rsidRPr="004D038C">
        <w:rPr>
          <w:rFonts w:ascii="Times New Roman" w:eastAsia="Times New Roman" w:hAnsi="Times New Roman" w:cs="Times New Roman"/>
          <w:u w:val="single"/>
          <w:lang w:val="pl-PL"/>
        </w:rPr>
        <w:t xml:space="preserve"> tvrda </w:t>
      </w:r>
    </w:p>
    <w:p w:rsidR="004D038C" w:rsidRPr="004D038C" w:rsidRDefault="004D038C" w:rsidP="004D038C">
      <w:pPr>
        <w:spacing w:after="0" w:line="240" w:lineRule="auto"/>
        <w:rPr>
          <w:rFonts w:ascii="Times New Roman" w:eastAsia="Times New Roman" w:hAnsi="Times New Roman" w:cs="Times New Roman"/>
          <w:lang w:val="sr-Latn-CS"/>
        </w:rPr>
      </w:pPr>
      <w:r w:rsidRPr="004D038C">
        <w:rPr>
          <w:rFonts w:ascii="Times New Roman" w:eastAsia="Times New Roman" w:hAnsi="Times New Roman" w:cs="Times New Roman"/>
          <w:lang w:val="sr-Latn-CS"/>
        </w:rPr>
        <w:t>Jedna kapsula, tvrda sadrži 50 mg dabrafeniba u obliku dabrafenib mezilata.</w:t>
      </w:r>
    </w:p>
    <w:p w:rsidR="004D038C" w:rsidRPr="004D038C" w:rsidRDefault="004D038C" w:rsidP="004D038C">
      <w:pPr>
        <w:spacing w:after="0" w:line="240" w:lineRule="auto"/>
        <w:rPr>
          <w:rFonts w:ascii="Times New Roman" w:eastAsia="Times New Roman" w:hAnsi="Times New Roman" w:cs="Times New Roman"/>
          <w:lang w:val="pl-PL"/>
        </w:rPr>
      </w:pPr>
    </w:p>
    <w:p w:rsidR="004D038C" w:rsidRPr="004D038C" w:rsidRDefault="004D038C" w:rsidP="004D038C">
      <w:pPr>
        <w:spacing w:after="0" w:line="240" w:lineRule="auto"/>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75 mg, kapsula</w:t>
      </w:r>
      <w:r w:rsidR="000E5B0F">
        <w:rPr>
          <w:rFonts w:ascii="Times New Roman" w:eastAsia="Times New Roman" w:hAnsi="Times New Roman" w:cs="Times New Roman"/>
          <w:u w:val="single"/>
          <w:lang w:val="pl-PL"/>
        </w:rPr>
        <w:t>,</w:t>
      </w:r>
      <w:r w:rsidRPr="004D038C">
        <w:rPr>
          <w:rFonts w:ascii="Times New Roman" w:eastAsia="Times New Roman" w:hAnsi="Times New Roman" w:cs="Times New Roman"/>
          <w:u w:val="single"/>
          <w:lang w:val="pl-PL"/>
        </w:rPr>
        <w:t xml:space="preserve"> tvrda </w:t>
      </w:r>
    </w:p>
    <w:p w:rsidR="004D038C" w:rsidRPr="004D038C" w:rsidRDefault="004D038C" w:rsidP="004D038C">
      <w:pPr>
        <w:spacing w:after="0" w:line="240" w:lineRule="auto"/>
        <w:rPr>
          <w:rFonts w:ascii="Times New Roman" w:eastAsia="Times New Roman" w:hAnsi="Times New Roman" w:cs="Times New Roman"/>
          <w:lang w:val="sr-Latn-CS"/>
        </w:rPr>
      </w:pPr>
      <w:r w:rsidRPr="004D038C">
        <w:rPr>
          <w:rFonts w:ascii="Times New Roman" w:eastAsia="Times New Roman" w:hAnsi="Times New Roman" w:cs="Times New Roman"/>
          <w:lang w:val="sr-Latn-CS"/>
        </w:rPr>
        <w:t>Jedna kapsula, tvrda sadrži 75 mg dabrafeniba u obliku dabrafenib mezilata.</w:t>
      </w:r>
    </w:p>
    <w:p w:rsidR="004D038C" w:rsidRPr="004D038C" w:rsidRDefault="004D038C" w:rsidP="004D038C">
      <w:pPr>
        <w:spacing w:after="0" w:line="240" w:lineRule="auto"/>
        <w:rPr>
          <w:rFonts w:ascii="Times New Roman" w:eastAsia="Times New Roman" w:hAnsi="Times New Roman" w:cs="Times New Roman"/>
          <w:lang w:val="sr-Latn-CS"/>
        </w:rPr>
      </w:pPr>
    </w:p>
    <w:p w:rsidR="004D038C" w:rsidRPr="004D038C" w:rsidRDefault="004D038C" w:rsidP="004D038C">
      <w:pPr>
        <w:spacing w:after="0" w:line="240" w:lineRule="auto"/>
        <w:rPr>
          <w:rFonts w:ascii="Times New Roman" w:eastAsia="Times New Roman" w:hAnsi="Times New Roman" w:cs="Times New Roman"/>
          <w:lang w:val="sr-Latn-CS"/>
        </w:rPr>
      </w:pPr>
      <w:r w:rsidRPr="004D038C">
        <w:rPr>
          <w:rFonts w:ascii="Times New Roman" w:eastAsia="Times New Roman" w:hAnsi="Times New Roman" w:cs="Times New Roman"/>
          <w:lang w:val="sr-Latn-CS"/>
        </w:rPr>
        <w:t>Za listu pomoćnih supstanci vidjeti odjeljak 6.1.</w:t>
      </w:r>
    </w:p>
    <w:p w:rsidR="004D038C" w:rsidRDefault="004D038C" w:rsidP="004D038C">
      <w:pPr>
        <w:spacing w:after="0" w:line="240" w:lineRule="auto"/>
        <w:rPr>
          <w:rFonts w:ascii="Times New Roman" w:eastAsia="Times New Roman" w:hAnsi="Times New Roman" w:cs="Times New Roman"/>
          <w:sz w:val="24"/>
          <w:szCs w:val="24"/>
          <w:lang w:val="sr-Latn-CS"/>
        </w:rPr>
      </w:pPr>
    </w:p>
    <w:p w:rsidR="004D038C" w:rsidRPr="004D038C" w:rsidRDefault="004D038C" w:rsidP="004D038C">
      <w:pPr>
        <w:spacing w:after="0" w:line="240" w:lineRule="auto"/>
        <w:rPr>
          <w:rFonts w:ascii="Times New Roman" w:eastAsia="Times New Roman" w:hAnsi="Times New Roman" w:cs="Times New Roman"/>
          <w:sz w:val="24"/>
          <w:szCs w:val="24"/>
          <w:lang w:val="sr-Latn-CS"/>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sr-Latn-CS"/>
        </w:rPr>
      </w:pPr>
      <w:r w:rsidRPr="004D038C">
        <w:rPr>
          <w:rFonts w:ascii="Times New Roman" w:eastAsia="Times New Roman" w:hAnsi="Times New Roman" w:cs="Times New Roman"/>
          <w:b/>
          <w:bCs/>
          <w:lang w:val="sr-Latn-CS"/>
        </w:rPr>
        <w:t xml:space="preserve">3. </w:t>
      </w:r>
      <w:r w:rsidRPr="004D038C">
        <w:rPr>
          <w:rFonts w:ascii="Times New Roman" w:eastAsia="Times New Roman" w:hAnsi="Times New Roman" w:cs="Times New Roman"/>
          <w:b/>
          <w:bCs/>
          <w:lang w:val="sr-Latn-CS"/>
        </w:rPr>
        <w:tab/>
      </w:r>
      <w:r w:rsidRPr="004D038C">
        <w:rPr>
          <w:rFonts w:ascii="Times New Roman" w:eastAsia="Times New Roman" w:hAnsi="Times New Roman" w:cs="Times New Roman"/>
          <w:b/>
          <w:bCs/>
        </w:rPr>
        <w:t>FARMACEUTSKI</w:t>
      </w:r>
      <w:r w:rsidRPr="004D038C">
        <w:rPr>
          <w:rFonts w:ascii="Times New Roman" w:eastAsia="Times New Roman" w:hAnsi="Times New Roman" w:cs="Times New Roman"/>
          <w:b/>
          <w:bCs/>
          <w:lang w:val="sr-Latn-CS"/>
        </w:rPr>
        <w:t xml:space="preserve"> </w:t>
      </w:r>
      <w:r w:rsidRPr="004D038C">
        <w:rPr>
          <w:rFonts w:ascii="Times New Roman" w:eastAsia="Times New Roman" w:hAnsi="Times New Roman" w:cs="Times New Roman"/>
          <w:b/>
          <w:bCs/>
        </w:rPr>
        <w:t>OBLIK</w:t>
      </w:r>
    </w:p>
    <w:p w:rsidR="004D038C" w:rsidRPr="004D038C" w:rsidRDefault="004D038C" w:rsidP="004D038C">
      <w:pPr>
        <w:spacing w:after="0" w:line="240" w:lineRule="auto"/>
        <w:rPr>
          <w:rFonts w:ascii="Times New Roman" w:eastAsia="Times New Roman" w:hAnsi="Times New Roman" w:cs="Times New Roman"/>
          <w:bCs/>
          <w:lang w:val="sr-Latn-CS"/>
        </w:rPr>
      </w:pPr>
    </w:p>
    <w:p w:rsidR="004D038C" w:rsidRPr="004D038C" w:rsidRDefault="004D038C" w:rsidP="004D038C">
      <w:pPr>
        <w:widowControl w:val="0"/>
        <w:autoSpaceDE w:val="0"/>
        <w:autoSpaceDN w:val="0"/>
        <w:adjustRightInd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Kapsula, tvrda.</w:t>
      </w:r>
    </w:p>
    <w:p w:rsidR="004D038C" w:rsidRPr="004D038C" w:rsidRDefault="004D038C" w:rsidP="004D038C">
      <w:pPr>
        <w:widowControl w:val="0"/>
        <w:autoSpaceDE w:val="0"/>
        <w:autoSpaceDN w:val="0"/>
        <w:adjustRightInd w:val="0"/>
        <w:spacing w:after="0" w:line="240" w:lineRule="auto"/>
        <w:rPr>
          <w:rFonts w:ascii="Times New Roman" w:eastAsia="Times New Roman" w:hAnsi="Times New Roman" w:cs="Times New Roman"/>
          <w:lang w:val="hr-HR"/>
        </w:rPr>
      </w:pPr>
    </w:p>
    <w:p w:rsidR="004D038C" w:rsidRPr="004D038C" w:rsidRDefault="004D038C" w:rsidP="004D038C">
      <w:pPr>
        <w:spacing w:after="0" w:line="240" w:lineRule="auto"/>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50 mg, kapsula</w:t>
      </w:r>
      <w:r w:rsidR="000E5B0F">
        <w:rPr>
          <w:rFonts w:ascii="Times New Roman" w:eastAsia="Times New Roman" w:hAnsi="Times New Roman" w:cs="Times New Roman"/>
          <w:u w:val="single"/>
          <w:lang w:val="pl-PL"/>
        </w:rPr>
        <w:t>,</w:t>
      </w:r>
      <w:r w:rsidRPr="004D038C">
        <w:rPr>
          <w:rFonts w:ascii="Times New Roman" w:eastAsia="Times New Roman" w:hAnsi="Times New Roman" w:cs="Times New Roman"/>
          <w:u w:val="single"/>
          <w:lang w:val="pl-PL"/>
        </w:rPr>
        <w:t xml:space="preserve"> tvrda </w:t>
      </w:r>
    </w:p>
    <w:p w:rsidR="004D038C" w:rsidRPr="004D038C" w:rsidRDefault="004D038C" w:rsidP="004D038C">
      <w:pPr>
        <w:widowControl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Neprovidne kapsule, tijela i kape tamno crvene boje, dužine oko 18 mm i sa štampanom oznakom „GS TEW“ i „50 mg“. </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4D038C" w:rsidRDefault="004D038C" w:rsidP="004D038C">
      <w:pPr>
        <w:spacing w:after="0" w:line="240" w:lineRule="auto"/>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75 mg, kapsula</w:t>
      </w:r>
      <w:r w:rsidR="000E5B0F">
        <w:rPr>
          <w:rFonts w:ascii="Times New Roman" w:eastAsia="Times New Roman" w:hAnsi="Times New Roman" w:cs="Times New Roman"/>
          <w:u w:val="single"/>
          <w:lang w:val="pl-PL"/>
        </w:rPr>
        <w:t>,</w:t>
      </w:r>
      <w:r w:rsidRPr="004D038C">
        <w:rPr>
          <w:rFonts w:ascii="Times New Roman" w:eastAsia="Times New Roman" w:hAnsi="Times New Roman" w:cs="Times New Roman"/>
          <w:u w:val="single"/>
          <w:lang w:val="pl-PL"/>
        </w:rPr>
        <w:t xml:space="preserve"> tvrda </w:t>
      </w:r>
    </w:p>
    <w:p w:rsidR="004D038C" w:rsidRPr="004D038C" w:rsidRDefault="004D038C" w:rsidP="004D038C">
      <w:pPr>
        <w:widowControl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Neprovidne kapsule, tijela i kape tamno ružičaste boje, dužine oko 19 mm i sa štampanom oznakom „GS LHF“ i „75 mg“.</w:t>
      </w:r>
    </w:p>
    <w:p w:rsidR="004D038C" w:rsidRDefault="004D038C" w:rsidP="004D038C">
      <w:pPr>
        <w:spacing w:after="0" w:line="240" w:lineRule="auto"/>
        <w:rPr>
          <w:rFonts w:ascii="Times New Roman" w:eastAsia="Times New Roman" w:hAnsi="Times New Roman" w:cs="Times New Roman"/>
          <w:bCs/>
          <w:lang w:val="hr-HR"/>
        </w:rPr>
      </w:pPr>
    </w:p>
    <w:p w:rsidR="004D038C" w:rsidRPr="004D038C" w:rsidRDefault="004D038C" w:rsidP="004D038C">
      <w:pPr>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 </w:t>
      </w:r>
      <w:r w:rsidRPr="004D038C">
        <w:rPr>
          <w:rFonts w:ascii="Times New Roman" w:eastAsia="Times New Roman" w:hAnsi="Times New Roman" w:cs="Times New Roman"/>
          <w:b/>
          <w:bCs/>
          <w:lang w:val="hr-HR"/>
        </w:rPr>
        <w:tab/>
        <w:t>KLINIČKI PODACI</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4.1. </w:t>
      </w:r>
      <w:r w:rsidRPr="004D038C">
        <w:rPr>
          <w:rFonts w:ascii="Times New Roman" w:eastAsia="Times New Roman" w:hAnsi="Times New Roman" w:cs="Times New Roman"/>
          <w:b/>
          <w:bCs/>
          <w:lang w:val="hr-HR"/>
        </w:rPr>
        <w:tab/>
        <w:t>Terapijske indikacije</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u w:val="single"/>
          <w:lang w:val="hr-HR"/>
        </w:rPr>
      </w:pPr>
      <w:r w:rsidRPr="004D038C">
        <w:rPr>
          <w:rFonts w:ascii="Times New Roman" w:eastAsia="Times New Roman" w:hAnsi="Times New Roman" w:cs="Times New Roman"/>
          <w:bCs/>
          <w:u w:val="single"/>
          <w:lang w:val="hr-HR"/>
        </w:rPr>
        <w:t>Melanom</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Dabrafenib je indikovan kao monoterapija ili u kombinaciji sa trametinibom za liječenje odraslih pacijenata sa inoperabilnim ili metastatskim melanomom sa BRAF V600 mutacijom (vidjeti odjeljke 4.4 i 5.1).</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0F555B" w:rsidRDefault="000F555B" w:rsidP="004D038C">
      <w:pPr>
        <w:tabs>
          <w:tab w:val="left" w:pos="540"/>
          <w:tab w:val="left" w:pos="569"/>
        </w:tabs>
        <w:spacing w:after="0" w:line="240" w:lineRule="auto"/>
        <w:jc w:val="both"/>
        <w:rPr>
          <w:rFonts w:ascii="Times New Roman" w:eastAsia="Times New Roman" w:hAnsi="Times New Roman" w:cs="Times New Roman"/>
          <w:bCs/>
          <w:u w:val="single"/>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Cs/>
          <w:u w:val="single"/>
          <w:lang w:val="hr-HR"/>
        </w:rPr>
        <w:lastRenderedPageBreak/>
        <w:t>Nemikrocelularni karcinom pluća (NSCLC</w:t>
      </w:r>
      <w:r w:rsidRPr="004D038C">
        <w:rPr>
          <w:rFonts w:ascii="Times New Roman" w:eastAsia="Times New Roman" w:hAnsi="Times New Roman" w:cs="Times New Roman"/>
          <w:bCs/>
          <w:lang w:val="hr-HR"/>
        </w:rPr>
        <w:t>)</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Dabrafenib u kombinaciji sa trametinibom je indikovan za liječenje odraslih pacijenata sa uznapredovalim nemikrocelularnim karcinomom pluća sa BRAF V600 mutacijom.</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rPr>
      </w:pPr>
      <w:r w:rsidRPr="004D038C">
        <w:rPr>
          <w:rFonts w:ascii="Times New Roman" w:eastAsia="Times New Roman" w:hAnsi="Times New Roman" w:cs="Times New Roman"/>
          <w:b/>
          <w:bCs/>
        </w:rPr>
        <w:t xml:space="preserve">4.2. </w:t>
      </w:r>
      <w:r w:rsidRPr="004D038C">
        <w:rPr>
          <w:rFonts w:ascii="Times New Roman" w:eastAsia="Times New Roman" w:hAnsi="Times New Roman" w:cs="Times New Roman"/>
          <w:b/>
          <w:bCs/>
        </w:rPr>
        <w:tab/>
        <w:t>Doziranje i način primjene</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Liječenje dabrafenibom treba da započne i prati kvalifikovani ljekar koji ima iskustva u primjeni antitumorskih ljekova. </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Prije uzimanja dabrafeniba pacijentima mora, validnim testom, da bude potvrđena BRAF V600 tumorska mutacija.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Efikasnost i bezbjednost dabrafeniba nije utvrđena kod pacijenata sa BRAF melanomom </w:t>
      </w:r>
      <w:r w:rsidRPr="004D038C">
        <w:rPr>
          <w:rFonts w:ascii="Times New Roman" w:eastAsia="Times New Roman" w:hAnsi="Times New Roman" w:cs="Times New Roman"/>
          <w:i/>
          <w:lang w:val="hr-HR"/>
        </w:rPr>
        <w:t xml:space="preserve">wild type </w:t>
      </w:r>
      <w:r w:rsidRPr="004D038C">
        <w:rPr>
          <w:rFonts w:ascii="Times New Roman" w:eastAsia="Times New Roman" w:hAnsi="Times New Roman" w:cs="Times New Roman"/>
          <w:sz w:val="24"/>
          <w:szCs w:val="24"/>
          <w:lang w:val="hr-HR"/>
        </w:rPr>
        <w:t xml:space="preserve">ili sa BRAF NSCLC </w:t>
      </w:r>
      <w:r w:rsidRPr="004D038C">
        <w:rPr>
          <w:rFonts w:ascii="Times New Roman" w:eastAsia="Times New Roman" w:hAnsi="Times New Roman" w:cs="Times New Roman"/>
          <w:i/>
          <w:sz w:val="24"/>
          <w:szCs w:val="24"/>
          <w:lang w:val="hr-HR"/>
        </w:rPr>
        <w:t>wild type</w:t>
      </w:r>
      <w:r w:rsidRPr="004D038C">
        <w:rPr>
          <w:rFonts w:ascii="Times New Roman" w:eastAsia="Times New Roman" w:hAnsi="Times New Roman" w:cs="Times New Roman"/>
          <w:lang w:val="hr-HR"/>
        </w:rPr>
        <w:t xml:space="preserve">, zbog čega se dabrafenib ne smije koristiti kod pacijenata sa BRAF melanomom </w:t>
      </w:r>
      <w:r w:rsidRPr="004D038C">
        <w:rPr>
          <w:rFonts w:ascii="Times New Roman" w:eastAsia="Times New Roman" w:hAnsi="Times New Roman" w:cs="Times New Roman"/>
          <w:i/>
          <w:lang w:val="hr-HR"/>
        </w:rPr>
        <w:t>wild type</w:t>
      </w:r>
      <w:r w:rsidRPr="004D038C">
        <w:rPr>
          <w:rFonts w:ascii="Times New Roman" w:eastAsia="Times New Roman" w:hAnsi="Times New Roman" w:cs="Times New Roman"/>
          <w:lang w:val="hr-HR"/>
        </w:rPr>
        <w:t xml:space="preserve"> </w:t>
      </w:r>
      <w:r w:rsidRPr="004D038C">
        <w:rPr>
          <w:rFonts w:ascii="Times New Roman" w:eastAsia="Times New Roman" w:hAnsi="Times New Roman" w:cs="Times New Roman"/>
          <w:sz w:val="24"/>
          <w:szCs w:val="24"/>
          <w:lang w:val="hr-HR"/>
        </w:rPr>
        <w:t xml:space="preserve">ili sa BRAF NSCLC </w:t>
      </w:r>
      <w:r w:rsidRPr="004D038C">
        <w:rPr>
          <w:rFonts w:ascii="Times New Roman" w:eastAsia="Times New Roman" w:hAnsi="Times New Roman" w:cs="Times New Roman"/>
          <w:i/>
          <w:sz w:val="24"/>
          <w:szCs w:val="24"/>
          <w:lang w:val="hr-HR"/>
        </w:rPr>
        <w:t>wild type</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lang w:val="hr-HR"/>
        </w:rPr>
        <w:t>(vidjeti odjeljke 4.4 i 5.1).</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Doziranje</w:t>
      </w:r>
    </w:p>
    <w:p w:rsidR="004D038C" w:rsidRPr="004D038C" w:rsidRDefault="004D038C"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lang w:val="hr-HR"/>
        </w:rPr>
        <w:t xml:space="preserve">Preporučena doza dabrafeniba, bilo da se uzima kao monoterapija ili u kombinaciji sa trametinibom, iznosi 150 mg (dvije kapsule od 75 mg) dva puta dnevno (odgovara ukupnoj dnevnoj dozi od 300 mg). Preporučena doza trametiniba kada se uzima u kombinaciji sa dabrafenibom iznosi 2 mg jednom dnevno. </w:t>
      </w:r>
    </w:p>
    <w:p w:rsidR="004D038C" w:rsidRPr="004D038C" w:rsidRDefault="004D038C" w:rsidP="004D038C">
      <w:pPr>
        <w:keepNext/>
        <w:spacing w:after="0" w:line="240" w:lineRule="auto"/>
        <w:jc w:val="both"/>
        <w:rPr>
          <w:rFonts w:ascii="Times New Roman" w:eastAsia="Times New Roman" w:hAnsi="Times New Roman" w:cs="Times New Roman"/>
          <w:i/>
          <w:iCs/>
          <w:lang w:val="hr-HR"/>
        </w:rPr>
      </w:pPr>
    </w:p>
    <w:p w:rsidR="004D038C" w:rsidRPr="004D038C" w:rsidRDefault="004D038C" w:rsidP="004D038C">
      <w:pPr>
        <w:keepNext/>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iCs/>
          <w:u w:val="single"/>
          <w:lang w:val="hr-HR"/>
        </w:rPr>
        <w:t>Trajanje liječenja</w:t>
      </w:r>
    </w:p>
    <w:p w:rsidR="004D038C" w:rsidRPr="004D038C" w:rsidRDefault="004D038C" w:rsidP="004D038C">
      <w:pPr>
        <w:keepNext/>
        <w:spacing w:after="0" w:line="240" w:lineRule="auto"/>
        <w:jc w:val="both"/>
        <w:rPr>
          <w:rFonts w:ascii="Times New Roman" w:eastAsia="Times New Roman" w:hAnsi="Times New Roman" w:cs="Times New Roman"/>
          <w:i/>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Liječenje treba nastaviti sve dok pacijent od njega ima koristi ili dok ne razvije neprihvatljivu toksičnost (vidjeti tabelu 2).</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iCs/>
          <w:u w:val="single"/>
          <w:lang w:val="hr-HR"/>
        </w:rPr>
        <w:t>Propuštene doze</w:t>
      </w:r>
    </w:p>
    <w:p w:rsidR="004D038C" w:rsidRPr="004D038C" w:rsidRDefault="004D038C" w:rsidP="004D038C">
      <w:pPr>
        <w:keepNext/>
        <w:spacing w:after="0" w:line="240" w:lineRule="auto"/>
        <w:jc w:val="both"/>
        <w:rPr>
          <w:rFonts w:ascii="Times New Roman" w:eastAsia="Times New Roman" w:hAnsi="Times New Roman" w:cs="Times New Roman"/>
          <w:i/>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Ako pacijent propusti da uzme određenu dozu dabrafeniba, ne treba da je uzme ako do sljedeće doze prema rasporedu ima manje od 6 sati.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Ako pacijent propusti da uzme dozu trametiniba, kada se dabrafenib primjenjuje u kombinaciji sa trametinibom, treba da uzme dozu trametiniba samo ako do sljedeće doze lijeka ima više od 12 sati. </w:t>
      </w:r>
    </w:p>
    <w:p w:rsidR="004D038C" w:rsidRPr="004D038C" w:rsidRDefault="004D038C" w:rsidP="004D038C">
      <w:pPr>
        <w:widowControl w:val="0"/>
        <w:spacing w:after="0" w:line="240" w:lineRule="auto"/>
        <w:jc w:val="both"/>
        <w:rPr>
          <w:rFonts w:ascii="Times New Roman" w:eastAsia="Times New Roman" w:hAnsi="Times New Roman" w:cs="Times New Roman"/>
          <w:i/>
          <w:iCs/>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Prilagođavanje doze</w:t>
      </w:r>
    </w:p>
    <w:p w:rsidR="004D038C" w:rsidRPr="004D038C" w:rsidRDefault="004D038C" w:rsidP="004D038C">
      <w:pPr>
        <w:keepNext/>
        <w:spacing w:after="0" w:line="240" w:lineRule="auto"/>
        <w:jc w:val="both"/>
        <w:rPr>
          <w:rFonts w:ascii="Times New Roman" w:eastAsia="Times New Roman" w:hAnsi="Times New Roman" w:cs="Times New Roman"/>
          <w:iCs/>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iCs/>
          <w:lang w:val="hr-HR"/>
        </w:rPr>
        <w:t>Kako bi se moglo vršiti prilagođavanje doze, na raspolaganju su dvije jačine kapsula dabrafeniba, od 50 mg i 75 mg.</w:t>
      </w: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Zbog neželjenih dejstava će možda biti potrebno privremeno prekinuti liječenje, smanjiti dozu ili trajno prekinuti liječenje (vidjeti tabele 1 i 2).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lang w:val="hr-HR"/>
        </w:rPr>
        <w:t xml:space="preserve">Prilagođavanje doze ili privremeni prekid terapije ne preporučuju se kod neželjenih dejstava u obliku planocelularnog karcinoma kože (eng. </w:t>
      </w:r>
      <w:r w:rsidRPr="004D038C">
        <w:rPr>
          <w:rFonts w:ascii="Times New Roman" w:eastAsia="Times New Roman" w:hAnsi="Times New Roman" w:cs="Times New Roman"/>
          <w:i/>
          <w:lang w:val="hr-HR"/>
        </w:rPr>
        <w:t>cutaneous squamous cell carcinoma</w:t>
      </w:r>
      <w:r w:rsidRPr="004D038C">
        <w:rPr>
          <w:rFonts w:ascii="Times New Roman" w:eastAsia="Times New Roman" w:hAnsi="Times New Roman" w:cs="Times New Roman"/>
          <w:lang w:val="hr-HR"/>
        </w:rPr>
        <w:t xml:space="preserve"> (cuSCC))</w:t>
      </w:r>
      <w:r w:rsidRPr="004D038C">
        <w:rPr>
          <w:rFonts w:ascii="Times New Roman" w:eastAsia="Times New Roman" w:hAnsi="Times New Roman" w:cs="Times New Roman"/>
          <w:i/>
          <w:lang w:val="hr-HR"/>
        </w:rPr>
        <w:t xml:space="preserve"> </w:t>
      </w:r>
      <w:r w:rsidRPr="004D038C">
        <w:rPr>
          <w:rFonts w:ascii="Times New Roman" w:eastAsia="Times New Roman" w:hAnsi="Times New Roman" w:cs="Times New Roman"/>
          <w:lang w:val="hr-HR"/>
        </w:rPr>
        <w:t xml:space="preserve">ili novonastalog primarnog melanoma (vidjeti odjeljak 4.4).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lastRenderedPageBreak/>
        <w:t>Terapija se mora prekinuti u slučaju povećanja tjelesne temperature pacijenta na ≥38.5ºC. Pacijente je potrebno pregledati, tražeći znakove i simptome infekcije (vidjeti odjeljak 4.4).</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Kod pacijenata sa uveitisom nije potrebno prilagođavanje doze sve dok se efikasnom lokalnom terapijom kontroliše upala oka. U slučaju uveitisa koji ne reaguje na lokalnu terapiju oka, potrebno je prekinuti terapiju dabrafenibom dok se ne zaustavi upala oka, a potom započeti primjenu dabrafeniba dozom smanjenom za jedan dozni nivo (vidjeti odjeljak 4.4).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Preporučena smanjenja doze kao i preporuke za prilagođavanje doze navedene su u tabeli 1 i tabeli 2. </w:t>
      </w:r>
    </w:p>
    <w:p w:rsidR="004D038C" w:rsidRPr="004D038C" w:rsidRDefault="004D038C" w:rsidP="004D038C">
      <w:pPr>
        <w:keepNext/>
        <w:spacing w:before="240" w:after="0" w:line="240" w:lineRule="auto"/>
        <w:rPr>
          <w:rFonts w:ascii="Times New Roman" w:eastAsia="Times New Roman" w:hAnsi="Times New Roman" w:cs="Times New Roman"/>
          <w:i/>
          <w:iCs/>
          <w:lang w:val="hr-HR"/>
        </w:rPr>
      </w:pPr>
      <w:r w:rsidRPr="004D038C">
        <w:rPr>
          <w:rFonts w:ascii="Times New Roman" w:eastAsia="Times New Roman" w:hAnsi="Times New Roman" w:cs="Times New Roman"/>
          <w:i/>
          <w:iCs/>
          <w:lang w:val="hr-HR"/>
        </w:rPr>
        <w:t xml:space="preserve">Tabela 1: Preporučeni nivoi smanjenja doze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3578"/>
        <w:gridCol w:w="3578"/>
      </w:tblGrid>
      <w:tr w:rsidR="004D038C" w:rsidRPr="004D038C" w:rsidTr="00C020F1">
        <w:trPr>
          <w:trHeight w:val="172"/>
        </w:trPr>
        <w:tc>
          <w:tcPr>
            <w:tcW w:w="1280" w:type="pct"/>
          </w:tcPr>
          <w:p w:rsidR="004D038C" w:rsidRPr="004D038C" w:rsidRDefault="004D038C" w:rsidP="004D038C">
            <w:pPr>
              <w:keepNext/>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Dozni nivo</w:t>
            </w:r>
          </w:p>
        </w:tc>
        <w:tc>
          <w:tcPr>
            <w:tcW w:w="1860" w:type="pct"/>
            <w:vAlign w:val="center"/>
          </w:tcPr>
          <w:p w:rsidR="004D038C" w:rsidRPr="004D038C" w:rsidRDefault="004D038C" w:rsidP="004D038C">
            <w:pPr>
              <w:keepNext/>
              <w:spacing w:after="0" w:line="240" w:lineRule="auto"/>
              <w:jc w:val="center"/>
              <w:rPr>
                <w:rFonts w:ascii="Times New Roman" w:eastAsia="Times New Roman" w:hAnsi="Times New Roman" w:cs="Times New Roman"/>
                <w:bCs/>
                <w:lang w:val="hr-HR"/>
              </w:rPr>
            </w:pPr>
            <w:r w:rsidRPr="004D038C">
              <w:rPr>
                <w:rFonts w:ascii="Times New Roman" w:eastAsia="Times New Roman" w:hAnsi="Times New Roman" w:cs="Times New Roman"/>
                <w:b/>
                <w:lang w:val="hr-HR"/>
              </w:rPr>
              <w:t>Doza dabrafeniba</w:t>
            </w:r>
          </w:p>
          <w:p w:rsidR="004D038C" w:rsidRPr="004D038C" w:rsidRDefault="004D038C" w:rsidP="004D038C">
            <w:pPr>
              <w:keepNext/>
              <w:spacing w:after="0" w:line="240" w:lineRule="auto"/>
              <w:jc w:val="center"/>
              <w:rPr>
                <w:rFonts w:ascii="Times New Roman" w:eastAsia="Times New Roman" w:hAnsi="Times New Roman" w:cs="Times New Roman"/>
                <w:b/>
                <w:lang w:val="hr-HR"/>
              </w:rPr>
            </w:pPr>
            <w:r w:rsidRPr="004D038C">
              <w:rPr>
                <w:rFonts w:ascii="Times New Roman" w:eastAsia="Times New Roman" w:hAnsi="Times New Roman" w:cs="Times New Roman"/>
                <w:lang w:val="hr-HR"/>
              </w:rPr>
              <w:t>Kada se uzima kao monoterapija ili u kombinaciji sa trametinibom</w:t>
            </w:r>
          </w:p>
        </w:tc>
        <w:tc>
          <w:tcPr>
            <w:tcW w:w="1860" w:type="pct"/>
            <w:vAlign w:val="center"/>
          </w:tcPr>
          <w:p w:rsidR="004D038C" w:rsidRPr="004D038C" w:rsidRDefault="004D038C" w:rsidP="004D038C">
            <w:pPr>
              <w:keepNext/>
              <w:spacing w:after="0" w:line="240" w:lineRule="auto"/>
              <w:jc w:val="center"/>
              <w:rPr>
                <w:rFonts w:ascii="Times New Roman" w:eastAsia="Times New Roman" w:hAnsi="Times New Roman" w:cs="Times New Roman"/>
                <w:b/>
                <w:bCs/>
                <w:lang w:val="hr-HR"/>
              </w:rPr>
            </w:pPr>
            <w:r w:rsidRPr="004D038C">
              <w:rPr>
                <w:rFonts w:ascii="Times New Roman" w:eastAsia="Times New Roman" w:hAnsi="Times New Roman" w:cs="Times New Roman"/>
                <w:b/>
                <w:lang w:val="hr-HR"/>
              </w:rPr>
              <w:t>Doza trametiniba*</w:t>
            </w:r>
          </w:p>
          <w:p w:rsidR="004D038C" w:rsidRPr="004D038C" w:rsidRDefault="004D038C" w:rsidP="004D038C">
            <w:pPr>
              <w:keepNext/>
              <w:spacing w:after="0" w:line="240" w:lineRule="auto"/>
              <w:jc w:val="center"/>
              <w:rPr>
                <w:rFonts w:ascii="Times New Roman" w:eastAsia="Times New Roman" w:hAnsi="Times New Roman" w:cs="Times New Roman"/>
                <w:bCs/>
                <w:lang w:val="hr-HR"/>
              </w:rPr>
            </w:pPr>
            <w:r w:rsidRPr="004D038C">
              <w:rPr>
                <w:rFonts w:ascii="Times New Roman" w:eastAsia="Times New Roman" w:hAnsi="Times New Roman" w:cs="Times New Roman"/>
                <w:lang w:val="hr-HR"/>
              </w:rPr>
              <w:t>Samo kada se uzima u kombinaciji sa dabrafenibom</w:t>
            </w:r>
          </w:p>
        </w:tc>
      </w:tr>
      <w:tr w:rsidR="004D038C" w:rsidRPr="004D038C" w:rsidTr="00C020F1">
        <w:trPr>
          <w:trHeight w:val="172"/>
        </w:trPr>
        <w:tc>
          <w:tcPr>
            <w:tcW w:w="1280" w:type="pct"/>
          </w:tcPr>
          <w:p w:rsidR="004D038C" w:rsidRPr="004D038C" w:rsidRDefault="004D038C" w:rsidP="004D038C">
            <w:pPr>
              <w:keepNext/>
              <w:spacing w:before="60" w:after="6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Početna doza</w:t>
            </w:r>
          </w:p>
        </w:tc>
        <w:tc>
          <w:tcPr>
            <w:tcW w:w="1860" w:type="pct"/>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150 mg dva puta dnevno</w:t>
            </w:r>
          </w:p>
        </w:tc>
        <w:tc>
          <w:tcPr>
            <w:tcW w:w="1860" w:type="pct"/>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2 mg jednom dnevno</w:t>
            </w:r>
          </w:p>
        </w:tc>
      </w:tr>
      <w:tr w:rsidR="004D038C" w:rsidRPr="004D038C" w:rsidTr="00C020F1">
        <w:trPr>
          <w:trHeight w:val="172"/>
        </w:trPr>
        <w:tc>
          <w:tcPr>
            <w:tcW w:w="1280" w:type="pct"/>
          </w:tcPr>
          <w:p w:rsidR="004D038C" w:rsidRPr="004D038C" w:rsidRDefault="004D038C" w:rsidP="004D038C">
            <w:pPr>
              <w:keepNext/>
              <w:spacing w:before="60" w:after="6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Prvo smanjenje doze</w:t>
            </w:r>
          </w:p>
        </w:tc>
        <w:tc>
          <w:tcPr>
            <w:tcW w:w="1860" w:type="pct"/>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100 mg dva puta dnevno</w:t>
            </w:r>
          </w:p>
        </w:tc>
        <w:tc>
          <w:tcPr>
            <w:tcW w:w="1860" w:type="pct"/>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1.5 mg jednom dnevno</w:t>
            </w:r>
          </w:p>
        </w:tc>
      </w:tr>
      <w:tr w:rsidR="004D038C" w:rsidRPr="004D038C" w:rsidTr="00C020F1">
        <w:trPr>
          <w:trHeight w:val="172"/>
        </w:trPr>
        <w:tc>
          <w:tcPr>
            <w:tcW w:w="1280" w:type="pct"/>
          </w:tcPr>
          <w:p w:rsidR="004D038C" w:rsidRPr="004D038C" w:rsidRDefault="004D038C" w:rsidP="004D038C">
            <w:pPr>
              <w:keepNext/>
              <w:spacing w:before="60" w:after="6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Drugo smanjenje doze</w:t>
            </w:r>
          </w:p>
        </w:tc>
        <w:tc>
          <w:tcPr>
            <w:tcW w:w="1860" w:type="pct"/>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75 mg dva puta dnevno</w:t>
            </w:r>
          </w:p>
        </w:tc>
        <w:tc>
          <w:tcPr>
            <w:tcW w:w="1860" w:type="pct"/>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 mg jednom dnevno</w:t>
            </w:r>
          </w:p>
        </w:tc>
      </w:tr>
      <w:tr w:rsidR="004D038C" w:rsidRPr="004D038C" w:rsidTr="00C020F1">
        <w:trPr>
          <w:trHeight w:val="172"/>
        </w:trPr>
        <w:tc>
          <w:tcPr>
            <w:tcW w:w="1280" w:type="pct"/>
          </w:tcPr>
          <w:p w:rsidR="004D038C" w:rsidRPr="004D038C" w:rsidRDefault="004D038C" w:rsidP="004D038C">
            <w:pPr>
              <w:keepNext/>
              <w:spacing w:before="60" w:after="6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Treće smanjenje doze (samo u kombinaciji)</w:t>
            </w:r>
          </w:p>
        </w:tc>
        <w:tc>
          <w:tcPr>
            <w:tcW w:w="1860" w:type="pct"/>
          </w:tcPr>
          <w:p w:rsidR="004D038C" w:rsidRPr="004D038C" w:rsidRDefault="004D038C" w:rsidP="004D038C">
            <w:pPr>
              <w:widowControl w:val="0"/>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50 mg dva puta dnevno</w:t>
            </w:r>
          </w:p>
        </w:tc>
        <w:tc>
          <w:tcPr>
            <w:tcW w:w="1860" w:type="pct"/>
          </w:tcPr>
          <w:p w:rsidR="004D038C" w:rsidRPr="004D038C" w:rsidRDefault="004D038C" w:rsidP="004D038C">
            <w:pPr>
              <w:widowControl w:val="0"/>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 mg jednom dnevno</w:t>
            </w:r>
          </w:p>
        </w:tc>
      </w:tr>
      <w:tr w:rsidR="004D038C" w:rsidRPr="004D038C" w:rsidTr="00C020F1">
        <w:trPr>
          <w:trHeight w:val="172"/>
        </w:trPr>
        <w:tc>
          <w:tcPr>
            <w:tcW w:w="5000" w:type="pct"/>
            <w:gridSpan w:val="3"/>
          </w:tcPr>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Ne preporučuje se smanjenje doze dabrafeniba ispod 50 mg dva puta dnevno, bilo kada se uzima kao monoterapija ili u kombinaciji sa trametinibom. Ne preporučuje se smanjenje doze trametiniba ispod 1 mg jednom dnevno, kada se uzima u kombinaciji sa dabrafenibom. </w:t>
            </w:r>
          </w:p>
        </w:tc>
      </w:tr>
    </w:tbl>
    <w:p w:rsidR="004D038C" w:rsidRPr="004D038C" w:rsidRDefault="004D038C" w:rsidP="004D038C">
      <w:pPr>
        <w:keepNext/>
        <w:spacing w:after="0" w:line="240" w:lineRule="auto"/>
        <w:jc w:val="both"/>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lang w:val="hr-HR"/>
        </w:rPr>
        <w:t>*pogledati Sažetak karakteristika lijeka za trametinib za doziranje i način primjene lijeka, uputstvo za doziranje za primjenu trametiniba kao monoterapije</w:t>
      </w:r>
    </w:p>
    <w:p w:rsidR="004D038C" w:rsidRPr="004D038C" w:rsidRDefault="004D038C" w:rsidP="004D038C">
      <w:pPr>
        <w:keepNext/>
        <w:spacing w:before="240" w:after="0" w:line="240" w:lineRule="auto"/>
        <w:rPr>
          <w:rFonts w:ascii="Times New Roman" w:eastAsia="Times New Roman" w:hAnsi="Times New Roman" w:cs="Times New Roman"/>
          <w:i/>
          <w:iCs/>
          <w:lang w:val="hr-HR"/>
        </w:rPr>
      </w:pPr>
      <w:r w:rsidRPr="004D038C">
        <w:rPr>
          <w:rFonts w:ascii="Times New Roman" w:eastAsia="Times New Roman" w:hAnsi="Times New Roman" w:cs="Times New Roman"/>
          <w:i/>
          <w:iCs/>
          <w:lang w:val="hr-HR"/>
        </w:rPr>
        <w:t>Tabela 2: Prilagođavanje doze prema gradus bilo kog neželjenog dejstva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7017"/>
      </w:tblGrid>
      <w:tr w:rsidR="004D038C" w:rsidRPr="004D038C" w:rsidTr="00C020F1">
        <w:trPr>
          <w:trHeight w:val="647"/>
        </w:trPr>
        <w:tc>
          <w:tcPr>
            <w:tcW w:w="1352"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Gradus (CTC-AE)*</w:t>
            </w:r>
          </w:p>
        </w:tc>
        <w:tc>
          <w:tcPr>
            <w:tcW w:w="3648"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
                <w:lang w:val="hr-HR"/>
              </w:rPr>
              <w:t>Preporučeno prilagođavanje doze dabrafeniba</w:t>
            </w:r>
            <w:r w:rsidRPr="004D038C">
              <w:rPr>
                <w:rFonts w:ascii="Times New Roman" w:eastAsia="Times New Roman" w:hAnsi="Times New Roman" w:cs="Times New Roman"/>
                <w:lang w:val="hr-HR"/>
              </w:rPr>
              <w:t xml:space="preserve"> </w:t>
            </w:r>
          </w:p>
          <w:p w:rsidR="004D038C" w:rsidRPr="004D038C" w:rsidRDefault="004D038C" w:rsidP="004D038C">
            <w:pPr>
              <w:keepNext/>
              <w:spacing w:after="0" w:line="240" w:lineRule="auto"/>
              <w:jc w:val="both"/>
              <w:rPr>
                <w:rFonts w:ascii="Times New Roman" w:eastAsia="Times New Roman" w:hAnsi="Times New Roman" w:cs="Times New Roman"/>
                <w:b/>
                <w:lang w:val="hr-HR"/>
              </w:rPr>
            </w:pPr>
            <w:r w:rsidRPr="004D038C">
              <w:rPr>
                <w:rFonts w:ascii="Times New Roman" w:eastAsia="Times New Roman" w:hAnsi="Times New Roman" w:cs="Times New Roman"/>
                <w:lang w:val="hr-HR"/>
              </w:rPr>
              <w:t>kada se uzima kao monoterapija ili u kombinaciji sa trametinibom</w:t>
            </w:r>
          </w:p>
        </w:tc>
      </w:tr>
      <w:tr w:rsidR="004D038C" w:rsidRPr="004D038C" w:rsidTr="00C020F1">
        <w:trPr>
          <w:trHeight w:val="545"/>
        </w:trPr>
        <w:tc>
          <w:tcPr>
            <w:tcW w:w="1352"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Gradus 1 ili gradus 2 (podnošljiv)</w:t>
            </w:r>
          </w:p>
        </w:tc>
        <w:tc>
          <w:tcPr>
            <w:tcW w:w="3648"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Nastaviti sa liječenjem i praćenjem u skladu sa kliničkom indikacijom.</w:t>
            </w:r>
          </w:p>
        </w:tc>
      </w:tr>
      <w:tr w:rsidR="004D038C" w:rsidRPr="004D038C" w:rsidTr="00C020F1">
        <w:trPr>
          <w:trHeight w:val="692"/>
        </w:trPr>
        <w:tc>
          <w:tcPr>
            <w:tcW w:w="1352"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ind w:right="-113"/>
              <w:rPr>
                <w:rFonts w:ascii="Times New Roman" w:eastAsia="Times New Roman" w:hAnsi="Times New Roman" w:cs="Times New Roman"/>
                <w:lang w:val="hr-HR"/>
              </w:rPr>
            </w:pPr>
            <w:r w:rsidRPr="004D038C">
              <w:rPr>
                <w:rFonts w:ascii="Times New Roman" w:eastAsia="Times New Roman" w:hAnsi="Times New Roman" w:cs="Times New Roman"/>
                <w:lang w:val="hr-HR"/>
              </w:rPr>
              <w:t>Gradus 2 (nepodnošljiv) ili gradus 3</w:t>
            </w:r>
          </w:p>
        </w:tc>
        <w:tc>
          <w:tcPr>
            <w:tcW w:w="3648"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Prekinuti sa terapijom dok gradus toksičnosti ne bude 0-1, a po nastavku terapije dozu smanjiti za jedan dozni nivo</w:t>
            </w:r>
          </w:p>
        </w:tc>
      </w:tr>
      <w:tr w:rsidR="004D038C" w:rsidRPr="004D038C" w:rsidTr="00C020F1">
        <w:trPr>
          <w:trHeight w:val="641"/>
        </w:trPr>
        <w:tc>
          <w:tcPr>
            <w:tcW w:w="1352"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Gradus 4</w:t>
            </w:r>
          </w:p>
        </w:tc>
        <w:tc>
          <w:tcPr>
            <w:tcW w:w="3648" w:type="pct"/>
            <w:tcBorders>
              <w:top w:val="single" w:sz="4" w:space="0" w:color="auto"/>
              <w:left w:val="single" w:sz="4" w:space="0" w:color="auto"/>
              <w:bottom w:val="single" w:sz="4" w:space="0" w:color="auto"/>
              <w:right w:val="single" w:sz="4" w:space="0" w:color="auto"/>
            </w:tcBorders>
          </w:tcPr>
          <w:p w:rsidR="004D038C" w:rsidRPr="004D038C" w:rsidRDefault="004D038C" w:rsidP="004D038C">
            <w:pPr>
              <w:keepNext/>
              <w:spacing w:after="0" w:line="240" w:lineRule="auto"/>
              <w:ind w:right="-57"/>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Trajno ili privremeno prekinuti terapiju dok se gradus toksičnosti ne smanji na 0-1, a po nastavku terapije dozu smanjiti za jedan dozni nivo.</w:t>
            </w:r>
          </w:p>
        </w:tc>
      </w:tr>
    </w:tbl>
    <w:p w:rsidR="004D038C" w:rsidRPr="004D038C" w:rsidRDefault="004D038C" w:rsidP="004D038C">
      <w:pPr>
        <w:widowControl w:val="0"/>
        <w:spacing w:after="0" w:line="240" w:lineRule="auto"/>
        <w:rPr>
          <w:rFonts w:ascii="Times New Roman" w:eastAsia="Arial Unicode MS" w:hAnsi="Times New Roman" w:cs="Times New Roman"/>
          <w:sz w:val="18"/>
          <w:szCs w:val="18"/>
          <w:lang w:val="hr-HR"/>
        </w:rPr>
      </w:pPr>
      <w:r w:rsidRPr="004D038C">
        <w:rPr>
          <w:rFonts w:ascii="Times New Roman" w:eastAsia="Times New Roman" w:hAnsi="Times New Roman" w:cs="Times New Roman"/>
          <w:sz w:val="18"/>
          <w:szCs w:val="18"/>
          <w:lang w:val="hr-HR"/>
        </w:rPr>
        <w:t xml:space="preserve">* Intenzitet kliničkih neželjenih događaja rangiran prema četvrtoj verziji kriterijuma zajedničke terminologije za neželjene događaje (eng. </w:t>
      </w:r>
      <w:r w:rsidRPr="004D038C">
        <w:rPr>
          <w:rFonts w:ascii="Times New Roman" w:eastAsia="Times New Roman" w:hAnsi="Times New Roman" w:cs="Times New Roman"/>
          <w:i/>
          <w:sz w:val="18"/>
          <w:szCs w:val="18"/>
          <w:lang w:val="hr-HR"/>
        </w:rPr>
        <w:t>Common Terminology Criteria for Adverse Events</w:t>
      </w:r>
      <w:r w:rsidRPr="004D038C">
        <w:rPr>
          <w:rFonts w:ascii="Times New Roman" w:eastAsia="Times New Roman" w:hAnsi="Times New Roman" w:cs="Times New Roman"/>
          <w:sz w:val="18"/>
          <w:szCs w:val="18"/>
          <w:lang w:val="hr-HR"/>
        </w:rPr>
        <w:t xml:space="preserve"> (CTC-AE) v4.0)</w:t>
      </w:r>
    </w:p>
    <w:p w:rsidR="004D038C" w:rsidRPr="004D038C" w:rsidRDefault="004D038C" w:rsidP="004D038C">
      <w:pPr>
        <w:widowControl w:val="0"/>
        <w:spacing w:after="0" w:line="240" w:lineRule="auto"/>
        <w:rPr>
          <w:rFonts w:ascii="Times New Roman" w:eastAsia="Arial Unicode MS" w:hAnsi="Times New Roman" w:cs="Times New Roman"/>
          <w:color w:val="000000"/>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Ako se neželjena dejstva pacijenata uspješno drže pod kontrolom, može se razmotriti povećanje doze prema istim koracima za doziranje kao i kod smanjenja. Doza dabrafeniba ne smije biti veća od 150 mg dva puta na dan.</w:t>
      </w:r>
    </w:p>
    <w:p w:rsidR="004D038C" w:rsidRPr="004D038C" w:rsidRDefault="004D038C" w:rsidP="004D038C">
      <w:pPr>
        <w:keepNext/>
        <w:spacing w:after="0" w:line="240" w:lineRule="auto"/>
        <w:jc w:val="both"/>
        <w:rPr>
          <w:rFonts w:ascii="Times New Roman" w:eastAsia="Times New Roman" w:hAnsi="Times New Roman" w:cs="Times New Roman"/>
          <w:iCs/>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Cs/>
          <w:lang w:val="hr-HR"/>
        </w:rPr>
        <w:t xml:space="preserve">Ako se pojavi toksičnost povezana sa terapijom kada se dabrafenib uzima u kombinaciji sa trametinibom, potrebno je za oba lijeka smanjiti doze, privremeno ili trajno prekinuti liječenje. Izuzeci kada je potrebno </w:t>
      </w:r>
      <w:r w:rsidRPr="004D038C">
        <w:rPr>
          <w:rFonts w:ascii="Times New Roman" w:eastAsia="Times New Roman" w:hAnsi="Times New Roman" w:cs="Times New Roman"/>
          <w:iCs/>
          <w:lang w:val="hr-HR"/>
        </w:rPr>
        <w:lastRenderedPageBreak/>
        <w:t>prilagođavanje doze samo jednog lijeka kada se oba primjenjuju istovremeno, navedeni su u daljem tekstu za pireksiju, uveitis, n</w:t>
      </w:r>
      <w:r w:rsidRPr="004D038C">
        <w:rPr>
          <w:rFonts w:ascii="Times New Roman" w:eastAsia="Times New Roman" w:hAnsi="Times New Roman" w:cs="Times New Roman"/>
          <w:lang w:val="hr-HR"/>
        </w:rPr>
        <w:t xml:space="preserve">e-kožne sekundarne/rekurentne tumore (primarno povezano sa dabrafenibom), smanjenje ejekcione frakcije lijeve komore (eng. </w:t>
      </w:r>
      <w:r w:rsidRPr="004D038C">
        <w:rPr>
          <w:rFonts w:ascii="Times New Roman" w:eastAsia="Times New Roman" w:hAnsi="Times New Roman" w:cs="Times New Roman"/>
          <w:i/>
          <w:lang w:val="hr-HR"/>
        </w:rPr>
        <w:t>left ventricular ejection fraction</w:t>
      </w:r>
      <w:r w:rsidRPr="004D038C">
        <w:rPr>
          <w:rFonts w:ascii="Times New Roman" w:eastAsia="Times New Roman" w:hAnsi="Times New Roman" w:cs="Times New Roman"/>
          <w:lang w:val="hr-HR"/>
        </w:rPr>
        <w:t xml:space="preserve">, LVEF), okluziju retinalne vene (eng. </w:t>
      </w:r>
      <w:r w:rsidRPr="004D038C">
        <w:rPr>
          <w:rFonts w:ascii="Times New Roman" w:eastAsia="Times New Roman" w:hAnsi="Times New Roman" w:cs="Times New Roman"/>
          <w:i/>
          <w:lang w:val="hr-HR"/>
        </w:rPr>
        <w:t xml:space="preserve">retinal vein occlusion, </w:t>
      </w:r>
      <w:r w:rsidRPr="004D038C">
        <w:rPr>
          <w:rFonts w:ascii="Times New Roman" w:eastAsia="Times New Roman" w:hAnsi="Times New Roman" w:cs="Times New Roman"/>
          <w:lang w:val="hr-HR"/>
        </w:rPr>
        <w:t xml:space="preserve">RVO), odvajanje pigmetnog epitela retine (eng. </w:t>
      </w:r>
      <w:r w:rsidRPr="004D038C">
        <w:rPr>
          <w:rFonts w:ascii="Times New Roman" w:eastAsia="Times New Roman" w:hAnsi="Times New Roman" w:cs="Times New Roman"/>
          <w:i/>
          <w:lang w:val="hr-HR"/>
        </w:rPr>
        <w:t>retinal pigment epithelial detachment</w:t>
      </w:r>
      <w:r w:rsidRPr="004D038C">
        <w:rPr>
          <w:rFonts w:ascii="Times New Roman" w:eastAsia="Times New Roman" w:hAnsi="Times New Roman" w:cs="Times New Roman"/>
          <w:lang w:val="hr-HR"/>
        </w:rPr>
        <w:t>, RPED), intersticijumsku bolest pluća (ILD)/pneumonitis (primarno povezano sa trametinibom).</w:t>
      </w:r>
    </w:p>
    <w:p w:rsidR="004D038C" w:rsidRPr="004D038C" w:rsidRDefault="004D038C" w:rsidP="004D038C">
      <w:pPr>
        <w:keepNext/>
        <w:spacing w:after="0" w:line="240" w:lineRule="auto"/>
        <w:jc w:val="both"/>
        <w:rPr>
          <w:rFonts w:ascii="Times New Roman" w:eastAsia="Times New Roman" w:hAnsi="Times New Roman" w:cs="Times New Roman"/>
          <w:iCs/>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Izuzeci u prilagođavanju doza (kada se smanjuje doza samo jednog od dva lijeka koja se primjenjuju istovremeno) za odabrane neželjene reakcije</w:t>
      </w:r>
    </w:p>
    <w:p w:rsidR="004D038C" w:rsidRPr="004D038C" w:rsidRDefault="004D038C" w:rsidP="004D038C">
      <w:pPr>
        <w:keepNext/>
        <w:spacing w:after="0" w:line="240" w:lineRule="auto"/>
        <w:jc w:val="both"/>
        <w:rPr>
          <w:rFonts w:ascii="Times New Roman" w:eastAsia="Times New Roman" w:hAnsi="Times New Roman" w:cs="Times New Roman"/>
          <w:iCs/>
          <w:lang w:val="hr-HR"/>
        </w:rPr>
      </w:pPr>
    </w:p>
    <w:p w:rsidR="004D038C" w:rsidRPr="004D038C" w:rsidRDefault="004D038C" w:rsidP="004D038C">
      <w:pPr>
        <w:keepNext/>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Pireksija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Kada se dabrafenib koristi kao monoterapija ili u kombinaciji sa trametinibom, terapija dabrafenibom mora se privremeno prekinuti u slučaju porasta tjelesne temperature pacijenta na ≥38.5ºC (vidjeti tabelu 2 za smjernice u prilagođavanju doze). Trametinib treba nastaviti u istoj dozi. Potrebno je započeti terapiju antipireticima kao što su ibuprofen ili paracetamol. U slučajevima kada antipiretici nijesu dovoljni, potrebno je razmotriti primjenu oralnih kortikosteoida. Pacijente treba pregledati, tražeći znakove i simptome infekcije i ako je potrebno liječiti ih u skladu sa lokalnom praksom (vidjeti odjeljak 4.4). </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Nakon povlačenja groznice, dabrafenib treba ponovo dati, uz odgovarajuću profilaksu antipireticima i to u istoj dozi ili u dozi smanjenoj za jedan dozni nivo, kod rekurentne pireksije i/ili kada je praćena drugim teškim simptomima uključujući dehidrataciju, hipotenziju ili insuficijencije bubrega.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Uveitis</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Kod pacijenata sa uveitisom nije potrebno prilagođavanje doze sve dok se efikasnom lokalnom terapijom kontroliše upala oka. U slučaju uveitisa koji ne reaguje na lokalnu terapiju oka, potrebno je prekinuti terapiju dabrafenibom dok se ne zaustavi upala oka, a potom započeti primjenu dabrafeniba dozom smanjenom za jedan dozni nivo. Smanjenje doze trametiniba nije potrebno kada se koristi u kombinaciji sa dabrafenibom (vidjeti odjeljak 4.4).</w:t>
      </w:r>
    </w:p>
    <w:p w:rsidR="004D038C" w:rsidRPr="004D038C" w:rsidRDefault="004D038C" w:rsidP="004D038C">
      <w:pPr>
        <w:keepNext/>
        <w:spacing w:after="0" w:line="240" w:lineRule="auto"/>
        <w:jc w:val="both"/>
        <w:rPr>
          <w:rFonts w:ascii="Times New Roman" w:eastAsia="Times New Roman" w:hAnsi="Times New Roman" w:cs="Times New Roman"/>
          <w:i/>
          <w:lang w:val="hr-HR"/>
        </w:rPr>
      </w:pPr>
    </w:p>
    <w:p w:rsidR="004D038C" w:rsidRPr="004D038C" w:rsidRDefault="004D038C" w:rsidP="004D038C">
      <w:pPr>
        <w:keepNext/>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Ne-kožni sekundarni/rekurentni tumori sa pozitivnom RAS mutacijom</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Treba pažljivo razmotriti koristi i rizike prije nastavka primjene dabrafeniba kod pacijenata sa malignitetom sa RAS mutacijom koji nije zahvatio kožu. Prilagođavanje doze trametiniba nije potrebno kada se uzima u kombinaciji sa dabrafenibom.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Smanjenje ejekcione frakcije lijeve komore (LVEF)/ disfunkcija lijeve komore</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Cs/>
          <w:lang w:val="hr-HR"/>
        </w:rPr>
        <w:t xml:space="preserve">Kada se dabrafenib uzima u kombinaciji sa trametinibom, a kada je apsolutno smanjenje ejekcione frakcije LVEF za &gt;10% u odnosu na početnu vrijednost i ako je ejekciona frakcija ispod donje granice normalnih vrijednosti za određenu ustanovu, pogledajte Sažetak karakteristika lijeka za trametinib (vidjeti odjeljak 4.2) za smjernice o prilagođavanju doze trametiniba. </w:t>
      </w:r>
      <w:r w:rsidRPr="004D038C">
        <w:rPr>
          <w:rFonts w:ascii="Times New Roman" w:eastAsia="Times New Roman" w:hAnsi="Times New Roman" w:cs="Times New Roman"/>
          <w:lang w:val="hr-HR"/>
        </w:rPr>
        <w:t xml:space="preserve">Prilagođavanje doze dabrafeniba nije potrebno kada se uzima u kombinaciji sa trametinibom. </w:t>
      </w:r>
    </w:p>
    <w:p w:rsidR="004D038C" w:rsidRPr="004D038C" w:rsidRDefault="004D038C" w:rsidP="004D038C">
      <w:pPr>
        <w:keepNext/>
        <w:spacing w:after="0" w:line="240" w:lineRule="auto"/>
        <w:jc w:val="both"/>
        <w:rPr>
          <w:rFonts w:ascii="Times New Roman" w:eastAsia="Times New Roman" w:hAnsi="Times New Roman" w:cs="Times New Roman"/>
          <w:iCs/>
          <w:lang w:val="hr-HR"/>
        </w:rPr>
      </w:pPr>
    </w:p>
    <w:p w:rsidR="004D038C" w:rsidRPr="004D038C" w:rsidRDefault="004D038C" w:rsidP="004D038C">
      <w:pPr>
        <w:keepNext/>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Okluzija retinalne vene (RVO) i odvajanje pigmetnog epitela retine (RPED)</w:t>
      </w:r>
    </w:p>
    <w:p w:rsidR="004D038C" w:rsidRPr="004D038C" w:rsidRDefault="004D038C" w:rsidP="000F555B">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Ako pacijenti u bilo koje vrijeme tokom uzimanja kombinacije dabrafeniba i trametiniba prijave nove smetnje vida kao što je slabljenje centralnog vida, zamućen vid ili gubitak vida, pogledajte Sažetak karakteristika lijeka za trametinib (vidjeti odjeljak 4.2) za smjernice u prilagođavanju doze trametiniba. Prilagođavanje doze dabrafeniba nije potrebno kada se uzima u kombinaciji sa trametinibom kod pacijenata sa potvrđenom dijagnozom okluzije retinalne vene (engl. </w:t>
      </w:r>
      <w:r w:rsidRPr="004D038C">
        <w:rPr>
          <w:rFonts w:ascii="Times New Roman" w:eastAsia="Times New Roman" w:hAnsi="Times New Roman" w:cs="Times New Roman"/>
          <w:i/>
          <w:lang w:val="hr-HR"/>
        </w:rPr>
        <w:t>retinal vein occlusion</w:t>
      </w:r>
      <w:r w:rsidRPr="004D038C">
        <w:rPr>
          <w:rFonts w:ascii="Times New Roman" w:eastAsia="Times New Roman" w:hAnsi="Times New Roman" w:cs="Times New Roman"/>
          <w:lang w:val="hr-HR"/>
        </w:rPr>
        <w:t xml:space="preserve">, RVO) i odvajanjem pigmentnog epitela retine (engl. </w:t>
      </w:r>
      <w:r w:rsidRPr="004D038C">
        <w:rPr>
          <w:rFonts w:ascii="Times New Roman" w:eastAsia="Times New Roman" w:hAnsi="Times New Roman" w:cs="Times New Roman"/>
          <w:i/>
          <w:lang w:val="hr-HR"/>
        </w:rPr>
        <w:t>retinal pigment epithelial detachment</w:t>
      </w:r>
      <w:r w:rsidRPr="004D038C">
        <w:rPr>
          <w:rFonts w:ascii="Times New Roman" w:eastAsia="Times New Roman" w:hAnsi="Times New Roman" w:cs="Times New Roman"/>
          <w:lang w:val="hr-HR"/>
        </w:rPr>
        <w:t>, RPED).</w:t>
      </w:r>
    </w:p>
    <w:p w:rsidR="004D038C" w:rsidRPr="004D038C" w:rsidRDefault="004D038C" w:rsidP="004D038C">
      <w:pPr>
        <w:keepNext/>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lastRenderedPageBreak/>
        <w:t>Intersticijumska bolest pluća (ILD)/pneumonitis</w:t>
      </w: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Kod pacijenata koji uzimaju dabrafenib u kombinaciji sa trametinibom, a imaju suspektnu intersticijumsku bolest pluća (ILD) ili pneumonitis, uključujući pacijente sa novim ili progresivnim plućnim simptomima i nalazima uključujući kašalj, dispneu, hipoksiju, pleuralnu efuziju ili infiltrate, koji čekaju klinička ispitivanja, pogledajte S</w:t>
      </w:r>
      <w:r w:rsidRPr="004D038C">
        <w:rPr>
          <w:rFonts w:ascii="Times New Roman" w:eastAsia="Times New Roman" w:hAnsi="Times New Roman" w:cs="Times New Roman"/>
          <w:iCs/>
          <w:lang w:val="hr-HR"/>
        </w:rPr>
        <w:t xml:space="preserve">ažetak karakteristika lijeka za trametinib (vidjeti odjeljak 4.2) za smjernice o prilagođavanju doze trametiniba. </w:t>
      </w:r>
      <w:r w:rsidRPr="004D038C">
        <w:rPr>
          <w:rFonts w:ascii="Times New Roman" w:eastAsia="Times New Roman" w:hAnsi="Times New Roman" w:cs="Times New Roman"/>
          <w:lang w:val="hr-HR"/>
        </w:rPr>
        <w:t>Prilagođavanje doze dabrafeniba nije potrebno kada se uzima u kombinaciji sa trametinibom za slučajeve sa intersticijumskom bolesti pluća (ILD) ili pneumonitisom.</w:t>
      </w:r>
    </w:p>
    <w:p w:rsidR="004D038C" w:rsidRPr="004D038C" w:rsidRDefault="004D038C"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Oštećenje bubrega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Cs/>
          <w:lang w:val="hr-HR"/>
        </w:rPr>
        <w:t>Kod</w:t>
      </w:r>
      <w:r w:rsidRPr="004D038C">
        <w:rPr>
          <w:rFonts w:ascii="Times New Roman" w:eastAsia="Times New Roman" w:hAnsi="Times New Roman" w:cs="Times New Roman"/>
          <w:lang w:val="hr-HR"/>
        </w:rPr>
        <w:t xml:space="preserve"> pacijenta sa blagim ili umjerenim oštećenjem bubrega nije potrebno prilagođavanje doze. Ne postoje klinički podaci za osobe sa teškim oštećenjem bubrega pa se moguća potreba za prilagođavanjem doze ne može utvrditi (vidjeti odjeljak 5.2). Dabrafenib bi trebalo koristiti sa oprezom kod pacijenata sa teškim oštećenjem bubrega kada se uzima kao monoterapija ili u kombinaciji sa trametinibom.</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Oštećenje jetre</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Kod pacijenata sa blagim oštećenjem jetre nije potrebno prilagođavanje doze. Ne postoje klinički podaci za osobe sa umjerenim do teškim oštećenjem jetre pa se moguća potreba za prilagođavanjem doze ne može utvrditi (vidjeti odjeljak 5.2). Hepatički metabolizam i bilijarna sekrecija su primarni putevi eliminacije dabrafeniba i njegovih metabolita i kod pacijenata sa umjerenim do teškim oštećenjem jetre može doći do povećane izloženosti lijeku. Dabrafenib bi trebalo koristiti sa oprezom kod pacijenata sa umjerenim do teškim oštećenjem jetre kada se uzima kao monoterapija ili u kombinaciji sa trametinibom.</w:t>
      </w:r>
    </w:p>
    <w:p w:rsidR="004D038C" w:rsidRPr="004D038C" w:rsidRDefault="004D038C" w:rsidP="004D038C">
      <w:pPr>
        <w:keepNext/>
        <w:spacing w:after="0" w:line="240" w:lineRule="auto"/>
        <w:rPr>
          <w:rFonts w:ascii="Times New Roman" w:eastAsia="Times New Roman" w:hAnsi="Times New Roman" w:cs="Times New Roman"/>
          <w:iCs/>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Pacijenti drugih rasa osim bijele rase</w:t>
      </w: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iCs/>
          <w:lang w:val="hr-HR"/>
        </w:rPr>
        <w:t>Prikupljeni su ograni</w:t>
      </w:r>
      <w:r w:rsidRPr="004D038C">
        <w:rPr>
          <w:rFonts w:ascii="Times New Roman" w:eastAsia="Times New Roman" w:hAnsi="Times New Roman" w:cs="Times New Roman"/>
          <w:iCs/>
          <w:lang w:val="sr-Latn-RS"/>
        </w:rPr>
        <w:t>č</w:t>
      </w:r>
      <w:r w:rsidRPr="004D038C">
        <w:rPr>
          <w:rFonts w:ascii="Times New Roman" w:eastAsia="Times New Roman" w:hAnsi="Times New Roman" w:cs="Times New Roman"/>
          <w:iCs/>
          <w:lang w:val="hr-HR"/>
        </w:rPr>
        <w:t>eni podaci o bezbjednosti i efikasnosti dabrafeniba kod pacijenata drugih rasa osim kod bijele rase. Populaciona farmakokinetička analiza je pokazala da nema značajne razlike u farmakokinetici dabrafeniba između pacijenata azijskog porijekla i pacijenata bijele rase. Nije potrebno prilagođavanje doze dabrafeniba kod pacijenata azijskog porijekla.</w:t>
      </w: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Starije osobe</w:t>
      </w: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iCs/>
          <w:lang w:val="hr-HR"/>
        </w:rPr>
        <w:t>Kod pacijenata starijih od 65 godina nije potrebno prilagođavanje početne doze.</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Pedijatrijska populacija</w:t>
      </w:r>
    </w:p>
    <w:p w:rsid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Bezbjednost i efikasnost dabrafeniba kod djece i adolescenata (&lt;18 godina) još nije potvrđena. Nema dostupnih kliničkih podataka. Ispitivanja sprovedena na juvenilnim životinjama pokazala su neželjena dejstva dabrafeniba koja nijesu primjećena kod odraslih životinja (vidjeti odjeljak 5.3).</w:t>
      </w:r>
    </w:p>
    <w:p w:rsidR="004D038C" w:rsidRDefault="004D038C" w:rsidP="004D038C">
      <w:pPr>
        <w:widowControl w:val="0"/>
        <w:spacing w:after="0" w:line="240" w:lineRule="auto"/>
        <w:jc w:val="both"/>
        <w:rPr>
          <w:rFonts w:ascii="Times New Roman" w:eastAsia="Times New Roman" w:hAnsi="Times New Roman" w:cs="Times New Roman"/>
          <w:lang w:val="hr-HR"/>
        </w:rPr>
      </w:pPr>
    </w:p>
    <w:p w:rsidR="004D038C" w:rsidRDefault="004D038C" w:rsidP="004D038C">
      <w:pPr>
        <w:widowControl w:val="0"/>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Način primjene</w:t>
      </w:r>
    </w:p>
    <w:p w:rsidR="000F555B" w:rsidRDefault="000F555B" w:rsidP="004D038C">
      <w:pPr>
        <w:widowControl w:val="0"/>
        <w:spacing w:after="0" w:line="240" w:lineRule="auto"/>
        <w:jc w:val="both"/>
        <w:rPr>
          <w:rFonts w:ascii="Times New Roman" w:eastAsia="Times New Roman" w:hAnsi="Times New Roman" w:cs="Times New Roman"/>
          <w:u w:val="single"/>
          <w:lang w:val="hr-HR"/>
        </w:rPr>
      </w:pPr>
    </w:p>
    <w:p w:rsid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Kapsule dabrafeniba treba progutati cijele sa vodom. Ne smiju se žvakati ni lomiti, niti miješati sa hranom i pićem zbog hemijske nestabilnosti dabrafeniba.</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Preporučuje se da se doze dabrafeniba uzimaju u slično vrijeme svakoga dana, ostavljajući interval od približno 12 sati između doza. Kada se dabrafenib i trametinib primjenjuju u kombinaciji, doza trametiniba jednom dnevno treba da se uzima u isto vrijeme svakoga dana i to ili sa jutarnjom ili sa večernjom dozom dabrafeniba.</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Dabrafenib treba uzeti najmanje jedan sat prije ili najmanje dva sata nakon jela. </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lastRenderedPageBreak/>
        <w:t>Ako pacijent povraća nakon uzimanja lijeka dabrafenib, pacijent ne treba uzeti dozu lijeka ponovo već treba uzeti sljedeću dozu prema rasporedu.</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lang w:val="hr-HR"/>
        </w:rPr>
        <w:t>Pogledajte S</w:t>
      </w:r>
      <w:r w:rsidRPr="004D038C">
        <w:rPr>
          <w:rFonts w:ascii="Times New Roman" w:eastAsia="Times New Roman" w:hAnsi="Times New Roman" w:cs="Times New Roman"/>
          <w:iCs/>
          <w:lang w:val="hr-HR"/>
        </w:rPr>
        <w:t>ažetak karakteristika lijeka za trametinib za način primjene lijeka kada se daje u kombinaciji sa dabrafenibom.</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4.3. </w:t>
      </w:r>
      <w:r w:rsidRPr="004D038C">
        <w:rPr>
          <w:rFonts w:ascii="Times New Roman" w:eastAsia="Times New Roman" w:hAnsi="Times New Roman" w:cs="Times New Roman"/>
          <w:b/>
          <w:bCs/>
          <w:lang w:val="hr-HR"/>
        </w:rPr>
        <w:tab/>
        <w:t>Kontraindikacije</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Preosjetljivost na aktivnu supstancu ili neku od pomoćnih supstanci navedenih u odjeljku 6.1.</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4.4. </w:t>
      </w:r>
      <w:r w:rsidRPr="004D038C">
        <w:rPr>
          <w:rFonts w:ascii="Times New Roman" w:eastAsia="Times New Roman" w:hAnsi="Times New Roman" w:cs="Times New Roman"/>
          <w:b/>
          <w:bCs/>
          <w:lang w:val="hr-HR"/>
        </w:rPr>
        <w:tab/>
        <w:t>Posebna upozorenja i mjere opreza pri upotrebi lijeka</w:t>
      </w:r>
    </w:p>
    <w:p w:rsidR="004D038C" w:rsidRPr="004D038C" w:rsidRDefault="004D038C" w:rsidP="004D038C">
      <w:pPr>
        <w:tabs>
          <w:tab w:val="left" w:pos="284"/>
          <w:tab w:val="center" w:pos="4320"/>
          <w:tab w:val="right" w:pos="8640"/>
        </w:tabs>
        <w:spacing w:before="80" w:after="80" w:line="240" w:lineRule="auto"/>
        <w:jc w:val="both"/>
        <w:rPr>
          <w:rFonts w:ascii="Times New Roman" w:eastAsia="Times New Roman" w:hAnsi="Times New Roman" w:cs="Times New Roman"/>
          <w:b/>
          <w:bCs/>
          <w:noProof/>
          <w:lang w:val="hr-HR"/>
        </w:rPr>
      </w:pPr>
      <w:r w:rsidRPr="004D038C">
        <w:rPr>
          <w:rFonts w:ascii="Times New Roman" w:eastAsia="Times New Roman" w:hAnsi="Times New Roman" w:cs="Times New Roman"/>
          <w:iCs/>
          <w:lang w:val="hr-HR"/>
        </w:rPr>
        <w:t>Kada se dabrafenib daje u kombinaciji sa trametinibom potrebno je pogledati Sažetak karakteristika lijeka za trametinib prije započinjanja kombinovane terapije. Za dodatne informacije o upozorenjima i mjerama opreza u vezi sa trametinibom, pogledajte Sažetak karakteristika lijeka za trametinib.</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Ispitivanje na BRAF V600</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Efikasnost i bezbjednost dabrafeniba nije potvrđena kod pacijenata sa BRAF melanomom </w:t>
      </w:r>
      <w:r w:rsidRPr="004D038C">
        <w:rPr>
          <w:rFonts w:ascii="Times New Roman" w:eastAsia="Times New Roman" w:hAnsi="Times New Roman" w:cs="Times New Roman"/>
          <w:i/>
          <w:lang w:val="hr-HR"/>
        </w:rPr>
        <w:t>wild type</w:t>
      </w:r>
      <w:r w:rsidRPr="004D038C">
        <w:rPr>
          <w:rFonts w:ascii="Times New Roman" w:eastAsia="Times New Roman" w:hAnsi="Times New Roman" w:cs="Times New Roman"/>
          <w:lang w:val="hr-HR"/>
        </w:rPr>
        <w:t xml:space="preserve"> </w:t>
      </w:r>
      <w:r w:rsidRPr="004D038C">
        <w:rPr>
          <w:rFonts w:ascii="Times New Roman" w:eastAsia="Times New Roman" w:hAnsi="Times New Roman" w:cs="Times New Roman"/>
          <w:sz w:val="24"/>
          <w:szCs w:val="24"/>
          <w:lang w:val="hr-HR"/>
        </w:rPr>
        <w:t xml:space="preserve">ili sa BRAF NSCLC </w:t>
      </w:r>
      <w:r w:rsidRPr="004D038C">
        <w:rPr>
          <w:rFonts w:ascii="Times New Roman" w:eastAsia="Times New Roman" w:hAnsi="Times New Roman" w:cs="Times New Roman"/>
          <w:i/>
          <w:sz w:val="24"/>
          <w:szCs w:val="24"/>
          <w:lang w:val="hr-HR"/>
        </w:rPr>
        <w:t>wild type</w:t>
      </w:r>
      <w:r w:rsidRPr="004D038C">
        <w:rPr>
          <w:rFonts w:ascii="Times New Roman" w:eastAsia="Times New Roman" w:hAnsi="Times New Roman" w:cs="Times New Roman"/>
          <w:lang w:val="hr-HR"/>
        </w:rPr>
        <w:t xml:space="preserve">, pa se zbog toga dabrafenib ne smije koristiti kod pacijenata sa BRAF melanomom </w:t>
      </w:r>
      <w:r w:rsidRPr="004D038C">
        <w:rPr>
          <w:rFonts w:ascii="Times New Roman" w:eastAsia="Times New Roman" w:hAnsi="Times New Roman" w:cs="Times New Roman"/>
          <w:i/>
          <w:lang w:val="hr-HR"/>
        </w:rPr>
        <w:t>wild type</w:t>
      </w:r>
      <w:r w:rsidRPr="004D038C">
        <w:rPr>
          <w:rFonts w:ascii="Times New Roman" w:eastAsia="Times New Roman" w:hAnsi="Times New Roman" w:cs="Times New Roman"/>
          <w:lang w:val="hr-HR"/>
        </w:rPr>
        <w:t xml:space="preserve"> </w:t>
      </w:r>
      <w:r w:rsidRPr="004D038C">
        <w:rPr>
          <w:rFonts w:ascii="Times New Roman" w:eastAsia="Times New Roman" w:hAnsi="Times New Roman" w:cs="Times New Roman"/>
          <w:sz w:val="24"/>
          <w:szCs w:val="24"/>
          <w:lang w:val="hr-HR"/>
        </w:rPr>
        <w:t xml:space="preserve">ili sa BRAF NSCLC </w:t>
      </w:r>
      <w:r w:rsidRPr="004D038C">
        <w:rPr>
          <w:rFonts w:ascii="Times New Roman" w:eastAsia="Times New Roman" w:hAnsi="Times New Roman" w:cs="Times New Roman"/>
          <w:i/>
          <w:sz w:val="24"/>
          <w:szCs w:val="24"/>
          <w:lang w:val="hr-HR"/>
        </w:rPr>
        <w:t>wild type</w:t>
      </w:r>
      <w:r w:rsidRPr="004D038C">
        <w:rPr>
          <w:rFonts w:ascii="Times New Roman" w:eastAsia="Times New Roman" w:hAnsi="Times New Roman" w:cs="Times New Roman"/>
          <w:lang w:val="hr-HR"/>
        </w:rPr>
        <w:t xml:space="preserve"> (vidjeti odjeljke 4.2 i 5.1).</w:t>
      </w:r>
    </w:p>
    <w:p w:rsidR="004D038C" w:rsidRPr="004D038C" w:rsidRDefault="004D038C" w:rsidP="004D038C">
      <w:pPr>
        <w:widowControl w:val="0"/>
        <w:spacing w:after="0" w:line="240" w:lineRule="auto"/>
        <w:ind w:left="567" w:hanging="567"/>
        <w:jc w:val="both"/>
        <w:rPr>
          <w:rFonts w:ascii="Times New Roman" w:eastAsia="Times New Roman" w:hAnsi="Times New Roman" w:cs="Times New Roman"/>
          <w:b/>
          <w:lang w:val="hr-HR"/>
        </w:rPr>
      </w:pPr>
    </w:p>
    <w:p w:rsidR="004D038C" w:rsidRPr="004D038C" w:rsidRDefault="004D038C" w:rsidP="000F555B">
      <w:pPr>
        <w:spacing w:after="0"/>
        <w:jc w:val="both"/>
        <w:rPr>
          <w:rFonts w:ascii="Times New Roman" w:hAnsi="Times New Roman" w:cs="Times New Roman"/>
          <w:u w:val="single"/>
          <w:lang w:val="hr-HR"/>
        </w:rPr>
      </w:pPr>
      <w:r w:rsidRPr="004D038C">
        <w:rPr>
          <w:rFonts w:ascii="Times New Roman" w:hAnsi="Times New Roman" w:cs="Times New Roman"/>
          <w:u w:val="single"/>
          <w:lang w:val="hr-HR"/>
        </w:rPr>
        <w:t>Dabrafenib u kombinaciji sa trametinibom kod pacijenata sa melanomom kod kojih je došlo do progresije tokom terapije BRAF inhibitorom</w:t>
      </w:r>
    </w:p>
    <w:p w:rsidR="004D038C" w:rsidRPr="004D038C" w:rsidRDefault="004D038C" w:rsidP="004D038C">
      <w:pPr>
        <w:keepNext/>
        <w:spacing w:after="0" w:line="240" w:lineRule="auto"/>
        <w:jc w:val="both"/>
        <w:rPr>
          <w:rFonts w:ascii="Times New Roman" w:eastAsia="Times New Roman" w:hAnsi="Times New Roman" w:cs="Times New Roman"/>
          <w:noProof/>
          <w:lang w:val="hr-HR"/>
        </w:rPr>
      </w:pPr>
      <w:r w:rsidRPr="004D038C">
        <w:rPr>
          <w:rFonts w:ascii="Times New Roman" w:eastAsia="Times New Roman" w:hAnsi="Times New Roman" w:cs="Times New Roman"/>
          <w:noProof/>
          <w:lang w:val="hr-HR"/>
        </w:rPr>
        <w:t>Postoje ograničeni podaci o pacijentima koji su uzimali kombinaciju dabrafeniba i trametiniba, a kod kojih je došlo do progresije tokom prethodne terapije BRAF inhibitorom. Podaci ukazuju da će efikasnost kombinovane terapije kod ovih pacijenata biti niža (vidjeti odjeljak 5.1). Zbog toga je potrebno razmotriti druge mogućnosti liječenja prije započinjanja kombinovane terapije kod pacijenata prethodno liječenih BRAF inhibitorom. Slijed terapija nakon progresije tokom terapije BRAF inhibitorom nije ustanovljen.</w:t>
      </w:r>
    </w:p>
    <w:p w:rsidR="004D038C" w:rsidRPr="004D038C" w:rsidRDefault="004D038C" w:rsidP="004D038C">
      <w:pPr>
        <w:keepNext/>
        <w:widowControl w:val="0"/>
        <w:spacing w:after="0" w:line="240" w:lineRule="auto"/>
        <w:jc w:val="both"/>
        <w:rPr>
          <w:rFonts w:ascii="Times New Roman" w:eastAsia="Times New Roman" w:hAnsi="Times New Roman" w:cs="Times New Roman"/>
          <w:noProof/>
          <w:lang w:val="hr-HR"/>
        </w:rPr>
      </w:pPr>
    </w:p>
    <w:p w:rsidR="004D038C" w:rsidRPr="004D038C" w:rsidRDefault="004D038C" w:rsidP="004D038C">
      <w:pPr>
        <w:keepNext/>
        <w:widowControl w:val="0"/>
        <w:spacing w:after="0" w:line="240" w:lineRule="auto"/>
        <w:jc w:val="both"/>
        <w:rPr>
          <w:rFonts w:ascii="Times New Roman" w:eastAsia="Times New Roman" w:hAnsi="Times New Roman" w:cs="Times New Roman"/>
          <w:noProof/>
          <w:u w:val="single"/>
          <w:lang w:val="hr-HR"/>
        </w:rPr>
      </w:pPr>
      <w:r w:rsidRPr="004D038C">
        <w:rPr>
          <w:rFonts w:ascii="Times New Roman" w:eastAsia="Times New Roman" w:hAnsi="Times New Roman" w:cs="Times New Roman"/>
          <w:noProof/>
          <w:u w:val="single"/>
          <w:lang w:val="hr-HR"/>
        </w:rPr>
        <w:t>Trametinib u kombinaciji s dabrafenibom kod pacijenata sa metastazama u mozgu</w:t>
      </w:r>
    </w:p>
    <w:p w:rsidR="004D038C" w:rsidRPr="004D038C" w:rsidRDefault="004D038C" w:rsidP="004D038C">
      <w:pPr>
        <w:keepNext/>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Bezbjednost i efikasnost kombinovane terapije dabrafeniba i trametiniba nijesu bile procijenjene kod pacijenata sa melanomom pozitivnim na BRAF V600 mutaciju koji je metastazirao u mozak.</w:t>
      </w:r>
    </w:p>
    <w:p w:rsidR="004D038C" w:rsidRPr="004D038C" w:rsidRDefault="004D038C" w:rsidP="004D038C">
      <w:pPr>
        <w:keepNext/>
        <w:spacing w:after="0" w:line="240" w:lineRule="auto"/>
        <w:jc w:val="both"/>
        <w:rPr>
          <w:rFonts w:ascii="Times New Roman" w:eastAsia="Times New Roman" w:hAnsi="Times New Roman" w:cs="Times New Roman"/>
          <w:noProof/>
          <w:lang w:val="hr-HR"/>
        </w:rPr>
      </w:pPr>
    </w:p>
    <w:p w:rsidR="004D038C" w:rsidRPr="004D038C" w:rsidRDefault="004D038C" w:rsidP="004D038C">
      <w:pPr>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Novi tumori</w:t>
      </w: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Novi tumori, kožni i koji ne zahvataju kožu, mogu se javiti kada se dabrafenib uzima kao monoterapija ili u kombinaciji sa trametinibom.</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t>Planocelularni karcinom kože (cuSCC)</w:t>
      </w:r>
    </w:p>
    <w:p w:rsidR="000F555B" w:rsidRDefault="000F555B"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lang w:val="hr-HR"/>
        </w:rPr>
        <w:t>Kod pacijenata koji uzimaju dabrafenib kao monoterapiju ili u kombinaciji sa trametinibom zabilježeni su slučajevi planocelularnog karcinoma kože (cuSCC) (uključujući keratoakantom (vidjeti odjeljak 4.8). U studijama faze III MEK115306 i MEK116513 kod pacijenata sa metastatskim melanomom,  planocelularni karcinom kože (cuSCC)</w:t>
      </w:r>
      <w:r w:rsidRPr="004D038C">
        <w:rPr>
          <w:rFonts w:ascii="Times New Roman" w:eastAsia="Times New Roman" w:hAnsi="Times New Roman" w:cs="Times New Roman"/>
          <w:b/>
          <w:lang w:val="hr-HR"/>
        </w:rPr>
        <w:t xml:space="preserve"> </w:t>
      </w:r>
      <w:r w:rsidRPr="004D038C">
        <w:rPr>
          <w:rFonts w:ascii="Times New Roman" w:eastAsia="Times New Roman" w:hAnsi="Times New Roman" w:cs="Times New Roman"/>
          <w:lang w:val="hr-HR"/>
        </w:rPr>
        <w:t xml:space="preserve">javljao se kod 10% (22/211) pacijenata koji su uzimali dabrafenib kao monoterapiju i kod 18% (63/349) pacijenata koji su primali vemurafenib kao monoterapiju. U integrisanoj bezbjednosnoj populaciji pacijenata sa metastatskim melanomom i uznapredovalim nemikrocelularnim karcinomom pluća,  planocelularni karcinom (cuSCC) se javio kod 2% (13/641) pacijenata koji su uzimali dabrafenib u kombinaciji sa trametinibom. Medijana vremena do dijagnoze prve pojave planocelularnog karcinoma kože u </w:t>
      </w:r>
      <w:r w:rsidRPr="004D038C">
        <w:rPr>
          <w:rFonts w:ascii="Times New Roman" w:eastAsia="Times New Roman" w:hAnsi="Times New Roman" w:cs="Times New Roman"/>
          <w:lang w:val="hr-HR"/>
        </w:rPr>
        <w:lastRenderedPageBreak/>
        <w:t>studiji MEK115306 iznosila je 223 dana (opseg od 56 do 510 dana) u toku kombinovane primjene i 60 dana (opseg od 9 do 653 dana) u toku primjene dabrafeniba kao monotereapije.</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lang w:val="hr-HR"/>
        </w:rPr>
        <w:t>Savjetuje se pregled kože prije započinjanja terapije dabrafenibom</w:t>
      </w:r>
      <w:r w:rsidRPr="004D038C">
        <w:rPr>
          <w:rFonts w:ascii="Times New Roman" w:eastAsia="Times New Roman" w:hAnsi="Times New Roman" w:cs="Times New Roman"/>
          <w:color w:val="000000"/>
          <w:lang w:val="hr-HR"/>
        </w:rPr>
        <w:t xml:space="preserve">, a tokom liječenja kao i tokom perioda do šest mjeseci nakon završetka liječenja, preporučuju se redovni mjesečni pregledi zbog </w:t>
      </w:r>
      <w:r w:rsidRPr="004D038C">
        <w:rPr>
          <w:rFonts w:ascii="Times New Roman" w:eastAsia="Times New Roman" w:hAnsi="Times New Roman" w:cs="Times New Roman"/>
          <w:lang w:val="hr-HR"/>
        </w:rPr>
        <w:t>planocelularnog karcinoma kože (cuSCC)</w:t>
      </w:r>
      <w:r w:rsidRPr="004D038C">
        <w:rPr>
          <w:rFonts w:ascii="Times New Roman" w:eastAsia="Times New Roman" w:hAnsi="Times New Roman" w:cs="Times New Roman"/>
          <w:color w:val="000000"/>
          <w:lang w:val="hr-HR"/>
        </w:rPr>
        <w:t xml:space="preserve">. Praćenje nakon prekida terapije dabrafenibom treba nastaviti tokom perioda od 6 mjeseci ili do započinjanja terapije drugim antineoplastičnim agensom. </w:t>
      </w: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slučaju pojave planocelularnog karcinoma kože (cuSCC) potrebno je uraditi dermatološku eksciziju, a liječenje dabrafenibom ili kada se uzima kombinovana terapija dabrafeniba i trametiniba, nastaviti bez prilagođavanja doze. Pacijente je potrebno savjetovati da o pojavi novih lezija odmah obavijeste svog ljekara.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t>Novi primarni melanom</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U kliničkim ispitivanjima zabilježeni su slučajevi novih primarnih melanoma kod pacijenata koji su uzimali dabrafenib. U kliničkim ispitivanjima metastatskog melanoma, ti slučajevi su identifikovani tokom prvih 5 mjeseci monoterapije dabrafenibom. Slučajevi novog primarnog melanoma mogu biti odstranjeni ekscizijom i ne zahtijevaju prilagođavanje liječenja. Praćenje kožnih lezija potrebno je sprovoditi prema preporukama navedenim za planocelularni karcinom kože (cuSCC).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t>Ne-kožni tumori</w:t>
      </w:r>
    </w:p>
    <w:p w:rsidR="000F555B" w:rsidRDefault="000F555B" w:rsidP="004D038C">
      <w:pPr>
        <w:widowControl w:val="0"/>
        <w:spacing w:after="0" w:line="240" w:lineRule="auto"/>
        <w:jc w:val="both"/>
        <w:rPr>
          <w:rFonts w:ascii="Times New Roman" w:eastAsia="Times New Roman" w:hAnsi="Times New Roman" w:cs="Times New Roman"/>
          <w:i/>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
          <w:lang w:val="hr-HR"/>
        </w:rPr>
        <w:t>In vitro</w:t>
      </w:r>
      <w:r w:rsidRPr="004D038C">
        <w:rPr>
          <w:rFonts w:ascii="Times New Roman" w:eastAsia="Times New Roman" w:hAnsi="Times New Roman" w:cs="Times New Roman"/>
          <w:lang w:val="hr-HR"/>
        </w:rPr>
        <w:t xml:space="preserve"> ispitivanja su pokazala paradoksalnu aktivaciju signalnog puta mitogen-aktivirane protein kinaze (MAP kinaza) u ćelijskim linijama BRAF </w:t>
      </w:r>
      <w:r w:rsidRPr="004D038C">
        <w:rPr>
          <w:rFonts w:ascii="Times New Roman" w:eastAsia="Times New Roman" w:hAnsi="Times New Roman" w:cs="Times New Roman"/>
          <w:i/>
          <w:lang w:val="hr-HR"/>
        </w:rPr>
        <w:t>wild type</w:t>
      </w:r>
      <w:r w:rsidRPr="004D038C">
        <w:rPr>
          <w:rFonts w:ascii="Times New Roman" w:eastAsia="Times New Roman" w:hAnsi="Times New Roman" w:cs="Times New Roman"/>
          <w:lang w:val="hr-HR"/>
        </w:rPr>
        <w:t xml:space="preserve"> sa RAS mutacijama nakon izlaganja BRAF inhibitorima. Izlaganje dabrafenibu kada su prisutne RAS mutacije može dovesti do povećanog rizika od razvoja malignih bolesti koje ne zahvataju kožu (vidjeti odjeljak 4.8). Razvoj malignih bolesti povezanih s RAS-om prijavljen je u kliničkim ispitivanjima i uz primjenu drugog BRAF inhibitora (hronična mijelomonocitna leukemija i ne-kožni planocelularni karcinom glave i vrata), kao i sa dabrafenib monoterapijom (adenokarcinom pankreasa, adenokarcinomom žučnih kanala) kao i u slučajevima kombinacije dabrafeniba sa MEK inhibitorom trametinibom (kolorektalni karcinom, karcinom pankreasa). </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Prije početka liječenja pacijenti moraju biti podvrgnuti pregledu glave i vrata, najmanje vizuelnoj inspekciji sluznice usne duplje i palpaciji limfnih čvorova, kao i snimanju grudnog koša/abdomena kompjuterizovanom tomografijom (CT). Tokom liječenja pacijente je potrebno klinički pratiti odgovarajućim postupcima, koji mogu uključivati pregled glave i vrata svaka 3 mjeseca i CT grudnog koša/abdomena svakih 6 mjeseci. Preporučuju se analni pregledi i pregledi male karlice (kod žena) prije i na kraju liječenja ili ako postoji klinička indikacija. U slučaju kliničke indikacije potrebna je kontrola kompletne krvne slike.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Trebalo bi pažljivo razmotriti koristi i rizike prije primjene dabrafeniba kod pacijenata sa prethodnim ili istovremeno prisutnim karcinomom povezanim sa RAS mutacijama. Prilagođavanje doze trametiniba nije potrebno kada se uzima u kombinaciji sa dabrafenibom.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Nakon prekida primjene dabrafeniba, potrebno je nastaviti sa praćenjem sekundarnih/rekurentnih malignih bolesti koje ne zahvataju kožu u periodu do 6 mjeseci ili do početka terapije drugim antineoplasticima. Sa patološkim nalazima se mora postupiti u skladu sa važećim kliničkim smjernicama.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0F555B" w:rsidRDefault="000F555B" w:rsidP="004D038C">
      <w:pPr>
        <w:widowControl w:val="0"/>
        <w:spacing w:after="0" w:line="240" w:lineRule="auto"/>
        <w:jc w:val="both"/>
        <w:rPr>
          <w:rFonts w:ascii="Times New Roman" w:eastAsia="Times New Roman" w:hAnsi="Times New Roman" w:cs="Times New Roman"/>
          <w:u w:val="single"/>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lastRenderedPageBreak/>
        <w:t>Krvarenje</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Kod pacijenata koji su uzimali kombinovanu terapiju dabrafeniba i trametiniba zabilježena su krvarenja, uključujući teška i smrtonosna krvarenja (vidjeti odjeljak 4.8). P</w:t>
      </w:r>
      <w:r w:rsidRPr="004D038C">
        <w:rPr>
          <w:rFonts w:ascii="Times New Roman" w:eastAsia="Times New Roman" w:hAnsi="Times New Roman" w:cs="Times New Roman"/>
          <w:iCs/>
          <w:lang w:val="hr-HR"/>
        </w:rPr>
        <w:t xml:space="preserve">ogledajte Sažetak karakteristika lijeka za trametinib </w:t>
      </w:r>
      <w:r w:rsidRPr="004D038C">
        <w:rPr>
          <w:rFonts w:ascii="Times New Roman" w:eastAsia="Times New Roman" w:hAnsi="Times New Roman" w:cs="Times New Roman"/>
          <w:lang w:val="hr-HR"/>
        </w:rPr>
        <w:t>za dodatne informacije (vidjeti odjeljak 4.4).</w:t>
      </w:r>
    </w:p>
    <w:p w:rsidR="004D038C" w:rsidRPr="004D038C" w:rsidRDefault="004D038C" w:rsidP="004D038C">
      <w:pPr>
        <w:widowControl w:val="0"/>
        <w:spacing w:after="0" w:line="240" w:lineRule="auto"/>
        <w:jc w:val="both"/>
        <w:rPr>
          <w:rFonts w:ascii="Times New Roman" w:eastAsia="Times New Roman" w:hAnsi="Times New Roman" w:cs="Times New Roman"/>
          <w:sz w:val="24"/>
          <w:szCs w:val="24"/>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Oštećenje vida</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U kliničkim ispitivanjima zabilježene su oftalmološke reakcije koje uključuju uveitis, iridociklitis i/ili iritis kod pacijenata koji su uzimali dabrafenib kao monoterapiju i u kombinaciji sa trametinibom. Tokom terapije pacijente treba rutinski pratiti na znakove i simptome povezane sa vidom (poput promjena vida, fotofobije i bola u oku).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Kod pacijenata sa uveitisom nije potrebno prilagođavanje doze sve dok se efikasnom lokalnom terapijom kontroliše upala oka. U slučaju uveitisa koji ne reaguje na lokalnu terapiju oka, potrebno je prekinuti terapiju dabrafenibom dok se ne zaustavi upala oka, a potom započeti primjenu dabrafeniba dozom smanjenom za jedan dozni nivo (vidjeti odjeljak 4.4). Prilagođavanje doze trametiniba nije potrebno kada se uzima u kombinaciji sa dabrafenibom, a nakon postavljanja dijagnoze uveitisa.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RPED i RVO mogu se javiti tokom primjene dabrafeniba u kombinaciji sa trametinibom. P</w:t>
      </w:r>
      <w:r w:rsidRPr="004D038C">
        <w:rPr>
          <w:rFonts w:ascii="Times New Roman" w:eastAsia="Times New Roman" w:hAnsi="Times New Roman" w:cs="Times New Roman"/>
          <w:iCs/>
          <w:lang w:val="hr-HR"/>
        </w:rPr>
        <w:t xml:space="preserve">ogledajte Sažetak karakteristika lijeka za trametinib </w:t>
      </w:r>
      <w:r w:rsidRPr="004D038C">
        <w:rPr>
          <w:rFonts w:ascii="Times New Roman" w:eastAsia="Times New Roman" w:hAnsi="Times New Roman" w:cs="Times New Roman"/>
          <w:lang w:val="hr-HR"/>
        </w:rPr>
        <w:t xml:space="preserve">(vidjeti odjeljak 4.4). Prilagođavanje doze dabrafeniba nije potrebno kada se uzima u kombinaciji sa trametinibom, a nakon postavljanja dijagnoze RPED ili RVO.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u w:val="single"/>
          <w:lang w:val="hr-HR"/>
        </w:rPr>
        <w:t>Pireksija</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kliničkim ispitivanjima zabilježena je groznica tokom primjene monoterapije dabrafenibom ili u kombinaciji sa trametinibom (vidjeti odjeljak 4.8). Kod 1% pacijenata u kliničkim ispitivanjima primjene dabrafeniba kao monoterapije, identifikovani su ozbiljni ne-infektivni febrilni događaji definisani kao groznica praćena jakom drhtavicom, dehidratacijom, hipotenzijom i/ili prerenalnom akutnom bubrežnom insuficijencijom kod pacijenata čije su početne vrijednosti bubrežne funkcije bile normalne (vidjeti odjeljak 4.8). Navedeni slučajevi ozbiljne neinfektivne groznice obično su se javljali tokom prvog mjeseca monoterapije dabrafenibom. Pacijenti kod kojih se javila ozbiljna neinfektivna groznica dobro su reagovali na prekid doziranja i/ili smanjenje doze i suportivnu njegu.</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Incidenca i ozbiljnost pireksije povećavaju se pri primjeni kombinacije ljekova. U studiji MEK115306 u grupi pacijenata sa metastatskim melanomom koji su primali kombinovanu terapiju pireksija je prijavljena kod 57% (119/209) pacijenata, od toga 7% gradusa 3 naspram grupe koja je primala monoterapiju dabrafenibom gdje je 33% (69/211) pacijenata prijavilo pireksiju, od toga 2% gradusa 3. U studiji faze II BRF113928 kod pacijenata sa uznapredovalim nemikrocelularnim karcinomom pluća (NSCLC) incidenca i težina pireksije su bile blago povećane kada je dabrafenib primjenjivan u kombinaciji sa trametinibom (48%, 3% gradusa 3) u poređenju sa dabrafenibom kao monoterapijom (39%, 2% gradusa 3).</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Kod pacijenata sa metastatskim melanomom koji su primali dabrafenib u kombinaciji sa trametinibom kod kojih se pojavila povišena temperatura, otprilike polovina prvog pojavljivanja pireksije dogodila se tokom prvog mjeseca liječenja i otprilike trećina pacijenata je imala 3 ili više događaja.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Terapija dabrafenibom mora se prekinuti u slučaju porasta tjelesne temperature pacijenta na ≥38.5ºC (vidjeti </w:t>
      </w:r>
      <w:r w:rsidRPr="004D038C">
        <w:rPr>
          <w:rFonts w:ascii="Times New Roman" w:eastAsia="Times New Roman" w:hAnsi="Times New Roman" w:cs="Times New Roman"/>
          <w:lang w:val="hr-HR"/>
        </w:rPr>
        <w:lastRenderedPageBreak/>
        <w:t xml:space="preserve">tabelu 2 za smjernice u prilagođavanju doze). Pacijente je potrebno pregledati, tražeći znakove i simptome infekcije. Dabrafenib se može ponovo dati, nakon što se groznica povuče uz odgovarajuću profilaksu nesteroidnim anti-inflamatornim ljekovima ili paracetamolom. Potrebno je razmotriti primjenu oralnih kortikosteoida u slučajevima kada antipiretici nijesu dovoljni. Ako je groznica povezana sa drugim teškim znacima ili simptomima, nakon njenog povlačenja i prema kliničkoj indikaciji, dabrafenib se može ponovno uvesti u terapiju u smanjenoj dozi (vidjeti odjeljak 4.2). Prilagođavanje doze trametiniba nije potrebno kada se uzima u kombinaciji sa dabrafenibom.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Smanjenje ejekcione frakcije lijeve komore (LVEF)/ disfunkcija lijeve komore</w:t>
      </w:r>
    </w:p>
    <w:p w:rsidR="000F555B" w:rsidRDefault="000F555B" w:rsidP="004D038C">
      <w:pPr>
        <w:widowControl w:val="0"/>
        <w:spacing w:after="0" w:line="240" w:lineRule="auto"/>
        <w:jc w:val="both"/>
        <w:rPr>
          <w:rFonts w:ascii="Times New Roman" w:eastAsia="Times New Roman" w:hAnsi="Times New Roman" w:cs="Times New Roman"/>
          <w:iCs/>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Cs/>
          <w:lang w:val="hr-HR"/>
        </w:rPr>
        <w:t xml:space="preserve">Kada se dabrafenib primjenjuje u kombinaciji sa trametinibom prijavljeni su slučajevi smanjenja ejekcione frakcije lijeve komore (LVEF) (vidjeti odjeljak 4.8). Pogledajte Sažetak karakteristika lijeka za trametinib (odjeljak 4.2) za dodatne informacije. </w:t>
      </w:r>
      <w:r w:rsidRPr="004D038C">
        <w:rPr>
          <w:rFonts w:ascii="Times New Roman" w:eastAsia="Times New Roman" w:hAnsi="Times New Roman" w:cs="Times New Roman"/>
          <w:lang w:val="hr-HR"/>
        </w:rPr>
        <w:t xml:space="preserve">Prilagođavanje doze dabrafeniba nije potrebno kada se uzima u kombinaciji sa trametinibom. </w:t>
      </w: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Oštećenje bubrega</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Oštećenje bubrega je zabilježeno kod &lt;1% pacijenata liječenih samo dabrafenibom, a kod ≤1% pacijenata koji su uzimali kombinovanu terapiju dabrafeniba i trametiniba. Zabilježeni slučajevi su obično bili povezani sa pireksijom i dehidratacijom i dobro su reagovali na prekid primjene lijeka i opšte suportivne mjere. Prijavljen je granulomatozni nefritis (vidjeti odjeljak 4.8). Tokom liječenja pacijenata potrebno je redovno kontrolisati koncentraciju kreatinina u serumu. U slučaju porasta serumskog kreatinina, možda će biti potrebno prekinuti liječenje dabrafenibom, ako je to klinički indikovano. Dabrafenib nije ispitivan kod pacijenata sa bubrežnom insuficijencijom (definisana kao kreatinin &gt;1.5 x GGN - gornja granica normalne vrijednosti), pa je potreban oprez u ovakvim slučajevima (vidjeti odjeljak 5.2).</w:t>
      </w:r>
    </w:p>
    <w:p w:rsidR="000F555B" w:rsidRDefault="000F555B"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Događaji na nivou jetre</w:t>
      </w: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Neželjeni događaji na nivou jetre zabilježeni su u kliničkim ispitivanjima kombinovane terapije dabrafeniba i trametiniba (vidjeti odjeljak 4.8). Preporučuje se praćenje funkcije jetre pacijentima koji primaju kombinovanu terapiju dabrafeniba i trametiniba na svake 4 nedjelje tokom 6 mjeseci od započinjanja terapije trametinibom. Praćenje funkcije jetre može se nastaviti i nakon toga ukoliko je klinički indikovano. Za dodatne informacije pogledajte Sažetak karakteristika lijeka za trametinib. </w:t>
      </w:r>
    </w:p>
    <w:p w:rsidR="004D038C" w:rsidRPr="004D038C" w:rsidRDefault="004D038C"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Hipertenzija</w:t>
      </w:r>
    </w:p>
    <w:p w:rsidR="000F555B" w:rsidRDefault="000F555B"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lang w:val="hr-HR"/>
        </w:rPr>
        <w:t>Povećanje krvnog pritiska zabilježeno je u vezi kombinovane terapije dabrafeniba i trametiniba kod pacijenata sa postojećom hipertenzijom kao i kod pacijenata bez ranije prisutne hipertenzije (vidjeti odjeljak 4.8).</w:t>
      </w:r>
      <w:r w:rsidRPr="004D038C">
        <w:rPr>
          <w:rFonts w:ascii="Times New Roman" w:eastAsia="Times New Roman" w:hAnsi="Times New Roman" w:cs="Times New Roman"/>
          <w:iCs/>
          <w:lang w:val="hr-HR"/>
        </w:rPr>
        <w:t xml:space="preserve"> Pogledajte Sažetak karakteristika lijeka za trametinib za dodatne informacije.</w:t>
      </w:r>
    </w:p>
    <w:p w:rsidR="004D038C" w:rsidRPr="004D038C" w:rsidRDefault="004D038C"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Intersticijumska bolest pluća (ILD)/pneumonitis</w:t>
      </w:r>
    </w:p>
    <w:p w:rsidR="000F555B" w:rsidRDefault="000F555B"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Slučajevi pneumonitisa i intersticijumske bolesti pluća (ILD) zabilježeni su u kliničkim ispitivanjima kombinovane terapije dabrafeniba i trametiniba.</w:t>
      </w:r>
      <w:r w:rsidRPr="004D038C">
        <w:rPr>
          <w:rFonts w:ascii="Times New Roman" w:eastAsia="Times New Roman" w:hAnsi="Times New Roman" w:cs="Times New Roman"/>
          <w:iCs/>
          <w:lang w:val="hr-HR"/>
        </w:rPr>
        <w:t xml:space="preserve"> Pogledajte Sažetak karakteristika lijeka za trametinib, vidjeti </w:t>
      </w:r>
      <w:r w:rsidRPr="004D038C">
        <w:rPr>
          <w:rFonts w:ascii="Times New Roman" w:eastAsia="Times New Roman" w:hAnsi="Times New Roman" w:cs="Times New Roman"/>
          <w:iCs/>
          <w:lang w:val="hr-HR"/>
        </w:rPr>
        <w:lastRenderedPageBreak/>
        <w:t xml:space="preserve">odjeljak 4.4 za dodatne informacije. Kada se dabrafenib koristi u kombinovanoj terapiji sa trametinibom, uzimanje </w:t>
      </w:r>
      <w:r w:rsidRPr="004D038C">
        <w:rPr>
          <w:rFonts w:ascii="Times New Roman" w:eastAsia="Times New Roman" w:hAnsi="Times New Roman" w:cs="Times New Roman"/>
          <w:lang w:val="hr-HR"/>
        </w:rPr>
        <w:t>dabrafeniba može se nastaviti u istoj dozi.</w:t>
      </w: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Osip</w:t>
      </w:r>
    </w:p>
    <w:p w:rsidR="000F555B" w:rsidRDefault="000F555B"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Osip je zabilježen kod oko 25% pacijenata u kliničkim studijama koji su uzimali kombinovanu terapiju dabrafeniba i trametiniba. Za dodatne informacije p</w:t>
      </w:r>
      <w:r w:rsidRPr="004D038C">
        <w:rPr>
          <w:rFonts w:ascii="Times New Roman" w:eastAsia="Times New Roman" w:hAnsi="Times New Roman" w:cs="Times New Roman"/>
          <w:iCs/>
          <w:lang w:val="hr-HR"/>
        </w:rPr>
        <w:t xml:space="preserve">ogledajte Sažetak karakteristika lijeka za trametinib </w:t>
      </w:r>
      <w:r w:rsidRPr="004D038C">
        <w:rPr>
          <w:rFonts w:ascii="Times New Roman" w:eastAsia="Times New Roman" w:hAnsi="Times New Roman" w:cs="Times New Roman"/>
          <w:lang w:val="hr-HR"/>
        </w:rPr>
        <w:t>odjeljak 4.4.</w:t>
      </w:r>
    </w:p>
    <w:p w:rsidR="004D038C" w:rsidRPr="004D038C" w:rsidRDefault="004D038C"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Rabdomioliza</w:t>
      </w:r>
    </w:p>
    <w:p w:rsidR="000F555B" w:rsidRDefault="000F555B"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Rabdomioliza je zabilježena kod pacijenata koji su uzimali kombinovanu terapiju dabrafeniba i trametiniba (vidjeti odjeljak 4.8). </w:t>
      </w:r>
      <w:r w:rsidRPr="004D038C">
        <w:rPr>
          <w:rFonts w:ascii="Times New Roman" w:eastAsia="Times New Roman" w:hAnsi="Times New Roman" w:cs="Times New Roman"/>
          <w:iCs/>
          <w:lang w:val="hr-HR"/>
        </w:rPr>
        <w:t>Za dodatne informacije pogledajte Sažetak karakteristika lijeka za trametinib odjeljak 4.4.</w:t>
      </w:r>
    </w:p>
    <w:p w:rsidR="004D038C" w:rsidRPr="004D038C" w:rsidRDefault="004D038C"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 xml:space="preserve">Pankreatitis </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Pankreatitis je zabilježen kod &lt;1% pacijenata koji su lije</w:t>
      </w:r>
      <w:r w:rsidRPr="004D038C">
        <w:rPr>
          <w:rFonts w:ascii="Times New Roman" w:eastAsia="Times New Roman" w:hAnsi="Times New Roman" w:cs="Times New Roman"/>
          <w:lang w:val="sr-Latn-RS"/>
        </w:rPr>
        <w:t xml:space="preserve">čeni </w:t>
      </w:r>
      <w:r w:rsidRPr="004D038C">
        <w:rPr>
          <w:rFonts w:ascii="Times New Roman" w:eastAsia="Times New Roman" w:hAnsi="Times New Roman" w:cs="Times New Roman"/>
          <w:lang w:val="hr-HR"/>
        </w:rPr>
        <w:t>dabrafenibom kao monoterapijom i u kombinaciji sa trametinibom u kliničkim ispitivanjima metastatskog melanoma i kod oko 4% pacijenata liječenih dabrafenibom u kombinaciji sa trametinibom u kliničkim ispitivanjima nemikrocelularnog karcinoma pluća (NSCLC). Jedan od događaja zabilježen je prvog dana doziranja dabrafeniba kod pacijenata sa melanomom i ponovio se nakon ponovnog uvođenja smanjene doze. Neobjašnjive bolove u abdomenu potrebno je hitno ispitati, a ispitivanja treba da uključe mjerenje amilaza i lipaza u serumu. Nakon epizode pankreatitisa, pacijente je potrebno pažljivo pratiti pri ponovnom</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lang w:val="hr-HR"/>
        </w:rPr>
        <w:t xml:space="preserve">uvođenju dabrafeniba. </w:t>
      </w:r>
    </w:p>
    <w:p w:rsidR="004D038C" w:rsidRPr="004D038C" w:rsidRDefault="004D038C" w:rsidP="004D038C">
      <w:pPr>
        <w:widowControl w:val="0"/>
        <w:spacing w:after="0" w:line="240" w:lineRule="auto"/>
        <w:jc w:val="both"/>
        <w:rPr>
          <w:rFonts w:ascii="Times New Roman" w:eastAsia="Times New Roman" w:hAnsi="Times New Roman" w:cs="Times New Roman"/>
          <w:sz w:val="24"/>
          <w:szCs w:val="24"/>
          <w:lang w:val="hr-HR"/>
        </w:rPr>
      </w:pPr>
    </w:p>
    <w:p w:rsidR="004D038C" w:rsidRPr="004D038C" w:rsidRDefault="004D038C" w:rsidP="004D038C">
      <w:pPr>
        <w:keepNext/>
        <w:spacing w:after="0" w:line="280" w:lineRule="atLeast"/>
        <w:jc w:val="both"/>
        <w:rPr>
          <w:rFonts w:ascii="Times New Roman" w:eastAsia="Times New Roman" w:hAnsi="Times New Roman" w:cs="Times New Roman"/>
          <w:color w:val="000000"/>
          <w:u w:val="single"/>
          <w:lang w:val="hr-HR" w:eastAsia="en-GB"/>
        </w:rPr>
      </w:pPr>
      <w:r w:rsidRPr="004D038C">
        <w:rPr>
          <w:rFonts w:ascii="Times New Roman" w:eastAsia="Verdana" w:hAnsi="Times New Roman" w:cs="Times New Roman"/>
          <w:color w:val="000000"/>
          <w:u w:val="single"/>
          <w:lang w:val="hr-HR" w:eastAsia="en-GB"/>
        </w:rPr>
        <w:t>Duboka venska tromboza</w:t>
      </w:r>
      <w:r w:rsidRPr="004D038C">
        <w:rPr>
          <w:rFonts w:ascii="Times New Roman" w:eastAsia="Times New Roman" w:hAnsi="Times New Roman" w:cs="Times New Roman"/>
          <w:color w:val="000000"/>
          <w:u w:val="single"/>
          <w:lang w:val="hr-HR" w:eastAsia="en-GB"/>
        </w:rPr>
        <w:t xml:space="preserve"> (DVT)/ plućna embolija (PE)</w:t>
      </w:r>
    </w:p>
    <w:p w:rsidR="000F555B" w:rsidRDefault="000F555B" w:rsidP="004D038C">
      <w:pPr>
        <w:keepNext/>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 xml:space="preserve">Plućna embolija ili </w:t>
      </w:r>
      <w:r w:rsidRPr="004D038C">
        <w:rPr>
          <w:rFonts w:ascii="Times New Roman" w:eastAsia="Verdana" w:hAnsi="Times New Roman" w:cs="Times New Roman"/>
          <w:color w:val="000000"/>
          <w:lang w:val="hr-HR" w:eastAsia="en-GB"/>
        </w:rPr>
        <w:t>duboka venska tromboza</w:t>
      </w:r>
      <w:r w:rsidRPr="004D038C">
        <w:rPr>
          <w:rFonts w:ascii="Times New Roman" w:eastAsia="Times New Roman" w:hAnsi="Times New Roman" w:cs="Times New Roman"/>
          <w:color w:val="000000"/>
          <w:lang w:val="hr-HR" w:eastAsia="en-GB"/>
        </w:rPr>
        <w:t xml:space="preserve"> mogu se javiti tokom primjene dabrafeniba u kombinaciji sa trametinibom. Ako se kod pacijenta pojave simptomi embolije pluća ili tromboze dubokih vena kao što je nedostatak vazduha, bol u grudima, oticanje ekstremiteta, treba odmah da potraži medicinsku pomoć. Odmah prekinuti primjenu trametiniba i dabrafeniba kod životno ugrožavajuće embolije pluća. </w:t>
      </w: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widowControl w:val="0"/>
        <w:spacing w:after="0" w:line="280" w:lineRule="atLeast"/>
        <w:jc w:val="both"/>
        <w:rPr>
          <w:rFonts w:ascii="Times New Roman" w:eastAsia="Verdana" w:hAnsi="Times New Roman" w:cs="Times New Roman"/>
          <w:color w:val="000000"/>
          <w:u w:val="single"/>
          <w:lang w:val="hr-HR" w:eastAsia="en-GB"/>
        </w:rPr>
      </w:pPr>
      <w:r w:rsidRPr="004D038C">
        <w:rPr>
          <w:rFonts w:ascii="Times New Roman" w:eastAsia="Verdana" w:hAnsi="Times New Roman" w:cs="Times New Roman"/>
          <w:color w:val="000000"/>
          <w:u w:val="single"/>
          <w:lang w:val="hr-HR" w:eastAsia="en-GB"/>
        </w:rPr>
        <w:t>Gastrointestinalni poremećaji</w:t>
      </w:r>
    </w:p>
    <w:p w:rsidR="000F555B" w:rsidRDefault="000F555B" w:rsidP="004D038C">
      <w:pPr>
        <w:widowControl w:val="0"/>
        <w:spacing w:after="0" w:line="280" w:lineRule="atLeast"/>
        <w:jc w:val="both"/>
        <w:rPr>
          <w:rFonts w:ascii="Times New Roman" w:eastAsia="Verdana" w:hAnsi="Times New Roman" w:cs="Times New Roman"/>
          <w:color w:val="000000"/>
          <w:lang w:val="hr-HR" w:eastAsia="en-GB"/>
        </w:rPr>
      </w:pPr>
    </w:p>
    <w:p w:rsidR="004D038C" w:rsidRPr="004D038C" w:rsidRDefault="004D038C" w:rsidP="004D038C">
      <w:pPr>
        <w:widowControl w:val="0"/>
        <w:spacing w:after="0" w:line="280" w:lineRule="atLeast"/>
        <w:jc w:val="both"/>
        <w:rPr>
          <w:rFonts w:ascii="Times New Roman" w:eastAsia="Verdana" w:hAnsi="Times New Roman" w:cs="Times New Roman"/>
          <w:color w:val="000000"/>
          <w:lang w:val="hr-HR" w:eastAsia="en-GB"/>
        </w:rPr>
      </w:pPr>
      <w:r w:rsidRPr="004D038C">
        <w:rPr>
          <w:rFonts w:ascii="Times New Roman" w:eastAsia="Verdana" w:hAnsi="Times New Roman" w:cs="Times New Roman"/>
          <w:color w:val="000000"/>
          <w:lang w:val="hr-HR" w:eastAsia="en-GB"/>
        </w:rPr>
        <w:t>Kolitis i gastrointestinalne perforacije, uključujući fatalni ishod, prijavljeni su kod pacijenata koji su uzimali dabrafenib u kombinaciji sa trametinibom (vidjeti odjeljak 4.8). Za dodatne informacije pogledate Sažetak karakteristika lijeka za trametinib (vidjeti odjeljak 4.4).</w:t>
      </w: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keepNext/>
        <w:spacing w:after="0" w:line="280" w:lineRule="atLeast"/>
        <w:jc w:val="both"/>
        <w:rPr>
          <w:rFonts w:ascii="Times New Roman" w:eastAsia="Verdana" w:hAnsi="Times New Roman" w:cs="Times New Roman"/>
          <w:color w:val="000000"/>
          <w:u w:val="single"/>
          <w:lang w:val="hr-HR" w:eastAsia="en-GB"/>
        </w:rPr>
      </w:pPr>
      <w:r w:rsidRPr="004D038C">
        <w:rPr>
          <w:rFonts w:ascii="Times New Roman" w:eastAsia="Times New Roman" w:hAnsi="Times New Roman" w:cs="Times New Roman"/>
          <w:color w:val="000000"/>
          <w:u w:val="single"/>
          <w:lang w:val="hr-HR" w:eastAsia="en-GB"/>
        </w:rPr>
        <w:t>Uticaj drugih lijekova na dabrafenib</w:t>
      </w:r>
    </w:p>
    <w:p w:rsidR="000F555B" w:rsidRDefault="000F555B" w:rsidP="004D038C">
      <w:pPr>
        <w:widowControl w:val="0"/>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widowControl w:val="0"/>
        <w:spacing w:after="0" w:line="280" w:lineRule="atLeast"/>
        <w:jc w:val="both"/>
        <w:rPr>
          <w:rFonts w:ascii="Times New Roman" w:eastAsia="Verdana" w:hAnsi="Times New Roman" w:cs="Times New Roman"/>
          <w:color w:val="000000"/>
          <w:lang w:val="hr-HR" w:eastAsia="en-GB"/>
        </w:rPr>
      </w:pPr>
      <w:r w:rsidRPr="004D038C">
        <w:rPr>
          <w:rFonts w:ascii="Times New Roman" w:eastAsia="Times New Roman" w:hAnsi="Times New Roman" w:cs="Times New Roman"/>
          <w:color w:val="000000"/>
          <w:lang w:val="hr-HR" w:eastAsia="en-GB"/>
        </w:rPr>
        <w:t>Dabrafenib je supstrat enzima CYP2C8 i CYP3A4. Kada je to moguće, potrebno je izbjegavati snažne induktore tih enzima pošto mogu smanjiti efikasnost dabrafeniba (vidjeti odjeljak 4.5).</w:t>
      </w:r>
    </w:p>
    <w:p w:rsidR="004D038C" w:rsidRPr="004D038C" w:rsidRDefault="004D038C" w:rsidP="004D038C">
      <w:pPr>
        <w:widowControl w:val="0"/>
        <w:spacing w:after="0" w:line="280" w:lineRule="atLeast"/>
        <w:jc w:val="both"/>
        <w:rPr>
          <w:rFonts w:ascii="Times New Roman" w:eastAsia="Verdana" w:hAnsi="Times New Roman" w:cs="Times New Roman"/>
          <w:color w:val="000000"/>
          <w:lang w:val="hr-HR" w:eastAsia="en-GB"/>
        </w:rPr>
      </w:pPr>
    </w:p>
    <w:p w:rsidR="004D038C" w:rsidRPr="004D038C" w:rsidRDefault="004D038C" w:rsidP="004D038C">
      <w:pPr>
        <w:widowControl w:val="0"/>
        <w:spacing w:after="0" w:line="280" w:lineRule="atLeast"/>
        <w:jc w:val="both"/>
        <w:rPr>
          <w:rFonts w:ascii="Times New Roman" w:eastAsia="Verdana" w:hAnsi="Times New Roman" w:cs="Times New Roman"/>
          <w:color w:val="000000"/>
          <w:lang w:val="hr-HR" w:eastAsia="en-GB"/>
        </w:rPr>
      </w:pPr>
      <w:r w:rsidRPr="004D038C">
        <w:rPr>
          <w:rFonts w:ascii="Times New Roman" w:eastAsia="Times New Roman" w:hAnsi="Times New Roman" w:cs="Times New Roman"/>
          <w:color w:val="000000"/>
          <w:lang w:val="hr-HR" w:eastAsia="en-GB"/>
        </w:rPr>
        <w:t xml:space="preserve">Faktori koji povećavaju vrijednosti pH u želucu mogu smanjiti bioraspoloživost dabrafeniba pa ih treba </w:t>
      </w:r>
      <w:r w:rsidRPr="004D038C">
        <w:rPr>
          <w:rFonts w:ascii="Times New Roman" w:eastAsia="Times New Roman" w:hAnsi="Times New Roman" w:cs="Times New Roman"/>
          <w:color w:val="000000"/>
          <w:lang w:val="hr-HR" w:eastAsia="en-GB"/>
        </w:rPr>
        <w:lastRenderedPageBreak/>
        <w:t>izbjegavati kada je to moguće (vidjeti odjeljak 4.5).</w:t>
      </w:r>
    </w:p>
    <w:p w:rsidR="004D038C" w:rsidRPr="004D038C" w:rsidRDefault="004D038C" w:rsidP="004D038C">
      <w:pPr>
        <w:widowControl w:val="0"/>
        <w:spacing w:after="0" w:line="280" w:lineRule="atLeast"/>
        <w:jc w:val="both"/>
        <w:rPr>
          <w:rFonts w:ascii="Times New Roman" w:eastAsia="Verdana" w:hAnsi="Times New Roman" w:cs="Times New Roman"/>
          <w:color w:val="000000"/>
          <w:lang w:val="hr-HR" w:eastAsia="en-GB"/>
        </w:rPr>
      </w:pPr>
    </w:p>
    <w:p w:rsidR="004D038C" w:rsidRPr="004D038C" w:rsidRDefault="004D038C" w:rsidP="004D038C">
      <w:pPr>
        <w:keepNext/>
        <w:spacing w:after="0" w:line="280" w:lineRule="atLeast"/>
        <w:jc w:val="both"/>
        <w:rPr>
          <w:rFonts w:ascii="Times New Roman" w:eastAsia="Times New Roman" w:hAnsi="Times New Roman" w:cs="Times New Roman"/>
          <w:color w:val="000000"/>
          <w:u w:val="single"/>
          <w:lang w:val="hr-HR" w:eastAsia="en-GB"/>
        </w:rPr>
      </w:pPr>
      <w:r w:rsidRPr="004D038C">
        <w:rPr>
          <w:rFonts w:ascii="Times New Roman" w:eastAsia="Times New Roman" w:hAnsi="Times New Roman" w:cs="Times New Roman"/>
          <w:color w:val="000000"/>
          <w:u w:val="single"/>
          <w:lang w:val="hr-HR" w:eastAsia="en-GB"/>
        </w:rPr>
        <w:t>Uticaj dabrafeniba na druge lijekove</w:t>
      </w:r>
    </w:p>
    <w:p w:rsidR="000F555B" w:rsidRDefault="000F555B" w:rsidP="004D038C">
      <w:pPr>
        <w:widowControl w:val="0"/>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widowControl w:val="0"/>
        <w:spacing w:after="0" w:line="280" w:lineRule="atLeast"/>
        <w:jc w:val="both"/>
        <w:rPr>
          <w:rFonts w:ascii="Times New Roman" w:eastAsia="Verdana" w:hAnsi="Times New Roman" w:cs="Times New Roman"/>
          <w:color w:val="000000"/>
          <w:lang w:val="hr-HR" w:eastAsia="en-GB"/>
        </w:rPr>
      </w:pPr>
      <w:r w:rsidRPr="004D038C">
        <w:rPr>
          <w:rFonts w:ascii="Times New Roman" w:eastAsia="Times New Roman" w:hAnsi="Times New Roman" w:cs="Times New Roman"/>
          <w:color w:val="000000"/>
          <w:lang w:val="hr-HR" w:eastAsia="en-GB"/>
        </w:rPr>
        <w:t xml:space="preserve">Dabrafenib indukuje metaboličke enzime što može dovesti do gubitka efikasnosti mnogih ljekova koji se uobičajeno koriste (vidjeti primjere u odjeljku 4.5). Pri započinjanju terapije dabrafenibom nužno je provjeriti pregled iskorišćenosti lijeka (DUR- eng. </w:t>
      </w:r>
      <w:r w:rsidRPr="004D038C">
        <w:rPr>
          <w:rFonts w:ascii="Times New Roman" w:eastAsia="Times New Roman" w:hAnsi="Times New Roman" w:cs="Times New Roman"/>
          <w:i/>
          <w:color w:val="000000"/>
          <w:lang w:val="hr-HR" w:eastAsia="en-GB"/>
        </w:rPr>
        <w:t>drug utilisation review</w:t>
      </w:r>
      <w:r w:rsidRPr="004D038C">
        <w:rPr>
          <w:rFonts w:ascii="Times New Roman" w:eastAsia="Times New Roman" w:hAnsi="Times New Roman" w:cs="Times New Roman"/>
          <w:color w:val="000000"/>
          <w:lang w:val="hr-HR" w:eastAsia="en-GB"/>
        </w:rPr>
        <w:t>). Ako nije moguće praćenje efikasnosti i prilagođavanje doze, treba izbjegavati istovremenu primjenu dabrafeniba i ljekova koji su osjetljivi supstrati određenih metaboličkih enzima ili transportera (vidjeti odjeljak 4.5).</w:t>
      </w: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Istovremena primjena dabrafeniba sa varfarinom može dovesti do smanjene izloženosti varfarinu. Potreban je oprez i preporučuju se dodatne kontrole INR-a (</w:t>
      </w:r>
      <w:r w:rsidRPr="004D038C">
        <w:rPr>
          <w:rFonts w:ascii="Times New Roman" w:eastAsia="Times New Roman" w:hAnsi="Times New Roman" w:cs="Times New Roman"/>
          <w:i/>
          <w:color w:val="000000"/>
          <w:lang w:val="hr-HR"/>
        </w:rPr>
        <w:t>International Normalized Ratio</w:t>
      </w:r>
      <w:r w:rsidRPr="004D038C">
        <w:rPr>
          <w:rFonts w:ascii="Times New Roman" w:eastAsia="Times New Roman" w:hAnsi="Times New Roman" w:cs="Times New Roman"/>
          <w:color w:val="000000"/>
          <w:lang w:val="hr-HR"/>
        </w:rPr>
        <w:t>), kod istovremene primjene dabrafeniba i varfarina, kao i nakon prekida primjene dabrafeniba (vidjeti odjeljak 4.5).</w:t>
      </w: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Istovremena primjena dabrafeniba sa digoksinom može dovesti do smanjene izloženosti digoksinu. Potreban je oprez i preporučuje se dodatno praćenje digoksina kada se digoksin (supstrat transportera) primjenjuje istovremeno sa dabrafenibom, kao i nakon prekida primjene dabrafeniba (vidjeti odjeljak 4.5).</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it-IT"/>
        </w:rPr>
      </w:pPr>
      <w:r w:rsidRPr="004D038C">
        <w:rPr>
          <w:rFonts w:ascii="Times New Roman" w:eastAsia="Times New Roman" w:hAnsi="Times New Roman" w:cs="Times New Roman"/>
          <w:b/>
          <w:bCs/>
          <w:lang w:val="it-IT"/>
        </w:rPr>
        <w:t xml:space="preserve">4.5. </w:t>
      </w:r>
      <w:r w:rsidRPr="004D038C">
        <w:rPr>
          <w:rFonts w:ascii="Times New Roman" w:eastAsia="Times New Roman" w:hAnsi="Times New Roman" w:cs="Times New Roman"/>
          <w:b/>
          <w:bCs/>
          <w:lang w:val="it-IT"/>
        </w:rPr>
        <w:tab/>
        <w:t>Interakcije sa drugim ljekovima i druge vrste interakcija</w:t>
      </w: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Uticaj drugih ljekova na dabrafenib</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lang w:val="hr-HR"/>
        </w:rPr>
        <w:t xml:space="preserve">Dabrafenib je supstrat za metaboličke enzime CYP2C8 i CYP3A4, dok su aktivni metaboliti, hidroksi dabrafenib i dezmetil dabrafenib supstrati CYP3A4. Ljekovi koji su snažni inhibitori ili induktori CYP2C8 ili CYP3A4 vjerovatno će povećati ili sniziti koncentracije dabrafeniba. Kada je to moguće, za vrijeme primjene dabrafeniba treba razmotriti alternativne faktore. Potreban je oprez pri istovremenoj primjeni snažnih inhibitora (npr. ketokonazol, gemfibrozil, nefazodon, klaritromicin, ritonavir, sakvinavir, telitromicin, itrakonazol, vorikonazol, posakonazol, atazanavir) sa dabrafenibom. </w:t>
      </w:r>
      <w:r w:rsidRPr="004D038C">
        <w:rPr>
          <w:rFonts w:ascii="Times New Roman" w:eastAsia="Times New Roman" w:hAnsi="Times New Roman" w:cs="Times New Roman"/>
          <w:color w:val="000000"/>
          <w:lang w:val="hr-HR"/>
        </w:rPr>
        <w:t>Izbjegavajte istovremenu primjenu dabrafeniba i snažnih induktora (npr. rifampicin, fenitoin, karbamazepin, fenobarbital ili kantarion (</w:t>
      </w:r>
      <w:r w:rsidRPr="004D038C">
        <w:rPr>
          <w:rFonts w:ascii="Times New Roman" w:eastAsia="Times New Roman" w:hAnsi="Times New Roman" w:cs="Times New Roman"/>
          <w:i/>
          <w:color w:val="000000"/>
          <w:lang w:val="hr-HR"/>
        </w:rPr>
        <w:t>Hypericum perforatum)</w:t>
      </w:r>
      <w:r w:rsidRPr="004D038C">
        <w:rPr>
          <w:rFonts w:ascii="Times New Roman" w:eastAsia="Times New Roman" w:hAnsi="Times New Roman" w:cs="Times New Roman"/>
          <w:color w:val="000000"/>
          <w:lang w:val="hr-HR"/>
        </w:rPr>
        <w:t>) enzima CYP2C8 ili CYP3A4.</w:t>
      </w: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Primjena ketokonazola (inhibitor CYP3A4) od 400 mg jednom dnevno sa dabrafenibom od 75 mg dva puta dnevno, rezultirala je porastom PIK-a dabrafeniba od 71% i porastom C</w:t>
      </w:r>
      <w:r w:rsidRPr="004D038C">
        <w:rPr>
          <w:rFonts w:ascii="Times New Roman" w:eastAsia="Times New Roman" w:hAnsi="Times New Roman" w:cs="Times New Roman"/>
          <w:vertAlign w:val="subscript"/>
          <w:lang w:val="hr-HR"/>
        </w:rPr>
        <w:t>max</w:t>
      </w:r>
      <w:r w:rsidRPr="004D038C">
        <w:rPr>
          <w:rFonts w:ascii="Times New Roman" w:eastAsia="Times New Roman" w:hAnsi="Times New Roman" w:cs="Times New Roman"/>
          <w:lang w:val="hr-HR"/>
        </w:rPr>
        <w:t xml:space="preserve"> dabrafeniba od 33% u odnosu na primjenu samog dabrafeniba od 75mg dva puta dnevno. Istovremena primjena rezultirala je porastom PIK-a hidroksi- i dezmetil dabrafeniba (porast od 82% odnosno 68%). Uočeno je smanjenje PIK-a karboksi dabrafeniba od 16%.</w:t>
      </w:r>
    </w:p>
    <w:p w:rsidR="004D038C" w:rsidRPr="004D038C" w:rsidRDefault="004D038C" w:rsidP="004D038C">
      <w:pPr>
        <w:widowControl w:val="0"/>
        <w:shd w:val="clear" w:color="auto" w:fill="FFFFFF"/>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hd w:val="clear" w:color="auto" w:fill="FFFFFF"/>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Primjena gemfibrozila (inhibitor CYP2C8) od 600 mg dva puta dnevno sa dabrafenibom od 75 mg dva puta dnevno, rezultirala je u povećanju PIK-a dabrafeniba od 47%, ali nije uticala na C</w:t>
      </w:r>
      <w:r w:rsidRPr="004D038C">
        <w:rPr>
          <w:rFonts w:ascii="Times New Roman" w:eastAsia="Times New Roman" w:hAnsi="Times New Roman" w:cs="Times New Roman"/>
          <w:vertAlign w:val="subscript"/>
          <w:lang w:val="hr-HR"/>
        </w:rPr>
        <w:t>max</w:t>
      </w:r>
      <w:r w:rsidRPr="004D038C">
        <w:rPr>
          <w:rFonts w:ascii="Times New Roman" w:eastAsia="Times New Roman" w:hAnsi="Times New Roman" w:cs="Times New Roman"/>
          <w:lang w:val="hr-HR"/>
        </w:rPr>
        <w:t xml:space="preserve"> dabrafeniba u poređenju sa primjenom samog dabrafeniba od 75mg dva puta dnevno. Gemfibrozil nije imao klinički značajan uticaj na sistemsku izloženost metabolitima dabrafeniba (≤13%).</w:t>
      </w:r>
    </w:p>
    <w:p w:rsidR="004D038C" w:rsidRPr="004D038C" w:rsidRDefault="004D038C" w:rsidP="004D038C">
      <w:pPr>
        <w:widowControl w:val="0"/>
        <w:shd w:val="clear" w:color="auto" w:fill="FFFFFF"/>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shd w:val="clear" w:color="auto" w:fill="FFFFFF"/>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Primjena rifampina (induktor CYP3A4/CYP2C8) 600 mg jednom dnevno sa dabrafenibom 150 mg dva puta dnevno, rezultirala je smanjenjem Cmax (27%) i PIK-a (34%) u ponavljenoj dozi dabrafeniba. Nijesu uočene značajne promjene PIK-a za hidroksi dabrafenib. Došlo je do povećanja PIK-a od 73% za karboksi dabrafenib i do smanjenja PIK-a od 30% za desmetil dabrafenib.</w:t>
      </w:r>
    </w:p>
    <w:p w:rsidR="004D038C" w:rsidRPr="004D038C" w:rsidRDefault="004D038C" w:rsidP="004D038C">
      <w:pPr>
        <w:widowControl w:val="0"/>
        <w:shd w:val="clear" w:color="auto" w:fill="FFFFFF"/>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lastRenderedPageBreak/>
        <w:t>Istovremena primjena ponavljanih doza dabrafeniba 150 mg dva puta dnevno i lijeka koji povećava pH, rabeprazola 40 mg jednom dnevno, rezultiralo je povećanjem PIK-a od 3% i  smanjenjem Cmax dabrafeniba od 12%. Ove promjene u PIK-u i Cmax dabrafeniba, ne smatraju se klinički značajnim. Ne očekuje se da će ljekovi koji mijenjaju pH gornjih djelova gastrointestinalnog trakta (GIT) (npr. inhibitori protonske pumpe, antagonisti H2-receptora, antacidi), smanjiti bioraspoloživost dabrafeniba.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 xml:space="preserve">Uticaj dabrafeniba na druge ljekove </w:t>
      </w:r>
    </w:p>
    <w:p w:rsidR="000F555B" w:rsidRDefault="000F555B" w:rsidP="004D038C">
      <w:pPr>
        <w:widowControl w:val="0"/>
        <w:spacing w:after="0" w:line="240" w:lineRule="auto"/>
        <w:jc w:val="both"/>
        <w:rPr>
          <w:rFonts w:ascii="Times New Roman" w:eastAsia="Times New Roman" w:hAnsi="Times New Roman" w:cs="Times New Roman"/>
          <w:lang w:val="hr-HR" w:eastAsia="en-GB"/>
        </w:rPr>
      </w:pPr>
    </w:p>
    <w:p w:rsidR="004D038C" w:rsidRPr="004D038C" w:rsidRDefault="004D038C" w:rsidP="004D038C">
      <w:pPr>
        <w:widowControl w:val="0"/>
        <w:spacing w:after="0" w:line="240" w:lineRule="auto"/>
        <w:jc w:val="both"/>
        <w:rPr>
          <w:rFonts w:ascii="Times New Roman" w:eastAsia="Verdana" w:hAnsi="Times New Roman" w:cs="Times New Roman"/>
          <w:lang w:val="hr-HR" w:eastAsia="en-GB"/>
        </w:rPr>
      </w:pPr>
      <w:r w:rsidRPr="004D038C">
        <w:rPr>
          <w:rFonts w:ascii="Times New Roman" w:eastAsia="Times New Roman" w:hAnsi="Times New Roman" w:cs="Times New Roman"/>
          <w:lang w:val="hr-HR" w:eastAsia="en-GB"/>
        </w:rPr>
        <w:t>Dabrafenib indukuje enzime i povećava sintezu enzima za metabolisanje ljekova uključujući CYP3A4, CYP2Cs i CYP2B6 i može povećati sintezu transportera. To rezultira smanjenim plazma nivoima ljekova koji se metabolišu putem tih enzima, a može uticati i na neke ljekove koji koriste transportere. Smanjenje koncentracija u plazmi može dovesti do gubitka ili smanjenog kliničkog dejstva tih ljekova. Postoji takođe i rizik od povećanog stvaranja aktivnih metabolita navedenih ljekova. Enzimi koji mogu biti indukovani uključuju CYP3A u jetri i crijevima, CYP2B6, CYP2C8, CYP2C9, CYP2C19, i UGT enzime (glukuronid konjugujući enzimi). Prenosni protein Pgp takođe može biti indukovan, kao i drugi transporteri, npr. MRP-2, BCRP i OATP1B1/1B3.</w:t>
      </w:r>
    </w:p>
    <w:p w:rsidR="004D038C" w:rsidRPr="004D038C" w:rsidRDefault="004D038C" w:rsidP="004D038C">
      <w:pPr>
        <w:widowControl w:val="0"/>
        <w:spacing w:after="0" w:line="240" w:lineRule="auto"/>
        <w:jc w:val="both"/>
        <w:rPr>
          <w:rFonts w:ascii="Times New Roman" w:eastAsia="Times New Roman" w:hAnsi="Times New Roman" w:cs="Times New Roman"/>
          <w:i/>
          <w:iCs/>
          <w:lang w:val="hr-HR" w:eastAsia="en-GB"/>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eastAsia="en-GB"/>
        </w:rPr>
      </w:pPr>
      <w:r w:rsidRPr="004D038C">
        <w:rPr>
          <w:rFonts w:ascii="Times New Roman" w:eastAsia="Times New Roman" w:hAnsi="Times New Roman" w:cs="Times New Roman"/>
          <w:i/>
          <w:iCs/>
          <w:lang w:val="hr-HR" w:eastAsia="en-GB"/>
        </w:rPr>
        <w:t>In vitro</w:t>
      </w:r>
      <w:r w:rsidRPr="004D038C">
        <w:rPr>
          <w:rFonts w:ascii="Times New Roman" w:eastAsia="Times New Roman" w:hAnsi="Times New Roman" w:cs="Times New Roman"/>
          <w:lang w:val="hr-HR" w:eastAsia="en-GB"/>
        </w:rPr>
        <w:t>, dabrafenib je uzrokovao dozno zavisna povećanja CYP2B6 i CYP3A4. U kliničkom ispitivanju interakcije ljekova, smanjile su se vrijednosti C</w:t>
      </w:r>
      <w:r w:rsidRPr="004D038C">
        <w:rPr>
          <w:rFonts w:ascii="Times New Roman" w:eastAsia="Times New Roman" w:hAnsi="Times New Roman" w:cs="Times New Roman"/>
          <w:vertAlign w:val="subscript"/>
          <w:lang w:val="hr-HR" w:eastAsia="en-GB"/>
        </w:rPr>
        <w:t>max</w:t>
      </w:r>
      <w:r w:rsidRPr="004D038C">
        <w:rPr>
          <w:rFonts w:ascii="Times New Roman" w:eastAsia="Times New Roman" w:hAnsi="Times New Roman" w:cs="Times New Roman"/>
          <w:lang w:val="hr-HR" w:eastAsia="en-GB"/>
        </w:rPr>
        <w:t xml:space="preserve"> i PIK za oralni midazolam (supstrat CYP3A4) za 61% i 74%, pri ponavljanom doziranju dabrafeniba sa formulacijom koja ima nižu bioraspoloživost. </w:t>
      </w:r>
    </w:p>
    <w:p w:rsidR="004D038C" w:rsidRPr="004D038C" w:rsidRDefault="004D038C" w:rsidP="004D038C">
      <w:pPr>
        <w:widowControl w:val="0"/>
        <w:spacing w:after="0" w:line="240" w:lineRule="auto"/>
        <w:jc w:val="both"/>
        <w:rPr>
          <w:rFonts w:ascii="Times New Roman" w:eastAsia="Times New Roman" w:hAnsi="Times New Roman" w:cs="Times New Roman"/>
          <w:lang w:val="hr-HR" w:eastAsia="en-GB"/>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eastAsia="en-GB"/>
        </w:rPr>
      </w:pPr>
      <w:r w:rsidRPr="004D038C">
        <w:rPr>
          <w:rFonts w:ascii="Times New Roman" w:eastAsia="Times New Roman" w:hAnsi="Times New Roman" w:cs="Times New Roman"/>
          <w:lang w:val="hr-HR" w:eastAsia="en-GB"/>
        </w:rPr>
        <w:t>Primjena dabrafeniba od 150 mg dva puta dnevno i varfarina rezultirala je smanjenjem PIK S- i R-varfarina od 37% odnosno 33% u poređenju sa primjenom samog varfarina. C</w:t>
      </w:r>
      <w:r w:rsidRPr="004D038C">
        <w:rPr>
          <w:rFonts w:ascii="Times New Roman" w:eastAsia="Times New Roman" w:hAnsi="Times New Roman" w:cs="Times New Roman"/>
          <w:vertAlign w:val="subscript"/>
          <w:lang w:val="hr-HR" w:eastAsia="en-GB"/>
        </w:rPr>
        <w:t>max</w:t>
      </w:r>
      <w:r w:rsidRPr="004D038C">
        <w:rPr>
          <w:rFonts w:ascii="Times New Roman" w:eastAsia="Times New Roman" w:hAnsi="Times New Roman" w:cs="Times New Roman"/>
          <w:lang w:val="hr-HR" w:eastAsia="en-GB"/>
        </w:rPr>
        <w:t xml:space="preserve"> S- i R-varfarina je porastao za 18% odnosno 19%.</w:t>
      </w:r>
    </w:p>
    <w:p w:rsidR="004D038C" w:rsidRPr="004D038C" w:rsidRDefault="004D038C" w:rsidP="004D038C">
      <w:pPr>
        <w:widowControl w:val="0"/>
        <w:spacing w:after="0" w:line="240" w:lineRule="auto"/>
        <w:jc w:val="both"/>
        <w:rPr>
          <w:rFonts w:ascii="Times New Roman" w:eastAsia="MS Mincho" w:hAnsi="Times New Roman" w:cs="Times New Roman"/>
          <w:lang w:val="hr-HR" w:eastAsia="ja-JP"/>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eastAsia="ja-JP"/>
        </w:rPr>
      </w:pPr>
      <w:r w:rsidRPr="004D038C">
        <w:rPr>
          <w:rFonts w:ascii="Times New Roman" w:eastAsia="Times New Roman" w:hAnsi="Times New Roman" w:cs="Times New Roman"/>
          <w:lang w:val="hr-HR" w:eastAsia="ja-JP"/>
        </w:rPr>
        <w:t>Očekuju se interakcije sa brojnim ljekovima koji se eliminišu kroz metabolizam ili aktivnim transportom. Ako je terapijsko djelovanje tih ljekova jako važno za pacijenta, a prilagođavanja doze nijesu jednostavna na osnovu praćenja efikasnosti ili koncentracija u plazmi, te ljekove treba izbjegavati ili ih primjenjivati sa oprezom. Sumnja se da je rizik od oštećenja jetre nakon primjene paracetamola veći kod pacijenata koji istovremeno primaju induktore enzima.</w:t>
      </w:r>
    </w:p>
    <w:p w:rsidR="004D038C" w:rsidRPr="004D038C" w:rsidRDefault="004D038C" w:rsidP="004D038C">
      <w:pPr>
        <w:widowControl w:val="0"/>
        <w:spacing w:after="0" w:line="240" w:lineRule="auto"/>
        <w:jc w:val="both"/>
        <w:rPr>
          <w:rFonts w:ascii="Times New Roman" w:eastAsia="MS Mincho" w:hAnsi="Times New Roman" w:cs="Times New Roman"/>
          <w:lang w:val="hr-HR" w:eastAsia="ja-JP"/>
        </w:rPr>
      </w:pPr>
    </w:p>
    <w:p w:rsidR="004D038C" w:rsidRPr="004D038C" w:rsidRDefault="004D038C" w:rsidP="004D038C">
      <w:pPr>
        <w:keepNext/>
        <w:spacing w:after="0" w:line="240" w:lineRule="auto"/>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Očekuje se da je broj ljekova na koji se to odnosi veliki; iako jačina interakcije može da varira. Grupe ljekova na koje se to odnosi uključuju, ali nijesu ograničene na:</w:t>
      </w:r>
    </w:p>
    <w:p w:rsidR="004D038C" w:rsidRPr="004D038C" w:rsidRDefault="004D038C" w:rsidP="004D038C">
      <w:pPr>
        <w:keepNext/>
        <w:spacing w:after="0" w:line="240" w:lineRule="auto"/>
        <w:jc w:val="both"/>
        <w:rPr>
          <w:rFonts w:ascii="Times New Roman" w:eastAsia="MS Mincho" w:hAnsi="Times New Roman" w:cs="Times New Roman"/>
          <w:lang w:val="hr-HR" w:eastAsia="ja-JP"/>
        </w:rPr>
      </w:pP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Analgetike (npr. fentanil, metadon)</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Antibiotike (npr. klaritromicin, doksiciklin)</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Antitumorske ljekove (npr. kabazitaksel)</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Antikoagulanse (npr. acenokumarol, varfarin (vidjeti odjeljak 4.4))</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Antiepileptike (npr. karbamazepin, fenitoin, primidon, valproinska kiselina)</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Antipsihotike (npr. haloperidol)</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Blokatore kalcijumovih kanala (npr. diltiazem, felodipin, nikardipin, nifedipin, verapamil)</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Glikozide digitalisa (npr. digoksin, vidjeti odjeljak 4.4)</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Kortikosteroide (npr. deksametazon, metilprednizolon)</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HIV antivirusne ljekove (npr. amprenavir, atazanavir, darunavir, delavirdin, efavirenz, fosamprenavir, indinavir, lopinavir, nelfinavir, sakvinavir, tipranavir)</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Hormonske kontraceptive (vidjeti odjeljak 4.6)</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lastRenderedPageBreak/>
        <w:t>Hipnotike (npr. diazepam, midazolam, zolpidem)</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Imunosupresive (npr. ciklosporin, takrolimus, sirolimus)</w:t>
      </w:r>
    </w:p>
    <w:p w:rsidR="004D038C" w:rsidRPr="004D038C" w:rsidRDefault="004D038C" w:rsidP="004D038C">
      <w:pPr>
        <w:widowControl w:val="0"/>
        <w:numPr>
          <w:ilvl w:val="0"/>
          <w:numId w:val="10"/>
        </w:numPr>
        <w:tabs>
          <w:tab w:val="left" w:pos="284"/>
        </w:tabs>
        <w:spacing w:after="0" w:line="240" w:lineRule="auto"/>
        <w:ind w:left="714" w:hanging="357"/>
        <w:jc w:val="both"/>
        <w:rPr>
          <w:rFonts w:ascii="Times New Roman" w:eastAsia="MS Mincho" w:hAnsi="Times New Roman" w:cs="Times New Roman"/>
          <w:lang w:val="hr-HR" w:eastAsia="ja-JP"/>
        </w:rPr>
      </w:pPr>
      <w:r w:rsidRPr="004D038C">
        <w:rPr>
          <w:rFonts w:ascii="Times New Roman" w:eastAsia="Times New Roman" w:hAnsi="Times New Roman" w:cs="Times New Roman"/>
          <w:lang w:val="hr-HR" w:eastAsia="ja-JP"/>
        </w:rPr>
        <w:t>Statine koji se metabolišu putem CYP3A4 (npr. atorvastatin, simvastatin)</w:t>
      </w:r>
    </w:p>
    <w:p w:rsidR="004D038C" w:rsidRPr="004D038C" w:rsidRDefault="004D038C" w:rsidP="004D038C">
      <w:pPr>
        <w:widowControl w:val="0"/>
        <w:spacing w:after="0" w:line="240" w:lineRule="auto"/>
        <w:jc w:val="both"/>
        <w:rPr>
          <w:rFonts w:ascii="Times New Roman" w:eastAsia="MS Mincho" w:hAnsi="Times New Roman" w:cs="Times New Roman"/>
          <w:lang w:val="hr-HR" w:eastAsia="ja-JP"/>
        </w:rPr>
      </w:pP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Do početka indukcije vjerovatno dolazi nakon 3 dana ponavljajućih doza dabrafeniba. Nakon prekida terapije dabrafenibom, smanjenje indukcije nastupa postupno, koncentracije osjetljivih supstrata CYP3A4, CYP2B6, CYP2C8, CYP2C9 i CYP2C19, UDP glukuronozil transferaze (UGT) i transportera supstrata (npr Pgp ili MRP-2) mogu se povećati, pa je pacijente potrebno pratiti zbog toksičnosti, a doze navedenih ljekova možda treba prilagoditi. </w:t>
      </w: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i/>
          <w:iCs/>
          <w:color w:val="000000"/>
          <w:lang w:val="hr-HR"/>
        </w:rPr>
        <w:t>In vitro</w:t>
      </w:r>
      <w:r w:rsidRPr="004D038C">
        <w:rPr>
          <w:rFonts w:ascii="Times New Roman" w:eastAsia="Times New Roman" w:hAnsi="Times New Roman" w:cs="Times New Roman"/>
          <w:color w:val="000000"/>
          <w:lang w:val="hr-HR"/>
        </w:rPr>
        <w:t>, dabrafenib je inhibitor sa djelovanjem na mehanizam CYP3A4. Stoga se tokom prvih nekoliko dana terapije može primjetiti prolazna inhibicija CYP3A4.</w:t>
      </w:r>
    </w:p>
    <w:p w:rsidR="004D038C" w:rsidRPr="004D038C" w:rsidRDefault="004D038C" w:rsidP="004D038C">
      <w:pPr>
        <w:widowControl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keepNext/>
        <w:shd w:val="clear" w:color="auto" w:fill="FFFFFF"/>
        <w:spacing w:after="0" w:line="270" w:lineRule="atLeast"/>
        <w:jc w:val="both"/>
        <w:rPr>
          <w:rFonts w:ascii="Times New Roman" w:eastAsia="Times New Roman" w:hAnsi="Times New Roman" w:cs="Times New Roman"/>
          <w:color w:val="000000"/>
          <w:u w:val="single"/>
          <w:lang w:val="hr-HR"/>
        </w:rPr>
      </w:pPr>
      <w:r w:rsidRPr="004D038C">
        <w:rPr>
          <w:rFonts w:ascii="Times New Roman" w:eastAsia="Times New Roman" w:hAnsi="Times New Roman" w:cs="Times New Roman"/>
          <w:color w:val="000000"/>
          <w:u w:val="single"/>
          <w:lang w:val="hr-HR"/>
        </w:rPr>
        <w:t>Uticaj dabrafeniba na transportni sistem supstanci</w:t>
      </w:r>
    </w:p>
    <w:p w:rsidR="000F555B" w:rsidRDefault="000F555B" w:rsidP="004D038C">
      <w:pPr>
        <w:widowControl w:val="0"/>
        <w:shd w:val="clear" w:color="auto" w:fill="FFFFFF"/>
        <w:spacing w:after="0" w:line="270" w:lineRule="atLeast"/>
        <w:jc w:val="both"/>
        <w:rPr>
          <w:rFonts w:ascii="Times New Roman" w:eastAsia="Times New Roman" w:hAnsi="Times New Roman" w:cs="Times New Roman"/>
          <w:lang w:val="hr-HR"/>
        </w:rPr>
      </w:pP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Dabrafenib je </w:t>
      </w:r>
      <w:r w:rsidRPr="004D038C">
        <w:rPr>
          <w:rFonts w:ascii="Times New Roman" w:eastAsia="Times New Roman" w:hAnsi="Times New Roman" w:cs="Times New Roman"/>
          <w:i/>
          <w:iCs/>
          <w:lang w:val="hr-HR"/>
        </w:rPr>
        <w:t>in vitro</w:t>
      </w:r>
      <w:r w:rsidRPr="004D038C">
        <w:rPr>
          <w:rFonts w:ascii="Times New Roman" w:eastAsia="Times New Roman" w:hAnsi="Times New Roman" w:cs="Times New Roman"/>
          <w:lang w:val="hr-HR"/>
        </w:rPr>
        <w:t xml:space="preserve"> inhibitor humanog organskog anjonskog transportnog polipeptida (OATP) 1B1 (OATP1B1) i OATP1B3 pa se klinički značaj ne može isključiti. Stoga se</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lang w:val="hr-HR"/>
        </w:rPr>
        <w:t>preporučuje oprez pri istovremenoj primjeni dabrafeniba i OATB1B1 ili OATP1B3 supstrata poput statina.</w:t>
      </w: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lang w:val="hr-HR"/>
        </w:rPr>
      </w:pP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Kombinovana terapija sa trametinibom</w:t>
      </w:r>
    </w:p>
    <w:p w:rsidR="000F555B" w:rsidRDefault="000F555B" w:rsidP="004D038C">
      <w:pPr>
        <w:widowControl w:val="0"/>
        <w:shd w:val="clear" w:color="auto" w:fill="FFFFFF"/>
        <w:spacing w:after="0" w:line="270" w:lineRule="atLeast"/>
        <w:jc w:val="both"/>
        <w:rPr>
          <w:rFonts w:ascii="Times New Roman" w:eastAsia="Times New Roman" w:hAnsi="Times New Roman" w:cs="Times New Roman"/>
          <w:lang w:val="hr-HR"/>
        </w:rPr>
      </w:pP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Istovremena primjena ponovljenog doziranja trametiniba 2 mg jednom dnevno i dabrafeniba 150 mg dva puta dnevno ne dovodi do klinički značajnih promjena u C</w:t>
      </w:r>
      <w:r w:rsidRPr="004D038C">
        <w:rPr>
          <w:rFonts w:ascii="Times New Roman" w:eastAsia="Times New Roman" w:hAnsi="Times New Roman" w:cs="Times New Roman"/>
          <w:vertAlign w:val="subscript"/>
          <w:lang w:val="hr-HR"/>
        </w:rPr>
        <w:t>max</w:t>
      </w:r>
      <w:r w:rsidRPr="004D038C">
        <w:rPr>
          <w:rFonts w:ascii="Times New Roman" w:eastAsia="Times New Roman" w:hAnsi="Times New Roman" w:cs="Times New Roman"/>
          <w:lang w:val="hr-HR"/>
        </w:rPr>
        <w:t xml:space="preserve"> i PIK trametiniba i dabrafeniba u krvi, sa povećanjem od 16% u C</w:t>
      </w:r>
      <w:r w:rsidRPr="004D038C">
        <w:rPr>
          <w:rFonts w:ascii="Times New Roman" w:eastAsia="Times New Roman" w:hAnsi="Times New Roman" w:cs="Times New Roman"/>
          <w:vertAlign w:val="subscript"/>
          <w:lang w:val="hr-HR"/>
        </w:rPr>
        <w:t>max</w:t>
      </w:r>
      <w:r w:rsidRPr="004D038C">
        <w:rPr>
          <w:rFonts w:ascii="Times New Roman" w:eastAsia="Times New Roman" w:hAnsi="Times New Roman" w:cs="Times New Roman"/>
          <w:lang w:val="hr-HR"/>
        </w:rPr>
        <w:t xml:space="preserve"> i 23% u PIK dabrafeniba u krvi. Malo smanjenje bioraspoloživosti trametiniba, koje odgovara smanjenju PIK od 12%, procjenjeno je populacionom PK analizom kada je trametinib istovremeno primjenjen sa dabrafenibom, induktorom CYP3A4. </w:t>
      </w: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lang w:val="hr-HR"/>
        </w:rPr>
      </w:pP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Ako se dabrafenib primjenjuje istovremeno sa trametinibom pogledajte interakcije ljekova u odjeljcima 4.4 i </w:t>
      </w:r>
      <w:r w:rsidRPr="000F555B">
        <w:rPr>
          <w:rFonts w:ascii="Times New Roman" w:eastAsia="Times New Roman" w:hAnsi="Times New Roman" w:cs="Times New Roman"/>
          <w:lang w:val="hr-HR"/>
        </w:rPr>
        <w:t>4.5 Sažetaka karakteristika lijeka za dabrafenib i trametinib.</w:t>
      </w:r>
    </w:p>
    <w:p w:rsidR="004D038C" w:rsidRPr="004D038C" w:rsidRDefault="004D038C" w:rsidP="004D038C">
      <w:pPr>
        <w:widowControl w:val="0"/>
        <w:shd w:val="clear" w:color="auto" w:fill="FFFFFF"/>
        <w:spacing w:after="0" w:line="270" w:lineRule="atLeast"/>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 </w:t>
      </w:r>
    </w:p>
    <w:p w:rsidR="004D038C" w:rsidRPr="004D038C" w:rsidRDefault="004D038C" w:rsidP="004D038C">
      <w:pPr>
        <w:keepNext/>
        <w:spacing w:after="0" w:line="240" w:lineRule="auto"/>
        <w:jc w:val="both"/>
        <w:rPr>
          <w:rFonts w:ascii="Times New Roman" w:eastAsia="Times New Roman" w:hAnsi="Times New Roman" w:cs="Times New Roman"/>
          <w:bCs/>
          <w:iCs/>
          <w:u w:val="single"/>
          <w:lang w:val="hr-HR"/>
        </w:rPr>
      </w:pPr>
      <w:r w:rsidRPr="004D038C">
        <w:rPr>
          <w:rFonts w:ascii="Times New Roman" w:eastAsia="Times New Roman" w:hAnsi="Times New Roman" w:cs="Times New Roman"/>
          <w:iCs/>
          <w:u w:val="single"/>
          <w:lang w:val="hr-HR"/>
        </w:rPr>
        <w:t>Uticaj hrane na dabrafenib</w:t>
      </w:r>
    </w:p>
    <w:p w:rsidR="000F555B" w:rsidRDefault="000F555B" w:rsidP="004D038C">
      <w:pPr>
        <w:widowControl w:val="0"/>
        <w:autoSpaceDE w:val="0"/>
        <w:autoSpaceDN w:val="0"/>
        <w:adjustRightInd w:val="0"/>
        <w:spacing w:after="0" w:line="240" w:lineRule="auto"/>
        <w:jc w:val="both"/>
        <w:rPr>
          <w:rFonts w:ascii="TimesNewRomanPSMT" w:eastAsia="TimesNewRomanPSMT" w:hAnsi="TimesNewRomanPSMT" w:cs="TimesNewRomanPSMT"/>
          <w:lang w:val="hr-HR"/>
        </w:rPr>
      </w:pPr>
    </w:p>
    <w:p w:rsidR="004D038C" w:rsidRPr="004D038C" w:rsidRDefault="004D038C" w:rsidP="004D038C">
      <w:pPr>
        <w:widowControl w:val="0"/>
        <w:autoSpaceDE w:val="0"/>
        <w:autoSpaceDN w:val="0"/>
        <w:adjustRightInd w:val="0"/>
        <w:spacing w:after="0" w:line="240" w:lineRule="auto"/>
        <w:jc w:val="both"/>
        <w:rPr>
          <w:rFonts w:ascii="TimesNewRomanPSMT" w:eastAsia="Times New Roman" w:hAnsi="TimesNewRomanPSMT" w:cs="TimesNewRomanPSMT"/>
          <w:lang w:val="hr-HR"/>
        </w:rPr>
      </w:pPr>
      <w:r w:rsidRPr="004D038C">
        <w:rPr>
          <w:rFonts w:ascii="TimesNewRomanPSMT" w:eastAsia="TimesNewRomanPSMT" w:hAnsi="TimesNewRomanPSMT" w:cs="TimesNewRomanPSMT"/>
          <w:lang w:val="hr-HR"/>
        </w:rPr>
        <w:t>Zbog djelovanja hrane na resorpciju dabrafeniba kada se koristi kao monoterapija ili u kombinaciji sa trametinibom, pacijenti moraju uzimati dabrafenib barem jedan sat prije ili dva sata nakon obroka (vidjeti odjeljak 5.2).</w:t>
      </w:r>
    </w:p>
    <w:p w:rsidR="004D038C" w:rsidRPr="004D038C" w:rsidRDefault="004D038C" w:rsidP="004D038C">
      <w:pPr>
        <w:widowControl w:val="0"/>
        <w:autoSpaceDE w:val="0"/>
        <w:autoSpaceDN w:val="0"/>
        <w:adjustRightInd w:val="0"/>
        <w:spacing w:after="0" w:line="240" w:lineRule="auto"/>
        <w:jc w:val="both"/>
        <w:rPr>
          <w:rFonts w:ascii="Times New Roman" w:eastAsia="Times New Roman" w:hAnsi="Times New Roman" w:cs="Times New Roman"/>
          <w:lang w:val="hr-HR"/>
        </w:rPr>
      </w:pPr>
    </w:p>
    <w:p w:rsidR="004D038C" w:rsidRPr="004D038C" w:rsidRDefault="004D038C" w:rsidP="004D038C">
      <w:pPr>
        <w:keepNext/>
        <w:autoSpaceDE w:val="0"/>
        <w:autoSpaceDN w:val="0"/>
        <w:adjustRightInd w:val="0"/>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Pedijatrijska populacija</w:t>
      </w:r>
    </w:p>
    <w:p w:rsidR="000F555B" w:rsidRDefault="000F555B" w:rsidP="004D038C">
      <w:pPr>
        <w:tabs>
          <w:tab w:val="left" w:pos="540"/>
          <w:tab w:val="left" w:pos="569"/>
        </w:tabs>
        <w:spacing w:after="0" w:line="240" w:lineRule="auto"/>
        <w:jc w:val="both"/>
        <w:rPr>
          <w:rFonts w:ascii="Times New Roman" w:eastAsia="Times New Roman" w:hAnsi="Times New Roman" w:cs="Times New Roman"/>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Ispitivanja interakcija vršena su samo na odraslima.</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4.6. </w:t>
      </w:r>
      <w:r w:rsidRPr="004D038C">
        <w:rPr>
          <w:rFonts w:ascii="Times New Roman" w:eastAsia="Times New Roman" w:hAnsi="Times New Roman" w:cs="Times New Roman"/>
          <w:b/>
          <w:bCs/>
          <w:lang w:val="hr-HR"/>
        </w:rPr>
        <w:tab/>
        <w:t>Primjena u periodu trudnoće i dojenja</w:t>
      </w: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Žene u reproduktivnom periodu/kontracepcija kod žena</w:t>
      </w:r>
    </w:p>
    <w:p w:rsidR="000F555B" w:rsidRDefault="000F555B" w:rsidP="004D038C">
      <w:pPr>
        <w:widowControl w:val="0"/>
        <w:autoSpaceDE w:val="0"/>
        <w:autoSpaceDN w:val="0"/>
        <w:adjustRightInd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autoSpaceDE w:val="0"/>
        <w:autoSpaceDN w:val="0"/>
        <w:adjustRightInd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Tokom terapije, kao i 4 nedjelje nakon prekida terapije dabrafenibom i 4 mjeseca nakon posljednje doze </w:t>
      </w:r>
      <w:r w:rsidRPr="004D038C">
        <w:rPr>
          <w:rFonts w:ascii="Times New Roman" w:eastAsia="Times New Roman" w:hAnsi="Times New Roman" w:cs="Times New Roman"/>
          <w:lang w:val="hr-HR"/>
        </w:rPr>
        <w:lastRenderedPageBreak/>
        <w:t>trametiniba kada se koristi u kombinaciji sa dabrafenibom, žene u reproduktivnom periodu</w:t>
      </w:r>
      <w:r w:rsidRPr="004D038C" w:rsidDel="00E52D89">
        <w:rPr>
          <w:rFonts w:ascii="Times New Roman" w:eastAsia="Times New Roman" w:hAnsi="Times New Roman" w:cs="Times New Roman"/>
          <w:lang w:val="hr-HR"/>
        </w:rPr>
        <w:t xml:space="preserve"> </w:t>
      </w:r>
      <w:r w:rsidRPr="004D038C">
        <w:rPr>
          <w:rFonts w:ascii="Times New Roman" w:eastAsia="Times New Roman" w:hAnsi="Times New Roman" w:cs="Times New Roman"/>
          <w:lang w:val="hr-HR"/>
        </w:rPr>
        <w:t>moraju koristiti efikasne metode kontracepcije. Dabrafenib može smanjiti efikasnost hormonskih kontraceptiva pa je potrebno koristiti alternativne metode kontracepcije kao što su mehanička kontraceptivna sredstva (vidjeti odjeljak 4.5).</w:t>
      </w:r>
    </w:p>
    <w:p w:rsidR="004D038C" w:rsidRPr="004D038C" w:rsidRDefault="004D038C" w:rsidP="004D038C">
      <w:pPr>
        <w:widowControl w:val="0"/>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Trudnoća</w:t>
      </w:r>
    </w:p>
    <w:p w:rsidR="000F555B" w:rsidRDefault="000F555B" w:rsidP="004D038C">
      <w:pPr>
        <w:widowControl w:val="0"/>
        <w:autoSpaceDE w:val="0"/>
        <w:autoSpaceDN w:val="0"/>
        <w:adjustRightInd w:val="0"/>
        <w:spacing w:after="0" w:line="240" w:lineRule="auto"/>
        <w:jc w:val="both"/>
        <w:rPr>
          <w:rFonts w:ascii="Times New Roman" w:eastAsia="Times New Roman" w:hAnsi="Times New Roman" w:cs="Times New Roman"/>
          <w:color w:val="000000"/>
          <w:lang w:val="hr-HR"/>
        </w:rPr>
      </w:pPr>
    </w:p>
    <w:p w:rsidR="004D038C" w:rsidRPr="004D038C" w:rsidRDefault="004D038C" w:rsidP="004D038C">
      <w:pPr>
        <w:widowControl w:val="0"/>
        <w:autoSpaceDE w:val="0"/>
        <w:autoSpaceDN w:val="0"/>
        <w:adjustRightInd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color w:val="000000"/>
          <w:lang w:val="hr-HR"/>
        </w:rPr>
        <w:t>Nema podataka o upotrebi dabrafeniba kod trudnica. Ispitivanja sprovedena na životinjama pokazala su reproduktivnu toksičnost kao i embriofetalnu razvojnu toksičnost, uključujući teratogena dejstva (vidjeti odjeljak 5.3). Dabrafenib se ne smije davati trudnicama osim ako potencijalna korist za majku premašuje mogući rizik za fetus. Ako pacijentkinja ostane u drugom stanju za vrijeme terapije dabrafenibom, treba je obavijestiti o mogućim štetnim djelovanjima na fetus</w:t>
      </w:r>
      <w:r w:rsidRPr="004D038C">
        <w:rPr>
          <w:rFonts w:ascii="Times New Roman" w:eastAsia="Times New Roman" w:hAnsi="Times New Roman" w:cs="Times New Roman"/>
          <w:lang w:val="hr-HR"/>
        </w:rPr>
        <w:t>. Pogledajte S</w:t>
      </w:r>
      <w:r w:rsidRPr="004D038C">
        <w:rPr>
          <w:rFonts w:ascii="Times New Roman" w:eastAsia="Times New Roman" w:hAnsi="Times New Roman" w:cs="Times New Roman"/>
          <w:iCs/>
          <w:lang w:val="hr-HR"/>
        </w:rPr>
        <w:t>ažetak karakteristika lijeka za trametinib (odjeljak 4.6) kada se uzima u kombinaciji sa dabrafenibom.</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Dojenje</w:t>
      </w:r>
    </w:p>
    <w:p w:rsidR="000F555B" w:rsidRDefault="000F555B" w:rsidP="004D038C">
      <w:pPr>
        <w:widowControl w:val="0"/>
        <w:autoSpaceDE w:val="0"/>
        <w:autoSpaceDN w:val="0"/>
        <w:adjustRightInd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autoSpaceDE w:val="0"/>
        <w:autoSpaceDN w:val="0"/>
        <w:adjustRightInd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Nije poznato da li se dabrafenib izlučuje u majčino mlijeko. Budući da se mnogi ljekovi izlučuju u majčino mlijeko, ne može se isključiti rizik za odojče. Odluku o prekidu dojenja ili terapije dabrafenibom treba doneti uzevši u obzir korist dojenja za dijete i korist terapije za ženu.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Plodnost</w:t>
      </w:r>
    </w:p>
    <w:p w:rsidR="000F555B" w:rsidRDefault="000F555B"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Nema podataka o uticaju dabrafeniba kao monoterapije ili kada se uzima u kombinaciji sa trametinibom. Dabrafenib može štetno djelovati na plodnost muškarca ili žene, s obzirom da su neželjena dejstva dabrafeniba na muške i ženske reproduktivne organe primijećena kod životinja (vidjeti odjeljak 5.3). Pacijente muškog pola koji uzimaju dabrafenib kao monoterapiju ili u kombinaciji sa trametinibom potrebno je obavijestiti o potencijalnom riziku oštećenja spermatogeneze koje može biti ireverzibilno.</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ind w:left="540" w:hanging="540"/>
        <w:jc w:val="both"/>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4.7. </w:t>
      </w:r>
      <w:r w:rsidRPr="004D038C">
        <w:rPr>
          <w:rFonts w:ascii="Times New Roman" w:eastAsia="Times New Roman" w:hAnsi="Times New Roman" w:cs="Times New Roman"/>
          <w:b/>
          <w:bCs/>
          <w:lang w:val="hr-HR"/>
        </w:rPr>
        <w:tab/>
        <w:t>Uticaj na psihofizičke sposobnosti prilikom upravljanja motornim vozilima i rukovanja mašinama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Dabrafenib ima neznatan uticaj na sposobnost upravljanja vozilom i rukovanja mašinama. Pri razmatranju mogućnosti pacijenta za izvođenje zadataka pri kojima je potrebno rasuđivanje, motorne ili kognitivne veštine, treba imati na umu klinički status pacijenta kao i profil neželjenih dejstava dabrafeniba. Pacijente treba obavijestiti o mogućem umoru i poteškoćama sa očima koji mogu uticati na navedene aktivnosti.</w:t>
      </w:r>
    </w:p>
    <w:p w:rsid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4.8. </w:t>
      </w:r>
      <w:r w:rsidRPr="004D038C">
        <w:rPr>
          <w:rFonts w:ascii="Times New Roman" w:eastAsia="Times New Roman" w:hAnsi="Times New Roman" w:cs="Times New Roman"/>
          <w:b/>
          <w:bCs/>
          <w:lang w:val="hr-HR"/>
        </w:rPr>
        <w:tab/>
        <w:t>Neželjena dejstva</w:t>
      </w:r>
    </w:p>
    <w:p w:rsidR="004D038C" w:rsidRPr="004D038C" w:rsidRDefault="004D038C" w:rsidP="004D038C">
      <w:pPr>
        <w:keepNext/>
        <w:spacing w:after="0" w:line="240" w:lineRule="auto"/>
        <w:rPr>
          <w:rFonts w:ascii="Times New Roman" w:eastAsia="Times New Roman" w:hAnsi="Times New Roman" w:cs="Times New Roman"/>
          <w:u w:val="single"/>
          <w:lang w:val="hr-HR"/>
        </w:rPr>
      </w:pPr>
    </w:p>
    <w:p w:rsidR="004D038C" w:rsidRPr="004D038C" w:rsidRDefault="004D038C" w:rsidP="004D038C">
      <w:pPr>
        <w:keepNext/>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Sažetak bezbjednosnog profila</w:t>
      </w:r>
    </w:p>
    <w:p w:rsidR="000844C9" w:rsidRDefault="000844C9"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Bezbjednost dabrafeniba kao monoterapije</w:t>
      </w:r>
      <w:r w:rsidRPr="004D038C" w:rsidDel="00BE6E61">
        <w:rPr>
          <w:rFonts w:ascii="Times New Roman" w:eastAsia="Times New Roman" w:hAnsi="Times New Roman" w:cs="Times New Roman"/>
          <w:lang w:val="hr-HR"/>
        </w:rPr>
        <w:t xml:space="preserve"> </w:t>
      </w:r>
      <w:r w:rsidRPr="004D038C">
        <w:rPr>
          <w:rFonts w:ascii="Times New Roman" w:eastAsia="Times New Roman" w:hAnsi="Times New Roman" w:cs="Times New Roman"/>
          <w:lang w:val="hr-HR"/>
        </w:rPr>
        <w:t xml:space="preserve">zasniva se na integrisanoj bezbjednosnoj populaciji iz pet kliničkih ispitivanja u kojima je učestvovalo 578 pacijenta sa inoperabilnim ili metastatskim melanomom sa BRAF V600 mutacijom koji su liječeni sa 150 mg dabrafeniba, dva puta dnevno. Najčešće neželjene reakcije </w:t>
      </w:r>
      <w:r w:rsidRPr="004D038C">
        <w:rPr>
          <w:rFonts w:ascii="Times New Roman" w:eastAsia="Times New Roman" w:hAnsi="Times New Roman" w:cs="Times New Roman"/>
          <w:lang w:val="hr-HR"/>
        </w:rPr>
        <w:lastRenderedPageBreak/>
        <w:t xml:space="preserve">(incidenca </w:t>
      </w:r>
      <w:r w:rsidRPr="004D038C">
        <w:rPr>
          <w:rFonts w:ascii="Symbol" w:eastAsia="Symbol" w:hAnsi="Symbol" w:cs="Symbol"/>
          <w:lang w:val="hr-HR"/>
        </w:rPr>
        <w:t></w:t>
      </w:r>
      <w:r w:rsidRPr="004D038C">
        <w:rPr>
          <w:rFonts w:ascii="Times New Roman" w:eastAsia="Times New Roman" w:hAnsi="Times New Roman" w:cs="Times New Roman"/>
          <w:lang w:val="hr-HR"/>
        </w:rPr>
        <w:t>15%) prijavljene za dabrafenib bile su hiperkeratoza, glavobolja, pireksija, artralgija, umor, mučnina, papilom, alopecija, osip i povraćanje.</w:t>
      </w:r>
    </w:p>
    <w:p w:rsidR="004D038C" w:rsidRPr="004D038C" w:rsidRDefault="004D038C" w:rsidP="004D038C">
      <w:pPr>
        <w:keepNext/>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Bezbjednost dabrafeniba u kombinaciji sa trametinibom procjenjivana je u  integrisanoj bezbjednosnoj populaciji  od 641 pacijenta sa inoperabilnim ili metastatskim melanomom sa BRAF V600 mutacijom i uznapredovalim nemikrocelularnim karcinomom pluća (NSCLC) koji su liječeni sa 150 mg dabrafeniba dva puta dnevno i sa 2 mg trametiniba jednom dnevno. Od ovih pacijenata, njih 559 su liječeni kombinacijom ljekova za melanom sa BRAF V600 mutacijom u dvije randomizovane studije faze III MEK115306 (COMBI-d) i MEK116513 (COMBI-v), a 82 pacijenta su liječena kombinacijom ljekova za nemikrocelularni karcinom pluća sa BRAF V600 mutacijom u multikohortnoj, nerandomizovanoj studiji faze II BRF113928 (vidjeti odjeljak 5.1). Najčešće neželjene reakcije (incidenca ≥20%) kombinacije trametiniba i dabrafeniba bile su pireksija, mučnina,  dijareja, umor, jeza, glavobolja, povraćanje, artralgija, hipertenzija, osip i kašalj. </w:t>
      </w:r>
    </w:p>
    <w:p w:rsidR="004D038C" w:rsidRPr="004D038C" w:rsidRDefault="004D038C" w:rsidP="004D038C">
      <w:pPr>
        <w:keepNext/>
        <w:spacing w:after="0" w:line="240" w:lineRule="auto"/>
        <w:rPr>
          <w:rFonts w:ascii="Times New Roman" w:eastAsia="Times New Roman" w:hAnsi="Times New Roman" w:cs="Times New Roman"/>
          <w:lang w:val="hr-HR"/>
        </w:rPr>
      </w:pPr>
    </w:p>
    <w:p w:rsidR="004D038C" w:rsidRPr="004D038C" w:rsidRDefault="004D038C" w:rsidP="004D038C">
      <w:pPr>
        <w:keepNext/>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Tabelarni prikaz neželjenih dejstava</w:t>
      </w:r>
    </w:p>
    <w:p w:rsidR="004D038C" w:rsidRPr="004D038C" w:rsidRDefault="004D038C" w:rsidP="004D038C">
      <w:pPr>
        <w:keepNext/>
        <w:spacing w:after="0" w:line="240" w:lineRule="auto"/>
        <w:rPr>
          <w:rFonts w:ascii="Times New Roman" w:eastAsia="Times New Roman" w:hAnsi="Times New Roman" w:cs="Times New Roman"/>
          <w:lang w:val="hr-HR"/>
        </w:rPr>
      </w:pPr>
    </w:p>
    <w:p w:rsidR="004D038C" w:rsidRPr="004D038C" w:rsidRDefault="004D038C" w:rsidP="004D038C">
      <w:pPr>
        <w:keepNext/>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Prijavljena neželjena dejstva lijeka u nastavku su navedena prema MedDRA klasifikaciji organskih sistema i učestalosti. Za klasifikaciju učestalosti primijenjene su sljedeće dogovorene vrijednosti:</w:t>
      </w:r>
    </w:p>
    <w:p w:rsidR="004D038C" w:rsidRPr="004D038C" w:rsidRDefault="004D038C" w:rsidP="004D038C">
      <w:pPr>
        <w:keepNext/>
        <w:spacing w:after="0" w:line="240" w:lineRule="auto"/>
        <w:rPr>
          <w:rFonts w:ascii="Times New Roman" w:eastAsia="Times New Roman" w:hAnsi="Times New Roman" w:cs="Times New Roman"/>
          <w:lang w:val="hr-HR"/>
        </w:rPr>
      </w:pPr>
    </w:p>
    <w:p w:rsidR="004D038C" w:rsidRPr="004D038C" w:rsidRDefault="004D038C" w:rsidP="004D038C">
      <w:pPr>
        <w:widowControl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Veoma česta </w:t>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Symbol" w:eastAsia="Symbol" w:hAnsi="Symbol" w:cs="Symbol"/>
          <w:lang w:val="hr-HR"/>
        </w:rPr>
        <w:t></w:t>
      </w:r>
      <w:r w:rsidRPr="004D038C">
        <w:rPr>
          <w:rFonts w:ascii="Times New Roman" w:eastAsia="Times New Roman" w:hAnsi="Times New Roman" w:cs="Times New Roman"/>
          <w:lang w:val="hr-HR"/>
        </w:rPr>
        <w:t>1/10</w:t>
      </w:r>
    </w:p>
    <w:p w:rsidR="004D038C" w:rsidRPr="004D038C" w:rsidRDefault="004D038C" w:rsidP="004D038C">
      <w:pPr>
        <w:widowControl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Česta </w:t>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Symbol" w:eastAsia="Symbol" w:hAnsi="Symbol" w:cs="Symbol"/>
          <w:lang w:val="hr-HR"/>
        </w:rPr>
        <w:t></w:t>
      </w:r>
      <w:r w:rsidRPr="004D038C">
        <w:rPr>
          <w:rFonts w:ascii="Times New Roman" w:eastAsia="Times New Roman" w:hAnsi="Times New Roman" w:cs="Times New Roman"/>
          <w:lang w:val="hr-HR"/>
        </w:rPr>
        <w:t>1/100 do &lt;1/10</w:t>
      </w:r>
    </w:p>
    <w:p w:rsidR="004D038C" w:rsidRPr="004D038C" w:rsidRDefault="004D038C" w:rsidP="004D038C">
      <w:pPr>
        <w:widowControl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Povremena</w:t>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Symbol" w:eastAsia="Symbol" w:hAnsi="Symbol" w:cs="Symbol"/>
          <w:lang w:val="hr-HR"/>
        </w:rPr>
        <w:t></w:t>
      </w:r>
      <w:r w:rsidRPr="004D038C">
        <w:rPr>
          <w:rFonts w:ascii="Times New Roman" w:eastAsia="Times New Roman" w:hAnsi="Times New Roman" w:cs="Times New Roman"/>
          <w:lang w:val="hr-HR"/>
        </w:rPr>
        <w:t>1/1000 do &lt;1/100</w:t>
      </w:r>
    </w:p>
    <w:p w:rsidR="004D038C" w:rsidRPr="004D038C" w:rsidRDefault="004D038C" w:rsidP="004D038C">
      <w:pPr>
        <w:widowControl w:val="0"/>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Rijetka</w:t>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t xml:space="preserve"> </w:t>
      </w:r>
      <w:r w:rsidRPr="004D038C">
        <w:rPr>
          <w:rFonts w:ascii="Times New Roman" w:eastAsia="Times New Roman" w:hAnsi="Times New Roman" w:cs="Times New Roman"/>
          <w:lang w:val="hr-HR"/>
        </w:rPr>
        <w:tab/>
      </w:r>
      <w:r w:rsidRPr="004D038C">
        <w:rPr>
          <w:rFonts w:ascii="Symbol" w:eastAsia="Symbol" w:hAnsi="Symbol" w:cs="Symbol"/>
          <w:lang w:val="hr-HR"/>
        </w:rPr>
        <w:t></w:t>
      </w:r>
      <w:r w:rsidRPr="004D038C">
        <w:rPr>
          <w:rFonts w:ascii="Times New Roman" w:eastAsia="Times New Roman" w:hAnsi="Times New Roman" w:cs="Times New Roman"/>
          <w:lang w:val="hr-HR"/>
        </w:rPr>
        <w:t>1/10 000 do &lt;1/1000</w:t>
      </w:r>
    </w:p>
    <w:p w:rsidR="00C020F1" w:rsidRDefault="004D038C" w:rsidP="004D038C">
      <w:pPr>
        <w:widowControl w:val="0"/>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lang w:val="hr-HR"/>
        </w:rPr>
        <w:t xml:space="preserve">Nepoznata </w:t>
      </w:r>
      <w:r w:rsidRPr="004D038C">
        <w:rPr>
          <w:rFonts w:ascii="Times New Roman" w:eastAsia="Times New Roman" w:hAnsi="Times New Roman" w:cs="Times New Roman"/>
          <w:lang w:val="hr-HR"/>
        </w:rPr>
        <w:tab/>
        <w:t xml:space="preserve"> </w:t>
      </w:r>
      <w:r w:rsidRPr="004D038C">
        <w:rPr>
          <w:rFonts w:ascii="Times New Roman" w:eastAsia="Times New Roman" w:hAnsi="Times New Roman" w:cs="Times New Roman"/>
          <w:lang w:val="hr-HR"/>
        </w:rPr>
        <w:tab/>
      </w:r>
      <w:r w:rsidRPr="004D038C">
        <w:rPr>
          <w:rFonts w:ascii="Times New Roman" w:eastAsia="Times New Roman" w:hAnsi="Times New Roman" w:cs="Times New Roman"/>
          <w:lang w:val="hr-HR"/>
        </w:rPr>
        <w:tab/>
        <w:t>(ne može se procijeniti na osnovu raspoloživih podataka)</w:t>
      </w:r>
    </w:p>
    <w:p w:rsidR="00C020F1" w:rsidRDefault="00C020F1" w:rsidP="004D038C">
      <w:pPr>
        <w:widowControl w:val="0"/>
        <w:spacing w:after="0" w:line="240" w:lineRule="auto"/>
        <w:rPr>
          <w:rFonts w:ascii="Times New Roman" w:eastAsia="Times New Roman" w:hAnsi="Times New Roman" w:cs="Times New Roman"/>
          <w:i/>
          <w:lang w:val="hr-HR"/>
        </w:rPr>
      </w:pPr>
    </w:p>
    <w:p w:rsidR="004D038C" w:rsidRPr="004D038C" w:rsidRDefault="004D038C" w:rsidP="004D038C">
      <w:pPr>
        <w:widowControl w:val="0"/>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lang w:val="hr-HR"/>
        </w:rPr>
        <w:t xml:space="preserve">Tabela 3: </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i/>
          <w:lang w:val="hr-HR"/>
        </w:rPr>
        <w:t>Neželjene reakcije koje su prijavljene u integrisanoj bezbjednosnoj populaciji liječenoj monoterapijom dabrafeniba (n=578)</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647"/>
        <w:gridCol w:w="3581"/>
      </w:tblGrid>
      <w:tr w:rsidR="004D038C" w:rsidRPr="004D038C" w:rsidTr="00C020F1">
        <w:trPr>
          <w:trHeight w:val="284"/>
          <w:tblHeader/>
        </w:trPr>
        <w:tc>
          <w:tcPr>
            <w:tcW w:w="1762" w:type="pct"/>
            <w:tcBorders>
              <w:bottom w:val="single" w:sz="4" w:space="0" w:color="auto"/>
            </w:tcBorders>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Klasa sistema organa</w:t>
            </w:r>
          </w:p>
        </w:tc>
        <w:tc>
          <w:tcPr>
            <w:tcW w:w="1376" w:type="pct"/>
          </w:tcPr>
          <w:p w:rsidR="004D038C" w:rsidRPr="004D038C" w:rsidRDefault="004D038C" w:rsidP="00C020F1">
            <w:pPr>
              <w:keepNext/>
              <w:tabs>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Učestalost (svi stepeni)</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Neželjena dejstva</w:t>
            </w:r>
          </w:p>
        </w:tc>
      </w:tr>
      <w:tr w:rsidR="004D038C" w:rsidRPr="004D038C" w:rsidTr="00C020F1">
        <w:trPr>
          <w:trHeight w:val="284"/>
        </w:trPr>
        <w:tc>
          <w:tcPr>
            <w:tcW w:w="1762" w:type="pct"/>
            <w:vMerge w:val="restart"/>
            <w:tcBorders>
              <w:top w:val="single" w:sz="4" w:space="0" w:color="auto"/>
            </w:tcBorders>
            <w:vAlign w:val="center"/>
          </w:tcPr>
          <w:p w:rsidR="004D038C" w:rsidRPr="004D038C" w:rsidRDefault="004D038C" w:rsidP="00C020F1">
            <w:pPr>
              <w:keepNext/>
              <w:tabs>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lang w:val="hr-HR"/>
              </w:rPr>
              <w:t>Neoplazme – benigne, maligne i neodređene (uključujući ciste i polipe)</w:t>
            </w: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Papilom</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vertAlign w:val="superscript"/>
                <w:lang w:val="hr-HR"/>
              </w:rPr>
            </w:pPr>
            <w:r w:rsidRPr="004D038C">
              <w:rPr>
                <w:rFonts w:ascii="Times New Roman" w:eastAsia="Times New Roman" w:hAnsi="Times New Roman" w:cs="Times New Roman"/>
                <w:color w:val="000000"/>
                <w:lang w:val="hr-HR"/>
              </w:rPr>
              <w:t>Planocelularni karcinom kože</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Seboroična keratoza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Akrohordoni (kožne izrasline)</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Bazocelularni karcinom</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Novi primarni melanom</w:t>
            </w:r>
          </w:p>
        </w:tc>
      </w:tr>
      <w:tr w:rsidR="004D038C" w:rsidRPr="004D038C" w:rsidTr="00C020F1">
        <w:trPr>
          <w:trHeight w:val="284"/>
        </w:trPr>
        <w:tc>
          <w:tcPr>
            <w:tcW w:w="1762" w:type="pct"/>
            <w:tcBorders>
              <w:top w:val="single" w:sz="4" w:space="0" w:color="auto"/>
            </w:tcBorders>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imunog sistema</w:t>
            </w: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Preosjetljivost</w:t>
            </w:r>
          </w:p>
        </w:tc>
      </w:tr>
      <w:tr w:rsidR="004D038C" w:rsidRPr="004D038C" w:rsidTr="00C020F1">
        <w:trPr>
          <w:trHeight w:val="284"/>
        </w:trPr>
        <w:tc>
          <w:tcPr>
            <w:tcW w:w="1762"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metabolizma i ishrane</w:t>
            </w: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Smanjen apetit</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Hipofosfatemija</w:t>
            </w:r>
          </w:p>
        </w:tc>
      </w:tr>
      <w:tr w:rsidR="004D038C" w:rsidRPr="004D038C" w:rsidTr="00C020F1">
        <w:trPr>
          <w:trHeight w:val="284"/>
        </w:trPr>
        <w:tc>
          <w:tcPr>
            <w:tcW w:w="1762" w:type="pct"/>
            <w:vMerge/>
            <w:tcBorders>
              <w:bottom w:val="nil"/>
            </w:tcBorders>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Hiperglikemija</w:t>
            </w:r>
          </w:p>
        </w:tc>
      </w:tr>
      <w:tr w:rsidR="004D038C" w:rsidRPr="004D038C" w:rsidTr="00C020F1">
        <w:trPr>
          <w:trHeight w:val="284"/>
        </w:trPr>
        <w:tc>
          <w:tcPr>
            <w:tcW w:w="1762"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nervnog sistema</w:t>
            </w: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Glavobolja</w:t>
            </w:r>
          </w:p>
        </w:tc>
      </w:tr>
      <w:tr w:rsidR="004D038C" w:rsidRPr="004D038C" w:rsidTr="00C020F1">
        <w:trPr>
          <w:trHeight w:val="284"/>
        </w:trPr>
        <w:tc>
          <w:tcPr>
            <w:tcW w:w="1762" w:type="pct"/>
            <w:tcBorders>
              <w:bottom w:val="single" w:sz="4" w:space="0" w:color="auto"/>
            </w:tcBorders>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oka</w:t>
            </w: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Uveitis</w:t>
            </w:r>
          </w:p>
        </w:tc>
      </w:tr>
      <w:tr w:rsidR="004D038C" w:rsidRPr="004D038C" w:rsidTr="00C020F1">
        <w:trPr>
          <w:trHeight w:val="284"/>
        </w:trPr>
        <w:tc>
          <w:tcPr>
            <w:tcW w:w="1762"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Respiratorni, torakalni i medijastinalni poremećaji</w:t>
            </w: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Kašalj</w:t>
            </w:r>
          </w:p>
        </w:tc>
      </w:tr>
      <w:tr w:rsidR="004D038C" w:rsidRPr="004D038C" w:rsidTr="00C020F1">
        <w:trPr>
          <w:trHeight w:val="284"/>
        </w:trPr>
        <w:tc>
          <w:tcPr>
            <w:tcW w:w="1762" w:type="pct"/>
            <w:vMerge w:val="restart"/>
            <w:vAlign w:val="center"/>
          </w:tcPr>
          <w:p w:rsidR="004D038C" w:rsidRPr="004D038C" w:rsidRDefault="004D038C" w:rsidP="00C020F1">
            <w:pPr>
              <w:keepNext/>
              <w:tabs>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Gastrointestinalni poremećaji</w:t>
            </w: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Mučnina </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Povraćanje</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Dijareja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Konstipacija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lang w:val="hr-HR"/>
              </w:rPr>
              <w:t>Pankreatitis</w:t>
            </w:r>
          </w:p>
        </w:tc>
      </w:tr>
      <w:tr w:rsidR="004D038C" w:rsidRPr="004D038C" w:rsidTr="00C020F1">
        <w:trPr>
          <w:trHeight w:val="284"/>
        </w:trPr>
        <w:tc>
          <w:tcPr>
            <w:tcW w:w="1762"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kože i potkožnog tkiva</w:t>
            </w: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Hiperkeratoza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Alopecija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Osip</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Sindrom palmarno-plantarne eritrodizestezije </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Suva koža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Pruritus</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Aktinična keratoza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Kožne lezije</w:t>
            </w:r>
          </w:p>
        </w:tc>
      </w:tr>
      <w:tr w:rsidR="004D038C" w:rsidRPr="004D038C" w:rsidTr="00C020F1">
        <w:trPr>
          <w:trHeight w:val="143"/>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Eritem</w:t>
            </w:r>
          </w:p>
        </w:tc>
      </w:tr>
      <w:tr w:rsidR="004D038C" w:rsidRPr="004D038C" w:rsidTr="00C020F1">
        <w:trPr>
          <w:trHeight w:val="142"/>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Reakcije fotosenzitivnosti</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Panikulitis</w:t>
            </w:r>
          </w:p>
        </w:tc>
      </w:tr>
      <w:tr w:rsidR="004D038C" w:rsidRPr="004D038C" w:rsidTr="00C020F1">
        <w:trPr>
          <w:trHeight w:val="284"/>
        </w:trPr>
        <w:tc>
          <w:tcPr>
            <w:tcW w:w="1762"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mišićno-koštanog sistema i vezivnog tkiva</w:t>
            </w: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exact"/>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Artralgija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exact"/>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Mialgija</w:t>
            </w:r>
          </w:p>
        </w:tc>
      </w:tr>
      <w:tr w:rsidR="004D038C" w:rsidRPr="004D038C" w:rsidTr="00C020F1">
        <w:trPr>
          <w:trHeight w:val="284"/>
        </w:trPr>
        <w:tc>
          <w:tcPr>
            <w:tcW w:w="1762"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Bolovi u ekstremitetima</w:t>
            </w:r>
          </w:p>
        </w:tc>
      </w:tr>
      <w:tr w:rsidR="004D038C" w:rsidRPr="004D038C" w:rsidTr="00C020F1">
        <w:trPr>
          <w:trHeight w:val="284"/>
        </w:trPr>
        <w:tc>
          <w:tcPr>
            <w:tcW w:w="1762" w:type="pct"/>
            <w:vMerge w:val="restart"/>
            <w:vAlign w:val="center"/>
          </w:tcPr>
          <w:p w:rsidR="004D038C" w:rsidRPr="004D038C" w:rsidRDefault="004D038C" w:rsidP="00C020F1">
            <w:pPr>
              <w:keepNext/>
              <w:tabs>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bubrega i urinarnog sistema</w:t>
            </w:r>
          </w:p>
        </w:tc>
        <w:tc>
          <w:tcPr>
            <w:tcW w:w="1376"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1862" w:type="pct"/>
          </w:tcPr>
          <w:p w:rsidR="004D038C" w:rsidRPr="004D038C" w:rsidRDefault="004D038C" w:rsidP="00C020F1">
            <w:pPr>
              <w:keepNext/>
              <w:tabs>
                <w:tab w:val="left" w:pos="821"/>
                <w:tab w:val="left" w:pos="1094"/>
              </w:tabs>
              <w:spacing w:after="0" w:line="240" w:lineRule="auto"/>
              <w:ind w:right="-113"/>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Bubrežna insuficijencija, akutna bubrežna insuficijencija</w:t>
            </w:r>
          </w:p>
        </w:tc>
      </w:tr>
      <w:tr w:rsidR="004D038C" w:rsidRPr="004D038C" w:rsidTr="00C020F1">
        <w:trPr>
          <w:trHeight w:val="284"/>
        </w:trPr>
        <w:tc>
          <w:tcPr>
            <w:tcW w:w="1762" w:type="pct"/>
            <w:vMerge/>
            <w:tcBorders>
              <w:bottom w:val="single" w:sz="4" w:space="0" w:color="auto"/>
            </w:tcBorders>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Nefritis</w:t>
            </w:r>
          </w:p>
        </w:tc>
      </w:tr>
      <w:tr w:rsidR="004D038C" w:rsidRPr="004D038C" w:rsidTr="00C020F1">
        <w:trPr>
          <w:trHeight w:val="284"/>
        </w:trPr>
        <w:tc>
          <w:tcPr>
            <w:tcW w:w="1762" w:type="pct"/>
            <w:vMerge w:val="restart"/>
            <w:vAlign w:val="center"/>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Opšti poremećaji i reakcije na mjestu primjene</w:t>
            </w:r>
          </w:p>
        </w:tc>
        <w:tc>
          <w:tcPr>
            <w:tcW w:w="1376" w:type="pct"/>
            <w:vMerge w:val="restart"/>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1862" w:type="pct"/>
          </w:tcPr>
          <w:p w:rsidR="004D038C" w:rsidRPr="004D038C" w:rsidRDefault="004D038C" w:rsidP="00C020F1">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Pireksija</w:t>
            </w:r>
          </w:p>
        </w:tc>
      </w:tr>
      <w:tr w:rsidR="004D038C" w:rsidRPr="004D038C" w:rsidTr="00C020F1">
        <w:trPr>
          <w:trHeight w:val="284"/>
        </w:trPr>
        <w:tc>
          <w:tcPr>
            <w:tcW w:w="1762"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Umor</w:t>
            </w:r>
          </w:p>
        </w:tc>
      </w:tr>
      <w:tr w:rsidR="004D038C" w:rsidRPr="004D038C" w:rsidTr="00C020F1">
        <w:trPr>
          <w:trHeight w:val="284"/>
        </w:trPr>
        <w:tc>
          <w:tcPr>
            <w:tcW w:w="1762"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Jeza</w:t>
            </w:r>
          </w:p>
        </w:tc>
      </w:tr>
      <w:tr w:rsidR="004D038C" w:rsidRPr="004D038C" w:rsidTr="00C020F1">
        <w:trPr>
          <w:trHeight w:val="284"/>
        </w:trPr>
        <w:tc>
          <w:tcPr>
            <w:tcW w:w="1762"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1862" w:type="pct"/>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Astenija</w:t>
            </w:r>
          </w:p>
        </w:tc>
      </w:tr>
      <w:tr w:rsidR="004D038C" w:rsidRPr="004D038C" w:rsidTr="00C020F1">
        <w:trPr>
          <w:trHeight w:val="284"/>
        </w:trPr>
        <w:tc>
          <w:tcPr>
            <w:tcW w:w="1762" w:type="pct"/>
            <w:vMerge/>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1376" w:type="pct"/>
            <w:vAlign w:val="center"/>
          </w:tcPr>
          <w:p w:rsidR="004D038C" w:rsidRPr="004D038C" w:rsidRDefault="004D038C" w:rsidP="00C020F1">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1862" w:type="pct"/>
          </w:tcPr>
          <w:p w:rsidR="004D038C" w:rsidRPr="004D038C" w:rsidRDefault="004D038C" w:rsidP="00C020F1">
            <w:pPr>
              <w:widowControl w:val="0"/>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Bolest slična gripu</w:t>
            </w:r>
          </w:p>
        </w:tc>
      </w:tr>
    </w:tbl>
    <w:p w:rsidR="004D038C" w:rsidRPr="004D038C" w:rsidRDefault="004D038C" w:rsidP="004D038C">
      <w:pPr>
        <w:widowControl w:val="0"/>
        <w:spacing w:after="0" w:line="240" w:lineRule="auto"/>
        <w:rPr>
          <w:rFonts w:ascii="Times New Roman" w:eastAsia="Times New Roman" w:hAnsi="Times New Roman" w:cs="Times New Roman"/>
          <w:lang w:val="hr-HR"/>
        </w:rPr>
      </w:pPr>
    </w:p>
    <w:p w:rsidR="000844C9" w:rsidRPr="004D038C" w:rsidRDefault="000844C9" w:rsidP="000844C9">
      <w:pPr>
        <w:widowControl w:val="0"/>
        <w:spacing w:after="0" w:line="240" w:lineRule="auto"/>
        <w:rPr>
          <w:rFonts w:ascii="Times New Roman" w:eastAsia="Times New Roman" w:hAnsi="Times New Roman" w:cs="Times New Roman"/>
          <w:i/>
          <w:lang w:val="hr-HR"/>
        </w:rPr>
      </w:pPr>
      <w:r>
        <w:rPr>
          <w:rFonts w:ascii="Times New Roman" w:eastAsia="Times New Roman" w:hAnsi="Times New Roman" w:cs="Times New Roman"/>
          <w:i/>
          <w:lang w:val="hr-HR"/>
        </w:rPr>
        <w:t>T</w:t>
      </w:r>
      <w:r w:rsidRPr="004D038C">
        <w:rPr>
          <w:rFonts w:ascii="Times New Roman" w:eastAsia="Times New Roman" w:hAnsi="Times New Roman" w:cs="Times New Roman"/>
          <w:i/>
          <w:lang w:val="hr-HR"/>
        </w:rPr>
        <w:t>abela 4: Neželjene reakcije prijavljene u integrisanoj bezbjednosnoj populaciji liječenoj dabrafenibom u kombinaciji sa trametinibom (n=641)</w:t>
      </w:r>
    </w:p>
    <w:p w:rsidR="00C020F1" w:rsidRDefault="00C020F1" w:rsidP="004D038C">
      <w:pPr>
        <w:widowControl w:val="0"/>
        <w:spacing w:after="0" w:line="240" w:lineRule="auto"/>
        <w:rPr>
          <w:rFonts w:ascii="Times New Roman" w:eastAsia="Times New Roman" w:hAnsi="Times New Roman" w:cs="Times New Roman"/>
          <w:i/>
          <w:lang w:val="hr-HR"/>
        </w:rPr>
      </w:pPr>
    </w:p>
    <w:tbl>
      <w:tblPr>
        <w:tblpPr w:leftFromText="180" w:rightFromText="180" w:vertAnchor="text" w:tblpY="1"/>
        <w:tblOverlap w:val="neve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2678"/>
        <w:gridCol w:w="3523"/>
      </w:tblGrid>
      <w:tr w:rsidR="000844C9" w:rsidRPr="004D038C" w:rsidTr="001515DE">
        <w:tc>
          <w:tcPr>
            <w:tcW w:w="3100"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Klasa sistema organa</w:t>
            </w:r>
          </w:p>
        </w:tc>
        <w:tc>
          <w:tcPr>
            <w:tcW w:w="2678"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Učestalost (svi stepeni)</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Neželjena dejstva</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Infekcije i infestacije</w:t>
            </w:r>
          </w:p>
        </w:tc>
        <w:tc>
          <w:tcPr>
            <w:tcW w:w="2678" w:type="dxa"/>
            <w:vMerge w:val="restart"/>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Infekcije urinarnog trakta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p>
        </w:tc>
        <w:tc>
          <w:tcPr>
            <w:tcW w:w="2678" w:type="dxa"/>
            <w:vMerge/>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Nazofaringitis</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p>
        </w:tc>
        <w:tc>
          <w:tcPr>
            <w:tcW w:w="2678" w:type="dxa"/>
            <w:vMerge w:val="restart"/>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lang w:val="hr-HR"/>
              </w:rPr>
              <w:t xml:space="preserve">Celulitis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p>
        </w:tc>
        <w:tc>
          <w:tcPr>
            <w:tcW w:w="2678" w:type="dxa"/>
            <w:vMerge/>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lang w:val="hr-HR"/>
              </w:rPr>
              <w:t xml:space="preserve">Folikulitis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p>
        </w:tc>
        <w:tc>
          <w:tcPr>
            <w:tcW w:w="2678" w:type="dxa"/>
            <w:vMerge/>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lang w:val="hr-HR"/>
              </w:rPr>
              <w:t>Paronihija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lang w:val="hr-HR"/>
              </w:rPr>
            </w:pPr>
          </w:p>
        </w:tc>
        <w:tc>
          <w:tcPr>
            <w:tcW w:w="2678" w:type="dxa"/>
            <w:vMerge/>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lang w:val="hr-HR"/>
              </w:rPr>
              <w:t>Pustulozni osip</w:t>
            </w:r>
          </w:p>
        </w:tc>
      </w:tr>
      <w:tr w:rsidR="000844C9" w:rsidRPr="004D038C" w:rsidTr="001515DE">
        <w:tc>
          <w:tcPr>
            <w:tcW w:w="3100" w:type="dxa"/>
            <w:vMerge w:val="restart"/>
            <w:shd w:val="clear" w:color="auto" w:fill="auto"/>
            <w:vAlign w:val="center"/>
          </w:tcPr>
          <w:p w:rsidR="000844C9" w:rsidRPr="000844C9" w:rsidRDefault="000844C9" w:rsidP="001515DE">
            <w:pPr>
              <w:keepNext/>
              <w:tabs>
                <w:tab w:val="left" w:pos="821"/>
                <w:tab w:val="left" w:pos="1094"/>
              </w:tabs>
              <w:spacing w:after="0" w:line="240" w:lineRule="auto"/>
              <w:rPr>
                <w:rFonts w:ascii="Times New Roman" w:eastAsia="Times New Roman" w:hAnsi="Times New Roman" w:cs="Times New Roman"/>
                <w:b/>
                <w:color w:val="000000"/>
                <w:lang w:val="hr-HR"/>
              </w:rPr>
            </w:pPr>
            <w:r w:rsidRPr="000844C9">
              <w:rPr>
                <w:rFonts w:ascii="Times New Roman" w:eastAsia="Times New Roman" w:hAnsi="Times New Roman" w:cs="Times New Roman"/>
                <w:b/>
                <w:lang w:val="hr-HR"/>
              </w:rPr>
              <w:t>Neoplazme – benigne, maligne i neodređene (uključujući ciste i polipe)</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Planocelularni karcinom kože</w:t>
            </w:r>
            <w:r w:rsidRPr="004D038C">
              <w:rPr>
                <w:rFonts w:ascii="Times New Roman" w:eastAsia="Times New Roman" w:hAnsi="Times New Roman" w:cs="Times New Roman"/>
                <w:color w:val="000000"/>
                <w:vertAlign w:val="superscript"/>
                <w:lang w:val="hr-HR"/>
              </w:rPr>
              <w:t>a</w:t>
            </w:r>
            <w:r w:rsidRPr="004D038C">
              <w:rPr>
                <w:rFonts w:ascii="Times New Roman" w:eastAsia="Times New Roman" w:hAnsi="Times New Roman" w:cs="Times New Roman"/>
                <w:color w:val="000000"/>
                <w:lang w:val="hr-HR"/>
              </w:rPr>
              <w:t xml:space="preserve">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vertAlign w:val="superscript"/>
                <w:lang w:val="hr-HR"/>
              </w:rPr>
            </w:pPr>
            <w:r w:rsidRPr="004D038C">
              <w:rPr>
                <w:rFonts w:ascii="Times New Roman" w:eastAsia="Times New Roman" w:hAnsi="Times New Roman" w:cs="Times New Roman"/>
                <w:color w:val="000000"/>
                <w:lang w:val="hr-HR"/>
              </w:rPr>
              <w:t>Papilom</w:t>
            </w:r>
            <w:r w:rsidRPr="004D038C">
              <w:rPr>
                <w:rFonts w:ascii="Times New Roman" w:eastAsia="Times New Roman" w:hAnsi="Times New Roman" w:cs="Times New Roman"/>
                <w:color w:val="000000"/>
                <w:vertAlign w:val="superscript"/>
                <w:lang w:val="hr-HR"/>
              </w:rPr>
              <w:t>b</w:t>
            </w:r>
          </w:p>
        </w:tc>
      </w:tr>
      <w:tr w:rsidR="000844C9" w:rsidRPr="004D038C" w:rsidTr="001515DE">
        <w:trPr>
          <w:trHeight w:val="516"/>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Seboroična keratoza</w:t>
            </w:r>
          </w:p>
        </w:tc>
      </w:tr>
      <w:tr w:rsidR="000844C9" w:rsidRPr="004D038C" w:rsidTr="001515DE">
        <w:trPr>
          <w:trHeight w:val="278"/>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Novi primarni melanom</w:t>
            </w:r>
          </w:p>
        </w:tc>
      </w:tr>
      <w:tr w:rsidR="000844C9" w:rsidRPr="004D038C" w:rsidTr="001515DE">
        <w:trPr>
          <w:trHeight w:val="277"/>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0844C9"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0844C9">
              <w:rPr>
                <w:rFonts w:ascii="Times New Roman" w:eastAsia="Times New Roman" w:hAnsi="Times New Roman" w:cs="Times New Roman"/>
                <w:color w:val="000000"/>
                <w:lang w:val="hr-HR"/>
              </w:rPr>
              <w:t>Akrohordoni (kožne izrasline)</w:t>
            </w:r>
          </w:p>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lastRenderedPageBreak/>
              <w:t>Poremećaji krvi i limfnog sistema</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Neutropenija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Anemija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Trombocitopenija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Leukopenija</w:t>
            </w:r>
          </w:p>
        </w:tc>
      </w:tr>
      <w:tr w:rsidR="000844C9" w:rsidRPr="004D038C" w:rsidTr="001515DE">
        <w:tc>
          <w:tcPr>
            <w:tcW w:w="3100"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imunog sistema</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Preosjetljivost</w:t>
            </w:r>
            <w:r w:rsidRPr="004D038C">
              <w:rPr>
                <w:rFonts w:ascii="Times New Roman" w:eastAsia="Times New Roman" w:hAnsi="Times New Roman" w:cs="Times New Roman"/>
                <w:color w:val="000000"/>
                <w:vertAlign w:val="superscript"/>
                <w:lang w:val="hr-HR"/>
              </w:rPr>
              <w:t>c</w:t>
            </w:r>
            <w:r w:rsidRPr="004D038C">
              <w:rPr>
                <w:rFonts w:ascii="Times New Roman" w:eastAsia="Times New Roman" w:hAnsi="Times New Roman" w:cs="Times New Roman"/>
                <w:color w:val="000000"/>
                <w:lang w:val="hr-HR"/>
              </w:rPr>
              <w:t xml:space="preserve"> </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metabolizma i ishrane</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Smanjen apetit</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Dehidratacija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Hiponatrijemija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Hipofosfatemija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Hiperglikemija</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nervnog sistema</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Glavobolja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Vrtoglavica</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oka</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Zamućen vid</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Oštećenje vida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Horioretinopatija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Uveitis</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Odvajanje retine</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Preorbitalni edem</w:t>
            </w:r>
          </w:p>
        </w:tc>
      </w:tr>
      <w:tr w:rsidR="000844C9" w:rsidRPr="004D038C" w:rsidTr="001515DE">
        <w:trPr>
          <w:trHeight w:val="516"/>
        </w:trPr>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r w:rsidRPr="004D038C">
              <w:rPr>
                <w:rFonts w:ascii="Times New Roman" w:eastAsia="Times New Roman" w:hAnsi="Times New Roman" w:cs="Times New Roman"/>
                <w:b/>
                <w:color w:val="000000"/>
                <w:lang w:val="hr-HR"/>
              </w:rPr>
              <w:t>Kardiološki poremećaji</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Smanjenje ejekcione frakcije</w:t>
            </w:r>
          </w:p>
        </w:tc>
      </w:tr>
      <w:tr w:rsidR="000844C9" w:rsidRPr="004D038C" w:rsidTr="001515DE">
        <w:trPr>
          <w:trHeight w:val="128"/>
        </w:trPr>
        <w:tc>
          <w:tcPr>
            <w:tcW w:w="3100" w:type="dxa"/>
            <w:vMerge/>
            <w:shd w:val="clear" w:color="auto" w:fill="auto"/>
            <w:vAlign w:val="center"/>
          </w:tcPr>
          <w:p w:rsidR="000844C9" w:rsidRPr="004D038C" w:rsidDel="00116681"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Bradikardija</w:t>
            </w:r>
          </w:p>
        </w:tc>
      </w:tr>
      <w:tr w:rsidR="000844C9" w:rsidRPr="004D038C" w:rsidTr="001515DE">
        <w:trPr>
          <w:trHeight w:val="127"/>
        </w:trPr>
        <w:tc>
          <w:tcPr>
            <w:tcW w:w="3100" w:type="dxa"/>
            <w:vMerge/>
            <w:shd w:val="clear" w:color="auto" w:fill="auto"/>
            <w:vAlign w:val="center"/>
          </w:tcPr>
          <w:p w:rsidR="000844C9" w:rsidRPr="004D038C" w:rsidDel="00116681"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Nepoznata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Miokarditis</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r w:rsidRPr="004D038C">
              <w:rPr>
                <w:rFonts w:ascii="Times New Roman" w:eastAsia="Times New Roman" w:hAnsi="Times New Roman" w:cs="Times New Roman"/>
                <w:b/>
                <w:color w:val="000000"/>
                <w:lang w:val="hr-HR"/>
              </w:rPr>
              <w:t>Vaskularni poremećaji</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Hipertenzija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Krvarenje</w:t>
            </w:r>
            <w:r w:rsidRPr="004D038C">
              <w:rPr>
                <w:rFonts w:ascii="Times New Roman" w:eastAsia="Times New Roman" w:hAnsi="Times New Roman" w:cs="Times New Roman"/>
                <w:color w:val="000000"/>
                <w:vertAlign w:val="superscript"/>
                <w:lang w:val="hr-HR"/>
              </w:rPr>
              <w:t>d</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Hipotenzija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Limfedem</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Respiratorni, torakalni i medijastinalni poremećaji</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Kašalj</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Dispnea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bCs/>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Pneumonitis </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Gastrointestinalni poremećaji</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Abdominalni bol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Konstipacija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Dijareja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Mučnina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Povraćanje</w:t>
            </w:r>
          </w:p>
        </w:tc>
      </w:tr>
      <w:tr w:rsidR="000844C9" w:rsidRPr="004D038C" w:rsidTr="001515DE">
        <w:trPr>
          <w:trHeight w:val="128"/>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Suva usta</w:t>
            </w:r>
          </w:p>
        </w:tc>
      </w:tr>
      <w:tr w:rsidR="000844C9" w:rsidRPr="004D038C" w:rsidTr="001515DE">
        <w:trPr>
          <w:trHeight w:val="253"/>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Stomatitis</w:t>
            </w:r>
          </w:p>
        </w:tc>
      </w:tr>
      <w:tr w:rsidR="000844C9" w:rsidRPr="004D038C" w:rsidTr="001515DE">
        <w:trPr>
          <w:trHeight w:val="85"/>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Pankreatitis</w:t>
            </w:r>
          </w:p>
        </w:tc>
      </w:tr>
      <w:tr w:rsidR="000844C9" w:rsidRPr="004D038C" w:rsidTr="001515DE">
        <w:trPr>
          <w:trHeight w:val="85"/>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Gastrointestinalne perforacije</w:t>
            </w:r>
          </w:p>
        </w:tc>
      </w:tr>
      <w:tr w:rsidR="000844C9" w:rsidRPr="004D038C" w:rsidTr="001515DE">
        <w:trPr>
          <w:trHeight w:val="85"/>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Kolitis</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kože i potkožnog tkiva</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Suva koža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Pruritus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Osip</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Eritem</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Akneiformni dermatitis</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Aktinična keratoza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Noćno znojenje</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Hiperkeratoza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Alopecija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Sindrom palmarno-plantarne eritrodizestezije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Kožne lezije</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Hiperhidroza </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Panikulitis </w:t>
            </w:r>
          </w:p>
        </w:tc>
      </w:tr>
      <w:tr w:rsidR="000844C9" w:rsidRPr="004D038C" w:rsidTr="001515DE">
        <w:trPr>
          <w:trHeight w:val="128"/>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Kožne fisure</w:t>
            </w:r>
          </w:p>
        </w:tc>
      </w:tr>
      <w:tr w:rsidR="000844C9" w:rsidRPr="004D038C" w:rsidTr="001515DE">
        <w:trPr>
          <w:trHeight w:val="127"/>
        </w:trPr>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Reakcije fotosenzitivnosti</w:t>
            </w:r>
          </w:p>
        </w:tc>
      </w:tr>
      <w:tr w:rsidR="000844C9" w:rsidRPr="004D038C" w:rsidTr="001515DE">
        <w:tc>
          <w:tcPr>
            <w:tcW w:w="3100" w:type="dxa"/>
            <w:vMerge w:val="restart"/>
            <w:shd w:val="clear" w:color="auto" w:fill="auto"/>
            <w:vAlign w:val="center"/>
          </w:tcPr>
          <w:p w:rsidR="000844C9" w:rsidRPr="000844C9"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0844C9">
              <w:rPr>
                <w:rFonts w:ascii="Times New Roman" w:eastAsia="Times New Roman" w:hAnsi="Times New Roman" w:cs="Times New Roman"/>
                <w:b/>
                <w:color w:val="000000"/>
                <w:lang w:val="hr-HR"/>
              </w:rPr>
              <w:t>Poremećaji mišićno-koštanog sistema i vezivnog tkiva</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exact"/>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exact"/>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Artralgija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exact"/>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Mialgija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Bolovi u ekstremitetima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Spazam mišića</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Poremećaji bubrega i urinarnog sistema</w:t>
            </w: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keepNext/>
              <w:tabs>
                <w:tab w:val="left" w:pos="821"/>
                <w:tab w:val="left" w:pos="1094"/>
              </w:tabs>
              <w:spacing w:after="0" w:line="240" w:lineRule="auto"/>
              <w:ind w:right="-113"/>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Bubrežna insuficijencija</w:t>
            </w:r>
          </w:p>
        </w:tc>
      </w:tr>
      <w:tr w:rsidR="000844C9" w:rsidRPr="004D038C" w:rsidTr="001515DE">
        <w:tc>
          <w:tcPr>
            <w:tcW w:w="3100" w:type="dxa"/>
            <w:vMerge/>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Povremena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Nefritis</w:t>
            </w:r>
          </w:p>
        </w:tc>
      </w:tr>
      <w:tr w:rsidR="000844C9" w:rsidRPr="004D038C" w:rsidTr="001515DE">
        <w:tc>
          <w:tcPr>
            <w:tcW w:w="3100"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Opšti poremećaji i reakcije na mjestu primjene</w:t>
            </w:r>
          </w:p>
        </w:tc>
        <w:tc>
          <w:tcPr>
            <w:tcW w:w="2678" w:type="dxa"/>
            <w:vMerge w:val="restart"/>
            <w:shd w:val="clear" w:color="auto" w:fill="auto"/>
            <w:vAlign w:val="center"/>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keepNext/>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Umor</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Jeza</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Astenija</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Periferni edem</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widowControl w:val="0"/>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Pireksija </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RDefault="000844C9" w:rsidP="001515DE">
            <w:pPr>
              <w:widowControl w:val="0"/>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Inflamacija mukoze</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widowControl w:val="0"/>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Bolest slična gripu</w:t>
            </w:r>
          </w:p>
        </w:tc>
      </w:tr>
      <w:tr w:rsidR="000844C9" w:rsidRPr="004D038C" w:rsidTr="001515DE">
        <w:tc>
          <w:tcPr>
            <w:tcW w:w="3100"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RDefault="000844C9" w:rsidP="001515DE">
            <w:pPr>
              <w:widowControl w:val="0"/>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Edem lica</w:t>
            </w:r>
          </w:p>
        </w:tc>
      </w:tr>
      <w:tr w:rsidR="000844C9" w:rsidRPr="004D038C" w:rsidTr="001515DE">
        <w:trPr>
          <w:trHeight w:val="51"/>
        </w:trPr>
        <w:tc>
          <w:tcPr>
            <w:tcW w:w="3100" w:type="dxa"/>
            <w:vMerge w:val="restart"/>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r w:rsidRPr="004D038C">
              <w:rPr>
                <w:rFonts w:ascii="Times New Roman" w:eastAsia="Times New Roman" w:hAnsi="Times New Roman" w:cs="Times New Roman"/>
                <w:b/>
                <w:color w:val="000000"/>
                <w:lang w:val="hr-HR"/>
              </w:rPr>
              <w:t>Ispitivanja</w:t>
            </w:r>
          </w:p>
        </w:tc>
        <w:tc>
          <w:tcPr>
            <w:tcW w:w="2678" w:type="dxa"/>
            <w:vMerge w:val="restart"/>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Veoma česta</w:t>
            </w:r>
          </w:p>
        </w:tc>
        <w:tc>
          <w:tcPr>
            <w:tcW w:w="3523" w:type="dxa"/>
            <w:shd w:val="clear" w:color="auto" w:fill="auto"/>
          </w:tcPr>
          <w:p w:rsidR="000844C9" w:rsidRPr="004D038C" w:rsidRDefault="000844C9" w:rsidP="001515DE">
            <w:pPr>
              <w:widowControl w:val="0"/>
              <w:tabs>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Povišena alanin aminotransferaza</w:t>
            </w:r>
          </w:p>
        </w:tc>
      </w:tr>
      <w:tr w:rsidR="000844C9" w:rsidRPr="004D038C" w:rsidTr="001515DE">
        <w:trPr>
          <w:trHeight w:val="51"/>
        </w:trPr>
        <w:tc>
          <w:tcPr>
            <w:tcW w:w="3100" w:type="dxa"/>
            <w:vMerge/>
            <w:shd w:val="clear" w:color="auto" w:fill="auto"/>
            <w:vAlign w:val="center"/>
          </w:tcPr>
          <w:p w:rsidR="000844C9" w:rsidRPr="004D038C" w:rsidDel="008D4594"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Del="0069506F" w:rsidRDefault="000844C9" w:rsidP="001515DE">
            <w:pPr>
              <w:widowControl w:val="0"/>
              <w:tabs>
                <w:tab w:val="left" w:pos="821"/>
                <w:tab w:val="left" w:pos="1094"/>
              </w:tabs>
              <w:spacing w:after="0" w:line="240" w:lineRule="auto"/>
              <w:rPr>
                <w:rFonts w:ascii="Times New Roman" w:eastAsia="Times New Roman" w:hAnsi="Times New Roman" w:cs="Times New Roman"/>
                <w:lang w:val="sr-Latn-RS"/>
              </w:rPr>
            </w:pPr>
            <w:r w:rsidRPr="004D038C">
              <w:rPr>
                <w:rFonts w:ascii="Times New Roman" w:eastAsia="Times New Roman" w:hAnsi="Times New Roman" w:cs="Times New Roman"/>
                <w:lang w:val="sr-Latn-RS"/>
              </w:rPr>
              <w:t>Povišena aspartat aminotransferaza</w:t>
            </w:r>
          </w:p>
        </w:tc>
      </w:tr>
      <w:tr w:rsidR="000844C9" w:rsidRPr="004D038C" w:rsidTr="001515DE">
        <w:trPr>
          <w:trHeight w:val="51"/>
        </w:trPr>
        <w:tc>
          <w:tcPr>
            <w:tcW w:w="3100" w:type="dxa"/>
            <w:vMerge/>
            <w:shd w:val="clear" w:color="auto" w:fill="auto"/>
            <w:vAlign w:val="center"/>
          </w:tcPr>
          <w:p w:rsidR="000844C9" w:rsidRPr="004D038C" w:rsidDel="008D4594"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val="restart"/>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Česta</w:t>
            </w:r>
          </w:p>
        </w:tc>
        <w:tc>
          <w:tcPr>
            <w:tcW w:w="3523" w:type="dxa"/>
            <w:shd w:val="clear" w:color="auto" w:fill="auto"/>
          </w:tcPr>
          <w:p w:rsidR="000844C9" w:rsidRPr="004D038C" w:rsidDel="0069506F" w:rsidRDefault="000844C9" w:rsidP="001515DE">
            <w:pPr>
              <w:widowControl w:val="0"/>
              <w:tabs>
                <w:tab w:val="left" w:pos="821"/>
                <w:tab w:val="left" w:pos="1094"/>
              </w:tabs>
              <w:spacing w:after="0" w:line="240" w:lineRule="auto"/>
              <w:rPr>
                <w:rFonts w:ascii="Times New Roman" w:eastAsia="Times New Roman" w:hAnsi="Times New Roman" w:cs="Times New Roman"/>
                <w:lang w:val="sr-Latn-RS"/>
              </w:rPr>
            </w:pPr>
            <w:r w:rsidRPr="004D038C">
              <w:rPr>
                <w:rFonts w:ascii="Times New Roman" w:eastAsia="Times New Roman" w:hAnsi="Times New Roman" w:cs="Times New Roman"/>
                <w:lang w:val="sr-Latn-RS"/>
              </w:rPr>
              <w:t>Povišena alkalna fosfataza u krvi</w:t>
            </w:r>
          </w:p>
        </w:tc>
      </w:tr>
      <w:tr w:rsidR="000844C9" w:rsidRPr="004D038C" w:rsidTr="001515DE">
        <w:trPr>
          <w:trHeight w:val="51"/>
        </w:trPr>
        <w:tc>
          <w:tcPr>
            <w:tcW w:w="3100" w:type="dxa"/>
            <w:vMerge/>
            <w:shd w:val="clear" w:color="auto" w:fill="auto"/>
            <w:vAlign w:val="center"/>
          </w:tcPr>
          <w:p w:rsidR="000844C9" w:rsidRPr="004D038C" w:rsidDel="008D4594"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Del="0069506F" w:rsidRDefault="000844C9" w:rsidP="001515DE">
            <w:pPr>
              <w:widowControl w:val="0"/>
              <w:tabs>
                <w:tab w:val="left" w:pos="821"/>
                <w:tab w:val="left" w:pos="1094"/>
              </w:tabs>
              <w:spacing w:after="0" w:line="240" w:lineRule="auto"/>
              <w:rPr>
                <w:rFonts w:ascii="Times New Roman" w:eastAsia="Times New Roman" w:hAnsi="Times New Roman" w:cs="Times New Roman"/>
                <w:lang w:val="sr-Latn-RS"/>
              </w:rPr>
            </w:pPr>
            <w:r w:rsidRPr="004D038C">
              <w:rPr>
                <w:rFonts w:ascii="Times New Roman" w:eastAsia="Times New Roman" w:hAnsi="Times New Roman" w:cs="Times New Roman"/>
                <w:lang w:val="sr-Latn-RS"/>
              </w:rPr>
              <w:t>Povišena gama-glutamil transferaza</w:t>
            </w:r>
          </w:p>
        </w:tc>
      </w:tr>
      <w:tr w:rsidR="000844C9" w:rsidRPr="004D038C" w:rsidTr="001515DE">
        <w:trPr>
          <w:trHeight w:val="51"/>
        </w:trPr>
        <w:tc>
          <w:tcPr>
            <w:tcW w:w="3100" w:type="dxa"/>
            <w:vMerge/>
            <w:shd w:val="clear" w:color="auto" w:fill="auto"/>
            <w:vAlign w:val="center"/>
          </w:tcPr>
          <w:p w:rsidR="000844C9" w:rsidRPr="004D038C" w:rsidDel="008D4594"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b/>
                <w:color w:val="000000"/>
                <w:lang w:val="hr-HR"/>
              </w:rPr>
            </w:pPr>
          </w:p>
        </w:tc>
        <w:tc>
          <w:tcPr>
            <w:tcW w:w="2678" w:type="dxa"/>
            <w:vMerge/>
            <w:shd w:val="clear" w:color="auto" w:fill="auto"/>
            <w:vAlign w:val="center"/>
          </w:tcPr>
          <w:p w:rsidR="000844C9" w:rsidRPr="004D038C" w:rsidRDefault="000844C9" w:rsidP="001515DE">
            <w:pPr>
              <w:widowControl w:val="0"/>
              <w:tabs>
                <w:tab w:val="left" w:pos="274"/>
                <w:tab w:val="left" w:pos="821"/>
                <w:tab w:val="left" w:pos="1094"/>
              </w:tabs>
              <w:spacing w:after="0" w:line="240" w:lineRule="auto"/>
              <w:rPr>
                <w:rFonts w:ascii="Times New Roman" w:eastAsia="Times New Roman" w:hAnsi="Times New Roman" w:cs="Times New Roman"/>
                <w:color w:val="000000"/>
                <w:lang w:val="hr-HR"/>
              </w:rPr>
            </w:pPr>
          </w:p>
        </w:tc>
        <w:tc>
          <w:tcPr>
            <w:tcW w:w="3523" w:type="dxa"/>
            <w:shd w:val="clear" w:color="auto" w:fill="auto"/>
          </w:tcPr>
          <w:p w:rsidR="000844C9" w:rsidRPr="004D038C" w:rsidDel="0069506F" w:rsidRDefault="000844C9" w:rsidP="001515DE">
            <w:pPr>
              <w:widowControl w:val="0"/>
              <w:tabs>
                <w:tab w:val="left" w:pos="821"/>
                <w:tab w:val="left" w:pos="1094"/>
              </w:tabs>
              <w:spacing w:after="0" w:line="240" w:lineRule="auto"/>
              <w:rPr>
                <w:rFonts w:ascii="Times New Roman" w:eastAsia="Times New Roman" w:hAnsi="Times New Roman" w:cs="Times New Roman"/>
                <w:lang w:val="sr-Latn-RS"/>
              </w:rPr>
            </w:pPr>
            <w:r w:rsidRPr="004D038C">
              <w:rPr>
                <w:rFonts w:ascii="Times New Roman" w:eastAsia="Times New Roman" w:hAnsi="Times New Roman" w:cs="Times New Roman"/>
                <w:lang w:val="sr-Latn-RS"/>
              </w:rPr>
              <w:t>Povišena kreatin fosfokinaza u krvi</w:t>
            </w:r>
          </w:p>
        </w:tc>
      </w:tr>
      <w:tr w:rsidR="000844C9" w:rsidRPr="004D038C" w:rsidTr="001515DE">
        <w:tc>
          <w:tcPr>
            <w:tcW w:w="9301" w:type="dxa"/>
            <w:gridSpan w:val="3"/>
            <w:shd w:val="clear" w:color="auto" w:fill="auto"/>
            <w:vAlign w:val="center"/>
          </w:tcPr>
          <w:p w:rsidR="000844C9" w:rsidRPr="004D038C" w:rsidRDefault="000844C9" w:rsidP="001515DE">
            <w:pPr>
              <w:keepNext/>
              <w:spacing w:after="0" w:line="240" w:lineRule="auto"/>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vertAlign w:val="superscript"/>
                <w:lang w:val="hr-HR"/>
              </w:rPr>
              <w:t>a</w:t>
            </w:r>
            <w:r w:rsidRPr="004D038C">
              <w:rPr>
                <w:rFonts w:ascii="Times New Roman" w:eastAsia="Times New Roman" w:hAnsi="Times New Roman" w:cs="Times New Roman"/>
                <w:sz w:val="18"/>
                <w:szCs w:val="18"/>
                <w:lang w:val="hr-HR"/>
              </w:rPr>
              <w:t xml:space="preserve"> cuSCC: SCC, SCC kože, SCC in situ (Bowen-ova bolest) i keratoakantom</w:t>
            </w:r>
          </w:p>
          <w:p w:rsidR="000844C9" w:rsidRPr="004D038C" w:rsidRDefault="000844C9" w:rsidP="001515DE">
            <w:pPr>
              <w:keepNext/>
              <w:spacing w:after="0" w:line="240" w:lineRule="auto"/>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vertAlign w:val="superscript"/>
                <w:lang w:val="hr-HR"/>
              </w:rPr>
              <w:t>b</w:t>
            </w:r>
            <w:r w:rsidRPr="004D038C">
              <w:rPr>
                <w:rFonts w:ascii="Times New Roman" w:eastAsia="Times New Roman" w:hAnsi="Times New Roman" w:cs="Times New Roman"/>
                <w:sz w:val="18"/>
                <w:szCs w:val="18"/>
                <w:lang w:val="hr-HR"/>
              </w:rPr>
              <w:t xml:space="preserve"> Papilom, papilom kože</w:t>
            </w:r>
          </w:p>
          <w:p w:rsidR="000844C9" w:rsidRPr="004D038C" w:rsidRDefault="000844C9" w:rsidP="001515DE">
            <w:pPr>
              <w:keepNext/>
              <w:spacing w:after="0" w:line="240" w:lineRule="auto"/>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vertAlign w:val="superscript"/>
                <w:lang w:val="hr-HR"/>
              </w:rPr>
              <w:t xml:space="preserve">c </w:t>
            </w:r>
            <w:r w:rsidRPr="004D038C">
              <w:rPr>
                <w:rFonts w:ascii="Times New Roman" w:eastAsia="Times New Roman" w:hAnsi="Times New Roman" w:cs="Times New Roman"/>
                <w:sz w:val="18"/>
                <w:szCs w:val="18"/>
                <w:lang w:val="hr-HR"/>
              </w:rPr>
              <w:t>Uključuje hipersenzitivnost na lijek</w:t>
            </w:r>
          </w:p>
          <w:p w:rsidR="000844C9" w:rsidRPr="004D038C" w:rsidRDefault="000844C9" w:rsidP="001515DE">
            <w:pPr>
              <w:keepNext/>
              <w:spacing w:after="0" w:line="240" w:lineRule="auto"/>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vertAlign w:val="superscript"/>
                <w:lang w:val="hr-HR"/>
              </w:rPr>
              <w:t>d</w:t>
            </w:r>
            <w:r w:rsidRPr="004D038C">
              <w:rPr>
                <w:rFonts w:ascii="Times New Roman" w:eastAsia="Times New Roman" w:hAnsi="Times New Roman" w:cs="Times New Roman"/>
                <w:sz w:val="18"/>
                <w:szCs w:val="18"/>
                <w:lang w:val="hr-HR"/>
              </w:rPr>
              <w:t xml:space="preserve"> Krvarenje sa različitih mjesta, uključujući intrakranijalno i fatalno krvarenje</w:t>
            </w:r>
          </w:p>
        </w:tc>
      </w:tr>
    </w:tbl>
    <w:p w:rsidR="000844C9" w:rsidRDefault="000844C9" w:rsidP="004D038C">
      <w:pPr>
        <w:widowControl w:val="0"/>
        <w:spacing w:after="0" w:line="240" w:lineRule="auto"/>
        <w:rPr>
          <w:rFonts w:ascii="Times New Roman" w:eastAsia="Times New Roman" w:hAnsi="Times New Roman" w:cs="Times New Roman"/>
          <w:i/>
          <w:lang w:val="hr-HR"/>
        </w:rPr>
      </w:pPr>
    </w:p>
    <w:p w:rsidR="004D038C" w:rsidRPr="004D038C" w:rsidRDefault="004D038C" w:rsidP="004D038C">
      <w:pPr>
        <w:keepNext/>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Opis određenih neželjenih dejstava</w:t>
      </w:r>
    </w:p>
    <w:p w:rsidR="004D038C" w:rsidRPr="004D038C" w:rsidRDefault="004D038C" w:rsidP="004D038C">
      <w:pPr>
        <w:keepNext/>
        <w:spacing w:after="0" w:line="240" w:lineRule="auto"/>
        <w:rPr>
          <w:rFonts w:ascii="Times New Roman" w:eastAsia="Times New Roman" w:hAnsi="Times New Roman" w:cs="Times New Roman"/>
          <w:lang w:val="hr-HR"/>
        </w:rPr>
      </w:pPr>
    </w:p>
    <w:p w:rsidR="004D038C" w:rsidRPr="00C020F1" w:rsidRDefault="00C020F1" w:rsidP="004D038C">
      <w:pPr>
        <w:keepNext/>
        <w:spacing w:after="0" w:line="240" w:lineRule="auto"/>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t>Planocelularni karcinom kože</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studiji MEK115306 kod 10% pacijenata koji su uzimali dabrafenib kao monoterapiju zabilježeni su slučajevi planocelularnog karcinoma kože (koji obuhvataju one koji su klasifikovani kao keratoakantom ili podtipove mješovitog keratoakantoma), a oko 70% događaja zabilježeno je u okviru prvih 12 nedjelja liječenja sa medijanom vremena prvog javljanja od 8 nedjelja.</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lang w:val="hr-HR"/>
        </w:rPr>
        <w:t>U integrisanoj bezbjednosnoj populaciji pacijenata koji su uzimali dabrafenib u kombinaciji sa trametinibom, 2% pacijenata je razvilo planocelularni karcinom kože i događaji su se dogodili kasnije nego kod monoterapije dabrafenibom sa medijanom vremena prvog javljanja od 31 nedjelje. Svi pacijenti koji su uzimali dabrafenib kao monoterapiju ili u kombinaciji sa trametinibom, a koji su razvili planocelularni karcinom kože, nastavili su sa liječenjem bez prilagođavanja doze.</w:t>
      </w:r>
    </w:p>
    <w:p w:rsidR="004D038C" w:rsidRPr="00C020F1" w:rsidRDefault="00C020F1" w:rsidP="004D038C">
      <w:pPr>
        <w:widowControl w:val="0"/>
        <w:spacing w:after="0" w:line="240" w:lineRule="auto"/>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lastRenderedPageBreak/>
        <w:t>Novi primarni melanom</w:t>
      </w:r>
    </w:p>
    <w:p w:rsidR="000844C9" w:rsidRDefault="000844C9" w:rsidP="004D038C">
      <w:pPr>
        <w:widowControl w:val="0"/>
        <w:spacing w:after="0" w:line="240" w:lineRule="auto"/>
        <w:jc w:val="both"/>
        <w:rPr>
          <w:rFonts w:ascii="Times New Roman" w:eastAsia="Times New Roman" w:hAnsi="Times New Roman" w:cs="Times New Roman"/>
          <w:iCs/>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bCs/>
          <w:iCs/>
          <w:lang w:val="hr-HR"/>
        </w:rPr>
      </w:pPr>
      <w:r w:rsidRPr="004D038C">
        <w:rPr>
          <w:rFonts w:ascii="Times New Roman" w:eastAsia="Times New Roman" w:hAnsi="Times New Roman" w:cs="Times New Roman"/>
          <w:iCs/>
          <w:lang w:val="hr-HR"/>
        </w:rPr>
        <w:t>U kliničkim ispitivanjima za melanom zabilježeni su slučajevi pojave novih primarnih melanoma kod primjene dabrafeniba kao monoterapije i u kombinaciji sa trametinibom. Slučajevi su riješeni ekscizijom i nisu zahtijevali prilagođavanje terapije (vidjeti odjeljak 4.4).</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iCs/>
          <w:lang w:val="hr-HR"/>
        </w:rPr>
        <w:t>Nije prijavljen novi slučaj primarnog melanoma u studiji faze II za nemikrocelularni karcinom pluća NSCLC (BRF113928).</w:t>
      </w:r>
    </w:p>
    <w:p w:rsidR="004D038C" w:rsidRPr="004D038C" w:rsidRDefault="004D038C" w:rsidP="004D038C">
      <w:pPr>
        <w:widowControl w:val="0"/>
        <w:spacing w:after="0" w:line="240" w:lineRule="auto"/>
        <w:rPr>
          <w:rFonts w:ascii="Times New Roman" w:eastAsia="Times New Roman" w:hAnsi="Times New Roman" w:cs="Times New Roman"/>
          <w:bCs/>
          <w:iCs/>
          <w:lang w:val="hr-HR"/>
        </w:rPr>
      </w:pPr>
    </w:p>
    <w:p w:rsidR="004D038C" w:rsidRPr="00C020F1" w:rsidRDefault="004D038C" w:rsidP="004D038C">
      <w:pPr>
        <w:keepNext/>
        <w:spacing w:after="0" w:line="240" w:lineRule="auto"/>
        <w:rPr>
          <w:rFonts w:ascii="Times New Roman" w:eastAsia="Times New Roman" w:hAnsi="Times New Roman" w:cs="Times New Roman"/>
          <w:bCs/>
          <w:i/>
          <w:iCs/>
          <w:u w:val="single"/>
          <w:lang w:val="hr-HR"/>
        </w:rPr>
      </w:pPr>
      <w:r w:rsidRPr="004D038C">
        <w:rPr>
          <w:rFonts w:ascii="Times New Roman" w:eastAsia="Times New Roman" w:hAnsi="Times New Roman" w:cs="Times New Roman"/>
          <w:i/>
          <w:iCs/>
          <w:u w:val="single"/>
          <w:lang w:val="hr-HR"/>
        </w:rPr>
        <w:t>Ne-kožni maligni tumori</w:t>
      </w:r>
    </w:p>
    <w:p w:rsidR="000844C9" w:rsidRDefault="000844C9" w:rsidP="004D038C">
      <w:pPr>
        <w:widowControl w:val="0"/>
        <w:spacing w:after="0" w:line="240" w:lineRule="auto"/>
        <w:jc w:val="both"/>
        <w:rPr>
          <w:rFonts w:ascii="Times New Roman" w:eastAsia="Times New Roman" w:hAnsi="Times New Roman" w:cs="Times New Roman"/>
          <w:iCs/>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Cs/>
          <w:lang w:val="hr-HR"/>
        </w:rPr>
        <w:t xml:space="preserve">Aktivacija signalnog puta MAP-kinaze u ćelijama sa </w:t>
      </w:r>
      <w:r w:rsidRPr="004D038C">
        <w:rPr>
          <w:rFonts w:ascii="Times New Roman" w:eastAsia="Times New Roman" w:hAnsi="Times New Roman" w:cs="Times New Roman"/>
          <w:i/>
          <w:iCs/>
          <w:lang w:val="hr-HR"/>
        </w:rPr>
        <w:t>wild type</w:t>
      </w:r>
      <w:r w:rsidRPr="004D038C">
        <w:rPr>
          <w:rFonts w:ascii="Times New Roman" w:eastAsia="Times New Roman" w:hAnsi="Times New Roman" w:cs="Times New Roman"/>
          <w:iCs/>
          <w:lang w:val="hr-HR"/>
        </w:rPr>
        <w:t xml:space="preserve"> BRAF genom, koje su izložene BRAF inhibitorima, može dovesti do povećanog rizika od ne-kožnih malignih tumora, uključujući i one sa RAS mutacijama (vidjeti odjeljak 4.4). Ne-kožni maligni tumori su prijavljeni kod 1% (6/586) pacijenata koji su uzimali dabrafenib kao monoterapiju </w:t>
      </w:r>
      <w:r w:rsidRPr="004D038C">
        <w:rPr>
          <w:rFonts w:ascii="Times New Roman" w:eastAsia="Times New Roman" w:hAnsi="Times New Roman" w:cs="Times New Roman"/>
          <w:iCs/>
          <w:sz w:val="24"/>
          <w:szCs w:val="24"/>
          <w:lang w:val="hr-HR"/>
        </w:rPr>
        <w:t>u integrisanoj bezbjednosnoj populaciji</w:t>
      </w:r>
      <w:r w:rsidRPr="004D038C">
        <w:rPr>
          <w:rFonts w:ascii="Times New Roman" w:eastAsia="Times New Roman" w:hAnsi="Times New Roman" w:cs="Times New Roman"/>
          <w:iCs/>
          <w:lang w:val="hr-HR"/>
        </w:rPr>
        <w:t>, i kod 1% (7/641) pacijenata u integrisanoj bezbjednosnoj populaciji u kojoj su uzimali kombinaciju dabrafeniba sa trametinibom. Prilikom primjene dabrafeniba kao monoterapije i u kombinaciji sa trametinibom primijećeni su slučajevi RAS-om indukovanih malignih tumora. Pacijente je potrebno pratiti na odgovarajući način zavisno od kliničke slike.</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C020F1" w:rsidRDefault="00C020F1" w:rsidP="004D038C">
      <w:pPr>
        <w:keepNext/>
        <w:spacing w:after="0" w:line="240" w:lineRule="auto"/>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t>Krvarenje</w:t>
      </w:r>
    </w:p>
    <w:p w:rsidR="000844C9" w:rsidRDefault="000844C9" w:rsidP="004D038C">
      <w:pPr>
        <w:keepNext/>
        <w:spacing w:after="0" w:line="240" w:lineRule="auto"/>
        <w:rPr>
          <w:rFonts w:ascii="Times New Roman" w:eastAsia="Times New Roman" w:hAnsi="Times New Roman" w:cs="Times New Roman"/>
          <w:iCs/>
          <w:lang w:val="hr-HR"/>
        </w:rPr>
      </w:pPr>
    </w:p>
    <w:p w:rsidR="004D038C" w:rsidRPr="004D038C" w:rsidRDefault="004D038C" w:rsidP="004D038C">
      <w:pPr>
        <w:keepNext/>
        <w:spacing w:after="0" w:line="240" w:lineRule="auto"/>
        <w:rPr>
          <w:rFonts w:ascii="Times New Roman" w:eastAsia="Times New Roman" w:hAnsi="Times New Roman" w:cs="Times New Roman"/>
          <w:iCs/>
          <w:lang w:val="hr-HR"/>
        </w:rPr>
      </w:pPr>
      <w:r w:rsidRPr="004D038C">
        <w:rPr>
          <w:rFonts w:ascii="Times New Roman" w:eastAsia="Times New Roman" w:hAnsi="Times New Roman" w:cs="Times New Roman"/>
          <w:iCs/>
          <w:lang w:val="hr-HR"/>
        </w:rPr>
        <w:t xml:space="preserve">Kod pacijenata koji su uzimali dabrafenib u kombinaciji sa trametinibom zabilježeni su hemoragijski događaji, uključujući teška i fatalna krvarenja. Pogledajte Sažetak karakteristika lijeka za trametinib. </w:t>
      </w:r>
    </w:p>
    <w:p w:rsidR="004D038C" w:rsidRPr="004D038C" w:rsidRDefault="004D038C" w:rsidP="004D038C">
      <w:pPr>
        <w:widowControl w:val="0"/>
        <w:spacing w:after="0" w:line="240" w:lineRule="auto"/>
        <w:rPr>
          <w:rFonts w:ascii="Times New Roman" w:eastAsia="Times New Roman" w:hAnsi="Times New Roman" w:cs="Times New Roman"/>
          <w:i/>
          <w:sz w:val="24"/>
          <w:szCs w:val="24"/>
          <w:lang w:val="hr-HR"/>
        </w:rPr>
      </w:pPr>
    </w:p>
    <w:p w:rsidR="004D038C" w:rsidRPr="004D038C" w:rsidRDefault="004D038C" w:rsidP="004D038C">
      <w:pPr>
        <w:keepNext/>
        <w:spacing w:after="0" w:line="240" w:lineRule="auto"/>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 xml:space="preserve">Smanjenje </w:t>
      </w:r>
      <w:r w:rsidR="00C020F1">
        <w:rPr>
          <w:rFonts w:ascii="Times New Roman" w:eastAsia="Times New Roman" w:hAnsi="Times New Roman" w:cs="Times New Roman"/>
          <w:i/>
          <w:iCs/>
          <w:u w:val="single"/>
          <w:lang w:val="hr-HR"/>
        </w:rPr>
        <w:t xml:space="preserve">LVEF/disfunkcija lijeve komore </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integrisanoj bezbjednosnoj populaciji prijavljeno je smanjenje LVEF 8% (54/641) pacijenata koji su uzimali dabrafenib u kombinaciji sa trametinibom. Većina slučajeva je bila asimptomatska i reverzibilna. Pacijenti čija je vrijednost LVEF bila niža od donje granice normalnih vrijednosti za ustanovu nijesu bili uključivani u klinička ispitivanja sa dabrafenibom. Dabrafenib u kombinaciji sa trametinibom trebalo bi da se daje sa oprezom kod pacijenata čije je stanje takvo da bi moglo doći do oštećenja funkcije lijeve komore. Pogledajte Sažetak karakteristika lijeka za trametinib.</w:t>
      </w:r>
    </w:p>
    <w:p w:rsidR="004D038C" w:rsidRPr="004D038C" w:rsidRDefault="004D038C" w:rsidP="004D038C">
      <w:pPr>
        <w:widowControl w:val="0"/>
        <w:spacing w:after="0" w:line="240" w:lineRule="auto"/>
        <w:jc w:val="both"/>
        <w:rPr>
          <w:rFonts w:ascii="Times New Roman" w:eastAsia="Times New Roman" w:hAnsi="Times New Roman" w:cs="Times New Roman"/>
          <w:i/>
          <w:lang w:val="hr-HR"/>
        </w:rPr>
      </w:pPr>
    </w:p>
    <w:p w:rsidR="004D038C" w:rsidRPr="00C020F1" w:rsidRDefault="004D038C" w:rsidP="004D038C">
      <w:pPr>
        <w:keepNext/>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i/>
          <w:iCs/>
          <w:u w:val="single"/>
          <w:lang w:val="hr-HR"/>
        </w:rPr>
        <w:t>Pireksija</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0844C9" w:rsidRDefault="004D038C" w:rsidP="000844C9">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kliničkim ispitivanjima dabrafeniba kao monoterapije i u kombinaciji sa trametinibom zabilježena je povišena temperatura. Incidenca i težina pireksije povećavaju se pri primjeni kombinovane terapije (vidjeti odjeljak 4.4). Kod pacijenata koji su primali dabrafenib u kombinaciji sa trametinibom kod kojih se pojavila povišena temperatura, otprilike polovina prvog pojavljivanja pireksije dogodila se tokom prvog mjeseca liječenja i otprilike trećina pacijenata je imala 3 ili više događaja. Kod 1% pacijenata u integrisanoj bezbjednosnoj populaciji koji su uzimali dabrafenib kao monoterapiju identifikovani su slučajevi ozbiljne neinfektivne groznice, koji su bili definisani kao groznica praćena teškom drhtavicom, dehidratacijom, hipotenzijom i/ili prerenalnom akutnom bubrežnom insuficijencijom kod pacijenata čije su početne vrijednosti bubrežne funkcije bile normalne. Navedeni slučajevi ozbiljne neinfektivne groznice tipično su se javljali u prvom mjesecu uzimanja terapije. Pacijenti kod kojih se javila ozbiljna neinfektivna groznica su dobro reagovali na prekid doziranja i/ili smanjenje doze i potpornu terapiju (vidjeti odjeljke 4.2 i 4.4).</w:t>
      </w:r>
    </w:p>
    <w:p w:rsidR="004D038C" w:rsidRPr="00C020F1" w:rsidRDefault="00C020F1" w:rsidP="004D038C">
      <w:pPr>
        <w:keepNext/>
        <w:spacing w:after="0" w:line="240" w:lineRule="auto"/>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lastRenderedPageBreak/>
        <w:t>Događaji na nivou jetre</w:t>
      </w:r>
    </w:p>
    <w:p w:rsidR="000844C9" w:rsidRDefault="000844C9" w:rsidP="004D038C">
      <w:pPr>
        <w:keepNext/>
        <w:spacing w:after="0" w:line="240" w:lineRule="auto"/>
        <w:jc w:val="both"/>
        <w:rPr>
          <w:rFonts w:ascii="Times New Roman" w:eastAsia="Times New Roman" w:hAnsi="Times New Roman" w:cs="Times New Roman"/>
          <w:iCs/>
          <w:lang w:val="hr-HR"/>
        </w:rPr>
      </w:pPr>
    </w:p>
    <w:p w:rsidR="004D038C" w:rsidRPr="004D038C" w:rsidRDefault="004D038C" w:rsidP="004D038C">
      <w:pPr>
        <w:keepNext/>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iCs/>
          <w:lang w:val="hr-HR"/>
        </w:rPr>
        <w:t xml:space="preserve">Neželjena dejstva na nivou jetre zabilježena su u kliničkim ispitivanjima dabrafeniba u kombinaciji sa trametinibom. Pogledajte Sažetak karakteristika lijeka za trametinib. </w:t>
      </w:r>
    </w:p>
    <w:p w:rsidR="004D038C" w:rsidRPr="004D038C" w:rsidRDefault="004D038C" w:rsidP="004D038C">
      <w:pPr>
        <w:keepNext/>
        <w:spacing w:after="0" w:line="240" w:lineRule="auto"/>
        <w:rPr>
          <w:rFonts w:ascii="Times New Roman" w:eastAsia="Times New Roman" w:hAnsi="Times New Roman" w:cs="Times New Roman"/>
          <w:iCs/>
          <w:lang w:val="hr-HR"/>
        </w:rPr>
      </w:pPr>
    </w:p>
    <w:p w:rsidR="004D038C" w:rsidRPr="00C020F1" w:rsidRDefault="00C020F1" w:rsidP="004D038C">
      <w:pPr>
        <w:keepNext/>
        <w:spacing w:after="0" w:line="240" w:lineRule="auto"/>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t>Hipertenzija</w:t>
      </w:r>
    </w:p>
    <w:p w:rsidR="000844C9" w:rsidRDefault="000844C9" w:rsidP="004D038C">
      <w:pPr>
        <w:keepNext/>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lang w:val="hr-HR"/>
        </w:rPr>
        <w:t>Povećanje krvnog pritiska zabilježeno je u vezi sa kombinovanom terapijom dabrafeniba i trametiniba kod pacijenata sa postojećom hipertenzijom, kao i kod pacijenata bez ranije prisutne hipertenzije.</w:t>
      </w:r>
      <w:r w:rsidRPr="004D038C">
        <w:rPr>
          <w:rFonts w:ascii="Times New Roman" w:eastAsia="Times New Roman" w:hAnsi="Times New Roman" w:cs="Times New Roman"/>
          <w:iCs/>
          <w:lang w:val="hr-HR"/>
        </w:rPr>
        <w:t xml:space="preserve"> Potrebno je zabilježiti krvni pritisak na početku liječenja i pratiti ga tokom liječenja, uz kontrolu hipertenzije standardnom terapijom prema potrebi.</w:t>
      </w:r>
    </w:p>
    <w:p w:rsidR="004D038C" w:rsidRPr="004D038C" w:rsidRDefault="004D038C" w:rsidP="004D038C">
      <w:pPr>
        <w:keepNext/>
        <w:spacing w:after="0" w:line="240" w:lineRule="auto"/>
        <w:rPr>
          <w:rFonts w:ascii="Times New Roman" w:eastAsia="Times New Roman" w:hAnsi="Times New Roman" w:cs="Times New Roman"/>
          <w:iCs/>
          <w:lang w:val="hr-HR"/>
        </w:rPr>
      </w:pPr>
    </w:p>
    <w:p w:rsidR="004D038C" w:rsidRPr="00C020F1" w:rsidRDefault="00C020F1" w:rsidP="004D038C">
      <w:pPr>
        <w:keepNext/>
        <w:spacing w:after="0" w:line="240" w:lineRule="auto"/>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t>Artralgija</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Artralgija je prijavljivana veoma često u integrisanoj bezbjednosnoj populaciji u kojoj je uziman dabrafenib kao monoterapija (25%) i dabrafenib u kombinaciji sa trametinibom (26%) i uglavnom se radilo o gradusu 1 i 2 dok je gradus 3 primijećen povremeno (&lt; 1%), a događaji gradusa 4 nisu bili zabilježeni.</w:t>
      </w:r>
    </w:p>
    <w:p w:rsidR="004D038C" w:rsidRPr="004D038C" w:rsidRDefault="004D038C" w:rsidP="004D038C">
      <w:pPr>
        <w:widowControl w:val="0"/>
        <w:spacing w:after="0" w:line="240" w:lineRule="auto"/>
        <w:jc w:val="both"/>
        <w:rPr>
          <w:rFonts w:ascii="Times New Roman" w:eastAsia="Times New Roman" w:hAnsi="Times New Roman" w:cs="Times New Roman"/>
          <w:sz w:val="24"/>
          <w:szCs w:val="24"/>
          <w:lang w:val="hr-HR"/>
        </w:rPr>
      </w:pPr>
    </w:p>
    <w:p w:rsidR="004D038C" w:rsidRPr="00C020F1" w:rsidRDefault="004D038C" w:rsidP="004D038C">
      <w:pPr>
        <w:keepNext/>
        <w:spacing w:after="0" w:line="240" w:lineRule="auto"/>
        <w:rPr>
          <w:rFonts w:ascii="Times New Roman" w:eastAsia="Times New Roman" w:hAnsi="Times New Roman" w:cs="Times New Roman"/>
          <w:i/>
          <w:u w:val="single"/>
          <w:lang w:val="hr-HR"/>
        </w:rPr>
      </w:pPr>
      <w:r w:rsidRPr="004D038C">
        <w:rPr>
          <w:rFonts w:ascii="Times New Roman" w:eastAsia="Times New Roman" w:hAnsi="Times New Roman" w:cs="Times New Roman"/>
          <w:i/>
          <w:iCs/>
          <w:u w:val="single"/>
          <w:lang w:val="hr-HR"/>
        </w:rPr>
        <w:t>Hipofosfatemija</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Hipofosfatemija je često prijavljivana u integrisanoj bezbjednosnoj populaciji u kojoj je uziman dabrafenib kao monoterapija (7%) i dabrafenib u  kombinaciji sa trametinibom (4%). Treba napomenuti da je oko polovine tih slučajeva u primjeni dabrafeniba kao monoterapije (4%) i 1% u primjeni dabrafeniba u kombinaciji sa trametinibom bilo težine gradusa 3.</w:t>
      </w:r>
    </w:p>
    <w:p w:rsidR="004D038C" w:rsidRPr="004D038C" w:rsidRDefault="004D038C" w:rsidP="004D038C">
      <w:pPr>
        <w:widowControl w:val="0"/>
        <w:spacing w:after="0" w:line="240" w:lineRule="auto"/>
        <w:rPr>
          <w:rFonts w:ascii="Times New Roman" w:eastAsia="Times New Roman" w:hAnsi="Times New Roman" w:cs="Times New Roman"/>
          <w:lang w:val="hr-HR"/>
        </w:rPr>
      </w:pPr>
    </w:p>
    <w:p w:rsidR="004D038C" w:rsidRPr="00C020F1" w:rsidRDefault="004D038C" w:rsidP="004D038C">
      <w:pPr>
        <w:keepNext/>
        <w:spacing w:after="0" w:line="240" w:lineRule="auto"/>
        <w:rPr>
          <w:rFonts w:ascii="Times New Roman" w:eastAsia="Times New Roman" w:hAnsi="Times New Roman" w:cs="Times New Roman"/>
          <w:i/>
          <w:u w:val="single"/>
          <w:lang w:val="hr-HR"/>
        </w:rPr>
      </w:pPr>
      <w:r w:rsidRPr="004D038C">
        <w:rPr>
          <w:rFonts w:ascii="Times New Roman" w:eastAsia="Times New Roman" w:hAnsi="Times New Roman" w:cs="Times New Roman"/>
          <w:i/>
          <w:iCs/>
          <w:u w:val="single"/>
          <w:lang w:val="hr-HR"/>
        </w:rPr>
        <w:t>Pankreatitis</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Pankreatitis je zabilježen kod pacijenata koji su primali terapiju dabrafeniba kao monoterapiju i u kombinaciji sa trametinibom. Neobjašnjive bolove u abdomenu potrebno je hitno ispitati, a pregledi treba da obuhvataju mjerenje amilaza i lipaza u serumu. Poslije epizode pankreatitisa, pacijente je potrebno pažljivo pratiti pri ponovnom uvođenju dabrafeniba (vidjeti odjeljak 4.4).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C020F1" w:rsidRDefault="00C020F1" w:rsidP="00C020F1">
      <w:pPr>
        <w:keepNext/>
        <w:tabs>
          <w:tab w:val="left" w:pos="567"/>
        </w:tabs>
        <w:spacing w:after="0" w:line="260" w:lineRule="exact"/>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t>Bubrežna insuficijencija</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Bubrežna insuficijencija zbog prerenalne azotemije povezane sa pireksijom ili granulomatoznog nefritisa, bila su </w:t>
      </w:r>
      <w:r w:rsidRPr="004D038C">
        <w:rPr>
          <w:rFonts w:ascii="Times New Roman" w:eastAsia="Times New Roman" w:hAnsi="Times New Roman" w:cs="Times New Roman"/>
          <w:color w:val="000000"/>
          <w:lang w:val="hr-HR"/>
        </w:rPr>
        <w:t>povremena</w:t>
      </w:r>
      <w:r w:rsidRPr="004D038C">
        <w:rPr>
          <w:rFonts w:ascii="Times New Roman" w:eastAsia="Times New Roman" w:hAnsi="Times New Roman" w:cs="Times New Roman"/>
          <w:lang w:val="hr-HR"/>
        </w:rPr>
        <w:t>; međutim, dabrafenib nije ispitivan kod pacijenata sa inicijalnom bubrežnom insuficijencijom (definisana kao kreatinin &gt;1.5 x GGN). Potreban je oprez u takvim uslovima (vidjeti odjeljak 4.4).</w:t>
      </w:r>
    </w:p>
    <w:p w:rsidR="004D038C" w:rsidRPr="004D038C" w:rsidRDefault="004D038C" w:rsidP="004D038C">
      <w:pPr>
        <w:widowControl w:val="0"/>
        <w:spacing w:after="0" w:line="240" w:lineRule="auto"/>
        <w:rPr>
          <w:rFonts w:ascii="Times New Roman" w:eastAsia="Times New Roman" w:hAnsi="Times New Roman" w:cs="Times New Roman"/>
          <w:bCs/>
          <w:iCs/>
          <w:u w:val="single"/>
          <w:lang w:val="hr-HR"/>
        </w:rPr>
      </w:pPr>
    </w:p>
    <w:p w:rsidR="004D038C" w:rsidRPr="004D038C" w:rsidRDefault="004D038C" w:rsidP="004D038C">
      <w:pPr>
        <w:keepNext/>
        <w:spacing w:after="0" w:line="240" w:lineRule="auto"/>
        <w:rPr>
          <w:rFonts w:ascii="Times New Roman" w:eastAsia="Times New Roman" w:hAnsi="Times New Roman" w:cs="Times New Roman"/>
          <w:iCs/>
          <w:u w:val="single"/>
          <w:lang w:val="hr-HR"/>
        </w:rPr>
      </w:pPr>
      <w:r w:rsidRPr="004D038C">
        <w:rPr>
          <w:rFonts w:ascii="Times New Roman" w:eastAsia="Times New Roman" w:hAnsi="Times New Roman" w:cs="Times New Roman"/>
          <w:iCs/>
          <w:u w:val="single"/>
          <w:lang w:val="hr-HR"/>
        </w:rPr>
        <w:t>Posebne populacije</w:t>
      </w:r>
    </w:p>
    <w:p w:rsidR="004D038C" w:rsidRPr="004D038C" w:rsidRDefault="004D038C" w:rsidP="004D038C">
      <w:pPr>
        <w:keepNext/>
        <w:spacing w:after="0" w:line="240" w:lineRule="auto"/>
        <w:rPr>
          <w:rFonts w:ascii="Times New Roman" w:eastAsia="Times New Roman" w:hAnsi="Times New Roman" w:cs="Times New Roman"/>
          <w:bCs/>
          <w:iCs/>
          <w:u w:val="single"/>
          <w:lang w:val="hr-HR"/>
        </w:rPr>
      </w:pPr>
    </w:p>
    <w:p w:rsidR="004D038C" w:rsidRPr="00C020F1" w:rsidRDefault="004D038C" w:rsidP="004D038C">
      <w:pPr>
        <w:keepNext/>
        <w:tabs>
          <w:tab w:val="left" w:pos="567"/>
        </w:tabs>
        <w:spacing w:after="0" w:line="260" w:lineRule="exact"/>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Stariji</w:t>
      </w:r>
      <w:r w:rsidR="00C020F1">
        <w:rPr>
          <w:rFonts w:ascii="Times New Roman" w:eastAsia="Times New Roman" w:hAnsi="Times New Roman" w:cs="Times New Roman"/>
          <w:i/>
          <w:iCs/>
          <w:u w:val="single"/>
          <w:lang w:val="hr-HR"/>
        </w:rPr>
        <w:t xml:space="preserve"> pacijenti</w:t>
      </w:r>
    </w:p>
    <w:p w:rsidR="000844C9" w:rsidRDefault="000844C9"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Od ukupnog broja ispitanika u  integrisanoj bezbjednosnoj populaciji koja je uzimala dabrafenib kao monoterapiju (n=578), 22% je imalo 65 i više godina, a 6% je imalo 75 godina i više. U poređenju sa mlađim ispitanicima (&lt;65), više je ispitanika od 65 godina ili starijih imalo neželjena dejstva koja su dovela do smanjenja doze ispitivanog lijeka (22% prema 12%) ili prekida liječenja (39% prema 27%). Osim toga, kod </w:t>
      </w:r>
      <w:r w:rsidRPr="004D038C">
        <w:rPr>
          <w:rFonts w:ascii="Times New Roman" w:eastAsia="Times New Roman" w:hAnsi="Times New Roman" w:cs="Times New Roman"/>
          <w:lang w:val="hr-HR"/>
        </w:rPr>
        <w:lastRenderedPageBreak/>
        <w:t xml:space="preserve">starije populacije javljalo se više ozbiljnih neželjenih dejstava nego kod mlađih pacijenata (41% prema 22%). Nije primijećena ukupna razlika u efikasnosti između ove grupe i mlađih pacijenata. </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shd w:val="clear" w:color="auto" w:fill="FFFFFF"/>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U  integrisanoj bezbjednosnoj populaciji koja je uzimala </w:t>
      </w:r>
      <w:r w:rsidRPr="004D038C">
        <w:rPr>
          <w:rFonts w:ascii="Times New Roman" w:eastAsia="Times New Roman" w:hAnsi="Times New Roman" w:cs="Times New Roman"/>
          <w:bdr w:val="none" w:sz="0" w:space="0" w:color="auto" w:frame="1"/>
          <w:lang w:val="hr-HR"/>
        </w:rPr>
        <w:t>dabrafenib u kombinaciji sa trametinibom (n=641), 180 pacijenata (28%) bili su starosti ≥65 godina, 50 pacijenta (8%) bili su starosti ≥75 godina. Odnos pacijenata kod kojih su se ispoljila neželjena dejstva bio je sličan kod onih starosti &lt;65 i onih sa ≥65 godina, u svim studijama. Kod pacijenata starosti ≥ 65 godina veća je vjerovatnoća da će ozbiljna neželjena dejstva i neželjena dejstva dovesti do trajnog ili privremenog prekida terapije, ili smanjenja doze lijeka, nego kod pacijenata starosti &lt;65 godina.</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spacing w:after="200" w:line="276" w:lineRule="auto"/>
        <w:rPr>
          <w:rFonts w:ascii="Times New Roman" w:eastAsia="Calibri" w:hAnsi="Times New Roman" w:cs="Times New Roman"/>
          <w:u w:val="single"/>
          <w:lang w:val="sr-Latn-RS"/>
        </w:rPr>
      </w:pPr>
      <w:r w:rsidRPr="004D038C">
        <w:rPr>
          <w:rFonts w:ascii="Times New Roman" w:eastAsia="Calibri" w:hAnsi="Times New Roman" w:cs="Times New Roman"/>
          <w:u w:val="single"/>
          <w:lang w:val="sr-Latn-RS"/>
        </w:rPr>
        <w:t>Prijavljivanje sumnji na neželjena dejstva</w:t>
      </w:r>
    </w:p>
    <w:p w:rsidR="004D038C" w:rsidRPr="004D038C" w:rsidRDefault="004D038C" w:rsidP="004D038C">
      <w:pPr>
        <w:spacing w:after="200" w:line="240" w:lineRule="auto"/>
        <w:jc w:val="both"/>
        <w:rPr>
          <w:rFonts w:ascii="Times New Roman" w:eastAsia="Calibri" w:hAnsi="Times New Roman" w:cs="Times New Roman"/>
          <w:lang w:val="sr-Latn-RS"/>
        </w:rPr>
      </w:pPr>
      <w:r w:rsidRPr="004D038C">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4D038C" w:rsidRPr="004D038C" w:rsidRDefault="004D038C" w:rsidP="004D038C">
      <w:pPr>
        <w:spacing w:after="0" w:line="240" w:lineRule="auto"/>
        <w:jc w:val="both"/>
        <w:rPr>
          <w:rFonts w:ascii="Times New Roman" w:eastAsia="Calibri" w:hAnsi="Times New Roman" w:cs="Times New Roman"/>
          <w:szCs w:val="24"/>
          <w:lang w:val="sr-Latn-RS"/>
        </w:rPr>
      </w:pPr>
      <w:r w:rsidRPr="004D038C">
        <w:rPr>
          <w:rFonts w:ascii="Times New Roman" w:eastAsia="Calibri" w:hAnsi="Times New Roman" w:cs="Times New Roman"/>
          <w:szCs w:val="24"/>
          <w:lang w:val="sr-Latn-RS"/>
        </w:rPr>
        <w:t>Agencija za ljekove i medicinska sredstva Crne Gore</w:t>
      </w:r>
    </w:p>
    <w:p w:rsidR="004D038C" w:rsidRPr="004D038C" w:rsidRDefault="004D038C" w:rsidP="004D038C">
      <w:pPr>
        <w:spacing w:after="0" w:line="240" w:lineRule="auto"/>
        <w:jc w:val="both"/>
        <w:rPr>
          <w:rFonts w:ascii="Times New Roman" w:eastAsia="Calibri" w:hAnsi="Times New Roman" w:cs="Times New Roman"/>
          <w:szCs w:val="24"/>
          <w:lang w:val="sr-Latn-RS"/>
        </w:rPr>
      </w:pPr>
      <w:r w:rsidRPr="004D038C">
        <w:rPr>
          <w:rFonts w:ascii="Times New Roman" w:eastAsia="Calibri" w:hAnsi="Times New Roman" w:cs="Times New Roman"/>
          <w:szCs w:val="24"/>
          <w:lang w:val="sr-Latn-RS"/>
        </w:rPr>
        <w:t>Odjeljenje za farmakovigilancu</w:t>
      </w:r>
    </w:p>
    <w:p w:rsidR="004D038C" w:rsidRPr="004D038C" w:rsidRDefault="004D038C" w:rsidP="004D038C">
      <w:pPr>
        <w:spacing w:after="0" w:line="240" w:lineRule="auto"/>
        <w:jc w:val="both"/>
        <w:rPr>
          <w:rFonts w:ascii="Times New Roman" w:eastAsia="Calibri" w:hAnsi="Times New Roman" w:cs="Times New Roman"/>
          <w:szCs w:val="24"/>
          <w:lang w:val="sr-Latn-RS"/>
        </w:rPr>
      </w:pPr>
      <w:r w:rsidRPr="004D038C">
        <w:rPr>
          <w:rFonts w:ascii="Times New Roman" w:eastAsia="Calibri" w:hAnsi="Times New Roman" w:cs="Times New Roman"/>
          <w:szCs w:val="24"/>
          <w:lang w:val="sr-Latn-RS"/>
        </w:rPr>
        <w:t>Bulevar Ivana Crnojevića 64a, 81000 Podgorica</w:t>
      </w:r>
    </w:p>
    <w:p w:rsidR="004D038C" w:rsidRPr="004D038C" w:rsidRDefault="004D038C" w:rsidP="004D038C">
      <w:pPr>
        <w:spacing w:after="0" w:line="240" w:lineRule="auto"/>
        <w:rPr>
          <w:rFonts w:ascii="Times New Roman" w:eastAsia="Calibri" w:hAnsi="Times New Roman" w:cs="Times New Roman"/>
          <w:szCs w:val="24"/>
          <w:lang w:val="sr-Latn-RS"/>
        </w:rPr>
      </w:pPr>
    </w:p>
    <w:p w:rsidR="004D038C" w:rsidRPr="004D038C" w:rsidRDefault="004D038C" w:rsidP="004D038C">
      <w:pPr>
        <w:spacing w:after="0" w:line="240" w:lineRule="auto"/>
        <w:jc w:val="both"/>
        <w:rPr>
          <w:rFonts w:ascii="Times New Roman" w:eastAsia="Calibri" w:hAnsi="Times New Roman" w:cs="Times New Roman"/>
          <w:szCs w:val="24"/>
          <w:lang w:val="sr-Latn-RS"/>
        </w:rPr>
      </w:pPr>
      <w:r w:rsidRPr="004D038C">
        <w:rPr>
          <w:rFonts w:ascii="Times New Roman" w:eastAsia="Calibri" w:hAnsi="Times New Roman" w:cs="Times New Roman"/>
          <w:szCs w:val="24"/>
          <w:lang w:val="sr-Latn-RS"/>
        </w:rPr>
        <w:t>tel: +382 (0) 20 310 280</w:t>
      </w:r>
    </w:p>
    <w:p w:rsidR="004D038C" w:rsidRPr="004D038C" w:rsidRDefault="004D038C" w:rsidP="004D038C">
      <w:pPr>
        <w:spacing w:after="0" w:line="240" w:lineRule="auto"/>
        <w:jc w:val="both"/>
        <w:rPr>
          <w:rFonts w:ascii="Times New Roman" w:eastAsia="Calibri" w:hAnsi="Times New Roman" w:cs="Times New Roman"/>
          <w:szCs w:val="24"/>
          <w:lang w:val="sr-Latn-RS"/>
        </w:rPr>
      </w:pPr>
      <w:r w:rsidRPr="004D038C">
        <w:rPr>
          <w:rFonts w:ascii="Times New Roman" w:eastAsia="Calibri" w:hAnsi="Times New Roman" w:cs="Times New Roman"/>
          <w:szCs w:val="24"/>
          <w:lang w:val="sr-Latn-RS"/>
        </w:rPr>
        <w:t>fax: +382 (0) 20 310 581</w:t>
      </w:r>
    </w:p>
    <w:p w:rsidR="004D038C" w:rsidRPr="004D038C" w:rsidRDefault="00DF2D11" w:rsidP="004D038C">
      <w:pPr>
        <w:spacing w:after="0" w:line="240" w:lineRule="auto"/>
        <w:jc w:val="both"/>
        <w:rPr>
          <w:rFonts w:ascii="Times New Roman" w:eastAsia="Calibri" w:hAnsi="Times New Roman" w:cs="Times New Roman"/>
          <w:szCs w:val="24"/>
          <w:lang w:val="sr-Latn-RS"/>
        </w:rPr>
      </w:pPr>
      <w:hyperlink r:id="rId9" w:history="1">
        <w:r w:rsidR="004D038C" w:rsidRPr="004D038C">
          <w:rPr>
            <w:rFonts w:ascii="Times New Roman" w:eastAsia="Calibri" w:hAnsi="Times New Roman" w:cs="Times New Roman"/>
            <w:color w:val="0000FF"/>
            <w:szCs w:val="24"/>
            <w:u w:val="single"/>
            <w:lang w:val="sr-Latn-RS"/>
          </w:rPr>
          <w:t>www.calims.me</w:t>
        </w:r>
      </w:hyperlink>
    </w:p>
    <w:p w:rsidR="004D038C" w:rsidRPr="004D038C" w:rsidRDefault="00DF2D11" w:rsidP="004D038C">
      <w:pPr>
        <w:spacing w:after="0" w:line="240" w:lineRule="auto"/>
        <w:jc w:val="both"/>
        <w:rPr>
          <w:rFonts w:ascii="Times New Roman" w:eastAsia="Calibri" w:hAnsi="Times New Roman" w:cs="Times New Roman"/>
          <w:color w:val="0000FF"/>
          <w:szCs w:val="24"/>
          <w:u w:val="single"/>
          <w:lang w:val="sr-Latn-RS"/>
        </w:rPr>
      </w:pPr>
      <w:hyperlink r:id="rId10" w:history="1">
        <w:r w:rsidR="004D038C" w:rsidRPr="004D038C">
          <w:rPr>
            <w:rFonts w:ascii="Times New Roman" w:eastAsia="Calibri" w:hAnsi="Times New Roman" w:cs="Times New Roman"/>
            <w:color w:val="0000FF"/>
            <w:szCs w:val="24"/>
            <w:u w:val="single"/>
            <w:lang w:val="sr-Latn-RS"/>
          </w:rPr>
          <w:t>nezeljenadejstva@calims.me</w:t>
        </w:r>
      </w:hyperlink>
    </w:p>
    <w:p w:rsidR="004D038C" w:rsidRPr="004D038C" w:rsidRDefault="004D038C" w:rsidP="004D038C">
      <w:pPr>
        <w:spacing w:after="0" w:line="240" w:lineRule="auto"/>
        <w:jc w:val="both"/>
        <w:rPr>
          <w:rFonts w:ascii="Times New Roman" w:eastAsia="Calibri" w:hAnsi="Times New Roman" w:cs="Times New Roman"/>
          <w:szCs w:val="24"/>
          <w:lang w:val="sr-Latn-RS"/>
        </w:rPr>
      </w:pPr>
      <w:r w:rsidRPr="004D038C">
        <w:rPr>
          <w:rFonts w:ascii="Times New Roman" w:eastAsia="Calibri" w:hAnsi="Times New Roman" w:cs="Times New Roman"/>
          <w:szCs w:val="24"/>
          <w:lang w:val="sr-Latn-RS"/>
        </w:rPr>
        <w:t>putem IS zdravstvene zaštite</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sr-Latn-RS"/>
        </w:rPr>
      </w:pPr>
    </w:p>
    <w:p w:rsid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it-IT"/>
        </w:rPr>
      </w:pPr>
      <w:r w:rsidRPr="004D038C">
        <w:rPr>
          <w:rFonts w:ascii="Times New Roman" w:eastAsia="Times New Roman" w:hAnsi="Times New Roman" w:cs="Times New Roman"/>
          <w:b/>
          <w:bCs/>
          <w:lang w:val="it-IT"/>
        </w:rPr>
        <w:t xml:space="preserve">4.9. </w:t>
      </w:r>
      <w:r w:rsidRPr="004D038C">
        <w:rPr>
          <w:rFonts w:ascii="Times New Roman" w:eastAsia="Times New Roman" w:hAnsi="Times New Roman" w:cs="Times New Roman"/>
          <w:b/>
          <w:bCs/>
          <w:lang w:val="it-IT"/>
        </w:rPr>
        <w:tab/>
        <w:t>Predoziranje i mjere koje je potrebno preduzeti</w:t>
      </w:r>
    </w:p>
    <w:p w:rsidR="00C020F1" w:rsidRPr="004D038C" w:rsidRDefault="00C020F1" w:rsidP="004D038C">
      <w:pPr>
        <w:tabs>
          <w:tab w:val="left" w:pos="540"/>
          <w:tab w:val="left" w:pos="569"/>
        </w:tabs>
        <w:spacing w:after="0" w:line="240" w:lineRule="auto"/>
        <w:jc w:val="both"/>
        <w:rPr>
          <w:rFonts w:ascii="Times New Roman" w:eastAsia="Times New Roman" w:hAnsi="Times New Roman" w:cs="Times New Roman"/>
          <w:b/>
          <w:bCs/>
          <w:lang w:val="it-IT"/>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r w:rsidRPr="004D038C">
        <w:rPr>
          <w:rFonts w:ascii="Times New Roman" w:eastAsia="Times New Roman" w:hAnsi="Times New Roman" w:cs="Times New Roman"/>
          <w:lang w:val="hr-HR"/>
        </w:rPr>
        <w:t>Ne postoji specifična terapija za slučaj predoziranja dabrafenibom. Ako dođe do predoziranja, pacijentu treba pružiti potpornu njegu uz odgovarajući nadzor ako se ukaže potreba.</w:t>
      </w:r>
    </w:p>
    <w:p w:rsid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C020F1" w:rsidRPr="004D038C" w:rsidRDefault="00C020F1"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5. </w:t>
      </w:r>
      <w:r w:rsidRPr="004D038C">
        <w:rPr>
          <w:rFonts w:ascii="Times New Roman" w:eastAsia="Times New Roman" w:hAnsi="Times New Roman" w:cs="Times New Roman"/>
          <w:b/>
          <w:bCs/>
          <w:lang w:val="hr-HR"/>
        </w:rPr>
        <w:tab/>
        <w:t>FARMAKOLOŠKI PODACI</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5.1. </w:t>
      </w:r>
      <w:r w:rsidRPr="004D038C">
        <w:rPr>
          <w:rFonts w:ascii="Times New Roman" w:eastAsia="Times New Roman" w:hAnsi="Times New Roman" w:cs="Times New Roman"/>
          <w:b/>
          <w:bCs/>
          <w:lang w:val="hr-HR"/>
        </w:rPr>
        <w:tab/>
        <w:t>Farmakodinamski podaci</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Farmakoterapijska grupa:</w:t>
      </w:r>
      <w:r w:rsidRPr="004D038C" w:rsidDel="00C930D3">
        <w:rPr>
          <w:rFonts w:ascii="Times New Roman" w:eastAsia="Times New Roman" w:hAnsi="Times New Roman" w:cs="Times New Roman"/>
          <w:bCs/>
          <w:lang w:val="hr-HR"/>
        </w:rPr>
        <w:t xml:space="preserve"> </w:t>
      </w:r>
      <w:r w:rsidRPr="004D038C">
        <w:rPr>
          <w:rFonts w:ascii="Times New Roman" w:eastAsia="Times New Roman" w:hAnsi="Times New Roman" w:cs="Times New Roman"/>
          <w:lang w:val="hr-HR"/>
        </w:rPr>
        <w:t>Antineoplastici, inhibitori protein-kinaze</w:t>
      </w:r>
    </w:p>
    <w:p w:rsidR="009B18F8" w:rsidRDefault="009B18F8"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bCs/>
          <w:lang w:val="hr-HR"/>
        </w:rPr>
        <w:t xml:space="preserve">ATC kod: </w:t>
      </w:r>
      <w:r w:rsidRPr="004D038C">
        <w:rPr>
          <w:rFonts w:ascii="Times New Roman" w:eastAsia="Times New Roman" w:hAnsi="Times New Roman" w:cs="Times New Roman"/>
          <w:lang w:val="hr-HR"/>
        </w:rPr>
        <w:t>L01XE23</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C020F1" w:rsidRDefault="004D038C" w:rsidP="004D038C">
      <w:pPr>
        <w:tabs>
          <w:tab w:val="left" w:pos="540"/>
          <w:tab w:val="left" w:pos="569"/>
        </w:tabs>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bCs/>
          <w:u w:val="single"/>
          <w:lang w:val="hr-HR"/>
        </w:rPr>
        <w:t>Mehanizam dejstva</w:t>
      </w:r>
      <w:r w:rsidR="00C020F1">
        <w:rPr>
          <w:rFonts w:ascii="Times New Roman" w:eastAsia="Times New Roman" w:hAnsi="Times New Roman" w:cs="Times New Roman"/>
          <w:color w:val="000000"/>
          <w:lang w:val="hr-HR"/>
        </w:rPr>
        <w:t xml:space="preserve"> </w:t>
      </w:r>
    </w:p>
    <w:p w:rsidR="009B18F8" w:rsidRDefault="009B18F8" w:rsidP="004D038C">
      <w:pPr>
        <w:tabs>
          <w:tab w:val="left" w:pos="540"/>
          <w:tab w:val="left" w:pos="569"/>
        </w:tabs>
        <w:spacing w:after="0" w:line="240" w:lineRule="auto"/>
        <w:jc w:val="both"/>
        <w:rPr>
          <w:rFonts w:ascii="Times New Roman" w:eastAsia="Times New Roman" w:hAnsi="Times New Roman" w:cs="Times New Roman"/>
          <w:color w:val="000000"/>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color w:val="000000"/>
          <w:lang w:val="hr-HR"/>
        </w:rPr>
        <w:t xml:space="preserve">Dabrafenib je inhibitor RAF kinaze. Onkogene mutacije BRAF </w:t>
      </w:r>
      <w:r w:rsidRPr="004D038C">
        <w:rPr>
          <w:rFonts w:ascii="Times New Roman" w:eastAsia="Times New Roman" w:hAnsi="Times New Roman" w:cs="Times New Roman"/>
          <w:lang w:val="hr-HR"/>
        </w:rPr>
        <w:t>uzrokuju aktivaciju RAS/RAF/MEK/ERK puta. BRAF mutacije su identifikovane sa visokom učestalošću kod određenih vrsta karcinoma, uključujući oko 50% melanoma. Najčešća BRAF mutacija je V600E, koja predstavlja oko 90% BRAF mutacija koje se mogu vidjeti kod melanoma.</w:t>
      </w:r>
    </w:p>
    <w:p w:rsidR="004D038C" w:rsidRPr="004D038C" w:rsidRDefault="004D038C" w:rsidP="004D038C">
      <w:pPr>
        <w:widowControl w:val="0"/>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lang w:val="hr-HR"/>
        </w:rPr>
        <w:lastRenderedPageBreak/>
        <w:t>Pretklinički podaci dobijeni u biohemijskim ispitivanjima pokazali su da dabrafenib inhibira BRAF kinaze s aktiviranom mutacijom koda 600 (tabela 5).</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bCs/>
          <w:i/>
          <w:color w:val="000000"/>
          <w:lang w:val="hr-HR"/>
        </w:rPr>
      </w:pPr>
      <w:r w:rsidRPr="004D038C">
        <w:rPr>
          <w:rFonts w:ascii="Times New Roman" w:eastAsia="Times New Roman" w:hAnsi="Times New Roman" w:cs="Times New Roman"/>
          <w:i/>
          <w:color w:val="000000"/>
          <w:lang w:val="hr-HR"/>
        </w:rPr>
        <w:t>Tabela 5: Inhibitorna aktivnost koju dabrafenib pokazuje prema RAF kinazama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09"/>
      </w:tblGrid>
      <w:tr w:rsidR="004D038C" w:rsidRPr="004D038C" w:rsidTr="00C020F1">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b/>
                <w:color w:val="000000"/>
                <w:lang w:val="hr-HR" w:eastAsia="en-GB"/>
              </w:rPr>
            </w:pPr>
            <w:r w:rsidRPr="004D038C">
              <w:rPr>
                <w:rFonts w:ascii="Times New Roman" w:eastAsia="Calibri" w:hAnsi="Times New Roman" w:cs="Times New Roman"/>
                <w:b/>
                <w:bCs/>
                <w:color w:val="000000"/>
                <w:lang w:val="hr-HR" w:eastAsia="en-GB"/>
              </w:rPr>
              <w:t>Kinaze</w:t>
            </w:r>
          </w:p>
        </w:tc>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b/>
                <w:color w:val="000000"/>
                <w:lang w:val="hr-HR" w:eastAsia="en-GB"/>
              </w:rPr>
            </w:pPr>
            <w:r w:rsidRPr="004D038C">
              <w:rPr>
                <w:rFonts w:ascii="Times New Roman" w:eastAsia="Calibri" w:hAnsi="Times New Roman" w:cs="Times New Roman"/>
                <w:b/>
                <w:bCs/>
                <w:color w:val="000000"/>
                <w:lang w:val="hr-HR" w:eastAsia="en-GB"/>
              </w:rPr>
              <w:t>Koncentracija inhibicije 50 (nM)</w:t>
            </w:r>
          </w:p>
        </w:tc>
      </w:tr>
      <w:tr w:rsidR="004D038C" w:rsidRPr="004D038C" w:rsidTr="00C020F1">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BRAF V600E</w:t>
            </w:r>
          </w:p>
        </w:tc>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0.65</w:t>
            </w:r>
          </w:p>
        </w:tc>
      </w:tr>
      <w:tr w:rsidR="004D038C" w:rsidRPr="004D038C" w:rsidTr="00C020F1">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BRAF V600K</w:t>
            </w:r>
          </w:p>
        </w:tc>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0.50</w:t>
            </w:r>
          </w:p>
        </w:tc>
      </w:tr>
      <w:tr w:rsidR="004D038C" w:rsidRPr="004D038C" w:rsidTr="00C020F1">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BRAF V600D</w:t>
            </w:r>
          </w:p>
        </w:tc>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1.8</w:t>
            </w:r>
          </w:p>
        </w:tc>
      </w:tr>
      <w:tr w:rsidR="004D038C" w:rsidRPr="004D038C" w:rsidTr="00C020F1">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BRAF WT</w:t>
            </w:r>
          </w:p>
        </w:tc>
        <w:tc>
          <w:tcPr>
            <w:tcW w:w="2500" w:type="pct"/>
            <w:shd w:val="clear" w:color="auto" w:fill="auto"/>
          </w:tcPr>
          <w:p w:rsidR="004D038C" w:rsidRPr="004D038C" w:rsidRDefault="004D038C" w:rsidP="004D038C">
            <w:pPr>
              <w:keepNext/>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3.2</w:t>
            </w:r>
          </w:p>
        </w:tc>
      </w:tr>
      <w:tr w:rsidR="004D038C" w:rsidRPr="004D038C" w:rsidTr="00C020F1">
        <w:tc>
          <w:tcPr>
            <w:tcW w:w="2500" w:type="pct"/>
            <w:shd w:val="clear" w:color="auto" w:fill="auto"/>
          </w:tcPr>
          <w:p w:rsidR="004D038C" w:rsidRPr="004D038C" w:rsidRDefault="004D038C" w:rsidP="004D038C">
            <w:pPr>
              <w:widowControl w:val="0"/>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CRAF WT</w:t>
            </w:r>
          </w:p>
        </w:tc>
        <w:tc>
          <w:tcPr>
            <w:tcW w:w="2500" w:type="pct"/>
            <w:shd w:val="clear" w:color="auto" w:fill="auto"/>
          </w:tcPr>
          <w:p w:rsidR="004D038C" w:rsidRPr="004D038C" w:rsidRDefault="004D038C" w:rsidP="004D038C">
            <w:pPr>
              <w:widowControl w:val="0"/>
              <w:autoSpaceDE w:val="0"/>
              <w:autoSpaceDN w:val="0"/>
              <w:spacing w:after="0" w:line="240" w:lineRule="auto"/>
              <w:jc w:val="center"/>
              <w:rPr>
                <w:rFonts w:ascii="Times New Roman" w:eastAsia="Calibri" w:hAnsi="Times New Roman" w:cs="Times New Roman"/>
                <w:color w:val="000000"/>
                <w:lang w:val="hr-HR" w:eastAsia="en-GB"/>
              </w:rPr>
            </w:pPr>
            <w:r w:rsidRPr="004D038C">
              <w:rPr>
                <w:rFonts w:ascii="Times New Roman" w:eastAsia="Calibri" w:hAnsi="Times New Roman" w:cs="Times New Roman"/>
                <w:color w:val="000000"/>
                <w:lang w:val="hr-HR" w:eastAsia="en-GB"/>
              </w:rPr>
              <w:t>5.0</w:t>
            </w:r>
          </w:p>
        </w:tc>
      </w:tr>
    </w:tbl>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Dabrafenib je pokazao nishodnu supresiju farmakodinamskih biomarkera (fosforilisani ERK) i inhibiciju rasta ćelija u BRAF V600 mutiranim ćelijskim linijama melanoma, </w:t>
      </w:r>
      <w:r w:rsidRPr="004D038C">
        <w:rPr>
          <w:rFonts w:ascii="Times New Roman" w:eastAsia="Times New Roman" w:hAnsi="Times New Roman" w:cs="Times New Roman"/>
          <w:i/>
          <w:iCs/>
          <w:lang w:val="hr-HR"/>
        </w:rPr>
        <w:t>in vitro</w:t>
      </w:r>
      <w:r w:rsidRPr="004D038C">
        <w:rPr>
          <w:rFonts w:ascii="Times New Roman" w:eastAsia="Times New Roman" w:hAnsi="Times New Roman" w:cs="Times New Roman"/>
          <w:lang w:val="hr-HR"/>
        </w:rPr>
        <w:t xml:space="preserve"> kao i u životinjskim modelima. </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Kod pacijenata sa melanomom pozitivnim na BRAF V600 mutaciju, primjena dabrafeniba dovela je do inhibicije tumorskih fosforilisanih ERK prema početnim vrijednostima. </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color w:val="000000"/>
          <w:lang w:val="hr-HR"/>
        </w:rPr>
      </w:pPr>
    </w:p>
    <w:p w:rsidR="004D038C" w:rsidRPr="00C020F1" w:rsidRDefault="004D038C" w:rsidP="004D038C">
      <w:pPr>
        <w:keepNext/>
        <w:tabs>
          <w:tab w:val="left" w:pos="0"/>
        </w:tabs>
        <w:spacing w:after="0" w:line="240" w:lineRule="auto"/>
        <w:jc w:val="both"/>
        <w:rPr>
          <w:rFonts w:ascii="Times New Roman" w:eastAsia="Times New Roman" w:hAnsi="Times New Roman" w:cs="Times New Roman"/>
          <w:bCs/>
          <w:i/>
          <w:color w:val="000000"/>
          <w:u w:val="single"/>
          <w:lang w:val="hr-HR"/>
        </w:rPr>
      </w:pPr>
      <w:r w:rsidRPr="004D038C">
        <w:rPr>
          <w:rFonts w:ascii="Times New Roman" w:eastAsia="Times New Roman" w:hAnsi="Times New Roman" w:cs="Times New Roman"/>
          <w:i/>
          <w:color w:val="000000"/>
          <w:u w:val="single"/>
          <w:lang w:val="hr-HR"/>
        </w:rPr>
        <w:t>Kombinacija sa trametinibom</w:t>
      </w:r>
    </w:p>
    <w:p w:rsidR="009B18F8" w:rsidRDefault="009B18F8" w:rsidP="004D038C">
      <w:pPr>
        <w:keepNext/>
        <w:tabs>
          <w:tab w:val="left" w:pos="0"/>
        </w:tabs>
        <w:spacing w:after="0" w:line="240" w:lineRule="auto"/>
        <w:jc w:val="both"/>
        <w:rPr>
          <w:rFonts w:ascii="Times New Roman" w:eastAsia="Times New Roman" w:hAnsi="Times New Roman" w:cs="Times New Roman"/>
          <w:color w:val="000000"/>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color w:val="000000"/>
          <w:lang w:val="hr-HR"/>
        </w:rPr>
        <w:t xml:space="preserve">Trametinib je reverzibilan, visoko selektivan, alosterni inhibitor mitogen-aktivirane protein kinaze regulisane ekstracelularnim signalima (eng. </w:t>
      </w:r>
      <w:r w:rsidRPr="004D038C">
        <w:rPr>
          <w:rFonts w:ascii="Times New Roman" w:eastAsia="Times New Roman" w:hAnsi="Times New Roman" w:cs="Times New Roman"/>
          <w:i/>
          <w:color w:val="000000"/>
          <w:lang w:val="hr-HR"/>
        </w:rPr>
        <w:t>mitogen-activated extracellular signal regulated kinase 1</w:t>
      </w:r>
      <w:r w:rsidRPr="004D038C">
        <w:rPr>
          <w:rFonts w:ascii="Times New Roman" w:eastAsia="Times New Roman" w:hAnsi="Times New Roman" w:cs="Times New Roman"/>
          <w:color w:val="000000"/>
          <w:lang w:val="hr-HR"/>
        </w:rPr>
        <w:t xml:space="preserve">, MEK1), inhibitor aktivacije MEK2 i aktivnosti protein kinaze. MEK proteini su sastavni djelovi signalnog puta protein kinaze regulisane ekstracelularnim signalima. Samim tim trametinib i dabrafenib inhibišu dvije kinaze signalnog puta, MEK i RAF, te zato kombinacija omogućava istovremenu inhibiciju puta. Kombinacija dabrafeniba sa trametinibom je pokazala antitumorsku aktivnost u ćelijskim linijama melanoma pozitivnog na mutaciju BRAF V600 </w:t>
      </w:r>
      <w:r w:rsidRPr="004D038C">
        <w:rPr>
          <w:rFonts w:ascii="Times New Roman" w:eastAsia="Times New Roman" w:hAnsi="Times New Roman" w:cs="Times New Roman"/>
          <w:i/>
          <w:color w:val="000000"/>
          <w:lang w:val="hr-HR"/>
        </w:rPr>
        <w:t>in vitro</w:t>
      </w:r>
      <w:r w:rsidRPr="004D038C">
        <w:rPr>
          <w:rFonts w:ascii="Times New Roman" w:eastAsia="Times New Roman" w:hAnsi="Times New Roman" w:cs="Times New Roman"/>
          <w:color w:val="000000"/>
          <w:lang w:val="hr-HR"/>
        </w:rPr>
        <w:t xml:space="preserve"> i odlaže pojavu rezistencije u ksenograftima sa melanomom pozitivnim na mutaciju BRAF V600 </w:t>
      </w:r>
      <w:r w:rsidRPr="004D038C">
        <w:rPr>
          <w:rFonts w:ascii="Times New Roman" w:eastAsia="Times New Roman" w:hAnsi="Times New Roman" w:cs="Times New Roman"/>
          <w:i/>
          <w:color w:val="000000"/>
          <w:lang w:val="hr-HR"/>
        </w:rPr>
        <w:t>in vivo</w:t>
      </w:r>
      <w:r w:rsidRPr="004D038C">
        <w:rPr>
          <w:rFonts w:ascii="Times New Roman" w:eastAsia="Times New Roman" w:hAnsi="Times New Roman" w:cs="Times New Roman"/>
          <w:color w:val="000000"/>
          <w:lang w:val="hr-HR"/>
        </w:rPr>
        <w:t>.</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bCs/>
          <w:i/>
          <w:color w:val="000000"/>
          <w:lang w:val="hr-HR"/>
        </w:rPr>
      </w:pPr>
    </w:p>
    <w:p w:rsidR="004D038C" w:rsidRPr="00C020F1" w:rsidRDefault="004D038C" w:rsidP="004D038C">
      <w:pPr>
        <w:keepNext/>
        <w:tabs>
          <w:tab w:val="left" w:pos="0"/>
        </w:tabs>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t>Od</w:t>
      </w:r>
      <w:r w:rsidR="00C020F1">
        <w:rPr>
          <w:rFonts w:ascii="Times New Roman" w:eastAsia="Times New Roman" w:hAnsi="Times New Roman" w:cs="Times New Roman"/>
          <w:i/>
          <w:u w:val="single"/>
          <w:lang w:val="hr-HR"/>
        </w:rPr>
        <w:t>ređivanje statusa BRAF mutacije</w:t>
      </w:r>
    </w:p>
    <w:p w:rsidR="009B18F8" w:rsidRDefault="009B18F8"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Prije uzimanja trametiniba kao monoterapije ili u kombinaciji sa dabrafenibom pacijenti moraju da imaju potvrđenu BRAF V600 mutaciju tumora urađenu validnim testom. </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iCs/>
          <w:color w:val="000000"/>
          <w:u w:val="single"/>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Prije uzimanja dabrafeniba kao monoterapije pacijenti moraju da imaju potvrđenu BRAF V600 mutaciju tumora potvrđenu validnim testom. U kliničkim ispitivanjima faze II i faze III, odabir pacijenata za uključivanje zahtijevao je centralno testiranje na BRAF V600 mutacije pomoću BRAF testa mutacije koji je obavljen na najnovijem raspoloživom uzorku tumora. Primarni tumor ili uzorak metastaze ispitivan je pomoću testa samo za istraživačke svrhe (IUO). IUO je alel-specifičan test lančane reakcije polimerazom (PCR) koji se radi sa DNK izolovanom iz tumorskog tkiva fiksiranog u formalinu i utopljenog u parafin (eng. </w:t>
      </w:r>
      <w:r w:rsidRPr="004D038C">
        <w:rPr>
          <w:rFonts w:ascii="Times New Roman" w:eastAsia="Times New Roman" w:hAnsi="Times New Roman" w:cs="Times New Roman"/>
          <w:i/>
          <w:lang w:val="hr-HR"/>
        </w:rPr>
        <w:t>formalin-fixed, paraffin-embedded</w:t>
      </w:r>
      <w:r w:rsidRPr="004D038C">
        <w:rPr>
          <w:rFonts w:ascii="Times New Roman" w:eastAsia="Times New Roman" w:hAnsi="Times New Roman" w:cs="Times New Roman"/>
          <w:lang w:val="hr-HR"/>
        </w:rPr>
        <w:t>, FFPE). Test je posebno osmišljen kako bi se napravila razlika između V600E i V600K mutacije. Za učestvovanje u ispitivanju bili su podobni samo pacijenti sa tumorima pozitivnim na BRAF V600E ili V600K mutacije.</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iCs/>
          <w:color w:val="000000"/>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iCs/>
          <w:color w:val="000000"/>
          <w:lang w:val="hr-HR"/>
        </w:rPr>
      </w:pPr>
      <w:r w:rsidRPr="004D038C">
        <w:rPr>
          <w:rFonts w:ascii="Times New Roman" w:eastAsia="Times New Roman" w:hAnsi="Times New Roman" w:cs="Times New Roman"/>
          <w:iCs/>
          <w:color w:val="000000"/>
          <w:lang w:val="hr-HR"/>
        </w:rPr>
        <w:t xml:space="preserve">Prema tome, uzorci svih pacijenata su ponovo testirani pomoću bioMerieux (bMx) THxID BRAF validnog testa koji ima CE oznaku. bMx THxID BRAF test je alel specifičan PCR koji se radi na DNK izolovanoj iz FFPE tumorskog tkiva. Test je dizajniran za detekciju BRAF V600E i V600K mutacija sa visokom </w:t>
      </w:r>
      <w:r w:rsidRPr="004D038C">
        <w:rPr>
          <w:rFonts w:ascii="Times New Roman" w:eastAsia="Times New Roman" w:hAnsi="Times New Roman" w:cs="Times New Roman"/>
          <w:iCs/>
          <w:color w:val="000000"/>
          <w:lang w:val="hr-HR"/>
        </w:rPr>
        <w:lastRenderedPageBreak/>
        <w:t xml:space="preserve">osjetljivošću (manje od 5% V600E i V600K sekvenci u pozadini sekvenci </w:t>
      </w:r>
      <w:r w:rsidRPr="004D038C">
        <w:rPr>
          <w:rFonts w:ascii="Times New Roman" w:eastAsia="Times New Roman" w:hAnsi="Times New Roman" w:cs="Times New Roman"/>
          <w:i/>
          <w:iCs/>
          <w:color w:val="000000"/>
          <w:lang w:val="hr-HR"/>
        </w:rPr>
        <w:t>wild type</w:t>
      </w:r>
      <w:r w:rsidRPr="004D038C">
        <w:rPr>
          <w:rFonts w:ascii="Times New Roman" w:eastAsia="Times New Roman" w:hAnsi="Times New Roman" w:cs="Times New Roman"/>
          <w:iCs/>
          <w:color w:val="000000"/>
          <w:lang w:val="hr-HR"/>
        </w:rPr>
        <w:t xml:space="preserve"> koristeći DNK koja je izolovana iz FFPE tkiva). Pretklinička i klinička ispitivanja sa retrospektivnom dvosmjernom Sanger sekvencionirajućom analizom pokazala su da test sa manjom osjetljivošću takođe otkriva rjeđe BRAF V600D mutacije i V600E/K601E mutacije. Iz uzoraka pretkliničkih i kliničkih ispitivanja (N=876), koji su bili pozitivni na mutaciju prema THxID BRAF testu i kasnije su sekvencionirani primjenom referentne metode, specifičnost testa je iznosila 94%.</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iCs/>
          <w:color w:val="000000"/>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Klinička efikasnost i bezbjednost</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t>Melanom</w:t>
      </w:r>
    </w:p>
    <w:p w:rsidR="004D038C" w:rsidRPr="004D038C" w:rsidRDefault="004D038C" w:rsidP="004D038C">
      <w:pPr>
        <w:keepNext/>
        <w:numPr>
          <w:ilvl w:val="0"/>
          <w:numId w:val="17"/>
        </w:numPr>
        <w:tabs>
          <w:tab w:val="left" w:pos="0"/>
        </w:tabs>
        <w:spacing w:after="0" w:line="240" w:lineRule="auto"/>
        <w:jc w:val="both"/>
        <w:rPr>
          <w:rFonts w:ascii="Times New Roman" w:eastAsia="Times New Roman" w:hAnsi="Times New Roman" w:cs="Times New Roman"/>
          <w:i/>
          <w:u w:val="single"/>
          <w:lang w:val="hr-HR"/>
        </w:rPr>
      </w:pPr>
      <w:r w:rsidRPr="004D038C">
        <w:rPr>
          <w:rFonts w:ascii="Times New Roman" w:eastAsia="Times New Roman" w:hAnsi="Times New Roman" w:cs="Times New Roman"/>
          <w:i/>
          <w:u w:val="single"/>
          <w:lang w:val="hr-HR"/>
        </w:rPr>
        <w:t>Dabrafenib u kombinaciji sa trametinibom</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Pacijenti koji nijesu ranije liječeni</w:t>
      </w: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Efikasnost i bezbjednost preporučene doze trametiniba (2 mg jednom dnevno) u kombinaciji sa dabrafenibom (150 mg dva puta dnevno) za liječenje odraslih pacijenata sa inoperabilnim ili metastatskim melanomom sa BRAF V600 mutacijom proučavane su u dvije studije faze III i jednoj potpornoj studiji faze I/II.</w:t>
      </w:r>
    </w:p>
    <w:p w:rsidR="004D038C" w:rsidRPr="004D038C" w:rsidRDefault="004D038C"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keepNext/>
        <w:spacing w:after="0" w:line="320" w:lineRule="atLeast"/>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MEK115306 (COMBI-d):</w:t>
      </w: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MEK115306 je randomizovana, dvostruko slijepa studija faze III u kojoj je poređena kombinacija dabrafeniba i trametiniba sa dabrafenibom i placebom u prvoj liniji liječenja pacijenata sa inoperabilnim (stadijum IIIC) ili metastatskim (stadijum IV) melanomom kože sa pozitivnom BRAF V600E/K mutacijom. Mjera primarnog ishoda u ispitivanju bila je preživljavanje bez progresije (eng. </w:t>
      </w:r>
      <w:r w:rsidRPr="004D038C">
        <w:rPr>
          <w:rFonts w:ascii="Times New Roman" w:eastAsia="Times New Roman" w:hAnsi="Times New Roman" w:cs="Times New Roman"/>
          <w:i/>
          <w:lang w:val="hr-HR"/>
        </w:rPr>
        <w:t>progression free survival</w:t>
      </w:r>
      <w:r w:rsidRPr="004D038C">
        <w:rPr>
          <w:rFonts w:ascii="Times New Roman" w:eastAsia="Times New Roman" w:hAnsi="Times New Roman" w:cs="Times New Roman"/>
          <w:lang w:val="hr-HR"/>
        </w:rPr>
        <w:t xml:space="preserve">, PFS), a ključna mjera sekundarnog ishoda ukupno preživljavanje (eng. </w:t>
      </w:r>
      <w:r w:rsidRPr="004D038C">
        <w:rPr>
          <w:rFonts w:ascii="Times New Roman" w:eastAsia="Times New Roman" w:hAnsi="Times New Roman" w:cs="Times New Roman"/>
          <w:i/>
          <w:lang w:val="hr-HR"/>
        </w:rPr>
        <w:t>overall</w:t>
      </w:r>
      <w:r w:rsidRPr="004D038C">
        <w:rPr>
          <w:rFonts w:ascii="Times New Roman" w:eastAsia="Times New Roman" w:hAnsi="Times New Roman" w:cs="Times New Roman"/>
          <w:lang w:val="hr-HR"/>
        </w:rPr>
        <w:t xml:space="preserve"> </w:t>
      </w:r>
      <w:r w:rsidRPr="004D038C">
        <w:rPr>
          <w:rFonts w:ascii="Times New Roman" w:eastAsia="Times New Roman" w:hAnsi="Times New Roman" w:cs="Times New Roman"/>
          <w:i/>
          <w:lang w:val="hr-HR"/>
        </w:rPr>
        <w:t>survival</w:t>
      </w:r>
      <w:r w:rsidRPr="004D038C">
        <w:rPr>
          <w:rFonts w:ascii="Times New Roman" w:eastAsia="Times New Roman" w:hAnsi="Times New Roman" w:cs="Times New Roman"/>
          <w:lang w:val="hr-HR"/>
        </w:rPr>
        <w:t xml:space="preserve">, OS). Pacijenti su bili stratifikovani prema nivou laktat dehidrogenaze (LDH) (&gt;gornje granice normalnih vrijednosti (GGN) prema </w:t>
      </w:r>
      <w:r w:rsidRPr="004D038C">
        <w:rPr>
          <w:rFonts w:ascii="Times New Roman" w:eastAsia="Times New Roman" w:hAnsi="Times New Roman" w:cs="Times New Roman"/>
        </w:rPr>
        <w:sym w:font="Symbol" w:char="F0A3"/>
      </w:r>
      <w:r w:rsidRPr="004D038C">
        <w:rPr>
          <w:rFonts w:ascii="Times New Roman" w:eastAsia="Times New Roman" w:hAnsi="Times New Roman" w:cs="Times New Roman"/>
          <w:lang w:val="hr-HR"/>
        </w:rPr>
        <w:t>GGN) i BRAF mutaciji (V600E prema V600K).</w:t>
      </w:r>
    </w:p>
    <w:p w:rsidR="004D038C" w:rsidRPr="004D038C" w:rsidRDefault="004D038C"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lang w:val="pt-PT"/>
        </w:rPr>
      </w:pPr>
      <w:r w:rsidRPr="004D038C">
        <w:rPr>
          <w:rFonts w:ascii="Times New Roman" w:eastAsia="Times New Roman" w:hAnsi="Times New Roman" w:cs="Times New Roman"/>
          <w:lang w:val="pt-PT"/>
        </w:rPr>
        <w:t xml:space="preserve">Randomizovano je ukupno 423 pacijenta u odnosu 1:1 ili na kombinaciju (N=211) ili na dabrafenib (N=212). Pacijenti su uglavnom bili bijele rase (&gt; 99%) i muškog pola (53%), sa medijanom starosti od 56 godina (28% je imalo ≥65 godina). Većina pacijenata bila je u stadijumu IVM1c bolesti (67%). Većina pacijenata imala je LDH ≤GGN (65%), funkcionalni status prema Istočnoj kooperativnoj onkološkoj grupi (eng. </w:t>
      </w:r>
      <w:r w:rsidRPr="004D038C">
        <w:rPr>
          <w:rFonts w:ascii="Times New Roman" w:eastAsia="Times New Roman" w:hAnsi="Times New Roman" w:cs="Times New Roman"/>
          <w:i/>
          <w:lang w:val="pt-PT"/>
        </w:rPr>
        <w:t>Eastern Cooperative Oncology Group</w:t>
      </w:r>
      <w:r w:rsidRPr="004D038C">
        <w:rPr>
          <w:rFonts w:ascii="Times New Roman" w:eastAsia="Times New Roman" w:hAnsi="Times New Roman" w:cs="Times New Roman"/>
          <w:lang w:val="pt-PT"/>
        </w:rPr>
        <w:t>, ECOG) 0 (72%) i visceralnu bolest (73%) na početku. Većina pacijenata je imala BRAF V600E mutaciju (85%). Pacijenti sa metastazama na mozgu nijesu bili uključeni u ispitivanje.</w:t>
      </w:r>
    </w:p>
    <w:p w:rsidR="004D038C" w:rsidRPr="004D038C" w:rsidRDefault="004D038C" w:rsidP="004D038C">
      <w:pPr>
        <w:spacing w:after="0" w:line="240" w:lineRule="auto"/>
        <w:jc w:val="both"/>
        <w:rPr>
          <w:rFonts w:ascii="Times New Roman" w:eastAsia="Times New Roman" w:hAnsi="Times New Roman" w:cs="Times New Roman"/>
          <w:lang w:val="pt-PT"/>
        </w:rPr>
      </w:pPr>
    </w:p>
    <w:p w:rsidR="004D038C" w:rsidRPr="004D038C" w:rsidRDefault="004D038C" w:rsidP="004D038C">
      <w:pPr>
        <w:spacing w:after="0" w:line="240" w:lineRule="auto"/>
        <w:jc w:val="both"/>
        <w:rPr>
          <w:rFonts w:ascii="Times New Roman" w:eastAsia="Times New Roman" w:hAnsi="Times New Roman" w:cs="Times New Roman"/>
          <w:lang w:val="pt-PT"/>
        </w:rPr>
      </w:pPr>
      <w:r w:rsidRPr="004D038C">
        <w:rPr>
          <w:rFonts w:ascii="Times New Roman" w:eastAsia="Times New Roman" w:hAnsi="Times New Roman" w:cs="Times New Roman"/>
          <w:lang w:val="pt-PT"/>
        </w:rPr>
        <w:t>Završna OS analiza (12. januar 2015.) pokazala je statistički značajno poboljšanje u OS-u za kombinaciju u poređenju sa monoterapijom dabrafenibom</w:t>
      </w:r>
      <w:r w:rsidRPr="004D038C" w:rsidDel="00C827A0">
        <w:rPr>
          <w:rFonts w:ascii="Times New Roman" w:eastAsia="Times New Roman" w:hAnsi="Times New Roman" w:cs="Times New Roman"/>
          <w:lang w:val="pt-PT"/>
        </w:rPr>
        <w:t xml:space="preserve"> </w:t>
      </w:r>
      <w:r w:rsidRPr="004D038C">
        <w:rPr>
          <w:rFonts w:ascii="Times New Roman" w:eastAsia="Times New Roman" w:hAnsi="Times New Roman" w:cs="Times New Roman"/>
          <w:lang w:val="pt-PT"/>
        </w:rPr>
        <w:t>(slika 1). Procjene jednogodišnjeg (74%) odnosno dvogodišnjeg (51%) OS-a za grupu koja je primala kombinaciju bile su veće od onih za monoterapiju dabrafenibom (68% odnosno 42%).</w:t>
      </w:r>
    </w:p>
    <w:p w:rsidR="004D038C" w:rsidRPr="004D038C" w:rsidRDefault="004D038C" w:rsidP="004D038C">
      <w:pPr>
        <w:spacing w:after="0" w:line="240" w:lineRule="auto"/>
        <w:rPr>
          <w:rFonts w:ascii="Times New Roman" w:eastAsia="Times New Roman" w:hAnsi="Times New Roman" w:cs="Times New Roman"/>
          <w:lang w:val="pt-PT"/>
        </w:rPr>
      </w:pPr>
    </w:p>
    <w:p w:rsidR="004D038C" w:rsidRPr="004D038C" w:rsidRDefault="004D038C" w:rsidP="004D038C">
      <w:pPr>
        <w:tabs>
          <w:tab w:val="left" w:pos="284"/>
          <w:tab w:val="center" w:pos="4320"/>
          <w:tab w:val="right" w:pos="8640"/>
        </w:tabs>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lang w:val="hr-HR"/>
        </w:rPr>
        <w:br w:type="page"/>
      </w:r>
      <w:r w:rsidRPr="004D038C">
        <w:rPr>
          <w:rFonts w:ascii="Times New Roman" w:eastAsia="Times New Roman" w:hAnsi="Times New Roman" w:cs="Times New Roman"/>
          <w:i/>
          <w:lang w:val="hr-HR"/>
        </w:rPr>
        <w:lastRenderedPageBreak/>
        <w:t>Slika 1: Kaplan-Meier kriva ukupnog preživljavanja (OS) za studiju MEK115306 (ITT populacija)</w:t>
      </w:r>
    </w:p>
    <w:p w:rsidR="004D038C" w:rsidRPr="004D038C" w:rsidRDefault="004D038C" w:rsidP="004D038C">
      <w:pPr>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A1E5CF5" wp14:editId="69E0E829">
                <wp:simplePos x="0" y="0"/>
                <wp:positionH relativeFrom="column">
                  <wp:posOffset>965835</wp:posOffset>
                </wp:positionH>
                <wp:positionV relativeFrom="paragraph">
                  <wp:posOffset>2378304</wp:posOffset>
                </wp:positionV>
                <wp:extent cx="3459480" cy="1594714"/>
                <wp:effectExtent l="0" t="0" r="762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594714"/>
                        </a:xfrm>
                        <a:prstGeom prst="rect">
                          <a:avLst/>
                        </a:prstGeom>
                        <a:solidFill>
                          <a:srgbClr val="FFFFFF"/>
                        </a:solidFill>
                        <a:ln w="9525">
                          <a:noFill/>
                          <a:miter lim="800000"/>
                          <a:headEnd/>
                          <a:tailEnd/>
                        </a:ln>
                      </wps:spPr>
                      <wps:txbx>
                        <w:txbxContent>
                          <w:tbl>
                            <w:tblPr>
                              <w:tblW w:w="5366" w:type="dxa"/>
                              <w:tblCellMar>
                                <w:left w:w="0" w:type="dxa"/>
                                <w:right w:w="0" w:type="dxa"/>
                              </w:tblCellMar>
                              <w:tblLook w:val="04A0" w:firstRow="1" w:lastRow="0" w:firstColumn="1" w:lastColumn="0" w:noHBand="0" w:noVBand="1"/>
                            </w:tblPr>
                            <w:tblGrid>
                              <w:gridCol w:w="2376"/>
                              <w:gridCol w:w="1560"/>
                              <w:gridCol w:w="1430"/>
                            </w:tblGrid>
                            <w:tr w:rsidR="000F555B" w:rsidRPr="00D952DB" w:rsidTr="004D038C">
                              <w:trPr>
                                <w:trHeight w:val="72"/>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rPr>
                                  </w:pPr>
                                  <w:r w:rsidRPr="00AD54E3">
                                    <w:rPr>
                                      <w:rFonts w:ascii="Times New Roman" w:hAnsi="Times New Roman" w:cs="Times New Roman"/>
                                      <w:color w:val="000000"/>
                                      <w:kern w:val="24"/>
                                      <w:sz w:val="14"/>
                                      <w:szCs w:val="14"/>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tabs>
                                      <w:tab w:val="left" w:pos="0"/>
                                    </w:tab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Dabrafenib + trametinib (N=211)</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tabs>
                                      <w:tab w:val="left" w:pos="25"/>
                                    </w:tab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Dabrafenib + placebo (N=212)</w:t>
                                  </w:r>
                                </w:p>
                              </w:tc>
                            </w:tr>
                            <w:tr w:rsidR="000F555B" w:rsidRPr="00D952DB" w:rsidTr="004D038C">
                              <w:trPr>
                                <w:trHeight w:val="23"/>
                              </w:trPr>
                              <w:tc>
                                <w:tcPr>
                                  <w:tcW w:w="5366"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tabs>
                                      <w:tab w:val="left" w:pos="0"/>
                                    </w:tabs>
                                    <w:spacing w:line="193" w:lineRule="atLeast"/>
                                    <w:rPr>
                                      <w:rFonts w:ascii="Times New Roman" w:hAnsi="Times New Roman" w:cs="Times New Roman"/>
                                      <w:sz w:val="14"/>
                                      <w:szCs w:val="14"/>
                                    </w:rPr>
                                  </w:pPr>
                                  <w:r w:rsidRPr="00AD54E3">
                                    <w:rPr>
                                      <w:rFonts w:ascii="Times New Roman" w:hAnsi="Times New Roman" w:cs="Times New Roman"/>
                                      <w:color w:val="000000"/>
                                      <w:kern w:val="24"/>
                                      <w:sz w:val="14"/>
                                      <w:szCs w:val="14"/>
                                    </w:rPr>
                                    <w:t>Ukupno preživljavanje 12. januar 2015.</w:t>
                                  </w:r>
                                </w:p>
                              </w:tc>
                            </w:tr>
                            <w:tr w:rsidR="000F555B" w:rsidRPr="00D952DB" w:rsidTr="004D038C">
                              <w:trPr>
                                <w:trHeight w:val="32"/>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rPr>
                                  </w:pPr>
                                  <w:r w:rsidRPr="00AD54E3">
                                    <w:rPr>
                                      <w:rFonts w:ascii="Times New Roman" w:hAnsi="Times New Roman" w:cs="Times New Roman"/>
                                      <w:color w:val="000000"/>
                                      <w:kern w:val="24"/>
                                      <w:sz w:val="14"/>
                                      <w:szCs w:val="14"/>
                                    </w:rPr>
                                    <w:t>Broj događaja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99 (47%)</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123 (58%)</w:t>
                                  </w:r>
                                </w:p>
                              </w:tc>
                            </w:tr>
                            <w:tr w:rsidR="000F555B" w:rsidRPr="00D952DB" w:rsidTr="004D038C">
                              <w:trPr>
                                <w:trHeight w:val="23"/>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spacing w:line="193" w:lineRule="atLeast"/>
                                    <w:rPr>
                                      <w:rFonts w:ascii="Times New Roman" w:hAnsi="Times New Roman" w:cs="Times New Roman"/>
                                      <w:sz w:val="14"/>
                                      <w:szCs w:val="14"/>
                                    </w:rPr>
                                  </w:pPr>
                                  <w:r w:rsidRPr="00AD54E3">
                                    <w:rPr>
                                      <w:rFonts w:ascii="Times New Roman" w:hAnsi="Times New Roman" w:cs="Times New Roman"/>
                                      <w:color w:val="000000"/>
                                      <w:kern w:val="24"/>
                                      <w:sz w:val="14"/>
                                      <w:szCs w:val="14"/>
                                    </w:rPr>
                                    <w:t>Medijana OS (mjeseci)</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spacing w:line="193" w:lineRule="atLeast"/>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25.1</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spacing w:line="193" w:lineRule="atLeast"/>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18.7</w:t>
                                  </w:r>
                                </w:p>
                              </w:tc>
                            </w:tr>
                            <w:tr w:rsidR="000F555B" w:rsidRPr="00D952DB" w:rsidTr="004D038C">
                              <w:trPr>
                                <w:trHeight w:val="48"/>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rPr>
                                  </w:pPr>
                                  <w:r w:rsidRPr="00AD54E3">
                                    <w:rPr>
                                      <w:rFonts w:ascii="Times New Roman" w:hAnsi="Times New Roman" w:cs="Times New Roman"/>
                                      <w:color w:val="000000"/>
                                      <w:kern w:val="24"/>
                                      <w:sz w:val="14"/>
                                      <w:szCs w:val="14"/>
                                    </w:rPr>
                                    <w:t>Prilagođeni odnos rizika (95% CI)</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0.71 (0.55, 0.92)</w:t>
                                  </w:r>
                                </w:p>
                              </w:tc>
                            </w:tr>
                            <w:tr w:rsidR="000F555B" w:rsidRPr="00D952DB" w:rsidTr="004D038C">
                              <w:trPr>
                                <w:trHeight w:val="101"/>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lang w:val="it-IT"/>
                                    </w:rPr>
                                  </w:pPr>
                                  <w:r w:rsidRPr="00AD54E3">
                                    <w:rPr>
                                      <w:rFonts w:ascii="Times New Roman" w:hAnsi="Times New Roman" w:cs="Times New Roman"/>
                                      <w:color w:val="000000"/>
                                      <w:kern w:val="24"/>
                                      <w:sz w:val="14"/>
                                      <w:szCs w:val="14"/>
                                    </w:rPr>
                                    <w:t>Str</w:t>
                                  </w:r>
                                  <w:r w:rsidRPr="00AD54E3">
                                    <w:rPr>
                                      <w:rFonts w:ascii="Times New Roman" w:hAnsi="Times New Roman" w:cs="Times New Roman"/>
                                      <w:color w:val="000000"/>
                                      <w:kern w:val="24"/>
                                      <w:sz w:val="14"/>
                                      <w:szCs w:val="14"/>
                                      <w:lang w:val="it-IT"/>
                                    </w:rPr>
                                    <w:t>atifikovana Log-Rank P-vrijednost</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0.011</w:t>
                                  </w:r>
                                </w:p>
                              </w:tc>
                            </w:tr>
                          </w:tbl>
                          <w:p w:rsidR="000F555B" w:rsidRDefault="000F555B" w:rsidP="004D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E5CF5" id="_x0000_t202" coordsize="21600,21600" o:spt="202" path="m,l,21600r21600,l21600,xe">
                <v:stroke joinstyle="miter"/>
                <v:path gradientshapeok="t" o:connecttype="rect"/>
              </v:shapetype>
              <v:shape id="Text Box 2" o:spid="_x0000_s1026" type="#_x0000_t202" style="position:absolute;margin-left:76.05pt;margin-top:187.25pt;width:272.4pt;height:1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" stroked="f">
                <v:textbox>
                  <w:txbxContent>
                    <w:tbl>
                      <w:tblPr>
                        <w:tblW w:w="5366" w:type="dxa"/>
                        <w:tblCellMar>
                          <w:left w:w="0" w:type="dxa"/>
                          <w:right w:w="0" w:type="dxa"/>
                        </w:tblCellMar>
                        <w:tblLook w:val="04A0" w:firstRow="1" w:lastRow="0" w:firstColumn="1" w:lastColumn="0" w:noHBand="0" w:noVBand="1"/>
                      </w:tblPr>
                      <w:tblGrid>
                        <w:gridCol w:w="2376"/>
                        <w:gridCol w:w="1560"/>
                        <w:gridCol w:w="1430"/>
                      </w:tblGrid>
                      <w:tr w:rsidR="000F555B" w:rsidRPr="00D952DB" w:rsidTr="004D038C">
                        <w:trPr>
                          <w:trHeight w:val="72"/>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rPr>
                            </w:pPr>
                            <w:r w:rsidRPr="00AD54E3">
                              <w:rPr>
                                <w:rFonts w:ascii="Times New Roman" w:hAnsi="Times New Roman" w:cs="Times New Roman"/>
                                <w:color w:val="000000"/>
                                <w:kern w:val="24"/>
                                <w:sz w:val="14"/>
                                <w:szCs w:val="14"/>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tabs>
                                <w:tab w:val="left" w:pos="0"/>
                              </w:tab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Dabrafenib + trametinib (N=211)</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tabs>
                                <w:tab w:val="left" w:pos="25"/>
                              </w:tab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Dabrafenib + placebo (N=212)</w:t>
                            </w:r>
                          </w:p>
                        </w:tc>
                      </w:tr>
                      <w:tr w:rsidR="000F555B" w:rsidRPr="00D952DB" w:rsidTr="004D038C">
                        <w:trPr>
                          <w:trHeight w:val="23"/>
                        </w:trPr>
                        <w:tc>
                          <w:tcPr>
                            <w:tcW w:w="5366"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tabs>
                                <w:tab w:val="left" w:pos="0"/>
                              </w:tabs>
                              <w:spacing w:line="193" w:lineRule="atLeast"/>
                              <w:rPr>
                                <w:rFonts w:ascii="Times New Roman" w:hAnsi="Times New Roman" w:cs="Times New Roman"/>
                                <w:sz w:val="14"/>
                                <w:szCs w:val="14"/>
                              </w:rPr>
                            </w:pPr>
                            <w:r w:rsidRPr="00AD54E3">
                              <w:rPr>
                                <w:rFonts w:ascii="Times New Roman" w:hAnsi="Times New Roman" w:cs="Times New Roman"/>
                                <w:color w:val="000000"/>
                                <w:kern w:val="24"/>
                                <w:sz w:val="14"/>
                                <w:szCs w:val="14"/>
                              </w:rPr>
                              <w:t>Ukupno preživljavanje 12. januar 2015.</w:t>
                            </w:r>
                          </w:p>
                        </w:tc>
                      </w:tr>
                      <w:tr w:rsidR="000F555B" w:rsidRPr="00D952DB" w:rsidTr="004D038C">
                        <w:trPr>
                          <w:trHeight w:val="32"/>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rPr>
                            </w:pPr>
                            <w:r w:rsidRPr="00AD54E3">
                              <w:rPr>
                                <w:rFonts w:ascii="Times New Roman" w:hAnsi="Times New Roman" w:cs="Times New Roman"/>
                                <w:color w:val="000000"/>
                                <w:kern w:val="24"/>
                                <w:sz w:val="14"/>
                                <w:szCs w:val="14"/>
                              </w:rPr>
                              <w:t>Broj događaja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99 (47%)</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123 (58%)</w:t>
                            </w:r>
                          </w:p>
                        </w:tc>
                      </w:tr>
                      <w:tr w:rsidR="000F555B" w:rsidRPr="00D952DB" w:rsidTr="004D038C">
                        <w:trPr>
                          <w:trHeight w:val="23"/>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spacing w:line="193" w:lineRule="atLeast"/>
                              <w:rPr>
                                <w:rFonts w:ascii="Times New Roman" w:hAnsi="Times New Roman" w:cs="Times New Roman"/>
                                <w:sz w:val="14"/>
                                <w:szCs w:val="14"/>
                              </w:rPr>
                            </w:pPr>
                            <w:r w:rsidRPr="00AD54E3">
                              <w:rPr>
                                <w:rFonts w:ascii="Times New Roman" w:hAnsi="Times New Roman" w:cs="Times New Roman"/>
                                <w:color w:val="000000"/>
                                <w:kern w:val="24"/>
                                <w:sz w:val="14"/>
                                <w:szCs w:val="14"/>
                              </w:rPr>
                              <w:t>Medijana OS (mjeseci)</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spacing w:line="193" w:lineRule="atLeast"/>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25.1</w:t>
                            </w:r>
                          </w:p>
                        </w:tc>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spacing w:line="193" w:lineRule="atLeast"/>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18.7</w:t>
                            </w:r>
                          </w:p>
                        </w:tc>
                      </w:tr>
                      <w:tr w:rsidR="000F555B" w:rsidRPr="00D952DB" w:rsidTr="004D038C">
                        <w:trPr>
                          <w:trHeight w:val="48"/>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rPr>
                            </w:pPr>
                            <w:r w:rsidRPr="00AD54E3">
                              <w:rPr>
                                <w:rFonts w:ascii="Times New Roman" w:hAnsi="Times New Roman" w:cs="Times New Roman"/>
                                <w:color w:val="000000"/>
                                <w:kern w:val="24"/>
                                <w:sz w:val="14"/>
                                <w:szCs w:val="14"/>
                              </w:rPr>
                              <w:t>Prilagođeni odnos rizika (95% CI)</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0.71 (0.55, 0.92)</w:t>
                            </w:r>
                          </w:p>
                        </w:tc>
                      </w:tr>
                      <w:tr w:rsidR="000F555B" w:rsidRPr="00D952DB" w:rsidTr="004D038C">
                        <w:trPr>
                          <w:trHeight w:val="101"/>
                        </w:trPr>
                        <w:tc>
                          <w:tcPr>
                            <w:tcW w:w="23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F555B" w:rsidRPr="00AD54E3" w:rsidRDefault="000F555B" w:rsidP="004D038C">
                            <w:pPr>
                              <w:keepNext/>
                              <w:keepLines/>
                              <w:rPr>
                                <w:rFonts w:ascii="Times New Roman" w:hAnsi="Times New Roman" w:cs="Times New Roman"/>
                                <w:sz w:val="14"/>
                                <w:szCs w:val="14"/>
                                <w:lang w:val="it-IT"/>
                              </w:rPr>
                            </w:pPr>
                            <w:r w:rsidRPr="00AD54E3">
                              <w:rPr>
                                <w:rFonts w:ascii="Times New Roman" w:hAnsi="Times New Roman" w:cs="Times New Roman"/>
                                <w:color w:val="000000"/>
                                <w:kern w:val="24"/>
                                <w:sz w:val="14"/>
                                <w:szCs w:val="14"/>
                              </w:rPr>
                              <w:t>Str</w:t>
                            </w:r>
                            <w:r w:rsidRPr="00AD54E3">
                              <w:rPr>
                                <w:rFonts w:ascii="Times New Roman" w:hAnsi="Times New Roman" w:cs="Times New Roman"/>
                                <w:color w:val="000000"/>
                                <w:kern w:val="24"/>
                                <w:sz w:val="14"/>
                                <w:szCs w:val="14"/>
                                <w:lang w:val="it-IT"/>
                              </w:rPr>
                              <w:t>atifikovana Log-Rank P-vrijednost</w:t>
                            </w:r>
                          </w:p>
                        </w:tc>
                        <w:tc>
                          <w:tcPr>
                            <w:tcW w:w="299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rsidR="000F555B" w:rsidRPr="00AD54E3" w:rsidRDefault="000F555B" w:rsidP="004D038C">
                            <w:pPr>
                              <w:keepNext/>
                              <w:keepLines/>
                              <w:jc w:val="center"/>
                              <w:rPr>
                                <w:rFonts w:ascii="Times New Roman" w:hAnsi="Times New Roman" w:cs="Times New Roman"/>
                                <w:sz w:val="14"/>
                                <w:szCs w:val="14"/>
                              </w:rPr>
                            </w:pPr>
                            <w:r w:rsidRPr="00AD54E3">
                              <w:rPr>
                                <w:rFonts w:ascii="Times New Roman" w:hAnsi="Times New Roman" w:cs="Times New Roman"/>
                                <w:color w:val="000000"/>
                                <w:kern w:val="24"/>
                                <w:sz w:val="14"/>
                                <w:szCs w:val="14"/>
                              </w:rPr>
                              <w:t>0.011</w:t>
                            </w:r>
                          </w:p>
                        </w:tc>
                      </w:tr>
                    </w:tbl>
                    <w:p w:rsidR="000F555B" w:rsidRDefault="000F555B" w:rsidP="004D038C"/>
                  </w:txbxContent>
                </v:textbox>
              </v:shape>
            </w:pict>
          </mc:Fallback>
        </mc:AlternateContent>
      </w:r>
      <w:r w:rsidRPr="004D038C">
        <w:rPr>
          <w:rFonts w:ascii="Times New Roman" w:eastAsia="Times New Roman" w:hAnsi="Times New Roman" w:cs="Times New Roman"/>
          <w:noProof/>
        </w:rPr>
        <w:drawing>
          <wp:inline distT="0" distB="0" distL="0" distR="0" wp14:anchorId="74375FD5" wp14:editId="0B6460A6">
            <wp:extent cx="5939248" cy="4615180"/>
            <wp:effectExtent l="0" t="0" r="444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l="1767" t="7893" r="1657" b="3465"/>
                    <a:stretch>
                      <a:fillRect/>
                    </a:stretch>
                  </pic:blipFill>
                  <pic:spPr bwMode="auto">
                    <a:xfrm>
                      <a:off x="0" y="0"/>
                      <a:ext cx="5949771" cy="4623357"/>
                    </a:xfrm>
                    <a:prstGeom prst="rect">
                      <a:avLst/>
                    </a:prstGeom>
                    <a:noFill/>
                    <a:ln>
                      <a:noFill/>
                    </a:ln>
                  </pic:spPr>
                </pic:pic>
              </a:graphicData>
            </a:graphic>
          </wp:inline>
        </w:drawing>
      </w:r>
    </w:p>
    <w:p w:rsidR="00AD54E3" w:rsidRDefault="00AD54E3"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Statistički značajna poboljšanja primijećena su za mjeru primarnog ishoda PFS i mjeru sekundarnog ishoda stopu ukupnog odgovora (ORR). Primijećeno je i duže trajanje odgovora (TO) (vidjeti tabelu 6).</w:t>
      </w:r>
    </w:p>
    <w:p w:rsidR="004D038C" w:rsidRPr="004D038C" w:rsidRDefault="004D038C" w:rsidP="004D038C">
      <w:pPr>
        <w:spacing w:after="0" w:line="240" w:lineRule="auto"/>
        <w:rPr>
          <w:rFonts w:ascii="Times New Roman" w:eastAsia="Times New Roman" w:hAnsi="Times New Roman" w:cs="Times New Roman"/>
          <w:lang w:val="hr-HR"/>
        </w:rPr>
      </w:pPr>
    </w:p>
    <w:p w:rsidR="004D038C" w:rsidRPr="004D038C" w:rsidRDefault="004D038C" w:rsidP="004D038C">
      <w:pPr>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Tabela 6: Rezultati efikasnosti ispitivanja MEK115306 (COMBI-d)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85"/>
        <w:gridCol w:w="1860"/>
        <w:gridCol w:w="1860"/>
        <w:gridCol w:w="1861"/>
      </w:tblGrid>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Mjera ishoda</w:t>
            </w:r>
          </w:p>
        </w:tc>
        <w:tc>
          <w:tcPr>
            <w:tcW w:w="1485"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Dabrafenib +</w:t>
            </w:r>
          </w:p>
          <w:p w:rsidR="004D038C" w:rsidRPr="004D038C" w:rsidRDefault="004D038C" w:rsidP="00C020F1">
            <w:pPr>
              <w:keepNext/>
              <w:spacing w:after="0" w:line="240" w:lineRule="auto"/>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b/>
                <w:sz w:val="20"/>
                <w:szCs w:val="20"/>
                <w:lang w:val="hr-HR"/>
              </w:rPr>
              <w:t>trametinib (N=211)</w:t>
            </w:r>
          </w:p>
        </w:tc>
        <w:tc>
          <w:tcPr>
            <w:tcW w:w="1860" w:type="dxa"/>
            <w:shd w:val="clear" w:color="auto" w:fill="auto"/>
          </w:tcPr>
          <w:p w:rsidR="004D038C" w:rsidRPr="004D038C" w:rsidRDefault="004D038C" w:rsidP="00C020F1">
            <w:pPr>
              <w:spacing w:after="0" w:line="320" w:lineRule="atLeast"/>
              <w:jc w:val="center"/>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Dabrafenib +</w:t>
            </w:r>
          </w:p>
          <w:p w:rsidR="004D038C" w:rsidRPr="004D038C" w:rsidRDefault="004D038C" w:rsidP="00C020F1">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b/>
                <w:sz w:val="20"/>
                <w:szCs w:val="20"/>
              </w:rPr>
              <w:t>placebo (N=212)</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Dabrafenib +</w:t>
            </w:r>
          </w:p>
          <w:p w:rsidR="004D038C" w:rsidRPr="004D038C" w:rsidRDefault="004D038C" w:rsidP="00C020F1">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b/>
                <w:sz w:val="20"/>
                <w:szCs w:val="20"/>
              </w:rPr>
              <w:t>trametinib (N=211)</w:t>
            </w:r>
          </w:p>
        </w:tc>
        <w:tc>
          <w:tcPr>
            <w:tcW w:w="1861" w:type="dxa"/>
            <w:shd w:val="clear" w:color="auto" w:fill="auto"/>
          </w:tcPr>
          <w:p w:rsidR="004D038C" w:rsidRPr="004D038C" w:rsidRDefault="004D038C" w:rsidP="00C020F1">
            <w:pPr>
              <w:spacing w:after="0" w:line="320" w:lineRule="atLeast"/>
              <w:jc w:val="center"/>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Dabrafenib +</w:t>
            </w:r>
          </w:p>
          <w:p w:rsidR="004D038C" w:rsidRPr="004D038C" w:rsidRDefault="004D038C" w:rsidP="00C020F1">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b/>
                <w:sz w:val="20"/>
                <w:szCs w:val="20"/>
              </w:rPr>
              <w:t>placebo (N=212)</w:t>
            </w:r>
          </w:p>
        </w:tc>
      </w:tr>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 xml:space="preserve">Zaključni datum </w:t>
            </w:r>
          </w:p>
        </w:tc>
        <w:tc>
          <w:tcPr>
            <w:tcW w:w="3345"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b/>
                <w:sz w:val="20"/>
                <w:szCs w:val="20"/>
              </w:rPr>
              <w:t>26. avgust 2013.</w:t>
            </w:r>
          </w:p>
        </w:tc>
        <w:tc>
          <w:tcPr>
            <w:tcW w:w="3721" w:type="dxa"/>
            <w:gridSpan w:val="2"/>
            <w:shd w:val="clear" w:color="auto" w:fill="auto"/>
          </w:tcPr>
          <w:p w:rsidR="004D038C" w:rsidRPr="004D038C" w:rsidRDefault="004D038C" w:rsidP="00C020F1">
            <w:pPr>
              <w:spacing w:after="0" w:line="240" w:lineRule="auto"/>
              <w:jc w:val="center"/>
              <w:rPr>
                <w:rFonts w:ascii="Times New Roman" w:eastAsia="Times New Roman" w:hAnsi="Times New Roman" w:cs="Times New Roman"/>
                <w:i/>
                <w:sz w:val="20"/>
                <w:szCs w:val="20"/>
                <w:lang w:val="it-IT"/>
              </w:rPr>
            </w:pPr>
            <w:r w:rsidRPr="004D038C">
              <w:rPr>
                <w:rFonts w:ascii="Times New Roman" w:eastAsia="Times New Roman" w:hAnsi="Times New Roman" w:cs="Times New Roman"/>
                <w:b/>
                <w:sz w:val="20"/>
                <w:szCs w:val="20"/>
              </w:rPr>
              <w:t>12. januar 2015.</w:t>
            </w:r>
          </w:p>
        </w:tc>
      </w:tr>
      <w:tr w:rsidR="004D038C" w:rsidRPr="004D038C" w:rsidTr="00C020F1">
        <w:tc>
          <w:tcPr>
            <w:tcW w:w="2235" w:type="dxa"/>
            <w:shd w:val="clear" w:color="auto" w:fill="auto"/>
          </w:tcPr>
          <w:p w:rsidR="004D038C" w:rsidRPr="004D038C" w:rsidRDefault="004D038C" w:rsidP="00C020F1">
            <w:pPr>
              <w:spacing w:after="0" w:line="240" w:lineRule="auto"/>
              <w:rPr>
                <w:rFonts w:ascii="Times New Roman" w:eastAsia="Times New Roman" w:hAnsi="Times New Roman" w:cs="Times New Roman"/>
                <w:i/>
                <w:sz w:val="20"/>
                <w:szCs w:val="20"/>
                <w:lang w:val="it-IT"/>
              </w:rPr>
            </w:pPr>
            <w:r w:rsidRPr="004D038C">
              <w:rPr>
                <w:rFonts w:ascii="Times New Roman" w:eastAsia="Times New Roman" w:hAnsi="Times New Roman" w:cs="Times New Roman"/>
                <w:b/>
                <w:sz w:val="20"/>
                <w:szCs w:val="20"/>
              </w:rPr>
              <w:t>PFS</w:t>
            </w:r>
            <w:r w:rsidRPr="004D038C">
              <w:rPr>
                <w:rFonts w:ascii="Times New Roman" w:eastAsia="Times New Roman" w:hAnsi="Times New Roman" w:cs="Times New Roman"/>
                <w:sz w:val="20"/>
                <w:szCs w:val="20"/>
                <w:vertAlign w:val="superscript"/>
              </w:rPr>
              <w:t>a</w:t>
            </w:r>
          </w:p>
        </w:tc>
        <w:tc>
          <w:tcPr>
            <w:tcW w:w="1485" w:type="dxa"/>
            <w:shd w:val="clear" w:color="auto" w:fill="auto"/>
          </w:tcPr>
          <w:p w:rsidR="004D038C" w:rsidRPr="004D038C" w:rsidRDefault="004D038C" w:rsidP="00C020F1">
            <w:pPr>
              <w:spacing w:after="0" w:line="240" w:lineRule="auto"/>
              <w:rPr>
                <w:rFonts w:ascii="Times New Roman" w:eastAsia="Times New Roman" w:hAnsi="Times New Roman" w:cs="Times New Roman"/>
                <w:i/>
                <w:sz w:val="20"/>
                <w:szCs w:val="20"/>
                <w:lang w:val="it-IT"/>
              </w:rPr>
            </w:pPr>
          </w:p>
        </w:tc>
        <w:tc>
          <w:tcPr>
            <w:tcW w:w="1860" w:type="dxa"/>
            <w:shd w:val="clear" w:color="auto" w:fill="auto"/>
          </w:tcPr>
          <w:p w:rsidR="004D038C" w:rsidRPr="004D038C" w:rsidRDefault="004D038C" w:rsidP="00C020F1">
            <w:pPr>
              <w:spacing w:after="0" w:line="240" w:lineRule="auto"/>
              <w:rPr>
                <w:rFonts w:ascii="Times New Roman" w:eastAsia="Times New Roman" w:hAnsi="Times New Roman" w:cs="Times New Roman"/>
                <w:i/>
                <w:sz w:val="20"/>
                <w:szCs w:val="20"/>
                <w:lang w:val="it-IT"/>
              </w:rPr>
            </w:pPr>
          </w:p>
        </w:tc>
        <w:tc>
          <w:tcPr>
            <w:tcW w:w="1860" w:type="dxa"/>
            <w:shd w:val="clear" w:color="auto" w:fill="auto"/>
          </w:tcPr>
          <w:p w:rsidR="004D038C" w:rsidRPr="004D038C" w:rsidRDefault="004D038C" w:rsidP="00C020F1">
            <w:pPr>
              <w:spacing w:after="0" w:line="240" w:lineRule="auto"/>
              <w:rPr>
                <w:rFonts w:ascii="Times New Roman" w:eastAsia="Times New Roman" w:hAnsi="Times New Roman" w:cs="Times New Roman"/>
                <w:i/>
                <w:sz w:val="20"/>
                <w:szCs w:val="20"/>
                <w:lang w:val="it-IT"/>
              </w:rPr>
            </w:pPr>
          </w:p>
        </w:tc>
        <w:tc>
          <w:tcPr>
            <w:tcW w:w="1861" w:type="dxa"/>
            <w:shd w:val="clear" w:color="auto" w:fill="auto"/>
          </w:tcPr>
          <w:p w:rsidR="004D038C" w:rsidRPr="004D038C" w:rsidRDefault="004D038C" w:rsidP="00C020F1">
            <w:pPr>
              <w:spacing w:after="0" w:line="240" w:lineRule="auto"/>
              <w:rPr>
                <w:rFonts w:ascii="Times New Roman" w:eastAsia="Times New Roman" w:hAnsi="Times New Roman" w:cs="Times New Roman"/>
                <w:i/>
                <w:sz w:val="20"/>
                <w:szCs w:val="20"/>
                <w:lang w:val="it-IT"/>
              </w:rPr>
            </w:pPr>
          </w:p>
        </w:tc>
      </w:tr>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Progresivna bolest ili smrt, n (%)</w:t>
            </w:r>
          </w:p>
        </w:tc>
        <w:tc>
          <w:tcPr>
            <w:tcW w:w="1485"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102 (48)</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109 (51)</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139 (66)</w:t>
            </w:r>
          </w:p>
        </w:tc>
        <w:tc>
          <w:tcPr>
            <w:tcW w:w="1861"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162 (76)</w:t>
            </w:r>
          </w:p>
        </w:tc>
      </w:tr>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Medijana PFS-a (mjeseci) (95% CI)</w:t>
            </w:r>
          </w:p>
        </w:tc>
        <w:tc>
          <w:tcPr>
            <w:tcW w:w="1485"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9.3</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(7.7, 11.1)</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8.8</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(5.9, 10.9)</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11.0</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(8.0, 13.9)</w:t>
            </w:r>
          </w:p>
        </w:tc>
        <w:tc>
          <w:tcPr>
            <w:tcW w:w="1861"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8.8</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(5.9, 9.3)</w:t>
            </w:r>
          </w:p>
        </w:tc>
      </w:tr>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Odnos rizika</w:t>
            </w:r>
          </w:p>
          <w:p w:rsidR="004D038C" w:rsidRPr="004D038C" w:rsidRDefault="004D038C" w:rsidP="00C020F1">
            <w:pPr>
              <w:keepNext/>
              <w:spacing w:after="0" w:line="240" w:lineRule="auto"/>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(95% CI)</w:t>
            </w:r>
          </w:p>
        </w:tc>
        <w:tc>
          <w:tcPr>
            <w:tcW w:w="3345"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0.75</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(0.57, 0.99)</w:t>
            </w:r>
          </w:p>
        </w:tc>
        <w:tc>
          <w:tcPr>
            <w:tcW w:w="3721"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0.67</w:t>
            </w:r>
          </w:p>
          <w:p w:rsidR="004D038C" w:rsidRPr="004D038C" w:rsidRDefault="004D038C" w:rsidP="00C020F1">
            <w:pPr>
              <w:spacing w:after="0" w:line="240" w:lineRule="auto"/>
              <w:jc w:val="center"/>
              <w:rPr>
                <w:rFonts w:ascii="Times New Roman" w:eastAsia="Times New Roman" w:hAnsi="Times New Roman" w:cs="Times New Roman"/>
                <w:i/>
                <w:lang w:val="it-IT"/>
              </w:rPr>
            </w:pPr>
            <w:r w:rsidRPr="004D038C">
              <w:rPr>
                <w:rFonts w:ascii="Times New Roman" w:eastAsia="Times New Roman" w:hAnsi="Times New Roman" w:cs="Times New Roman"/>
              </w:rPr>
              <w:t>(0.53, 0.84)</w:t>
            </w:r>
          </w:p>
        </w:tc>
      </w:tr>
      <w:tr w:rsidR="004D038C" w:rsidRPr="004D038C" w:rsidTr="00C020F1">
        <w:tc>
          <w:tcPr>
            <w:tcW w:w="2235"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b/>
                <w:sz w:val="20"/>
                <w:szCs w:val="20"/>
              </w:rPr>
            </w:pPr>
            <w:r w:rsidRPr="004D038C">
              <w:rPr>
                <w:rFonts w:ascii="Times New Roman" w:eastAsia="Times New Roman" w:hAnsi="Times New Roman" w:cs="Times New Roman"/>
                <w:sz w:val="20"/>
                <w:szCs w:val="20"/>
              </w:rPr>
              <w:t>P vrijednost</w:t>
            </w:r>
          </w:p>
        </w:tc>
        <w:tc>
          <w:tcPr>
            <w:tcW w:w="3345"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0.035</w:t>
            </w:r>
          </w:p>
        </w:tc>
        <w:tc>
          <w:tcPr>
            <w:tcW w:w="3721" w:type="dxa"/>
            <w:gridSpan w:val="2"/>
            <w:shd w:val="clear" w:color="auto" w:fill="auto"/>
          </w:tcPr>
          <w:p w:rsidR="004D038C" w:rsidRPr="004D038C" w:rsidRDefault="004D038C" w:rsidP="00C020F1">
            <w:pPr>
              <w:spacing w:after="0" w:line="240" w:lineRule="auto"/>
              <w:jc w:val="center"/>
              <w:rPr>
                <w:rFonts w:ascii="Times New Roman" w:eastAsia="Times New Roman" w:hAnsi="Times New Roman" w:cs="Times New Roman"/>
                <w:i/>
                <w:lang w:val="it-IT"/>
              </w:rPr>
            </w:pPr>
            <w:r w:rsidRPr="004D038C">
              <w:rPr>
                <w:rFonts w:ascii="Times New Roman" w:eastAsia="Times New Roman" w:hAnsi="Times New Roman" w:cs="Times New Roman"/>
              </w:rPr>
              <w:t>&lt;0.001</w:t>
            </w:r>
          </w:p>
        </w:tc>
      </w:tr>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sz w:val="20"/>
                <w:szCs w:val="20"/>
                <w:vertAlign w:val="superscript"/>
              </w:rPr>
            </w:pPr>
            <w:r w:rsidRPr="004D038C">
              <w:rPr>
                <w:rFonts w:ascii="Times New Roman" w:eastAsia="Times New Roman" w:hAnsi="Times New Roman" w:cs="Times New Roman"/>
                <w:b/>
                <w:sz w:val="20"/>
                <w:szCs w:val="20"/>
              </w:rPr>
              <w:lastRenderedPageBreak/>
              <w:t>ORR</w:t>
            </w:r>
            <w:r w:rsidRPr="004D038C">
              <w:rPr>
                <w:rFonts w:ascii="Times New Roman" w:eastAsia="Times New Roman" w:hAnsi="Times New Roman" w:cs="Times New Roman"/>
                <w:sz w:val="20"/>
                <w:szCs w:val="20"/>
                <w:vertAlign w:val="superscript"/>
              </w:rPr>
              <w:t xml:space="preserve">b </w:t>
            </w:r>
          </w:p>
          <w:p w:rsidR="004D038C" w:rsidRPr="004D038C" w:rsidRDefault="004D038C" w:rsidP="00C020F1">
            <w:pPr>
              <w:keepNext/>
              <w:spacing w:after="0" w:line="240" w:lineRule="auto"/>
              <w:rPr>
                <w:rFonts w:ascii="Times New Roman" w:eastAsia="Times New Roman" w:hAnsi="Times New Roman" w:cs="Times New Roman"/>
                <w:sz w:val="20"/>
                <w:szCs w:val="20"/>
                <w:vertAlign w:val="superscript"/>
              </w:rPr>
            </w:pPr>
          </w:p>
          <w:p w:rsidR="004D038C" w:rsidRPr="004D038C" w:rsidRDefault="004D038C" w:rsidP="00C020F1">
            <w:pPr>
              <w:keepNext/>
              <w:spacing w:after="0" w:line="240" w:lineRule="auto"/>
              <w:rPr>
                <w:rFonts w:ascii="Times New Roman" w:eastAsia="Times New Roman" w:hAnsi="Times New Roman" w:cs="Times New Roman"/>
                <w:b/>
                <w:sz w:val="20"/>
                <w:szCs w:val="20"/>
              </w:rPr>
            </w:pPr>
            <w:r w:rsidRPr="004D038C">
              <w:rPr>
                <w:rFonts w:ascii="Times New Roman" w:eastAsia="Times New Roman" w:hAnsi="Times New Roman" w:cs="Times New Roman"/>
                <w:sz w:val="20"/>
                <w:szCs w:val="20"/>
              </w:rPr>
              <w:t>(95% CI)</w:t>
            </w:r>
          </w:p>
        </w:tc>
        <w:tc>
          <w:tcPr>
            <w:tcW w:w="1485"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67</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(59.9, 73.0)</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51</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(44.5, 58.4)</w:t>
            </w:r>
          </w:p>
        </w:tc>
        <w:tc>
          <w:tcPr>
            <w:tcW w:w="1860"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69</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(61.8,74.8)</w:t>
            </w:r>
          </w:p>
        </w:tc>
        <w:tc>
          <w:tcPr>
            <w:tcW w:w="1861"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53</w:t>
            </w:r>
          </w:p>
          <w:p w:rsidR="004D038C" w:rsidRPr="004D038C" w:rsidRDefault="004D038C" w:rsidP="00C020F1">
            <w:pPr>
              <w:keepNext/>
              <w:spacing w:after="0" w:line="240" w:lineRule="auto"/>
              <w:jc w:val="center"/>
              <w:rPr>
                <w:rFonts w:ascii="Times New Roman" w:eastAsia="Times New Roman" w:hAnsi="Times New Roman" w:cs="Times New Roman"/>
              </w:rPr>
            </w:pPr>
            <w:r w:rsidRPr="004D038C">
              <w:rPr>
                <w:rFonts w:ascii="Times New Roman" w:eastAsia="Times New Roman" w:hAnsi="Times New Roman" w:cs="Times New Roman"/>
              </w:rPr>
              <w:t>(46.3, 60.2)</w:t>
            </w:r>
          </w:p>
        </w:tc>
      </w:tr>
      <w:tr w:rsidR="004D038C" w:rsidRPr="004D038C" w:rsidTr="00C020F1">
        <w:tc>
          <w:tcPr>
            <w:tcW w:w="2235" w:type="dxa"/>
            <w:shd w:val="clear" w:color="auto" w:fill="auto"/>
          </w:tcPr>
          <w:p w:rsidR="004D038C" w:rsidRPr="004D038C" w:rsidRDefault="004D038C" w:rsidP="00C020F1">
            <w:pPr>
              <w:keepNext/>
              <w:spacing w:after="0" w:line="240" w:lineRule="auto"/>
              <w:rPr>
                <w:rFonts w:ascii="Times New Roman" w:eastAsia="Times New Roman" w:hAnsi="Times New Roman" w:cs="Times New Roman"/>
                <w:sz w:val="20"/>
                <w:szCs w:val="20"/>
                <w:lang w:val="es-ES"/>
              </w:rPr>
            </w:pPr>
            <w:r w:rsidRPr="004D038C">
              <w:rPr>
                <w:rFonts w:ascii="Times New Roman" w:eastAsia="Times New Roman" w:hAnsi="Times New Roman" w:cs="Times New Roman"/>
                <w:sz w:val="20"/>
                <w:szCs w:val="20"/>
                <w:lang w:val="es-ES"/>
              </w:rPr>
              <w:t>Razlika u ORR-u</w:t>
            </w:r>
          </w:p>
          <w:p w:rsidR="004D038C" w:rsidRPr="004D038C" w:rsidRDefault="004D038C" w:rsidP="00C020F1">
            <w:pPr>
              <w:keepNext/>
              <w:spacing w:after="0" w:line="240" w:lineRule="auto"/>
              <w:rPr>
                <w:rFonts w:ascii="Times New Roman" w:eastAsia="Times New Roman" w:hAnsi="Times New Roman" w:cs="Times New Roman"/>
                <w:sz w:val="20"/>
                <w:szCs w:val="20"/>
                <w:lang w:val="es-ES"/>
              </w:rPr>
            </w:pPr>
            <w:r w:rsidRPr="004D038C">
              <w:rPr>
                <w:rFonts w:ascii="Times New Roman" w:eastAsia="Times New Roman" w:hAnsi="Times New Roman" w:cs="Times New Roman"/>
                <w:sz w:val="20"/>
                <w:szCs w:val="20"/>
                <w:lang w:val="es-ES"/>
              </w:rPr>
              <w:t>(95% CI)</w:t>
            </w:r>
          </w:p>
        </w:tc>
        <w:tc>
          <w:tcPr>
            <w:tcW w:w="3345"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es-ES"/>
              </w:rPr>
            </w:pPr>
            <w:r w:rsidRPr="004D038C">
              <w:rPr>
                <w:rFonts w:ascii="Times New Roman" w:eastAsia="Times New Roman" w:hAnsi="Times New Roman" w:cs="Times New Roman"/>
                <w:lang w:val="es-ES"/>
              </w:rPr>
              <w:t>15</w:t>
            </w:r>
            <w:r w:rsidRPr="004D038C">
              <w:rPr>
                <w:rFonts w:ascii="Times New Roman" w:eastAsia="Times New Roman" w:hAnsi="Times New Roman" w:cs="Times New Roman"/>
                <w:vertAlign w:val="superscript"/>
                <w:lang w:val="es-ES"/>
              </w:rPr>
              <w:t>e</w:t>
            </w:r>
          </w:p>
          <w:p w:rsidR="004D038C" w:rsidRPr="004D038C" w:rsidRDefault="004D038C" w:rsidP="00C020F1">
            <w:pPr>
              <w:keepNext/>
              <w:spacing w:after="0" w:line="240" w:lineRule="auto"/>
              <w:jc w:val="center"/>
              <w:rPr>
                <w:rFonts w:ascii="Times New Roman" w:eastAsia="Times New Roman" w:hAnsi="Times New Roman" w:cs="Times New Roman"/>
                <w:lang w:val="es-ES"/>
              </w:rPr>
            </w:pPr>
            <w:r w:rsidRPr="004D038C">
              <w:rPr>
                <w:rFonts w:ascii="Times New Roman" w:eastAsia="Times New Roman" w:hAnsi="Times New Roman" w:cs="Times New Roman"/>
                <w:lang w:val="es-ES"/>
              </w:rPr>
              <w:t>(5.9, 24.5)</w:t>
            </w:r>
          </w:p>
        </w:tc>
        <w:tc>
          <w:tcPr>
            <w:tcW w:w="3721"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es-ES"/>
              </w:rPr>
            </w:pPr>
            <w:r w:rsidRPr="004D038C">
              <w:rPr>
                <w:rFonts w:ascii="Times New Roman" w:eastAsia="Times New Roman" w:hAnsi="Times New Roman" w:cs="Times New Roman"/>
                <w:lang w:val="es-ES"/>
              </w:rPr>
              <w:t>15</w:t>
            </w:r>
            <w:r w:rsidRPr="004D038C">
              <w:rPr>
                <w:rFonts w:ascii="Times New Roman" w:eastAsia="Times New Roman" w:hAnsi="Times New Roman" w:cs="Times New Roman"/>
                <w:vertAlign w:val="superscript"/>
                <w:lang w:val="es-ES"/>
              </w:rPr>
              <w:t>e</w:t>
            </w:r>
          </w:p>
          <w:p w:rsidR="004D038C" w:rsidRPr="004D038C" w:rsidRDefault="004D038C" w:rsidP="00C020F1">
            <w:pPr>
              <w:spacing w:after="0" w:line="240" w:lineRule="auto"/>
              <w:jc w:val="center"/>
              <w:rPr>
                <w:rFonts w:ascii="Times New Roman" w:eastAsia="Times New Roman" w:hAnsi="Times New Roman" w:cs="Times New Roman"/>
                <w:i/>
                <w:lang w:val="it-IT"/>
              </w:rPr>
            </w:pPr>
            <w:r w:rsidRPr="004D038C">
              <w:rPr>
                <w:rFonts w:ascii="Times New Roman" w:eastAsia="Times New Roman" w:hAnsi="Times New Roman" w:cs="Times New Roman"/>
                <w:lang w:val="es-ES"/>
              </w:rPr>
              <w:t>(6.0, 24.5)</w:t>
            </w:r>
          </w:p>
        </w:tc>
      </w:tr>
      <w:tr w:rsidR="004D038C" w:rsidRPr="004D038C" w:rsidTr="00C020F1">
        <w:tc>
          <w:tcPr>
            <w:tcW w:w="2235" w:type="dxa"/>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b/>
                <w:sz w:val="20"/>
                <w:szCs w:val="20"/>
                <w:lang w:val="es-ES"/>
              </w:rPr>
            </w:pPr>
            <w:r w:rsidRPr="004D038C">
              <w:rPr>
                <w:rFonts w:ascii="Times New Roman" w:eastAsia="Times New Roman" w:hAnsi="Times New Roman" w:cs="Times New Roman"/>
                <w:sz w:val="20"/>
                <w:szCs w:val="20"/>
                <w:lang w:val="es-ES"/>
              </w:rPr>
              <w:t>P vrijednost</w:t>
            </w:r>
          </w:p>
        </w:tc>
        <w:tc>
          <w:tcPr>
            <w:tcW w:w="3345" w:type="dxa"/>
            <w:gridSpan w:val="2"/>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es-ES"/>
              </w:rPr>
            </w:pPr>
            <w:r w:rsidRPr="004D038C">
              <w:rPr>
                <w:rFonts w:ascii="Times New Roman" w:eastAsia="Times New Roman" w:hAnsi="Times New Roman" w:cs="Times New Roman"/>
                <w:lang w:val="es-ES"/>
              </w:rPr>
              <w:t>0.0015</w:t>
            </w:r>
          </w:p>
        </w:tc>
        <w:tc>
          <w:tcPr>
            <w:tcW w:w="3721" w:type="dxa"/>
            <w:gridSpan w:val="2"/>
            <w:shd w:val="clear" w:color="auto" w:fill="auto"/>
          </w:tcPr>
          <w:p w:rsidR="004D038C" w:rsidRPr="004D038C" w:rsidRDefault="004D038C" w:rsidP="00C020F1">
            <w:pPr>
              <w:spacing w:after="0" w:line="240" w:lineRule="auto"/>
              <w:jc w:val="center"/>
              <w:rPr>
                <w:rFonts w:ascii="Times New Roman" w:eastAsia="Times New Roman" w:hAnsi="Times New Roman" w:cs="Times New Roman"/>
                <w:i/>
                <w:lang w:val="it-IT"/>
              </w:rPr>
            </w:pPr>
            <w:r w:rsidRPr="004D038C">
              <w:rPr>
                <w:rFonts w:ascii="Times New Roman" w:eastAsia="Times New Roman" w:hAnsi="Times New Roman" w:cs="Times New Roman"/>
                <w:lang w:val="es-ES"/>
              </w:rPr>
              <w:t>0.0014</w:t>
            </w:r>
          </w:p>
        </w:tc>
      </w:tr>
      <w:tr w:rsidR="004D038C" w:rsidRPr="004D038C" w:rsidTr="00C020F1">
        <w:tc>
          <w:tcPr>
            <w:tcW w:w="2235" w:type="dxa"/>
            <w:tcBorders>
              <w:bottom w:val="single" w:sz="4" w:space="0" w:color="auto"/>
            </w:tcBorders>
            <w:shd w:val="clear" w:color="auto" w:fill="auto"/>
          </w:tcPr>
          <w:p w:rsidR="004D038C" w:rsidRPr="004D038C" w:rsidRDefault="004D038C" w:rsidP="00C020F1">
            <w:pPr>
              <w:keepNext/>
              <w:spacing w:after="0" w:line="240" w:lineRule="auto"/>
              <w:rPr>
                <w:rFonts w:ascii="Times New Roman" w:eastAsia="Times New Roman" w:hAnsi="Times New Roman" w:cs="Times New Roman"/>
                <w:b/>
                <w:sz w:val="20"/>
                <w:szCs w:val="20"/>
                <w:lang w:val="it-IT"/>
              </w:rPr>
            </w:pPr>
            <w:r w:rsidRPr="004D038C">
              <w:rPr>
                <w:rFonts w:ascii="Times New Roman" w:eastAsia="Times New Roman" w:hAnsi="Times New Roman" w:cs="Times New Roman"/>
                <w:b/>
                <w:sz w:val="20"/>
                <w:szCs w:val="20"/>
                <w:lang w:val="it-IT"/>
              </w:rPr>
              <w:t>Trajanje odgovora</w:t>
            </w:r>
            <w:r w:rsidRPr="004D038C">
              <w:rPr>
                <w:rFonts w:ascii="Times New Roman" w:eastAsia="Times New Roman" w:hAnsi="Times New Roman" w:cs="Times New Roman"/>
                <w:b/>
                <w:sz w:val="20"/>
                <w:szCs w:val="20"/>
                <w:vertAlign w:val="superscript"/>
                <w:lang w:val="it-IT"/>
              </w:rPr>
              <w:t>c</w:t>
            </w:r>
            <w:r w:rsidRPr="004D038C">
              <w:rPr>
                <w:rFonts w:ascii="Times New Roman" w:eastAsia="Times New Roman" w:hAnsi="Times New Roman" w:cs="Times New Roman"/>
                <w:b/>
                <w:sz w:val="20"/>
                <w:szCs w:val="20"/>
                <w:lang w:val="it-IT"/>
              </w:rPr>
              <w:t xml:space="preserve"> (mjeseci)</w:t>
            </w:r>
          </w:p>
          <w:p w:rsidR="004D038C" w:rsidRPr="004D038C" w:rsidRDefault="004D038C" w:rsidP="00C020F1">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Medijana</w:t>
            </w:r>
          </w:p>
          <w:p w:rsidR="004D038C" w:rsidRPr="004D038C" w:rsidRDefault="004D038C" w:rsidP="00C020F1">
            <w:pPr>
              <w:keepNext/>
              <w:spacing w:after="0" w:line="240" w:lineRule="auto"/>
              <w:rPr>
                <w:rFonts w:ascii="Times New Roman" w:eastAsia="Times New Roman" w:hAnsi="Times New Roman" w:cs="Times New Roman"/>
                <w:b/>
                <w:sz w:val="20"/>
                <w:szCs w:val="20"/>
                <w:lang w:val="it-IT"/>
              </w:rPr>
            </w:pPr>
            <w:r w:rsidRPr="004D038C">
              <w:rPr>
                <w:rFonts w:ascii="Times New Roman" w:eastAsia="Times New Roman" w:hAnsi="Times New Roman" w:cs="Times New Roman"/>
                <w:sz w:val="20"/>
                <w:szCs w:val="20"/>
                <w:lang w:val="it-IT"/>
              </w:rPr>
              <w:t>(95% CI)</w:t>
            </w:r>
          </w:p>
        </w:tc>
        <w:tc>
          <w:tcPr>
            <w:tcW w:w="1485" w:type="dxa"/>
            <w:tcBorders>
              <w:bottom w:val="single" w:sz="4" w:space="0" w:color="auto"/>
            </w:tcBorders>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it-IT"/>
              </w:rPr>
            </w:pP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9.2</w:t>
            </w:r>
            <w:r w:rsidRPr="004D038C">
              <w:rPr>
                <w:rFonts w:ascii="Times New Roman" w:eastAsia="Times New Roman" w:hAnsi="Times New Roman" w:cs="Times New Roman"/>
                <w:vertAlign w:val="superscript"/>
                <w:lang w:val="it-IT"/>
              </w:rPr>
              <w:t>d</w:t>
            </w: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(7.4, ND)</w:t>
            </w:r>
          </w:p>
        </w:tc>
        <w:tc>
          <w:tcPr>
            <w:tcW w:w="1860" w:type="dxa"/>
            <w:tcBorders>
              <w:bottom w:val="single" w:sz="4" w:space="0" w:color="auto"/>
            </w:tcBorders>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it-IT"/>
              </w:rPr>
            </w:pP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10.2</w:t>
            </w:r>
            <w:r w:rsidRPr="004D038C">
              <w:rPr>
                <w:rFonts w:ascii="Times New Roman" w:eastAsia="Times New Roman" w:hAnsi="Times New Roman" w:cs="Times New Roman"/>
                <w:vertAlign w:val="superscript"/>
                <w:lang w:val="it-IT"/>
              </w:rPr>
              <w:t>d</w:t>
            </w: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(7.5, ND)</w:t>
            </w:r>
          </w:p>
        </w:tc>
        <w:tc>
          <w:tcPr>
            <w:tcW w:w="1860" w:type="dxa"/>
            <w:tcBorders>
              <w:bottom w:val="single" w:sz="4" w:space="0" w:color="auto"/>
            </w:tcBorders>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it-IT"/>
              </w:rPr>
            </w:pP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12.9</w:t>
            </w: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(9.4, 19.5)</w:t>
            </w:r>
          </w:p>
        </w:tc>
        <w:tc>
          <w:tcPr>
            <w:tcW w:w="1861" w:type="dxa"/>
            <w:tcBorders>
              <w:bottom w:val="single" w:sz="4" w:space="0" w:color="auto"/>
            </w:tcBorders>
            <w:shd w:val="clear" w:color="auto" w:fill="auto"/>
          </w:tcPr>
          <w:p w:rsidR="004D038C" w:rsidRPr="004D038C" w:rsidRDefault="004D038C" w:rsidP="00C020F1">
            <w:pPr>
              <w:keepNext/>
              <w:spacing w:after="0" w:line="240" w:lineRule="auto"/>
              <w:jc w:val="center"/>
              <w:rPr>
                <w:rFonts w:ascii="Times New Roman" w:eastAsia="Times New Roman" w:hAnsi="Times New Roman" w:cs="Times New Roman"/>
                <w:lang w:val="it-IT"/>
              </w:rPr>
            </w:pP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10.6</w:t>
            </w:r>
          </w:p>
          <w:p w:rsidR="004D038C" w:rsidRPr="004D038C" w:rsidRDefault="004D038C" w:rsidP="00C020F1">
            <w:pPr>
              <w:keepNext/>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lang w:val="it-IT"/>
              </w:rPr>
              <w:t>(9.1, 13.8)</w:t>
            </w:r>
          </w:p>
        </w:tc>
      </w:tr>
      <w:tr w:rsidR="004D038C" w:rsidRPr="004D038C" w:rsidTr="00C020F1">
        <w:tc>
          <w:tcPr>
            <w:tcW w:w="9301" w:type="dxa"/>
            <w:gridSpan w:val="5"/>
            <w:tcBorders>
              <w:left w:val="nil"/>
              <w:bottom w:val="nil"/>
              <w:right w:val="nil"/>
            </w:tcBorders>
            <w:shd w:val="clear" w:color="auto" w:fill="auto"/>
          </w:tcPr>
          <w:p w:rsidR="004D038C" w:rsidRPr="004D038C" w:rsidRDefault="004D038C" w:rsidP="00C020F1">
            <w:pPr>
              <w:keepNext/>
              <w:spacing w:after="0" w:line="240" w:lineRule="auto"/>
              <w:rPr>
                <w:rFonts w:ascii="Times New Roman" w:eastAsia="Times New Roman" w:hAnsi="Times New Roman" w:cs="Times New Roman"/>
                <w:sz w:val="16"/>
                <w:szCs w:val="16"/>
              </w:rPr>
            </w:pPr>
            <w:r w:rsidRPr="004D038C">
              <w:rPr>
                <w:rFonts w:ascii="Times New Roman" w:eastAsia="Times New Roman" w:hAnsi="Times New Roman" w:cs="Times New Roman"/>
                <w:sz w:val="16"/>
                <w:szCs w:val="16"/>
              </w:rPr>
              <w:t>a – Preživljavanje bez progresije (procjena istraživača)</w:t>
            </w:r>
          </w:p>
          <w:p w:rsidR="004D038C" w:rsidRPr="004D038C" w:rsidRDefault="004D038C" w:rsidP="00C020F1">
            <w:pPr>
              <w:keepNext/>
              <w:spacing w:after="0" w:line="240" w:lineRule="auto"/>
              <w:rPr>
                <w:rFonts w:ascii="Times New Roman" w:eastAsia="Times New Roman" w:hAnsi="Times New Roman" w:cs="Times New Roman"/>
                <w:sz w:val="16"/>
                <w:szCs w:val="16"/>
              </w:rPr>
            </w:pPr>
            <w:r w:rsidRPr="004D038C">
              <w:rPr>
                <w:rFonts w:ascii="Times New Roman" w:eastAsia="Times New Roman" w:hAnsi="Times New Roman" w:cs="Times New Roman"/>
                <w:sz w:val="16"/>
                <w:szCs w:val="16"/>
              </w:rPr>
              <w:t>b – Ukupna stopa odgovora = kompletan odgovor + djelimičan odgovor</w:t>
            </w:r>
          </w:p>
          <w:p w:rsidR="004D038C" w:rsidRPr="004D038C" w:rsidRDefault="004D038C" w:rsidP="00C020F1">
            <w:pPr>
              <w:keepNext/>
              <w:spacing w:after="0" w:line="240" w:lineRule="auto"/>
              <w:rPr>
                <w:rFonts w:ascii="Times New Roman" w:eastAsia="Times New Roman" w:hAnsi="Times New Roman" w:cs="Times New Roman"/>
                <w:sz w:val="16"/>
                <w:szCs w:val="16"/>
              </w:rPr>
            </w:pPr>
            <w:r w:rsidRPr="004D038C">
              <w:rPr>
                <w:rFonts w:ascii="Times New Roman" w:eastAsia="Times New Roman" w:hAnsi="Times New Roman" w:cs="Times New Roman"/>
                <w:sz w:val="16"/>
                <w:szCs w:val="16"/>
              </w:rPr>
              <w:t>c – Trajanje odgovora</w:t>
            </w:r>
          </w:p>
          <w:p w:rsidR="004D038C" w:rsidRPr="004D038C" w:rsidRDefault="004D038C" w:rsidP="00C020F1">
            <w:pPr>
              <w:keepNext/>
              <w:spacing w:after="0" w:line="240" w:lineRule="auto"/>
              <w:rPr>
                <w:rFonts w:ascii="Times New Roman" w:eastAsia="Times New Roman" w:hAnsi="Times New Roman" w:cs="Times New Roman"/>
                <w:sz w:val="16"/>
                <w:szCs w:val="16"/>
              </w:rPr>
            </w:pPr>
            <w:r w:rsidRPr="004D038C">
              <w:rPr>
                <w:rFonts w:ascii="Times New Roman" w:eastAsia="Times New Roman" w:hAnsi="Times New Roman" w:cs="Times New Roman"/>
                <w:sz w:val="16"/>
                <w:szCs w:val="16"/>
              </w:rPr>
              <w:t>d – U vrijeme izvještavanja većina (≥ 59%) odgovora koje je procijenio istraživač bila je još u toku</w:t>
            </w:r>
          </w:p>
          <w:p w:rsidR="004D038C" w:rsidRPr="004D038C" w:rsidRDefault="004D038C" w:rsidP="00C020F1">
            <w:pPr>
              <w:keepNext/>
              <w:spacing w:after="0" w:line="240" w:lineRule="auto"/>
              <w:rPr>
                <w:rFonts w:ascii="Times New Roman" w:eastAsia="Times New Roman" w:hAnsi="Times New Roman" w:cs="Times New Roman"/>
                <w:sz w:val="16"/>
                <w:szCs w:val="16"/>
              </w:rPr>
            </w:pPr>
            <w:r w:rsidRPr="004D038C">
              <w:rPr>
                <w:rFonts w:ascii="Times New Roman" w:eastAsia="Times New Roman" w:hAnsi="Times New Roman" w:cs="Times New Roman"/>
                <w:sz w:val="16"/>
                <w:szCs w:val="16"/>
              </w:rPr>
              <w:t>e – Razlika u ORR-u izračunata na osnovu rezultata za ORR koji nije bio zaokružen</w:t>
            </w:r>
          </w:p>
          <w:p w:rsidR="004D038C" w:rsidRPr="004D038C" w:rsidRDefault="004D038C" w:rsidP="00C020F1">
            <w:pPr>
              <w:spacing w:after="0" w:line="240" w:lineRule="auto"/>
              <w:rPr>
                <w:rFonts w:ascii="Times New Roman" w:eastAsia="Times New Roman" w:hAnsi="Times New Roman" w:cs="Times New Roman"/>
                <w:lang w:val="it-IT"/>
              </w:rPr>
            </w:pPr>
            <w:r w:rsidRPr="004D038C">
              <w:rPr>
                <w:rFonts w:ascii="Times New Roman" w:eastAsia="Times New Roman" w:hAnsi="Times New Roman" w:cs="Times New Roman"/>
                <w:sz w:val="16"/>
                <w:szCs w:val="16"/>
                <w:lang w:val="it-IT"/>
              </w:rPr>
              <w:t>ND = Nije dostignuto</w:t>
            </w:r>
          </w:p>
        </w:tc>
      </w:tr>
    </w:tbl>
    <w:p w:rsidR="004D038C" w:rsidRPr="004D038C" w:rsidRDefault="004D038C" w:rsidP="004D038C">
      <w:pPr>
        <w:spacing w:after="0" w:line="240" w:lineRule="auto"/>
        <w:rPr>
          <w:rFonts w:ascii="Times New Roman" w:eastAsia="Times New Roman" w:hAnsi="Times New Roman" w:cs="Times New Roman"/>
          <w:lang w:val="it-IT"/>
        </w:rPr>
      </w:pPr>
    </w:p>
    <w:p w:rsidR="004D038C" w:rsidRPr="004D038C" w:rsidRDefault="004D038C" w:rsidP="004D038C">
      <w:pPr>
        <w:keepNext/>
        <w:spacing w:after="0" w:line="320" w:lineRule="atLeast"/>
        <w:jc w:val="both"/>
        <w:rPr>
          <w:rFonts w:ascii="Times New Roman" w:eastAsia="Times New Roman" w:hAnsi="Times New Roman" w:cs="Times New Roman"/>
          <w:lang w:val="it-IT"/>
        </w:rPr>
      </w:pPr>
      <w:r w:rsidRPr="004D038C">
        <w:rPr>
          <w:rFonts w:ascii="Times New Roman" w:eastAsia="Times New Roman" w:hAnsi="Times New Roman" w:cs="Times New Roman"/>
          <w:lang w:val="it-IT"/>
        </w:rPr>
        <w:t>MEK116513 (COMBI-v):</w:t>
      </w:r>
    </w:p>
    <w:p w:rsidR="004D038C" w:rsidRPr="004D038C" w:rsidRDefault="004D038C" w:rsidP="004D038C">
      <w:pPr>
        <w:spacing w:after="0" w:line="240" w:lineRule="auto"/>
        <w:jc w:val="both"/>
        <w:rPr>
          <w:rFonts w:ascii="Times New Roman" w:eastAsia="Times New Roman" w:hAnsi="Times New Roman" w:cs="Times New Roman"/>
          <w:lang w:val="it-IT"/>
        </w:rPr>
      </w:pPr>
      <w:r w:rsidRPr="004D038C">
        <w:rPr>
          <w:rFonts w:ascii="Times New Roman" w:eastAsia="Times New Roman" w:hAnsi="Times New Roman" w:cs="Times New Roman"/>
          <w:lang w:val="it-IT"/>
        </w:rPr>
        <w:t>MEK116513</w:t>
      </w:r>
      <w:r w:rsidRPr="004D038C">
        <w:rPr>
          <w:rFonts w:ascii="Times New Roman" w:eastAsia="Times New Roman" w:hAnsi="Times New Roman" w:cs="Times New Roman"/>
          <w:lang w:val="hr-HR"/>
        </w:rPr>
        <w:t xml:space="preserve"> je randomizovana, otvorena studija faze III u kojoj je poređena kombinacija dabrafeniba i trametiniba sa </w:t>
      </w:r>
      <w:r w:rsidRPr="004D038C">
        <w:rPr>
          <w:rFonts w:ascii="Times New Roman" w:eastAsia="Times New Roman" w:hAnsi="Times New Roman" w:cs="Times New Roman"/>
          <w:lang w:val="it-IT"/>
        </w:rPr>
        <w:t xml:space="preserve">monoterapijom vemurafenibom kod metastatskog melanoma s pozitivnom BRAF V600 mutacijom. Mjera primarnog ishoda u ispitivanju bila je ukupno preživljavanje uz PFS kao glavnu mjeru sekundarnog ishoda. Pacijenti su bili stratifikovani prema nivou laktat dehidrogenaze (LDH) (&gt; gornje granice normalnih vrijednosti (GGN) prema </w:t>
      </w:r>
      <w:r w:rsidRPr="004D038C">
        <w:rPr>
          <w:rFonts w:ascii="Times New Roman" w:eastAsia="Times New Roman" w:hAnsi="Times New Roman" w:cs="Times New Roman"/>
        </w:rPr>
        <w:sym w:font="Symbol" w:char="F0A3"/>
      </w:r>
      <w:r w:rsidRPr="004D038C">
        <w:rPr>
          <w:rFonts w:ascii="Times New Roman" w:eastAsia="Times New Roman" w:hAnsi="Times New Roman" w:cs="Times New Roman"/>
          <w:lang w:val="it-IT"/>
        </w:rPr>
        <w:t> GGN) i BRAF mutaciji (V600E prema V600K).</w:t>
      </w:r>
    </w:p>
    <w:p w:rsidR="004D038C" w:rsidRPr="004D038C" w:rsidRDefault="004D038C" w:rsidP="004D038C">
      <w:pPr>
        <w:spacing w:after="0" w:line="240" w:lineRule="auto"/>
        <w:jc w:val="both"/>
        <w:rPr>
          <w:rFonts w:ascii="Times New Roman" w:eastAsia="Times New Roman" w:hAnsi="Times New Roman" w:cs="Times New Roman"/>
          <w:lang w:val="it-IT"/>
        </w:rPr>
      </w:pPr>
    </w:p>
    <w:p w:rsidR="004D038C" w:rsidRPr="004D038C" w:rsidRDefault="004D038C" w:rsidP="004D038C">
      <w:pPr>
        <w:spacing w:after="0" w:line="240" w:lineRule="auto"/>
        <w:jc w:val="both"/>
        <w:rPr>
          <w:rFonts w:ascii="Times New Roman" w:eastAsia="Times New Roman" w:hAnsi="Times New Roman" w:cs="Times New Roman"/>
          <w:lang w:val="it-IT"/>
        </w:rPr>
      </w:pPr>
      <w:r w:rsidRPr="004D038C">
        <w:rPr>
          <w:rFonts w:ascii="Times New Roman" w:eastAsia="Times New Roman" w:hAnsi="Times New Roman" w:cs="Times New Roman"/>
          <w:lang w:val="it-IT"/>
        </w:rPr>
        <w:t>Randomizovano je ukupno 704 pacijenata u odnosu 1:1 ili na kombinovanu trerapiju ili na vemurafenib. Pacijenti su uglavnom bili bijele rase (&gt;96%) i muškog pola (55%), uz medijanu starosti od 55 godina (24% imalo je ≥65 godina). Većina pacijenata bila je u stadijuma IV M1c bolesti (61% ukupno). Većina pacijenata imala je LDH ≤GGN (67%), funkcionalni status ECOG 0 (70%) i visceralnu bolest (78%) na početku. Ukupno je 54% pacijenata imalo &lt;3 mjesta bolesti na početku. Većina pacijenata imala je melanom sa pozitivnom BRAF V600E mutacijom (89%). Pacijenti sa metastazama na mozgu nijesu bili uključeni u ispitivanje.</w:t>
      </w:r>
    </w:p>
    <w:p w:rsidR="004D038C" w:rsidRPr="004D038C" w:rsidRDefault="004D038C" w:rsidP="004D038C">
      <w:pPr>
        <w:spacing w:after="0" w:line="240" w:lineRule="auto"/>
        <w:jc w:val="both"/>
        <w:rPr>
          <w:rFonts w:ascii="Times New Roman" w:eastAsia="Times New Roman" w:hAnsi="Times New Roman" w:cs="Times New Roman"/>
          <w:sz w:val="24"/>
          <w:szCs w:val="24"/>
          <w:lang w:val="it-IT"/>
        </w:rPr>
      </w:pPr>
    </w:p>
    <w:p w:rsidR="00C020F1" w:rsidRDefault="004D038C" w:rsidP="00C020F1">
      <w:pPr>
        <w:spacing w:after="0" w:line="240" w:lineRule="auto"/>
        <w:jc w:val="both"/>
        <w:rPr>
          <w:rFonts w:ascii="Times New Roman" w:eastAsia="Times New Roman" w:hAnsi="Times New Roman" w:cs="Times New Roman"/>
          <w:lang w:val="it-IT"/>
        </w:rPr>
      </w:pPr>
      <w:r w:rsidRPr="004D038C">
        <w:rPr>
          <w:rFonts w:ascii="Times New Roman" w:eastAsia="Times New Roman" w:hAnsi="Times New Roman" w:cs="Times New Roman"/>
          <w:lang w:val="it-IT"/>
        </w:rPr>
        <w:t xml:space="preserve">Ažurirana analiza OS-a </w:t>
      </w:r>
      <w:r w:rsidRPr="004D038C">
        <w:rPr>
          <w:rFonts w:ascii="Times New Roman" w:eastAsia="Times New Roman" w:hAnsi="Times New Roman" w:cs="Times New Roman"/>
          <w:color w:val="000000"/>
          <w:lang w:val="it-IT"/>
        </w:rPr>
        <w:t>(13. mart 2015.) pokazala je statistički značajno poboljšanje u OS-u za kombinaciju u poređenju sa monoterapijom vemurafenibom (Slika 2)</w:t>
      </w:r>
      <w:r w:rsidRPr="004D038C">
        <w:rPr>
          <w:rFonts w:ascii="Times New Roman" w:eastAsia="Times New Roman" w:hAnsi="Times New Roman" w:cs="Times New Roman"/>
          <w:lang w:val="it-IT"/>
        </w:rPr>
        <w:t>. Procjena dvanaestomjesečnog OS-a bila je 72% za kombinovanu terapiju i 65% za vemurafenib.</w:t>
      </w:r>
    </w:p>
    <w:p w:rsidR="00C020F1" w:rsidRDefault="00C020F1"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C020F1" w:rsidRPr="00C020F1" w:rsidRDefault="004D038C" w:rsidP="00C020F1">
      <w:pPr>
        <w:spacing w:after="0" w:line="240" w:lineRule="auto"/>
        <w:jc w:val="both"/>
        <w:rPr>
          <w:rFonts w:ascii="Times New Roman" w:eastAsia="TimesNewRoman" w:hAnsi="Times New Roman" w:cs="Times New Roman"/>
          <w:color w:val="000000"/>
          <w:lang w:val="it-IT"/>
        </w:rPr>
      </w:pPr>
      <w:r w:rsidRPr="004D038C">
        <w:rPr>
          <w:rFonts w:ascii="Times New Roman" w:eastAsia="Times New Roman" w:hAnsi="Times New Roman" w:cs="Times New Roman"/>
          <w:lang w:val="it-IT"/>
        </w:rPr>
        <w:lastRenderedPageBreak/>
        <w:t xml:space="preserve">Slika 2: </w:t>
      </w:r>
      <w:r w:rsidRPr="004D038C">
        <w:rPr>
          <w:rFonts w:ascii="Times New Roman" w:eastAsia="TimesNewRoman" w:hAnsi="Times New Roman" w:cs="Times New Roman"/>
          <w:color w:val="000000"/>
          <w:lang w:val="it-IT"/>
        </w:rPr>
        <w:t>Kaplan-Meier kriva ažurirane analize ukupnog preživljavanja (OS) za ispitivanje MEK116513</w:t>
      </w:r>
    </w:p>
    <w:p w:rsidR="004D038C" w:rsidRPr="004D038C" w:rsidRDefault="004D038C" w:rsidP="004D038C">
      <w:pPr>
        <w:keepNext/>
        <w:spacing w:after="0" w:line="240" w:lineRule="auto"/>
        <w:rPr>
          <w:rFonts w:ascii="Times New Roman" w:eastAsia="Times New Roman" w:hAnsi="Times New Roman" w:cs="Times New Roman"/>
          <w:i/>
          <w:sz w:val="24"/>
          <w:szCs w:val="24"/>
          <w:lang w:val="it-IT"/>
        </w:rPr>
      </w:pPr>
    </w:p>
    <w:p w:rsidR="00C020F1" w:rsidRDefault="009B18F8" w:rsidP="009B18F8">
      <w:pPr>
        <w:spacing w:after="0" w:line="240" w:lineRule="auto"/>
        <w:jc w:val="center"/>
        <w:rPr>
          <w:rFonts w:ascii="Times New Roman" w:eastAsia="Times New Roman" w:hAnsi="Times New Roman" w:cs="Times New Roman"/>
          <w:lang w:val="it-IT"/>
        </w:rPr>
      </w:pPr>
      <w:r w:rsidRPr="004D038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DC73EF" wp14:editId="38585112">
                <wp:simplePos x="0" y="0"/>
                <wp:positionH relativeFrom="margin">
                  <wp:posOffset>1031748</wp:posOffset>
                </wp:positionH>
                <wp:positionV relativeFrom="paragraph">
                  <wp:posOffset>2503018</wp:posOffset>
                </wp:positionV>
                <wp:extent cx="4601261" cy="1565452"/>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61" cy="1565452"/>
                        </a:xfrm>
                        <a:prstGeom prst="rect">
                          <a:avLst/>
                        </a:prstGeom>
                        <a:noFill/>
                        <a:ln w="9525">
                          <a:noFill/>
                          <a:miter lim="800000"/>
                          <a:headEnd/>
                          <a:tailEnd/>
                        </a:ln>
                      </wps:spPr>
                      <wps:txbx>
                        <w:txbxContent>
                          <w:tbl>
                            <w:tblPr>
                              <w:tblW w:w="5987" w:type="dxa"/>
                              <w:tblCellMar>
                                <w:left w:w="0" w:type="dxa"/>
                                <w:right w:w="0" w:type="dxa"/>
                              </w:tblCellMar>
                              <w:tblLook w:val="04A0" w:firstRow="1" w:lastRow="0" w:firstColumn="1" w:lastColumn="0" w:noHBand="0" w:noVBand="1"/>
                            </w:tblPr>
                            <w:tblGrid>
                              <w:gridCol w:w="2686"/>
                              <w:gridCol w:w="1701"/>
                              <w:gridCol w:w="1600"/>
                            </w:tblGrid>
                            <w:tr w:rsidR="009B18F8" w:rsidRPr="00D6274C" w:rsidTr="001F0C96">
                              <w:trPr>
                                <w:trHeight w:val="391"/>
                              </w:trPr>
                              <w:tc>
                                <w:tcPr>
                                  <w:tcW w:w="26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rPr>
                                      <w:rFonts w:eastAsia="Calibri"/>
                                      <w:sz w:val="14"/>
                                      <w:szCs w:val="14"/>
                                    </w:rPr>
                                  </w:pPr>
                                  <w:r w:rsidRPr="001F0C96">
                                    <w:rPr>
                                      <w:b/>
                                      <w:bCs/>
                                      <w:color w:val="000000"/>
                                      <w:sz w:val="14"/>
                                      <w:szCs w:val="14"/>
                                    </w:rPr>
                                    <w:t> </w:t>
                                  </w:r>
                                </w:p>
                              </w:tc>
                              <w:tc>
                                <w:tcPr>
                                  <w:tcW w:w="1701"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Dabrafenib + trametinib (N=352)</w:t>
                                  </w:r>
                                </w:p>
                              </w:tc>
                              <w:tc>
                                <w:tcPr>
                                  <w:tcW w:w="1600"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Vemurafenib (N=352)</w:t>
                                  </w:r>
                                </w:p>
                              </w:tc>
                            </w:tr>
                            <w:tr w:rsidR="009B18F8" w:rsidRPr="00D6274C" w:rsidTr="001F0C96">
                              <w:trPr>
                                <w:trHeight w:val="200"/>
                              </w:trPr>
                              <w:tc>
                                <w:tcPr>
                                  <w:tcW w:w="5987" w:type="dxa"/>
                                  <w:gridSpan w:val="3"/>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rPr>
                                      <w:rFonts w:ascii="Times New Roman" w:eastAsia="Calibri" w:hAnsi="Times New Roman" w:cs="Times New Roman"/>
                                      <w:sz w:val="14"/>
                                      <w:szCs w:val="14"/>
                                    </w:rPr>
                                  </w:pPr>
                                  <w:r w:rsidRPr="001F0C96">
                                    <w:rPr>
                                      <w:rFonts w:ascii="Times New Roman" w:hAnsi="Times New Roman" w:cs="Times New Roman"/>
                                      <w:color w:val="000000"/>
                                      <w:kern w:val="24"/>
                                      <w:sz w:val="14"/>
                                      <w:szCs w:val="14"/>
                                    </w:rPr>
                                    <w:t xml:space="preserve">Ukupno preživljavanje </w:t>
                                  </w:r>
                                  <w:r w:rsidRPr="001F0C96">
                                    <w:rPr>
                                      <w:rFonts w:ascii="Times New Roman" w:hAnsi="Times New Roman" w:cs="Times New Roman"/>
                                      <w:color w:val="000000"/>
                                      <w:sz w:val="14"/>
                                      <w:szCs w:val="14"/>
                                    </w:rPr>
                                    <w:t>13. mart 2015.</w:t>
                                  </w:r>
                                </w:p>
                              </w:tc>
                            </w:tr>
                            <w:tr w:rsidR="009B18F8" w:rsidRPr="00D6274C" w:rsidTr="001515DE">
                              <w:trPr>
                                <w:trHeight w:val="32"/>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271" w:lineRule="exact"/>
                                    <w:rPr>
                                      <w:rFonts w:ascii="Times New Roman" w:eastAsia="Calibri" w:hAnsi="Times New Roman" w:cs="Times New Roman"/>
                                      <w:sz w:val="14"/>
                                      <w:szCs w:val="14"/>
                                    </w:rPr>
                                  </w:pPr>
                                  <w:r w:rsidRPr="001F0C96">
                                    <w:rPr>
                                      <w:rFonts w:ascii="Times New Roman" w:hAnsi="Times New Roman" w:cs="Times New Roman"/>
                                      <w:color w:val="000000"/>
                                      <w:sz w:val="14"/>
                                      <w:szCs w:val="14"/>
                                    </w:rPr>
                                    <w:t>Broj događaja (%)</w:t>
                                  </w:r>
                                </w:p>
                              </w:tc>
                              <w:tc>
                                <w:tcPr>
                                  <w:tcW w:w="1701"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271"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155 (44%)</w:t>
                                  </w:r>
                                </w:p>
                              </w:tc>
                              <w:tc>
                                <w:tcPr>
                                  <w:tcW w:w="16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271"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195 (55%)</w:t>
                                  </w:r>
                                </w:p>
                              </w:tc>
                            </w:tr>
                            <w:tr w:rsidR="009B18F8" w:rsidRPr="00D6274C" w:rsidTr="001515DE">
                              <w:trPr>
                                <w:trHeight w:val="23"/>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rPr>
                                      <w:rFonts w:ascii="Times New Roman" w:eastAsia="Calibri" w:hAnsi="Times New Roman" w:cs="Times New Roman"/>
                                      <w:sz w:val="14"/>
                                      <w:szCs w:val="14"/>
                                    </w:rPr>
                                  </w:pPr>
                                  <w:r w:rsidRPr="001F0C96">
                                    <w:rPr>
                                      <w:rFonts w:ascii="Times New Roman" w:hAnsi="Times New Roman" w:cs="Times New Roman"/>
                                      <w:color w:val="000000"/>
                                      <w:sz w:val="14"/>
                                      <w:szCs w:val="14"/>
                                    </w:rPr>
                                    <w:t>Medijana OS (mjeseci)</w:t>
                                  </w:r>
                                </w:p>
                              </w:tc>
                              <w:tc>
                                <w:tcPr>
                                  <w:tcW w:w="1701"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25.6</w:t>
                                  </w:r>
                                </w:p>
                              </w:tc>
                              <w:tc>
                                <w:tcPr>
                                  <w:tcW w:w="16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18.0</w:t>
                                  </w:r>
                                </w:p>
                              </w:tc>
                            </w:tr>
                            <w:tr w:rsidR="009B18F8" w:rsidRPr="00D6274C" w:rsidTr="001515DE">
                              <w:trPr>
                                <w:trHeight w:val="48"/>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rPr>
                                      <w:rFonts w:ascii="Times New Roman" w:eastAsia="Calibri" w:hAnsi="Times New Roman" w:cs="Times New Roman"/>
                                      <w:sz w:val="14"/>
                                      <w:szCs w:val="14"/>
                                    </w:rPr>
                                  </w:pPr>
                                  <w:r w:rsidRPr="001F0C96">
                                    <w:rPr>
                                      <w:rFonts w:ascii="Times New Roman" w:hAnsi="Times New Roman" w:cs="Times New Roman"/>
                                      <w:color w:val="000000"/>
                                      <w:sz w:val="14"/>
                                      <w:szCs w:val="14"/>
                                    </w:rPr>
                                    <w:t>Prilagođen odnos rizika (95% CI)</w:t>
                                  </w:r>
                                </w:p>
                              </w:tc>
                              <w:tc>
                                <w:tcPr>
                                  <w:tcW w:w="3301" w:type="dxa"/>
                                  <w:gridSpan w:val="2"/>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0.66 (0.53, 0.81)</w:t>
                                  </w:r>
                                </w:p>
                              </w:tc>
                            </w:tr>
                            <w:tr w:rsidR="009B18F8" w:rsidRPr="00D6274C" w:rsidTr="001515DE">
                              <w:trPr>
                                <w:trHeight w:val="101"/>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rPr>
                                      <w:rFonts w:ascii="Times New Roman" w:eastAsia="Calibri" w:hAnsi="Times New Roman" w:cs="Times New Roman"/>
                                      <w:sz w:val="14"/>
                                      <w:szCs w:val="14"/>
                                    </w:rPr>
                                  </w:pPr>
                                  <w:r w:rsidRPr="001F0C96">
                                    <w:rPr>
                                      <w:rFonts w:ascii="Times New Roman" w:hAnsi="Times New Roman" w:cs="Times New Roman"/>
                                      <w:color w:val="000000"/>
                                      <w:kern w:val="24"/>
                                      <w:sz w:val="14"/>
                                      <w:szCs w:val="14"/>
                                    </w:rPr>
                                    <w:t>Str</w:t>
                                  </w:r>
                                  <w:r w:rsidRPr="001F0C96">
                                    <w:rPr>
                                      <w:rFonts w:ascii="Times New Roman" w:hAnsi="Times New Roman" w:cs="Times New Roman"/>
                                      <w:color w:val="000000"/>
                                      <w:kern w:val="24"/>
                                      <w:sz w:val="14"/>
                                      <w:szCs w:val="14"/>
                                      <w:lang w:val="it-IT"/>
                                    </w:rPr>
                                    <w:t>atifikovana Log-Rank P-vrijednost</w:t>
                                  </w:r>
                                </w:p>
                              </w:tc>
                              <w:tc>
                                <w:tcPr>
                                  <w:tcW w:w="3301" w:type="dxa"/>
                                  <w:gridSpan w:val="2"/>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eastAsia="Calibri"/>
                                      <w:sz w:val="14"/>
                                      <w:szCs w:val="14"/>
                                    </w:rPr>
                                  </w:pPr>
                                  <w:r w:rsidRPr="001F0C96">
                                    <w:rPr>
                                      <w:color w:val="000000"/>
                                      <w:sz w:val="14"/>
                                      <w:szCs w:val="14"/>
                                    </w:rPr>
                                    <w:t>&lt;</w:t>
                                  </w:r>
                                  <w:r w:rsidRPr="001F0C96">
                                    <w:rPr>
                                      <w:rFonts w:ascii="Times New Roman" w:hAnsi="Times New Roman" w:cs="Times New Roman"/>
                                      <w:color w:val="000000"/>
                                      <w:sz w:val="14"/>
                                      <w:szCs w:val="14"/>
                                    </w:rPr>
                                    <w:t>0.001</w:t>
                                  </w:r>
                                </w:p>
                              </w:tc>
                            </w:tr>
                          </w:tbl>
                          <w:p w:rsidR="000F555B" w:rsidRDefault="000F555B" w:rsidP="004D0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C73EF" id="_x0000_s1027" type="#_x0000_t202" style="position:absolute;left:0;text-align:left;margin-left:81.25pt;margin-top:197.1pt;width:362.3pt;height:1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" filled="f" stroked="f">
                <v:textbox>
                  <w:txbxContent>
                    <w:tbl>
                      <w:tblPr>
                        <w:tblW w:w="5987" w:type="dxa"/>
                        <w:tblCellMar>
                          <w:left w:w="0" w:type="dxa"/>
                          <w:right w:w="0" w:type="dxa"/>
                        </w:tblCellMar>
                        <w:tblLook w:val="04A0" w:firstRow="1" w:lastRow="0" w:firstColumn="1" w:lastColumn="0" w:noHBand="0" w:noVBand="1"/>
                      </w:tblPr>
                      <w:tblGrid>
                        <w:gridCol w:w="2686"/>
                        <w:gridCol w:w="1701"/>
                        <w:gridCol w:w="1600"/>
                      </w:tblGrid>
                      <w:tr w:rsidR="009B18F8" w:rsidRPr="00D6274C" w:rsidTr="001F0C96">
                        <w:trPr>
                          <w:trHeight w:val="391"/>
                        </w:trPr>
                        <w:tc>
                          <w:tcPr>
                            <w:tcW w:w="26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rPr>
                                <w:rFonts w:eastAsia="Calibri"/>
                                <w:sz w:val="14"/>
                                <w:szCs w:val="14"/>
                              </w:rPr>
                            </w:pPr>
                            <w:r w:rsidRPr="001F0C96">
                              <w:rPr>
                                <w:b/>
                                <w:bCs/>
                                <w:color w:val="000000"/>
                                <w:sz w:val="14"/>
                                <w:szCs w:val="14"/>
                              </w:rPr>
                              <w:t> </w:t>
                            </w:r>
                          </w:p>
                        </w:tc>
                        <w:tc>
                          <w:tcPr>
                            <w:tcW w:w="1701"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Dabrafenib + trametinib (N=352)</w:t>
                            </w:r>
                          </w:p>
                        </w:tc>
                        <w:tc>
                          <w:tcPr>
                            <w:tcW w:w="1600"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Vemurafenib (N=352)</w:t>
                            </w:r>
                          </w:p>
                        </w:tc>
                      </w:tr>
                      <w:tr w:rsidR="009B18F8" w:rsidRPr="00D6274C" w:rsidTr="001F0C96">
                        <w:trPr>
                          <w:trHeight w:val="200"/>
                        </w:trPr>
                        <w:tc>
                          <w:tcPr>
                            <w:tcW w:w="5987" w:type="dxa"/>
                            <w:gridSpan w:val="3"/>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rPr>
                                <w:rFonts w:ascii="Times New Roman" w:eastAsia="Calibri" w:hAnsi="Times New Roman" w:cs="Times New Roman"/>
                                <w:sz w:val="14"/>
                                <w:szCs w:val="14"/>
                              </w:rPr>
                            </w:pPr>
                            <w:r w:rsidRPr="001F0C96">
                              <w:rPr>
                                <w:rFonts w:ascii="Times New Roman" w:hAnsi="Times New Roman" w:cs="Times New Roman"/>
                                <w:color w:val="000000"/>
                                <w:kern w:val="24"/>
                                <w:sz w:val="14"/>
                                <w:szCs w:val="14"/>
                              </w:rPr>
                              <w:t xml:space="preserve">Ukupno preživljavanje </w:t>
                            </w:r>
                            <w:r w:rsidRPr="001F0C96">
                              <w:rPr>
                                <w:rFonts w:ascii="Times New Roman" w:hAnsi="Times New Roman" w:cs="Times New Roman"/>
                                <w:color w:val="000000"/>
                                <w:sz w:val="14"/>
                                <w:szCs w:val="14"/>
                              </w:rPr>
                              <w:t>13. mart 2015.</w:t>
                            </w:r>
                          </w:p>
                        </w:tc>
                      </w:tr>
                      <w:tr w:rsidR="009B18F8" w:rsidRPr="00D6274C" w:rsidTr="001515DE">
                        <w:trPr>
                          <w:trHeight w:val="32"/>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271" w:lineRule="exact"/>
                              <w:rPr>
                                <w:rFonts w:ascii="Times New Roman" w:eastAsia="Calibri" w:hAnsi="Times New Roman" w:cs="Times New Roman"/>
                                <w:sz w:val="14"/>
                                <w:szCs w:val="14"/>
                              </w:rPr>
                            </w:pPr>
                            <w:r w:rsidRPr="001F0C96">
                              <w:rPr>
                                <w:rFonts w:ascii="Times New Roman" w:hAnsi="Times New Roman" w:cs="Times New Roman"/>
                                <w:color w:val="000000"/>
                                <w:sz w:val="14"/>
                                <w:szCs w:val="14"/>
                              </w:rPr>
                              <w:t>Broj događaja (%)</w:t>
                            </w:r>
                          </w:p>
                        </w:tc>
                        <w:tc>
                          <w:tcPr>
                            <w:tcW w:w="1701"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271"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155 (44%)</w:t>
                            </w:r>
                          </w:p>
                        </w:tc>
                        <w:tc>
                          <w:tcPr>
                            <w:tcW w:w="16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271"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195 (55%)</w:t>
                            </w:r>
                          </w:p>
                        </w:tc>
                      </w:tr>
                      <w:tr w:rsidR="009B18F8" w:rsidRPr="00D6274C" w:rsidTr="001515DE">
                        <w:trPr>
                          <w:trHeight w:val="23"/>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rPr>
                                <w:rFonts w:ascii="Times New Roman" w:eastAsia="Calibri" w:hAnsi="Times New Roman" w:cs="Times New Roman"/>
                                <w:sz w:val="14"/>
                                <w:szCs w:val="14"/>
                              </w:rPr>
                            </w:pPr>
                            <w:r w:rsidRPr="001F0C96">
                              <w:rPr>
                                <w:rFonts w:ascii="Times New Roman" w:hAnsi="Times New Roman" w:cs="Times New Roman"/>
                                <w:color w:val="000000"/>
                                <w:sz w:val="14"/>
                                <w:szCs w:val="14"/>
                              </w:rPr>
                              <w:t>Medijana OS (mjeseci)</w:t>
                            </w:r>
                          </w:p>
                        </w:tc>
                        <w:tc>
                          <w:tcPr>
                            <w:tcW w:w="1701"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25.6</w:t>
                            </w:r>
                          </w:p>
                        </w:tc>
                        <w:tc>
                          <w:tcPr>
                            <w:tcW w:w="1600"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spacing w:line="193" w:lineRule="exact"/>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18.0</w:t>
                            </w:r>
                          </w:p>
                        </w:tc>
                      </w:tr>
                      <w:tr w:rsidR="009B18F8" w:rsidRPr="00D6274C" w:rsidTr="001515DE">
                        <w:trPr>
                          <w:trHeight w:val="48"/>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rPr>
                                <w:rFonts w:ascii="Times New Roman" w:eastAsia="Calibri" w:hAnsi="Times New Roman" w:cs="Times New Roman"/>
                                <w:sz w:val="14"/>
                                <w:szCs w:val="14"/>
                              </w:rPr>
                            </w:pPr>
                            <w:r w:rsidRPr="001F0C96">
                              <w:rPr>
                                <w:rFonts w:ascii="Times New Roman" w:hAnsi="Times New Roman" w:cs="Times New Roman"/>
                                <w:color w:val="000000"/>
                                <w:sz w:val="14"/>
                                <w:szCs w:val="14"/>
                              </w:rPr>
                              <w:t>Prilagođen odnos rizika (95% CI)</w:t>
                            </w:r>
                          </w:p>
                        </w:tc>
                        <w:tc>
                          <w:tcPr>
                            <w:tcW w:w="3301" w:type="dxa"/>
                            <w:gridSpan w:val="2"/>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ascii="Times New Roman" w:eastAsia="Calibri" w:hAnsi="Times New Roman" w:cs="Times New Roman"/>
                                <w:sz w:val="14"/>
                                <w:szCs w:val="14"/>
                              </w:rPr>
                            </w:pPr>
                            <w:r w:rsidRPr="001F0C96">
                              <w:rPr>
                                <w:rFonts w:ascii="Times New Roman" w:hAnsi="Times New Roman" w:cs="Times New Roman"/>
                                <w:color w:val="000000"/>
                                <w:sz w:val="14"/>
                                <w:szCs w:val="14"/>
                              </w:rPr>
                              <w:t>0.66 (0.53, 0.81)</w:t>
                            </w:r>
                          </w:p>
                        </w:tc>
                      </w:tr>
                      <w:tr w:rsidR="009B18F8" w:rsidRPr="00D6274C" w:rsidTr="001515DE">
                        <w:trPr>
                          <w:trHeight w:val="101"/>
                        </w:trPr>
                        <w:tc>
                          <w:tcPr>
                            <w:tcW w:w="2686"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rPr>
                                <w:rFonts w:ascii="Times New Roman" w:eastAsia="Calibri" w:hAnsi="Times New Roman" w:cs="Times New Roman"/>
                                <w:sz w:val="14"/>
                                <w:szCs w:val="14"/>
                              </w:rPr>
                            </w:pPr>
                            <w:r w:rsidRPr="001F0C96">
                              <w:rPr>
                                <w:rFonts w:ascii="Times New Roman" w:hAnsi="Times New Roman" w:cs="Times New Roman"/>
                                <w:color w:val="000000"/>
                                <w:kern w:val="24"/>
                                <w:sz w:val="14"/>
                                <w:szCs w:val="14"/>
                              </w:rPr>
                              <w:t>Str</w:t>
                            </w:r>
                            <w:r w:rsidRPr="001F0C96">
                              <w:rPr>
                                <w:rFonts w:ascii="Times New Roman" w:hAnsi="Times New Roman" w:cs="Times New Roman"/>
                                <w:color w:val="000000"/>
                                <w:kern w:val="24"/>
                                <w:sz w:val="14"/>
                                <w:szCs w:val="14"/>
                                <w:lang w:val="it-IT"/>
                              </w:rPr>
                              <w:t>atifikovana Log-Rank P-vrijednost</w:t>
                            </w:r>
                          </w:p>
                        </w:tc>
                        <w:tc>
                          <w:tcPr>
                            <w:tcW w:w="3301" w:type="dxa"/>
                            <w:gridSpan w:val="2"/>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9B18F8" w:rsidRPr="001F0C96" w:rsidRDefault="009B18F8" w:rsidP="009B18F8">
                            <w:pPr>
                              <w:keepNext/>
                              <w:keepLines/>
                              <w:jc w:val="center"/>
                              <w:rPr>
                                <w:rFonts w:eastAsia="Calibri"/>
                                <w:sz w:val="14"/>
                                <w:szCs w:val="14"/>
                              </w:rPr>
                            </w:pPr>
                            <w:r w:rsidRPr="001F0C96">
                              <w:rPr>
                                <w:color w:val="000000"/>
                                <w:sz w:val="14"/>
                                <w:szCs w:val="14"/>
                              </w:rPr>
                              <w:t>&lt;</w:t>
                            </w:r>
                            <w:r w:rsidRPr="001F0C96">
                              <w:rPr>
                                <w:rFonts w:ascii="Times New Roman" w:hAnsi="Times New Roman" w:cs="Times New Roman"/>
                                <w:color w:val="000000"/>
                                <w:sz w:val="14"/>
                                <w:szCs w:val="14"/>
                              </w:rPr>
                              <w:t>0.001</w:t>
                            </w:r>
                          </w:p>
                        </w:tc>
                      </w:tr>
                    </w:tbl>
                    <w:p w:rsidR="000F555B" w:rsidRDefault="000F555B" w:rsidP="004D038C"/>
                  </w:txbxContent>
                </v:textbox>
                <w10:wrap anchorx="margin"/>
              </v:shape>
            </w:pict>
          </mc:Fallback>
        </mc:AlternateContent>
      </w:r>
      <w:r w:rsidRPr="00217DA3">
        <w:rPr>
          <w:i/>
          <w:noProof/>
        </w:rPr>
        <w:drawing>
          <wp:inline distT="0" distB="0" distL="0" distR="0" wp14:anchorId="70E36B37" wp14:editId="5F951E15">
            <wp:extent cx="6268822" cy="4659408"/>
            <wp:effectExtent l="0" t="0" r="0" b="825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1718" t="7895" r="1718" b="3880"/>
                    <a:stretch>
                      <a:fillRect/>
                    </a:stretch>
                  </pic:blipFill>
                  <pic:spPr bwMode="auto">
                    <a:xfrm>
                      <a:off x="0" y="0"/>
                      <a:ext cx="6294814" cy="4678727"/>
                    </a:xfrm>
                    <a:prstGeom prst="rect">
                      <a:avLst/>
                    </a:prstGeom>
                    <a:noFill/>
                    <a:ln>
                      <a:noFill/>
                    </a:ln>
                  </pic:spPr>
                </pic:pic>
              </a:graphicData>
            </a:graphic>
          </wp:inline>
        </w:drawing>
      </w:r>
    </w:p>
    <w:p w:rsidR="00C020F1" w:rsidRDefault="00C020F1" w:rsidP="004D038C">
      <w:pPr>
        <w:spacing w:after="0" w:line="240" w:lineRule="auto"/>
        <w:jc w:val="both"/>
        <w:rPr>
          <w:rFonts w:ascii="Times New Roman" w:eastAsia="Times New Roman" w:hAnsi="Times New Roman" w:cs="Times New Roman"/>
          <w:lang w:val="it-IT"/>
        </w:rPr>
      </w:pPr>
    </w:p>
    <w:p w:rsidR="00C020F1" w:rsidRDefault="004D038C" w:rsidP="00C020F1">
      <w:pPr>
        <w:spacing w:after="0" w:line="240" w:lineRule="auto"/>
        <w:jc w:val="both"/>
        <w:rPr>
          <w:rFonts w:ascii="Times New Roman" w:eastAsia="Times New Roman" w:hAnsi="Times New Roman" w:cs="Times New Roman"/>
          <w:lang w:val="it-IT"/>
        </w:rPr>
      </w:pPr>
      <w:r w:rsidRPr="004D038C">
        <w:rPr>
          <w:rFonts w:ascii="Times New Roman" w:eastAsia="Times New Roman" w:hAnsi="Times New Roman" w:cs="Times New Roman"/>
          <w:lang w:val="it-IT"/>
        </w:rPr>
        <w:t>Statistički značajna poboljšanja uočena su za mjere sekundarnog ishoda PFS-a i ORR-a. Primijećeno je i duže trajanje odgovora (TO) (tabela 7).</w:t>
      </w:r>
    </w:p>
    <w:p w:rsidR="00C020F1" w:rsidRDefault="00C020F1"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1F0C96" w:rsidRDefault="001F0C96" w:rsidP="00C020F1">
      <w:pPr>
        <w:spacing w:after="0" w:line="240" w:lineRule="auto"/>
        <w:jc w:val="both"/>
        <w:rPr>
          <w:rFonts w:ascii="Times New Roman" w:eastAsia="Times New Roman" w:hAnsi="Times New Roman" w:cs="Times New Roman"/>
          <w:lang w:val="it-IT"/>
        </w:rPr>
      </w:pPr>
    </w:p>
    <w:p w:rsidR="004D038C" w:rsidRPr="004D038C" w:rsidRDefault="004D038C" w:rsidP="00C020F1">
      <w:pPr>
        <w:spacing w:after="0" w:line="240" w:lineRule="auto"/>
        <w:jc w:val="both"/>
        <w:rPr>
          <w:rFonts w:ascii="Times New Roman" w:eastAsia="Times New Roman" w:hAnsi="Times New Roman" w:cs="Times New Roman"/>
          <w:lang w:val="it-IT"/>
        </w:rPr>
      </w:pPr>
      <w:r w:rsidRPr="004D038C">
        <w:rPr>
          <w:rFonts w:ascii="Times New Roman" w:eastAsia="Times New Roman" w:hAnsi="Times New Roman" w:cs="Times New Roman"/>
          <w:lang w:val="it-IT"/>
        </w:rPr>
        <w:lastRenderedPageBreak/>
        <w:t>Tabela 7: Rezultati efikasnosti ispitivanja MEK116513 (COMBI-v)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3147"/>
        <w:gridCol w:w="3322"/>
      </w:tblGrid>
      <w:tr w:rsidR="004D038C" w:rsidRPr="004D038C" w:rsidTr="004D038C">
        <w:tc>
          <w:tcPr>
            <w:tcW w:w="1637" w:type="pct"/>
          </w:tcPr>
          <w:p w:rsidR="004D038C" w:rsidRPr="004D038C" w:rsidRDefault="004D038C" w:rsidP="004D038C">
            <w:pPr>
              <w:keepNext/>
              <w:spacing w:after="0" w:line="240" w:lineRule="auto"/>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Mjera ishoda</w:t>
            </w:r>
          </w:p>
        </w:tc>
        <w:tc>
          <w:tcPr>
            <w:tcW w:w="1636" w:type="pct"/>
          </w:tcPr>
          <w:p w:rsidR="004D038C" w:rsidRPr="004D038C" w:rsidRDefault="004D038C" w:rsidP="004D038C">
            <w:pPr>
              <w:keepNext/>
              <w:spacing w:after="0" w:line="240" w:lineRule="auto"/>
              <w:jc w:val="center"/>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Dabrafenib +</w:t>
            </w:r>
          </w:p>
          <w:p w:rsidR="004D038C" w:rsidRPr="004D038C" w:rsidRDefault="004D038C" w:rsidP="004D038C">
            <w:pPr>
              <w:keepNext/>
              <w:spacing w:after="0" w:line="240" w:lineRule="auto"/>
              <w:jc w:val="center"/>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trametinib</w:t>
            </w:r>
          </w:p>
          <w:p w:rsidR="004D038C" w:rsidRPr="004D038C" w:rsidRDefault="004D038C" w:rsidP="004D038C">
            <w:pPr>
              <w:keepNext/>
              <w:spacing w:after="0" w:line="240" w:lineRule="auto"/>
              <w:jc w:val="center"/>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(N=352)</w:t>
            </w:r>
          </w:p>
        </w:tc>
        <w:tc>
          <w:tcPr>
            <w:tcW w:w="1727" w:type="pct"/>
          </w:tcPr>
          <w:p w:rsidR="004D038C" w:rsidRPr="004D038C" w:rsidRDefault="004D038C" w:rsidP="004D038C">
            <w:pPr>
              <w:spacing w:after="0" w:line="320" w:lineRule="atLeast"/>
              <w:jc w:val="center"/>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Vemurafenib</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b/>
                <w:sz w:val="20"/>
                <w:szCs w:val="20"/>
              </w:rPr>
              <w:t>(N=352)</w:t>
            </w:r>
          </w:p>
        </w:tc>
      </w:tr>
      <w:tr w:rsidR="004D038C" w:rsidRPr="004D038C" w:rsidTr="004D038C">
        <w:trPr>
          <w:trHeight w:val="407"/>
        </w:trPr>
        <w:tc>
          <w:tcPr>
            <w:tcW w:w="5000" w:type="pct"/>
            <w:gridSpan w:val="3"/>
          </w:tcPr>
          <w:p w:rsidR="004D038C" w:rsidRPr="004D038C" w:rsidRDefault="004D038C" w:rsidP="004D038C">
            <w:pPr>
              <w:keepNext/>
              <w:spacing w:after="0" w:line="240" w:lineRule="auto"/>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PFS</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Progresivna bolest ili smrt,</w:t>
            </w:r>
          </w:p>
          <w:p w:rsidR="004D038C" w:rsidRPr="004D038C" w:rsidRDefault="004D038C" w:rsidP="004D038C">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n (%)</w:t>
            </w:r>
          </w:p>
        </w:tc>
        <w:tc>
          <w:tcPr>
            <w:tcW w:w="1636" w:type="pct"/>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166 (47)</w:t>
            </w:r>
          </w:p>
        </w:tc>
        <w:tc>
          <w:tcPr>
            <w:tcW w:w="1727" w:type="pct"/>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217 (62)</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Medijana PFS-a (mjeseci)</w:t>
            </w:r>
          </w:p>
          <w:p w:rsidR="004D038C" w:rsidRPr="004D038C" w:rsidRDefault="004D038C" w:rsidP="004D038C">
            <w:pPr>
              <w:keepNext/>
              <w:spacing w:after="0" w:line="240" w:lineRule="auto"/>
              <w:rPr>
                <w:rFonts w:ascii="Times New Roman" w:eastAsia="Times New Roman" w:hAnsi="Times New Roman" w:cs="Times New Roman"/>
                <w:b/>
                <w:sz w:val="20"/>
                <w:szCs w:val="20"/>
                <w:lang w:val="it-IT"/>
              </w:rPr>
            </w:pPr>
            <w:r w:rsidRPr="004D038C">
              <w:rPr>
                <w:rFonts w:ascii="Times New Roman" w:eastAsia="Times New Roman" w:hAnsi="Times New Roman" w:cs="Times New Roman"/>
                <w:sz w:val="20"/>
                <w:szCs w:val="20"/>
                <w:lang w:val="it-IT"/>
              </w:rPr>
              <w:t>(95% CI)</w:t>
            </w:r>
          </w:p>
        </w:tc>
        <w:tc>
          <w:tcPr>
            <w:tcW w:w="1636" w:type="pct"/>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11.4</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(9.9, 14.9)</w:t>
            </w:r>
          </w:p>
        </w:tc>
        <w:tc>
          <w:tcPr>
            <w:tcW w:w="1727" w:type="pct"/>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7.3</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(5.8, 7.8)</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Odnos rizika</w:t>
            </w:r>
          </w:p>
          <w:p w:rsidR="004D038C" w:rsidRPr="004D038C" w:rsidRDefault="004D038C" w:rsidP="004D038C">
            <w:pPr>
              <w:keepNext/>
              <w:spacing w:after="0" w:line="240" w:lineRule="auto"/>
              <w:rPr>
                <w:rFonts w:ascii="Times New Roman" w:eastAsia="Times New Roman" w:hAnsi="Times New Roman" w:cs="Times New Roman"/>
                <w:i/>
                <w:sz w:val="20"/>
                <w:szCs w:val="20"/>
              </w:rPr>
            </w:pPr>
            <w:r w:rsidRPr="004D038C">
              <w:rPr>
                <w:rFonts w:ascii="Times New Roman" w:eastAsia="Times New Roman" w:hAnsi="Times New Roman" w:cs="Times New Roman"/>
                <w:sz w:val="20"/>
                <w:szCs w:val="20"/>
              </w:rPr>
              <w:t>(95% CI)</w:t>
            </w:r>
          </w:p>
        </w:tc>
        <w:tc>
          <w:tcPr>
            <w:tcW w:w="3363" w:type="pct"/>
            <w:gridSpan w:val="2"/>
            <w:tcBorders>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0.56</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(0.46, 0.69)</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sz w:val="20"/>
                <w:szCs w:val="20"/>
              </w:rPr>
            </w:pPr>
            <w:r w:rsidRPr="004D038C">
              <w:rPr>
                <w:rFonts w:ascii="Times New Roman" w:eastAsia="Times New Roman" w:hAnsi="Times New Roman" w:cs="Times New Roman"/>
                <w:i/>
                <w:sz w:val="20"/>
                <w:szCs w:val="20"/>
              </w:rPr>
              <w:tab/>
            </w:r>
            <w:r w:rsidRPr="004D038C">
              <w:rPr>
                <w:rFonts w:ascii="Times New Roman" w:eastAsia="Times New Roman" w:hAnsi="Times New Roman" w:cs="Times New Roman"/>
                <w:sz w:val="20"/>
                <w:szCs w:val="20"/>
              </w:rPr>
              <w:t>P vrijednost</w:t>
            </w:r>
          </w:p>
        </w:tc>
        <w:tc>
          <w:tcPr>
            <w:tcW w:w="3363" w:type="pct"/>
            <w:gridSpan w:val="2"/>
            <w:tcBorders>
              <w:bottom w:val="single" w:sz="4" w:space="0" w:color="auto"/>
            </w:tcBorders>
            <w:vAlign w:val="center"/>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&lt; 0.001</w:t>
            </w:r>
          </w:p>
        </w:tc>
      </w:tr>
      <w:tr w:rsidR="004D038C" w:rsidRPr="004D038C" w:rsidTr="004D038C">
        <w:trPr>
          <w:trHeight w:val="407"/>
        </w:trPr>
        <w:tc>
          <w:tcPr>
            <w:tcW w:w="1637" w:type="pct"/>
            <w:tcBorders>
              <w:bottom w:val="nil"/>
            </w:tcBorders>
          </w:tcPr>
          <w:p w:rsidR="004D038C" w:rsidRPr="004D038C" w:rsidRDefault="004D038C" w:rsidP="004D038C">
            <w:pPr>
              <w:keepNext/>
              <w:spacing w:after="0" w:line="240" w:lineRule="auto"/>
              <w:rPr>
                <w:rFonts w:ascii="Times New Roman" w:eastAsia="Times New Roman" w:hAnsi="Times New Roman" w:cs="Times New Roman"/>
                <w:b/>
                <w:sz w:val="20"/>
                <w:szCs w:val="20"/>
              </w:rPr>
            </w:pPr>
            <w:r w:rsidRPr="004D038C">
              <w:rPr>
                <w:rFonts w:ascii="Times New Roman" w:eastAsia="Times New Roman" w:hAnsi="Times New Roman" w:cs="Times New Roman"/>
                <w:b/>
                <w:sz w:val="20"/>
                <w:szCs w:val="20"/>
              </w:rPr>
              <w:t>ORR</w:t>
            </w:r>
            <w:r w:rsidRPr="004D038C">
              <w:rPr>
                <w:rFonts w:ascii="Times New Roman" w:eastAsia="Times New Roman" w:hAnsi="Times New Roman" w:cs="Times New Roman"/>
                <w:b/>
                <w:sz w:val="20"/>
                <w:szCs w:val="20"/>
                <w:vertAlign w:val="superscript"/>
              </w:rPr>
              <w:t>b</w:t>
            </w:r>
          </w:p>
          <w:p w:rsidR="004D038C" w:rsidRPr="004D038C" w:rsidRDefault="004D038C" w:rsidP="004D038C">
            <w:pPr>
              <w:keepNext/>
              <w:spacing w:after="0" w:line="240" w:lineRule="auto"/>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(95% CI)</w:t>
            </w:r>
          </w:p>
        </w:tc>
        <w:tc>
          <w:tcPr>
            <w:tcW w:w="1636" w:type="pct"/>
            <w:tcBorders>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226 (64)</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(59.1, 69.4)</w:t>
            </w:r>
          </w:p>
        </w:tc>
        <w:tc>
          <w:tcPr>
            <w:tcW w:w="1727" w:type="pct"/>
            <w:tcBorders>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180 (51)</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(46.1, 56.8)</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sz w:val="20"/>
                <w:szCs w:val="20"/>
                <w:lang w:val="es-ES"/>
              </w:rPr>
            </w:pPr>
            <w:r w:rsidRPr="004D038C">
              <w:rPr>
                <w:rFonts w:ascii="Times New Roman" w:eastAsia="Times New Roman" w:hAnsi="Times New Roman" w:cs="Times New Roman"/>
                <w:sz w:val="20"/>
                <w:szCs w:val="20"/>
                <w:lang w:val="es-ES"/>
              </w:rPr>
              <w:t>Razlika u ORR-u</w:t>
            </w:r>
          </w:p>
          <w:p w:rsidR="004D038C" w:rsidRPr="004D038C" w:rsidRDefault="004D038C" w:rsidP="004D038C">
            <w:pPr>
              <w:keepNext/>
              <w:spacing w:after="0" w:line="240" w:lineRule="auto"/>
              <w:rPr>
                <w:rFonts w:ascii="Times New Roman" w:eastAsia="Times New Roman" w:hAnsi="Times New Roman" w:cs="Times New Roman"/>
                <w:sz w:val="20"/>
                <w:szCs w:val="20"/>
                <w:lang w:val="es-ES"/>
              </w:rPr>
            </w:pPr>
            <w:r w:rsidRPr="004D038C">
              <w:rPr>
                <w:rFonts w:ascii="Times New Roman" w:eastAsia="Times New Roman" w:hAnsi="Times New Roman" w:cs="Times New Roman"/>
                <w:sz w:val="20"/>
                <w:szCs w:val="20"/>
                <w:lang w:val="es-ES"/>
              </w:rPr>
              <w:t>(95% CI)</w:t>
            </w:r>
          </w:p>
        </w:tc>
        <w:tc>
          <w:tcPr>
            <w:tcW w:w="3363" w:type="pct"/>
            <w:gridSpan w:val="2"/>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13</w:t>
            </w:r>
          </w:p>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(5.7, 20.2)</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ab/>
              <w:t>P vrijednost</w:t>
            </w:r>
          </w:p>
        </w:tc>
        <w:tc>
          <w:tcPr>
            <w:tcW w:w="3363" w:type="pct"/>
            <w:gridSpan w:val="2"/>
            <w:vAlign w:val="center"/>
          </w:tcPr>
          <w:p w:rsidR="004D038C" w:rsidRPr="004D038C" w:rsidRDefault="004D038C" w:rsidP="004D038C">
            <w:pPr>
              <w:keepNext/>
              <w:spacing w:after="0" w:line="240" w:lineRule="auto"/>
              <w:jc w:val="center"/>
              <w:rPr>
                <w:rFonts w:ascii="Times New Roman" w:eastAsia="Times New Roman" w:hAnsi="Times New Roman" w:cs="Times New Roman"/>
                <w:sz w:val="20"/>
                <w:szCs w:val="20"/>
              </w:rPr>
            </w:pPr>
            <w:r w:rsidRPr="004D038C">
              <w:rPr>
                <w:rFonts w:ascii="Times New Roman" w:eastAsia="Times New Roman" w:hAnsi="Times New Roman" w:cs="Times New Roman"/>
                <w:sz w:val="20"/>
                <w:szCs w:val="20"/>
              </w:rPr>
              <w:t>0.0005</w:t>
            </w:r>
          </w:p>
        </w:tc>
      </w:tr>
      <w:tr w:rsidR="004D038C" w:rsidRPr="004D038C" w:rsidTr="004D038C">
        <w:trPr>
          <w:trHeight w:val="407"/>
        </w:trPr>
        <w:tc>
          <w:tcPr>
            <w:tcW w:w="1637" w:type="pct"/>
          </w:tcPr>
          <w:p w:rsidR="004D038C" w:rsidRPr="004D038C" w:rsidRDefault="004D038C" w:rsidP="004D038C">
            <w:pPr>
              <w:keepNext/>
              <w:spacing w:after="0" w:line="240" w:lineRule="auto"/>
              <w:rPr>
                <w:rFonts w:ascii="Times New Roman" w:eastAsia="Times New Roman" w:hAnsi="Times New Roman" w:cs="Times New Roman"/>
                <w:b/>
                <w:sz w:val="20"/>
                <w:szCs w:val="20"/>
                <w:lang w:val="it-IT"/>
              </w:rPr>
            </w:pPr>
            <w:r w:rsidRPr="004D038C">
              <w:rPr>
                <w:rFonts w:ascii="Times New Roman" w:eastAsia="Times New Roman" w:hAnsi="Times New Roman" w:cs="Times New Roman"/>
                <w:b/>
                <w:sz w:val="20"/>
                <w:szCs w:val="20"/>
                <w:lang w:val="it-IT"/>
              </w:rPr>
              <w:t>Trajanje odgovora (mjeseci)</w:t>
            </w:r>
          </w:p>
          <w:p w:rsidR="004D038C" w:rsidRPr="004D038C" w:rsidRDefault="004D038C" w:rsidP="004D038C">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Medijana</w:t>
            </w:r>
          </w:p>
          <w:p w:rsidR="004D038C" w:rsidRPr="004D038C" w:rsidRDefault="004D038C" w:rsidP="004D038C">
            <w:pPr>
              <w:keepNext/>
              <w:spacing w:after="0" w:line="240" w:lineRule="auto"/>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(95% CI)</w:t>
            </w:r>
          </w:p>
        </w:tc>
        <w:tc>
          <w:tcPr>
            <w:tcW w:w="1636" w:type="pct"/>
            <w:vAlign w:val="center"/>
          </w:tcPr>
          <w:p w:rsidR="004D038C" w:rsidRPr="004D038C" w:rsidRDefault="004D038C" w:rsidP="004D038C">
            <w:pPr>
              <w:keepNext/>
              <w:spacing w:after="0" w:line="240" w:lineRule="auto"/>
              <w:jc w:val="center"/>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13.8</w:t>
            </w:r>
          </w:p>
          <w:p w:rsidR="004D038C" w:rsidRPr="004D038C" w:rsidRDefault="004D038C" w:rsidP="004D038C">
            <w:pPr>
              <w:keepNext/>
              <w:spacing w:after="0" w:line="240" w:lineRule="auto"/>
              <w:jc w:val="center"/>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(11.0, ND)</w:t>
            </w:r>
          </w:p>
        </w:tc>
        <w:tc>
          <w:tcPr>
            <w:tcW w:w="1727" w:type="pct"/>
            <w:vAlign w:val="center"/>
          </w:tcPr>
          <w:p w:rsidR="004D038C" w:rsidRPr="004D038C" w:rsidRDefault="004D038C" w:rsidP="004D038C">
            <w:pPr>
              <w:keepNext/>
              <w:spacing w:after="0" w:line="240" w:lineRule="auto"/>
              <w:jc w:val="center"/>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7.5</w:t>
            </w:r>
          </w:p>
          <w:p w:rsidR="004D038C" w:rsidRPr="004D038C" w:rsidRDefault="004D038C" w:rsidP="004D038C">
            <w:pPr>
              <w:keepNext/>
              <w:spacing w:after="0" w:line="240" w:lineRule="auto"/>
              <w:jc w:val="center"/>
              <w:rPr>
                <w:rFonts w:ascii="Times New Roman" w:eastAsia="Times New Roman" w:hAnsi="Times New Roman" w:cs="Times New Roman"/>
                <w:sz w:val="20"/>
                <w:szCs w:val="20"/>
                <w:lang w:val="it-IT"/>
              </w:rPr>
            </w:pPr>
            <w:r w:rsidRPr="004D038C">
              <w:rPr>
                <w:rFonts w:ascii="Times New Roman" w:eastAsia="Times New Roman" w:hAnsi="Times New Roman" w:cs="Times New Roman"/>
                <w:sz w:val="20"/>
                <w:szCs w:val="20"/>
                <w:lang w:val="it-IT"/>
              </w:rPr>
              <w:t>(7.3, 9.3)</w:t>
            </w:r>
          </w:p>
        </w:tc>
      </w:tr>
    </w:tbl>
    <w:p w:rsidR="004D038C" w:rsidRPr="004D038C" w:rsidRDefault="004D038C" w:rsidP="004D038C">
      <w:pPr>
        <w:keepNext/>
        <w:spacing w:after="0" w:line="240" w:lineRule="auto"/>
        <w:rPr>
          <w:rFonts w:ascii="Times New Roman" w:eastAsia="Times New Roman" w:hAnsi="Times New Roman" w:cs="Times New Roman"/>
          <w:i/>
          <w:sz w:val="24"/>
          <w:szCs w:val="24"/>
          <w:lang w:val="it-IT"/>
        </w:rPr>
      </w:pPr>
    </w:p>
    <w:p w:rsidR="004D038C" w:rsidRPr="004D038C" w:rsidRDefault="004D038C" w:rsidP="004D038C">
      <w:pPr>
        <w:suppressLineNumbers/>
        <w:autoSpaceDE w:val="0"/>
        <w:autoSpaceDN w:val="0"/>
        <w:adjustRightInd w:val="0"/>
        <w:spacing w:after="0" w:line="240" w:lineRule="auto"/>
        <w:jc w:val="both"/>
        <w:rPr>
          <w:rFonts w:ascii="Times New Roman" w:eastAsia="Times New Roman" w:hAnsi="Times New Roman" w:cs="Times New Roman"/>
          <w:i/>
          <w:lang w:val="it-IT"/>
        </w:rPr>
      </w:pPr>
      <w:r w:rsidRPr="004D038C">
        <w:rPr>
          <w:rFonts w:ascii="Times New Roman" w:eastAsia="Times New Roman" w:hAnsi="Times New Roman" w:cs="Times New Roman"/>
          <w:i/>
          <w:lang w:val="it-IT"/>
        </w:rPr>
        <w:t>Prethodna terapija BRAF inhibitorom</w:t>
      </w:r>
    </w:p>
    <w:p w:rsidR="004D038C" w:rsidRPr="004D038C" w:rsidRDefault="004D038C" w:rsidP="004D038C">
      <w:pPr>
        <w:spacing w:after="0" w:line="240" w:lineRule="auto"/>
        <w:jc w:val="both"/>
        <w:rPr>
          <w:rFonts w:ascii="Times New Roman" w:eastAsia="Times New Roman" w:hAnsi="Times New Roman" w:cs="Times New Roman"/>
          <w:noProof/>
          <w:lang w:val="it-IT"/>
        </w:rPr>
      </w:pPr>
      <w:r w:rsidRPr="004D038C">
        <w:rPr>
          <w:rFonts w:ascii="Times New Roman" w:eastAsia="Times New Roman" w:hAnsi="Times New Roman" w:cs="Times New Roman"/>
          <w:noProof/>
          <w:lang w:val="it-IT"/>
        </w:rPr>
        <w:t>Postoje ograničeni podaci o pacijentima koji su uzimali kombinovanu terapiju dabrafeniba sa trametinibom, a kod kojih je došlo do progresije tokom prethodne terapije BRAF inhibitorom.</w:t>
      </w:r>
    </w:p>
    <w:p w:rsidR="004D038C" w:rsidRPr="004D038C" w:rsidRDefault="004D038C" w:rsidP="004D038C">
      <w:pPr>
        <w:autoSpaceDE w:val="0"/>
        <w:autoSpaceDN w:val="0"/>
        <w:adjustRightInd w:val="0"/>
        <w:spacing w:after="0" w:line="240" w:lineRule="auto"/>
        <w:jc w:val="both"/>
        <w:rPr>
          <w:rFonts w:ascii="Times New Roman" w:eastAsia="Times New Roman" w:hAnsi="Times New Roman" w:cs="Times New Roman"/>
          <w:i/>
          <w:lang w:val="it-IT"/>
        </w:rPr>
      </w:pPr>
    </w:p>
    <w:p w:rsidR="004D038C" w:rsidRPr="004D038C" w:rsidRDefault="004D038C" w:rsidP="004D038C">
      <w:pPr>
        <w:spacing w:after="0" w:line="240" w:lineRule="auto"/>
        <w:jc w:val="both"/>
        <w:rPr>
          <w:rFonts w:ascii="Times New Roman" w:eastAsia="Times New Roman" w:hAnsi="Times New Roman" w:cs="Times New Roman"/>
          <w:lang w:val="it-IT"/>
        </w:rPr>
      </w:pPr>
      <w:r w:rsidRPr="004D038C">
        <w:rPr>
          <w:rFonts w:ascii="Times New Roman" w:eastAsia="Times New Roman" w:hAnsi="Times New Roman" w:cs="Times New Roman"/>
          <w:bdr w:val="none" w:sz="0" w:space="0" w:color="auto" w:frame="1"/>
          <w:lang w:val="it-IT" w:eastAsia="en-GB"/>
        </w:rPr>
        <w:t xml:space="preserve">Dio B studije </w:t>
      </w:r>
      <w:r w:rsidRPr="004D038C">
        <w:rPr>
          <w:rFonts w:ascii="Times New Roman" w:eastAsia="Times New Roman" w:hAnsi="Times New Roman" w:cs="Times New Roman"/>
          <w:lang w:val="it-IT"/>
        </w:rPr>
        <w:t xml:space="preserve">BRF113220 uključivao je kohortu od </w:t>
      </w:r>
      <w:r w:rsidRPr="004D038C">
        <w:rPr>
          <w:rFonts w:ascii="Times New Roman" w:eastAsia="Times New Roman" w:hAnsi="Times New Roman" w:cs="Times New Roman"/>
          <w:bdr w:val="none" w:sz="0" w:space="0" w:color="auto" w:frame="1"/>
          <w:lang w:val="it-IT" w:eastAsia="en-GB"/>
        </w:rPr>
        <w:t xml:space="preserve">26 pacijenata kod kojih je došlo do progresije tokom terapije BRAF inhibitorom. Kombinacija </w:t>
      </w:r>
      <w:r w:rsidRPr="004D038C">
        <w:rPr>
          <w:rFonts w:ascii="Times New Roman" w:eastAsia="Times New Roman" w:hAnsi="Times New Roman" w:cs="Times New Roman"/>
          <w:lang w:val="it-IT"/>
        </w:rPr>
        <w:t xml:space="preserve">trametiniba u dozi 2 mg jednom dnevno i dabrafeniba 150 mg dva puta dnevno pokazala je ograničenu kliničku aktivnost kod pacijenata kod kojih je došlo do progresije tokom terapije </w:t>
      </w:r>
      <w:r w:rsidRPr="004D038C">
        <w:rPr>
          <w:rFonts w:ascii="Times New Roman" w:eastAsia="Times New Roman" w:hAnsi="Times New Roman" w:cs="Times New Roman"/>
          <w:bdr w:val="none" w:sz="0" w:space="0" w:color="auto" w:frame="1"/>
          <w:lang w:val="it-IT" w:eastAsia="en-GB"/>
        </w:rPr>
        <w:t>BRAF inhibitorom (vidjeti odjeljak 4.4). Potvrđena stopa odgovora prema procjeni istraživača bila je 15% (95% CI: 4.4, 34.9), a medijana PFS-a bila je 3.6 mjeseci (95% CI: 1.9, 5.2). Slični su rezultati uočeni kod 45 pacijenata koji su prešli s monoterapije dabrafenibom na kombinovanu terapiju tr</w:t>
      </w:r>
      <w:r w:rsidRPr="004D038C">
        <w:rPr>
          <w:rFonts w:ascii="Times New Roman" w:eastAsia="Times New Roman" w:hAnsi="Times New Roman" w:cs="Times New Roman"/>
          <w:lang w:val="it-IT"/>
        </w:rPr>
        <w:t xml:space="preserve">ametinibom 2 mg jednom dnevno i dabrafenibom 150 mg dva puta dnevno u dijelu C ovog ispitivanja. Kod tih pacijenata uočena je potvrđena stopa odgovora od </w:t>
      </w:r>
      <w:r w:rsidRPr="004D038C">
        <w:rPr>
          <w:rFonts w:ascii="Times New Roman" w:eastAsia="Times New Roman" w:hAnsi="Times New Roman" w:cs="Times New Roman"/>
          <w:bdr w:val="none" w:sz="0" w:space="0" w:color="auto" w:frame="1"/>
          <w:lang w:val="it-IT" w:eastAsia="en-GB"/>
        </w:rPr>
        <w:t>13% (95% CI: 5.0, 27.0) uz medijanu PFS-a od 3.6 mjeseci (95% CI: 2.4).</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i/>
          <w:u w:val="single"/>
          <w:lang w:val="it-IT"/>
        </w:rPr>
      </w:pPr>
    </w:p>
    <w:p w:rsidR="004D038C" w:rsidRPr="004D038C" w:rsidRDefault="004D038C" w:rsidP="004D038C">
      <w:pPr>
        <w:spacing w:after="0" w:line="240" w:lineRule="auto"/>
        <w:jc w:val="both"/>
        <w:rPr>
          <w:rFonts w:ascii="Times New Roman" w:eastAsia="Times New Roman" w:hAnsi="Times New Roman" w:cs="Times New Roman"/>
          <w:i/>
          <w:u w:val="single"/>
          <w:lang w:val="it-IT"/>
        </w:rPr>
      </w:pPr>
      <w:r w:rsidRPr="004D038C">
        <w:rPr>
          <w:rFonts w:ascii="Times New Roman" w:eastAsia="Times New Roman" w:hAnsi="Times New Roman" w:cs="Times New Roman"/>
          <w:i/>
          <w:u w:val="single"/>
          <w:lang w:val="it-IT"/>
        </w:rPr>
        <w:t>Monoterapija dabrafenibom</w:t>
      </w:r>
    </w:p>
    <w:p w:rsidR="004D038C" w:rsidRPr="004D038C" w:rsidRDefault="004D038C" w:rsidP="004D038C">
      <w:pPr>
        <w:spacing w:after="0" w:line="240" w:lineRule="auto"/>
        <w:jc w:val="both"/>
        <w:rPr>
          <w:rFonts w:ascii="Times New Roman" w:eastAsia="Times New Roman" w:hAnsi="Times New Roman" w:cs="Times New Roman"/>
          <w:i/>
          <w:u w:val="single"/>
          <w:lang w:val="it-IT"/>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Efikasnost dabrafeniba za liječenje odraslih pacijenata sa inoperabilnim ili metastatskim melanomom pozitivnim na BRAF V600 mutaciju procijenjena je u 3 ispitivanja (BRF113683 [BREAK-3], BRF113929 [BREAK-MB], i BRF113710 [BREAK-2]) uključujući pacijente sa BRAF V600E i/ili V600K mutacijama. </w:t>
      </w:r>
    </w:p>
    <w:p w:rsidR="00C020F1" w:rsidRDefault="004D038C" w:rsidP="00C020F1">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ova ispitivanja je bilo uključeno ukupno 402 ispitanika sa BRAF V600E i 49 ispitanika sa BRAF V600K mutacijom. Pacijenti sa melanomom sa drugim BRAF mutacijama, izuzev mutacije V600E, bili su isključeni iz ispitivanja efikasnosti, a ispitivanja sa jednom grupom pokazala su manju aktivnost kod tumora sa mutacijom V600K nego kod onih sa mutacijom V600E.</w:t>
      </w:r>
    </w:p>
    <w:p w:rsidR="001F0C96" w:rsidRDefault="001F0C96" w:rsidP="00C020F1">
      <w:pPr>
        <w:spacing w:after="0" w:line="240" w:lineRule="auto"/>
        <w:jc w:val="both"/>
        <w:rPr>
          <w:rFonts w:ascii="Times New Roman" w:eastAsia="Times New Roman" w:hAnsi="Times New Roman" w:cs="Times New Roman"/>
          <w:lang w:val="hr-HR"/>
        </w:rPr>
      </w:pPr>
    </w:p>
    <w:p w:rsidR="004D038C" w:rsidRPr="004D038C" w:rsidRDefault="004D038C" w:rsidP="00C020F1">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lastRenderedPageBreak/>
        <w:t>Nema podataka o pacijentima sa melanomom koji nose BRAF V600 mutacije osim onih sa V600E i V600K. Efikasnost dabrafeniba kod pacijenata koji su prethodno liječeni inhibitorima protein kinaze nije bila ispitivana.</w:t>
      </w:r>
    </w:p>
    <w:p w:rsidR="001F0C96" w:rsidRDefault="001F0C96" w:rsidP="004D038C">
      <w:pPr>
        <w:keepNext/>
        <w:tabs>
          <w:tab w:val="left" w:pos="0"/>
        </w:tabs>
        <w:spacing w:after="0" w:line="240" w:lineRule="auto"/>
        <w:jc w:val="both"/>
        <w:rPr>
          <w:rFonts w:ascii="Times New Roman" w:eastAsia="Times New Roman" w:hAnsi="Times New Roman" w:cs="Times New Roman"/>
          <w:i/>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lang w:val="hr-HR"/>
        </w:rPr>
      </w:pPr>
      <w:r w:rsidRPr="004D038C">
        <w:rPr>
          <w:rFonts w:ascii="Times New Roman" w:eastAsia="Times New Roman" w:hAnsi="Times New Roman" w:cs="Times New Roman"/>
          <w:i/>
          <w:lang w:val="hr-HR"/>
        </w:rPr>
        <w:t>Pacijenti koji nijesu ranije liječeni (Rezultati Faze III ispitivanja [BREAK-3])</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Efikasnost i bezbjednost dabrafeniba procijenjene su u randomizovanom, otvorenom ispitivanju III faze [BREAK 3] gdje je upoređivan dabrafenib sa dakarbazinom (DTIC) kod pacijenata pozitivnih na BRAF V600E mutaciju sa uznapredovalim (inoperabilnim, stadijum III) ili metastatskim (stadijum IV) melanomom, koji ranije nijeu bili liječeni. Pacijenti sa melanomom sa drugim BRAF mutacijama osim mutacije V600E su bili isključeni. </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Primarni cilj ispitivanja bio je da se procijeni efikasnost dabrafeniba u poređenju sa DTIC-om s obzirom na PFS prema procjeni istraživača. Pacijenti DTIC grane ispitivanja su smjeli da pređu na liječenje dabrafenibom poslije nezavisne radiološke potvrde početka progresije. Početne karakteristike su bile uravnotežene između terapijskih grupa. Šezdeset procenata pacijenata su bili muškarci i 99.6% pacijenata bijele rase; medijana starosti je bila 52 godine sa 21% b ≥65 godina, 98.4% je imalo ECOG status 0 ili 1, a 97% pacijenata je imalo metastatsku bolest.</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prethodno određenoj analizi sa podacima zaključenim 19. decembra 2011.godine, postignuto je značajno poboljšanje PFS kao primarnog cilja (HR = 0.30; 95% CI 0,18; 0.51; p &lt;0.0001). Rezultati efikasnosti iz primarne analize i post-hoc analize sa dodanim podacima o praćenju u toku 6 mjeseci, sažeto su prikazani u tabeli 5. Podaci o ukupnom preživljavanju iz sljedeće post-hoc analize zasnovane na podacima sa zaključnim datumom 18. decembra 2012. prikazani su na slici 3.</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u w:val="single"/>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lang w:val="hr-HR"/>
        </w:rPr>
        <w:t>Tabela 8: Efikasnost kod prethodno neliječenih pacijenata (ispitivanje BREAK-3, 25. jun 2012.)</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12"/>
        <w:gridCol w:w="1881"/>
        <w:gridCol w:w="1885"/>
        <w:gridCol w:w="1873"/>
        <w:gridCol w:w="1866"/>
      </w:tblGrid>
      <w:tr w:rsidR="004D038C" w:rsidRPr="004D038C" w:rsidTr="00C020F1">
        <w:trPr>
          <w:trHeight w:val="412"/>
        </w:trPr>
        <w:tc>
          <w:tcPr>
            <w:tcW w:w="1098" w:type="pct"/>
            <w:tcBorders>
              <w:top w:val="single" w:sz="4" w:space="0" w:color="auto"/>
              <w:left w:val="single" w:sz="4" w:space="0" w:color="auto"/>
              <w:bottom w:val="single" w:sz="4" w:space="0" w:color="auto"/>
            </w:tcBorders>
            <w:shd w:val="clear" w:color="auto" w:fill="auto"/>
            <w:hideMark/>
          </w:tcPr>
          <w:p w:rsidR="004D038C" w:rsidRPr="004D038C" w:rsidRDefault="004D038C" w:rsidP="004D038C">
            <w:pPr>
              <w:keepNext/>
              <w:spacing w:after="0" w:line="240" w:lineRule="auto"/>
              <w:rPr>
                <w:rFonts w:ascii="Times New Roman" w:eastAsia="Times New Roman" w:hAnsi="Times New Roman" w:cs="Times New Roman"/>
                <w:b/>
                <w:lang w:val="hr-HR"/>
              </w:rPr>
            </w:pPr>
          </w:p>
        </w:tc>
        <w:tc>
          <w:tcPr>
            <w:tcW w:w="1958" w:type="pct"/>
            <w:gridSpan w:val="2"/>
            <w:tcBorders>
              <w:top w:val="single" w:sz="4" w:space="0" w:color="auto"/>
              <w:bottom w:val="single" w:sz="4" w:space="0" w:color="auto"/>
            </w:tcBorders>
            <w:shd w:val="clear" w:color="auto" w:fill="auto"/>
            <w:vAlign w:val="center"/>
            <w:hideMark/>
          </w:tcPr>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Podaci do 19. decembra 2011.</w:t>
            </w:r>
          </w:p>
        </w:tc>
        <w:tc>
          <w:tcPr>
            <w:tcW w:w="1944" w:type="pct"/>
            <w:gridSpan w:val="2"/>
            <w:tcBorders>
              <w:top w:val="single" w:sz="4" w:space="0" w:color="auto"/>
              <w:bottom w:val="single" w:sz="4" w:space="0" w:color="auto"/>
            </w:tcBorders>
            <w:vAlign w:val="center"/>
          </w:tcPr>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Podaci do 25. juna 2012.</w:t>
            </w:r>
          </w:p>
        </w:tc>
      </w:tr>
      <w:tr w:rsidR="004D038C" w:rsidRPr="004D038C" w:rsidDel="006A35ED" w:rsidTr="00C020F1">
        <w:tc>
          <w:tcPr>
            <w:tcW w:w="1098" w:type="pct"/>
            <w:tcBorders>
              <w:top w:val="single" w:sz="4" w:space="0" w:color="auto"/>
              <w:left w:val="single" w:sz="4" w:space="0" w:color="auto"/>
              <w:bottom w:val="single" w:sz="4" w:space="0" w:color="auto"/>
            </w:tcBorders>
            <w:shd w:val="clear" w:color="auto" w:fill="auto"/>
            <w:hideMark/>
          </w:tcPr>
          <w:p w:rsidR="004D038C" w:rsidRPr="004D038C" w:rsidRDefault="004D038C" w:rsidP="004D038C">
            <w:pPr>
              <w:keepNext/>
              <w:spacing w:after="0" w:line="240" w:lineRule="auto"/>
              <w:rPr>
                <w:rFonts w:ascii="Times New Roman" w:eastAsia="Times New Roman" w:hAnsi="Times New Roman" w:cs="Times New Roman"/>
                <w:b/>
                <w:lang w:val="hr-HR"/>
              </w:rPr>
            </w:pPr>
          </w:p>
        </w:tc>
        <w:tc>
          <w:tcPr>
            <w:tcW w:w="978" w:type="pct"/>
            <w:tcBorders>
              <w:top w:val="single" w:sz="4" w:space="0" w:color="auto"/>
              <w:bottom w:val="single" w:sz="4" w:space="0" w:color="auto"/>
            </w:tcBorders>
            <w:shd w:val="clear" w:color="auto" w:fill="auto"/>
            <w:vAlign w:val="center"/>
            <w:hideMark/>
          </w:tcPr>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Dabrafenib</w:t>
            </w:r>
          </w:p>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N=187</w:t>
            </w:r>
          </w:p>
        </w:tc>
        <w:tc>
          <w:tcPr>
            <w:tcW w:w="980" w:type="pct"/>
            <w:tcBorders>
              <w:top w:val="single" w:sz="4" w:space="0" w:color="auto"/>
              <w:bottom w:val="single" w:sz="4" w:space="0" w:color="auto"/>
            </w:tcBorders>
            <w:shd w:val="clear" w:color="auto" w:fill="auto"/>
            <w:vAlign w:val="center"/>
            <w:hideMark/>
          </w:tcPr>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DTIC</w:t>
            </w:r>
          </w:p>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N=63</w:t>
            </w:r>
          </w:p>
        </w:tc>
        <w:tc>
          <w:tcPr>
            <w:tcW w:w="974" w:type="pct"/>
            <w:tcBorders>
              <w:bottom w:val="single" w:sz="4" w:space="0" w:color="auto"/>
            </w:tcBorders>
            <w:vAlign w:val="center"/>
          </w:tcPr>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Dabrafenib</w:t>
            </w:r>
          </w:p>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N=187</w:t>
            </w:r>
          </w:p>
        </w:tc>
        <w:tc>
          <w:tcPr>
            <w:tcW w:w="970" w:type="pct"/>
            <w:tcBorders>
              <w:bottom w:val="single" w:sz="4" w:space="0" w:color="auto"/>
            </w:tcBorders>
            <w:vAlign w:val="center"/>
          </w:tcPr>
          <w:p w:rsidR="004D038C" w:rsidRPr="004D038C"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DTIC</w:t>
            </w:r>
          </w:p>
          <w:p w:rsidR="004D038C" w:rsidRPr="004D038C" w:rsidDel="006A35ED" w:rsidRDefault="004D038C" w:rsidP="004D038C">
            <w:pPr>
              <w:keepNext/>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N=63</w:t>
            </w:r>
          </w:p>
        </w:tc>
      </w:tr>
      <w:tr w:rsidR="004D038C" w:rsidRPr="004D038C" w:rsidTr="00C020F1">
        <w:tc>
          <w:tcPr>
            <w:tcW w:w="3056" w:type="pct"/>
            <w:gridSpan w:val="3"/>
            <w:tcBorders>
              <w:top w:val="single" w:sz="4" w:space="0" w:color="auto"/>
              <w:left w:val="single" w:sz="4" w:space="0" w:color="auto"/>
              <w:bottom w:val="single" w:sz="4" w:space="0" w:color="auto"/>
            </w:tcBorders>
            <w:shd w:val="clear" w:color="auto" w:fill="auto"/>
          </w:tcPr>
          <w:p w:rsidR="004D038C" w:rsidRPr="004D038C" w:rsidRDefault="004D038C" w:rsidP="004D038C">
            <w:pPr>
              <w:keepNext/>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Preživljavanje bez progresije bolesti</w:t>
            </w:r>
          </w:p>
        </w:tc>
        <w:tc>
          <w:tcPr>
            <w:tcW w:w="1944" w:type="pct"/>
            <w:gridSpan w:val="2"/>
            <w:tcBorders>
              <w:top w:val="single" w:sz="4" w:space="0" w:color="auto"/>
              <w:bottom w:val="single" w:sz="4" w:space="0" w:color="auto"/>
            </w:tcBorders>
          </w:tcPr>
          <w:p w:rsidR="004D038C" w:rsidRPr="004D038C" w:rsidRDefault="004D038C" w:rsidP="004D038C">
            <w:pPr>
              <w:keepNext/>
              <w:spacing w:after="0" w:line="240" w:lineRule="auto"/>
              <w:rPr>
                <w:rFonts w:ascii="Times New Roman" w:eastAsia="MS Mincho" w:hAnsi="Times New Roman" w:cs="Times New Roman"/>
                <w:b/>
                <w:lang w:val="hr-HR"/>
              </w:rPr>
            </w:pPr>
          </w:p>
        </w:tc>
      </w:tr>
      <w:tr w:rsidR="004D038C" w:rsidRPr="004D038C" w:rsidTr="00C020F1">
        <w:tc>
          <w:tcPr>
            <w:tcW w:w="1098" w:type="pct"/>
            <w:tcBorders>
              <w:top w:val="single" w:sz="4" w:space="0" w:color="auto"/>
              <w:left w:val="single" w:sz="4" w:space="0" w:color="auto"/>
              <w:bottom w:val="nil"/>
              <w:right w:val="single" w:sz="4" w:space="0" w:color="auto"/>
            </w:tcBorders>
            <w:shd w:val="clear" w:color="auto" w:fill="auto"/>
          </w:tcPr>
          <w:p w:rsidR="004D038C" w:rsidRPr="004D038C" w:rsidRDefault="004D038C" w:rsidP="004D038C">
            <w:pPr>
              <w:keepNext/>
              <w:spacing w:after="0" w:line="240" w:lineRule="auto"/>
              <w:rPr>
                <w:rFonts w:ascii="Times New Roman" w:eastAsia="MS Mincho" w:hAnsi="Times New Roman" w:cs="Times New Roman"/>
                <w:lang w:val="hr-HR"/>
              </w:rPr>
            </w:pPr>
            <w:r w:rsidRPr="004D038C">
              <w:rPr>
                <w:rFonts w:ascii="Times New Roman" w:eastAsia="Times New Roman" w:hAnsi="Times New Roman" w:cs="Times New Roman"/>
                <w:lang w:val="hr-HR"/>
              </w:rPr>
              <w:t>Medijana, mjeseci (95% CI)</w:t>
            </w:r>
            <w:r w:rsidRPr="004D038C">
              <w:rPr>
                <w:rFonts w:ascii="Times New Roman" w:eastAsia="MS Mincho" w:hAnsi="Times New Roman" w:cs="Times New Roman"/>
                <w:vertAlign w:val="superscript"/>
                <w:lang w:val="hr-HR"/>
              </w:rPr>
              <w:t xml:space="preserve"> </w:t>
            </w:r>
          </w:p>
        </w:tc>
        <w:tc>
          <w:tcPr>
            <w:tcW w:w="978" w:type="pct"/>
            <w:tcBorders>
              <w:top w:val="single" w:sz="4" w:space="0" w:color="auto"/>
              <w:left w:val="single" w:sz="4" w:space="0" w:color="auto"/>
              <w:bottom w:val="nil"/>
              <w:right w:val="single" w:sz="4" w:space="0" w:color="auto"/>
            </w:tcBorders>
            <w:shd w:val="clear" w:color="auto" w:fill="auto"/>
          </w:tcPr>
          <w:p w:rsidR="004D038C" w:rsidRPr="004D038C" w:rsidRDefault="004D038C" w:rsidP="004D038C">
            <w:pPr>
              <w:keepNext/>
              <w:spacing w:after="0" w:line="240" w:lineRule="auto"/>
              <w:jc w:val="center"/>
              <w:rPr>
                <w:rFonts w:ascii="Times New Roman" w:eastAsia="Times New Roman" w:hAnsi="Times New Roman" w:cs="Times New Roman"/>
                <w:color w:val="000000"/>
                <w:lang w:val="hr-HR"/>
              </w:rPr>
            </w:pPr>
            <w:r w:rsidRPr="004D038C">
              <w:rPr>
                <w:rFonts w:ascii="Times New Roman" w:eastAsia="Times New Roman" w:hAnsi="Times New Roman" w:cs="Times New Roman"/>
                <w:lang w:val="hr-HR"/>
              </w:rPr>
              <w:t>5.1 (4.9; 6.9)</w:t>
            </w:r>
          </w:p>
        </w:tc>
        <w:tc>
          <w:tcPr>
            <w:tcW w:w="980" w:type="pct"/>
            <w:tcBorders>
              <w:top w:val="single" w:sz="4" w:space="0" w:color="auto"/>
              <w:left w:val="single" w:sz="4" w:space="0" w:color="auto"/>
              <w:bottom w:val="nil"/>
              <w:right w:val="single" w:sz="4" w:space="0" w:color="auto"/>
            </w:tcBorders>
            <w:shd w:val="clear" w:color="auto" w:fill="auto"/>
          </w:tcPr>
          <w:p w:rsidR="004D038C" w:rsidRPr="004D038C" w:rsidRDefault="004D038C" w:rsidP="004D038C">
            <w:pPr>
              <w:keepNext/>
              <w:spacing w:after="0" w:line="240" w:lineRule="auto"/>
              <w:jc w:val="center"/>
              <w:rPr>
                <w:rFonts w:ascii="Times New Roman" w:eastAsia="Times New Roman" w:hAnsi="Times New Roman" w:cs="Times New Roman"/>
                <w:color w:val="000000"/>
                <w:lang w:val="hr-HR"/>
              </w:rPr>
            </w:pPr>
            <w:r w:rsidRPr="004D038C">
              <w:rPr>
                <w:rFonts w:ascii="Times New Roman" w:eastAsia="Times New Roman" w:hAnsi="Times New Roman" w:cs="Times New Roman"/>
                <w:lang w:val="hr-HR"/>
              </w:rPr>
              <w:t>2.7 (1.5; 3.2)</w:t>
            </w:r>
          </w:p>
        </w:tc>
        <w:tc>
          <w:tcPr>
            <w:tcW w:w="974" w:type="pct"/>
            <w:tcBorders>
              <w:top w:val="single" w:sz="4" w:space="0" w:color="auto"/>
              <w:left w:val="single" w:sz="4" w:space="0" w:color="auto"/>
              <w:bottom w:val="nil"/>
              <w:right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6.9 (5.2; 9.0)</w:t>
            </w:r>
          </w:p>
        </w:tc>
        <w:tc>
          <w:tcPr>
            <w:tcW w:w="970" w:type="pct"/>
            <w:tcBorders>
              <w:top w:val="single" w:sz="4" w:space="0" w:color="auto"/>
              <w:left w:val="single" w:sz="4" w:space="0" w:color="auto"/>
              <w:bottom w:val="nil"/>
            </w:tcBorders>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2.7 (1.5; 3.2)</w:t>
            </w:r>
          </w:p>
        </w:tc>
      </w:tr>
      <w:tr w:rsidR="004D038C" w:rsidRPr="004D038C" w:rsidTr="00C020F1">
        <w:tc>
          <w:tcPr>
            <w:tcW w:w="1098" w:type="pct"/>
            <w:tcBorders>
              <w:top w:val="nil"/>
              <w:left w:val="single" w:sz="4" w:space="0" w:color="auto"/>
              <w:bottom w:val="single" w:sz="4" w:space="0" w:color="auto"/>
            </w:tcBorders>
            <w:shd w:val="clear" w:color="auto" w:fill="auto"/>
          </w:tcPr>
          <w:p w:rsidR="004D038C" w:rsidRPr="004D038C" w:rsidRDefault="004D038C" w:rsidP="004D038C">
            <w:pPr>
              <w:keepNext/>
              <w:spacing w:after="0" w:line="240" w:lineRule="auto"/>
              <w:ind w:left="180"/>
              <w:rPr>
                <w:rFonts w:ascii="Times New Roman" w:eastAsia="MS Mincho" w:hAnsi="Times New Roman" w:cs="Times New Roman"/>
                <w:lang w:val="hr-HR"/>
              </w:rPr>
            </w:pPr>
            <w:r w:rsidRPr="004D038C">
              <w:rPr>
                <w:rFonts w:ascii="Times New Roman" w:eastAsia="MS Mincho" w:hAnsi="Times New Roman" w:cs="Times New Roman"/>
                <w:lang w:val="hr-HR"/>
              </w:rPr>
              <w:t>HR (95% CI)</w:t>
            </w:r>
          </w:p>
          <w:p w:rsidR="004D038C" w:rsidRPr="004D038C" w:rsidRDefault="004D038C" w:rsidP="004D038C">
            <w:pPr>
              <w:keepNext/>
              <w:spacing w:after="0" w:line="240" w:lineRule="auto"/>
              <w:ind w:left="180"/>
              <w:rPr>
                <w:rFonts w:ascii="Times New Roman" w:eastAsia="MS Mincho" w:hAnsi="Times New Roman" w:cs="Times New Roman"/>
                <w:lang w:val="hr-HR"/>
              </w:rPr>
            </w:pPr>
          </w:p>
        </w:tc>
        <w:tc>
          <w:tcPr>
            <w:tcW w:w="1958" w:type="pct"/>
            <w:gridSpan w:val="2"/>
            <w:tcBorders>
              <w:top w:val="nil"/>
              <w:bottom w:val="single" w:sz="4" w:space="0" w:color="auto"/>
            </w:tcBorders>
            <w:shd w:val="clear" w:color="auto" w:fill="auto"/>
          </w:tcPr>
          <w:p w:rsidR="004D038C" w:rsidRPr="004D038C" w:rsidRDefault="004D038C" w:rsidP="004D038C">
            <w:pPr>
              <w:keepNext/>
              <w:spacing w:after="0" w:line="240" w:lineRule="auto"/>
              <w:jc w:val="center"/>
              <w:rPr>
                <w:rFonts w:ascii="Times New Roman" w:eastAsia="MS Mincho" w:hAnsi="Times New Roman" w:cs="Times New Roman"/>
                <w:lang w:val="hr-HR"/>
              </w:rPr>
            </w:pPr>
            <w:r w:rsidRPr="004D038C">
              <w:rPr>
                <w:rFonts w:ascii="Times New Roman" w:eastAsia="MS Mincho" w:hAnsi="Times New Roman" w:cs="Times New Roman"/>
                <w:lang w:val="hr-HR"/>
              </w:rPr>
              <w:t>0.30 (0.18; 0.51)</w:t>
            </w:r>
          </w:p>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MS Mincho" w:hAnsi="Times New Roman" w:cs="Times New Roman"/>
                <w:lang w:val="hr-HR"/>
              </w:rPr>
              <w:t>P &lt; 0.0001</w:t>
            </w:r>
          </w:p>
        </w:tc>
        <w:tc>
          <w:tcPr>
            <w:tcW w:w="1944" w:type="pct"/>
            <w:gridSpan w:val="2"/>
            <w:tcBorders>
              <w:top w:val="nil"/>
              <w:bottom w:val="single" w:sz="4" w:space="0" w:color="auto"/>
            </w:tcBorders>
          </w:tcPr>
          <w:p w:rsidR="004D038C" w:rsidRPr="004D038C" w:rsidRDefault="004D038C" w:rsidP="004D038C">
            <w:pPr>
              <w:keepNext/>
              <w:spacing w:after="0" w:line="240" w:lineRule="auto"/>
              <w:jc w:val="center"/>
              <w:rPr>
                <w:rFonts w:ascii="Times New Roman" w:eastAsia="MS Mincho" w:hAnsi="Times New Roman" w:cs="Times New Roman"/>
                <w:lang w:val="hr-HR"/>
              </w:rPr>
            </w:pPr>
            <w:r w:rsidRPr="004D038C">
              <w:rPr>
                <w:rFonts w:ascii="Times New Roman" w:eastAsia="MS Mincho" w:hAnsi="Times New Roman" w:cs="Times New Roman"/>
                <w:lang w:val="hr-HR"/>
              </w:rPr>
              <w:t>0.37 (0.24; 0.58)</w:t>
            </w:r>
          </w:p>
          <w:p w:rsidR="004D038C" w:rsidRPr="004D038C" w:rsidRDefault="004D038C" w:rsidP="004D038C">
            <w:pPr>
              <w:keepNext/>
              <w:spacing w:after="0" w:line="240" w:lineRule="auto"/>
              <w:jc w:val="center"/>
              <w:rPr>
                <w:rFonts w:ascii="Times New Roman" w:eastAsia="MS Mincho" w:hAnsi="Times New Roman" w:cs="Times New Roman"/>
                <w:lang w:val="hr-HR"/>
              </w:rPr>
            </w:pPr>
            <w:r w:rsidRPr="004D038C">
              <w:rPr>
                <w:rFonts w:ascii="Times New Roman" w:eastAsia="MS Mincho" w:hAnsi="Times New Roman" w:cs="Times New Roman"/>
                <w:lang w:val="hr-HR"/>
              </w:rPr>
              <w:t>P &lt; 0.0001</w:t>
            </w:r>
          </w:p>
        </w:tc>
      </w:tr>
      <w:tr w:rsidR="004D038C" w:rsidRPr="004D038C" w:rsidTr="00C020F1">
        <w:tc>
          <w:tcPr>
            <w:tcW w:w="3056" w:type="pct"/>
            <w:gridSpan w:val="3"/>
            <w:tcBorders>
              <w:top w:val="single" w:sz="4" w:space="0" w:color="auto"/>
              <w:left w:val="single" w:sz="4" w:space="0" w:color="auto"/>
              <w:bottom w:val="single" w:sz="4" w:space="0" w:color="auto"/>
            </w:tcBorders>
            <w:shd w:val="clear" w:color="auto" w:fill="auto"/>
          </w:tcPr>
          <w:p w:rsidR="004D038C" w:rsidRPr="004D038C" w:rsidRDefault="004D038C" w:rsidP="004D038C">
            <w:pPr>
              <w:keepNext/>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b/>
                <w:lang w:val="hr-HR"/>
              </w:rPr>
              <w:t>Ukupni odgovor</w:t>
            </w:r>
            <w:r w:rsidRPr="004D038C">
              <w:rPr>
                <w:rFonts w:ascii="Times New Roman" w:eastAsia="Times New Roman" w:hAnsi="Times New Roman" w:cs="Times New Roman"/>
                <w:b/>
                <w:vertAlign w:val="superscript"/>
                <w:lang w:val="hr-HR"/>
              </w:rPr>
              <w:t>a</w:t>
            </w:r>
          </w:p>
        </w:tc>
        <w:tc>
          <w:tcPr>
            <w:tcW w:w="1944" w:type="pct"/>
            <w:gridSpan w:val="2"/>
            <w:tcBorders>
              <w:top w:val="single" w:sz="4" w:space="0" w:color="auto"/>
              <w:bottom w:val="single" w:sz="4" w:space="0" w:color="auto"/>
            </w:tcBorders>
          </w:tcPr>
          <w:p w:rsidR="004D038C" w:rsidRPr="004D038C" w:rsidRDefault="004D038C" w:rsidP="004D038C">
            <w:pPr>
              <w:keepNext/>
              <w:spacing w:after="0" w:line="240" w:lineRule="auto"/>
              <w:rPr>
                <w:rFonts w:ascii="Times New Roman" w:eastAsia="Times New Roman" w:hAnsi="Times New Roman" w:cs="Times New Roman"/>
                <w:b/>
                <w:lang w:val="hr-HR"/>
              </w:rPr>
            </w:pPr>
          </w:p>
        </w:tc>
      </w:tr>
      <w:tr w:rsidR="004D038C" w:rsidRPr="004D038C" w:rsidTr="00C020F1">
        <w:tc>
          <w:tcPr>
            <w:tcW w:w="1098" w:type="pct"/>
            <w:tcBorders>
              <w:top w:val="single" w:sz="4" w:space="0" w:color="auto"/>
              <w:left w:val="single" w:sz="4" w:space="0" w:color="auto"/>
              <w:bottom w:val="single" w:sz="4" w:space="0" w:color="auto"/>
            </w:tcBorders>
            <w:shd w:val="clear" w:color="auto" w:fill="auto"/>
          </w:tcPr>
          <w:p w:rsidR="004D038C" w:rsidRPr="004D038C" w:rsidRDefault="004D038C" w:rsidP="004D038C">
            <w:pPr>
              <w:keepNext/>
              <w:spacing w:after="0" w:line="240" w:lineRule="auto"/>
              <w:ind w:left="180"/>
              <w:rPr>
                <w:rFonts w:ascii="Times New Roman" w:eastAsia="MS Mincho" w:hAnsi="Times New Roman" w:cs="Times New Roman"/>
                <w:lang w:val="hr-HR"/>
              </w:rPr>
            </w:pPr>
            <w:r w:rsidRPr="004D038C">
              <w:rPr>
                <w:rFonts w:ascii="Times New Roman" w:eastAsia="Times New Roman" w:hAnsi="Times New Roman" w:cs="Times New Roman"/>
                <w:lang w:val="hr-HR"/>
              </w:rPr>
              <w:t>% (95% CI)</w:t>
            </w:r>
          </w:p>
        </w:tc>
        <w:tc>
          <w:tcPr>
            <w:tcW w:w="978" w:type="pct"/>
            <w:tcBorders>
              <w:top w:val="single" w:sz="4" w:space="0" w:color="auto"/>
              <w:bottom w:val="single" w:sz="4" w:space="0" w:color="auto"/>
            </w:tcBorders>
            <w:shd w:val="clear" w:color="auto" w:fill="auto"/>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53 (45.5; 60.3)</w:t>
            </w:r>
          </w:p>
        </w:tc>
        <w:tc>
          <w:tcPr>
            <w:tcW w:w="980" w:type="pct"/>
            <w:tcBorders>
              <w:top w:val="single" w:sz="4" w:space="0" w:color="auto"/>
              <w:bottom w:val="single" w:sz="4" w:space="0" w:color="auto"/>
            </w:tcBorders>
            <w:shd w:val="clear" w:color="auto" w:fill="auto"/>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19 (10.2; 30.9)</w:t>
            </w:r>
          </w:p>
        </w:tc>
        <w:tc>
          <w:tcPr>
            <w:tcW w:w="974" w:type="pct"/>
            <w:tcBorders>
              <w:top w:val="single" w:sz="4" w:space="0" w:color="auto"/>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59 (51.4; 66.0)</w:t>
            </w:r>
          </w:p>
        </w:tc>
        <w:tc>
          <w:tcPr>
            <w:tcW w:w="970" w:type="pct"/>
            <w:tcBorders>
              <w:top w:val="single" w:sz="4" w:space="0" w:color="auto"/>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24 (14; 36.2)</w:t>
            </w:r>
          </w:p>
        </w:tc>
      </w:tr>
      <w:tr w:rsidR="004D038C" w:rsidRPr="004D038C" w:rsidTr="00C020F1">
        <w:tc>
          <w:tcPr>
            <w:tcW w:w="3056" w:type="pct"/>
            <w:gridSpan w:val="3"/>
            <w:tcBorders>
              <w:top w:val="single" w:sz="4" w:space="0" w:color="auto"/>
              <w:left w:val="single" w:sz="4" w:space="0" w:color="auto"/>
              <w:bottom w:val="single" w:sz="4" w:space="0" w:color="auto"/>
            </w:tcBorders>
            <w:shd w:val="clear" w:color="auto" w:fill="auto"/>
          </w:tcPr>
          <w:p w:rsidR="004D038C" w:rsidRPr="004D038C" w:rsidRDefault="004D038C" w:rsidP="004D038C">
            <w:pPr>
              <w:keepNext/>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Trajanje odgovora</w:t>
            </w:r>
          </w:p>
        </w:tc>
        <w:tc>
          <w:tcPr>
            <w:tcW w:w="1944" w:type="pct"/>
            <w:gridSpan w:val="2"/>
            <w:tcBorders>
              <w:top w:val="single" w:sz="4" w:space="0" w:color="auto"/>
              <w:bottom w:val="single" w:sz="4" w:space="0" w:color="auto"/>
            </w:tcBorders>
          </w:tcPr>
          <w:p w:rsidR="004D038C" w:rsidRPr="004D038C" w:rsidRDefault="004D038C" w:rsidP="004D038C">
            <w:pPr>
              <w:keepNext/>
              <w:spacing w:after="0" w:line="240" w:lineRule="auto"/>
              <w:rPr>
                <w:rFonts w:ascii="Times New Roman" w:eastAsia="Times New Roman" w:hAnsi="Times New Roman" w:cs="Times New Roman"/>
                <w:b/>
                <w:lang w:val="hr-HR"/>
              </w:rPr>
            </w:pPr>
          </w:p>
        </w:tc>
      </w:tr>
      <w:tr w:rsidR="004D038C" w:rsidRPr="004D038C" w:rsidTr="00C020F1">
        <w:tc>
          <w:tcPr>
            <w:tcW w:w="1098" w:type="pct"/>
            <w:tcBorders>
              <w:top w:val="single" w:sz="4" w:space="0" w:color="auto"/>
              <w:left w:val="single" w:sz="4" w:space="0" w:color="auto"/>
              <w:bottom w:val="single" w:sz="4" w:space="0" w:color="auto"/>
            </w:tcBorders>
            <w:shd w:val="clear" w:color="auto" w:fill="auto"/>
          </w:tcPr>
          <w:p w:rsidR="004D038C" w:rsidRPr="004D038C" w:rsidRDefault="004D038C" w:rsidP="004D038C">
            <w:pPr>
              <w:keepNext/>
              <w:spacing w:after="0" w:line="240" w:lineRule="auto"/>
              <w:rPr>
                <w:rFonts w:ascii="Times New Roman" w:eastAsia="MS Mincho" w:hAnsi="Times New Roman" w:cs="Times New Roman"/>
                <w:vertAlign w:val="superscript"/>
                <w:lang w:val="hr-HR"/>
              </w:rPr>
            </w:pPr>
            <w:r w:rsidRPr="004D038C">
              <w:rPr>
                <w:rFonts w:ascii="Times New Roman" w:eastAsia="Times New Roman" w:hAnsi="Times New Roman" w:cs="Times New Roman"/>
                <w:lang w:val="hr-HR"/>
              </w:rPr>
              <w:t>Medijana, mjeseci (95% CI)</w:t>
            </w:r>
            <w:r w:rsidRPr="004D038C">
              <w:rPr>
                <w:rFonts w:ascii="Times New Roman" w:eastAsia="MS Mincho" w:hAnsi="Times New Roman" w:cs="Times New Roman"/>
                <w:vertAlign w:val="superscript"/>
                <w:lang w:val="hr-HR"/>
              </w:rPr>
              <w:t xml:space="preserve"> </w:t>
            </w:r>
          </w:p>
        </w:tc>
        <w:tc>
          <w:tcPr>
            <w:tcW w:w="978" w:type="pct"/>
            <w:tcBorders>
              <w:top w:val="single" w:sz="4" w:space="0" w:color="auto"/>
              <w:bottom w:val="single" w:sz="4" w:space="0" w:color="auto"/>
            </w:tcBorders>
            <w:shd w:val="clear" w:color="auto" w:fill="auto"/>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N=99</w:t>
            </w:r>
          </w:p>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5.6 (4.8; NR)</w:t>
            </w:r>
          </w:p>
        </w:tc>
        <w:tc>
          <w:tcPr>
            <w:tcW w:w="980" w:type="pct"/>
            <w:tcBorders>
              <w:top w:val="single" w:sz="4" w:space="0" w:color="auto"/>
              <w:bottom w:val="single" w:sz="4" w:space="0" w:color="auto"/>
            </w:tcBorders>
            <w:shd w:val="clear" w:color="auto" w:fill="auto"/>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N=12</w:t>
            </w:r>
          </w:p>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ND (5.0; NR)</w:t>
            </w:r>
          </w:p>
        </w:tc>
        <w:tc>
          <w:tcPr>
            <w:tcW w:w="974" w:type="pct"/>
            <w:tcBorders>
              <w:top w:val="single" w:sz="4" w:space="0" w:color="auto"/>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N=110</w:t>
            </w:r>
          </w:p>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 8.0 (6.6; 11.5)</w:t>
            </w:r>
          </w:p>
        </w:tc>
        <w:tc>
          <w:tcPr>
            <w:tcW w:w="970" w:type="pct"/>
            <w:tcBorders>
              <w:top w:val="single" w:sz="4" w:space="0" w:color="auto"/>
              <w:bottom w:val="single" w:sz="4" w:space="0" w:color="auto"/>
            </w:tcBorders>
          </w:tcPr>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N=15</w:t>
            </w:r>
          </w:p>
          <w:p w:rsidR="004D038C" w:rsidRPr="004D038C" w:rsidRDefault="004D038C" w:rsidP="004D038C">
            <w:pPr>
              <w:keepNext/>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 7.6 (5.0; 9.7)</w:t>
            </w:r>
          </w:p>
        </w:tc>
      </w:tr>
      <w:tr w:rsidR="004D038C" w:rsidRPr="004D038C" w:rsidTr="00C020F1">
        <w:tc>
          <w:tcPr>
            <w:tcW w:w="5000" w:type="pct"/>
            <w:gridSpan w:val="5"/>
            <w:tcBorders>
              <w:top w:val="single" w:sz="4" w:space="0" w:color="auto"/>
              <w:left w:val="single" w:sz="4" w:space="0" w:color="auto"/>
              <w:bottom w:val="single" w:sz="4" w:space="0" w:color="auto"/>
            </w:tcBorders>
            <w:shd w:val="clear" w:color="auto" w:fill="auto"/>
          </w:tcPr>
          <w:p w:rsidR="004D038C" w:rsidRPr="004D038C" w:rsidRDefault="004D038C" w:rsidP="004D038C">
            <w:pPr>
              <w:widowControl w:val="0"/>
              <w:tabs>
                <w:tab w:val="left" w:pos="0"/>
              </w:tabs>
              <w:spacing w:after="0" w:line="240" w:lineRule="auto"/>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Skraćenice: CI: interval poverenja; DTIC: dakarbazin; HR: odnos rizika; ND: nije dostignuto</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vertAlign w:val="superscript"/>
                <w:lang w:val="hr-HR"/>
              </w:rPr>
              <w:t>a</w:t>
            </w:r>
            <w:r w:rsidRPr="004D038C">
              <w:rPr>
                <w:rFonts w:ascii="Times New Roman" w:eastAsia="Times New Roman" w:hAnsi="Times New Roman" w:cs="Times New Roman"/>
                <w:sz w:val="20"/>
                <w:szCs w:val="20"/>
                <w:lang w:val="hr-HR"/>
              </w:rPr>
              <w:t xml:space="preserve"> Definisano kao potvrđeni potpuni + djelimični odgovor.</w:t>
            </w:r>
          </w:p>
        </w:tc>
      </w:tr>
    </w:tbl>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Prema podacima od 25.</w:t>
      </w:r>
      <w:r w:rsidRPr="004D038C">
        <w:rPr>
          <w:rFonts w:ascii="Times New Roman" w:eastAsia="Times New Roman" w:hAnsi="Times New Roman" w:cs="Times New Roman"/>
          <w:vertAlign w:val="superscript"/>
          <w:lang w:val="hr-HR"/>
        </w:rPr>
        <w:t xml:space="preserve"> </w:t>
      </w:r>
      <w:r w:rsidRPr="004D038C">
        <w:rPr>
          <w:rFonts w:ascii="Times New Roman" w:eastAsia="Times New Roman" w:hAnsi="Times New Roman" w:cs="Times New Roman"/>
          <w:lang w:val="hr-HR"/>
        </w:rPr>
        <w:t>juna 2012.godine, 35 ispitanika (55.6%) od 63 randomizovanih na DTIC je prešlo na dabrafenib, dok je 63% ispitanika randomizovanih na dabrafenib i 79% ispitanika randomizovanih na DTIC imalo progresiju bolesti ili je umrlo. Medijana PFS-a poslije prelaska bila je 4.4 mjeseca.</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lang w:val="hr-HR"/>
        </w:rPr>
        <w:lastRenderedPageBreak/>
        <w:t>Tabela 9: Podaci o preživljavanju iz primarne i post-hoc analize</w:t>
      </w:r>
    </w:p>
    <w:tbl>
      <w:tblPr>
        <w:tblpPr w:leftFromText="180" w:rightFromText="180" w:vertAnchor="text" w:tblpX="75" w:tblpY="1"/>
        <w:tblOverlap w:val="never"/>
        <w:tblW w:w="5000" w:type="pct"/>
        <w:tblCellMar>
          <w:left w:w="0" w:type="dxa"/>
          <w:right w:w="0" w:type="dxa"/>
        </w:tblCellMar>
        <w:tblLook w:val="0000" w:firstRow="0" w:lastRow="0" w:firstColumn="0" w:lastColumn="0" w:noHBand="0" w:noVBand="0"/>
      </w:tblPr>
      <w:tblGrid>
        <w:gridCol w:w="2695"/>
        <w:gridCol w:w="1846"/>
        <w:gridCol w:w="2308"/>
        <w:gridCol w:w="2768"/>
      </w:tblGrid>
      <w:tr w:rsidR="004D038C" w:rsidRPr="004D038C" w:rsidTr="00C020F1">
        <w:trPr>
          <w:trHeight w:val="397"/>
        </w:trPr>
        <w:tc>
          <w:tcPr>
            <w:tcW w:w="1401"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Zaključni datum</w:t>
            </w: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Terapija</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3" w:right="-20"/>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Broj smrti (%)</w:t>
            </w:r>
          </w:p>
        </w:tc>
        <w:tc>
          <w:tcPr>
            <w:tcW w:w="144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b/>
                <w:sz w:val="20"/>
                <w:szCs w:val="20"/>
                <w:lang w:val="hr-HR"/>
              </w:rPr>
            </w:pPr>
            <w:r w:rsidRPr="004D038C">
              <w:rPr>
                <w:rFonts w:ascii="Times New Roman" w:eastAsia="Times New Roman" w:hAnsi="Times New Roman" w:cs="Times New Roman"/>
                <w:b/>
                <w:sz w:val="20"/>
                <w:szCs w:val="20"/>
                <w:lang w:val="hr-HR"/>
              </w:rPr>
              <w:t>Odnos rizika (95% CI)</w:t>
            </w:r>
          </w:p>
        </w:tc>
      </w:tr>
      <w:tr w:rsidR="004D038C" w:rsidRPr="004D038C" w:rsidTr="00C020F1">
        <w:trPr>
          <w:trHeight w:val="397"/>
        </w:trPr>
        <w:tc>
          <w:tcPr>
            <w:tcW w:w="1401" w:type="pct"/>
            <w:vMerge w:val="restar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19. decembar 2011.</w:t>
            </w: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DTIC</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9 (14%)</w:t>
            </w:r>
          </w:p>
        </w:tc>
        <w:tc>
          <w:tcPr>
            <w:tcW w:w="1440" w:type="pct"/>
            <w:vMerge w:val="restar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0.61</w:t>
            </w:r>
            <w:r w:rsidRPr="004D038C">
              <w:rPr>
                <w:rFonts w:ascii="Times New Roman" w:eastAsia="Times New Roman" w:hAnsi="Times New Roman" w:cs="Times New Roman"/>
                <w:spacing w:val="-3"/>
                <w:sz w:val="20"/>
                <w:szCs w:val="20"/>
                <w:lang w:val="hr-HR"/>
              </w:rPr>
              <w:t xml:space="preserve"> </w:t>
            </w:r>
            <w:r w:rsidRPr="004D038C">
              <w:rPr>
                <w:rFonts w:ascii="Times New Roman" w:eastAsia="Times New Roman" w:hAnsi="Times New Roman" w:cs="Times New Roman"/>
                <w:spacing w:val="-1"/>
                <w:sz w:val="20"/>
                <w:szCs w:val="20"/>
                <w:lang w:val="hr-HR"/>
              </w:rPr>
              <w:t>(</w:t>
            </w:r>
            <w:r w:rsidRPr="004D038C">
              <w:rPr>
                <w:rFonts w:ascii="Times New Roman" w:eastAsia="Times New Roman" w:hAnsi="Times New Roman" w:cs="Times New Roman"/>
                <w:sz w:val="20"/>
                <w:szCs w:val="20"/>
                <w:lang w:val="hr-HR"/>
              </w:rPr>
              <w:t>0.2</w:t>
            </w:r>
            <w:r w:rsidRPr="004D038C">
              <w:rPr>
                <w:rFonts w:ascii="Times New Roman" w:eastAsia="Times New Roman" w:hAnsi="Times New Roman" w:cs="Times New Roman"/>
                <w:spacing w:val="-1"/>
                <w:sz w:val="20"/>
                <w:szCs w:val="20"/>
                <w:lang w:val="hr-HR"/>
              </w:rPr>
              <w:t>5</w:t>
            </w:r>
            <w:r w:rsidRPr="004D038C">
              <w:rPr>
                <w:rFonts w:ascii="Times New Roman" w:eastAsia="Times New Roman" w:hAnsi="Times New Roman" w:cs="Times New Roman"/>
                <w:sz w:val="20"/>
                <w:szCs w:val="20"/>
                <w:lang w:val="hr-HR"/>
              </w:rPr>
              <w:t>;</w:t>
            </w:r>
            <w:r w:rsidRPr="004D038C">
              <w:rPr>
                <w:rFonts w:ascii="Times New Roman" w:eastAsia="Times New Roman" w:hAnsi="Times New Roman" w:cs="Times New Roman"/>
                <w:spacing w:val="-5"/>
                <w:sz w:val="20"/>
                <w:szCs w:val="20"/>
                <w:lang w:val="hr-HR"/>
              </w:rPr>
              <w:t xml:space="preserve"> </w:t>
            </w:r>
            <w:r w:rsidRPr="004D038C">
              <w:rPr>
                <w:rFonts w:ascii="Times New Roman" w:eastAsia="Times New Roman" w:hAnsi="Times New Roman" w:cs="Times New Roman"/>
                <w:sz w:val="20"/>
                <w:szCs w:val="20"/>
                <w:lang w:val="hr-HR"/>
              </w:rPr>
              <w:t>1.48)</w:t>
            </w:r>
            <w:r w:rsidRPr="004D038C">
              <w:rPr>
                <w:rFonts w:ascii="Times New Roman" w:eastAsia="Times New Roman" w:hAnsi="Times New Roman" w:cs="Times New Roman"/>
                <w:spacing w:val="-1"/>
                <w:position w:val="9"/>
                <w:sz w:val="20"/>
                <w:szCs w:val="20"/>
                <w:lang w:val="hr-HR"/>
              </w:rPr>
              <w:t xml:space="preserve"> (</w:t>
            </w:r>
            <w:r w:rsidRPr="004D038C">
              <w:rPr>
                <w:rFonts w:ascii="Times New Roman" w:eastAsia="Times New Roman" w:hAnsi="Times New Roman" w:cs="Times New Roman"/>
                <w:spacing w:val="1"/>
                <w:position w:val="9"/>
                <w:sz w:val="20"/>
                <w:szCs w:val="20"/>
                <w:lang w:val="hr-HR"/>
              </w:rPr>
              <w:t>a</w:t>
            </w:r>
            <w:r w:rsidRPr="004D038C">
              <w:rPr>
                <w:rFonts w:ascii="Times New Roman" w:eastAsia="Times New Roman" w:hAnsi="Times New Roman" w:cs="Times New Roman"/>
                <w:position w:val="9"/>
                <w:sz w:val="20"/>
                <w:szCs w:val="20"/>
                <w:lang w:val="hr-HR"/>
              </w:rPr>
              <w:t>)</w:t>
            </w:r>
          </w:p>
        </w:tc>
      </w:tr>
      <w:tr w:rsidR="004D038C" w:rsidRPr="004D038C" w:rsidTr="00C020F1">
        <w:trPr>
          <w:trHeight w:val="397"/>
        </w:trPr>
        <w:tc>
          <w:tcPr>
            <w:tcW w:w="1401" w:type="pct"/>
            <w:vMerge/>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dabrafenib</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21 (11%)</w:t>
            </w:r>
          </w:p>
        </w:tc>
        <w:tc>
          <w:tcPr>
            <w:tcW w:w="1440" w:type="pct"/>
            <w:vMerge/>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3" w:right="-20"/>
              <w:rPr>
                <w:rFonts w:ascii="Times New Roman" w:eastAsia="Times New Roman" w:hAnsi="Times New Roman" w:cs="Times New Roman"/>
                <w:sz w:val="20"/>
                <w:szCs w:val="20"/>
                <w:lang w:val="hr-HR"/>
              </w:rPr>
            </w:pPr>
          </w:p>
        </w:tc>
      </w:tr>
      <w:tr w:rsidR="004D038C" w:rsidRPr="004D038C" w:rsidTr="00C020F1">
        <w:trPr>
          <w:trHeight w:val="397"/>
        </w:trPr>
        <w:tc>
          <w:tcPr>
            <w:tcW w:w="1401" w:type="pct"/>
            <w:vMerge w:val="restar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25. jun 2012.</w:t>
            </w: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DTIC</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21 (33%)</w:t>
            </w:r>
          </w:p>
        </w:tc>
        <w:tc>
          <w:tcPr>
            <w:tcW w:w="1440" w:type="pct"/>
            <w:vMerge w:val="restar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after="0" w:line="266" w:lineRule="exact"/>
              <w:ind w:left="102"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position w:val="-1"/>
                <w:sz w:val="20"/>
                <w:szCs w:val="20"/>
                <w:lang w:val="hr-HR"/>
              </w:rPr>
              <w:t>0.75</w:t>
            </w:r>
            <w:r w:rsidRPr="004D038C">
              <w:rPr>
                <w:rFonts w:ascii="Times New Roman" w:eastAsia="Times New Roman" w:hAnsi="Times New Roman" w:cs="Times New Roman"/>
                <w:spacing w:val="-3"/>
                <w:position w:val="-1"/>
                <w:sz w:val="20"/>
                <w:szCs w:val="20"/>
                <w:lang w:val="hr-HR"/>
              </w:rPr>
              <w:t xml:space="preserve"> </w:t>
            </w:r>
            <w:r w:rsidRPr="004D038C">
              <w:rPr>
                <w:rFonts w:ascii="Times New Roman" w:eastAsia="Times New Roman" w:hAnsi="Times New Roman" w:cs="Times New Roman"/>
                <w:spacing w:val="-1"/>
                <w:position w:val="-1"/>
                <w:sz w:val="20"/>
                <w:szCs w:val="20"/>
                <w:lang w:val="hr-HR"/>
              </w:rPr>
              <w:t>(</w:t>
            </w:r>
            <w:r w:rsidRPr="004D038C">
              <w:rPr>
                <w:rFonts w:ascii="Times New Roman" w:eastAsia="Times New Roman" w:hAnsi="Times New Roman" w:cs="Times New Roman"/>
                <w:position w:val="-1"/>
                <w:sz w:val="20"/>
                <w:szCs w:val="20"/>
                <w:lang w:val="hr-HR"/>
              </w:rPr>
              <w:t>0.44;</w:t>
            </w:r>
            <w:r w:rsidRPr="004D038C">
              <w:rPr>
                <w:rFonts w:ascii="Times New Roman" w:eastAsia="Times New Roman" w:hAnsi="Times New Roman" w:cs="Times New Roman"/>
                <w:spacing w:val="-5"/>
                <w:position w:val="-1"/>
                <w:sz w:val="20"/>
                <w:szCs w:val="20"/>
                <w:lang w:val="hr-HR"/>
              </w:rPr>
              <w:t xml:space="preserve"> </w:t>
            </w:r>
            <w:r w:rsidRPr="004D038C">
              <w:rPr>
                <w:rFonts w:ascii="Times New Roman" w:eastAsia="Times New Roman" w:hAnsi="Times New Roman" w:cs="Times New Roman"/>
                <w:position w:val="-1"/>
                <w:sz w:val="20"/>
                <w:szCs w:val="20"/>
                <w:lang w:val="hr-HR"/>
              </w:rPr>
              <w:t>1.29)</w:t>
            </w:r>
            <w:r w:rsidRPr="004D038C">
              <w:rPr>
                <w:rFonts w:ascii="Times New Roman" w:eastAsia="Times New Roman" w:hAnsi="Times New Roman" w:cs="Times New Roman"/>
                <w:spacing w:val="-4"/>
                <w:position w:val="-1"/>
                <w:sz w:val="20"/>
                <w:szCs w:val="20"/>
                <w:lang w:val="hr-HR"/>
              </w:rPr>
              <w:t xml:space="preserve"> </w:t>
            </w:r>
            <w:r w:rsidRPr="004D038C">
              <w:rPr>
                <w:rFonts w:ascii="Times New Roman" w:eastAsia="Times New Roman" w:hAnsi="Times New Roman" w:cs="Times New Roman"/>
                <w:spacing w:val="-1"/>
                <w:position w:val="9"/>
                <w:sz w:val="20"/>
                <w:szCs w:val="20"/>
                <w:lang w:val="hr-HR"/>
              </w:rPr>
              <w:t>(</w:t>
            </w:r>
            <w:r w:rsidRPr="004D038C">
              <w:rPr>
                <w:rFonts w:ascii="Times New Roman" w:eastAsia="Times New Roman" w:hAnsi="Times New Roman" w:cs="Times New Roman"/>
                <w:spacing w:val="1"/>
                <w:position w:val="9"/>
                <w:sz w:val="20"/>
                <w:szCs w:val="20"/>
                <w:lang w:val="hr-HR"/>
              </w:rPr>
              <w:t>a</w:t>
            </w:r>
            <w:r w:rsidRPr="004D038C">
              <w:rPr>
                <w:rFonts w:ascii="Times New Roman" w:eastAsia="Times New Roman" w:hAnsi="Times New Roman" w:cs="Times New Roman"/>
                <w:position w:val="9"/>
                <w:sz w:val="20"/>
                <w:szCs w:val="20"/>
                <w:lang w:val="hr-HR"/>
              </w:rPr>
              <w:t>)</w:t>
            </w:r>
          </w:p>
        </w:tc>
      </w:tr>
      <w:tr w:rsidR="004D038C" w:rsidRPr="004D038C" w:rsidTr="00C020F1">
        <w:trPr>
          <w:trHeight w:val="397"/>
        </w:trPr>
        <w:tc>
          <w:tcPr>
            <w:tcW w:w="1401" w:type="pct"/>
            <w:vMerge/>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dabrafenib</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249" w:right="-20"/>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55 (29%)</w:t>
            </w:r>
          </w:p>
        </w:tc>
        <w:tc>
          <w:tcPr>
            <w:tcW w:w="1440" w:type="pct"/>
            <w:vMerge/>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3" w:right="-20"/>
              <w:rPr>
                <w:rFonts w:ascii="Times New Roman" w:eastAsia="Times New Roman" w:hAnsi="Times New Roman" w:cs="Times New Roman"/>
                <w:sz w:val="20"/>
                <w:szCs w:val="20"/>
                <w:lang w:val="hr-HR"/>
              </w:rPr>
            </w:pPr>
          </w:p>
        </w:tc>
      </w:tr>
      <w:tr w:rsidR="004D038C" w:rsidRPr="004D038C" w:rsidTr="00C020F1">
        <w:trPr>
          <w:trHeight w:val="397"/>
        </w:trPr>
        <w:tc>
          <w:tcPr>
            <w:tcW w:w="1401" w:type="pct"/>
            <w:vMerge w:val="restar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18. decembar 2012.</w:t>
            </w: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DTIC</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before="13" w:after="0" w:line="240" w:lineRule="auto"/>
              <w:ind w:left="249" w:right="-20"/>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28 (44%)</w:t>
            </w:r>
          </w:p>
        </w:tc>
        <w:tc>
          <w:tcPr>
            <w:tcW w:w="1440" w:type="pct"/>
            <w:vMerge w:val="restar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keepNext/>
              <w:autoSpaceDE w:val="0"/>
              <w:autoSpaceDN w:val="0"/>
              <w:adjustRightInd w:val="0"/>
              <w:spacing w:after="0" w:line="266" w:lineRule="exact"/>
              <w:ind w:left="102"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position w:val="-1"/>
                <w:sz w:val="20"/>
                <w:szCs w:val="20"/>
                <w:lang w:val="hr-HR"/>
              </w:rPr>
              <w:t>0.76</w:t>
            </w:r>
            <w:r w:rsidRPr="004D038C">
              <w:rPr>
                <w:rFonts w:ascii="Times New Roman" w:eastAsia="Times New Roman" w:hAnsi="Times New Roman" w:cs="Times New Roman"/>
                <w:spacing w:val="-3"/>
                <w:position w:val="-1"/>
                <w:sz w:val="20"/>
                <w:szCs w:val="20"/>
                <w:lang w:val="hr-HR"/>
              </w:rPr>
              <w:t xml:space="preserve"> </w:t>
            </w:r>
            <w:r w:rsidRPr="004D038C">
              <w:rPr>
                <w:rFonts w:ascii="Times New Roman" w:eastAsia="Times New Roman" w:hAnsi="Times New Roman" w:cs="Times New Roman"/>
                <w:spacing w:val="-1"/>
                <w:position w:val="-1"/>
                <w:sz w:val="20"/>
                <w:szCs w:val="20"/>
                <w:lang w:val="hr-HR"/>
              </w:rPr>
              <w:t>(</w:t>
            </w:r>
            <w:r w:rsidRPr="004D038C">
              <w:rPr>
                <w:rFonts w:ascii="Times New Roman" w:eastAsia="Times New Roman" w:hAnsi="Times New Roman" w:cs="Times New Roman"/>
                <w:position w:val="-1"/>
                <w:sz w:val="20"/>
                <w:szCs w:val="20"/>
                <w:lang w:val="hr-HR"/>
              </w:rPr>
              <w:t>0.4</w:t>
            </w:r>
            <w:r w:rsidRPr="004D038C">
              <w:rPr>
                <w:rFonts w:ascii="Times New Roman" w:eastAsia="Times New Roman" w:hAnsi="Times New Roman" w:cs="Times New Roman"/>
                <w:spacing w:val="-1"/>
                <w:position w:val="-1"/>
                <w:sz w:val="20"/>
                <w:szCs w:val="20"/>
                <w:lang w:val="hr-HR"/>
              </w:rPr>
              <w:t>8</w:t>
            </w:r>
            <w:r w:rsidRPr="004D038C">
              <w:rPr>
                <w:rFonts w:ascii="Times New Roman" w:eastAsia="Times New Roman" w:hAnsi="Times New Roman" w:cs="Times New Roman"/>
                <w:position w:val="-1"/>
                <w:sz w:val="20"/>
                <w:szCs w:val="20"/>
                <w:lang w:val="hr-HR"/>
              </w:rPr>
              <w:t>;</w:t>
            </w:r>
            <w:r w:rsidRPr="004D038C">
              <w:rPr>
                <w:rFonts w:ascii="Times New Roman" w:eastAsia="Times New Roman" w:hAnsi="Times New Roman" w:cs="Times New Roman"/>
                <w:spacing w:val="-5"/>
                <w:position w:val="-1"/>
                <w:sz w:val="20"/>
                <w:szCs w:val="20"/>
                <w:lang w:val="hr-HR"/>
              </w:rPr>
              <w:t xml:space="preserve"> </w:t>
            </w:r>
            <w:r w:rsidRPr="004D038C">
              <w:rPr>
                <w:rFonts w:ascii="Times New Roman" w:eastAsia="Times New Roman" w:hAnsi="Times New Roman" w:cs="Times New Roman"/>
                <w:position w:val="-1"/>
                <w:sz w:val="20"/>
                <w:szCs w:val="20"/>
                <w:lang w:val="hr-HR"/>
              </w:rPr>
              <w:t>1.21)</w:t>
            </w:r>
            <w:r w:rsidRPr="004D038C">
              <w:rPr>
                <w:rFonts w:ascii="Times New Roman" w:eastAsia="Times New Roman" w:hAnsi="Times New Roman" w:cs="Times New Roman"/>
                <w:spacing w:val="-4"/>
                <w:position w:val="-1"/>
                <w:sz w:val="20"/>
                <w:szCs w:val="20"/>
                <w:lang w:val="hr-HR"/>
              </w:rPr>
              <w:t xml:space="preserve"> </w:t>
            </w:r>
            <w:r w:rsidRPr="004D038C">
              <w:rPr>
                <w:rFonts w:ascii="Times New Roman" w:eastAsia="Times New Roman" w:hAnsi="Times New Roman" w:cs="Times New Roman"/>
                <w:spacing w:val="-1"/>
                <w:position w:val="9"/>
                <w:sz w:val="20"/>
                <w:szCs w:val="20"/>
                <w:lang w:val="hr-HR"/>
              </w:rPr>
              <w:t>(</w:t>
            </w:r>
            <w:r w:rsidRPr="004D038C">
              <w:rPr>
                <w:rFonts w:ascii="Times New Roman" w:eastAsia="Times New Roman" w:hAnsi="Times New Roman" w:cs="Times New Roman"/>
                <w:spacing w:val="1"/>
                <w:position w:val="9"/>
                <w:sz w:val="20"/>
                <w:szCs w:val="20"/>
                <w:lang w:val="hr-HR"/>
              </w:rPr>
              <w:t>a</w:t>
            </w:r>
            <w:r w:rsidRPr="004D038C">
              <w:rPr>
                <w:rFonts w:ascii="Times New Roman" w:eastAsia="Times New Roman" w:hAnsi="Times New Roman" w:cs="Times New Roman"/>
                <w:position w:val="9"/>
                <w:sz w:val="20"/>
                <w:szCs w:val="20"/>
                <w:lang w:val="hr-HR"/>
              </w:rPr>
              <w:t>)</w:t>
            </w:r>
          </w:p>
        </w:tc>
      </w:tr>
      <w:tr w:rsidR="004D038C" w:rsidRPr="004D038C" w:rsidTr="00C020F1">
        <w:trPr>
          <w:trHeight w:hRule="exact" w:val="424"/>
        </w:trPr>
        <w:tc>
          <w:tcPr>
            <w:tcW w:w="1401" w:type="pct"/>
            <w:vMerge/>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widowControl w:val="0"/>
              <w:autoSpaceDE w:val="0"/>
              <w:autoSpaceDN w:val="0"/>
              <w:adjustRightInd w:val="0"/>
              <w:spacing w:before="13" w:after="0" w:line="240" w:lineRule="auto"/>
              <w:ind w:left="102" w:right="-20"/>
              <w:rPr>
                <w:rFonts w:ascii="Times New Roman" w:eastAsia="Times New Roman" w:hAnsi="Times New Roman" w:cs="Times New Roman"/>
                <w:sz w:val="20"/>
                <w:szCs w:val="20"/>
                <w:lang w:val="hr-HR"/>
              </w:rPr>
            </w:pPr>
          </w:p>
        </w:tc>
        <w:tc>
          <w:tcPr>
            <w:tcW w:w="96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widowControl w:val="0"/>
              <w:autoSpaceDE w:val="0"/>
              <w:autoSpaceDN w:val="0"/>
              <w:adjustRightInd w:val="0"/>
              <w:spacing w:before="13" w:after="0" w:line="240" w:lineRule="auto"/>
              <w:ind w:right="-20"/>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dabrafenib</w:t>
            </w:r>
          </w:p>
        </w:tc>
        <w:tc>
          <w:tcPr>
            <w:tcW w:w="1200" w:type="pct"/>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widowControl w:val="0"/>
              <w:autoSpaceDE w:val="0"/>
              <w:autoSpaceDN w:val="0"/>
              <w:adjustRightInd w:val="0"/>
              <w:spacing w:before="13" w:after="0" w:line="240" w:lineRule="auto"/>
              <w:ind w:left="249" w:right="-20"/>
              <w:jc w:val="center"/>
              <w:rPr>
                <w:rFonts w:ascii="Times New Roman" w:eastAsia="Times New Roman" w:hAnsi="Times New Roman" w:cs="Times New Roman"/>
                <w:sz w:val="20"/>
                <w:szCs w:val="20"/>
                <w:lang w:val="hr-HR"/>
              </w:rPr>
            </w:pPr>
            <w:r w:rsidRPr="004D038C">
              <w:rPr>
                <w:rFonts w:ascii="Times New Roman" w:eastAsia="Times New Roman" w:hAnsi="Times New Roman" w:cs="Times New Roman"/>
                <w:sz w:val="20"/>
                <w:szCs w:val="20"/>
                <w:lang w:val="hr-HR"/>
              </w:rPr>
              <w:t>78 (42%)</w:t>
            </w:r>
          </w:p>
        </w:tc>
        <w:tc>
          <w:tcPr>
            <w:tcW w:w="1440" w:type="pct"/>
            <w:vMerge/>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widowControl w:val="0"/>
              <w:autoSpaceDE w:val="0"/>
              <w:autoSpaceDN w:val="0"/>
              <w:adjustRightInd w:val="0"/>
              <w:spacing w:before="13" w:after="0" w:line="240" w:lineRule="auto"/>
              <w:ind w:left="103" w:right="-20"/>
              <w:rPr>
                <w:rFonts w:ascii="Arial Narrow" w:eastAsia="Times New Roman" w:hAnsi="Arial Narrow" w:cs="Times New Roman"/>
                <w:sz w:val="20"/>
                <w:szCs w:val="20"/>
                <w:lang w:val="hr-HR"/>
              </w:rPr>
            </w:pPr>
          </w:p>
        </w:tc>
      </w:tr>
      <w:tr w:rsidR="004D038C" w:rsidRPr="004D038C" w:rsidTr="00C020F1">
        <w:trPr>
          <w:trHeight w:hRule="exact" w:val="424"/>
        </w:trPr>
        <w:tc>
          <w:tcPr>
            <w:tcW w:w="5000" w:type="pct"/>
            <w:gridSpan w:val="4"/>
            <w:tcBorders>
              <w:top w:val="single" w:sz="4" w:space="0" w:color="000000"/>
              <w:left w:val="single" w:sz="4" w:space="0" w:color="000000"/>
              <w:bottom w:val="single" w:sz="4" w:space="0" w:color="000000"/>
              <w:right w:val="single" w:sz="4" w:space="0" w:color="000000"/>
            </w:tcBorders>
          </w:tcPr>
          <w:p w:rsidR="004D038C" w:rsidRPr="004D038C" w:rsidRDefault="004D038C" w:rsidP="00C020F1">
            <w:pPr>
              <w:widowControl w:val="0"/>
              <w:tabs>
                <w:tab w:val="left" w:pos="0"/>
              </w:tabs>
              <w:spacing w:after="0" w:line="240" w:lineRule="auto"/>
              <w:ind w:firstLine="142"/>
              <w:rPr>
                <w:rFonts w:ascii="Times New Roman" w:eastAsia="Times New Roman" w:hAnsi="Times New Roman" w:cs="Times New Roman"/>
                <w:lang w:val="hr-HR"/>
              </w:rPr>
            </w:pPr>
            <w:r w:rsidRPr="004D038C">
              <w:rPr>
                <w:rFonts w:ascii="Times New Roman" w:eastAsia="Times New Roman" w:hAnsi="Times New Roman" w:cs="Times New Roman"/>
                <w:lang w:val="hr-HR"/>
              </w:rPr>
              <w:t>(a) Pacijenti nijesu cenzurisani prilikom prelaska</w:t>
            </w:r>
          </w:p>
          <w:p w:rsidR="004D038C" w:rsidRPr="004D038C" w:rsidRDefault="004D038C" w:rsidP="00C020F1">
            <w:pPr>
              <w:widowControl w:val="0"/>
              <w:autoSpaceDE w:val="0"/>
              <w:autoSpaceDN w:val="0"/>
              <w:adjustRightInd w:val="0"/>
              <w:spacing w:before="13" w:after="0" w:line="240" w:lineRule="auto"/>
              <w:ind w:left="103" w:right="-20"/>
              <w:rPr>
                <w:rFonts w:ascii="Arial Narrow" w:eastAsia="Times New Roman" w:hAnsi="Arial Narrow" w:cs="Times New Roman"/>
                <w:sz w:val="20"/>
                <w:szCs w:val="20"/>
                <w:lang w:val="hr-HR"/>
              </w:rPr>
            </w:pPr>
          </w:p>
        </w:tc>
      </w:tr>
    </w:tbl>
    <w:p w:rsidR="004D038C" w:rsidRPr="004D038C" w:rsidRDefault="004D038C" w:rsidP="004D038C">
      <w:pPr>
        <w:tabs>
          <w:tab w:val="left" w:pos="284"/>
          <w:tab w:val="center" w:pos="4320"/>
          <w:tab w:val="right" w:pos="8640"/>
        </w:tabs>
        <w:spacing w:after="0" w:line="240" w:lineRule="auto"/>
        <w:rPr>
          <w:rFonts w:ascii="Times New Roman" w:eastAsia="Times New Roman" w:hAnsi="Times New Roman" w:cs="Times New Roman"/>
          <w:noProof/>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Podaci o ukupnom preživljavanju iz naknadne post-hoc analize zasnovane na podacima zaključno sa 18. decembrom 2012. godine, pokazali su da dvanaestomjesečno ukupno preživljavanje (OS) iznosi 63% za DTIC i 70% za dabrafenib.</w:t>
      </w:r>
    </w:p>
    <w:p w:rsidR="004D038C" w:rsidRPr="004D038C" w:rsidRDefault="004D038C" w:rsidP="004D038C">
      <w:pPr>
        <w:tabs>
          <w:tab w:val="left" w:pos="284"/>
          <w:tab w:val="center" w:pos="4320"/>
          <w:tab w:val="right" w:pos="8640"/>
        </w:tabs>
        <w:spacing w:after="0" w:line="240" w:lineRule="auto"/>
        <w:rPr>
          <w:rFonts w:ascii="Times New Roman" w:eastAsia="Times New Roman" w:hAnsi="Times New Roman" w:cs="Times New Roman"/>
          <w:i/>
          <w:lang w:val="hr-HR"/>
        </w:rPr>
      </w:pPr>
    </w:p>
    <w:p w:rsidR="004D038C" w:rsidRPr="004D038C" w:rsidRDefault="004D038C" w:rsidP="004D038C">
      <w:pPr>
        <w:tabs>
          <w:tab w:val="left" w:pos="284"/>
          <w:tab w:val="center" w:pos="4320"/>
          <w:tab w:val="right" w:pos="8640"/>
        </w:tabs>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lang w:val="hr-HR"/>
        </w:rPr>
        <w:t>Slika 3: Kaplan-Meier kriva ukupnog preživljavanja (BREAK-3) (18. decembar 2012.)</w:t>
      </w:r>
    </w:p>
    <w:p w:rsidR="004D038C" w:rsidRPr="004D038C" w:rsidRDefault="004D038C" w:rsidP="004D038C">
      <w:pPr>
        <w:keepNext/>
        <w:tabs>
          <w:tab w:val="left" w:pos="0"/>
        </w:tabs>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noProof/>
          <w:sz w:val="24"/>
          <w:szCs w:val="24"/>
        </w:rPr>
        <w:drawing>
          <wp:inline distT="0" distB="0" distL="0" distR="0" wp14:anchorId="1525FBB8" wp14:editId="6D368AF9">
            <wp:extent cx="5762625" cy="36766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676650"/>
                    </a:xfrm>
                    <a:prstGeom prst="rect">
                      <a:avLst/>
                    </a:prstGeom>
                    <a:noFill/>
                    <a:ln>
                      <a:noFill/>
                    </a:ln>
                  </pic:spPr>
                </pic:pic>
              </a:graphicData>
            </a:graphic>
          </wp:inline>
        </w:drawing>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iCs/>
          <w:lang w:val="hr-HR"/>
        </w:rPr>
      </w:pPr>
      <w:r w:rsidRPr="004D038C">
        <w:rPr>
          <w:rFonts w:ascii="Times New Roman" w:eastAsia="Times New Roman" w:hAnsi="Times New Roman" w:cs="Times New Roman"/>
          <w:i/>
          <w:iCs/>
          <w:lang w:val="hr-HR"/>
        </w:rPr>
        <w:t>Pacijenti sa moždanim metastazama (Rezultati iz ispitivanja faze II (BREAK-MB)</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iCs/>
          <w:lang w:val="hr-HR"/>
        </w:rPr>
      </w:pPr>
      <w:r w:rsidRPr="004D038C">
        <w:rPr>
          <w:rFonts w:ascii="Times New Roman" w:eastAsia="Times New Roman" w:hAnsi="Times New Roman" w:cs="Times New Roman"/>
          <w:i/>
          <w:iCs/>
          <w:lang w:val="hr-HR"/>
        </w:rPr>
        <w:t xml:space="preserve"> </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BREAK-MB je bilo multicentrično otvoreno ispitivanje faze II, u dvije kohorte dizajnirano radi procjene intrakranijalnog odgovora na dabrafenib kod ispitanika sa histološki potvrđenim melanomom sa moždanim </w:t>
      </w:r>
      <w:r w:rsidRPr="004D038C">
        <w:rPr>
          <w:rFonts w:ascii="Times New Roman" w:eastAsia="Times New Roman" w:hAnsi="Times New Roman" w:cs="Times New Roman"/>
          <w:lang w:val="hr-HR"/>
        </w:rPr>
        <w:lastRenderedPageBreak/>
        <w:t>metastazama (stadijum IV) i pozitivnom BRAF mutacijom (V600E ili V600K). Ispitanici su raspoređeni u Kohortu A (ispitanici koji ranije nijesu primali lokalnu</w:t>
      </w:r>
      <w:r w:rsidRPr="004D038C">
        <w:rPr>
          <w:rFonts w:ascii="Times New Roman" w:eastAsia="Times New Roman" w:hAnsi="Times New Roman" w:cs="Times New Roman"/>
          <w:sz w:val="24"/>
          <w:szCs w:val="24"/>
          <w:lang w:val="hr-HR"/>
        </w:rPr>
        <w:t xml:space="preserve"> </w:t>
      </w:r>
      <w:r w:rsidRPr="004D038C">
        <w:rPr>
          <w:rFonts w:ascii="Times New Roman" w:eastAsia="Times New Roman" w:hAnsi="Times New Roman" w:cs="Times New Roman"/>
          <w:lang w:val="hr-HR"/>
        </w:rPr>
        <w:t>terapiju za moždane metastaze) ili Kohortu B (ispitanici koji su ranije primili lokalnu terapiju za moždane metastaze).</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Primarni cilj ispitivanja bila je ukupna stopa intrakranijalnog odgovora (OIRR) u populaciji pacijenata sa V600E mutacijom, prema procjeni istraživača. Potvrđeni OIRR i ostali rezultati efikasnosti prema procjeni istraživača prikazani su u tabeli 10.</w:t>
      </w:r>
    </w:p>
    <w:p w:rsidR="004D038C" w:rsidRPr="004D038C" w:rsidRDefault="004D038C" w:rsidP="004D038C">
      <w:pPr>
        <w:keepNext/>
        <w:tabs>
          <w:tab w:val="left" w:pos="0"/>
        </w:tabs>
        <w:spacing w:after="0" w:line="240" w:lineRule="auto"/>
        <w:rPr>
          <w:rFonts w:ascii="Times New Roman" w:eastAsia="Times New Roman" w:hAnsi="Times New Roman" w:cs="Times New Roman"/>
          <w:i/>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i/>
          <w:lang w:val="hr-HR"/>
        </w:rPr>
      </w:pPr>
      <w:r w:rsidRPr="004D038C">
        <w:rPr>
          <w:rFonts w:ascii="Times New Roman" w:eastAsia="Times New Roman" w:hAnsi="Times New Roman" w:cs="Times New Roman"/>
          <w:i/>
          <w:lang w:val="hr-HR"/>
        </w:rPr>
        <w:t>Tabela 10: Podaci o efikasnosti kod pacijenata sa moždanim metastazama (ispitivanje BREAK-MB)</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83"/>
        <w:gridCol w:w="2062"/>
        <w:gridCol w:w="2004"/>
        <w:gridCol w:w="1841"/>
        <w:gridCol w:w="2127"/>
      </w:tblGrid>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b/>
                <w:lang w:val="hr-HR"/>
              </w:rPr>
            </w:pPr>
          </w:p>
        </w:tc>
        <w:tc>
          <w:tcPr>
            <w:tcW w:w="4177" w:type="pct"/>
            <w:gridSpan w:val="4"/>
            <w:tcBorders>
              <w:top w:val="single" w:sz="4" w:space="0" w:color="auto"/>
              <w:bottom w:val="single" w:sz="4" w:space="0" w:color="auto"/>
            </w:tcBorders>
            <w:shd w:val="clear" w:color="auto" w:fill="auto"/>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Populacija svih pacijenata koji su primali lijek</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b/>
                <w:lang w:val="hr-HR"/>
              </w:rPr>
            </w:pPr>
          </w:p>
        </w:tc>
        <w:tc>
          <w:tcPr>
            <w:tcW w:w="2114" w:type="pct"/>
            <w:gridSpan w:val="2"/>
            <w:tcBorders>
              <w:top w:val="single" w:sz="4" w:space="0" w:color="auto"/>
              <w:bottom w:val="single" w:sz="4" w:space="0" w:color="auto"/>
            </w:tcBorders>
            <w:shd w:val="clear" w:color="auto" w:fill="auto"/>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BRAF V600E (Primarni)</w:t>
            </w:r>
          </w:p>
        </w:tc>
        <w:tc>
          <w:tcPr>
            <w:tcW w:w="2063" w:type="pct"/>
            <w:gridSpan w:val="2"/>
            <w:tcBorders>
              <w:top w:val="single" w:sz="4" w:space="0" w:color="auto"/>
              <w:bottom w:val="single" w:sz="4" w:space="0" w:color="auto"/>
            </w:tcBorders>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BRAF V600K</w:t>
            </w:r>
          </w:p>
        </w:tc>
      </w:tr>
      <w:tr w:rsidR="004D038C" w:rsidRPr="004D038C" w:rsidTr="00C020F1">
        <w:trPr>
          <w:trHeight w:val="172"/>
        </w:trPr>
        <w:tc>
          <w:tcPr>
            <w:tcW w:w="823" w:type="pct"/>
            <w:tcBorders>
              <w:top w:val="single" w:sz="4" w:space="0" w:color="auto"/>
              <w:bottom w:val="single" w:sz="4" w:space="0" w:color="auto"/>
            </w:tcBorders>
            <w:shd w:val="clear" w:color="auto" w:fill="auto"/>
            <w:hideMark/>
          </w:tcPr>
          <w:p w:rsidR="004D038C" w:rsidRPr="004D038C" w:rsidRDefault="004D038C" w:rsidP="004D038C">
            <w:pPr>
              <w:keepNext/>
              <w:tabs>
                <w:tab w:val="left" w:pos="8789"/>
              </w:tabs>
              <w:spacing w:after="0" w:line="240" w:lineRule="auto"/>
              <w:rPr>
                <w:rFonts w:ascii="Times New Roman" w:eastAsia="Times New Roman" w:hAnsi="Times New Roman" w:cs="Times New Roman"/>
                <w:b/>
                <w:lang w:val="hr-HR"/>
              </w:rPr>
            </w:pPr>
          </w:p>
        </w:tc>
        <w:tc>
          <w:tcPr>
            <w:tcW w:w="1072" w:type="pct"/>
            <w:tcBorders>
              <w:top w:val="single" w:sz="4" w:space="0" w:color="auto"/>
              <w:bottom w:val="single" w:sz="4" w:space="0" w:color="auto"/>
            </w:tcBorders>
            <w:shd w:val="clear" w:color="auto" w:fill="auto"/>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Kohorta A</w:t>
            </w:r>
          </w:p>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N=74</w:t>
            </w:r>
          </w:p>
        </w:tc>
        <w:tc>
          <w:tcPr>
            <w:tcW w:w="1042" w:type="pct"/>
            <w:tcBorders>
              <w:top w:val="single" w:sz="4" w:space="0" w:color="auto"/>
              <w:bottom w:val="single" w:sz="4" w:space="0" w:color="auto"/>
            </w:tcBorders>
            <w:shd w:val="clear" w:color="auto" w:fill="auto"/>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Kohorta B</w:t>
            </w:r>
          </w:p>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N=65</w:t>
            </w:r>
          </w:p>
        </w:tc>
        <w:tc>
          <w:tcPr>
            <w:tcW w:w="957" w:type="pct"/>
            <w:tcBorders>
              <w:top w:val="single" w:sz="4" w:space="0" w:color="auto"/>
              <w:bottom w:val="single" w:sz="4" w:space="0" w:color="auto"/>
            </w:tcBorders>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Kohorta A</w:t>
            </w:r>
          </w:p>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N=15</w:t>
            </w:r>
          </w:p>
        </w:tc>
        <w:tc>
          <w:tcPr>
            <w:tcW w:w="1106" w:type="pct"/>
            <w:tcBorders>
              <w:top w:val="single" w:sz="4" w:space="0" w:color="auto"/>
              <w:bottom w:val="single" w:sz="4" w:space="0" w:color="auto"/>
            </w:tcBorders>
            <w:vAlign w:val="center"/>
          </w:tcPr>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Times New Roman" w:hAnsi="Times New Roman" w:cs="Times New Roman"/>
                <w:b/>
                <w:lang w:val="hr-HR"/>
              </w:rPr>
              <w:t>Kohorta B</w:t>
            </w:r>
          </w:p>
          <w:p w:rsidR="004D038C" w:rsidRPr="004D038C" w:rsidRDefault="004D038C" w:rsidP="004D038C">
            <w:pPr>
              <w:keepNext/>
              <w:tabs>
                <w:tab w:val="left" w:pos="8789"/>
              </w:tabs>
              <w:spacing w:after="0" w:line="240" w:lineRule="auto"/>
              <w:jc w:val="center"/>
              <w:rPr>
                <w:rFonts w:ascii="Times New Roman" w:eastAsia="MS Mincho" w:hAnsi="Times New Roman" w:cs="Times New Roman"/>
                <w:b/>
                <w:lang w:val="hr-HR"/>
              </w:rPr>
            </w:pPr>
            <w:r w:rsidRPr="004D038C">
              <w:rPr>
                <w:rFonts w:ascii="Times New Roman" w:eastAsia="MS Mincho" w:hAnsi="Times New Roman" w:cs="Times New Roman"/>
                <w:b/>
                <w:lang w:val="hr-HR"/>
              </w:rPr>
              <w:t>N=18</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b/>
                <w:lang w:val="hr-HR"/>
              </w:rPr>
              <w:t>Stopa ukupnog intrakranijalnog odgovora; % (95% CI)</w:t>
            </w:r>
            <w:r w:rsidRPr="004D038C">
              <w:rPr>
                <w:rFonts w:ascii="Times New Roman" w:eastAsia="Times New Roman" w:hAnsi="Times New Roman" w:cs="Times New Roman"/>
                <w:b/>
                <w:vertAlign w:val="superscript"/>
                <w:lang w:val="hr-HR"/>
              </w:rPr>
              <w:t>a</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MS Mincho" w:hAnsi="Times New Roman" w:cs="Times New Roman"/>
                <w:lang w:val="hr-HR"/>
              </w:rPr>
            </w:pPr>
          </w:p>
        </w:tc>
        <w:tc>
          <w:tcPr>
            <w:tcW w:w="107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39% (28.0; 51.2)</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P &lt; 0.001</w:t>
            </w:r>
            <w:r w:rsidRPr="004D038C">
              <w:rPr>
                <w:rFonts w:ascii="Times New Roman" w:eastAsia="Times New Roman" w:hAnsi="Times New Roman" w:cs="Times New Roman"/>
                <w:vertAlign w:val="superscript"/>
                <w:lang w:val="hr-HR"/>
              </w:rPr>
              <w:t>b</w:t>
            </w:r>
          </w:p>
        </w:tc>
        <w:tc>
          <w:tcPr>
            <w:tcW w:w="104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31% (19.9; 43.4)</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P &lt; 0.001</w:t>
            </w:r>
            <w:r w:rsidRPr="004D038C">
              <w:rPr>
                <w:rFonts w:ascii="Times New Roman" w:eastAsia="Times New Roman" w:hAnsi="Times New Roman" w:cs="Times New Roman"/>
                <w:vertAlign w:val="superscript"/>
                <w:lang w:val="hr-HR"/>
              </w:rPr>
              <w:t>b</w:t>
            </w:r>
          </w:p>
        </w:tc>
        <w:tc>
          <w:tcPr>
            <w:tcW w:w="957"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7% (0.2; 31.9)</w:t>
            </w:r>
          </w:p>
        </w:tc>
        <w:tc>
          <w:tcPr>
            <w:tcW w:w="1106"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22% (6.4; 47.6)</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b/>
                <w:lang w:val="hr-HR"/>
              </w:rPr>
              <w:t>Trajanje intrakranijalnog odgovora. medijana, mjeseci (95% CI)</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MS Mincho" w:hAnsi="Times New Roman" w:cs="Times New Roman"/>
                <w:lang w:val="hr-HR"/>
              </w:rPr>
            </w:pPr>
          </w:p>
        </w:tc>
        <w:tc>
          <w:tcPr>
            <w:tcW w:w="107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N=29</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4.6 (2.8; ND)</w:t>
            </w:r>
          </w:p>
        </w:tc>
        <w:tc>
          <w:tcPr>
            <w:tcW w:w="104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N=20</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6.5 (4.6; 6.5)</w:t>
            </w:r>
          </w:p>
        </w:tc>
        <w:tc>
          <w:tcPr>
            <w:tcW w:w="957"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N=1</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2.9 (ND; ND)</w:t>
            </w:r>
          </w:p>
        </w:tc>
        <w:tc>
          <w:tcPr>
            <w:tcW w:w="1106"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N=4</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3.8 (ND; ND)</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b/>
                <w:lang w:val="hr-HR"/>
              </w:rPr>
              <w:t>Ukupni odgovor, % (95% CI)</w:t>
            </w:r>
            <w:r w:rsidRPr="004D038C">
              <w:rPr>
                <w:rFonts w:ascii="Times New Roman" w:eastAsia="Times New Roman" w:hAnsi="Times New Roman" w:cs="Times New Roman"/>
                <w:b/>
                <w:vertAlign w:val="superscript"/>
                <w:lang w:val="hr-HR"/>
              </w:rPr>
              <w:t>a</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MS Mincho" w:hAnsi="Times New Roman" w:cs="Times New Roman"/>
                <w:lang w:val="hr-HR"/>
              </w:rPr>
            </w:pPr>
          </w:p>
        </w:tc>
        <w:tc>
          <w:tcPr>
            <w:tcW w:w="107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38% (26.8; 49.9)</w:t>
            </w:r>
          </w:p>
        </w:tc>
        <w:tc>
          <w:tcPr>
            <w:tcW w:w="104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31% (19.9; 43.4)</w:t>
            </w:r>
          </w:p>
        </w:tc>
        <w:tc>
          <w:tcPr>
            <w:tcW w:w="957"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0 (0; 21.8)</w:t>
            </w:r>
          </w:p>
        </w:tc>
        <w:tc>
          <w:tcPr>
            <w:tcW w:w="1106"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28% (9.7; 53.5)</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b/>
                <w:lang w:val="hr-HR"/>
              </w:rPr>
              <w:t>Trajanje odgovora, medijana, mjeseci (95% CI)</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ind w:left="180"/>
              <w:rPr>
                <w:rFonts w:ascii="Times New Roman" w:eastAsia="MS Mincho" w:hAnsi="Times New Roman" w:cs="Times New Roman"/>
                <w:lang w:val="hr-HR"/>
              </w:rPr>
            </w:pPr>
          </w:p>
        </w:tc>
        <w:tc>
          <w:tcPr>
            <w:tcW w:w="107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N=28</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5.1 (3.7; ND)</w:t>
            </w:r>
          </w:p>
        </w:tc>
        <w:tc>
          <w:tcPr>
            <w:tcW w:w="104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N=20</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4.6 (4.6; 6.5)</w:t>
            </w:r>
          </w:p>
        </w:tc>
        <w:tc>
          <w:tcPr>
            <w:tcW w:w="957"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NP</w:t>
            </w:r>
          </w:p>
        </w:tc>
        <w:tc>
          <w:tcPr>
            <w:tcW w:w="1106"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N=5</w:t>
            </w:r>
          </w:p>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3.1 (2.8; ND)</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b/>
                <w:lang w:val="hr-HR"/>
              </w:rPr>
            </w:pPr>
            <w:r w:rsidRPr="004D038C">
              <w:rPr>
                <w:rFonts w:ascii="Times New Roman" w:eastAsia="Times New Roman" w:hAnsi="Times New Roman" w:cs="Times New Roman"/>
                <w:b/>
                <w:lang w:val="hr-HR"/>
              </w:rPr>
              <w:t>Preživljavanje bez progresije bolesti, medijana, mjeseci (95% CI)</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MS Mincho" w:hAnsi="Times New Roman" w:cs="Times New Roman"/>
                <w:lang w:val="hr-HR"/>
              </w:rPr>
            </w:pPr>
          </w:p>
        </w:tc>
        <w:tc>
          <w:tcPr>
            <w:tcW w:w="107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3.7 (3.6; 5.0)</w:t>
            </w:r>
          </w:p>
        </w:tc>
        <w:tc>
          <w:tcPr>
            <w:tcW w:w="104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3.8 (3.6; 5.5)</w:t>
            </w:r>
          </w:p>
        </w:tc>
        <w:tc>
          <w:tcPr>
            <w:tcW w:w="957"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1.9 (0.7; 3.7)</w:t>
            </w:r>
          </w:p>
        </w:tc>
        <w:tc>
          <w:tcPr>
            <w:tcW w:w="1106"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3.6 (1.8; 5.2)</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b/>
                <w:lang w:val="hr-HR"/>
              </w:rPr>
              <w:t>Ukupno preživljavanje, medijana, mjeseci (95% CI)</w:t>
            </w:r>
          </w:p>
        </w:tc>
      </w:tr>
      <w:tr w:rsidR="004D038C" w:rsidRPr="004D038C" w:rsidTr="00C020F1">
        <w:trPr>
          <w:trHeight w:val="172"/>
        </w:trPr>
        <w:tc>
          <w:tcPr>
            <w:tcW w:w="823"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ind w:left="180"/>
              <w:rPr>
                <w:rFonts w:ascii="Times New Roman" w:eastAsia="MS Mincho" w:hAnsi="Times New Roman" w:cs="Times New Roman"/>
                <w:lang w:val="hr-HR"/>
              </w:rPr>
            </w:pPr>
            <w:r w:rsidRPr="004D038C">
              <w:rPr>
                <w:rFonts w:ascii="Times New Roman" w:eastAsia="Times New Roman" w:hAnsi="Times New Roman" w:cs="Times New Roman"/>
                <w:lang w:val="hr-HR"/>
              </w:rPr>
              <w:t>Medijana, mjeseci</w:t>
            </w:r>
          </w:p>
        </w:tc>
        <w:tc>
          <w:tcPr>
            <w:tcW w:w="107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7.6 (5.9; ND)</w:t>
            </w:r>
          </w:p>
        </w:tc>
        <w:tc>
          <w:tcPr>
            <w:tcW w:w="1042" w:type="pct"/>
            <w:tcBorders>
              <w:top w:val="single" w:sz="4" w:space="0" w:color="auto"/>
              <w:bottom w:val="single" w:sz="4" w:space="0" w:color="auto"/>
            </w:tcBorders>
            <w:shd w:val="clear" w:color="auto" w:fill="auto"/>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7.2 (5.9; ND)</w:t>
            </w:r>
          </w:p>
        </w:tc>
        <w:tc>
          <w:tcPr>
            <w:tcW w:w="957"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3.7 (1.6; 5.2)</w:t>
            </w:r>
          </w:p>
        </w:tc>
        <w:tc>
          <w:tcPr>
            <w:tcW w:w="1106" w:type="pct"/>
            <w:tcBorders>
              <w:top w:val="single" w:sz="4" w:space="0" w:color="auto"/>
              <w:bottom w:val="single" w:sz="4" w:space="0" w:color="auto"/>
            </w:tcBorders>
          </w:tcPr>
          <w:p w:rsidR="004D038C" w:rsidRPr="004D038C" w:rsidRDefault="004D038C" w:rsidP="004D038C">
            <w:pPr>
              <w:keepNext/>
              <w:tabs>
                <w:tab w:val="left" w:pos="8789"/>
              </w:tabs>
              <w:spacing w:after="0" w:line="240" w:lineRule="auto"/>
              <w:jc w:val="center"/>
              <w:rPr>
                <w:rFonts w:ascii="Times New Roman" w:eastAsia="Times New Roman" w:hAnsi="Times New Roman" w:cs="Times New Roman"/>
                <w:lang w:val="hr-HR"/>
              </w:rPr>
            </w:pPr>
            <w:r w:rsidRPr="004D038C">
              <w:rPr>
                <w:rFonts w:ascii="Times New Roman" w:eastAsia="Times New Roman" w:hAnsi="Times New Roman" w:cs="Times New Roman"/>
                <w:lang w:val="hr-HR"/>
              </w:rPr>
              <w:t>5.0 (3.5; ND)</w:t>
            </w:r>
          </w:p>
        </w:tc>
      </w:tr>
      <w:tr w:rsidR="004D038C" w:rsidRPr="004D038C" w:rsidTr="00C020F1">
        <w:trPr>
          <w:trHeight w:val="172"/>
        </w:trPr>
        <w:tc>
          <w:tcPr>
            <w:tcW w:w="5000" w:type="pct"/>
            <w:gridSpan w:val="5"/>
            <w:tcBorders>
              <w:top w:val="single" w:sz="4" w:space="0" w:color="auto"/>
              <w:bottom w:val="single" w:sz="4" w:space="0" w:color="auto"/>
            </w:tcBorders>
            <w:shd w:val="clear" w:color="auto" w:fill="auto"/>
          </w:tcPr>
          <w:p w:rsidR="004D038C" w:rsidRPr="004D038C" w:rsidRDefault="004D038C" w:rsidP="004D038C">
            <w:pPr>
              <w:widowControl w:val="0"/>
              <w:spacing w:after="0" w:line="240" w:lineRule="auto"/>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lang w:val="hr-HR"/>
              </w:rPr>
              <w:t xml:space="preserve">Skraćenice: CI: interval poverenja; ND: nije dostignuto; NP: nije primjenljivo </w:t>
            </w:r>
          </w:p>
          <w:p w:rsidR="004D038C" w:rsidRPr="004D038C" w:rsidRDefault="004D038C" w:rsidP="004D038C">
            <w:pPr>
              <w:widowControl w:val="0"/>
              <w:spacing w:after="0" w:line="240" w:lineRule="auto"/>
              <w:rPr>
                <w:rFonts w:ascii="Times New Roman" w:eastAsia="Times New Roman" w:hAnsi="Times New Roman" w:cs="Times New Roman"/>
                <w:sz w:val="18"/>
                <w:szCs w:val="18"/>
                <w:lang w:val="hr-HR"/>
              </w:rPr>
            </w:pPr>
            <w:r w:rsidRPr="004D038C">
              <w:rPr>
                <w:rFonts w:ascii="Times New Roman" w:eastAsia="Times New Roman" w:hAnsi="Times New Roman" w:cs="Times New Roman"/>
                <w:sz w:val="18"/>
                <w:szCs w:val="18"/>
                <w:lang w:val="hr-HR"/>
              </w:rPr>
              <w:t>a - Potvrđen odgovor</w:t>
            </w:r>
          </w:p>
          <w:p w:rsidR="004D038C" w:rsidRPr="004D038C" w:rsidRDefault="004D038C" w:rsidP="004D038C">
            <w:pPr>
              <w:widowControl w:val="0"/>
              <w:spacing w:after="0" w:line="240" w:lineRule="auto"/>
              <w:rPr>
                <w:rFonts w:ascii="Times New Roman" w:eastAsia="MS Mincho" w:hAnsi="Times New Roman" w:cs="Times New Roman"/>
                <w:sz w:val="18"/>
                <w:szCs w:val="18"/>
                <w:lang w:val="hr-HR"/>
              </w:rPr>
            </w:pPr>
            <w:r w:rsidRPr="004D038C">
              <w:rPr>
                <w:rFonts w:ascii="Times New Roman" w:eastAsia="Times New Roman" w:hAnsi="Times New Roman" w:cs="Times New Roman"/>
                <w:sz w:val="18"/>
                <w:szCs w:val="18"/>
                <w:lang w:val="hr-HR"/>
              </w:rPr>
              <w:t>b – Ovo ispitivanje je dizajnirano radi potvrde ili odbacivanje nulte hipoteze OIRR ≤10% (zasnovano na ranijim podacima) u prilog alternativne hipoteze OIRR ≥30% kod pacijenata sa BRAF V600E mutacijom.</w:t>
            </w:r>
          </w:p>
        </w:tc>
      </w:tr>
    </w:tbl>
    <w:p w:rsidR="004D038C" w:rsidRPr="004D038C" w:rsidRDefault="004D038C" w:rsidP="004D038C">
      <w:pPr>
        <w:keepNext/>
        <w:tabs>
          <w:tab w:val="left" w:pos="0"/>
        </w:tabs>
        <w:spacing w:after="0" w:line="240" w:lineRule="auto"/>
        <w:rPr>
          <w:rFonts w:ascii="Times New Roman" w:eastAsia="Times New Roman" w:hAnsi="Times New Roman" w:cs="Times New Roman"/>
          <w:i/>
          <w:lang w:val="hr-HR"/>
        </w:rPr>
      </w:pP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iCs/>
          <w:lang w:val="hr-HR"/>
        </w:rPr>
      </w:pPr>
      <w:r w:rsidRPr="004D038C">
        <w:rPr>
          <w:rFonts w:ascii="Times New Roman" w:eastAsia="Times New Roman" w:hAnsi="Times New Roman" w:cs="Times New Roman"/>
          <w:i/>
          <w:iCs/>
          <w:lang w:val="hr-HR"/>
        </w:rPr>
        <w:t>Pacijenti koji ranije nijesu liječeni ili poslije neuspeha barem jedne ranije sistemske terapije (Rezultati Faze II [BREAK-2])</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i/>
          <w:iCs/>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BRF113710 (BREAK-2) je bilo multicentrično ispitivanje sa jednom granom u koju je bilo uključeno 92 ispitanika sa metastatskim melanomom (stadijum IV) sa potvrđenom BRAF V600E ili V600K mutacijom melanoma.</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C020F1">
      <w:pPr>
        <w:widowControl w:val="0"/>
        <w:tabs>
          <w:tab w:val="left" w:pos="0"/>
        </w:tabs>
        <w:spacing w:after="0" w:line="240" w:lineRule="auto"/>
        <w:jc w:val="both"/>
        <w:rPr>
          <w:rFonts w:ascii="Times New Roman" w:eastAsia="Times New Roman" w:hAnsi="Times New Roman" w:cs="Times New Roman"/>
          <w:color w:val="000000"/>
          <w:u w:val="single"/>
          <w:lang w:val="hr-HR" w:eastAsia="en-GB"/>
        </w:rPr>
      </w:pPr>
      <w:r w:rsidRPr="004D038C">
        <w:rPr>
          <w:rFonts w:ascii="Times New Roman" w:eastAsia="Times New Roman" w:hAnsi="Times New Roman" w:cs="Times New Roman"/>
          <w:lang w:val="hr-HR"/>
        </w:rPr>
        <w:t>Potvrđena stopa odgovora prema procjeni istraživača kod pacijenata sa BRAF V600E metastatskim melanomom (N=76) iznosila je 59% (95% CI: 48.2; 70.3), a medijana trajanja odgovora (TO) 5.2 mjeseca (95% CI: 3.9; nije bilo moguće izračunati) na osnovu medijana vrijemena praćenja od 6.5 mjeseci. Kod pacijenata sa BRAF V600K pozitivnim metastatskim melanomom (N=16) stopa odgovora je bila 13% (95% CI: 0.0; 28.7), sa medijanom trajanja odgovora (TO) od 5.3 mjeseci (95% CI: 3.7; 6.8). Iako ograničeno malim brojem pacijenata, medijana ukupnog preživljavanja je bila u skladu sa podacima o pacijentima sa BRAF V600E pozitivnim karcinomom.</w:t>
      </w:r>
    </w:p>
    <w:p w:rsidR="004D038C" w:rsidRPr="004D038C" w:rsidRDefault="004D038C" w:rsidP="004D038C">
      <w:pPr>
        <w:keepNext/>
        <w:spacing w:after="140" w:line="280" w:lineRule="atLeast"/>
        <w:jc w:val="both"/>
        <w:rPr>
          <w:rFonts w:ascii="Times New Roman" w:eastAsia="Times New Roman" w:hAnsi="Times New Roman" w:cs="Times New Roman"/>
          <w:color w:val="000000"/>
          <w:u w:val="single"/>
          <w:lang w:val="hr-HR" w:eastAsia="en-GB"/>
        </w:rPr>
      </w:pPr>
      <w:r w:rsidRPr="004D038C">
        <w:rPr>
          <w:rFonts w:ascii="Times New Roman" w:eastAsia="Times New Roman" w:hAnsi="Times New Roman" w:cs="Times New Roman"/>
          <w:color w:val="000000"/>
          <w:u w:val="single"/>
          <w:lang w:val="hr-HR" w:eastAsia="en-GB"/>
        </w:rPr>
        <w:lastRenderedPageBreak/>
        <w:t>Nemikrocelularni karcinom pluća</w:t>
      </w:r>
    </w:p>
    <w:p w:rsidR="001F0C96" w:rsidRDefault="004D038C" w:rsidP="001F0C96">
      <w:pPr>
        <w:keepNext/>
        <w:spacing w:after="0" w:line="280" w:lineRule="atLeast"/>
        <w:jc w:val="both"/>
        <w:rPr>
          <w:rFonts w:ascii="Times New Roman" w:eastAsia="Times New Roman" w:hAnsi="Times New Roman" w:cs="Times New Roman"/>
          <w:color w:val="000000"/>
          <w:u w:val="single"/>
          <w:lang w:val="hr-HR" w:eastAsia="en-GB"/>
        </w:rPr>
      </w:pPr>
      <w:r w:rsidRPr="004D038C">
        <w:rPr>
          <w:rFonts w:ascii="Times New Roman" w:eastAsia="Times New Roman" w:hAnsi="Times New Roman" w:cs="Times New Roman"/>
          <w:color w:val="000000"/>
          <w:u w:val="single"/>
          <w:lang w:val="hr-HR" w:eastAsia="en-GB"/>
        </w:rPr>
        <w:t>Studija BRF113928</w:t>
      </w:r>
    </w:p>
    <w:p w:rsidR="001F0C96" w:rsidRPr="001F0C96" w:rsidRDefault="001F0C96" w:rsidP="001F0C96">
      <w:pPr>
        <w:keepNext/>
        <w:spacing w:after="0" w:line="280" w:lineRule="atLeast"/>
        <w:jc w:val="both"/>
        <w:rPr>
          <w:rFonts w:ascii="Times New Roman" w:eastAsia="Times New Roman" w:hAnsi="Times New Roman" w:cs="Times New Roman"/>
          <w:color w:val="000000"/>
          <w:u w:val="single"/>
          <w:lang w:val="hr-HR" w:eastAsia="en-GB"/>
        </w:rPr>
      </w:pPr>
    </w:p>
    <w:p w:rsidR="004D038C" w:rsidRPr="004D038C" w:rsidRDefault="004D038C" w:rsidP="004D038C">
      <w:pPr>
        <w:keepNext/>
        <w:spacing w:after="14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Efikasnost i bezbjednost dabrafeniba u kombinacijji sa trametinibom su ispitani u studiji faze II, u tro-kohortnoj, multicentričnoj, nerandomizovanoj i otvorenoj studiji u koju su bili uključeni pacijenti sa stadijumom IV nemikrocelularnog karcinoma pluća sa BRAF V600 mutacijom. Primarni parametar praćenja bio je ORR (stopa ukupnog odgovora) određen pomoću ‘</w:t>
      </w:r>
      <w:r w:rsidRPr="004D038C">
        <w:rPr>
          <w:rFonts w:ascii="Times New Roman" w:eastAsia="Times New Roman" w:hAnsi="Times New Roman" w:cs="Times New Roman"/>
          <w:i/>
          <w:color w:val="000000"/>
          <w:lang w:val="hr-HR" w:eastAsia="en-GB"/>
        </w:rPr>
        <w:t>Response Evaluation Criteria In Solid Tumors</w:t>
      </w:r>
      <w:r w:rsidRPr="004D038C">
        <w:rPr>
          <w:rFonts w:ascii="Times New Roman" w:eastAsia="Times New Roman" w:hAnsi="Times New Roman" w:cs="Times New Roman"/>
          <w:color w:val="000000"/>
          <w:lang w:val="hr-HR" w:eastAsia="en-GB"/>
        </w:rPr>
        <w:t>' (RECIST 1.1) prema procjeni ispitivača. Sekundarni parametri praćenja su uključivali trajanje odgovora (TO), PFS, ukupno preživljavanje (OS), bezbjednost i populacionu farmakokinetiku. Stopa ukupnog odgovora (ORR), trajanje odgovora (TO) i PFS su takođe procijenjeni pomoću analize osjetljivosti od strane Nezavisnog Komiteta za procjenu (</w:t>
      </w:r>
      <w:r w:rsidRPr="004D038C">
        <w:rPr>
          <w:rFonts w:ascii="Times New Roman" w:eastAsia="Times New Roman" w:hAnsi="Times New Roman" w:cs="Times New Roman"/>
          <w:i/>
          <w:color w:val="000000"/>
          <w:lang w:val="hr-HR" w:eastAsia="en-GB"/>
        </w:rPr>
        <w:t xml:space="preserve">Independent Review Committee </w:t>
      </w:r>
      <w:r w:rsidRPr="004D038C">
        <w:rPr>
          <w:rFonts w:ascii="Times New Roman" w:eastAsia="Times New Roman" w:hAnsi="Times New Roman" w:cs="Times New Roman"/>
          <w:color w:val="000000"/>
          <w:lang w:val="hr-HR" w:eastAsia="en-GB"/>
        </w:rPr>
        <w:t>(IRC)).</w:t>
      </w:r>
    </w:p>
    <w:p w:rsidR="004D038C" w:rsidRPr="004D038C" w:rsidRDefault="004D038C" w:rsidP="004D038C">
      <w:pPr>
        <w:keepNext/>
        <w:spacing w:after="14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Kohorte su uključivane redom:</w:t>
      </w:r>
    </w:p>
    <w:p w:rsidR="004D038C" w:rsidRPr="004D038C" w:rsidRDefault="004D038C" w:rsidP="004D038C">
      <w:pPr>
        <w:keepNext/>
        <w:spacing w:after="14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w:t>
      </w:r>
      <w:r w:rsidRPr="004D038C">
        <w:rPr>
          <w:rFonts w:ascii="Times New Roman" w:eastAsia="Times New Roman" w:hAnsi="Times New Roman" w:cs="Times New Roman"/>
          <w:color w:val="000000"/>
          <w:lang w:val="hr-HR" w:eastAsia="en-GB"/>
        </w:rPr>
        <w:tab/>
        <w:t>Kohorta A: monoterapija (dabrafenib 150 mg, dva puta na dan), uključeno 84 pacijenta. 78 pacijenata je prethodno imalo sistemsku terapiju za njihovu metastatsku bolest.</w:t>
      </w:r>
    </w:p>
    <w:p w:rsidR="004D038C" w:rsidRPr="004D038C" w:rsidRDefault="004D038C" w:rsidP="004D038C">
      <w:pPr>
        <w:keepNext/>
        <w:spacing w:after="14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w:t>
      </w:r>
      <w:r w:rsidRPr="004D038C">
        <w:rPr>
          <w:rFonts w:ascii="Times New Roman" w:eastAsia="Times New Roman" w:hAnsi="Times New Roman" w:cs="Times New Roman"/>
          <w:color w:val="000000"/>
          <w:lang w:val="hr-HR" w:eastAsia="en-GB"/>
        </w:rPr>
        <w:tab/>
        <w:t>Kohorta B: kombinovana terapija (dabrafenib 150 mg, dva puta na dan i trametinib 2 mg, jednom dnevno), uključeno 59 pacijenata. 57 pacijenata je prethodno imalo 1-3 linije sistemske terapije za njihovu metastatsku bolest. 2 pacijenta nijesu imala prethodnu sistemsku terapiju i oni su uključeni u analizu pacijenata koji su uključeni u Kohortu C.</w:t>
      </w: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w:t>
      </w:r>
      <w:r w:rsidRPr="004D038C">
        <w:rPr>
          <w:rFonts w:ascii="Times New Roman" w:eastAsia="Times New Roman" w:hAnsi="Times New Roman" w:cs="Times New Roman"/>
          <w:color w:val="000000"/>
          <w:lang w:val="hr-HR" w:eastAsia="en-GB"/>
        </w:rPr>
        <w:tab/>
        <w:t>Kohorta C: kombinovana terapija (dabrafenib 150 mg, dva puta dnevno i trametinib 2 mg, jednom dnevno), 34 pacijenta. Svi pacijenti su primili ispitivani lijek kao terapiju prve linije za metastatsku bolest.</w:t>
      </w: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1F0C96">
      <w:pPr>
        <w:keepNext/>
        <w:spacing w:after="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Od ukupno 93 pacijenta koja su bila uključena u kombinovano liječenje, kohorte B i C, najviše je bilo pripadnika bijele rase (&gt;90%), sa sličnim odnosom žena i muškaraca (54% u odnosu na 46%), sa medijanom starosti od 64 godine za pacijente na drugoj liniji ili većoj, a 68 godina za pacijente na prvoj liniji. Najviše pacijenata (94%) koji su uključeni u kohorte na kombinovanoj terapiji imalo je ECOG funkcionalni status 0 ili 1. 26 (28%) nije nikada pušilo. Većina pacijenata je imalo ne-skvamoznu histologiju. U prethodno liječenoj populaciji, 38 pacijenata (67%) imalo je jednu liniju sistemske anti-tumorske terapije za metastatsku bolest.</w:t>
      </w:r>
    </w:p>
    <w:p w:rsidR="001F0C96" w:rsidRDefault="001F0C96" w:rsidP="001F0C96">
      <w:pPr>
        <w:spacing w:after="0"/>
        <w:rPr>
          <w:rFonts w:ascii="Times New Roman" w:hAnsi="Times New Roman" w:cs="Times New Roman"/>
          <w:lang w:val="hr-HR" w:eastAsia="en-GB"/>
        </w:rPr>
      </w:pPr>
    </w:p>
    <w:p w:rsidR="00C020F1" w:rsidRDefault="004D038C" w:rsidP="001F0C96">
      <w:pPr>
        <w:spacing w:after="0"/>
        <w:jc w:val="both"/>
        <w:rPr>
          <w:rFonts w:ascii="Times New Roman" w:hAnsi="Times New Roman" w:cs="Times New Roman"/>
          <w:lang w:val="hr-HR" w:eastAsia="en-GB"/>
        </w:rPr>
      </w:pPr>
      <w:r w:rsidRPr="00221499">
        <w:rPr>
          <w:rFonts w:ascii="Times New Roman" w:hAnsi="Times New Roman" w:cs="Times New Roman"/>
          <w:lang w:val="hr-HR" w:eastAsia="en-GB"/>
        </w:rPr>
        <w:t>Za primarni parametar praćenja istraživač je procijenio ORR (stopu ukupnog odgovora), ORR je u populaciji na prvoj liniji bio 61,1% (95% CI, 43,5%, 76,9%) i 66,7% (95% CI, 52,9%, 78,6%) u populaciji koja je prethodno bila liječena. Ovo ispunjava statističku značajnost za odbacivanje nulte hipoteze da je ORR (stopa ukupnog odgovora) dabrafeniba u kombinaciji sa trametinibom kod populacije sa nemikrocelularnim karcinomom pluća manja ili jednaka 30%. Rezultati ORR procijenjeni od strane IRC(</w:t>
      </w:r>
      <w:r w:rsidRPr="00221499">
        <w:rPr>
          <w:rFonts w:ascii="Times New Roman" w:hAnsi="Times New Roman" w:cs="Times New Roman"/>
          <w:i/>
          <w:lang w:val="hr-HR" w:eastAsia="en-GB"/>
        </w:rPr>
        <w:t>Independent Review</w:t>
      </w:r>
      <w:r w:rsidR="00C020F1" w:rsidRPr="00221499">
        <w:rPr>
          <w:rFonts w:ascii="Times New Roman" w:hAnsi="Times New Roman" w:cs="Times New Roman"/>
          <w:i/>
          <w:lang w:val="hr-HR" w:eastAsia="en-GB"/>
        </w:rPr>
        <w:t xml:space="preserve"> </w:t>
      </w:r>
      <w:r w:rsidRPr="00221499">
        <w:rPr>
          <w:rFonts w:ascii="Times New Roman" w:hAnsi="Times New Roman" w:cs="Times New Roman"/>
          <w:i/>
          <w:lang w:val="hr-HR" w:eastAsia="en-GB"/>
        </w:rPr>
        <w:t>Committee</w:t>
      </w:r>
      <w:r w:rsidRPr="00221499">
        <w:rPr>
          <w:rFonts w:ascii="Times New Roman" w:hAnsi="Times New Roman" w:cs="Times New Roman"/>
          <w:lang w:val="hr-HR" w:eastAsia="en-GB"/>
        </w:rPr>
        <w:t>) bili su dosljedni sa procjenom ispitivača. Odgovor je bio dugotrajan sa medijanom trajanja odgovora (TO), u populaciji koja je prethodno bila liječena, od 9,8 mjeseci (95% CI, 6,9, 16,0) prema procjeni</w:t>
      </w:r>
      <w:r w:rsidR="00C020F1" w:rsidRPr="00221499">
        <w:rPr>
          <w:rFonts w:ascii="Times New Roman" w:hAnsi="Times New Roman" w:cs="Times New Roman"/>
          <w:lang w:val="hr-HR" w:eastAsia="en-GB"/>
        </w:rPr>
        <w:t xml:space="preserve"> </w:t>
      </w:r>
      <w:r w:rsidRPr="00221499">
        <w:rPr>
          <w:rFonts w:ascii="Times New Roman" w:hAnsi="Times New Roman" w:cs="Times New Roman"/>
          <w:lang w:val="hr-HR" w:eastAsia="en-GB"/>
        </w:rPr>
        <w:t>ispitivača. U populaciji koja je na prvoj liniji, 68% pacijenata nije imalo</w:t>
      </w:r>
      <w:r w:rsidRPr="00C020F1">
        <w:rPr>
          <w:rFonts w:ascii="Times New Roman" w:hAnsi="Times New Roman" w:cs="Times New Roman"/>
          <w:lang w:val="hr-HR" w:eastAsia="en-GB"/>
        </w:rPr>
        <w:t xml:space="preserve"> progresiju bolesti nakon 9 mjeseci. Medijana trajanja odgovora i PFS nijesu još uvijek procjenjivi (Tabela 11). Efikasnost kombinacije dabrafeniba sa trametinibom je bila superiornija kada se indirektno uporedi sa monoterapijom dabrafenibom u kohorti A.</w:t>
      </w:r>
    </w:p>
    <w:p w:rsidR="00C020F1" w:rsidRDefault="00C020F1" w:rsidP="00C020F1">
      <w:pPr>
        <w:rPr>
          <w:rFonts w:ascii="Times New Roman" w:hAnsi="Times New Roman" w:cs="Times New Roman"/>
          <w:lang w:val="hr-HR" w:eastAsia="en-GB"/>
        </w:rPr>
      </w:pPr>
    </w:p>
    <w:p w:rsidR="004D038C" w:rsidRPr="004D038C" w:rsidRDefault="004D038C" w:rsidP="00C020F1">
      <w:pPr>
        <w:rPr>
          <w:rFonts w:ascii="Times New Roman" w:eastAsia="Times New Roman" w:hAnsi="Times New Roman" w:cs="Times New Roman"/>
          <w:color w:val="000000"/>
          <w:u w:val="single"/>
          <w:lang w:val="hr-HR" w:eastAsia="en-GB"/>
        </w:rPr>
      </w:pPr>
      <w:r w:rsidRPr="004D038C">
        <w:rPr>
          <w:rFonts w:ascii="Times New Roman" w:eastAsia="Times New Roman" w:hAnsi="Times New Roman" w:cs="Times New Roman"/>
          <w:color w:val="000000"/>
          <w:u w:val="single"/>
          <w:lang w:val="hr-HR" w:eastAsia="en-GB"/>
        </w:rPr>
        <w:lastRenderedPageBreak/>
        <w:t>Tabela 11</w:t>
      </w:r>
      <w:r w:rsidRPr="004D038C">
        <w:rPr>
          <w:rFonts w:ascii="Times New Roman" w:eastAsia="Times New Roman" w:hAnsi="Times New Roman" w:cs="Times New Roman"/>
          <w:color w:val="000000"/>
          <w:u w:val="single"/>
          <w:lang w:val="hr-HR" w:eastAsia="en-GB"/>
        </w:rPr>
        <w:tab/>
        <w:t xml:space="preserve">Sažetak efikasnosti u kohortama na kombinovanoj terapiji na osnovu procjene istraživača </w:t>
      </w:r>
      <w:r w:rsidR="00C020F1">
        <w:rPr>
          <w:rFonts w:ascii="Times New Roman" w:eastAsia="Times New Roman" w:hAnsi="Times New Roman" w:cs="Times New Roman"/>
          <w:color w:val="000000"/>
          <w:u w:val="single"/>
          <w:lang w:val="hr-HR" w:eastAsia="en-GB"/>
        </w:rPr>
        <w:t>i nezavisne radiološke procjene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2"/>
        <w:gridCol w:w="2052"/>
        <w:gridCol w:w="2554"/>
        <w:gridCol w:w="2839"/>
      </w:tblGrid>
      <w:tr w:rsidR="004D038C" w:rsidRPr="004D038C" w:rsidTr="00C020F1">
        <w:trPr>
          <w:tblHeader/>
        </w:trPr>
        <w:tc>
          <w:tcPr>
            <w:tcW w:w="1129"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b/>
                <w:bCs/>
                <w:lang w:eastAsia="zh-CN"/>
              </w:rPr>
              <w:t>Parametar praćenja</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b/>
                <w:lang w:eastAsia="zh-CN"/>
              </w:rPr>
              <w:t>Analiza</w:t>
            </w:r>
          </w:p>
        </w:tc>
        <w:tc>
          <w:tcPr>
            <w:tcW w:w="1328"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Times New Roman" w:hAnsi="Times New Roman" w:cs="Times New Roman"/>
                <w:b/>
              </w:rPr>
            </w:pPr>
            <w:r w:rsidRPr="004D038C">
              <w:rPr>
                <w:rFonts w:ascii="Times New Roman" w:eastAsia="Times New Roman" w:hAnsi="Times New Roman" w:cs="Times New Roman"/>
                <w:b/>
              </w:rPr>
              <w:t>kombinacija u 1. liniji</w:t>
            </w:r>
          </w:p>
          <w:p w:rsidR="004D038C" w:rsidRPr="004D038C" w:rsidRDefault="004D038C" w:rsidP="00C020F1">
            <w:pPr>
              <w:keepNext/>
              <w:tabs>
                <w:tab w:val="left" w:pos="284"/>
              </w:tabs>
              <w:spacing w:after="20" w:line="240" w:lineRule="auto"/>
              <w:jc w:val="center"/>
              <w:rPr>
                <w:rFonts w:ascii="Times New Roman" w:eastAsia="Times New Roman" w:hAnsi="Times New Roman" w:cs="Times New Roman"/>
                <w:b/>
              </w:rPr>
            </w:pPr>
            <w:r w:rsidRPr="004D038C">
              <w:rPr>
                <w:rFonts w:ascii="Times New Roman" w:eastAsia="Times New Roman" w:hAnsi="Times New Roman" w:cs="Times New Roman"/>
                <w:b/>
              </w:rPr>
              <w:t>N=36</w:t>
            </w:r>
            <w:r w:rsidRPr="004D038C">
              <w:rPr>
                <w:rFonts w:ascii="Times New Roman" w:eastAsia="Times New Roman" w:hAnsi="Times New Roman" w:cs="Times New Roman"/>
                <w:b/>
                <w:vertAlign w:val="superscript"/>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Times New Roman" w:hAnsi="Times New Roman" w:cs="Times New Roman"/>
                <w:b/>
                <w:lang w:val="it-IT"/>
              </w:rPr>
            </w:pPr>
            <w:r w:rsidRPr="004D038C">
              <w:rPr>
                <w:rFonts w:ascii="Times New Roman" w:eastAsia="Times New Roman" w:hAnsi="Times New Roman" w:cs="Times New Roman"/>
                <w:b/>
                <w:lang w:val="it-IT"/>
              </w:rPr>
              <w:t>Kombinacija u 2. i višim linijama</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val="it-IT" w:eastAsia="zh-CN"/>
              </w:rPr>
            </w:pPr>
            <w:r w:rsidRPr="004D038C">
              <w:rPr>
                <w:rFonts w:ascii="Times New Roman" w:eastAsia="Times New Roman" w:hAnsi="Times New Roman" w:cs="Times New Roman"/>
                <w:b/>
                <w:lang w:val="it-IT"/>
              </w:rPr>
              <w:t>N=57</w:t>
            </w:r>
            <w:r w:rsidRPr="004D038C">
              <w:rPr>
                <w:rFonts w:ascii="Times New Roman" w:eastAsia="Times New Roman" w:hAnsi="Times New Roman" w:cs="Times New Roman"/>
                <w:b/>
                <w:vertAlign w:val="superscript"/>
                <w:lang w:val="it-IT"/>
              </w:rPr>
              <w:t>1</w:t>
            </w:r>
          </w:p>
        </w:tc>
      </w:tr>
      <w:tr w:rsidR="004D038C" w:rsidRPr="004D038C" w:rsidTr="00C020F1">
        <w:trPr>
          <w:trHeight w:val="1261"/>
        </w:trPr>
        <w:tc>
          <w:tcPr>
            <w:tcW w:w="1129"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spacing w:before="40" w:after="0" w:line="240" w:lineRule="auto"/>
              <w:rPr>
                <w:rFonts w:ascii="Times New Roman" w:eastAsia="MS Mincho" w:hAnsi="Times New Roman" w:cs="Times New Roman"/>
                <w:lang w:val="it-IT" w:eastAsia="zh-CN"/>
              </w:rPr>
            </w:pPr>
            <w:r w:rsidRPr="004D038C">
              <w:rPr>
                <w:rFonts w:ascii="Times New Roman" w:eastAsia="MS Mincho" w:hAnsi="Times New Roman" w:cs="Times New Roman"/>
                <w:lang w:val="it-IT" w:eastAsia="zh-CN"/>
              </w:rPr>
              <w:t>Ukupni potvrđeni odgovor n (%)</w:t>
            </w:r>
          </w:p>
          <w:p w:rsidR="004D038C" w:rsidRPr="004D038C" w:rsidRDefault="004D038C" w:rsidP="00C020F1">
            <w:pPr>
              <w:keepNext/>
              <w:spacing w:before="40" w:after="0" w:line="240" w:lineRule="auto"/>
              <w:rPr>
                <w:rFonts w:ascii="Times New Roman" w:eastAsia="Times New Roman" w:hAnsi="Times New Roman" w:cs="Times New Roman"/>
                <w:lang w:val="it-IT" w:eastAsia="ja-JP"/>
              </w:rPr>
            </w:pPr>
            <w:r w:rsidRPr="004D038C">
              <w:rPr>
                <w:rFonts w:ascii="Times New Roman" w:eastAsia="MS Mincho" w:hAnsi="Times New Roman" w:cs="Times New Roman"/>
                <w:lang w:val="it-IT" w:eastAsia="zh-CN"/>
              </w:rPr>
              <w:t>(95% CI)</w:t>
            </w:r>
          </w:p>
        </w:tc>
        <w:tc>
          <w:tcPr>
            <w:tcW w:w="1067" w:type="pct"/>
            <w:tcBorders>
              <w:top w:val="single" w:sz="4" w:space="0" w:color="auto"/>
              <w:left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bCs/>
                <w:lang w:eastAsia="zh-CN"/>
              </w:rPr>
              <w:t>Istraživač</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IRC</w:t>
            </w:r>
          </w:p>
        </w:tc>
        <w:tc>
          <w:tcPr>
            <w:tcW w:w="1328" w:type="pct"/>
            <w:tcBorders>
              <w:top w:val="single" w:sz="4" w:space="0" w:color="auto"/>
              <w:left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22 (61,1%)</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(43,5, 76,9)</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22 (61,1%)</w:t>
            </w:r>
          </w:p>
          <w:p w:rsidR="004D038C" w:rsidRPr="004D038C" w:rsidRDefault="004D038C" w:rsidP="00C020F1">
            <w:pPr>
              <w:keepNext/>
              <w:spacing w:before="40" w:after="20" w:line="240" w:lineRule="auto"/>
              <w:jc w:val="center"/>
              <w:rPr>
                <w:rFonts w:ascii="Times New Roman" w:eastAsia="Times New Roman" w:hAnsi="Times New Roman" w:cs="Times New Roman"/>
                <w:lang w:eastAsia="ja-JP"/>
              </w:rPr>
            </w:pPr>
            <w:r w:rsidRPr="004D038C">
              <w:rPr>
                <w:rFonts w:ascii="Times New Roman" w:eastAsia="Times New Roman" w:hAnsi="Times New Roman" w:cs="Times New Roman"/>
                <w:lang w:eastAsia="ja-JP"/>
              </w:rPr>
              <w:t>(43,5, 76,9)</w:t>
            </w:r>
          </w:p>
        </w:tc>
        <w:tc>
          <w:tcPr>
            <w:tcW w:w="1477" w:type="pct"/>
            <w:tcBorders>
              <w:top w:val="single" w:sz="4" w:space="0" w:color="auto"/>
              <w:left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38 (66,7%)</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(52,9, 78,6)</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36 (63,2%)</w:t>
            </w:r>
          </w:p>
          <w:p w:rsidR="004D038C" w:rsidRPr="004D038C" w:rsidRDefault="004D038C" w:rsidP="00C020F1">
            <w:pPr>
              <w:keepNext/>
              <w:spacing w:before="40" w:after="20" w:line="240" w:lineRule="auto"/>
              <w:jc w:val="center"/>
              <w:rPr>
                <w:rFonts w:ascii="Times New Roman" w:eastAsia="Times New Roman" w:hAnsi="Times New Roman" w:cs="Times New Roman"/>
                <w:lang w:eastAsia="ja-JP"/>
              </w:rPr>
            </w:pPr>
            <w:r w:rsidRPr="004D038C">
              <w:rPr>
                <w:rFonts w:ascii="Times New Roman" w:eastAsia="Times New Roman" w:hAnsi="Times New Roman" w:cs="Times New Roman"/>
                <w:lang w:eastAsia="ja-JP"/>
              </w:rPr>
              <w:t>(49,3, 75,6)</w:t>
            </w:r>
          </w:p>
        </w:tc>
      </w:tr>
      <w:tr w:rsidR="004D038C" w:rsidRPr="004D038C" w:rsidTr="00C020F1">
        <w:trPr>
          <w:trHeight w:val="601"/>
        </w:trPr>
        <w:tc>
          <w:tcPr>
            <w:tcW w:w="1129"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spacing w:before="40" w:after="0" w:line="240" w:lineRule="auto"/>
              <w:rPr>
                <w:rFonts w:ascii="Times New Roman" w:eastAsia="MS Mincho" w:hAnsi="Times New Roman" w:cs="Times New Roman"/>
                <w:lang w:val="it-IT" w:eastAsia="zh-CN"/>
              </w:rPr>
            </w:pPr>
            <w:r w:rsidRPr="004D038C">
              <w:rPr>
                <w:rFonts w:ascii="Times New Roman" w:eastAsia="MS Mincho" w:hAnsi="Times New Roman" w:cs="Times New Roman"/>
                <w:lang w:val="it-IT" w:eastAsia="zh-CN"/>
              </w:rPr>
              <w:t>Medijana trajanja odgovora</w:t>
            </w:r>
          </w:p>
          <w:p w:rsidR="004D038C" w:rsidRPr="004D038C" w:rsidRDefault="004D038C" w:rsidP="00C020F1">
            <w:pPr>
              <w:keepNext/>
              <w:spacing w:before="40" w:after="0" w:line="240" w:lineRule="auto"/>
              <w:rPr>
                <w:rFonts w:ascii="Times New Roman" w:eastAsia="Times New Roman" w:hAnsi="Times New Roman" w:cs="Times New Roman"/>
                <w:lang w:val="it-IT" w:eastAsia="ja-JP"/>
              </w:rPr>
            </w:pPr>
            <w:r w:rsidRPr="004D038C">
              <w:rPr>
                <w:rFonts w:ascii="Times New Roman" w:eastAsia="MS Mincho" w:hAnsi="Times New Roman" w:cs="Times New Roman"/>
                <w:lang w:val="it-IT" w:eastAsia="zh-CN"/>
              </w:rPr>
              <w:t>Meseci (95% CI)</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Istraživač</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IRC</w:t>
            </w:r>
          </w:p>
        </w:tc>
        <w:tc>
          <w:tcPr>
            <w:tcW w:w="1328"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NP</w:t>
            </w:r>
            <w:r w:rsidRPr="004D038C">
              <w:rPr>
                <w:rFonts w:ascii="Times New Roman" w:eastAsia="MS Mincho" w:hAnsi="Times New Roman" w:cs="Times New Roman"/>
                <w:vertAlign w:val="superscript"/>
                <w:lang w:eastAsia="zh-CN"/>
              </w:rPr>
              <w:t>2</w:t>
            </w:r>
            <w:r w:rsidRPr="004D038C">
              <w:rPr>
                <w:rFonts w:ascii="Times New Roman" w:eastAsia="MS Mincho" w:hAnsi="Times New Roman" w:cs="Times New Roman"/>
                <w:lang w:eastAsia="zh-CN"/>
              </w:rPr>
              <w:t xml:space="preserve"> (8,3, NP)</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spacing w:before="40" w:after="20" w:line="240" w:lineRule="auto"/>
              <w:jc w:val="center"/>
              <w:rPr>
                <w:rFonts w:ascii="Times New Roman" w:eastAsia="Times New Roman" w:hAnsi="Times New Roman" w:cs="Times New Roman"/>
                <w:lang w:eastAsia="ja-JP"/>
              </w:rPr>
            </w:pPr>
            <w:r w:rsidRPr="004D038C">
              <w:rPr>
                <w:rFonts w:ascii="Times New Roman" w:eastAsia="Times New Roman" w:hAnsi="Times New Roman" w:cs="Times New Roman"/>
                <w:lang w:eastAsia="ja-JP"/>
              </w:rPr>
              <w:t>NP (6,9, NP)</w:t>
            </w:r>
          </w:p>
        </w:tc>
        <w:tc>
          <w:tcPr>
            <w:tcW w:w="147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9,8 (6,9, 16,0)</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spacing w:before="40" w:after="20" w:line="240" w:lineRule="auto"/>
              <w:jc w:val="center"/>
              <w:rPr>
                <w:rFonts w:ascii="Times New Roman" w:eastAsia="Times New Roman" w:hAnsi="Times New Roman" w:cs="Times New Roman"/>
                <w:lang w:eastAsia="ja-JP"/>
              </w:rPr>
            </w:pPr>
            <w:r w:rsidRPr="004D038C">
              <w:rPr>
                <w:rFonts w:ascii="Times New Roman" w:eastAsia="Times New Roman" w:hAnsi="Times New Roman" w:cs="Times New Roman"/>
                <w:lang w:eastAsia="ja-JP"/>
              </w:rPr>
              <w:t>12,6 (5,8, NP)</w:t>
            </w:r>
          </w:p>
        </w:tc>
      </w:tr>
      <w:tr w:rsidR="004D038C" w:rsidRPr="004D038C" w:rsidTr="00C020F1">
        <w:trPr>
          <w:trHeight w:val="583"/>
        </w:trPr>
        <w:tc>
          <w:tcPr>
            <w:tcW w:w="1129"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spacing w:before="40" w:after="0" w:line="240" w:lineRule="auto"/>
              <w:rPr>
                <w:rFonts w:ascii="Times New Roman" w:eastAsia="MS Mincho" w:hAnsi="Times New Roman" w:cs="Times New Roman"/>
                <w:lang w:eastAsia="zh-CN"/>
              </w:rPr>
            </w:pPr>
            <w:r w:rsidRPr="004D038C">
              <w:rPr>
                <w:rFonts w:ascii="Times New Roman" w:eastAsia="MS Mincho" w:hAnsi="Times New Roman" w:cs="Times New Roman"/>
                <w:lang w:eastAsia="zh-CN"/>
              </w:rPr>
              <w:t>Medijana PFS</w:t>
            </w:r>
          </w:p>
          <w:p w:rsidR="004D038C" w:rsidRPr="004D038C" w:rsidRDefault="004D038C" w:rsidP="00C020F1">
            <w:pPr>
              <w:keepNext/>
              <w:tabs>
                <w:tab w:val="left" w:pos="284"/>
              </w:tabs>
              <w:spacing w:before="40" w:after="20" w:line="240" w:lineRule="auto"/>
              <w:rPr>
                <w:rFonts w:ascii="Times New Roman" w:eastAsia="MS Mincho" w:hAnsi="Times New Roman" w:cs="Times New Roman"/>
                <w:lang w:eastAsia="zh-CN"/>
              </w:rPr>
            </w:pPr>
            <w:r w:rsidRPr="004D038C">
              <w:rPr>
                <w:rFonts w:ascii="Times New Roman" w:eastAsia="MS Mincho" w:hAnsi="Times New Roman" w:cs="Times New Roman"/>
                <w:lang w:eastAsia="zh-CN"/>
              </w:rPr>
              <w:t>Meseci (95% CI)</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Istraživač</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IRC</w:t>
            </w:r>
          </w:p>
        </w:tc>
        <w:tc>
          <w:tcPr>
            <w:tcW w:w="1328"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vertAlign w:val="superscript"/>
                <w:lang w:eastAsia="zh-CN"/>
              </w:rPr>
            </w:pPr>
            <w:r w:rsidRPr="004D038C">
              <w:rPr>
                <w:rFonts w:ascii="Times New Roman" w:eastAsia="MS Mincho" w:hAnsi="Times New Roman" w:cs="Times New Roman"/>
                <w:lang w:eastAsia="zh-CN"/>
              </w:rPr>
              <w:t>-</w:t>
            </w:r>
            <w:r w:rsidRPr="004D038C">
              <w:rPr>
                <w:rFonts w:ascii="Times New Roman" w:eastAsia="MS Mincho" w:hAnsi="Times New Roman" w:cs="Times New Roman"/>
                <w:vertAlign w:val="superscript"/>
                <w:lang w:eastAsia="zh-CN"/>
              </w:rPr>
              <w:t>3</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w:t>
            </w:r>
            <w:r w:rsidRPr="004D038C">
              <w:rPr>
                <w:rFonts w:ascii="Times New Roman" w:eastAsia="MS Mincho" w:hAnsi="Times New Roman" w:cs="Times New Roman"/>
                <w:vertAlign w:val="superscript"/>
                <w:lang w:eastAsia="zh-CN"/>
              </w:rPr>
              <w:t>3</w:t>
            </w:r>
          </w:p>
        </w:tc>
        <w:tc>
          <w:tcPr>
            <w:tcW w:w="147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10,2 (6,9, 16,7)</w:t>
            </w:r>
          </w:p>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p>
          <w:p w:rsidR="004D038C" w:rsidRPr="004D038C" w:rsidRDefault="004D038C" w:rsidP="00C020F1">
            <w:pPr>
              <w:keepNext/>
              <w:spacing w:before="40" w:after="20" w:line="240" w:lineRule="auto"/>
              <w:jc w:val="center"/>
              <w:rPr>
                <w:rFonts w:ascii="Times New Roman" w:eastAsia="Times New Roman" w:hAnsi="Times New Roman" w:cs="Times New Roman"/>
                <w:lang w:eastAsia="ja-JP"/>
              </w:rPr>
            </w:pPr>
            <w:r w:rsidRPr="004D038C">
              <w:rPr>
                <w:rFonts w:ascii="Times New Roman" w:eastAsia="Times New Roman" w:hAnsi="Times New Roman" w:cs="Times New Roman"/>
                <w:lang w:eastAsia="ja-JP"/>
              </w:rPr>
              <w:t>8,6 (5,2, 16,8)</w:t>
            </w:r>
          </w:p>
        </w:tc>
      </w:tr>
      <w:tr w:rsidR="004D038C" w:rsidRPr="004D038C" w:rsidTr="00C020F1">
        <w:trPr>
          <w:trHeight w:val="481"/>
        </w:trPr>
        <w:tc>
          <w:tcPr>
            <w:tcW w:w="1129"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spacing w:before="40" w:after="0" w:line="240" w:lineRule="auto"/>
              <w:rPr>
                <w:rFonts w:ascii="Times New Roman" w:eastAsia="MS Mincho" w:hAnsi="Times New Roman" w:cs="Times New Roman"/>
                <w:lang w:eastAsia="zh-CN"/>
              </w:rPr>
            </w:pPr>
            <w:r w:rsidRPr="004D038C">
              <w:rPr>
                <w:rFonts w:ascii="Times New Roman" w:eastAsia="MS Mincho" w:hAnsi="Times New Roman" w:cs="Times New Roman"/>
                <w:lang w:eastAsia="zh-CN"/>
              </w:rPr>
              <w:t>Medijana OS</w:t>
            </w:r>
          </w:p>
          <w:p w:rsidR="004D038C" w:rsidRPr="004D038C" w:rsidRDefault="004D038C" w:rsidP="00C020F1">
            <w:pPr>
              <w:keepNext/>
              <w:spacing w:before="40" w:after="0" w:line="240" w:lineRule="auto"/>
              <w:rPr>
                <w:rFonts w:ascii="Times New Roman" w:eastAsia="Times New Roman" w:hAnsi="Times New Roman" w:cs="Times New Roman"/>
                <w:lang w:eastAsia="ja-JP"/>
              </w:rPr>
            </w:pPr>
            <w:r w:rsidRPr="004D038C">
              <w:rPr>
                <w:rFonts w:ascii="Times New Roman" w:eastAsia="MS Mincho" w:hAnsi="Times New Roman" w:cs="Times New Roman"/>
                <w:lang w:eastAsia="zh-CN"/>
              </w:rPr>
              <w:t>Meseci (95% CI)</w:t>
            </w:r>
          </w:p>
        </w:tc>
        <w:tc>
          <w:tcPr>
            <w:tcW w:w="106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tabs>
                <w:tab w:val="left" w:pos="284"/>
              </w:tabs>
              <w:spacing w:before="40" w:after="20" w:line="240" w:lineRule="auto"/>
              <w:jc w:val="center"/>
              <w:rPr>
                <w:rFonts w:ascii="Times New Roman" w:eastAsia="MS Mincho" w:hAnsi="Times New Roman" w:cs="Times New Roman"/>
                <w:lang w:eastAsia="zh-CN"/>
              </w:rPr>
            </w:pPr>
            <w:r w:rsidRPr="004D038C">
              <w:rPr>
                <w:rFonts w:ascii="Times New Roman" w:eastAsia="MS Mincho" w:hAnsi="Times New Roman" w:cs="Times New Roman"/>
                <w:lang w:eastAsia="zh-CN"/>
              </w:rPr>
              <w:t>-</w:t>
            </w:r>
          </w:p>
        </w:tc>
        <w:tc>
          <w:tcPr>
            <w:tcW w:w="1328"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spacing w:before="40" w:after="20" w:line="240" w:lineRule="auto"/>
              <w:jc w:val="center"/>
              <w:rPr>
                <w:rFonts w:ascii="Times New Roman" w:eastAsia="Times New Roman" w:hAnsi="Times New Roman" w:cs="Times New Roman"/>
                <w:vertAlign w:val="superscript"/>
                <w:lang w:eastAsia="ja-JP"/>
              </w:rPr>
            </w:pPr>
            <w:r w:rsidRPr="004D038C">
              <w:rPr>
                <w:rFonts w:ascii="Times New Roman" w:eastAsia="Times New Roman" w:hAnsi="Times New Roman" w:cs="Times New Roman"/>
                <w:lang w:eastAsia="ja-JP"/>
              </w:rPr>
              <w:t>24,6 (11,7, NP)</w:t>
            </w:r>
            <w:r w:rsidRPr="004D038C">
              <w:rPr>
                <w:rFonts w:ascii="Times New Roman" w:eastAsia="Times New Roman" w:hAnsi="Times New Roman" w:cs="Times New Roman"/>
                <w:vertAlign w:val="superscript"/>
                <w:lang w:eastAsia="ja-JP"/>
              </w:rPr>
              <w:t>4</w:t>
            </w:r>
          </w:p>
        </w:tc>
        <w:tc>
          <w:tcPr>
            <w:tcW w:w="1477" w:type="pct"/>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Next/>
              <w:spacing w:before="40" w:after="20" w:line="240" w:lineRule="auto"/>
              <w:jc w:val="center"/>
              <w:rPr>
                <w:rFonts w:ascii="Times New Roman" w:eastAsia="Times New Roman" w:hAnsi="Times New Roman" w:cs="Times New Roman"/>
                <w:lang w:eastAsia="ja-JP"/>
              </w:rPr>
            </w:pPr>
            <w:r w:rsidRPr="004D038C">
              <w:rPr>
                <w:rFonts w:ascii="Times New Roman" w:eastAsia="Times New Roman" w:hAnsi="Times New Roman" w:cs="Times New Roman"/>
                <w:lang w:eastAsia="ja-JP"/>
              </w:rPr>
              <w:t>18,2 (14,3, NP)</w:t>
            </w:r>
          </w:p>
        </w:tc>
      </w:tr>
      <w:tr w:rsidR="004D038C" w:rsidRPr="004D038C" w:rsidTr="00C020F1">
        <w:trPr>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4D038C" w:rsidRPr="004D038C" w:rsidRDefault="004D038C" w:rsidP="00C020F1">
            <w:pPr>
              <w:keepLines/>
              <w:tabs>
                <w:tab w:val="left" w:pos="284"/>
              </w:tabs>
              <w:spacing w:after="0" w:line="240" w:lineRule="auto"/>
              <w:rPr>
                <w:rFonts w:ascii="Times New Roman" w:eastAsia="MS Mincho" w:hAnsi="Times New Roman" w:cs="Times New Roman"/>
                <w:lang w:eastAsia="zh-CN"/>
              </w:rPr>
            </w:pPr>
            <w:r w:rsidRPr="004D038C">
              <w:rPr>
                <w:rFonts w:ascii="Times New Roman" w:eastAsia="MS Mincho" w:hAnsi="Times New Roman" w:cs="Times New Roman"/>
                <w:vertAlign w:val="superscript"/>
                <w:lang w:eastAsia="zh-CN"/>
              </w:rPr>
              <w:t>1</w:t>
            </w:r>
            <w:r w:rsidRPr="004D038C">
              <w:rPr>
                <w:rFonts w:ascii="Times New Roman" w:eastAsia="MS Mincho" w:hAnsi="Times New Roman" w:cs="Times New Roman"/>
                <w:lang w:eastAsia="zh-CN"/>
              </w:rPr>
              <w:t xml:space="preserve"> završni datum za podatke: 8. avgust 2016</w:t>
            </w:r>
          </w:p>
          <w:p w:rsidR="004D038C" w:rsidRPr="004D038C" w:rsidRDefault="004D038C" w:rsidP="00C020F1">
            <w:pPr>
              <w:keepLines/>
              <w:tabs>
                <w:tab w:val="left" w:pos="284"/>
              </w:tabs>
              <w:spacing w:after="0" w:line="240" w:lineRule="auto"/>
              <w:rPr>
                <w:rFonts w:ascii="Times New Roman" w:eastAsia="MS Mincho" w:hAnsi="Times New Roman" w:cs="Times New Roman"/>
                <w:lang w:val="es-ES" w:eastAsia="zh-CN"/>
              </w:rPr>
            </w:pPr>
            <w:r w:rsidRPr="004D038C">
              <w:rPr>
                <w:rFonts w:ascii="Times New Roman" w:eastAsia="MS Mincho" w:hAnsi="Times New Roman" w:cs="Times New Roman"/>
                <w:vertAlign w:val="superscript"/>
                <w:lang w:val="es-ES" w:eastAsia="zh-CN"/>
              </w:rPr>
              <w:t xml:space="preserve">2 </w:t>
            </w:r>
            <w:r w:rsidRPr="004D038C">
              <w:rPr>
                <w:rFonts w:ascii="Times New Roman" w:eastAsia="MS Mincho" w:hAnsi="Times New Roman" w:cs="Times New Roman"/>
                <w:lang w:val="es-ES" w:eastAsia="zh-CN"/>
              </w:rPr>
              <w:t>NP: Nije procenljivo</w:t>
            </w:r>
          </w:p>
          <w:p w:rsidR="004D038C" w:rsidRPr="004D038C" w:rsidRDefault="004D038C" w:rsidP="00C020F1">
            <w:pPr>
              <w:keepLines/>
              <w:tabs>
                <w:tab w:val="left" w:pos="284"/>
              </w:tabs>
              <w:spacing w:after="0" w:line="240" w:lineRule="auto"/>
              <w:rPr>
                <w:rFonts w:ascii="Times New Roman" w:eastAsia="MS Mincho" w:hAnsi="Times New Roman" w:cs="Times New Roman"/>
                <w:lang w:val="es-ES" w:eastAsia="zh-CN"/>
              </w:rPr>
            </w:pPr>
            <w:r w:rsidRPr="004D038C">
              <w:rPr>
                <w:rFonts w:ascii="Times New Roman" w:eastAsia="MS Mincho" w:hAnsi="Times New Roman" w:cs="Times New Roman"/>
                <w:vertAlign w:val="superscript"/>
                <w:lang w:val="es-ES" w:eastAsia="zh-CN"/>
              </w:rPr>
              <w:t>3</w:t>
            </w:r>
            <w:r w:rsidRPr="004D038C">
              <w:rPr>
                <w:rFonts w:ascii="Times New Roman" w:eastAsia="MS Mincho" w:hAnsi="Times New Roman" w:cs="Times New Roman"/>
                <w:lang w:val="es-ES" w:eastAsia="zh-CN"/>
              </w:rPr>
              <w:t xml:space="preserve"> medijana PFS trenutno nije procjenljiva</w:t>
            </w:r>
          </w:p>
          <w:p w:rsidR="004D038C" w:rsidRPr="004D038C" w:rsidRDefault="004D038C" w:rsidP="00C020F1">
            <w:pPr>
              <w:keepLines/>
              <w:tabs>
                <w:tab w:val="left" w:pos="284"/>
              </w:tabs>
              <w:spacing w:after="0" w:line="240" w:lineRule="auto"/>
              <w:rPr>
                <w:rFonts w:ascii="Times New Roman" w:eastAsia="MS Mincho" w:hAnsi="Times New Roman" w:cs="Times New Roman"/>
                <w:lang w:val="es-ES" w:eastAsia="zh-CN"/>
              </w:rPr>
            </w:pPr>
            <w:r w:rsidRPr="004D038C">
              <w:rPr>
                <w:rFonts w:ascii="Times New Roman" w:eastAsia="MS Mincho" w:hAnsi="Times New Roman" w:cs="Times New Roman"/>
                <w:vertAlign w:val="superscript"/>
                <w:lang w:val="es-ES" w:eastAsia="zh-CN"/>
              </w:rPr>
              <w:t xml:space="preserve">4 </w:t>
            </w:r>
            <w:r w:rsidRPr="004D038C">
              <w:rPr>
                <w:rFonts w:ascii="Times New Roman" w:eastAsia="MS Mincho" w:hAnsi="Times New Roman" w:cs="Times New Roman"/>
                <w:lang w:val="es-ES" w:eastAsia="zh-CN"/>
              </w:rPr>
              <w:t>stopa događaja za računanje OS bila je 28% i stoga definisana vrijednost medijane još treba da bude potvrđena</w:t>
            </w:r>
          </w:p>
        </w:tc>
      </w:tr>
    </w:tbl>
    <w:p w:rsidR="004D038C" w:rsidRPr="004D038C" w:rsidRDefault="004D038C" w:rsidP="004D038C">
      <w:pPr>
        <w:keepNext/>
        <w:spacing w:after="0" w:line="280" w:lineRule="atLeast"/>
        <w:rPr>
          <w:rFonts w:ascii="Times New Roman" w:eastAsia="Times New Roman" w:hAnsi="Times New Roman" w:cs="Times New Roman"/>
          <w:color w:val="000000"/>
          <w:u w:val="single"/>
          <w:lang w:val="es-ES" w:eastAsia="en-GB"/>
        </w:rPr>
      </w:pPr>
    </w:p>
    <w:p w:rsidR="004D038C" w:rsidRPr="00C020F1" w:rsidRDefault="00C020F1" w:rsidP="004D038C">
      <w:pPr>
        <w:keepNext/>
        <w:spacing w:after="0" w:line="280" w:lineRule="atLeast"/>
        <w:jc w:val="both"/>
        <w:rPr>
          <w:rFonts w:ascii="Times New Roman" w:eastAsia="Times New Roman" w:hAnsi="Times New Roman" w:cs="Times New Roman"/>
          <w:color w:val="000000"/>
          <w:u w:val="single"/>
          <w:lang w:val="hr-HR" w:eastAsia="en-GB"/>
        </w:rPr>
      </w:pPr>
      <w:r w:rsidRPr="00C020F1">
        <w:rPr>
          <w:rFonts w:ascii="Times New Roman" w:eastAsia="Times New Roman" w:hAnsi="Times New Roman" w:cs="Times New Roman"/>
          <w:color w:val="000000"/>
          <w:u w:val="single"/>
          <w:lang w:val="hr-HR" w:eastAsia="en-GB"/>
        </w:rPr>
        <w:t>Produženje QT intervala</w:t>
      </w:r>
    </w:p>
    <w:p w:rsidR="001F0C96" w:rsidRDefault="001F0C96" w:rsidP="004D038C">
      <w:pPr>
        <w:keepNext/>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Najteži slučaj produženja QTc od &gt;60 milisekundi (ms) zabilježen je kod 3% pacijenata koji su primali dabrafenib (jedan &gt;500 ms u integrisanoj populaciji u kojoj se ispitivala bezbjednost). U studiji faze III MEK115306 ni jedan pacijent koji je primao trametinib u kombinaciji sa dabrafenibom nije imao najteži oblik QTcB produženja &gt;500 ms; QTcB je povećan za više od 60 ms u odnosu na vrijednosti prije početka liječenja u 1% (3/209) pacijenata. U studiji faze III MEK116513 četiri pacijenta (1%) koji su primali trametinib u kombinaciji sa dabrafenibom imali su povećanje QTcB stepena 3 (&gt;500 ms), od kojih su dva pacijenta imala povećanje QTcB stepena 3 (&gt;500 ms) sa povećanjem &gt;60 ms u odnosu na početne vrijednosti.</w:t>
      </w: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p>
    <w:p w:rsidR="004D038C" w:rsidRPr="004D038C" w:rsidRDefault="004D038C" w:rsidP="004D038C">
      <w:pPr>
        <w:keepNext/>
        <w:spacing w:after="0" w:line="280" w:lineRule="atLeast"/>
        <w:jc w:val="both"/>
        <w:rPr>
          <w:rFonts w:ascii="Times New Roman" w:eastAsia="Times New Roman" w:hAnsi="Times New Roman" w:cs="Times New Roman"/>
          <w:color w:val="000000"/>
          <w:lang w:val="hr-HR" w:eastAsia="en-GB"/>
        </w:rPr>
      </w:pPr>
      <w:r w:rsidRPr="004D038C">
        <w:rPr>
          <w:rFonts w:ascii="Times New Roman" w:eastAsia="Times New Roman" w:hAnsi="Times New Roman" w:cs="Times New Roman"/>
          <w:color w:val="000000"/>
          <w:lang w:val="hr-HR" w:eastAsia="en-GB"/>
        </w:rPr>
        <w:t>Potencijalni efekat dabrafeniba na produženje QT interval procjenjivan je u ciljanom QT ispitivanju sa ponovljenim dozama. Supraterapijsku dozu od 300 mg dabrafeniba dva puta dnevno primalo je 32 pacijenta sa tumorima pozitivnim na BRAF V600 mutaciju. Nije primijećen klinički značajan efekat dabrafeniba ili njegovih metabolite na QTc interval.</w:t>
      </w:r>
    </w:p>
    <w:p w:rsidR="004D038C" w:rsidRPr="004D038C" w:rsidRDefault="004D038C" w:rsidP="004D038C">
      <w:pPr>
        <w:keepNext/>
        <w:spacing w:after="0" w:line="280" w:lineRule="atLeast"/>
        <w:jc w:val="both"/>
        <w:rPr>
          <w:rFonts w:ascii="Verdana" w:eastAsia="Verdana" w:hAnsi="Verdana" w:cs="Verdana"/>
          <w:color w:val="000000"/>
          <w:lang w:val="hr-HR" w:eastAsia="en-GB"/>
        </w:rPr>
      </w:pPr>
    </w:p>
    <w:p w:rsidR="004D038C" w:rsidRPr="004D038C" w:rsidRDefault="004D038C" w:rsidP="00C020F1">
      <w:pPr>
        <w:widowControl w:val="0"/>
        <w:tabs>
          <w:tab w:val="left" w:pos="0"/>
        </w:tabs>
        <w:spacing w:after="0" w:line="240" w:lineRule="auto"/>
        <w:jc w:val="both"/>
        <w:rPr>
          <w:rFonts w:ascii="Times New Roman" w:eastAsia="Times New Roman" w:hAnsi="Times New Roman" w:cs="Times New Roman"/>
          <w:u w:val="single"/>
          <w:lang w:val="hr-HR"/>
        </w:rPr>
      </w:pPr>
      <w:r w:rsidRPr="00C020F1">
        <w:rPr>
          <w:rFonts w:ascii="Times New Roman" w:eastAsia="Times New Roman" w:hAnsi="Times New Roman" w:cs="Times New Roman"/>
          <w:u w:val="single"/>
          <w:lang w:val="hr-HR"/>
        </w:rPr>
        <w:t>Pedijatrijska populacija</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Evropska agencija za ljekove je odložila obavezu podnošenja rezultata ispitivanja lijeka dabrafenib u jednoj </w:t>
      </w:r>
      <w:r w:rsidRPr="004D038C">
        <w:rPr>
          <w:rFonts w:ascii="Times New Roman" w:eastAsia="Times New Roman" w:hAnsi="Times New Roman" w:cs="Times New Roman"/>
          <w:lang w:val="hr-HR"/>
        </w:rPr>
        <w:lastRenderedPageBreak/>
        <w:t>ili više podgrupa pedijatrijske populacije sa melanomom (vidjeti odjeljak 4.2 za informacije o pedijatrijskoj primjeni).</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5.2. </w:t>
      </w:r>
      <w:r w:rsidRPr="004D038C">
        <w:rPr>
          <w:rFonts w:ascii="Times New Roman" w:eastAsia="Times New Roman" w:hAnsi="Times New Roman" w:cs="Times New Roman"/>
          <w:b/>
          <w:bCs/>
          <w:lang w:val="hr-HR"/>
        </w:rPr>
        <w:tab/>
        <w:t>Farmakokinetički podaci</w:t>
      </w:r>
    </w:p>
    <w:p w:rsidR="004D038C" w:rsidRPr="004D038C" w:rsidRDefault="004D038C" w:rsidP="004D038C">
      <w:pPr>
        <w:spacing w:after="0" w:line="240" w:lineRule="auto"/>
        <w:jc w:val="both"/>
        <w:rPr>
          <w:rFonts w:ascii="Times New Roman" w:eastAsia="Times New Roman" w:hAnsi="Times New Roman" w:cs="Times New Roman"/>
          <w:i/>
          <w:u w:val="single"/>
          <w:lang w:val="hr-HR"/>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
          <w:u w:val="single"/>
          <w:lang w:val="hr-HR"/>
        </w:rPr>
        <w:t>Resorpcija</w:t>
      </w:r>
      <w:r w:rsidR="00C020F1">
        <w:rPr>
          <w:rFonts w:ascii="Times New Roman" w:eastAsia="Times New Roman" w:hAnsi="Times New Roman" w:cs="Times New Roman"/>
          <w:lang w:val="hr-HR"/>
        </w:rPr>
        <w:t xml:space="preserve"> </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Dabrafenib se resorbuje oralno pri čemu je medijana vremena postizanja maksimalne koncentracije u plazmi 2 sata poslije primjene doze. Srednja vrijednost apsolutne bioraspoloživosti dabrafeniba primjenjenog peroralno je 95% (90% CI: 81, 110%). Izloženost dabrafenibu (C</w:t>
      </w:r>
      <w:r w:rsidRPr="004D038C">
        <w:rPr>
          <w:rFonts w:ascii="Times New Roman" w:eastAsia="Times New Roman" w:hAnsi="Times New Roman" w:cs="Times New Roman"/>
          <w:vertAlign w:val="subscript"/>
          <w:lang w:val="hr-HR"/>
        </w:rPr>
        <w:t>max</w:t>
      </w:r>
      <w:r w:rsidRPr="004D038C">
        <w:rPr>
          <w:rFonts w:ascii="Times New Roman" w:eastAsia="Times New Roman" w:hAnsi="Times New Roman" w:cs="Times New Roman"/>
          <w:lang w:val="hr-HR"/>
        </w:rPr>
        <w:t xml:space="preserve"> i PIK) povećavala se proporcionalno dozi između 12 i 300 mg poslije primjene u jednoj dozi, ali je povećanje bilo manje proporcionalno dozi poslije ponovljene doze dva puta dnevno. Smanjenje izloženosti bilo je primijećeno sa ponovljenim doziranjem, vjerovatno kao posljedica indukcije vlastitog metabolizma. Srednja vrijednost odnosa nagomilavanja PIK dan 18/dan 1 bila je 0.73. Poslije primjene 150 mg dva puta dnevno, geometrijska sredina C</w:t>
      </w:r>
      <w:r w:rsidRPr="004D038C">
        <w:rPr>
          <w:rFonts w:ascii="Times New Roman" w:eastAsia="Times New Roman" w:hAnsi="Times New Roman" w:cs="Times New Roman"/>
          <w:vertAlign w:val="subscript"/>
          <w:lang w:val="hr-HR"/>
        </w:rPr>
        <w:t>max</w:t>
      </w:r>
      <w:r w:rsidRPr="004D038C">
        <w:rPr>
          <w:rFonts w:ascii="Times New Roman" w:eastAsia="Times New Roman" w:hAnsi="Times New Roman" w:cs="Times New Roman"/>
          <w:lang w:val="hr-HR"/>
        </w:rPr>
        <w:t>, PIK(0-</w:t>
      </w:r>
      <w:r w:rsidRPr="004D038C">
        <w:rPr>
          <w:rFonts w:ascii="Times New Roman" w:eastAsia="Times New Roman" w:hAnsi="Times New Roman" w:cs="Times New Roman"/>
        </w:rPr>
        <w:sym w:font="Symbol" w:char="F074"/>
      </w:r>
      <w:r w:rsidRPr="004D038C">
        <w:rPr>
          <w:rFonts w:ascii="Times New Roman" w:eastAsia="Times New Roman" w:hAnsi="Times New Roman" w:cs="Times New Roman"/>
          <w:lang w:val="hr-HR"/>
        </w:rPr>
        <w:t>) i koncentracije prije doze (C</w:t>
      </w:r>
      <w:r w:rsidRPr="004D038C">
        <w:rPr>
          <w:rFonts w:ascii="Times New Roman" w:eastAsia="Times New Roman" w:hAnsi="Times New Roman" w:cs="Times New Roman"/>
        </w:rPr>
        <w:sym w:font="Symbol" w:char="F074"/>
      </w:r>
      <w:r w:rsidRPr="004D038C">
        <w:rPr>
          <w:rFonts w:ascii="Times New Roman" w:eastAsia="Times New Roman" w:hAnsi="Times New Roman" w:cs="Times New Roman"/>
          <w:lang w:val="hr-HR"/>
        </w:rPr>
        <w:t>) bile su 1478 nanogram/ml, 4341 nanogram*hr/ml i 26 nanogram/ml.</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Primjena dabrafeniba uz hranu smanjila je bioraspoloživost (C</w:t>
      </w:r>
      <w:r w:rsidRPr="004D038C">
        <w:rPr>
          <w:rFonts w:ascii="Times New Roman" w:eastAsia="Times New Roman" w:hAnsi="Times New Roman" w:cs="Times New Roman"/>
          <w:vertAlign w:val="subscript"/>
          <w:lang w:val="hr-HR"/>
        </w:rPr>
        <w:t xml:space="preserve">max </w:t>
      </w:r>
      <w:r w:rsidRPr="004D038C">
        <w:rPr>
          <w:rFonts w:ascii="Times New Roman" w:eastAsia="Times New Roman" w:hAnsi="Times New Roman" w:cs="Times New Roman"/>
          <w:lang w:val="hr-HR"/>
        </w:rPr>
        <w:t>i PIK smanjeni za 51% odnosno 31%) i odložila je resorpciju dabrafeniba u poređenju sa primjenom natašte.</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C020F1" w:rsidP="004D038C">
      <w:pPr>
        <w:spacing w:after="0" w:line="240" w:lineRule="auto"/>
        <w:jc w:val="both"/>
        <w:rPr>
          <w:rFonts w:ascii="Times New Roman" w:eastAsia="Times New Roman" w:hAnsi="Times New Roman" w:cs="Times New Roman"/>
          <w:i/>
          <w:u w:val="single"/>
          <w:lang w:val="hr-HR"/>
        </w:rPr>
      </w:pPr>
      <w:r>
        <w:rPr>
          <w:rFonts w:ascii="Times New Roman" w:eastAsia="Times New Roman" w:hAnsi="Times New Roman" w:cs="Times New Roman"/>
          <w:i/>
          <w:u w:val="single"/>
          <w:lang w:val="hr-HR"/>
        </w:rPr>
        <w:t>Distribucija</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Dabrafenib se u proporciji od 99.7%, vezuje za proteine humane plazme. Volumen distribucije u stanju dinamičke ravnoteže poslije primjene intravenske mikrodoze je 46 l.</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C020F1" w:rsidRDefault="00C020F1" w:rsidP="00C020F1">
      <w:pPr>
        <w:spacing w:after="0" w:line="240" w:lineRule="auto"/>
        <w:jc w:val="both"/>
        <w:rPr>
          <w:rFonts w:ascii="Times New Roman" w:eastAsia="Times New Roman" w:hAnsi="Times New Roman" w:cs="Times New Roman"/>
          <w:i/>
          <w:u w:val="single"/>
          <w:lang w:val="hr-HR"/>
        </w:rPr>
      </w:pPr>
      <w:r>
        <w:rPr>
          <w:rFonts w:ascii="Times New Roman" w:eastAsia="Times New Roman" w:hAnsi="Times New Roman" w:cs="Times New Roman"/>
          <w:i/>
          <w:u w:val="single"/>
          <w:lang w:val="hr-HR"/>
        </w:rPr>
        <w:t>Biotransformacija</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lang w:val="hr-HR"/>
        </w:rPr>
        <w:t>Metabolizam dabrafeniba je primarno posredovan sa CYP2C8 i CYP3A4 kako bi nastao hidroksi dabrafenib, koji se dalje oksidiše putem CYP3A4 i stvara karboksi dabrafenib. Karboksi dabrafenib se može dekarboksilirati kroz ne-enzimski proces pri čemu se stvara dezmetil dabrafenib. Karboksi dabrafenib se izlučuje u žuč i urin. Dezmetil dabrafenib takođe može da se stvara i reapsorbuje u crijevima. CYP3A4 metaboliše dezmetil dabrafenib u oksidativne metabolite. Terminalno poluvrijeme</w:t>
      </w:r>
      <w:r w:rsidRPr="004D038C">
        <w:rPr>
          <w:rFonts w:ascii="Times New Roman" w:eastAsia="Times New Roman" w:hAnsi="Times New Roman" w:cs="Times New Roman"/>
          <w:color w:val="000000"/>
          <w:lang w:val="hr-HR"/>
        </w:rPr>
        <w:t xml:space="preserve"> hidroksi dabrafeniba paralelno je sa onim kod matičnog jedinjenja koje ima poluvrijeme od 10 sati, dok karboksi- i dezmetil metaboliti imaju duže poluvrijeme (21-22 sata). Prosječni PIK odnosi metabolita i matičnog jedinjenja poslije primjene ponovljenih doza bili su 0.9, 11 i 0.7 za hidroksi-, karboksi-, i dezmetil dabrafenib. Zasnovano na izloženosti, relativnoj potentnosti i farmakokinetičkim osobinama, oba jedinjenja, hidroksi- i dezmetil dabrafenib vjerovatno doprinose kliničkoj aktivnosti dabrafeniba; dok je značaj karboksi-dabrafeniba malo vjerovatan.</w:t>
      </w:r>
    </w:p>
    <w:p w:rsidR="004D038C" w:rsidRPr="004D038C" w:rsidRDefault="004D038C"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Dabrafenib je </w:t>
      </w:r>
      <w:r w:rsidRPr="004D038C">
        <w:rPr>
          <w:rFonts w:ascii="Times New Roman" w:eastAsia="Times New Roman" w:hAnsi="Times New Roman" w:cs="Times New Roman"/>
          <w:i/>
          <w:lang w:val="hr-HR"/>
        </w:rPr>
        <w:t>in vitro</w:t>
      </w:r>
      <w:r w:rsidRPr="004D038C">
        <w:rPr>
          <w:rFonts w:ascii="Times New Roman" w:eastAsia="Times New Roman" w:hAnsi="Times New Roman" w:cs="Times New Roman"/>
          <w:lang w:val="hr-HR"/>
        </w:rPr>
        <w:t xml:space="preserve"> supstrat humanog P-glikoproteina (Pgp) i mišijeg BCRP. Međutim, ovi transporteri imaju minimalno dejstvo na bioraspoloživost i eliminaciju oralno primijenjenog dabrafeniba, a rizik za klinički značajne interakcije ljekova sa inhibitorima Pgp-a ili BCRP-a je nizak. </w:t>
      </w:r>
      <w:r w:rsidRPr="004D038C">
        <w:rPr>
          <w:rFonts w:ascii="Times New Roman" w:eastAsia="Times New Roman" w:hAnsi="Times New Roman" w:cs="Times New Roman"/>
          <w:i/>
          <w:lang w:val="hr-HR"/>
        </w:rPr>
        <w:t xml:space="preserve">In vitro </w:t>
      </w:r>
      <w:r w:rsidRPr="004D038C">
        <w:rPr>
          <w:rFonts w:ascii="Times New Roman" w:eastAsia="Times New Roman" w:hAnsi="Times New Roman" w:cs="Times New Roman"/>
          <w:lang w:val="hr-HR"/>
        </w:rPr>
        <w:t>nije pokazano da su dabrafenib i njegova 3 glavna metabolita inhibitori Pgp. Dabrafenib i takođe desmetil dabrafenib su pokazali da su umjereni inhibitori humanog proteina rezistencije karcinom dojke (BCRP); međutim, na osnovu kliničke izloženosti, rizik za lijek-lijek interakcije je minimalan.</w:t>
      </w:r>
    </w:p>
    <w:p w:rsidR="004D038C" w:rsidRPr="004D038C" w:rsidRDefault="004D038C"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lastRenderedPageBreak/>
        <w:t xml:space="preserve">Iako su dabrafenib i njegovi metaboliti, hidroksi dabrafenib, karboksi dabrafenib i desmetil dabrafenib, </w:t>
      </w:r>
      <w:r w:rsidRPr="004D038C">
        <w:rPr>
          <w:rFonts w:ascii="Times New Roman" w:eastAsia="Times New Roman" w:hAnsi="Times New Roman" w:cs="Times New Roman"/>
          <w:i/>
          <w:lang w:val="hr-HR"/>
        </w:rPr>
        <w:t>in vitro</w:t>
      </w:r>
      <w:r w:rsidRPr="004D038C">
        <w:rPr>
          <w:rFonts w:ascii="Times New Roman" w:eastAsia="Times New Roman" w:hAnsi="Times New Roman" w:cs="Times New Roman"/>
          <w:lang w:val="hr-HR"/>
        </w:rPr>
        <w:t xml:space="preserve"> inhibitori humanog organskog anjonskog transportera (OAT)1 i OAT3, na osnovu kliničke izloženosti rizik od interakcije sa drugim lijekom je minimalan.</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C020F1" w:rsidRDefault="00C020F1" w:rsidP="00C020F1">
      <w:pPr>
        <w:spacing w:after="0" w:line="240" w:lineRule="auto"/>
        <w:jc w:val="both"/>
        <w:rPr>
          <w:rFonts w:ascii="Times New Roman" w:eastAsia="Times New Roman" w:hAnsi="Times New Roman" w:cs="Times New Roman"/>
          <w:i/>
          <w:u w:val="single"/>
          <w:lang w:val="hr-HR"/>
        </w:rPr>
      </w:pPr>
      <w:r>
        <w:rPr>
          <w:rFonts w:ascii="Times New Roman" w:eastAsia="Times New Roman" w:hAnsi="Times New Roman" w:cs="Times New Roman"/>
          <w:i/>
          <w:u w:val="single"/>
          <w:lang w:val="hr-HR"/>
        </w:rPr>
        <w:t>Eliminacija</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Poluvrijeme eliminacije dabrafeniba poslije intravenske primjene jedne mikrodoze je 2.6 sati. Poluvrijeme eliminacije dabrafeniba poslije jedne oralno primijenjene doze je 8 sati zahvaljujući eliminaciji koja je poslije peroralne primjene, ograničena resorpcijom (flip-flop farmakokinetika). i.v. klirens plazme je 12 l/h.</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Poslije oralne doze, glavni put eliminacije dabrafeniba je metabolizam, posredovan CYP3A4 i CYP2C8. Jedinjenja koji potiču od dabrafeniba se primarno izlučuju putem stolice, 71% oralne doze pronađeno je u stolici; 23% je pronađeno u urinu samo u obliku metabolita.</w:t>
      </w:r>
    </w:p>
    <w:p w:rsidR="004D038C" w:rsidRPr="004D038C" w:rsidRDefault="004D038C" w:rsidP="004D038C">
      <w:pPr>
        <w:spacing w:after="0" w:line="240" w:lineRule="auto"/>
        <w:jc w:val="both"/>
        <w:rPr>
          <w:rFonts w:ascii="Times New Roman" w:eastAsia="Times New Roman" w:hAnsi="Times New Roman" w:cs="Times New Roman"/>
          <w:u w:val="single"/>
          <w:lang w:val="hr-HR"/>
        </w:rPr>
      </w:pPr>
    </w:p>
    <w:p w:rsidR="004D038C" w:rsidRPr="004D038C" w:rsidRDefault="004D038C" w:rsidP="004D038C">
      <w:pPr>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Posebne populacije pacijenata</w:t>
      </w:r>
    </w:p>
    <w:p w:rsidR="004D038C" w:rsidRPr="004D038C" w:rsidRDefault="004D038C" w:rsidP="004D038C">
      <w:pPr>
        <w:keepNext/>
        <w:tabs>
          <w:tab w:val="left" w:pos="0"/>
        </w:tabs>
        <w:spacing w:after="0" w:line="240" w:lineRule="auto"/>
        <w:rPr>
          <w:rFonts w:ascii="Times New Roman" w:eastAsia="Times New Roman" w:hAnsi="Times New Roman" w:cs="Times New Roman"/>
          <w:u w:val="single"/>
          <w:lang w:val="hr-HR"/>
        </w:rPr>
      </w:pPr>
    </w:p>
    <w:p w:rsidR="004D038C" w:rsidRPr="00C020F1" w:rsidRDefault="004D038C" w:rsidP="004D038C">
      <w:pPr>
        <w:keepNext/>
        <w:tabs>
          <w:tab w:val="left" w:pos="0"/>
        </w:tabs>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bCs/>
          <w:i/>
          <w:iCs/>
          <w:u w:val="single"/>
          <w:lang w:val="hr-HR"/>
        </w:rPr>
        <w:t>Oštećenje jetre</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lang w:val="hr-HR"/>
        </w:rPr>
        <w:t xml:space="preserve">Analiza populacione farmakokinetike ukazala je na to da blago povišene koncentracije bilirubina i/ili AST (na osnovu klasifikacije </w:t>
      </w:r>
      <w:r w:rsidRPr="004D038C">
        <w:rPr>
          <w:rFonts w:ascii="Times New Roman" w:eastAsia="Times New Roman" w:hAnsi="Times New Roman" w:cs="Times New Roman"/>
          <w:i/>
          <w:lang w:val="hr-HR"/>
        </w:rPr>
        <w:t>National Cancer Institute</w:t>
      </w:r>
      <w:r w:rsidRPr="004D038C">
        <w:rPr>
          <w:rFonts w:ascii="Times New Roman" w:eastAsia="Times New Roman" w:hAnsi="Times New Roman" w:cs="Times New Roman"/>
          <w:lang w:val="hr-HR"/>
        </w:rPr>
        <w:t xml:space="preserve"> [NCI]) ne utiču značajno na klirens dabrafeniba poslije peroralne primjene. Osim toga, blago oštećenje jetre definisano koncentracijom bilirubina i AST nije imalo značajan uticaj na koncentracije metabolita dabrafeniba u plazmi. Nijesu dostupni podaci za pacijente sa umjerenim i teškim oštećenjem jetre. Kako su metabolizam u jetri i izlučivanje putem žuči primarni putevi eliminacije dabrafeniba i njegovih metabolita, dabrafenib treba primjenjivati sa oprezom kod pacijenata sa umjerenim do teškim oštećenjem jetre (vidjeti odjeljak 4.2).</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bCs/>
          <w:i/>
          <w:iCs/>
          <w:lang w:val="hr-HR"/>
        </w:rPr>
      </w:pPr>
    </w:p>
    <w:p w:rsidR="004D038C" w:rsidRPr="00C020F1" w:rsidRDefault="004D038C" w:rsidP="004D038C">
      <w:pPr>
        <w:keepNext/>
        <w:tabs>
          <w:tab w:val="left" w:pos="0"/>
        </w:tabs>
        <w:spacing w:after="0" w:line="240" w:lineRule="auto"/>
        <w:jc w:val="both"/>
        <w:rPr>
          <w:rFonts w:ascii="Times New Roman" w:eastAsia="Times New Roman" w:hAnsi="Times New Roman" w:cs="Times New Roman"/>
          <w:bCs/>
          <w:i/>
          <w:iCs/>
          <w:u w:val="single"/>
          <w:lang w:val="hr-HR"/>
        </w:rPr>
      </w:pPr>
      <w:r w:rsidRPr="004D038C">
        <w:rPr>
          <w:rFonts w:ascii="Times New Roman" w:eastAsia="Times New Roman" w:hAnsi="Times New Roman" w:cs="Times New Roman"/>
          <w:i/>
          <w:iCs/>
          <w:u w:val="single"/>
          <w:lang w:val="hr-HR"/>
        </w:rPr>
        <w:t>Oštećenje bubrega</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Analiza populacione farmakokinetike ukazala je na to da umjereno oštećenje bubrega ne utiče na klirens dabrafeniba poslije peroralne primjene. Iako su podaci za umjereno oštećenje bubrega ograničeni, oni mogu ukazivati da ne postoji klinički značajno dejstvo. Podaci za osobe sa teškim oštećenjem bubrega nijesu dostupni</w:t>
      </w:r>
      <w:r w:rsidRPr="004D038C">
        <w:rPr>
          <w:rFonts w:ascii="Times New Roman" w:eastAsia="Times New Roman" w:hAnsi="Times New Roman" w:cs="Times New Roman"/>
          <w:i/>
          <w:iCs/>
          <w:lang w:val="hr-HR"/>
        </w:rPr>
        <w:t xml:space="preserve"> </w:t>
      </w:r>
      <w:r w:rsidRPr="004D038C">
        <w:rPr>
          <w:rFonts w:ascii="Times New Roman" w:eastAsia="Times New Roman" w:hAnsi="Times New Roman" w:cs="Times New Roman"/>
          <w:lang w:val="hr-HR"/>
        </w:rPr>
        <w:t>(vidjeti odjeljak 4.2).</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C020F1" w:rsidRDefault="004D038C" w:rsidP="004D038C">
      <w:pPr>
        <w:keepNext/>
        <w:tabs>
          <w:tab w:val="left" w:pos="0"/>
        </w:tabs>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i/>
          <w:iCs/>
          <w:u w:val="single"/>
          <w:lang w:val="hr-HR"/>
        </w:rPr>
        <w:t>S</w:t>
      </w:r>
      <w:r w:rsidR="00C020F1">
        <w:rPr>
          <w:rFonts w:ascii="Times New Roman" w:eastAsia="Times New Roman" w:hAnsi="Times New Roman" w:cs="Times New Roman"/>
          <w:i/>
          <w:iCs/>
          <w:u w:val="single"/>
          <w:lang w:val="hr-HR"/>
        </w:rPr>
        <w:t>tariji pacijenti</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Na osnovu analize populacione farmakokinetike starost nije imala značajan uticaj na farmakokinetiku dabrafeniba. Starost iznad 75 godina bila je značajan prediktor koncentracije karboksi- i dezmetil dabrafeniba u plazmi sa 40% jačom izloženošću kod ispitanika ≥75 godina starosti, u poređenju sa ispitanicima &lt;75 godina.</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p>
    <w:p w:rsidR="004D038C" w:rsidRPr="00C020F1" w:rsidRDefault="00C020F1" w:rsidP="004D038C">
      <w:pPr>
        <w:keepNext/>
        <w:tabs>
          <w:tab w:val="left" w:pos="0"/>
        </w:tabs>
        <w:spacing w:after="0" w:line="240" w:lineRule="auto"/>
        <w:jc w:val="both"/>
        <w:rPr>
          <w:rFonts w:ascii="Times New Roman" w:eastAsia="Times New Roman" w:hAnsi="Times New Roman" w:cs="Times New Roman"/>
          <w:i/>
          <w:iCs/>
          <w:u w:val="single"/>
          <w:lang w:val="hr-HR"/>
        </w:rPr>
      </w:pPr>
      <w:r>
        <w:rPr>
          <w:rFonts w:ascii="Times New Roman" w:eastAsia="Times New Roman" w:hAnsi="Times New Roman" w:cs="Times New Roman"/>
          <w:i/>
          <w:iCs/>
          <w:u w:val="single"/>
          <w:lang w:val="hr-HR"/>
        </w:rPr>
        <w:t>Tjelesna masa i pol</w:t>
      </w:r>
    </w:p>
    <w:p w:rsidR="001F0C96" w:rsidRDefault="001F0C96"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1F0C96" w:rsidRDefault="004D038C" w:rsidP="001F0C96">
      <w:pPr>
        <w:widowControl w:val="0"/>
        <w:tabs>
          <w:tab w:val="left" w:pos="0"/>
        </w:tabs>
        <w:spacing w:after="0" w:line="240" w:lineRule="auto"/>
        <w:jc w:val="both"/>
        <w:rPr>
          <w:rFonts w:ascii="Times New Roman" w:eastAsia="Times New Roman" w:hAnsi="Times New Roman" w:cs="Times New Roman"/>
          <w:i/>
          <w:iCs/>
          <w:lang w:val="hr-HR"/>
        </w:rPr>
      </w:pPr>
      <w:r w:rsidRPr="004D038C">
        <w:rPr>
          <w:rFonts w:ascii="Times New Roman" w:eastAsia="Times New Roman" w:hAnsi="Times New Roman" w:cs="Times New Roman"/>
          <w:lang w:val="hr-HR"/>
        </w:rPr>
        <w:t>Na osnovu analize populacione farmakokinetike, pol i tjelesna masa su uticale na klirens dabrafeniba poslije peroralne primjene; masa je takođe uticala na volumen distribucije i klirens. Ove farmakokinetičke razlike nijesu smatrane klinički značajnim.</w:t>
      </w:r>
    </w:p>
    <w:p w:rsidR="001F0C96" w:rsidRDefault="001F0C96" w:rsidP="004D038C">
      <w:pPr>
        <w:keepNext/>
        <w:tabs>
          <w:tab w:val="left" w:pos="0"/>
        </w:tabs>
        <w:spacing w:after="0" w:line="240" w:lineRule="auto"/>
        <w:jc w:val="both"/>
        <w:rPr>
          <w:rFonts w:ascii="Times New Roman" w:eastAsia="Times New Roman" w:hAnsi="Times New Roman" w:cs="Times New Roman"/>
          <w:bCs/>
          <w:i/>
          <w:iCs/>
          <w:color w:val="000000"/>
          <w:u w:val="single"/>
          <w:lang w:val="hr-HR"/>
        </w:rPr>
      </w:pPr>
    </w:p>
    <w:p w:rsidR="004D038C" w:rsidRPr="00C020F1" w:rsidRDefault="00C020F1" w:rsidP="004D038C">
      <w:pPr>
        <w:keepNext/>
        <w:tabs>
          <w:tab w:val="left" w:pos="0"/>
        </w:tabs>
        <w:spacing w:after="0" w:line="240" w:lineRule="auto"/>
        <w:jc w:val="both"/>
        <w:rPr>
          <w:rFonts w:ascii="Times New Roman" w:eastAsia="Times New Roman" w:hAnsi="Times New Roman" w:cs="Times New Roman"/>
          <w:bCs/>
          <w:i/>
          <w:iCs/>
          <w:color w:val="000000"/>
          <w:u w:val="single"/>
          <w:lang w:val="hr-HR"/>
        </w:rPr>
      </w:pPr>
      <w:r>
        <w:rPr>
          <w:rFonts w:ascii="Times New Roman" w:eastAsia="Times New Roman" w:hAnsi="Times New Roman" w:cs="Times New Roman"/>
          <w:bCs/>
          <w:i/>
          <w:iCs/>
          <w:color w:val="000000"/>
          <w:u w:val="single"/>
          <w:lang w:val="hr-HR"/>
        </w:rPr>
        <w:t>Rasa</w:t>
      </w:r>
    </w:p>
    <w:p w:rsidR="001F0C96" w:rsidRDefault="001F0C96" w:rsidP="004D038C">
      <w:pPr>
        <w:tabs>
          <w:tab w:val="left" w:pos="540"/>
          <w:tab w:val="left" w:pos="569"/>
        </w:tabs>
        <w:spacing w:after="0" w:line="240" w:lineRule="auto"/>
        <w:jc w:val="both"/>
        <w:rPr>
          <w:rFonts w:ascii="Times New Roman" w:eastAsia="Times New Roman" w:hAnsi="Times New Roman" w:cs="Times New Roman"/>
          <w:bCs/>
          <w:color w:val="000000"/>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color w:val="000000"/>
          <w:lang w:val="hr-HR"/>
        </w:rPr>
      </w:pPr>
      <w:r w:rsidRPr="004D038C">
        <w:rPr>
          <w:rFonts w:ascii="Times New Roman" w:eastAsia="Times New Roman" w:hAnsi="Times New Roman" w:cs="Times New Roman"/>
          <w:bCs/>
          <w:color w:val="000000"/>
          <w:lang w:val="hr-HR"/>
        </w:rPr>
        <w:lastRenderedPageBreak/>
        <w:t xml:space="preserve">Populaciona farmakokinetička analiza je pokazala da nema značajne razlike u farmakokinetici dabrafeniba između pacijenata azijskog porijekla i pacijenata bijele rase. Nema dovoljno podataka za procjenu potencijalnog uticaja drugih rasa na farmakokinetiku </w:t>
      </w:r>
      <w:r w:rsidRPr="004D038C">
        <w:rPr>
          <w:rFonts w:ascii="Times New Roman" w:eastAsia="Times New Roman" w:hAnsi="Times New Roman" w:cs="Times New Roman"/>
          <w:color w:val="000000"/>
          <w:lang w:val="hr-HR"/>
        </w:rPr>
        <w:t>dabrafeniba.</w:t>
      </w: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color w:val="000000"/>
          <w:lang w:val="hr-HR"/>
        </w:rPr>
      </w:pPr>
    </w:p>
    <w:p w:rsidR="004D038C" w:rsidRPr="00C020F1" w:rsidRDefault="004D038C" w:rsidP="004D038C">
      <w:pPr>
        <w:keepNext/>
        <w:tabs>
          <w:tab w:val="left" w:pos="0"/>
        </w:tabs>
        <w:spacing w:after="0" w:line="240" w:lineRule="auto"/>
        <w:jc w:val="both"/>
        <w:rPr>
          <w:rFonts w:ascii="Times New Roman" w:eastAsia="Times New Roman" w:hAnsi="Times New Roman" w:cs="Times New Roman"/>
          <w:i/>
          <w:iCs/>
          <w:u w:val="single"/>
          <w:lang w:val="hr-HR"/>
        </w:rPr>
      </w:pPr>
      <w:r w:rsidRPr="004D038C">
        <w:rPr>
          <w:rFonts w:ascii="Times New Roman" w:eastAsia="Times New Roman" w:hAnsi="Times New Roman" w:cs="Times New Roman"/>
          <w:bCs/>
          <w:i/>
          <w:iCs/>
          <w:u w:val="single"/>
          <w:lang w:val="hr-HR"/>
        </w:rPr>
        <w:t>Pedijatrijska populacija</w:t>
      </w:r>
    </w:p>
    <w:p w:rsidR="001F0C96" w:rsidRDefault="001F0C96" w:rsidP="004D038C">
      <w:pPr>
        <w:tabs>
          <w:tab w:val="left" w:pos="540"/>
          <w:tab w:val="left" w:pos="569"/>
        </w:tabs>
        <w:spacing w:after="0" w:line="240" w:lineRule="auto"/>
        <w:jc w:val="both"/>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 xml:space="preserve">Nije sprovedeno nijedno ispitivanje farmakokinetike </w:t>
      </w:r>
      <w:r w:rsidRPr="004D038C">
        <w:rPr>
          <w:rFonts w:ascii="Times New Roman" w:eastAsia="Times New Roman" w:hAnsi="Times New Roman" w:cs="Times New Roman"/>
          <w:lang w:val="hr-HR"/>
        </w:rPr>
        <w:t>dabrafeniba</w:t>
      </w:r>
      <w:r w:rsidRPr="004D038C">
        <w:rPr>
          <w:rFonts w:ascii="Times New Roman" w:eastAsia="Times New Roman" w:hAnsi="Times New Roman" w:cs="Times New Roman"/>
          <w:bCs/>
          <w:lang w:val="hr-HR"/>
        </w:rPr>
        <w:t xml:space="preserve"> u pedijatrijskoj populaciji pacijenata.</w:t>
      </w:r>
    </w:p>
    <w:p w:rsidR="004D038C" w:rsidRPr="004D038C" w:rsidRDefault="004D038C" w:rsidP="004D038C">
      <w:pPr>
        <w:keepNext/>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5.3. </w:t>
      </w:r>
      <w:r w:rsidRPr="004D038C">
        <w:rPr>
          <w:rFonts w:ascii="Times New Roman" w:eastAsia="Times New Roman" w:hAnsi="Times New Roman" w:cs="Times New Roman"/>
          <w:b/>
          <w:bCs/>
          <w:lang w:val="hr-HR"/>
        </w:rPr>
        <w:tab/>
        <w:t xml:space="preserve">Pretklinički podaci o bezbjednosti </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Nijesu obavljena ispitivanja kancerogenosti sa dabrafenibom. U </w:t>
      </w:r>
      <w:r w:rsidRPr="004D038C">
        <w:rPr>
          <w:rFonts w:ascii="Times New Roman" w:eastAsia="Times New Roman" w:hAnsi="Times New Roman" w:cs="Times New Roman"/>
          <w:i/>
          <w:iCs/>
          <w:lang w:val="hr-HR"/>
        </w:rPr>
        <w:t>in vitro</w:t>
      </w:r>
      <w:r w:rsidRPr="004D038C">
        <w:rPr>
          <w:rFonts w:ascii="Times New Roman" w:eastAsia="Times New Roman" w:hAnsi="Times New Roman" w:cs="Times New Roman"/>
          <w:lang w:val="hr-HR"/>
        </w:rPr>
        <w:t xml:space="preserve"> testovima na bakterijama i kulturama ćelija sisara, i u </w:t>
      </w:r>
      <w:r w:rsidRPr="004D038C">
        <w:rPr>
          <w:rFonts w:ascii="Times New Roman" w:eastAsia="Times New Roman" w:hAnsi="Times New Roman" w:cs="Times New Roman"/>
          <w:i/>
          <w:iCs/>
          <w:lang w:val="hr-HR"/>
        </w:rPr>
        <w:t>in vivo</w:t>
      </w:r>
      <w:r w:rsidRPr="004D038C">
        <w:rPr>
          <w:rFonts w:ascii="Times New Roman" w:eastAsia="Times New Roman" w:hAnsi="Times New Roman" w:cs="Times New Roman"/>
          <w:lang w:val="hr-HR"/>
        </w:rPr>
        <w:t xml:space="preserve"> na mikronukleus testu na glodarima, dabrafenib nije pokazao mutagenu ili klastogenu aktivnost.</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kombinovanom ispitivanju plodnosti ženki, ranog embrionalnog i embriofetalnog razvoja kod pacova, broj ovarijumskih žutih tijela se kod skotnih ženki smanjio na 300 mg/kg/dan (približno 3 puta kliničke izloženosti kod ljudi na osnovu PIK), ali nije bilo efekta na reproduktivni ciklus, parenje ili plodnost. Razvojna toksičnost, uključujući smrtnost embriona i defekte ventrikularnog septuma i varijacije u obliku timusa, nađena je pri 300 kg/kg/dan, uz odložen razvoj skeleta, kao i smanjenje tjelesne mase fetusa na ≥20 mg/kg/dan (≥0.,5 puta kliničke ekspozicije kod ljudi zasnovano na PIK).</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Nijesu obavljena ispitivanja plodnosti mužjaka sa dabrafenibom. Međutim, u ispitivanjima sa ponovljenim dozama, kod pacova i pasa uočena je testikularna degeneracija/deplecija (≥0.2 puta kliničke ekspozicije kod ljudi zasnovano na PIK). Promjene na testisima pacova i pasa bile su još uvijek vidljive poslije perioda oporavka od 4 nedjelje (vidjeti odjeljak 4.6).</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Dejstvo na kardiovaskularni sistem, uključujući degeneraciju/nekrozu koronarne arterije i/ili krvarenje, hipertrofiju/krvarenje atrioventrikularnog srčanog zaliska, kao i fibrovaskularnu proliferaciju atrijuma uočeni su kod pasa (≥2 puta kliničke ekspozicije zasnovano na PIK). Primjećena je žarišna arterijska/perivaskularna upala u različitim tkivima kod miševa kao i povećana incidenca degeneracije hepatičke arterije i spontana degeneracija kardiomiocita s upalom (spontana kardiomiopatija) kod pacova (kod pacova je ekspozicija iznosila ≥0.5 puta, a kod miševa ≥0.6 puta kliničke ekspozicije). Kod miševa su primijećeni dejstvo na jetru, uključujući hepatocelularnu nekrozu i upalu (pri ekspoziciji ≥0.6 puta kliničke ekspozicije). Kod nekoliko pasa je nađena bronhoalveolarna upala pluća pri dozama ≥20 mg/kg/dan (≥9 puta kliničke ekspozicije kod ljudi zasnovano na PIK) koja je bila povezana s plitkim i/ili teškim disanjem.</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Kod pasa i pacova su poslije aplikacije dabrafeniba uočeni reverzibilni hematološki efekti. U ispitivanjima koja su trajala do 13 nedjelja, kod pasa i pacova je nađeno smanjenje broja retikulocita i/ili crvenih krvnih zrnaca (≥10 odnosno 1.4 puta kliničke izloženosti).</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ispitivanjima juvenilne toksičnosti na pacovima, uočeno je dejstvo na rast (skraćena duga nožna kost), bubrežna toksičnost (tubularni depoziti, povećana incidenca kortikalnih cista, tubularna bazofilija i reverzibilno povećanje koncentracije ureje i/ili kreatinina i uočena je testikularna toksičnost (degeneracija i dilatacija kanalića) (≥0.2 puta kliničke ekspozicije kod ljudi zasnovano na PIK).</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 xml:space="preserve">Dabrafenib je bio fototoksičan u </w:t>
      </w:r>
      <w:r w:rsidRPr="004D038C">
        <w:rPr>
          <w:rFonts w:ascii="Times New Roman" w:eastAsia="Times New Roman" w:hAnsi="Times New Roman" w:cs="Times New Roman"/>
          <w:i/>
          <w:iCs/>
          <w:lang w:val="hr-HR"/>
        </w:rPr>
        <w:t>in vitro</w:t>
      </w:r>
      <w:r w:rsidRPr="004D038C">
        <w:rPr>
          <w:rFonts w:ascii="Times New Roman" w:eastAsia="Times New Roman" w:hAnsi="Times New Roman" w:cs="Times New Roman"/>
          <w:lang w:val="hr-HR"/>
        </w:rPr>
        <w:t xml:space="preserve"> testu na mišjim fibroblastima 3T3 Neutral Red Uptake (NRU) i </w:t>
      </w:r>
      <w:r w:rsidRPr="004D038C">
        <w:rPr>
          <w:rFonts w:ascii="Times New Roman" w:eastAsia="Times New Roman" w:hAnsi="Times New Roman" w:cs="Times New Roman"/>
          <w:i/>
          <w:lang w:val="hr-HR"/>
        </w:rPr>
        <w:t>in vivo</w:t>
      </w:r>
      <w:r w:rsidRPr="004D038C">
        <w:rPr>
          <w:rFonts w:ascii="Times New Roman" w:eastAsia="Times New Roman" w:hAnsi="Times New Roman" w:cs="Times New Roman"/>
          <w:lang w:val="hr-HR"/>
        </w:rPr>
        <w:t xml:space="preserve"> pri dozi od ≥100mg/kg (&gt;44 puta kliničke ekspozicije kod ljudi zasnovano na Cmax) u studijama </w:t>
      </w:r>
      <w:r w:rsidRPr="004D038C">
        <w:rPr>
          <w:rFonts w:ascii="Times New Roman" w:eastAsia="Times New Roman" w:hAnsi="Times New Roman" w:cs="Times New Roman"/>
          <w:lang w:val="hr-HR"/>
        </w:rPr>
        <w:lastRenderedPageBreak/>
        <w:t>fototoksičnosti nakon oralne primjene kod miševa bez dlake.</w:t>
      </w:r>
    </w:p>
    <w:p w:rsidR="004D038C" w:rsidRPr="004D038C" w:rsidRDefault="004D038C" w:rsidP="004D038C">
      <w:pPr>
        <w:widowControl w:val="0"/>
        <w:tabs>
          <w:tab w:val="left" w:pos="0"/>
        </w:tabs>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Kombinovana terapija sa trametinibom</w:t>
      </w:r>
    </w:p>
    <w:p w:rsidR="004D038C" w:rsidRPr="004D038C" w:rsidRDefault="004D038C" w:rsidP="004D038C">
      <w:pPr>
        <w:spacing w:after="0" w:line="240" w:lineRule="auto"/>
        <w:jc w:val="both"/>
        <w:rPr>
          <w:rFonts w:ascii="Times New Roman" w:eastAsia="Times New Roman" w:hAnsi="Times New Roman" w:cs="Times New Roman"/>
          <w:lang w:val="hr-HR"/>
        </w:rPr>
      </w:pPr>
    </w:p>
    <w:p w:rsidR="004D038C" w:rsidRPr="004D038C" w:rsidRDefault="004D038C" w:rsidP="004D038C">
      <w:pPr>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lang w:val="hr-HR"/>
        </w:rPr>
        <w:t>U studiji na psima koji su primali trametinib i dabrafenib u kombinaciji tokom 4 nedjelje zabilježeni su znaci gastrointestinalne toksičnosti i smanjena celularnost limfnog tkiva timusa pri nižim izloženostima nego kod pasa kojima se davao samo trametinib. U svemu ostalom je primijećena slična tokisčnost u poređenju sa studijama monoterapije ovih ljekova.</w:t>
      </w:r>
    </w:p>
    <w:p w:rsidR="004D038C" w:rsidRDefault="004D038C" w:rsidP="004D038C">
      <w:pPr>
        <w:tabs>
          <w:tab w:val="left" w:pos="540"/>
          <w:tab w:val="left" w:pos="569"/>
        </w:tabs>
        <w:spacing w:after="0" w:line="240" w:lineRule="auto"/>
        <w:jc w:val="both"/>
        <w:rPr>
          <w:rFonts w:ascii="Times New Roman" w:eastAsia="Times New Roman" w:hAnsi="Times New Roman" w:cs="Times New Roman"/>
          <w:b/>
          <w:bCs/>
          <w:lang w:val="hr-HR"/>
        </w:rPr>
      </w:pPr>
    </w:p>
    <w:p w:rsidR="00C020F1" w:rsidRPr="004D038C" w:rsidRDefault="00C020F1" w:rsidP="004D038C">
      <w:pPr>
        <w:tabs>
          <w:tab w:val="left" w:pos="540"/>
          <w:tab w:val="left" w:pos="569"/>
        </w:tabs>
        <w:spacing w:after="0" w:line="240" w:lineRule="auto"/>
        <w:jc w:val="both"/>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6. </w:t>
      </w:r>
      <w:r w:rsidRPr="004D038C">
        <w:rPr>
          <w:rFonts w:ascii="Times New Roman" w:eastAsia="Times New Roman" w:hAnsi="Times New Roman" w:cs="Times New Roman"/>
          <w:b/>
          <w:bCs/>
          <w:lang w:val="hr-HR"/>
        </w:rPr>
        <w:tab/>
        <w:t>FARMACEUTSKI PODACI</w:t>
      </w:r>
    </w:p>
    <w:p w:rsidR="00C020F1" w:rsidRPr="004D038C" w:rsidRDefault="00C020F1"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6.1. </w:t>
      </w:r>
      <w:r w:rsidRPr="004D038C">
        <w:rPr>
          <w:rFonts w:ascii="Times New Roman" w:eastAsia="Times New Roman" w:hAnsi="Times New Roman" w:cs="Times New Roman"/>
          <w:b/>
          <w:bCs/>
          <w:lang w:val="hr-HR"/>
        </w:rPr>
        <w:tab/>
        <w:t>Lista pomoćnih supstanci</w:t>
      </w:r>
    </w:p>
    <w:p w:rsidR="004D038C" w:rsidRPr="004D038C" w:rsidRDefault="004D038C" w:rsidP="004D038C">
      <w:pPr>
        <w:spacing w:after="0" w:line="240" w:lineRule="auto"/>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50 mg, kapsula</w:t>
      </w:r>
      <w:r w:rsidR="000E5B0F">
        <w:rPr>
          <w:rFonts w:ascii="Times New Roman" w:eastAsia="Times New Roman" w:hAnsi="Times New Roman" w:cs="Times New Roman"/>
          <w:u w:val="single"/>
          <w:lang w:val="pl-PL"/>
        </w:rPr>
        <w:t>,</w:t>
      </w:r>
      <w:r w:rsidRPr="004D038C">
        <w:rPr>
          <w:rFonts w:ascii="Times New Roman" w:eastAsia="Times New Roman" w:hAnsi="Times New Roman" w:cs="Times New Roman"/>
          <w:u w:val="single"/>
          <w:lang w:val="pl-PL"/>
        </w:rPr>
        <w:t xml:space="preserve"> tvrda </w:t>
      </w:r>
    </w:p>
    <w:p w:rsidR="004D038C" w:rsidRPr="004D038C" w:rsidRDefault="004D038C" w:rsidP="004D038C">
      <w:pPr>
        <w:keepNext/>
        <w:tabs>
          <w:tab w:val="left" w:pos="0"/>
        </w:tabs>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Sadržaj kapsula</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celuloza, mikrokristalna</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magnezijum stearat</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silicijum dioksid, koloidni</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Omotač kapsule</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gvožđe (III) oksid, crveni (E172)</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titan dioksid (E171)</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hipromeloza (E464)</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u w:val="single"/>
          <w:lang w:val="hr-HR"/>
        </w:rPr>
        <w:t>Mastilo za obilježavanje</w:t>
      </w:r>
      <w:r w:rsidRPr="004D038C">
        <w:rPr>
          <w:rFonts w:ascii="Times New Roman" w:eastAsia="Times New Roman" w:hAnsi="Times New Roman" w:cs="Times New Roman"/>
          <w:lang w:val="hr-HR"/>
        </w:rPr>
        <w:t>:</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gvožđe (III) oksid, crni (E172)</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šelak</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propilen glikol</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spacing w:after="0" w:line="240" w:lineRule="auto"/>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75 mg, kapsula</w:t>
      </w:r>
      <w:r w:rsidR="000E5B0F">
        <w:rPr>
          <w:rFonts w:ascii="Times New Roman" w:eastAsia="Times New Roman" w:hAnsi="Times New Roman" w:cs="Times New Roman"/>
          <w:u w:val="single"/>
          <w:lang w:val="pl-PL"/>
        </w:rPr>
        <w:t>,</w:t>
      </w:r>
      <w:r w:rsidRPr="004D038C">
        <w:rPr>
          <w:rFonts w:ascii="Times New Roman" w:eastAsia="Times New Roman" w:hAnsi="Times New Roman" w:cs="Times New Roman"/>
          <w:u w:val="single"/>
          <w:lang w:val="pl-PL"/>
        </w:rPr>
        <w:t xml:space="preserve"> tvrda </w:t>
      </w:r>
    </w:p>
    <w:p w:rsidR="004D038C" w:rsidRPr="004D038C" w:rsidRDefault="004D038C" w:rsidP="004D038C">
      <w:pPr>
        <w:keepNext/>
        <w:tabs>
          <w:tab w:val="left" w:pos="0"/>
        </w:tabs>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Sadržaj kapsula</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celuloza, mikrokristalna</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magnezijum stearat</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silicijum dioksid, koloidni</w:t>
      </w:r>
    </w:p>
    <w:p w:rsidR="004D038C" w:rsidRPr="004D038C" w:rsidRDefault="004D038C" w:rsidP="004D038C">
      <w:pPr>
        <w:keepNext/>
        <w:autoSpaceDE w:val="0"/>
        <w:autoSpaceDN w:val="0"/>
        <w:adjustRightInd w:val="0"/>
        <w:spacing w:after="0" w:line="240" w:lineRule="auto"/>
        <w:rPr>
          <w:rFonts w:ascii="Times New Roman" w:eastAsia="Times New Roman" w:hAnsi="Times New Roman" w:cs="Times New Roman"/>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u w:val="single"/>
          <w:lang w:val="hr-HR"/>
        </w:rPr>
      </w:pPr>
      <w:r w:rsidRPr="004D038C">
        <w:rPr>
          <w:rFonts w:ascii="Times New Roman" w:eastAsia="Times New Roman" w:hAnsi="Times New Roman" w:cs="Times New Roman"/>
          <w:u w:val="single"/>
          <w:lang w:val="hr-HR"/>
        </w:rPr>
        <w:t>Omotač kapsule</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gvožđe (III) oksid, crveni (E172)</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titan dioksid (E171)</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hipromeloza (E464)</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color w:val="FF0000"/>
          <w:lang w:val="hr-HR"/>
        </w:rPr>
      </w:pP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u w:val="single"/>
          <w:lang w:val="hr-HR"/>
        </w:rPr>
        <w:t>Mastilo za obilježavanje</w:t>
      </w:r>
      <w:r w:rsidRPr="004D038C">
        <w:rPr>
          <w:rFonts w:ascii="Times New Roman" w:eastAsia="Times New Roman" w:hAnsi="Times New Roman" w:cs="Times New Roman"/>
          <w:lang w:val="hr-HR"/>
        </w:rPr>
        <w:t>:</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gvožđe (III) oksid, crni (E172)</w:t>
      </w:r>
    </w:p>
    <w:p w:rsidR="004D038C" w:rsidRPr="004D038C" w:rsidRDefault="004D038C" w:rsidP="004D038C">
      <w:pPr>
        <w:keepNext/>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šelak</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propilen glikol</w:t>
      </w:r>
    </w:p>
    <w:p w:rsid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p>
    <w:p w:rsidR="00AD54E3" w:rsidRDefault="00AD54E3" w:rsidP="004D038C">
      <w:pPr>
        <w:tabs>
          <w:tab w:val="left" w:pos="540"/>
          <w:tab w:val="left" w:pos="569"/>
        </w:tabs>
        <w:spacing w:after="0" w:line="240" w:lineRule="auto"/>
        <w:rPr>
          <w:rFonts w:ascii="Times New Roman" w:eastAsia="Times New Roman" w:hAnsi="Times New Roman" w:cs="Times New Roman"/>
          <w:b/>
          <w:bCs/>
          <w:lang w:val="hr-HR"/>
        </w:rPr>
      </w:pPr>
    </w:p>
    <w:p w:rsidR="00AD54E3" w:rsidRPr="004D038C" w:rsidRDefault="00AD54E3" w:rsidP="004D038C">
      <w:pPr>
        <w:tabs>
          <w:tab w:val="left" w:pos="540"/>
          <w:tab w:val="left" w:pos="569"/>
        </w:tabs>
        <w:spacing w:after="0" w:line="240" w:lineRule="auto"/>
        <w:rPr>
          <w:rFonts w:ascii="Times New Roman" w:eastAsia="Times New Roman" w:hAnsi="Times New Roman" w:cs="Times New Roman"/>
          <w:b/>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lastRenderedPageBreak/>
        <w:t xml:space="preserve">6.2. </w:t>
      </w:r>
      <w:r w:rsidRPr="004D038C">
        <w:rPr>
          <w:rFonts w:ascii="Times New Roman" w:eastAsia="Times New Roman" w:hAnsi="Times New Roman" w:cs="Times New Roman"/>
          <w:b/>
          <w:bCs/>
          <w:lang w:val="hr-HR"/>
        </w:rPr>
        <w:tab/>
        <w:t>Inkompatibilnosti</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Nije primjenljivo.</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6.3.</w:t>
      </w:r>
      <w:r w:rsidRPr="004D038C">
        <w:rPr>
          <w:rFonts w:ascii="Times New Roman" w:eastAsia="Times New Roman" w:hAnsi="Times New Roman" w:cs="Times New Roman"/>
          <w:b/>
          <w:bCs/>
          <w:lang w:val="hr-HR"/>
        </w:rPr>
        <w:tab/>
        <w:t>Rok upotrebe</w:t>
      </w: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p>
    <w:p w:rsidR="004D038C" w:rsidRPr="004D038C" w:rsidRDefault="004D038C" w:rsidP="004D038C">
      <w:pPr>
        <w:widowControl w:val="0"/>
        <w:tabs>
          <w:tab w:val="left" w:pos="0"/>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Rok upotrebe: 2 godine.</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6.4. </w:t>
      </w:r>
      <w:r w:rsidRPr="004D038C">
        <w:rPr>
          <w:rFonts w:ascii="Times New Roman" w:eastAsia="Times New Roman" w:hAnsi="Times New Roman" w:cs="Times New Roman"/>
          <w:b/>
          <w:bCs/>
          <w:lang w:val="hr-HR"/>
        </w:rPr>
        <w:tab/>
        <w:t>Posebne mjere upozorenja pri čuvanju lijeka</w:t>
      </w:r>
    </w:p>
    <w:p w:rsidR="004D038C" w:rsidRPr="004D038C" w:rsidRDefault="004D038C" w:rsidP="004D038C">
      <w:pPr>
        <w:tabs>
          <w:tab w:val="left" w:pos="284"/>
          <w:tab w:val="center" w:pos="4320"/>
          <w:tab w:val="right" w:pos="8640"/>
        </w:tabs>
        <w:spacing w:after="0" w:line="240" w:lineRule="auto"/>
        <w:rPr>
          <w:rFonts w:ascii="Times New Roman" w:eastAsia="Times New Roman" w:hAnsi="Times New Roman" w:cs="Times New Roman"/>
          <w:noProof/>
          <w:lang w:val="hr-HR"/>
        </w:rPr>
      </w:pPr>
    </w:p>
    <w:p w:rsidR="004D038C" w:rsidRPr="004D038C" w:rsidRDefault="004D038C" w:rsidP="004D038C">
      <w:pPr>
        <w:tabs>
          <w:tab w:val="left" w:pos="284"/>
          <w:tab w:val="center" w:pos="4320"/>
          <w:tab w:val="right" w:pos="8640"/>
        </w:tabs>
        <w:spacing w:after="0" w:line="240" w:lineRule="auto"/>
        <w:rPr>
          <w:rFonts w:ascii="Times New Roman" w:eastAsia="Times New Roman" w:hAnsi="Times New Roman" w:cs="Times New Roman"/>
          <w:noProof/>
          <w:lang w:val="hr-HR"/>
        </w:rPr>
      </w:pPr>
      <w:r w:rsidRPr="004D038C">
        <w:rPr>
          <w:rFonts w:ascii="Times New Roman" w:eastAsia="Times New Roman" w:hAnsi="Times New Roman" w:cs="Times New Roman"/>
          <w:noProof/>
          <w:lang w:val="hr-HR"/>
        </w:rPr>
        <w:t>Lijek ne zahtjeva posebne uslove čuvanja.</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6.5. </w:t>
      </w:r>
      <w:r w:rsidRPr="004D038C">
        <w:rPr>
          <w:rFonts w:ascii="Times New Roman" w:eastAsia="Times New Roman" w:hAnsi="Times New Roman" w:cs="Times New Roman"/>
          <w:b/>
          <w:bCs/>
          <w:lang w:val="hr-HR"/>
        </w:rPr>
        <w:tab/>
        <w:t>Vrsta i sadržaj pakovanja</w:t>
      </w:r>
    </w:p>
    <w:p w:rsidR="004D038C" w:rsidRPr="004D038C" w:rsidRDefault="004D038C" w:rsidP="004D038C">
      <w:pPr>
        <w:spacing w:after="0" w:line="240" w:lineRule="auto"/>
        <w:rPr>
          <w:rFonts w:ascii="Times New Roman" w:eastAsia="Times New Roman" w:hAnsi="Times New Roman" w:cs="Times New Roman"/>
          <w:u w:val="single"/>
          <w:lang w:val="pl-PL"/>
        </w:rPr>
      </w:pPr>
    </w:p>
    <w:p w:rsidR="004D038C" w:rsidRPr="004D038C" w:rsidRDefault="004D038C" w:rsidP="001F0C96">
      <w:pPr>
        <w:spacing w:after="0" w:line="240" w:lineRule="auto"/>
        <w:jc w:val="both"/>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xml:space="preserve">, 50 mg, kapsula, tvrda </w:t>
      </w:r>
    </w:p>
    <w:p w:rsidR="004D038C" w:rsidRPr="004D038C" w:rsidRDefault="004D038C" w:rsidP="001F0C96">
      <w:pPr>
        <w:widowControl w:val="0"/>
        <w:tabs>
          <w:tab w:val="left" w:pos="0"/>
        </w:tabs>
        <w:spacing w:after="0" w:line="240" w:lineRule="auto"/>
        <w:jc w:val="both"/>
        <w:rPr>
          <w:rFonts w:ascii="Times New Roman" w:eastAsia="Times New Roman" w:hAnsi="Times New Roman" w:cs="Times New Roman"/>
          <w:iCs/>
          <w:lang w:val="hr-HR"/>
        </w:rPr>
      </w:pPr>
      <w:r w:rsidRPr="004D038C">
        <w:rPr>
          <w:rFonts w:ascii="Times New Roman" w:eastAsia="Times New Roman" w:hAnsi="Times New Roman" w:cs="Times New Roman"/>
          <w:iCs/>
          <w:lang w:val="hr-HR"/>
        </w:rPr>
        <w:t xml:space="preserve">Gotov proizvod je pakovan u bijele neprovidne boce od polietilena visoke gustine (HDPE) sa sigurnosnim zatvaračem od polipropilena i silika gelom kao desikantom. Svaka boca sadrži 28 kapsula. U kutiji se nalazi jedna boca. </w:t>
      </w:r>
    </w:p>
    <w:p w:rsidR="004D038C" w:rsidRPr="004D038C" w:rsidRDefault="004D038C" w:rsidP="001F0C96">
      <w:pPr>
        <w:widowControl w:val="0"/>
        <w:tabs>
          <w:tab w:val="left" w:pos="0"/>
        </w:tabs>
        <w:spacing w:after="0" w:line="240" w:lineRule="auto"/>
        <w:jc w:val="both"/>
        <w:rPr>
          <w:rFonts w:ascii="Times New Roman" w:eastAsia="Times New Roman" w:hAnsi="Times New Roman" w:cs="Times New Roman"/>
          <w:iCs/>
          <w:lang w:val="hr-HR"/>
        </w:rPr>
      </w:pPr>
    </w:p>
    <w:p w:rsidR="004D038C" w:rsidRPr="004D038C" w:rsidRDefault="004D038C" w:rsidP="001F0C96">
      <w:pPr>
        <w:spacing w:after="0" w:line="240" w:lineRule="auto"/>
        <w:jc w:val="both"/>
        <w:rPr>
          <w:rFonts w:ascii="Times New Roman" w:eastAsia="Times New Roman" w:hAnsi="Times New Roman" w:cs="Times New Roman"/>
          <w:u w:val="single"/>
          <w:lang w:val="pl-PL"/>
        </w:rPr>
      </w:pPr>
      <w:r w:rsidRPr="004D038C">
        <w:rPr>
          <w:rFonts w:ascii="Times New Roman" w:eastAsia="Times New Roman" w:hAnsi="Times New Roman" w:cs="Times New Roman"/>
          <w:u w:val="single"/>
          <w:lang w:val="pl-PL"/>
        </w:rPr>
        <w:t>Tafinlar</w:t>
      </w:r>
      <w:r w:rsidRPr="004D038C">
        <w:rPr>
          <w:rFonts w:ascii="Times New Roman" w:eastAsia="Times New Roman" w:hAnsi="Times New Roman" w:cs="Times New Roman"/>
          <w:u w:val="single"/>
          <w:vertAlign w:val="superscript"/>
          <w:lang w:val="pl-PL"/>
        </w:rPr>
        <w:t>®</w:t>
      </w:r>
      <w:r w:rsidRPr="004D038C">
        <w:rPr>
          <w:rFonts w:ascii="Times New Roman" w:eastAsia="Times New Roman" w:hAnsi="Times New Roman" w:cs="Times New Roman"/>
          <w:u w:val="single"/>
          <w:lang w:val="pl-PL"/>
        </w:rPr>
        <w:t xml:space="preserve">, 75 mg, kapsula, tvrda </w:t>
      </w:r>
    </w:p>
    <w:p w:rsidR="004D038C" w:rsidRPr="004D038C" w:rsidRDefault="004D038C" w:rsidP="001F0C96">
      <w:pPr>
        <w:widowControl w:val="0"/>
        <w:tabs>
          <w:tab w:val="left" w:pos="0"/>
        </w:tabs>
        <w:spacing w:after="0" w:line="240" w:lineRule="auto"/>
        <w:jc w:val="both"/>
        <w:rPr>
          <w:rFonts w:ascii="Times New Roman" w:eastAsia="Times New Roman" w:hAnsi="Times New Roman" w:cs="Times New Roman"/>
          <w:lang w:val="hr-HR"/>
        </w:rPr>
      </w:pPr>
      <w:r w:rsidRPr="004D038C">
        <w:rPr>
          <w:rFonts w:ascii="Times New Roman" w:eastAsia="Times New Roman" w:hAnsi="Times New Roman" w:cs="Times New Roman"/>
          <w:iCs/>
          <w:lang w:val="hr-HR"/>
        </w:rPr>
        <w:t>Gotov proizvod je pakovan u bijele neprovidne boce od polietilena visoke gustine (HDPE) sa sigurnosnim zatvaračem od polipropilena i silika gelom kao desikantom. Svaka boca sadrži 28 ili 120 kapsula. U kutiji se nalazi jedna boca.</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6.6. </w:t>
      </w:r>
      <w:r w:rsidRPr="004D038C">
        <w:rPr>
          <w:rFonts w:ascii="Times New Roman" w:eastAsia="Times New Roman" w:hAnsi="Times New Roman" w:cs="Times New Roman"/>
          <w:b/>
          <w:bCs/>
          <w:lang w:val="hr-HR"/>
        </w:rPr>
        <w:tab/>
        <w:t xml:space="preserve">Posebne mjere opreza pri odlaganju materijala koji treba odbaciti nakon primjene lijeka </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r w:rsidRPr="004D038C">
        <w:rPr>
          <w:rFonts w:ascii="Times New Roman" w:eastAsia="Times New Roman" w:hAnsi="Times New Roman" w:cs="Times New Roman"/>
          <w:bCs/>
          <w:lang w:val="hr-HR"/>
        </w:rPr>
        <w:t>Lijek se uništava u skladu sa važećim propisima.</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hr-HR"/>
        </w:rPr>
      </w:pPr>
      <w:r w:rsidRPr="004D038C">
        <w:rPr>
          <w:rFonts w:ascii="Times New Roman" w:eastAsia="Times New Roman" w:hAnsi="Times New Roman" w:cs="Times New Roman"/>
          <w:b/>
          <w:bCs/>
          <w:lang w:val="hr-HR"/>
        </w:rPr>
        <w:t xml:space="preserve">6.7. </w:t>
      </w:r>
      <w:r w:rsidRPr="004D038C">
        <w:rPr>
          <w:rFonts w:ascii="Times New Roman" w:eastAsia="Times New Roman" w:hAnsi="Times New Roman" w:cs="Times New Roman"/>
          <w:b/>
          <w:bCs/>
          <w:lang w:val="hr-HR"/>
        </w:rPr>
        <w:tab/>
        <w:t>Režim izdavanja lijeka</w:t>
      </w:r>
    </w:p>
    <w:p w:rsidR="004D038C" w:rsidRPr="004D038C" w:rsidRDefault="004D038C" w:rsidP="004D038C">
      <w:pPr>
        <w:spacing w:after="0" w:line="240" w:lineRule="auto"/>
        <w:rPr>
          <w:rFonts w:ascii="Times New Roman" w:eastAsia="Times New Roman" w:hAnsi="Times New Roman" w:cs="Times New Roman"/>
          <w:lang w:val="sr-Latn-CS"/>
        </w:rPr>
      </w:pPr>
    </w:p>
    <w:p w:rsidR="004D038C" w:rsidRPr="004D038C" w:rsidRDefault="004D038C" w:rsidP="004D038C">
      <w:pPr>
        <w:spacing w:after="0" w:line="240" w:lineRule="auto"/>
        <w:rPr>
          <w:rFonts w:ascii="Times New Roman" w:eastAsia="Times New Roman" w:hAnsi="Times New Roman" w:cs="Times New Roman"/>
          <w:lang w:val="sr-Latn-CS"/>
        </w:rPr>
      </w:pPr>
      <w:r w:rsidRPr="004D038C">
        <w:rPr>
          <w:rFonts w:ascii="Times New Roman" w:eastAsia="Times New Roman" w:hAnsi="Times New Roman" w:cs="Times New Roman"/>
          <w:lang w:val="sr-Latn-CS"/>
        </w:rPr>
        <w:t>Ograni</w:t>
      </w:r>
      <w:r w:rsidRPr="004D038C">
        <w:rPr>
          <w:rFonts w:ascii="Times New Roman" w:eastAsia="Times New Roman" w:hAnsi="Times New Roman" w:cs="Times New Roman"/>
          <w:lang w:val="sr-Latn-RS"/>
        </w:rPr>
        <w:t>č</w:t>
      </w:r>
      <w:r w:rsidRPr="004D038C">
        <w:rPr>
          <w:rFonts w:ascii="Times New Roman" w:eastAsia="Times New Roman" w:hAnsi="Times New Roman" w:cs="Times New Roman"/>
          <w:lang w:val="sr-Latn-CS"/>
        </w:rPr>
        <w:t>en recept.</w:t>
      </w:r>
    </w:p>
    <w:p w:rsidR="004D038C" w:rsidRDefault="004D038C" w:rsidP="004D038C">
      <w:pPr>
        <w:tabs>
          <w:tab w:val="left" w:pos="540"/>
          <w:tab w:val="left" w:pos="569"/>
        </w:tabs>
        <w:spacing w:after="0" w:line="240" w:lineRule="auto"/>
        <w:rPr>
          <w:rFonts w:ascii="Times New Roman" w:eastAsia="Times New Roman" w:hAnsi="Times New Roman" w:cs="Times New Roman"/>
          <w:bCs/>
          <w:lang w:val="sr-Latn-CS"/>
        </w:rPr>
      </w:pPr>
    </w:p>
    <w:p w:rsidR="001F0C96" w:rsidRPr="004D038C" w:rsidRDefault="001F0C96" w:rsidP="004D038C">
      <w:pPr>
        <w:tabs>
          <w:tab w:val="left" w:pos="540"/>
          <w:tab w:val="left" w:pos="569"/>
        </w:tabs>
        <w:spacing w:after="0" w:line="240" w:lineRule="auto"/>
        <w:rPr>
          <w:rFonts w:ascii="Times New Roman" w:eastAsia="Times New Roman" w:hAnsi="Times New Roman" w:cs="Times New Roman"/>
          <w:bCs/>
          <w:lang w:val="sr-Latn-CS"/>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sr-Latn-CS"/>
        </w:rPr>
      </w:pPr>
      <w:r w:rsidRPr="004D038C">
        <w:rPr>
          <w:rFonts w:ascii="Times New Roman" w:eastAsia="Times New Roman" w:hAnsi="Times New Roman" w:cs="Times New Roman"/>
          <w:b/>
          <w:bCs/>
          <w:lang w:val="sr-Latn-CS"/>
        </w:rPr>
        <w:t xml:space="preserve">7. </w:t>
      </w:r>
      <w:r w:rsidRPr="004D038C">
        <w:rPr>
          <w:rFonts w:ascii="Times New Roman" w:eastAsia="Times New Roman" w:hAnsi="Times New Roman" w:cs="Times New Roman"/>
          <w:b/>
          <w:bCs/>
          <w:lang w:val="sr-Latn-CS"/>
        </w:rPr>
        <w:tab/>
      </w:r>
      <w:r w:rsidRPr="004D038C">
        <w:rPr>
          <w:rFonts w:ascii="Times New Roman" w:eastAsia="Times New Roman" w:hAnsi="Times New Roman" w:cs="Times New Roman"/>
          <w:b/>
          <w:bCs/>
        </w:rPr>
        <w:t>NOSILAC</w:t>
      </w:r>
      <w:r w:rsidRPr="004D038C">
        <w:rPr>
          <w:rFonts w:ascii="Times New Roman" w:eastAsia="Times New Roman" w:hAnsi="Times New Roman" w:cs="Times New Roman"/>
          <w:b/>
          <w:bCs/>
          <w:lang w:val="sr-Latn-CS"/>
        </w:rPr>
        <w:t xml:space="preserve"> </w:t>
      </w:r>
      <w:r w:rsidRPr="004D038C">
        <w:rPr>
          <w:rFonts w:ascii="Times New Roman" w:eastAsia="Times New Roman" w:hAnsi="Times New Roman" w:cs="Times New Roman"/>
          <w:b/>
          <w:bCs/>
        </w:rPr>
        <w:t>DOZVOLE</w:t>
      </w:r>
      <w:r w:rsidRPr="004D038C">
        <w:rPr>
          <w:rFonts w:ascii="Times New Roman" w:eastAsia="Times New Roman" w:hAnsi="Times New Roman" w:cs="Times New Roman"/>
          <w:b/>
          <w:bCs/>
          <w:lang w:val="sr-Latn-CS"/>
        </w:rPr>
        <w:t xml:space="preserve"> </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sr-Latn-CS"/>
        </w:rPr>
      </w:pPr>
      <w:r w:rsidRPr="004D038C">
        <w:rPr>
          <w:rFonts w:ascii="Times New Roman" w:eastAsia="Times New Roman" w:hAnsi="Times New Roman" w:cs="Times New Roman"/>
          <w:b/>
          <w:bCs/>
          <w:lang w:val="sr-Latn-CS"/>
        </w:rPr>
        <w:tab/>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sr-Latn-CS"/>
        </w:rPr>
      </w:pPr>
      <w:r w:rsidRPr="004D038C">
        <w:rPr>
          <w:rFonts w:ascii="Times New Roman" w:eastAsia="Times New Roman" w:hAnsi="Times New Roman" w:cs="Times New Roman"/>
          <w:lang w:val="pt-BR"/>
        </w:rPr>
        <w:t>“Novartis Pharma Services AG” dio stranog društva Podgorica</w:t>
      </w:r>
      <w:r w:rsidRPr="004D038C">
        <w:rPr>
          <w:rFonts w:ascii="Times New Roman" w:eastAsia="Times New Roman" w:hAnsi="Times New Roman" w:cs="Times New Roman"/>
          <w:bCs/>
          <w:lang w:val="sr-Latn-CS"/>
        </w:rPr>
        <w:tab/>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lang w:val="hr-HR"/>
        </w:rPr>
      </w:pPr>
      <w:r w:rsidRPr="004D038C">
        <w:rPr>
          <w:rFonts w:ascii="Times New Roman" w:eastAsia="Times New Roman" w:hAnsi="Times New Roman" w:cs="Times New Roman"/>
          <w:lang w:val="hr-HR"/>
        </w:rPr>
        <w:t>Ul. Svetlane Kane Radević 3, Podgorica</w:t>
      </w:r>
      <w:r w:rsidR="001B30D2">
        <w:rPr>
          <w:rFonts w:ascii="Times New Roman" w:eastAsia="Times New Roman" w:hAnsi="Times New Roman" w:cs="Times New Roman"/>
          <w:lang w:val="hr-HR"/>
        </w:rPr>
        <w:t>, Crna Gora</w:t>
      </w:r>
    </w:p>
    <w:p w:rsidR="004D038C" w:rsidRDefault="004D038C" w:rsidP="004D038C">
      <w:pPr>
        <w:tabs>
          <w:tab w:val="left" w:pos="540"/>
          <w:tab w:val="left" w:pos="569"/>
        </w:tabs>
        <w:spacing w:after="0" w:line="240" w:lineRule="auto"/>
        <w:rPr>
          <w:rFonts w:ascii="Times New Roman" w:eastAsia="Times New Roman" w:hAnsi="Times New Roman" w:cs="Times New Roman"/>
          <w:bCs/>
          <w:lang w:val="hr-HR"/>
        </w:rPr>
      </w:pPr>
    </w:p>
    <w:p w:rsidR="001F0C96" w:rsidRPr="004D038C" w:rsidRDefault="001F0C96" w:rsidP="004D038C">
      <w:pPr>
        <w:tabs>
          <w:tab w:val="left" w:pos="540"/>
          <w:tab w:val="left" w:pos="569"/>
        </w:tabs>
        <w:spacing w:after="0" w:line="240" w:lineRule="auto"/>
        <w:rPr>
          <w:rFonts w:ascii="Times New Roman" w:eastAsia="Times New Roman" w:hAnsi="Times New Roman" w:cs="Times New Roman"/>
          <w:bCs/>
          <w:lang w:val="hr-HR"/>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it-IT"/>
        </w:rPr>
      </w:pPr>
      <w:r w:rsidRPr="004D038C">
        <w:rPr>
          <w:rFonts w:ascii="Times New Roman" w:eastAsia="Times New Roman" w:hAnsi="Times New Roman" w:cs="Times New Roman"/>
          <w:b/>
          <w:bCs/>
          <w:lang w:val="it-IT"/>
        </w:rPr>
        <w:t xml:space="preserve">8. </w:t>
      </w:r>
      <w:r w:rsidRPr="004D038C">
        <w:rPr>
          <w:rFonts w:ascii="Times New Roman" w:eastAsia="Times New Roman" w:hAnsi="Times New Roman" w:cs="Times New Roman"/>
          <w:b/>
          <w:bCs/>
          <w:lang w:val="it-IT"/>
        </w:rPr>
        <w:tab/>
        <w:t>BROJ PRVE DOZVOLE/ OBNOVE DOZVOLE</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it-IT"/>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it-IT"/>
        </w:rPr>
      </w:pPr>
      <w:r w:rsidRPr="004D038C">
        <w:rPr>
          <w:rFonts w:ascii="Times New Roman" w:eastAsia="Times New Roman" w:hAnsi="Times New Roman" w:cs="Times New Roman"/>
          <w:bCs/>
          <w:lang w:val="it-IT"/>
        </w:rPr>
        <w:t>Tafinlar®, kapsula, tvrda, 50 mg, boca, p</w:t>
      </w:r>
      <w:r w:rsidR="00C020F1">
        <w:rPr>
          <w:rFonts w:ascii="Times New Roman" w:eastAsia="Times New Roman" w:hAnsi="Times New Roman" w:cs="Times New Roman"/>
          <w:bCs/>
          <w:lang w:val="it-IT"/>
        </w:rPr>
        <w:t>lastična, 1 x 28 kapsula</w:t>
      </w:r>
      <w:r w:rsidR="00FF2E78">
        <w:rPr>
          <w:rFonts w:ascii="Times New Roman" w:eastAsia="Times New Roman" w:hAnsi="Times New Roman" w:cs="Times New Roman"/>
          <w:bCs/>
          <w:lang w:val="it-IT"/>
        </w:rPr>
        <w:t>, tvrdih</w:t>
      </w:r>
      <w:r w:rsidRPr="004D038C">
        <w:rPr>
          <w:rFonts w:ascii="Times New Roman" w:eastAsia="Times New Roman" w:hAnsi="Times New Roman" w:cs="Times New Roman"/>
          <w:bCs/>
          <w:lang w:val="it-IT"/>
        </w:rPr>
        <w:t>:</w:t>
      </w:r>
      <w:r w:rsidR="00C020F1">
        <w:rPr>
          <w:rFonts w:ascii="Times New Roman" w:eastAsia="Times New Roman" w:hAnsi="Times New Roman" w:cs="Times New Roman"/>
          <w:bCs/>
          <w:lang w:val="it-IT"/>
        </w:rPr>
        <w:t xml:space="preserve"> </w:t>
      </w:r>
      <w:r w:rsidR="00C020F1" w:rsidRPr="00C020F1">
        <w:rPr>
          <w:rFonts w:ascii="Times New Roman" w:eastAsia="Times New Roman" w:hAnsi="Times New Roman" w:cs="Times New Roman"/>
          <w:bCs/>
          <w:lang w:val="it-IT"/>
        </w:rPr>
        <w:t xml:space="preserve">2030/17/371 </w:t>
      </w:r>
      <w:r w:rsidR="00C020F1">
        <w:rPr>
          <w:rFonts w:ascii="Times New Roman" w:eastAsia="Times New Roman" w:hAnsi="Times New Roman" w:cs="Times New Roman"/>
          <w:bCs/>
          <w:lang w:val="it-IT"/>
        </w:rPr>
        <w:t>–</w:t>
      </w:r>
      <w:r w:rsidR="00C020F1" w:rsidRPr="00C020F1">
        <w:rPr>
          <w:rFonts w:ascii="Times New Roman" w:eastAsia="Times New Roman" w:hAnsi="Times New Roman" w:cs="Times New Roman"/>
          <w:bCs/>
          <w:lang w:val="it-IT"/>
        </w:rPr>
        <w:t xml:space="preserve"> 4866</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it-IT"/>
        </w:rPr>
      </w:pPr>
      <w:r w:rsidRPr="004D038C">
        <w:rPr>
          <w:rFonts w:ascii="Times New Roman" w:eastAsia="Times New Roman" w:hAnsi="Times New Roman" w:cs="Times New Roman"/>
          <w:bCs/>
          <w:lang w:val="it-IT"/>
        </w:rPr>
        <w:t xml:space="preserve">Tafinlar®, kapsula, tvrda, 75 mg, boca, plastična, 1 x 28 </w:t>
      </w:r>
      <w:r w:rsidR="00C020F1">
        <w:rPr>
          <w:rFonts w:ascii="Times New Roman" w:eastAsia="Times New Roman" w:hAnsi="Times New Roman" w:cs="Times New Roman"/>
          <w:bCs/>
          <w:lang w:val="it-IT"/>
        </w:rPr>
        <w:t>kapsula</w:t>
      </w:r>
      <w:r w:rsidR="00FF2E78">
        <w:rPr>
          <w:rFonts w:ascii="Times New Roman" w:eastAsia="Times New Roman" w:hAnsi="Times New Roman" w:cs="Times New Roman"/>
          <w:bCs/>
          <w:lang w:val="it-IT"/>
        </w:rPr>
        <w:t>, tvrdih</w:t>
      </w:r>
      <w:r w:rsidRPr="004D038C">
        <w:rPr>
          <w:rFonts w:ascii="Times New Roman" w:eastAsia="Times New Roman" w:hAnsi="Times New Roman" w:cs="Times New Roman"/>
          <w:bCs/>
          <w:lang w:val="it-IT"/>
        </w:rPr>
        <w:t>:</w:t>
      </w:r>
      <w:r w:rsidR="00C020F1">
        <w:rPr>
          <w:rFonts w:ascii="Times New Roman" w:eastAsia="Times New Roman" w:hAnsi="Times New Roman" w:cs="Times New Roman"/>
          <w:bCs/>
          <w:lang w:val="it-IT"/>
        </w:rPr>
        <w:t xml:space="preserve"> </w:t>
      </w:r>
      <w:r w:rsidR="00C020F1" w:rsidRPr="00C020F1">
        <w:rPr>
          <w:rFonts w:ascii="Times New Roman" w:eastAsia="Times New Roman" w:hAnsi="Times New Roman" w:cs="Times New Roman"/>
          <w:bCs/>
          <w:lang w:val="it-IT"/>
        </w:rPr>
        <w:t xml:space="preserve">2030/17/372 </w:t>
      </w:r>
      <w:r w:rsidR="00C020F1">
        <w:rPr>
          <w:rFonts w:ascii="Times New Roman" w:eastAsia="Times New Roman" w:hAnsi="Times New Roman" w:cs="Times New Roman"/>
          <w:bCs/>
          <w:lang w:val="it-IT"/>
        </w:rPr>
        <w:t>–</w:t>
      </w:r>
      <w:r w:rsidR="00C020F1" w:rsidRPr="00C020F1">
        <w:rPr>
          <w:rFonts w:ascii="Times New Roman" w:eastAsia="Times New Roman" w:hAnsi="Times New Roman" w:cs="Times New Roman"/>
          <w:bCs/>
          <w:lang w:val="it-IT"/>
        </w:rPr>
        <w:t xml:space="preserve"> 4867</w:t>
      </w:r>
      <w:r w:rsidR="00C020F1">
        <w:rPr>
          <w:rFonts w:ascii="Times New Roman" w:eastAsia="Times New Roman" w:hAnsi="Times New Roman" w:cs="Times New Roman"/>
          <w:bCs/>
          <w:lang w:val="it-IT"/>
        </w:rPr>
        <w:t xml:space="preserve"> </w:t>
      </w: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Cs/>
          <w:lang w:val="it-IT"/>
        </w:rPr>
      </w:pPr>
      <w:r w:rsidRPr="004D038C">
        <w:rPr>
          <w:rFonts w:ascii="Times New Roman" w:eastAsia="Times New Roman" w:hAnsi="Times New Roman" w:cs="Times New Roman"/>
          <w:bCs/>
          <w:lang w:val="it-IT"/>
        </w:rPr>
        <w:t>Tafinlar®, kapsula, tvrda, 75 mg, boca, pl</w:t>
      </w:r>
      <w:r w:rsidR="00C020F1">
        <w:rPr>
          <w:rFonts w:ascii="Times New Roman" w:eastAsia="Times New Roman" w:hAnsi="Times New Roman" w:cs="Times New Roman"/>
          <w:bCs/>
          <w:lang w:val="it-IT"/>
        </w:rPr>
        <w:t>astična, 1 x 120 kapsula</w:t>
      </w:r>
      <w:r w:rsidR="00FF2E78">
        <w:rPr>
          <w:rFonts w:ascii="Times New Roman" w:eastAsia="Times New Roman" w:hAnsi="Times New Roman" w:cs="Times New Roman"/>
          <w:bCs/>
          <w:lang w:val="it-IT"/>
        </w:rPr>
        <w:t>, tvrdih</w:t>
      </w:r>
      <w:r w:rsidRPr="004D038C">
        <w:rPr>
          <w:rFonts w:ascii="Times New Roman" w:eastAsia="Times New Roman" w:hAnsi="Times New Roman" w:cs="Times New Roman"/>
          <w:bCs/>
          <w:lang w:val="it-IT"/>
        </w:rPr>
        <w:t>:</w:t>
      </w:r>
      <w:r w:rsidR="00C020F1">
        <w:rPr>
          <w:rFonts w:ascii="Times New Roman" w:eastAsia="Times New Roman" w:hAnsi="Times New Roman" w:cs="Times New Roman"/>
          <w:bCs/>
          <w:lang w:val="it-IT"/>
        </w:rPr>
        <w:t xml:space="preserve"> </w:t>
      </w:r>
      <w:r w:rsidR="00C020F1" w:rsidRPr="00C020F1">
        <w:rPr>
          <w:rFonts w:ascii="Times New Roman" w:eastAsia="Times New Roman" w:hAnsi="Times New Roman" w:cs="Times New Roman"/>
          <w:bCs/>
          <w:lang w:val="it-IT"/>
        </w:rPr>
        <w:t xml:space="preserve">2030/17/373 </w:t>
      </w:r>
      <w:r w:rsidR="00C020F1">
        <w:rPr>
          <w:rFonts w:ascii="Times New Roman" w:eastAsia="Times New Roman" w:hAnsi="Times New Roman" w:cs="Times New Roman"/>
          <w:bCs/>
          <w:lang w:val="it-IT"/>
        </w:rPr>
        <w:t>–</w:t>
      </w:r>
      <w:r w:rsidR="00C020F1" w:rsidRPr="00C020F1">
        <w:rPr>
          <w:rFonts w:ascii="Times New Roman" w:eastAsia="Times New Roman" w:hAnsi="Times New Roman" w:cs="Times New Roman"/>
          <w:bCs/>
          <w:lang w:val="it-IT"/>
        </w:rPr>
        <w:t xml:space="preserve"> 4868</w:t>
      </w:r>
      <w:r w:rsidR="00C020F1">
        <w:rPr>
          <w:rFonts w:ascii="Times New Roman" w:eastAsia="Times New Roman" w:hAnsi="Times New Roman" w:cs="Times New Roman"/>
          <w:bCs/>
          <w:lang w:val="it-IT"/>
        </w:rPr>
        <w:t xml:space="preserve"> </w:t>
      </w:r>
    </w:p>
    <w:p w:rsidR="004D038C" w:rsidRDefault="004D038C" w:rsidP="004D038C">
      <w:pPr>
        <w:tabs>
          <w:tab w:val="left" w:pos="540"/>
          <w:tab w:val="left" w:pos="569"/>
        </w:tabs>
        <w:spacing w:after="0" w:line="240" w:lineRule="auto"/>
        <w:rPr>
          <w:rFonts w:ascii="Times New Roman" w:eastAsia="Times New Roman" w:hAnsi="Times New Roman" w:cs="Times New Roman"/>
          <w:bCs/>
          <w:lang w:val="it-IT"/>
        </w:rPr>
      </w:pPr>
    </w:p>
    <w:p w:rsidR="001F0C96" w:rsidRDefault="001F0C96" w:rsidP="004D038C">
      <w:pPr>
        <w:tabs>
          <w:tab w:val="left" w:pos="540"/>
          <w:tab w:val="left" w:pos="569"/>
        </w:tabs>
        <w:spacing w:after="0" w:line="240" w:lineRule="auto"/>
        <w:rPr>
          <w:rFonts w:ascii="Times New Roman" w:eastAsia="Times New Roman" w:hAnsi="Times New Roman" w:cs="Times New Roman"/>
          <w:bCs/>
          <w:lang w:val="it-IT"/>
        </w:rPr>
      </w:pPr>
    </w:p>
    <w:p w:rsidR="00AD54E3" w:rsidRPr="004D038C" w:rsidRDefault="00AD54E3" w:rsidP="004D038C">
      <w:pPr>
        <w:tabs>
          <w:tab w:val="left" w:pos="540"/>
          <w:tab w:val="left" w:pos="569"/>
        </w:tabs>
        <w:spacing w:after="0" w:line="240" w:lineRule="auto"/>
        <w:rPr>
          <w:rFonts w:ascii="Times New Roman" w:eastAsia="Times New Roman" w:hAnsi="Times New Roman" w:cs="Times New Roman"/>
          <w:bCs/>
          <w:lang w:val="it-IT"/>
        </w:rPr>
      </w:pPr>
    </w:p>
    <w:p w:rsidR="004D038C" w:rsidRPr="004D038C" w:rsidRDefault="004D038C" w:rsidP="004D038C">
      <w:pPr>
        <w:tabs>
          <w:tab w:val="left" w:pos="540"/>
          <w:tab w:val="left" w:pos="569"/>
        </w:tabs>
        <w:spacing w:after="0" w:line="240" w:lineRule="auto"/>
        <w:rPr>
          <w:rFonts w:ascii="Times New Roman" w:eastAsia="Times New Roman" w:hAnsi="Times New Roman" w:cs="Times New Roman"/>
          <w:b/>
          <w:bCs/>
          <w:lang w:val="it-IT"/>
        </w:rPr>
      </w:pPr>
      <w:r w:rsidRPr="004D038C">
        <w:rPr>
          <w:rFonts w:ascii="Times New Roman" w:eastAsia="Times New Roman" w:hAnsi="Times New Roman" w:cs="Times New Roman"/>
          <w:b/>
          <w:bCs/>
          <w:lang w:val="it-IT"/>
        </w:rPr>
        <w:lastRenderedPageBreak/>
        <w:t xml:space="preserve">9. </w:t>
      </w:r>
      <w:r w:rsidRPr="004D038C">
        <w:rPr>
          <w:rFonts w:ascii="Times New Roman" w:eastAsia="Times New Roman" w:hAnsi="Times New Roman" w:cs="Times New Roman"/>
          <w:b/>
          <w:bCs/>
          <w:lang w:val="it-IT"/>
        </w:rPr>
        <w:tab/>
        <w:t>DATUM PRVE DOZVOLE/ DATUM OBNOVE DOZVOLE</w:t>
      </w:r>
    </w:p>
    <w:p w:rsidR="004D038C" w:rsidRDefault="004D038C" w:rsidP="004D038C">
      <w:pPr>
        <w:tabs>
          <w:tab w:val="left" w:pos="540"/>
          <w:tab w:val="left" w:pos="569"/>
        </w:tabs>
        <w:spacing w:after="0" w:line="240" w:lineRule="auto"/>
        <w:rPr>
          <w:rFonts w:ascii="Times New Roman" w:eastAsia="Times New Roman" w:hAnsi="Times New Roman" w:cs="Times New Roman"/>
          <w:b/>
          <w:bCs/>
          <w:lang w:val="it-IT"/>
        </w:rPr>
      </w:pPr>
    </w:p>
    <w:p w:rsidR="000E5B0F" w:rsidRPr="004D038C" w:rsidRDefault="000E5B0F" w:rsidP="000E5B0F">
      <w:pPr>
        <w:tabs>
          <w:tab w:val="left" w:pos="540"/>
          <w:tab w:val="left" w:pos="569"/>
        </w:tabs>
        <w:spacing w:after="0" w:line="240" w:lineRule="auto"/>
        <w:rPr>
          <w:rFonts w:ascii="Times New Roman" w:eastAsia="Times New Roman" w:hAnsi="Times New Roman" w:cs="Times New Roman"/>
          <w:bCs/>
          <w:lang w:val="it-IT"/>
        </w:rPr>
      </w:pPr>
      <w:r w:rsidRPr="004D038C">
        <w:rPr>
          <w:rFonts w:ascii="Times New Roman" w:eastAsia="Times New Roman" w:hAnsi="Times New Roman" w:cs="Times New Roman"/>
          <w:bCs/>
          <w:lang w:val="it-IT"/>
        </w:rPr>
        <w:t>Tafinlar®, kapsula, tvrda, 50 mg, boca, p</w:t>
      </w:r>
      <w:r>
        <w:rPr>
          <w:rFonts w:ascii="Times New Roman" w:eastAsia="Times New Roman" w:hAnsi="Times New Roman" w:cs="Times New Roman"/>
          <w:bCs/>
          <w:lang w:val="it-IT"/>
        </w:rPr>
        <w:t>lastična, 1 x 28 kapsula, tvrdih</w:t>
      </w:r>
      <w:r w:rsidRPr="004D038C">
        <w:rPr>
          <w:rFonts w:ascii="Times New Roman" w:eastAsia="Times New Roman" w:hAnsi="Times New Roman" w:cs="Times New Roman"/>
          <w:bCs/>
          <w:lang w:val="it-IT"/>
        </w:rPr>
        <w:t>:</w:t>
      </w:r>
      <w:r>
        <w:rPr>
          <w:rFonts w:ascii="Times New Roman" w:eastAsia="Times New Roman" w:hAnsi="Times New Roman" w:cs="Times New Roman"/>
          <w:bCs/>
          <w:lang w:val="it-IT"/>
        </w:rPr>
        <w:t xml:space="preserve"> </w:t>
      </w:r>
      <w:r>
        <w:rPr>
          <w:rFonts w:ascii="Times New Roman" w:eastAsia="Times New Roman" w:hAnsi="Times New Roman" w:cs="Times New Roman"/>
          <w:bCs/>
          <w:lang w:val="it-IT"/>
        </w:rPr>
        <w:t>11.10.2017. godine</w:t>
      </w:r>
    </w:p>
    <w:p w:rsidR="000E5B0F" w:rsidRPr="004D038C" w:rsidRDefault="000E5B0F" w:rsidP="000E5B0F">
      <w:pPr>
        <w:tabs>
          <w:tab w:val="left" w:pos="540"/>
          <w:tab w:val="left" w:pos="569"/>
        </w:tabs>
        <w:spacing w:after="0" w:line="240" w:lineRule="auto"/>
        <w:rPr>
          <w:rFonts w:ascii="Times New Roman" w:eastAsia="Times New Roman" w:hAnsi="Times New Roman" w:cs="Times New Roman"/>
          <w:bCs/>
          <w:lang w:val="it-IT"/>
        </w:rPr>
      </w:pPr>
      <w:r w:rsidRPr="004D038C">
        <w:rPr>
          <w:rFonts w:ascii="Times New Roman" w:eastAsia="Times New Roman" w:hAnsi="Times New Roman" w:cs="Times New Roman"/>
          <w:bCs/>
          <w:lang w:val="it-IT"/>
        </w:rPr>
        <w:t xml:space="preserve">Tafinlar®, kapsula, tvrda, 75 mg, boca, plastična, 1 x 28 </w:t>
      </w:r>
      <w:r>
        <w:rPr>
          <w:rFonts w:ascii="Times New Roman" w:eastAsia="Times New Roman" w:hAnsi="Times New Roman" w:cs="Times New Roman"/>
          <w:bCs/>
          <w:lang w:val="it-IT"/>
        </w:rPr>
        <w:t>kapsula, tvrdih</w:t>
      </w:r>
      <w:r w:rsidRPr="004D038C">
        <w:rPr>
          <w:rFonts w:ascii="Times New Roman" w:eastAsia="Times New Roman" w:hAnsi="Times New Roman" w:cs="Times New Roman"/>
          <w:bCs/>
          <w:lang w:val="it-IT"/>
        </w:rPr>
        <w:t>:</w:t>
      </w:r>
      <w:r>
        <w:rPr>
          <w:rFonts w:ascii="Times New Roman" w:eastAsia="Times New Roman" w:hAnsi="Times New Roman" w:cs="Times New Roman"/>
          <w:bCs/>
          <w:lang w:val="it-IT"/>
        </w:rPr>
        <w:t xml:space="preserve"> 11.10.2017. godine</w:t>
      </w:r>
    </w:p>
    <w:p w:rsidR="000E5B0F" w:rsidRPr="004D038C" w:rsidRDefault="000E5B0F" w:rsidP="000E5B0F">
      <w:pPr>
        <w:tabs>
          <w:tab w:val="left" w:pos="540"/>
          <w:tab w:val="left" w:pos="569"/>
        </w:tabs>
        <w:spacing w:after="0" w:line="240" w:lineRule="auto"/>
        <w:rPr>
          <w:rFonts w:ascii="Times New Roman" w:eastAsia="Times New Roman" w:hAnsi="Times New Roman" w:cs="Times New Roman"/>
          <w:bCs/>
          <w:lang w:val="it-IT"/>
        </w:rPr>
      </w:pPr>
      <w:r w:rsidRPr="004D038C">
        <w:rPr>
          <w:rFonts w:ascii="Times New Roman" w:eastAsia="Times New Roman" w:hAnsi="Times New Roman" w:cs="Times New Roman"/>
          <w:bCs/>
          <w:lang w:val="it-IT"/>
        </w:rPr>
        <w:t>Tafinlar®, kapsula, tvrda, 75 mg, boca, pl</w:t>
      </w:r>
      <w:r>
        <w:rPr>
          <w:rFonts w:ascii="Times New Roman" w:eastAsia="Times New Roman" w:hAnsi="Times New Roman" w:cs="Times New Roman"/>
          <w:bCs/>
          <w:lang w:val="it-IT"/>
        </w:rPr>
        <w:t>astična, 1 x 120 kapsula, tvrdih</w:t>
      </w:r>
      <w:r w:rsidRPr="004D038C">
        <w:rPr>
          <w:rFonts w:ascii="Times New Roman" w:eastAsia="Times New Roman" w:hAnsi="Times New Roman" w:cs="Times New Roman"/>
          <w:bCs/>
          <w:lang w:val="it-IT"/>
        </w:rPr>
        <w:t>:</w:t>
      </w:r>
      <w:r>
        <w:rPr>
          <w:rFonts w:ascii="Times New Roman" w:eastAsia="Times New Roman" w:hAnsi="Times New Roman" w:cs="Times New Roman"/>
          <w:bCs/>
          <w:lang w:val="it-IT"/>
        </w:rPr>
        <w:t xml:space="preserve"> 11.10.2017. godine</w:t>
      </w:r>
      <w:bookmarkStart w:id="0" w:name="_GoBack"/>
      <w:bookmarkEnd w:id="0"/>
    </w:p>
    <w:p w:rsidR="004D038C" w:rsidRDefault="004D038C" w:rsidP="004D038C">
      <w:pPr>
        <w:tabs>
          <w:tab w:val="left" w:pos="540"/>
          <w:tab w:val="left" w:pos="569"/>
        </w:tabs>
        <w:spacing w:after="0" w:line="240" w:lineRule="auto"/>
        <w:rPr>
          <w:rFonts w:ascii="Times New Roman" w:eastAsia="Times New Roman" w:hAnsi="Times New Roman" w:cs="Times New Roman"/>
          <w:bCs/>
          <w:lang w:val="it-IT"/>
        </w:rPr>
      </w:pPr>
    </w:p>
    <w:p w:rsidR="00AD54E3" w:rsidRPr="004D038C" w:rsidRDefault="00AD54E3" w:rsidP="004D038C">
      <w:pPr>
        <w:tabs>
          <w:tab w:val="left" w:pos="540"/>
          <w:tab w:val="left" w:pos="569"/>
        </w:tabs>
        <w:spacing w:after="0" w:line="240" w:lineRule="auto"/>
        <w:rPr>
          <w:rFonts w:ascii="Times New Roman" w:eastAsia="Times New Roman" w:hAnsi="Times New Roman" w:cs="Times New Roman"/>
          <w:bCs/>
          <w:lang w:val="it-IT"/>
        </w:rPr>
      </w:pPr>
    </w:p>
    <w:p w:rsidR="004D038C" w:rsidRPr="004D038C" w:rsidRDefault="004D038C" w:rsidP="004D038C">
      <w:pPr>
        <w:tabs>
          <w:tab w:val="left" w:pos="540"/>
          <w:tab w:val="left" w:pos="569"/>
        </w:tabs>
        <w:spacing w:after="0" w:line="240" w:lineRule="auto"/>
        <w:ind w:left="540" w:hanging="540"/>
        <w:rPr>
          <w:rFonts w:ascii="Times New Roman" w:eastAsia="Times New Roman" w:hAnsi="Times New Roman" w:cs="Times New Roman"/>
          <w:b/>
          <w:bCs/>
          <w:lang w:val="it-IT"/>
        </w:rPr>
      </w:pPr>
      <w:r w:rsidRPr="004D038C">
        <w:rPr>
          <w:rFonts w:ascii="Times New Roman" w:eastAsia="Times New Roman" w:hAnsi="Times New Roman" w:cs="Times New Roman"/>
          <w:b/>
          <w:bCs/>
          <w:lang w:val="it-IT"/>
        </w:rPr>
        <w:t xml:space="preserve">10. </w:t>
      </w:r>
      <w:r w:rsidRPr="004D038C">
        <w:rPr>
          <w:rFonts w:ascii="Times New Roman" w:eastAsia="Times New Roman" w:hAnsi="Times New Roman" w:cs="Times New Roman"/>
          <w:b/>
          <w:bCs/>
          <w:lang w:val="it-IT"/>
        </w:rPr>
        <w:tab/>
        <w:t>DATUM POSLEDNJE REVIZIJE TEKSTA SAŽETKA OSNOVNIH KARAKTERISTIKA LIJEKA</w:t>
      </w:r>
    </w:p>
    <w:p w:rsidR="00C020F1" w:rsidRDefault="00C020F1" w:rsidP="00C020F1">
      <w:pPr>
        <w:tabs>
          <w:tab w:val="left" w:pos="540"/>
          <w:tab w:val="left" w:pos="569"/>
        </w:tabs>
        <w:spacing w:after="0" w:line="240" w:lineRule="auto"/>
        <w:rPr>
          <w:rFonts w:ascii="Times New Roman" w:eastAsia="Times New Roman" w:hAnsi="Times New Roman" w:cs="Times New Roman"/>
          <w:bCs/>
          <w:lang w:val="it-IT"/>
        </w:rPr>
      </w:pPr>
    </w:p>
    <w:p w:rsidR="00C020F1" w:rsidRDefault="00C020F1" w:rsidP="00C020F1">
      <w:pPr>
        <w:tabs>
          <w:tab w:val="left" w:pos="540"/>
          <w:tab w:val="left" w:pos="569"/>
        </w:tabs>
        <w:spacing w:after="0" w:line="240" w:lineRule="auto"/>
        <w:rPr>
          <w:rFonts w:ascii="Times New Roman" w:eastAsia="Times New Roman" w:hAnsi="Times New Roman" w:cs="Times New Roman"/>
          <w:bCs/>
          <w:lang w:val="it-IT"/>
        </w:rPr>
      </w:pPr>
      <w:r>
        <w:rPr>
          <w:rFonts w:ascii="Times New Roman" w:eastAsia="Times New Roman" w:hAnsi="Times New Roman" w:cs="Times New Roman"/>
          <w:bCs/>
          <w:lang w:val="it-IT"/>
        </w:rPr>
        <w:t>Oktobar, 2017. godine.</w:t>
      </w:r>
    </w:p>
    <w:p w:rsidR="009318B4" w:rsidRPr="00C020F1" w:rsidRDefault="009318B4" w:rsidP="009318B4">
      <w:pPr>
        <w:rPr>
          <w:rFonts w:ascii="Times New Roman" w:hAnsi="Times New Roman" w:cs="Times New Roman"/>
          <w:b/>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sectPr w:rsidR="009318B4" w:rsidRPr="00747C4B" w:rsidSect="00B34AF2">
      <w:headerReference w:type="default" r:id="rId14"/>
      <w:footerReference w:type="default" r:id="rId15"/>
      <w:headerReference w:type="first" r:id="rId16"/>
      <w:footerReference w:type="first" r:id="rId17"/>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D11" w:rsidRDefault="00DF2D11" w:rsidP="00FF2B5A">
      <w:pPr>
        <w:spacing w:after="0" w:line="240" w:lineRule="auto"/>
      </w:pPr>
      <w:r>
        <w:separator/>
      </w:r>
    </w:p>
  </w:endnote>
  <w:endnote w:type="continuationSeparator" w:id="0">
    <w:p w:rsidR="00DF2D11" w:rsidRDefault="00DF2D1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umanist777">
    <w:altName w:val="Lucida Sans Unicode"/>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5B" w:rsidRPr="00F1527C" w:rsidRDefault="000F555B"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F555B" w:rsidRPr="00F1527C" w:rsidRDefault="000F555B"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F555B" w:rsidRPr="00F1527C" w:rsidRDefault="000F555B"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F555B" w:rsidRPr="00F1527C" w:rsidRDefault="000F555B"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F555B" w:rsidRPr="00F1527C" w:rsidRDefault="000F555B"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0F555B" w:rsidRPr="009318B4" w:rsidRDefault="000F555B"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E5B0F">
      <w:rPr>
        <w:rFonts w:ascii="Times New Roman" w:eastAsia="Times New Roman" w:hAnsi="Times New Roman" w:cs="Times New Roman"/>
        <w:noProof/>
        <w:sz w:val="20"/>
        <w:szCs w:val="20"/>
        <w:lang w:val="sr-Latn-ME"/>
      </w:rPr>
      <w:t>36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E5B0F">
      <w:rPr>
        <w:rFonts w:ascii="Times New Roman" w:eastAsia="Times New Roman" w:hAnsi="Times New Roman" w:cs="Times New Roman"/>
        <w:noProof/>
        <w:sz w:val="20"/>
        <w:szCs w:val="20"/>
        <w:lang w:val="sr-Latn-ME"/>
      </w:rPr>
      <w:t>39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5B" w:rsidRPr="00F1527C" w:rsidRDefault="000F555B"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F555B" w:rsidRPr="00F1527C" w:rsidRDefault="000F555B"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F555B" w:rsidRPr="00F1527C" w:rsidRDefault="000F555B"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F555B" w:rsidRPr="00F1527C" w:rsidRDefault="000F555B"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F555B" w:rsidRPr="00F1527C" w:rsidRDefault="000F555B"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0F555B" w:rsidRPr="009318B4" w:rsidRDefault="000F555B"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D11" w:rsidRDefault="00DF2D11" w:rsidP="00FF2B5A">
      <w:pPr>
        <w:spacing w:after="0" w:line="240" w:lineRule="auto"/>
      </w:pPr>
      <w:r>
        <w:separator/>
      </w:r>
    </w:p>
  </w:footnote>
  <w:footnote w:type="continuationSeparator" w:id="0">
    <w:p w:rsidR="00DF2D11" w:rsidRDefault="00DF2D1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5B" w:rsidRDefault="000F555B" w:rsidP="009318B4">
    <w:pPr>
      <w:pStyle w:val="Header"/>
      <w:rPr>
        <w:sz w:val="16"/>
        <w:szCs w:val="16"/>
      </w:rPr>
    </w:pPr>
  </w:p>
  <w:p w:rsidR="000F555B" w:rsidRDefault="000F555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F555B" w:rsidRDefault="000F5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55B" w:rsidRDefault="000F555B" w:rsidP="009318B4">
    <w:pPr>
      <w:pStyle w:val="Header"/>
      <w:rPr>
        <w:sz w:val="16"/>
        <w:szCs w:val="16"/>
      </w:rPr>
    </w:pPr>
  </w:p>
  <w:p w:rsidR="000F555B" w:rsidRDefault="000F555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F555B" w:rsidRDefault="000F55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4181"/>
    <w:multiLevelType w:val="hybridMultilevel"/>
    <w:tmpl w:val="5A4EBA46"/>
    <w:lvl w:ilvl="0" w:tplc="081A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8B34304"/>
    <w:multiLevelType w:val="hybridMultilevel"/>
    <w:tmpl w:val="D35CFC92"/>
    <w:lvl w:ilvl="0" w:tplc="BAE0B47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A61494"/>
    <w:multiLevelType w:val="hybridMultilevel"/>
    <w:tmpl w:val="58DA1B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10" w15:restartNumberingAfterBreak="0">
    <w:nsid w:val="33E80A4B"/>
    <w:multiLevelType w:val="hybridMultilevel"/>
    <w:tmpl w:val="329C0A0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371A1766"/>
    <w:multiLevelType w:val="hybridMultilevel"/>
    <w:tmpl w:val="4C26B28C"/>
    <w:lvl w:ilvl="0" w:tplc="3998F69C">
      <w:start w:val="1"/>
      <w:numFmt w:val="bullet"/>
      <w:lvlText w:val=""/>
      <w:lvlJc w:val="left"/>
      <w:pPr>
        <w:ind w:left="720" w:hanging="360"/>
      </w:pPr>
      <w:rPr>
        <w:rFonts w:ascii="Symbol" w:hAnsi="Symbol" w:hint="default"/>
      </w:rPr>
    </w:lvl>
    <w:lvl w:ilvl="1" w:tplc="49021E4C">
      <w:start w:val="1"/>
      <w:numFmt w:val="decimal"/>
      <w:lvlText w:val="%2."/>
      <w:lvlJc w:val="left"/>
      <w:pPr>
        <w:tabs>
          <w:tab w:val="num" w:pos="1440"/>
        </w:tabs>
        <w:ind w:left="1440" w:hanging="360"/>
      </w:pPr>
    </w:lvl>
    <w:lvl w:ilvl="2" w:tplc="AA04C724">
      <w:start w:val="1"/>
      <w:numFmt w:val="decimal"/>
      <w:lvlText w:val="%3."/>
      <w:lvlJc w:val="left"/>
      <w:pPr>
        <w:tabs>
          <w:tab w:val="num" w:pos="2160"/>
        </w:tabs>
        <w:ind w:left="2160" w:hanging="360"/>
      </w:pPr>
    </w:lvl>
    <w:lvl w:ilvl="3" w:tplc="6DCA4AFA">
      <w:start w:val="1"/>
      <w:numFmt w:val="decimal"/>
      <w:lvlText w:val="%4."/>
      <w:lvlJc w:val="left"/>
      <w:pPr>
        <w:tabs>
          <w:tab w:val="num" w:pos="2880"/>
        </w:tabs>
        <w:ind w:left="2880" w:hanging="360"/>
      </w:pPr>
    </w:lvl>
    <w:lvl w:ilvl="4" w:tplc="D6AAEEDC">
      <w:start w:val="1"/>
      <w:numFmt w:val="decimal"/>
      <w:lvlText w:val="%5."/>
      <w:lvlJc w:val="left"/>
      <w:pPr>
        <w:tabs>
          <w:tab w:val="num" w:pos="3600"/>
        </w:tabs>
        <w:ind w:left="3600" w:hanging="360"/>
      </w:pPr>
    </w:lvl>
    <w:lvl w:ilvl="5" w:tplc="F25673DE">
      <w:start w:val="1"/>
      <w:numFmt w:val="decimal"/>
      <w:lvlText w:val="%6."/>
      <w:lvlJc w:val="left"/>
      <w:pPr>
        <w:tabs>
          <w:tab w:val="num" w:pos="4320"/>
        </w:tabs>
        <w:ind w:left="4320" w:hanging="360"/>
      </w:pPr>
    </w:lvl>
    <w:lvl w:ilvl="6" w:tplc="64A4493A">
      <w:start w:val="1"/>
      <w:numFmt w:val="decimal"/>
      <w:lvlText w:val="%7."/>
      <w:lvlJc w:val="left"/>
      <w:pPr>
        <w:tabs>
          <w:tab w:val="num" w:pos="5040"/>
        </w:tabs>
        <w:ind w:left="5040" w:hanging="360"/>
      </w:pPr>
    </w:lvl>
    <w:lvl w:ilvl="7" w:tplc="BFA49904">
      <w:start w:val="1"/>
      <w:numFmt w:val="decimal"/>
      <w:lvlText w:val="%8."/>
      <w:lvlJc w:val="left"/>
      <w:pPr>
        <w:tabs>
          <w:tab w:val="num" w:pos="5760"/>
        </w:tabs>
        <w:ind w:left="5760" w:hanging="360"/>
      </w:pPr>
    </w:lvl>
    <w:lvl w:ilvl="8" w:tplc="BC2451DA">
      <w:start w:val="1"/>
      <w:numFmt w:val="decimal"/>
      <w:lvlText w:val="%9."/>
      <w:lvlJc w:val="left"/>
      <w:pPr>
        <w:tabs>
          <w:tab w:val="num" w:pos="6480"/>
        </w:tabs>
        <w:ind w:left="6480" w:hanging="36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BA50772"/>
    <w:multiLevelType w:val="hybridMultilevel"/>
    <w:tmpl w:val="84B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1"/>
  </w:num>
  <w:num w:numId="4">
    <w:abstractNumId w:val="13"/>
  </w:num>
  <w:num w:numId="5">
    <w:abstractNumId w:val="7"/>
  </w:num>
  <w:num w:numId="6">
    <w:abstractNumId w:val="2"/>
  </w:num>
  <w:num w:numId="7">
    <w:abstractNumId w:val="12"/>
  </w:num>
  <w:num w:numId="8">
    <w:abstractNumId w:val="6"/>
  </w:num>
  <w:num w:numId="9">
    <w:abstractNumId w:val="8"/>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0"/>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7AF5"/>
    <w:rsid w:val="000844C9"/>
    <w:rsid w:val="000E5B0F"/>
    <w:rsid w:val="000F555B"/>
    <w:rsid w:val="00116FE6"/>
    <w:rsid w:val="00143F75"/>
    <w:rsid w:val="001B30D2"/>
    <w:rsid w:val="001F0C96"/>
    <w:rsid w:val="00221499"/>
    <w:rsid w:val="0038437D"/>
    <w:rsid w:val="00461135"/>
    <w:rsid w:val="004D038C"/>
    <w:rsid w:val="005C6CA3"/>
    <w:rsid w:val="00642176"/>
    <w:rsid w:val="006C29BC"/>
    <w:rsid w:val="00747C4B"/>
    <w:rsid w:val="00883AF2"/>
    <w:rsid w:val="009318B4"/>
    <w:rsid w:val="00934541"/>
    <w:rsid w:val="0097775C"/>
    <w:rsid w:val="009B18F8"/>
    <w:rsid w:val="00A06058"/>
    <w:rsid w:val="00A32E0D"/>
    <w:rsid w:val="00AD54E3"/>
    <w:rsid w:val="00B01795"/>
    <w:rsid w:val="00B234CE"/>
    <w:rsid w:val="00B34AF2"/>
    <w:rsid w:val="00C020F1"/>
    <w:rsid w:val="00C4240B"/>
    <w:rsid w:val="00D45AFE"/>
    <w:rsid w:val="00DF2D11"/>
    <w:rsid w:val="00E0627A"/>
    <w:rsid w:val="00EB2A93"/>
    <w:rsid w:val="00F1527C"/>
    <w:rsid w:val="00FF2B5A"/>
    <w:rsid w:val="00FF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307AB7-3B69-473D-990A-D23D72A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D038C"/>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4D038C"/>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4D038C"/>
  </w:style>
  <w:style w:type="character" w:styleId="PageNumber">
    <w:name w:val="page number"/>
    <w:basedOn w:val="DefaultParagraphFont"/>
    <w:rsid w:val="004D038C"/>
  </w:style>
  <w:style w:type="numbering" w:styleId="111111">
    <w:name w:val="Outline List 2"/>
    <w:basedOn w:val="NoList"/>
    <w:rsid w:val="004D038C"/>
    <w:pPr>
      <w:numPr>
        <w:numId w:val="3"/>
      </w:numPr>
    </w:pPr>
  </w:style>
  <w:style w:type="character" w:styleId="CommentReference">
    <w:name w:val="annotation reference"/>
    <w:semiHidden/>
    <w:rsid w:val="004D038C"/>
    <w:rPr>
      <w:sz w:val="16"/>
      <w:szCs w:val="16"/>
    </w:rPr>
  </w:style>
  <w:style w:type="paragraph" w:styleId="CommentText">
    <w:name w:val="annotation text"/>
    <w:basedOn w:val="Normal"/>
    <w:link w:val="CommentTextChar"/>
    <w:semiHidden/>
    <w:rsid w:val="004D03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03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038C"/>
    <w:rPr>
      <w:b/>
      <w:bCs/>
    </w:rPr>
  </w:style>
  <w:style w:type="character" w:customStyle="1" w:styleId="CommentSubjectChar">
    <w:name w:val="Comment Subject Char"/>
    <w:basedOn w:val="CommentTextChar"/>
    <w:link w:val="CommentSubject"/>
    <w:semiHidden/>
    <w:rsid w:val="004D038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D03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038C"/>
    <w:rPr>
      <w:rFonts w:ascii="Tahoma" w:eastAsia="Times New Roman" w:hAnsi="Tahoma" w:cs="Tahoma"/>
      <w:sz w:val="16"/>
      <w:szCs w:val="16"/>
    </w:rPr>
  </w:style>
  <w:style w:type="paragraph" w:styleId="NoSpacing">
    <w:name w:val="No Spacing"/>
    <w:uiPriority w:val="1"/>
    <w:qFormat/>
    <w:rsid w:val="004D038C"/>
    <w:pPr>
      <w:spacing w:after="0" w:line="240" w:lineRule="auto"/>
    </w:pPr>
    <w:rPr>
      <w:rFonts w:ascii="Times New Roman" w:eastAsia="Times New Roman" w:hAnsi="Times New Roman" w:cs="Times New Roman"/>
      <w:sz w:val="24"/>
      <w:szCs w:val="24"/>
    </w:rPr>
  </w:style>
  <w:style w:type="paragraph" w:customStyle="1" w:styleId="BodytextAgency">
    <w:name w:val="Body text (Agency)"/>
    <w:basedOn w:val="Normal"/>
    <w:link w:val="BodytextAgencyChar"/>
    <w:qFormat/>
    <w:rsid w:val="004D038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4D038C"/>
    <w:rPr>
      <w:rFonts w:ascii="Verdana" w:eastAsia="Verdana" w:hAnsi="Verdana" w:cs="Verdana"/>
      <w:sz w:val="18"/>
      <w:szCs w:val="18"/>
      <w:lang w:val="en-GB" w:eastAsia="en-GB"/>
    </w:rPr>
  </w:style>
  <w:style w:type="paragraph" w:customStyle="1" w:styleId="NASLOVITALIC">
    <w:name w:val="NASLOV ITALIC"/>
    <w:basedOn w:val="Normal"/>
    <w:qFormat/>
    <w:rsid w:val="004D038C"/>
    <w:pPr>
      <w:tabs>
        <w:tab w:val="left" w:pos="567"/>
      </w:tabs>
      <w:spacing w:after="0" w:line="260" w:lineRule="exact"/>
    </w:pPr>
    <w:rPr>
      <w:rFonts w:ascii="Times New Roman" w:eastAsia="Times New Roman" w:hAnsi="Times New Roman" w:cs="Times New Roman"/>
      <w:i/>
      <w:iCs/>
      <w:lang w:val="hr-HR"/>
    </w:rPr>
  </w:style>
  <w:style w:type="paragraph" w:customStyle="1" w:styleId="listbull">
    <w:name w:val="list:bull"/>
    <w:basedOn w:val="Normal"/>
    <w:link w:val="listbullChar"/>
    <w:rsid w:val="004D038C"/>
    <w:pPr>
      <w:numPr>
        <w:numId w:val="11"/>
      </w:numPr>
      <w:spacing w:after="120" w:line="240" w:lineRule="auto"/>
    </w:pPr>
    <w:rPr>
      <w:rFonts w:ascii="Times New Roman" w:eastAsia="Times New Roman" w:hAnsi="Times New Roman" w:cs="Times New Roman"/>
      <w:sz w:val="24"/>
      <w:szCs w:val="24"/>
      <w:lang w:val="en-GB"/>
    </w:rPr>
  </w:style>
  <w:style w:type="character" w:customStyle="1" w:styleId="listbullChar">
    <w:name w:val="list:bull Char"/>
    <w:link w:val="listbull"/>
    <w:rsid w:val="004D038C"/>
    <w:rPr>
      <w:rFonts w:ascii="Times New Roman" w:eastAsia="Times New Roman" w:hAnsi="Times New Roman" w:cs="Times New Roman"/>
      <w:sz w:val="24"/>
      <w:szCs w:val="24"/>
      <w:lang w:val="en-GB"/>
    </w:rPr>
  </w:style>
  <w:style w:type="table" w:styleId="TableGrid">
    <w:name w:val="Table Grid"/>
    <w:basedOn w:val="TableNormal"/>
    <w:uiPriority w:val="59"/>
    <w:rsid w:val="004D03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38C"/>
    <w:pPr>
      <w:tabs>
        <w:tab w:val="left" w:pos="284"/>
      </w:tabs>
      <w:spacing w:after="0" w:line="240" w:lineRule="auto"/>
      <w:ind w:left="720"/>
      <w:jc w:val="both"/>
    </w:pPr>
    <w:rPr>
      <w:rFonts w:ascii="Humanist777" w:eastAsia="Times New Roman" w:hAnsi="Humanist777" w:cs="Times New Roman"/>
      <w:sz w:val="24"/>
      <w:szCs w:val="24"/>
    </w:rPr>
  </w:style>
  <w:style w:type="character" w:customStyle="1" w:styleId="hps">
    <w:name w:val="hps"/>
    <w:rsid w:val="004D038C"/>
  </w:style>
  <w:style w:type="paragraph" w:customStyle="1" w:styleId="Default">
    <w:name w:val="Default"/>
    <w:basedOn w:val="Normal"/>
    <w:rsid w:val="004D038C"/>
    <w:pPr>
      <w:autoSpaceDE w:val="0"/>
      <w:autoSpaceDN w:val="0"/>
      <w:spacing w:after="0" w:line="240" w:lineRule="auto"/>
    </w:pPr>
    <w:rPr>
      <w:rFonts w:ascii="Times New Roman" w:eastAsia="Calibri" w:hAnsi="Times New Roman" w:cs="Times New Roman"/>
      <w:color w:val="000000"/>
      <w:sz w:val="24"/>
      <w:szCs w:val="24"/>
      <w:lang w:val="en-GB" w:eastAsia="en-GB"/>
    </w:rPr>
  </w:style>
  <w:style w:type="paragraph" w:styleId="Revision">
    <w:name w:val="Revision"/>
    <w:hidden/>
    <w:uiPriority w:val="99"/>
    <w:semiHidden/>
    <w:rsid w:val="004D03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zeljenadejstva@calims.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CCCC-4A88-4A7C-B459-16675DEF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39</Pages>
  <Words>13337</Words>
  <Characters>76023</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89182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8</cp:revision>
  <dcterms:created xsi:type="dcterms:W3CDTF">2017-07-26T11:14:00Z</dcterms:created>
  <dcterms:modified xsi:type="dcterms:W3CDTF">2017-12-15T09:54:00Z</dcterms:modified>
</cp:coreProperties>
</file>