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3CE" w:rsidRPr="00412D29" w:rsidRDefault="005313CE" w:rsidP="005313CE">
      <w:pPr>
        <w:tabs>
          <w:tab w:val="left" w:pos="360"/>
        </w:tabs>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5313CE" w:rsidRPr="00412D29" w:rsidTr="006C45B6">
        <w:trPr>
          <w:trHeight w:val="530"/>
          <w:jc w:val="center"/>
        </w:trPr>
        <w:tc>
          <w:tcPr>
            <w:tcW w:w="9360" w:type="dxa"/>
            <w:gridSpan w:val="2"/>
            <w:vAlign w:val="center"/>
          </w:tcPr>
          <w:p w:rsidR="005313CE" w:rsidRPr="00412D29" w:rsidRDefault="005313CE" w:rsidP="005313CE">
            <w:pPr>
              <w:spacing w:after="0" w:line="240" w:lineRule="auto"/>
              <w:jc w:val="center"/>
              <w:rPr>
                <w:rFonts w:ascii="Times New Roman" w:eastAsia="Times New Roman" w:hAnsi="Times New Roman" w:cs="Times New Roman"/>
                <w:b/>
                <w:bCs/>
                <w:iCs/>
                <w:u w:val="single"/>
              </w:rPr>
            </w:pPr>
            <w:r w:rsidRPr="00412D29">
              <w:rPr>
                <w:rFonts w:ascii="Times New Roman" w:eastAsia="Times New Roman" w:hAnsi="Times New Roman" w:cs="Times New Roman"/>
                <w:b/>
                <w:bCs/>
                <w:iCs/>
                <w:u w:val="single"/>
              </w:rPr>
              <w:t>SAŽETAK KARAKTERISTIKA LIJEKA</w:t>
            </w:r>
          </w:p>
        </w:tc>
      </w:tr>
      <w:tr w:rsidR="005313CE" w:rsidRPr="00412D29" w:rsidTr="006C45B6">
        <w:trPr>
          <w:trHeight w:val="1969"/>
          <w:jc w:val="center"/>
        </w:trPr>
        <w:tc>
          <w:tcPr>
            <w:tcW w:w="9360" w:type="dxa"/>
            <w:gridSpan w:val="2"/>
            <w:vAlign w:val="bottom"/>
          </w:tcPr>
          <w:p w:rsidR="005313CE" w:rsidRPr="00412D29" w:rsidRDefault="005313CE" w:rsidP="005313CE">
            <w:pPr>
              <w:spacing w:after="40" w:line="240" w:lineRule="auto"/>
              <w:jc w:val="center"/>
              <w:rPr>
                <w:rFonts w:ascii="Times New Roman" w:eastAsia="Times New Roman" w:hAnsi="Times New Roman" w:cs="Times New Roman"/>
                <w:b/>
                <w:bCs/>
                <w:u w:val="single"/>
                <w:lang w:val="sr-Latn-CS"/>
              </w:rPr>
            </w:pPr>
            <w:r w:rsidRPr="00412D29">
              <w:rPr>
                <w:rFonts w:ascii="Times New Roman" w:eastAsia="Times New Roman" w:hAnsi="Times New Roman" w:cs="Times New Roman"/>
                <w:b/>
                <w:bCs/>
              </w:rPr>
              <w:t>Lynparza</w:t>
            </w:r>
            <w:r w:rsidRPr="00412D29">
              <w:rPr>
                <w:rFonts w:ascii="Times New Roman" w:eastAsia="Times New Roman" w:hAnsi="Times New Roman" w:cs="Times New Roman"/>
                <w:b/>
                <w:bCs/>
                <w:vertAlign w:val="superscript"/>
              </w:rPr>
              <w:t>®</w:t>
            </w:r>
            <w:r w:rsidRPr="00412D29">
              <w:rPr>
                <w:rFonts w:ascii="Times New Roman" w:eastAsia="Times New Roman" w:hAnsi="Times New Roman" w:cs="Times New Roman"/>
                <w:b/>
                <w:lang w:val="sr-Latn-CS"/>
              </w:rPr>
              <w:t>, kapsula, tvrda, 50 mg,</w:t>
            </w:r>
          </w:p>
        </w:tc>
      </w:tr>
      <w:tr w:rsidR="005313CE" w:rsidRPr="00412D29" w:rsidTr="006C45B6">
        <w:trPr>
          <w:trHeight w:val="1225"/>
          <w:jc w:val="center"/>
        </w:trPr>
        <w:tc>
          <w:tcPr>
            <w:tcW w:w="9360" w:type="dxa"/>
            <w:gridSpan w:val="2"/>
          </w:tcPr>
          <w:p w:rsidR="005313CE" w:rsidRPr="00412D29" w:rsidRDefault="00A15205" w:rsidP="005313CE">
            <w:pPr>
              <w:spacing w:after="40" w:line="240" w:lineRule="auto"/>
              <w:jc w:val="center"/>
              <w:rPr>
                <w:rFonts w:ascii="Times New Roman" w:eastAsia="Times New Roman" w:hAnsi="Times New Roman" w:cs="Times New Roman"/>
                <w:b/>
                <w:lang w:val="sr-Latn-CS"/>
              </w:rPr>
            </w:pPr>
            <w:r>
              <w:rPr>
                <w:rFonts w:ascii="Times New Roman" w:eastAsia="Times New Roman" w:hAnsi="Times New Roman" w:cs="Times New Roman"/>
                <w:b/>
                <w:lang w:val="sr-Latn-CS"/>
              </w:rPr>
              <w:t>boca, plastična, 448 (4x</w:t>
            </w:r>
            <w:r w:rsidR="005313CE" w:rsidRPr="00412D29">
              <w:rPr>
                <w:rFonts w:ascii="Times New Roman" w:eastAsia="Times New Roman" w:hAnsi="Times New Roman" w:cs="Times New Roman"/>
                <w:b/>
                <w:lang w:val="sr-Latn-CS"/>
              </w:rPr>
              <w:t>112) kapsula, tvrdih</w:t>
            </w:r>
            <w:r w:rsidR="005313CE" w:rsidRPr="00412D29" w:rsidDel="00777420">
              <w:rPr>
                <w:rFonts w:ascii="Times New Roman" w:eastAsia="Times New Roman" w:hAnsi="Times New Roman" w:cs="Times New Roman"/>
                <w:b/>
                <w:lang w:val="sr-Latn-CS"/>
              </w:rPr>
              <w:t xml:space="preserve"> </w:t>
            </w:r>
          </w:p>
          <w:p w:rsidR="005313CE" w:rsidRPr="00412D29" w:rsidRDefault="005313CE" w:rsidP="005313CE">
            <w:pPr>
              <w:spacing w:after="40" w:line="240" w:lineRule="auto"/>
              <w:jc w:val="center"/>
              <w:rPr>
                <w:rFonts w:ascii="Times New Roman" w:eastAsia="Times New Roman" w:hAnsi="Times New Roman" w:cs="Times New Roman"/>
                <w:b/>
                <w:lang w:val="sr-Latn-CS"/>
              </w:rPr>
            </w:pPr>
          </w:p>
          <w:p w:rsidR="005313CE" w:rsidRPr="00412D29" w:rsidRDefault="005313CE" w:rsidP="005313CE">
            <w:pPr>
              <w:spacing w:after="40" w:line="240" w:lineRule="auto"/>
              <w:jc w:val="center"/>
              <w:rPr>
                <w:rFonts w:ascii="Times New Roman" w:eastAsia="Times New Roman" w:hAnsi="Times New Roman" w:cs="Times New Roman"/>
                <w:b/>
                <w:color w:val="808080"/>
                <w:lang w:val="sr-Latn-CS"/>
              </w:rPr>
            </w:pPr>
          </w:p>
        </w:tc>
      </w:tr>
      <w:tr w:rsidR="005313CE" w:rsidRPr="00412D29" w:rsidTr="006C45B6">
        <w:trPr>
          <w:jc w:val="center"/>
        </w:trPr>
        <w:tc>
          <w:tcPr>
            <w:tcW w:w="2160" w:type="dxa"/>
            <w:vAlign w:val="bottom"/>
          </w:tcPr>
          <w:p w:rsidR="005313CE" w:rsidRPr="00412D29" w:rsidRDefault="005313CE" w:rsidP="005313CE">
            <w:pPr>
              <w:spacing w:before="200" w:after="0" w:line="240" w:lineRule="auto"/>
              <w:jc w:val="right"/>
              <w:rPr>
                <w:rFonts w:ascii="Times New Roman" w:eastAsia="Times New Roman" w:hAnsi="Times New Roman" w:cs="Times New Roman"/>
              </w:rPr>
            </w:pPr>
            <w:r w:rsidRPr="00412D29">
              <w:rPr>
                <w:rFonts w:ascii="Times New Roman" w:eastAsia="Times New Roman" w:hAnsi="Times New Roman" w:cs="Times New Roman"/>
                <w:lang w:val="sr-Latn-CS"/>
              </w:rPr>
              <w:t>Proizvođač:</w:t>
            </w:r>
          </w:p>
        </w:tc>
        <w:tc>
          <w:tcPr>
            <w:tcW w:w="7200" w:type="dxa"/>
            <w:vAlign w:val="bottom"/>
          </w:tcPr>
          <w:p w:rsidR="005313CE" w:rsidRPr="00412D29" w:rsidRDefault="005313CE" w:rsidP="005313CE">
            <w:pPr>
              <w:spacing w:before="200" w:after="0" w:line="240" w:lineRule="auto"/>
              <w:jc w:val="both"/>
              <w:rPr>
                <w:rFonts w:ascii="Times New Roman" w:eastAsia="Times New Roman" w:hAnsi="Times New Roman" w:cs="Times New Roman"/>
                <w:b/>
                <w:bCs/>
                <w:lang w:val="sr-Latn-CS"/>
              </w:rPr>
            </w:pPr>
            <w:r w:rsidRPr="00412D29">
              <w:rPr>
                <w:rFonts w:ascii="Times New Roman" w:eastAsia="Times New Roman" w:hAnsi="Times New Roman" w:cs="Times New Roman"/>
                <w:b/>
                <w:bCs/>
              </w:rPr>
              <w:t>AstraZeneca UK Limited</w:t>
            </w:r>
          </w:p>
        </w:tc>
      </w:tr>
    </w:tbl>
    <w:p w:rsidR="006C45B6" w:rsidRPr="00412D29" w:rsidRDefault="006C45B6" w:rsidP="005313CE">
      <w:pPr>
        <w:tabs>
          <w:tab w:val="left" w:pos="2268"/>
        </w:tabs>
        <w:spacing w:before="200" w:after="0" w:line="240" w:lineRule="auto"/>
        <w:ind w:left="108"/>
        <w:rPr>
          <w:rFonts w:ascii="Times New Roman" w:eastAsia="Times New Roman" w:hAnsi="Times New Roman" w:cs="Times New Roman"/>
          <w:b/>
          <w:bCs/>
        </w:rPr>
      </w:pPr>
      <w:r>
        <w:rPr>
          <w:rFonts w:ascii="Times New Roman" w:eastAsia="Times New Roman" w:hAnsi="Times New Roman" w:cs="Times New Roman"/>
        </w:rPr>
        <w:t xml:space="preserve">                         </w:t>
      </w:r>
      <w:r w:rsidRPr="00412D29">
        <w:rPr>
          <w:rFonts w:ascii="Times New Roman" w:eastAsia="Times New Roman" w:hAnsi="Times New Roman" w:cs="Times New Roman"/>
        </w:rPr>
        <w:t>Adresa:</w:t>
      </w:r>
      <w:r w:rsidRPr="00412D29">
        <w:rPr>
          <w:rFonts w:ascii="Times New Roman" w:eastAsia="Times New Roman" w:hAnsi="Times New Roman" w:cs="Times New Roman"/>
        </w:rPr>
        <w:tab/>
      </w:r>
      <w:r w:rsidRPr="00412D29">
        <w:rPr>
          <w:rFonts w:ascii="Times New Roman" w:eastAsia="Times New Roman" w:hAnsi="Times New Roman" w:cs="Times New Roman"/>
          <w:b/>
          <w:bCs/>
          <w:lang w:val="sr-Latn-CS"/>
        </w:rPr>
        <w:t xml:space="preserve"> </w:t>
      </w:r>
      <w:r>
        <w:rPr>
          <w:rFonts w:ascii="Times New Roman" w:eastAsia="Times New Roman" w:hAnsi="Times New Roman" w:cs="Times New Roman"/>
          <w:b/>
          <w:bCs/>
          <w:lang w:val="sr-Latn-CS"/>
        </w:rPr>
        <w:t xml:space="preserve"> </w:t>
      </w:r>
      <w:r w:rsidRPr="00412D29">
        <w:rPr>
          <w:rFonts w:ascii="Times New Roman" w:eastAsia="Times New Roman" w:hAnsi="Times New Roman" w:cs="Times New Roman"/>
          <w:b/>
          <w:bCs/>
          <w:lang w:val="sr-Latn-CS"/>
        </w:rPr>
        <w:t>Silk Road Business Park, Macclesfield, Cheshire SK10 2NA, Velika Britanija</w:t>
      </w:r>
    </w:p>
    <w:tbl>
      <w:tblPr>
        <w:tblW w:w="9360" w:type="dxa"/>
        <w:jc w:val="center"/>
        <w:tblLayout w:type="fixed"/>
        <w:tblLook w:val="0000" w:firstRow="0" w:lastRow="0" w:firstColumn="0" w:lastColumn="0" w:noHBand="0" w:noVBand="0"/>
      </w:tblPr>
      <w:tblGrid>
        <w:gridCol w:w="2160"/>
        <w:gridCol w:w="7200"/>
      </w:tblGrid>
      <w:tr w:rsidR="005313CE" w:rsidRPr="00412D29" w:rsidTr="006C45B6">
        <w:trPr>
          <w:jc w:val="center"/>
        </w:trPr>
        <w:tc>
          <w:tcPr>
            <w:tcW w:w="2160" w:type="dxa"/>
            <w:vAlign w:val="bottom"/>
          </w:tcPr>
          <w:p w:rsidR="005313CE" w:rsidRPr="00412D29" w:rsidRDefault="005313CE" w:rsidP="005313CE">
            <w:pPr>
              <w:spacing w:before="200" w:after="0" w:line="240" w:lineRule="auto"/>
              <w:jc w:val="right"/>
              <w:rPr>
                <w:rFonts w:ascii="Times New Roman" w:eastAsia="Times New Roman" w:hAnsi="Times New Roman" w:cs="Times New Roman"/>
              </w:rPr>
            </w:pPr>
            <w:r w:rsidRPr="00412D29">
              <w:rPr>
                <w:rFonts w:ascii="Times New Roman" w:eastAsia="Times New Roman" w:hAnsi="Times New Roman" w:cs="Times New Roman"/>
                <w:lang w:val="sr-Latn-CS"/>
              </w:rPr>
              <w:t>Podnosilac zahtjeva</w:t>
            </w:r>
            <w:r w:rsidRPr="00412D29">
              <w:rPr>
                <w:rFonts w:ascii="Times New Roman" w:eastAsia="Times New Roman" w:hAnsi="Times New Roman" w:cs="Times New Roman"/>
              </w:rPr>
              <w:t>:</w:t>
            </w:r>
          </w:p>
        </w:tc>
        <w:tc>
          <w:tcPr>
            <w:tcW w:w="7200" w:type="dxa"/>
            <w:vAlign w:val="bottom"/>
          </w:tcPr>
          <w:p w:rsidR="005313CE" w:rsidRPr="00412D29" w:rsidRDefault="005313CE" w:rsidP="005313CE">
            <w:pPr>
              <w:spacing w:before="200" w:after="0" w:line="240" w:lineRule="auto"/>
              <w:rPr>
                <w:rFonts w:ascii="Times New Roman" w:eastAsia="Times New Roman" w:hAnsi="Times New Roman" w:cs="Times New Roman"/>
                <w:b/>
                <w:bCs/>
              </w:rPr>
            </w:pPr>
            <w:r w:rsidRPr="00412D29">
              <w:rPr>
                <w:rFonts w:ascii="Times New Roman" w:eastAsia="Times New Roman" w:hAnsi="Times New Roman" w:cs="Times New Roman"/>
                <w:b/>
                <w:bCs/>
              </w:rPr>
              <w:t>Glosarij d.o.o.</w:t>
            </w:r>
          </w:p>
        </w:tc>
      </w:tr>
      <w:tr w:rsidR="005313CE" w:rsidRPr="00412D29" w:rsidTr="006C45B6">
        <w:trPr>
          <w:jc w:val="center"/>
        </w:trPr>
        <w:tc>
          <w:tcPr>
            <w:tcW w:w="2160" w:type="dxa"/>
            <w:vAlign w:val="bottom"/>
          </w:tcPr>
          <w:p w:rsidR="005313CE" w:rsidRPr="00412D29" w:rsidRDefault="005313CE" w:rsidP="005313CE">
            <w:pPr>
              <w:spacing w:before="200" w:after="0" w:line="240" w:lineRule="auto"/>
              <w:jc w:val="right"/>
              <w:rPr>
                <w:rFonts w:ascii="Times New Roman" w:eastAsia="Times New Roman" w:hAnsi="Times New Roman" w:cs="Times New Roman"/>
              </w:rPr>
            </w:pPr>
            <w:r w:rsidRPr="00412D29">
              <w:rPr>
                <w:rFonts w:ascii="Times New Roman" w:eastAsia="Times New Roman" w:hAnsi="Times New Roman" w:cs="Times New Roman"/>
                <w:lang w:val="sr-Latn-CS"/>
              </w:rPr>
              <w:t>Adresa:</w:t>
            </w:r>
          </w:p>
        </w:tc>
        <w:tc>
          <w:tcPr>
            <w:tcW w:w="7200" w:type="dxa"/>
            <w:vAlign w:val="bottom"/>
          </w:tcPr>
          <w:p w:rsidR="005313CE" w:rsidRPr="00412D29" w:rsidRDefault="005313CE" w:rsidP="005313CE">
            <w:pPr>
              <w:spacing w:before="200" w:after="0" w:line="240" w:lineRule="auto"/>
              <w:rPr>
                <w:rFonts w:ascii="Times New Roman" w:eastAsia="Times New Roman" w:hAnsi="Times New Roman" w:cs="Times New Roman"/>
                <w:b/>
                <w:bCs/>
                <w:lang w:val="sr-Latn-RS"/>
              </w:rPr>
            </w:pPr>
            <w:r w:rsidRPr="00412D29">
              <w:rPr>
                <w:rFonts w:ascii="Times New Roman" w:eastAsia="Times New Roman" w:hAnsi="Times New Roman" w:cs="Times New Roman"/>
                <w:b/>
                <w:bCs/>
              </w:rPr>
              <w:t>Vojislavljevi</w:t>
            </w:r>
            <w:r w:rsidRPr="00412D29">
              <w:rPr>
                <w:rFonts w:ascii="Times New Roman" w:eastAsia="Times New Roman" w:hAnsi="Times New Roman" w:cs="Times New Roman"/>
                <w:b/>
                <w:bCs/>
                <w:lang w:val="sr-Latn-RS"/>
              </w:rPr>
              <w:t>ća 76, 81 000 Podgorica, Crna Gora</w:t>
            </w:r>
          </w:p>
        </w:tc>
      </w:tr>
    </w:tbl>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b/>
          <w:bCs/>
          <w:i/>
          <w:iCs/>
          <w:u w:val="single"/>
        </w:rPr>
      </w:pPr>
    </w:p>
    <w:p w:rsidR="005313CE" w:rsidRPr="00412D29" w:rsidRDefault="005313CE" w:rsidP="005313CE">
      <w:pPr>
        <w:spacing w:after="0" w:line="240" w:lineRule="auto"/>
        <w:rPr>
          <w:rFonts w:ascii="Times New Roman" w:eastAsia="Times New Roman" w:hAnsi="Times New Roman" w:cs="Times New Roman"/>
          <w:color w:val="808080"/>
          <w:lang w:val="sr-Latn-CS"/>
        </w:rPr>
      </w:pPr>
    </w:p>
    <w:p w:rsidR="005313CE" w:rsidRPr="00412D29" w:rsidRDefault="005313CE" w:rsidP="005313CE">
      <w:pPr>
        <w:spacing w:after="0" w:line="240" w:lineRule="auto"/>
        <w:rPr>
          <w:rFonts w:ascii="Times New Roman" w:eastAsia="Times New Roman" w:hAnsi="Times New Roman" w:cs="Times New Roman"/>
          <w:i/>
          <w:color w:val="808080"/>
          <w:lang w:val="sr-Latn-CS"/>
        </w:rPr>
      </w:pPr>
    </w:p>
    <w:p w:rsidR="005313CE" w:rsidRPr="00412D29" w:rsidRDefault="005313CE" w:rsidP="005313CE">
      <w:pPr>
        <w:spacing w:after="0" w:line="240" w:lineRule="auto"/>
        <w:rPr>
          <w:rFonts w:ascii="Times New Roman" w:eastAsia="Times New Roman" w:hAnsi="Times New Roman" w:cs="Times New Roman"/>
          <w:i/>
          <w:color w:val="808080"/>
          <w:lang w:val="sr-Latn-CS"/>
        </w:rPr>
      </w:pPr>
    </w:p>
    <w:p w:rsidR="005313CE" w:rsidRPr="00412D29" w:rsidRDefault="005313CE" w:rsidP="005313CE">
      <w:pPr>
        <w:spacing w:after="0" w:line="240" w:lineRule="auto"/>
        <w:rPr>
          <w:rFonts w:ascii="Times New Roman" w:eastAsia="Times New Roman" w:hAnsi="Times New Roman" w:cs="Times New Roman"/>
          <w:i/>
          <w:color w:val="808080"/>
          <w:lang w:val="sr-Latn-CS"/>
        </w:rPr>
      </w:pPr>
    </w:p>
    <w:p w:rsidR="005313CE" w:rsidRPr="00412D29" w:rsidRDefault="005313CE" w:rsidP="005313CE">
      <w:pPr>
        <w:spacing w:after="0" w:line="240" w:lineRule="auto"/>
        <w:rPr>
          <w:rFonts w:ascii="Times New Roman" w:eastAsia="Times New Roman" w:hAnsi="Times New Roman" w:cs="Times New Roman"/>
          <w:i/>
          <w:color w:val="808080"/>
          <w:lang w:val="sr-Latn-CS"/>
        </w:rPr>
      </w:pPr>
    </w:p>
    <w:p w:rsidR="005313CE" w:rsidRPr="00412D29" w:rsidRDefault="005313CE" w:rsidP="005313CE">
      <w:pPr>
        <w:spacing w:after="0" w:line="240" w:lineRule="auto"/>
        <w:rPr>
          <w:rFonts w:ascii="Times New Roman" w:eastAsia="Times New Roman" w:hAnsi="Times New Roman" w:cs="Times New Roman"/>
          <w:i/>
          <w:color w:val="808080"/>
          <w:lang w:val="sr-Latn-CS"/>
        </w:rPr>
      </w:pPr>
    </w:p>
    <w:p w:rsidR="005313CE" w:rsidRPr="00412D29" w:rsidRDefault="005313CE" w:rsidP="005313CE">
      <w:pPr>
        <w:spacing w:after="0" w:line="240" w:lineRule="auto"/>
        <w:rPr>
          <w:rFonts w:ascii="Times New Roman" w:eastAsia="Times New Roman" w:hAnsi="Times New Roman" w:cs="Times New Roman"/>
          <w:i/>
          <w:color w:val="808080"/>
          <w:lang w:val="sr-Latn-CS"/>
        </w:rPr>
      </w:pPr>
    </w:p>
    <w:p w:rsidR="005313CE" w:rsidRPr="00412D29" w:rsidRDefault="005313CE" w:rsidP="005313CE">
      <w:pPr>
        <w:spacing w:after="0" w:line="240" w:lineRule="auto"/>
        <w:rPr>
          <w:rFonts w:ascii="Times New Roman" w:eastAsia="Times New Roman" w:hAnsi="Times New Roman" w:cs="Times New Roman"/>
          <w:lang w:val="sr-Latn-CS"/>
        </w:rPr>
      </w:pPr>
    </w:p>
    <w:p w:rsidR="005313CE" w:rsidRPr="00412D29" w:rsidRDefault="005313CE" w:rsidP="005313CE">
      <w:pPr>
        <w:tabs>
          <w:tab w:val="left" w:pos="540"/>
          <w:tab w:val="left" w:pos="569"/>
        </w:tabs>
        <w:spacing w:after="0" w:line="240" w:lineRule="auto"/>
        <w:rPr>
          <w:rFonts w:ascii="Times New Roman" w:eastAsia="Times New Roman" w:hAnsi="Times New Roman" w:cs="Times New Roman"/>
          <w:bCs/>
          <w:i/>
        </w:rPr>
      </w:pPr>
    </w:p>
    <w:p w:rsidR="005313CE" w:rsidRPr="00412D29" w:rsidRDefault="005313CE" w:rsidP="005313CE">
      <w:pPr>
        <w:spacing w:after="0" w:line="240" w:lineRule="auto"/>
        <w:jc w:val="both"/>
        <w:rPr>
          <w:rFonts w:ascii="Times New Roman" w:eastAsia="Times New Roman" w:hAnsi="Times New Roman" w:cs="Times New Roman"/>
          <w:noProof/>
          <w:lang w:val="hr-HR"/>
        </w:rPr>
      </w:pPr>
      <w:r w:rsidRPr="00412D29">
        <w:rPr>
          <w:rFonts w:ascii="Times New Roman" w:eastAsia="Times New Roman" w:hAnsi="Times New Roman" w:cs="Times New Roman"/>
          <w:noProof/>
        </w:rPr>
        <w:lastRenderedPageBreak/>
        <w:drawing>
          <wp:inline distT="0" distB="0" distL="0" distR="0" wp14:anchorId="537CE6BB" wp14:editId="79AC7B42">
            <wp:extent cx="175260" cy="146050"/>
            <wp:effectExtent l="0" t="0" r="0" b="635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 cy="146050"/>
                    </a:xfrm>
                    <a:prstGeom prst="rect">
                      <a:avLst/>
                    </a:prstGeom>
                    <a:noFill/>
                    <a:ln>
                      <a:noFill/>
                    </a:ln>
                  </pic:spPr>
                </pic:pic>
              </a:graphicData>
            </a:graphic>
          </wp:inline>
        </w:drawing>
      </w:r>
      <w:r w:rsidRPr="00412D29">
        <w:rPr>
          <w:rFonts w:ascii="Times New Roman" w:eastAsia="Times New Roman" w:hAnsi="Times New Roman" w:cs="Times New Roman"/>
          <w:noProof/>
          <w:lang w:val="hr-HR"/>
        </w:rPr>
        <w:t xml:space="preserve"> Ovaj lijek je pod dodatnim praćenjem.</w:t>
      </w:r>
      <w:r w:rsidRPr="00412D29">
        <w:rPr>
          <w:rFonts w:ascii="Times New Roman" w:eastAsia="Times New Roman" w:hAnsi="Times New Roman" w:cs="Times New Roman"/>
          <w:lang w:val="hr-HR"/>
        </w:rPr>
        <w:t xml:space="preserve"> </w:t>
      </w:r>
      <w:r w:rsidRPr="00412D29">
        <w:rPr>
          <w:rFonts w:ascii="Times New Roman" w:eastAsia="Times New Roman" w:hAnsi="Times New Roman" w:cs="Times New Roman"/>
          <w:noProof/>
          <w:lang w:val="hr-HR"/>
        </w:rPr>
        <w:t>Time se omogućava brzo otkrivanje novih bezbjednosnih informacija. Zdravstveni radnici treba da prijave svaku sumnju na neželjeno dejstvo ovog lijeka.</w:t>
      </w:r>
      <w:r w:rsidRPr="00412D29">
        <w:rPr>
          <w:rFonts w:ascii="Times New Roman" w:eastAsia="Times New Roman" w:hAnsi="Times New Roman" w:cs="Times New Roman"/>
          <w:lang w:val="hr-HR"/>
        </w:rPr>
        <w:t xml:space="preserve"> Za način prijavljivanja neželjenih dejstava vidjeti odjeljak 4.8</w:t>
      </w:r>
      <w:r w:rsidRPr="00412D29">
        <w:rPr>
          <w:rFonts w:ascii="Times New Roman" w:eastAsia="Times New Roman" w:hAnsi="Times New Roman" w:cs="Times New Roman"/>
          <w:noProof/>
          <w:lang w:val="hr-HR"/>
        </w:rPr>
        <w:t>.</w:t>
      </w:r>
    </w:p>
    <w:p w:rsidR="005313CE" w:rsidRDefault="005313CE" w:rsidP="005313CE">
      <w:pPr>
        <w:tabs>
          <w:tab w:val="left" w:pos="540"/>
          <w:tab w:val="left" w:pos="569"/>
        </w:tabs>
        <w:spacing w:after="0" w:line="240" w:lineRule="auto"/>
        <w:rPr>
          <w:rFonts w:ascii="Times New Roman" w:eastAsia="Times New Roman" w:hAnsi="Times New Roman" w:cs="Times New Roman"/>
          <w:bCs/>
        </w:rPr>
      </w:pPr>
    </w:p>
    <w:p w:rsidR="006C45B6" w:rsidRPr="00412D29" w:rsidRDefault="006C45B6" w:rsidP="005313CE">
      <w:pPr>
        <w:tabs>
          <w:tab w:val="left" w:pos="540"/>
          <w:tab w:val="left" w:pos="569"/>
        </w:tabs>
        <w:spacing w:after="0" w:line="240" w:lineRule="auto"/>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1.</w:t>
      </w:r>
      <w:r w:rsidRPr="00412D29">
        <w:rPr>
          <w:rFonts w:ascii="Times New Roman" w:eastAsia="Times New Roman" w:hAnsi="Times New Roman" w:cs="Times New Roman"/>
          <w:b/>
          <w:bCs/>
        </w:rPr>
        <w:tab/>
        <w:t>NAZIV LIJEKA</w:t>
      </w:r>
    </w:p>
    <w:p w:rsidR="005313CE" w:rsidRPr="00412D29" w:rsidRDefault="005313CE" w:rsidP="005313CE">
      <w:pPr>
        <w:spacing w:after="0" w:line="240" w:lineRule="auto"/>
        <w:jc w:val="both"/>
        <w:rPr>
          <w:rFonts w:ascii="Times New Roman" w:eastAsia="Times New Roman" w:hAnsi="Times New Roman" w:cs="Times New Roman"/>
          <w:lang w:val="pl-PL"/>
        </w:rPr>
      </w:pPr>
    </w:p>
    <w:p w:rsidR="005313CE" w:rsidRPr="00412D29" w:rsidRDefault="005313CE" w:rsidP="005313CE">
      <w:pPr>
        <w:tabs>
          <w:tab w:val="center" w:pos="4320"/>
          <w:tab w:val="right" w:pos="8640"/>
        </w:tabs>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bCs/>
        </w:rPr>
        <w:t>Lynparza</w:t>
      </w:r>
      <w:r w:rsidRPr="00412D29">
        <w:rPr>
          <w:rFonts w:ascii="Times New Roman" w:eastAsia="Times New Roman" w:hAnsi="Times New Roman" w:cs="Times New Roman"/>
          <w:bCs/>
          <w:vertAlign w:val="superscript"/>
        </w:rPr>
        <w:t>®</w:t>
      </w:r>
      <w:r w:rsidRPr="00412D29">
        <w:rPr>
          <w:rFonts w:ascii="Times New Roman" w:eastAsia="Times New Roman" w:hAnsi="Times New Roman" w:cs="Times New Roman"/>
          <w:lang w:val="sr-Latn-CS"/>
        </w:rPr>
        <w:t xml:space="preserve">, 50 mg, kapsula, tvrda </w:t>
      </w: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INN: olaparib</w:t>
      </w:r>
    </w:p>
    <w:p w:rsidR="005313CE" w:rsidRPr="00412D29" w:rsidRDefault="005313CE" w:rsidP="005313CE">
      <w:pPr>
        <w:spacing w:after="0" w:line="240" w:lineRule="auto"/>
        <w:jc w:val="both"/>
        <w:rPr>
          <w:rFonts w:ascii="Times New Roman" w:eastAsia="Times New Roman" w:hAnsi="Times New Roman" w:cs="Times New Roman"/>
          <w:bCs/>
          <w:lang w:val="sv-SE"/>
        </w:rPr>
      </w:pPr>
    </w:p>
    <w:p w:rsidR="005313CE" w:rsidRPr="00412D29" w:rsidRDefault="005313CE" w:rsidP="005313CE">
      <w:pPr>
        <w:spacing w:after="0" w:line="240" w:lineRule="auto"/>
        <w:jc w:val="both"/>
        <w:rPr>
          <w:rFonts w:ascii="Times New Roman" w:eastAsia="Times New Roman" w:hAnsi="Times New Roman" w:cs="Times New Roman"/>
          <w:bCs/>
          <w:lang w:val="sv-SE"/>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2. </w:t>
      </w:r>
      <w:r w:rsidRPr="00412D29">
        <w:rPr>
          <w:rFonts w:ascii="Times New Roman" w:eastAsia="Times New Roman" w:hAnsi="Times New Roman" w:cs="Times New Roman"/>
          <w:b/>
          <w:bCs/>
        </w:rPr>
        <w:tab/>
        <w:t>KVALITATIVNI I KVANTITATIVNI SASTAV</w:t>
      </w:r>
    </w:p>
    <w:p w:rsidR="005313CE" w:rsidRPr="00412D29" w:rsidRDefault="005313CE" w:rsidP="005313CE">
      <w:pPr>
        <w:spacing w:after="0" w:line="240" w:lineRule="auto"/>
        <w:jc w:val="both"/>
        <w:rPr>
          <w:rFonts w:ascii="Times New Roman" w:eastAsia="Times New Roman" w:hAnsi="Times New Roman" w:cs="Times New Roman"/>
          <w:lang w:val="sr-Latn-CS"/>
        </w:rPr>
      </w:pP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Jedna kapsula, tvrda sadrži 50 mg olapariba.</w:t>
      </w:r>
    </w:p>
    <w:p w:rsidR="005313CE" w:rsidRPr="00412D29" w:rsidRDefault="005313CE" w:rsidP="005313CE">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Za kompletnu listu pomoćnih supstanci, vidjeti odjeljak 6.1.</w:t>
      </w:r>
    </w:p>
    <w:p w:rsidR="005313CE" w:rsidRPr="00412D29" w:rsidRDefault="005313CE" w:rsidP="005313CE">
      <w:pPr>
        <w:spacing w:after="0" w:line="240" w:lineRule="auto"/>
        <w:jc w:val="both"/>
        <w:rPr>
          <w:rFonts w:ascii="Times New Roman" w:eastAsia="Times New Roman" w:hAnsi="Times New Roman" w:cs="Times New Roman"/>
          <w:lang w:val="sr-Latn-CS"/>
        </w:rPr>
      </w:pPr>
    </w:p>
    <w:p w:rsidR="005313CE" w:rsidRPr="00412D29" w:rsidRDefault="005313CE" w:rsidP="005313CE">
      <w:pPr>
        <w:spacing w:after="0" w:line="240" w:lineRule="auto"/>
        <w:jc w:val="both"/>
        <w:rPr>
          <w:rFonts w:ascii="Times New Roman" w:eastAsia="Times New Roman" w:hAnsi="Times New Roman" w:cs="Times New Roman"/>
          <w:lang w:val="sr-Latn-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3. </w:t>
      </w:r>
      <w:r w:rsidRPr="00412D29">
        <w:rPr>
          <w:rFonts w:ascii="Times New Roman" w:eastAsia="Times New Roman" w:hAnsi="Times New Roman" w:cs="Times New Roman"/>
          <w:b/>
          <w:bCs/>
        </w:rPr>
        <w:tab/>
        <w:t>FARMACEUTSKI OBLIK</w:t>
      </w:r>
    </w:p>
    <w:p w:rsidR="005313CE" w:rsidRPr="00412D29" w:rsidRDefault="005313CE" w:rsidP="005313CE">
      <w:pPr>
        <w:spacing w:after="0" w:line="240" w:lineRule="auto"/>
        <w:jc w:val="both"/>
        <w:rPr>
          <w:rFonts w:ascii="Times New Roman" w:eastAsia="Times New Roman" w:hAnsi="Times New Roman" w:cs="Times New Roman"/>
          <w:lang w:val="sr-Latn-CS"/>
        </w:rPr>
      </w:pP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Kapsula, tvrda.</w:t>
      </w: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Bijela, do skoro bijela kapsula veličine 0, sa crnim mastilom štampanim OLAPARIB 50 mg i AstraZeneca logom.</w:t>
      </w:r>
    </w:p>
    <w:p w:rsidR="005313CE" w:rsidRPr="00412D29" w:rsidRDefault="005313CE" w:rsidP="005313CE">
      <w:pPr>
        <w:spacing w:after="0" w:line="240" w:lineRule="auto"/>
        <w:jc w:val="both"/>
        <w:rPr>
          <w:rFonts w:ascii="Times New Roman" w:eastAsia="Times New Roman" w:hAnsi="Times New Roman" w:cs="Times New Roman"/>
          <w:bCs/>
          <w:lang w:val="sr-Latn-CS"/>
        </w:rPr>
      </w:pPr>
    </w:p>
    <w:p w:rsidR="005313CE" w:rsidRPr="00412D29" w:rsidRDefault="005313CE" w:rsidP="005313CE">
      <w:pPr>
        <w:spacing w:after="0" w:line="240" w:lineRule="auto"/>
        <w:jc w:val="both"/>
        <w:rPr>
          <w:rFonts w:ascii="Times New Roman" w:eastAsia="Times New Roman" w:hAnsi="Times New Roman" w:cs="Times New Roman"/>
          <w:bCs/>
          <w:lang w:val="sr-Latn-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4. </w:t>
      </w:r>
      <w:r w:rsidRPr="00412D29">
        <w:rPr>
          <w:rFonts w:ascii="Times New Roman" w:eastAsia="Times New Roman" w:hAnsi="Times New Roman" w:cs="Times New Roman"/>
          <w:b/>
          <w:bCs/>
        </w:rPr>
        <w:tab/>
        <w:t>KLINIČKI PODACI</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4.1. </w:t>
      </w:r>
      <w:r w:rsidRPr="00412D29">
        <w:rPr>
          <w:rFonts w:ascii="Times New Roman" w:eastAsia="Times New Roman" w:hAnsi="Times New Roman" w:cs="Times New Roman"/>
          <w:b/>
          <w:bCs/>
        </w:rPr>
        <w:tab/>
        <w:t>Terapijske indikacije</w:t>
      </w:r>
    </w:p>
    <w:p w:rsidR="006C45B6" w:rsidRDefault="006C45B6" w:rsidP="005313CE">
      <w:pPr>
        <w:autoSpaceDE w:val="0"/>
        <w:autoSpaceDN w:val="0"/>
        <w:adjustRightInd w:val="0"/>
        <w:spacing w:after="0" w:line="240" w:lineRule="auto"/>
        <w:jc w:val="both"/>
        <w:rPr>
          <w:rFonts w:ascii="Times New Roman" w:eastAsia="Times New Roman" w:hAnsi="Times New Roman" w:cs="Times New Roman"/>
        </w:rPr>
      </w:pPr>
    </w:p>
    <w:p w:rsidR="005313CE" w:rsidRPr="00412D29" w:rsidRDefault="005313CE" w:rsidP="005313CE">
      <w:pPr>
        <w:autoSpaceDE w:val="0"/>
        <w:autoSpaceDN w:val="0"/>
        <w:adjustRightInd w:val="0"/>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Lijek Lynparza je indikovan kao monoterapija u terapiji održavanja kod odraslih pacijentkinja sa relapsirajućim, osjetljivim na platinu, BRCA-mutiranim (germinativnim i/ili somatskim) seroznim epitelijalnim karcinomom jajnika, jajovoda, ili primarno peritonealnim karcinomom, visokog stepena, koje su postigle odgovor (potpun ili djelimičan odgovor) na hemioterapiju zasnovanu na platini.</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4.2. </w:t>
      </w:r>
      <w:r w:rsidRPr="00412D29">
        <w:rPr>
          <w:rFonts w:ascii="Times New Roman" w:eastAsia="Times New Roman" w:hAnsi="Times New Roman" w:cs="Times New Roman"/>
          <w:b/>
          <w:bCs/>
        </w:rPr>
        <w:tab/>
        <w:t>Doziranje i način primjene</w:t>
      </w:r>
    </w:p>
    <w:p w:rsidR="006C45B6" w:rsidRDefault="006C45B6"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Liječenje lijekom Lynparza treba da započne i nadgleda ljekar sa iskustvom u primjeni ljekova protiv karcinoma.</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Kod pacijenata mora biti potvrđena mutacija (germinativna ili tumorska) BRCA (</w:t>
      </w:r>
      <w:r w:rsidRPr="00412D29">
        <w:rPr>
          <w:rFonts w:ascii="Times New Roman" w:eastAsia="Times New Roman" w:hAnsi="Times New Roman" w:cs="Times New Roman"/>
          <w:i/>
        </w:rPr>
        <w:t>breast cancer susceptibility</w:t>
      </w:r>
      <w:r w:rsidRPr="00412D29">
        <w:rPr>
          <w:rFonts w:ascii="Times New Roman" w:eastAsia="Times New Roman" w:hAnsi="Times New Roman" w:cs="Times New Roman"/>
        </w:rPr>
        <w:t xml:space="preserve">) gena prije započinjanja liječenja lijekom Lynparza. </w:t>
      </w:r>
      <w:r w:rsidRPr="00412D29">
        <w:rPr>
          <w:rFonts w:ascii="Times New Roman" w:eastAsia="Times New Roman" w:hAnsi="Times New Roman" w:cs="Times New Roman"/>
          <w:i/>
        </w:rPr>
        <w:t>BRCA</w:t>
      </w:r>
      <w:r w:rsidRPr="00412D29">
        <w:rPr>
          <w:rFonts w:ascii="Times New Roman" w:eastAsia="Times New Roman" w:hAnsi="Times New Roman" w:cs="Times New Roman"/>
        </w:rPr>
        <w:t xml:space="preserve"> status mutacije treba da odredi laboratorija sa iskustvom, pomoću validirane metode ispitivanja (vidjeti odjeljak 5.1).</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 xml:space="preserve">Podaci o pacijentima sa somatskim </w:t>
      </w:r>
      <w:r w:rsidRPr="00412D29">
        <w:rPr>
          <w:rFonts w:ascii="Times New Roman" w:eastAsia="Times New Roman" w:hAnsi="Times New Roman" w:cs="Times New Roman"/>
          <w:i/>
        </w:rPr>
        <w:t>BRCA-</w:t>
      </w:r>
      <w:r w:rsidRPr="00412D29">
        <w:rPr>
          <w:rFonts w:ascii="Times New Roman" w:eastAsia="Times New Roman" w:hAnsi="Times New Roman" w:cs="Times New Roman"/>
        </w:rPr>
        <w:t>mutiranim tumorima su ograničeni (vidjeti odjeljak 5.1).</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 xml:space="preserve">Genetsko savjetovanje za pacijente sa </w:t>
      </w:r>
      <w:r w:rsidRPr="00412D29">
        <w:rPr>
          <w:rFonts w:ascii="Times New Roman" w:eastAsia="Times New Roman" w:hAnsi="Times New Roman" w:cs="Times New Roman"/>
          <w:i/>
        </w:rPr>
        <w:t>BRCA</w:t>
      </w:r>
      <w:r w:rsidRPr="00412D29">
        <w:rPr>
          <w:rFonts w:ascii="Times New Roman" w:eastAsia="Times New Roman" w:hAnsi="Times New Roman" w:cs="Times New Roman"/>
        </w:rPr>
        <w:t xml:space="preserve"> mutacijama treba da bude sprovedeno u skladu sa lokalnim propisima.</w:t>
      </w:r>
    </w:p>
    <w:p w:rsidR="005313CE" w:rsidRPr="00412D29" w:rsidRDefault="005313CE" w:rsidP="005313CE">
      <w:pPr>
        <w:spacing w:after="0" w:line="240" w:lineRule="auto"/>
        <w:jc w:val="both"/>
        <w:rPr>
          <w:rFonts w:ascii="Times New Roman" w:eastAsia="Times New Roman" w:hAnsi="Times New Roman" w:cs="Times New Roman"/>
          <w:u w:val="single"/>
        </w:rPr>
      </w:pPr>
      <w:r w:rsidRPr="00412D29">
        <w:rPr>
          <w:rFonts w:ascii="Times New Roman" w:eastAsia="Times New Roman" w:hAnsi="Times New Roman" w:cs="Times New Roman"/>
          <w:u w:val="single"/>
        </w:rPr>
        <w:lastRenderedPageBreak/>
        <w:t>Doziranje</w:t>
      </w:r>
    </w:p>
    <w:p w:rsidR="006C45B6" w:rsidRDefault="006C45B6"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Preporučena doza lijeka Lynparza iznosi 400 mg (osam kapsula) dva puta dnevno, što je ekvivalentno ukupnoj dnevnoj dozi od 800 mg.</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Pacijenti treba da započnu liječenje lijekom Lynparza u roku od 8 nedjelja nakon uzimanja posljednje doze terapijskog režima koji sadrži platinu.</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Preporučuje se da se liječenje nastavi sve do progresije osnovnog oboljenja. Nema podataka o ponovljenoj terapiji lijekom Lynparza nakon recidiva (vidjeti odjeljak 5.1).</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Propuštena doza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Ukoliko pacijent propusti da uzme dozu lijeka Lynparza, treba da uzme narednu uobičajenu dozu u planirano vrijeme.</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Prilagođavanje doze zbog neželjenih dejstava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Liječenje može biti prekinuto da bi se sanirala neželjena dejstva, kao što su mučnina, povraćanje, dijareja i anemija. Može se razmotriti smanjenje doze (vidjeti odjeljak 4.8).</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Preporučuje se smanjenje doze na 200 mg dva puta dnevno (ekvivalentno ukupnoj dnevnoj dozi od 400 mg).</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Ukoliko je potrebno dalje smanjenje ukupne doze, onda se može razmotriti smanjenje na 100 mg dva puta dnevno (ekvivalentno ukupnoj dnevnoj dozi od 200 mg).</w:t>
      </w:r>
    </w:p>
    <w:p w:rsidR="005313CE" w:rsidRPr="00412D29" w:rsidRDefault="005313CE" w:rsidP="005313CE">
      <w:pPr>
        <w:spacing w:after="0" w:line="240" w:lineRule="auto"/>
        <w:jc w:val="both"/>
        <w:rPr>
          <w:rFonts w:ascii="Times New Roman" w:eastAsia="Times New Roman" w:hAnsi="Times New Roman" w:cs="Times New Roman"/>
          <w:i/>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Prilagođavanje doze zbog istovremene primjene sa inhibitorima CYP3A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Ne preporučuje se istovremena primjena snažnih i umjerenih inhibitora CYP3A, te je potrebno razmotriti primjenu zamjenskih ljekova. Ako je istovremena primjena snažnog ili umjerenog inhibitora CYP3A neophodna, preporučuje se smanjenje doze olapariba na 150 mg primijenjenih dva puta dnevno (ekvivalentno ukupnoj dnevnoj dozi od 300 mg) sa snažnim inhibitorom CYP3A, ili na 200 mg primijenjenih dva puta dnevno (ekvivalentno ukupnoj dnevnoj dozi od 400 mg) sa umjerenim inhibitorom CYP3A (vidjeti odjeljke 4.4 i 4.5).</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Stariji pacijenti</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Kod starijih pacijenata nije potrebno prilagođavanje početne doze. Klinički podaci kod pacijenata starih 75 i više godina su ograničeni.</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Pacijenti sa insuficijencijom bubrega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Uticaj insuficijencije bubrega na izloženost lijeku Lynparza nije ispitivan. Lijek Lynparza može se primjenjivati kod pacijenata sa blagom insuficijencijom bubrega (klirens kreatinina &gt; 50 mL/min).</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Postoje ograničeni podaci kod pacijenata sa umjerenom insuficijencijom bubrega (klirens kreatinina &lt; 50 ml/min) ili teškom insuficijencijom bubrega (klirens kreatinina &lt; 30 ml/min), i bezbjednost i efikasnost nijesu utvrđene. Stoga, ne preporučuje se primjena lijeka Lynparza kod pacijenata sa ovim stepenom insuficijencije bubrega.</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Lijek Lynparza može se primjenjivati kod pacijenata sa umjerenom ili teškom insuficijencijom bubrega samo ukoliko korist prevazilazi potencijalni rizik, a potrebno je pažljivo praćenje funkcije bubrega i neželjenih dejstava kod pacijenta.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lastRenderedPageBreak/>
        <w:t>Pacijenti sa insuficijencijom jetre</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Uticaj insuficijencije jetre na izloženost lijeku Lynparza nije ispitivan. Stoga, primjena lijeka Lynparza ne preporučuje se kod pacijenata sa insuficijencijom jetre (vrijednost bilirubina u serumu više od 1,5 puta veća od gornje granice normalnih vrijednosti), zbog toga što bezbjednost i efikasnost nijesu utvrđene.</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Pacijenti koji nijesu bijele rase</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Klinički podaci kod pacijenata koji nijesu bijele rase su ograničeni. Međutim, nije potrebno prilagođavanje doze na osnovu etničke pripadnosti (vidjeti odjeljak 5.2).</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Pacijenti sa performans statusom od 2 do 4</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Kod pacijenata sa performans statusom od 2 do 4 dostupni su veoma ograničeni klinički podaci.</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Pedijatrijska populacija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Bezbjednost i efikasnost lijeka Lynparza nijesu utvrđene kod djece i adolescenata. Nema dostupnih podataka.</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Način primjene</w:t>
      </w:r>
    </w:p>
    <w:p w:rsidR="002A564A" w:rsidRDefault="002A564A"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Lijek Lynparza namijenjen je za oralnu primjenu.</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Zbog uticaja hrane na resorpciju olapariba, pacijenti treba da uzmu lijek Lynparza najmanje jedan sat poslije jela, i poželjno je da se uzdrže od konzumiranja hrane tokom naredna dva sata.</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4.3. </w:t>
      </w:r>
      <w:r w:rsidRPr="00412D29">
        <w:rPr>
          <w:rFonts w:ascii="Times New Roman" w:eastAsia="Times New Roman" w:hAnsi="Times New Roman" w:cs="Times New Roman"/>
          <w:b/>
          <w:bCs/>
        </w:rPr>
        <w:tab/>
        <w:t>Kontraindikacije</w:t>
      </w:r>
    </w:p>
    <w:p w:rsidR="002A564A" w:rsidRDefault="002A564A"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Preosjetljivost na aktivnu supstancu ili na bilo koju od pomoćnih supstanci navedenih u odjeljku 6.1.</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r w:rsidRPr="00412D29">
        <w:rPr>
          <w:rFonts w:ascii="Times New Roman" w:eastAsia="Times New Roman" w:hAnsi="Times New Roman" w:cs="Times New Roman"/>
        </w:rPr>
        <w:t>Dojenje tokom terapije i 1 mjesec nakon posljednje doze lijeka (vidjeti odjeljak 4.6).</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4.4. </w:t>
      </w:r>
      <w:r w:rsidRPr="00412D29">
        <w:rPr>
          <w:rFonts w:ascii="Times New Roman" w:eastAsia="Times New Roman" w:hAnsi="Times New Roman" w:cs="Times New Roman"/>
          <w:b/>
          <w:bCs/>
        </w:rPr>
        <w:tab/>
        <w:t>Posebna upozorenja i mjere opreza pri upotrebi lijeka</w:t>
      </w:r>
    </w:p>
    <w:p w:rsidR="005313CE" w:rsidRPr="00412D29" w:rsidRDefault="005313CE" w:rsidP="005313CE">
      <w:pPr>
        <w:spacing w:after="0" w:line="240" w:lineRule="auto"/>
        <w:jc w:val="both"/>
        <w:rPr>
          <w:rFonts w:ascii="Times New Roman" w:eastAsia="Times New Roman" w:hAnsi="Times New Roman" w:cs="Times New Roman"/>
          <w:u w:val="single"/>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Hematološka toksičnost</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Kod pacijenata liječenih olaparibom zabilježena je hematološka toksičnost, uključujući kliničke dijagnoze i/ili laboratorijske nalaze najčešće blage ili umjerene (CTCAE 1. ili 2. stepena) anemije, neutropenije, trombocitopenije i limfopenije. Pacijenti ne treba da započnu liječenje lijekom Lynparza sve dok se ne oporave od hematološke toksičnosti koju je prouzrokovala prethodna terapija protiv karcinoma (nivo hemoglobina, trombocita i neutrofila treba da bude u okviru opsega normalnih vrijednosti ili CTCAE 1. stepena). Kompletna analiza krvne slike na početku terapije, uz mjesečno praćenje, preporučuje se tokom prvih 12 mjeseci liječenja i periodično nakon ovog vremena, da bi se tokom liječenja uočile klinički značajne promjene bilo kog od parametara.</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Ukoliko kod pacijenta nastupi teška hematološka toksičnost ili zavisnost od transfuzija krvi, liječenje lijekom Lynparza treba prekinuti i treba započeti odgovarajuća hematološka ispitivanja. Ukoliko parametri krvi ostanu izvan klinički normalnih vrijednosti 4 nedjelje nakon prekida primjene lijeka Lynparza, preporučuje se analiza kostne srži i/ili citogenetska analiza krvi.</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Mijelodisplastični sindrom/Akutna mijeloidna leukemija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 xml:space="preserve">Mijelodisplastični sindrom/akutna mijeloidna leukemija (MDS/AML) zabilježeni su kod malog broja pacijenata koji su primali lijek Lynparza samostalno ili u kombinaciji sa drugim ljekovima protiv karcinoma. </w:t>
      </w:r>
      <w:r w:rsidRPr="00412D29">
        <w:rPr>
          <w:rFonts w:ascii="Times New Roman" w:eastAsia="Times New Roman" w:hAnsi="Times New Roman" w:cs="Times New Roman"/>
        </w:rPr>
        <w:lastRenderedPageBreak/>
        <w:t xml:space="preserve">Većina ovih slučajeva imala je smrtni ishod. Trajanje terapije olaparibom kod pacijenata kod kojih se razvila MDS/AML variralo je između manje od 6 mjeseci do više od 2 godine. Ovi slučajevi bili su tipični za sekundarnu MDS/AML povezanu sa liječenjem karcinoma. Svi pacijenti su imali dodatne potencijalne faktore za razvoj MDS/AML. Većina slučajeva javila se kod nosioca </w:t>
      </w:r>
      <w:r w:rsidRPr="00412D29">
        <w:rPr>
          <w:rFonts w:ascii="Times New Roman" w:eastAsia="Times New Roman" w:hAnsi="Times New Roman" w:cs="Times New Roman"/>
          <w:i/>
        </w:rPr>
        <w:t>gBRCA</w:t>
      </w:r>
      <w:r w:rsidRPr="00412D29">
        <w:rPr>
          <w:rFonts w:ascii="Times New Roman" w:eastAsia="Times New Roman" w:hAnsi="Times New Roman" w:cs="Times New Roman"/>
        </w:rPr>
        <w:t xml:space="preserve"> mutacije (germinativna BRCA mutacija), a neki od pacijenata imali su u anamnezi raniji karcinom ili displaziju kostne srži. Svi su prethodno primili hemioterapijske režime koji sadrže platinu, a mnogi su takođe primili druge ljekove koji oštećuju DNK i radioterapiju. Ukoliko MDS i/ili AML budu potvrđeni tokom liječenja lijekom Lynparza, preporučuje se odgovarajući tretman pacijenta. Ukoliko se preporučuje dodatna terapija protiv karcinoma, primjenu lijeka Lynparza treba prekinuti i ovaj lijek ne treba primjenjivati u kombinaciji sa drugom terapijom protiv karcinoma.</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Pneumonitis</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Pneumonitis je zabilježen kod malog broja pacijenata koji su primali olaparib, dok je kod nekih pacijenata doveo do smrtnog ishoda. Izvještaji o pneumonitisu ne prate konzistentan klinički obrazac i postoji veliki broj predisponirajućih faktora (karcinom i/ili metastaze na plućima, postojeće oboljenje pluća, pušenje i/ili prethodna hemioterapija i radioterapija). Ukoliko se kod pacijenta jave ili pogoršaju respiratorni simptomi, kao što su dispneja, kašalj i povišena tjelesna temperatura, ili se javi radiološki poremećaj, liječenje lijekom Lynparza treba prekinuti i odmah započeti laboratorijsko ispitivanje. Liječenje lijekom Lynparza treba ukinuti, i pacijenta treba zbrinuti na odgovarajući način ukoliko je pneumonitis potvrđen.</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Embriofetalna toksičnost</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Na osnovu svog mehanizma dejstva (PARP inhibicija), olaparib može prouzrokovati oštećenje fetusa kada se primijeni kod trudnica. Pretklinička ispitivanja na pacovima pokazala su da olaparib prouzrokuje neželjena dejstva na embriofetalno preživljavanje i prouzrokuje velike malformacije fetusa pri izlaganju manjem od onog koje se očekuje kod primjene preporučenih doza za ljude od 400 mg dva puta dnevno.</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Trudnoća/kontracepcija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Lijek Lynparza ne smije se primjenjivati tokom trudnoće i kod žena koje mogu da rađaju a ne koriste pouzdanu kontracepciju tokom liječenja i 1 mjesec nakon primjene posljednje doze lijeka Lynparza (vidjeti odjeljak 4.6).</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Interakcije</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Treba izbjegavati istovremenu primjenu olapariba sa snažnim ili umjerenim inhibitorima CYP3A (vidjeti odjeljak 4.5). Ako je istovremena primjena snažnog ili umjerenog inhibitora CYP3A neophodna, dozu olapariba treba smanjiti (vidjeti odjeljke 4.2 i 4.5).</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Istovremena primjena olapariba sa snažnim induktorima CYP3A se ne preporučuje (vidjeti odjeljak 4.5). U slučaju da je pacijentu koji već prima olaparib potrebno liječenje snažnim induktorom CYP3A, ljekar koji propisuje terapiju mora biti svjestan da efikasnost olapariba može biti značajno smanjena (vidjeti odjeljak 4.5).</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 slučaju da je pacijentu koji već prima olaparib potrebno liječenje P-gp (P-glikoprotein) inhibitorom, preporučuje se pažljivo praćenje neželjenih dejstava povezanih sa olaparibom i zbrinjavanje tih dejstava pomoću strategije smanjenja doze (vidjeti odjeljak 4.2).</w:t>
      </w:r>
    </w:p>
    <w:p w:rsidR="005313CE"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2A564A" w:rsidRDefault="002A564A" w:rsidP="005313CE">
      <w:pPr>
        <w:tabs>
          <w:tab w:val="left" w:pos="540"/>
          <w:tab w:val="left" w:pos="569"/>
        </w:tabs>
        <w:spacing w:after="0" w:line="240" w:lineRule="auto"/>
        <w:jc w:val="both"/>
        <w:rPr>
          <w:rFonts w:ascii="Times New Roman" w:eastAsia="Times New Roman" w:hAnsi="Times New Roman" w:cs="Times New Roman"/>
          <w:bCs/>
        </w:rPr>
      </w:pPr>
    </w:p>
    <w:p w:rsidR="002A564A" w:rsidRDefault="002A564A" w:rsidP="005313CE">
      <w:pPr>
        <w:tabs>
          <w:tab w:val="left" w:pos="540"/>
          <w:tab w:val="left" w:pos="569"/>
        </w:tabs>
        <w:spacing w:after="0" w:line="240" w:lineRule="auto"/>
        <w:jc w:val="both"/>
        <w:rPr>
          <w:rFonts w:ascii="Times New Roman" w:eastAsia="Times New Roman" w:hAnsi="Times New Roman" w:cs="Times New Roman"/>
          <w:bCs/>
        </w:rPr>
      </w:pPr>
    </w:p>
    <w:p w:rsidR="002A564A" w:rsidRDefault="002A564A" w:rsidP="005313CE">
      <w:pPr>
        <w:tabs>
          <w:tab w:val="left" w:pos="540"/>
          <w:tab w:val="left" w:pos="569"/>
        </w:tabs>
        <w:spacing w:after="0" w:line="240" w:lineRule="auto"/>
        <w:jc w:val="both"/>
        <w:rPr>
          <w:rFonts w:ascii="Times New Roman" w:eastAsia="Times New Roman" w:hAnsi="Times New Roman" w:cs="Times New Roman"/>
          <w:bCs/>
        </w:rPr>
      </w:pPr>
    </w:p>
    <w:p w:rsidR="002A564A" w:rsidRPr="00412D29" w:rsidRDefault="002A564A"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lastRenderedPageBreak/>
        <w:t xml:space="preserve">4.5. </w:t>
      </w:r>
      <w:r w:rsidRPr="00412D29">
        <w:rPr>
          <w:rFonts w:ascii="Times New Roman" w:eastAsia="Times New Roman" w:hAnsi="Times New Roman" w:cs="Times New Roman"/>
          <w:b/>
          <w:bCs/>
        </w:rPr>
        <w:tab/>
        <w:t>Interakcije sa drugim ljekovima i druge vrste interakcija</w:t>
      </w:r>
    </w:p>
    <w:p w:rsidR="005313CE" w:rsidRPr="00412D29" w:rsidRDefault="005313CE" w:rsidP="005313CE">
      <w:pPr>
        <w:spacing w:after="0" w:line="240" w:lineRule="auto"/>
        <w:jc w:val="both"/>
        <w:rPr>
          <w:rFonts w:ascii="Times New Roman" w:eastAsia="Times New Roman" w:hAnsi="Times New Roman" w:cs="Times New Roman"/>
          <w:bCs/>
          <w:lang w:val="ru-RU"/>
        </w:rPr>
      </w:pPr>
    </w:p>
    <w:p w:rsidR="005313CE" w:rsidRPr="00412D29" w:rsidRDefault="005313CE" w:rsidP="005313CE">
      <w:pPr>
        <w:spacing w:after="0" w:line="240" w:lineRule="auto"/>
        <w:jc w:val="both"/>
        <w:rPr>
          <w:rFonts w:ascii="Times New Roman" w:eastAsia="Times New Roman" w:hAnsi="Times New Roman" w:cs="Times New Roman"/>
          <w:bCs/>
          <w:lang w:val="ru-RU"/>
        </w:rPr>
      </w:pPr>
      <w:r w:rsidRPr="00412D29">
        <w:rPr>
          <w:rFonts w:ascii="Times New Roman" w:eastAsia="Times New Roman" w:hAnsi="Times New Roman" w:cs="Times New Roman"/>
          <w:bCs/>
          <w:u w:val="single"/>
          <w:lang w:val="ru-RU"/>
        </w:rPr>
        <w:t>Farmakodinamske interakcije</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bCs/>
          <w:lang w:val="ru-RU"/>
        </w:rPr>
        <w:t xml:space="preserve">Klinička ispitivanja olapariba u kombinaciji sa drugim ljekovima protiv </w:t>
      </w:r>
      <w:r w:rsidRPr="00412D29">
        <w:rPr>
          <w:rFonts w:ascii="Times New Roman" w:eastAsia="Times New Roman" w:hAnsi="Times New Roman" w:cs="Times New Roman"/>
          <w:bCs/>
          <w:lang w:val="sr-Latn-ME"/>
        </w:rPr>
        <w:t>karcinoma</w:t>
      </w:r>
      <w:r w:rsidRPr="00412D29">
        <w:rPr>
          <w:rFonts w:ascii="Times New Roman" w:eastAsia="Times New Roman" w:hAnsi="Times New Roman" w:cs="Times New Roman"/>
          <w:bCs/>
          <w:lang w:val="ru-RU"/>
        </w:rPr>
        <w:t xml:space="preserve">, uključujući ljekove koji oštećuju DNK, ukazuju na potenciranje i produžavanje mijelosupresivne toksičnosti. Preporučena doza lijeka </w:t>
      </w:r>
      <w:r w:rsidRPr="00412D29">
        <w:rPr>
          <w:rFonts w:ascii="Times New Roman" w:eastAsia="Times New Roman" w:hAnsi="Times New Roman" w:cs="Times New Roman"/>
        </w:rPr>
        <w:t>Lynparza primijenjenog kao monoterapija nije pogodna za kombinovanje sa drugim ljekovima protiv karcinoma.</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Kombinacija olapariba sa vakcinama ili imunosupresivnim ljekovima nije ispitivana. Stoga, ove ljekove treba davati sa oprezom ukoliko se primjenjuju istovremeno sa olaparibom, a pacijente treba pažljivo pratiti.</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i/>
        </w:rPr>
      </w:pPr>
      <w:r w:rsidRPr="00412D29">
        <w:rPr>
          <w:rFonts w:ascii="Times New Roman" w:eastAsia="Times New Roman" w:hAnsi="Times New Roman" w:cs="Times New Roman"/>
          <w:u w:val="single"/>
        </w:rPr>
        <w:t>Farmakokinetičke interakcije</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Uticaj drugih ljekova na olaparib</w:t>
      </w:r>
    </w:p>
    <w:p w:rsidR="005313CE" w:rsidRPr="00412D29" w:rsidRDefault="005313CE" w:rsidP="005313CE">
      <w:pPr>
        <w:autoSpaceDE w:val="0"/>
        <w:autoSpaceDN w:val="0"/>
        <w:adjustRightInd w:val="0"/>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CYP3A4/5 su izoenzimi koji su u najvećoj mjeri odgovorni za metabolički klirens olapariba. Kliničko ispitivanje za evaluaciju uticaja rifampicina, poznatog induktora CYP3A, pokazalo je da je istovremena primjena sa olaparibom smanjila srednju vrijednost Cmax olapariba za 71% (odnos liječenja: 0,29; 90% CI: 0,24-0,33) i srednju vrijednost PIK za 87% (odnos liječenja: 0,13; 90% CI: 0,11-0,16). Stoga se preporučuje izbjegavanje primjene snažnih induktora (npr. fenobarbital, fenitoin, rifampicin, rifapentin, karbamazepin, nevirapin i kantarion) ovih izoezima istovremeno sa olaparibom, s obzirom na to da je moguće da efikasnost olapariba može biti značajno smanjena (vidjeti odjeljak 4.4). Opseg efekta umjerenih do snažnih induktora (npr. efavirenz, rifabutin) na izloženost olaparibu nije ustanovljen, te se istovremena primjena olapariba sa tim ljekovima ne preporučuje.</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autoSpaceDE w:val="0"/>
        <w:autoSpaceDN w:val="0"/>
        <w:adjustRightInd w:val="0"/>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Kliničko ispitivanje za evaluaciju uticaja itrakonazola, poznatog inhibitora CYP3A, pokazalo je da je istovremena primjena sa olaparibom povećala srednju vrijednost Cmax olapariba 1,42 puta (90% CI: 1,33-1,52) i srednju vrijednost PIK 2,70 puta (90% CI: 2,44-2,97). Stoga se ne preporučuje istovremena primjena poznatih snažnih (npr. itrakonazol, telitromicin, klaritromicin, inhibitori proteaze pojačani ritonavirom ili kobicistatom, boceprevir, telaprevir) ili umjerenih (npr. eritromicin, diltiazem, flukonazol, verapamil) inhibitora tog izoenzima sa olaparibom (vidjeti odjeljak 4.4). U slučaju da je istovremena primjena snažnih ili umjerenih inhibitora CYP3A neophodna, dozu olapariba treba smanjiti. Preporučuje se smanjenje doze olapariba na 150 mg dva puta dnevno (ekvivalentno ukupnoj dnevnoj dozi od 300 mg) sa snažnim inhibitorom CYP3A, ili na 200 mg dva puta dnevno (ekvivalentno ukupnoj dnevnoj dozi od 400 mg) sa umjerenim inhibitorom CYP3A (vidjeti odjeljke 4.2 i 4.4). Takođe se ne preporučuje konzumacija soka od grejpfruta tokom terapije olaparibom.</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In vitro</w:t>
      </w:r>
      <w:r w:rsidRPr="00412D29">
        <w:rPr>
          <w:rFonts w:ascii="Times New Roman" w:eastAsia="Times New Roman" w:hAnsi="Times New Roman" w:cs="Times New Roman"/>
        </w:rPr>
        <w:t xml:space="preserve">, olaparib je supstrat za P-gp efluksni transporter, te inhibitori P-gp-a mogu povećati izloženost olaparibu (vidjeti odjeljak 4.4). </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Uticaj olapariba na druge ljekove</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 xml:space="preserve">Olaparib inhibira CYP3A4 </w:t>
      </w:r>
      <w:r w:rsidRPr="00412D29">
        <w:rPr>
          <w:rFonts w:ascii="Times New Roman" w:eastAsia="Times New Roman" w:hAnsi="Times New Roman" w:cs="Times New Roman"/>
          <w:i/>
        </w:rPr>
        <w:t>in vitro</w:t>
      </w:r>
      <w:r w:rsidRPr="00412D29">
        <w:rPr>
          <w:rFonts w:ascii="Times New Roman" w:eastAsia="Times New Roman" w:hAnsi="Times New Roman" w:cs="Times New Roman"/>
        </w:rPr>
        <w:t xml:space="preserve"> i pretpostavlja se da je slabi inhibitor ovog enzima </w:t>
      </w:r>
      <w:r w:rsidRPr="00412D29">
        <w:rPr>
          <w:rFonts w:ascii="Times New Roman" w:eastAsia="Times New Roman" w:hAnsi="Times New Roman" w:cs="Times New Roman"/>
          <w:i/>
        </w:rPr>
        <w:t>in vivo</w:t>
      </w:r>
      <w:r w:rsidRPr="00412D29">
        <w:rPr>
          <w:rFonts w:ascii="Times New Roman" w:eastAsia="Times New Roman" w:hAnsi="Times New Roman" w:cs="Times New Roman"/>
        </w:rPr>
        <w:t>. Stoga, supstrate CYP3A4 treba oprezno kombinovati sa olaparibom, naročito one sa uskim terapijskim rasponom (npr. simvastatin, cisaprid, ciklosporin, ergot alkaloidi, fentanil, pimozid, sirolimus, takrolimus i kvetiapin). Preporučuje se odgovarajuće kliničko praćenje pacijenata kod kojih se olaparib primjenjuje istovremeno sa supstratima CYP3A sa uskim terapijskim rasponom.</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 xml:space="preserve">Indukcija CYP1A2, 2B6 i 3A4 pokazana je </w:t>
      </w:r>
      <w:r w:rsidRPr="00412D29">
        <w:rPr>
          <w:rFonts w:ascii="Times New Roman" w:eastAsia="Times New Roman" w:hAnsi="Times New Roman" w:cs="Times New Roman"/>
          <w:i/>
        </w:rPr>
        <w:t>in vitro</w:t>
      </w:r>
      <w:r w:rsidRPr="00412D29">
        <w:rPr>
          <w:rFonts w:ascii="Times New Roman" w:eastAsia="Times New Roman" w:hAnsi="Times New Roman" w:cs="Times New Roman"/>
        </w:rPr>
        <w:t xml:space="preserve">, od čega je najvjerovatnija indukcija CYP2B6 u klinički značajnom obimu. Potencijal olapariba da indukuje enzime CYP2C9, CYP2C19 i P-gp se ne može se isključiti. </w:t>
      </w:r>
      <w:r w:rsidRPr="00412D29">
        <w:rPr>
          <w:rFonts w:ascii="Times New Roman" w:eastAsia="Times New Roman" w:hAnsi="Times New Roman" w:cs="Times New Roman"/>
        </w:rPr>
        <w:lastRenderedPageBreak/>
        <w:t>Stoga olaparib nakon istovremene primjene može smanjiti izloženost supstratima ovih metaboličkih enzima i transportnog proteina. Efikasnost hormonskih kontraceptiva može biti umanjena ukoliko se primjenjuju istovremeno sa olaparibom (vidjeti takođe odjeljke 4.4 i 4.6).</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 xml:space="preserve">In vitro, </w:t>
      </w:r>
      <w:r w:rsidRPr="00412D29">
        <w:rPr>
          <w:rFonts w:ascii="Times New Roman" w:eastAsia="Times New Roman" w:hAnsi="Times New Roman" w:cs="Times New Roman"/>
        </w:rPr>
        <w:t>olaparib inhibira efluksni transporter P-gp (IC50 = 76 µM), te se ne može isključiti mogućnost da olaparib može uzrokovati klinički značajne interakcije lijeka sa supstratima P-gp-a (npr. simvastatin, pravastatin, dabigatran, digoksin, kolhicin). Odgovarajuće kliničko praćenje se preporučuje kod pacijenata koji istovremeno primaju ovu vrstu ljekova.</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 xml:space="preserve">In vitro, </w:t>
      </w:r>
      <w:r w:rsidRPr="00412D29">
        <w:rPr>
          <w:rFonts w:ascii="Times New Roman" w:eastAsia="Times New Roman" w:hAnsi="Times New Roman" w:cs="Times New Roman"/>
        </w:rPr>
        <w:t>olaparib se pokazao kao inhibitor OATP1B1, OCT1, OCT2, OAT3, MATE1 i MATE2K. Ne može se isključiti mogućnost da olaparib može povećati izlaganje supstratima OATP1B1 (npr. bosentan, glibenklamid, repaglinid, statini i valsartan), OCT1 (npr. metformin), OCT2 (npr. serumski kreatinin), OAT3 (npr. furosemid i metotreksat), MATE1 (npr. metformin), i MATE2K (npr. metformin). Posebno, olaparib treba primjenjivati sa oprezom u kombinaciji sa bilo kojim statinom.</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4.6. </w:t>
      </w:r>
      <w:r w:rsidRPr="00412D29">
        <w:rPr>
          <w:rFonts w:ascii="Times New Roman" w:eastAsia="Times New Roman" w:hAnsi="Times New Roman" w:cs="Times New Roman"/>
          <w:b/>
          <w:bCs/>
        </w:rPr>
        <w:tab/>
        <w:t>Primjena u periodu trudnoće i dojenja</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u w:val="single"/>
          <w:lang w:val="sr-Latn-RS"/>
        </w:rPr>
        <w:t>Žene u reproduktivnom periodu/ kontracepcija kod žena</w:t>
      </w:r>
    </w:p>
    <w:p w:rsidR="005313CE" w:rsidRPr="00412D29"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Žene u reproduktivnom periodu ne smiju da zatrudne dok uzimaju lijek Lynparza i ne smiju biti trudne na početku terapije. Kod svih žena u premenopauzi prije terapije mora biti urađen test na trudnoću. Žene u reproduktivnom periodu moraju da koriste efikasnu kontracepciju tokom terapije i 1 mjesec nakon uzimanja posljednje doze lijeka Lynparza. S obzirom na to da se ne može isključiti mogućnost da olaparib može smanjiti izloženost supstratima CYP3A putem indukcije enzima, efikasnost hormonskih kontraceptiva može biti smanjena ako se primjenjuju istovremeno sa olaparibom. Zbog toga je potrebno primjenjivati dodatnu metodu kontracepcije koja nije hormonska i redovno treba raditi test na trudnoću (vidjeti odjeljak 4.5).</w:t>
      </w:r>
    </w:p>
    <w:p w:rsidR="005313CE" w:rsidRPr="00412D29" w:rsidRDefault="005313CE" w:rsidP="005313CE">
      <w:pPr>
        <w:spacing w:after="0" w:line="240" w:lineRule="auto"/>
        <w:jc w:val="both"/>
        <w:rPr>
          <w:rFonts w:ascii="Times New Roman" w:eastAsia="Times New Roman" w:hAnsi="Times New Roman" w:cs="Times New Roman"/>
          <w:lang w:val="sr-Latn-RS"/>
        </w:rPr>
      </w:pPr>
    </w:p>
    <w:p w:rsidR="005313CE" w:rsidRPr="00412D29"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u w:val="single"/>
          <w:lang w:val="sr-Latn-RS"/>
        </w:rPr>
        <w:t>Trudnoća</w:t>
      </w:r>
    </w:p>
    <w:p w:rsidR="005313CE" w:rsidRPr="00412D29"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Ispitivanja na životinjama pokazala su reproduktivnu toksičnost, uključujući ozbiljne teratogene efekte i uticaj na embriofetalno preživljavanje kod pacova pri maternalnom sistemskom izlaganju nižem od onog kod ljudi pri terapijskim dozama (vidjeti odjeljak 5.3). Nema podataka o primjeni olapariba kod trudnica. Međutim, na osnovu mehanizma dejstva olapariba, lijek Lynparza ne smije se koristiti tokom trudnoće i kod žena u reproduktivnom periodu a koje ne koriste pouzdanu kontracepciju tokom liječenja i 1 mjesec nakon uzimanja posljednje doze lijeka Lynparza (vidjeti prethodni pasus: “Žene u reproduktivnom periodu/kontracepcija kod žena” za više informacija o kontroli rađanja i testiranju na trudnoću.)</w:t>
      </w:r>
    </w:p>
    <w:p w:rsidR="005313CE" w:rsidRPr="00412D29" w:rsidRDefault="005313CE" w:rsidP="005313CE">
      <w:pPr>
        <w:spacing w:after="0" w:line="240" w:lineRule="auto"/>
        <w:jc w:val="both"/>
        <w:rPr>
          <w:rFonts w:ascii="Times New Roman" w:eastAsia="Times New Roman" w:hAnsi="Times New Roman" w:cs="Times New Roman"/>
          <w:lang w:val="sr-Latn-RS"/>
        </w:rPr>
      </w:pPr>
    </w:p>
    <w:p w:rsidR="005313CE" w:rsidRPr="00412D29"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u w:val="single"/>
          <w:lang w:val="sr-Latn-RS"/>
        </w:rPr>
        <w:t>Dojenje</w:t>
      </w:r>
    </w:p>
    <w:p w:rsidR="005313CE" w:rsidRPr="00412D29"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Izlučivanje olapariba putem mlijeka nije ispitivano na životinjama. Nije poznato da li se olaparib ili njegovi metaboliti izlučuju putem mlijeka kod žena. Na osnovu farmakoloških osobina proizvoda, lijek Lynparza je kontraindikovan tokom dojenja i 1 mjesec nakon uzimanja posljednje doze lijeka (vidjeti odjeljak 4.3).</w:t>
      </w:r>
    </w:p>
    <w:p w:rsidR="005313CE" w:rsidRPr="00412D29" w:rsidRDefault="005313CE" w:rsidP="005313CE">
      <w:pPr>
        <w:spacing w:after="0" w:line="240" w:lineRule="auto"/>
        <w:jc w:val="both"/>
        <w:rPr>
          <w:rFonts w:ascii="Times New Roman" w:eastAsia="Times New Roman" w:hAnsi="Times New Roman" w:cs="Times New Roman"/>
          <w:lang w:val="sr-Latn-RS"/>
        </w:rPr>
      </w:pPr>
    </w:p>
    <w:p w:rsidR="005313CE" w:rsidRPr="00412D29"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u w:val="single"/>
          <w:lang w:val="sr-Latn-RS"/>
        </w:rPr>
        <w:t>Plodnost</w:t>
      </w:r>
    </w:p>
    <w:p w:rsidR="005313CE"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Nema kliničkih podataka o plodnosti. U ispitivanjima na životinjama nije zabilježen uticaj na začeće, ali su uočena neželjena dejstva na embriofetalno preživljavanje (vidjeti odjeljak 5.3).</w:t>
      </w:r>
    </w:p>
    <w:p w:rsidR="002A564A" w:rsidRDefault="002A564A" w:rsidP="005313CE">
      <w:pPr>
        <w:spacing w:after="0" w:line="240" w:lineRule="auto"/>
        <w:jc w:val="both"/>
        <w:rPr>
          <w:rFonts w:ascii="Times New Roman" w:eastAsia="Times New Roman" w:hAnsi="Times New Roman" w:cs="Times New Roman"/>
          <w:lang w:val="sr-Latn-R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4.7. </w:t>
      </w:r>
      <w:r w:rsidRPr="00412D29">
        <w:rPr>
          <w:rFonts w:ascii="Times New Roman" w:eastAsia="Times New Roman" w:hAnsi="Times New Roman" w:cs="Times New Roman"/>
          <w:b/>
          <w:bCs/>
        </w:rPr>
        <w:tab/>
        <w:t>Uticaj na psihofizičke sposobnosti prilikom upravljanja motornim vozilima i rukovanja mašinama</w:t>
      </w:r>
    </w:p>
    <w:p w:rsidR="002A564A" w:rsidRDefault="002A564A" w:rsidP="005313CE">
      <w:pPr>
        <w:spacing w:after="0" w:line="240" w:lineRule="auto"/>
        <w:jc w:val="both"/>
        <w:rPr>
          <w:rFonts w:ascii="Times New Roman" w:eastAsia="Times New Roman" w:hAnsi="Times New Roman" w:cs="Times New Roman"/>
          <w:lang w:val="sr-Latn-RS"/>
        </w:rPr>
      </w:pPr>
    </w:p>
    <w:p w:rsidR="005313CE" w:rsidRPr="00412D29"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lastRenderedPageBreak/>
        <w:t>Tokom liječenja lijekom  Lynparza zabilježeni su astenija, zamor i vrtoglavica, i oni pacijenti kod kojih se jave navedeni simptomi treba sa posebnim oprezom da upravljaju motornim vozilima ili rukuju mašinama.</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4.8. </w:t>
      </w:r>
      <w:r w:rsidRPr="00412D29">
        <w:rPr>
          <w:rFonts w:ascii="Times New Roman" w:eastAsia="Times New Roman" w:hAnsi="Times New Roman" w:cs="Times New Roman"/>
          <w:b/>
          <w:bCs/>
        </w:rPr>
        <w:tab/>
        <w:t>Neželjena dejstva</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7E4A09" w:rsidRPr="00412D29" w:rsidRDefault="007E4A09" w:rsidP="005313CE">
      <w:pPr>
        <w:tabs>
          <w:tab w:val="left" w:pos="284"/>
        </w:tabs>
        <w:suppressAutoHyphens/>
        <w:spacing w:before="80" w:after="80" w:line="240" w:lineRule="auto"/>
        <w:jc w:val="both"/>
        <w:rPr>
          <w:rFonts w:ascii="Times New Roman" w:eastAsia="MS Mincho" w:hAnsi="Times New Roman" w:cs="Times New Roman"/>
          <w:lang w:val="sr-Latn-RS" w:eastAsia="ar-SA"/>
        </w:rPr>
      </w:pPr>
      <w:r w:rsidRPr="00412D29">
        <w:rPr>
          <w:rFonts w:ascii="Times New Roman" w:eastAsia="MS Mincho" w:hAnsi="Times New Roman" w:cs="Times New Roman"/>
          <w:u w:val="single"/>
          <w:lang w:val="sr-Latn-RS" w:eastAsia="ar-SA"/>
        </w:rPr>
        <w:t>Sažetak bezbjednosnog profila</w:t>
      </w:r>
    </w:p>
    <w:p w:rsidR="007E4A09" w:rsidRPr="00412D29" w:rsidRDefault="007E4A09" w:rsidP="005313CE">
      <w:pPr>
        <w:tabs>
          <w:tab w:val="left" w:pos="284"/>
        </w:tabs>
        <w:suppressAutoHyphens/>
        <w:spacing w:after="0" w:line="240" w:lineRule="auto"/>
        <w:jc w:val="both"/>
        <w:rPr>
          <w:rFonts w:ascii="Times New Roman" w:eastAsia="MS Mincho" w:hAnsi="Times New Roman" w:cs="Times New Roman"/>
          <w:lang w:val="sr-Latn-RS" w:eastAsia="ar-SA"/>
        </w:rPr>
      </w:pPr>
      <w:r w:rsidRPr="00412D29">
        <w:rPr>
          <w:rFonts w:ascii="Times New Roman" w:eastAsia="MS Mincho" w:hAnsi="Times New Roman" w:cs="Times New Roman"/>
          <w:lang w:val="sr-Latn-RS" w:eastAsia="ar-SA"/>
        </w:rPr>
        <w:t>Samostalna terapija olaparibom povezana je sa obično blagim do umjerenim neželjenim reakcijama (CTCAE 1 ili 2), koje obično ne zahtijevaju prekid terapije. Najčešće zabilježene neželjene reakcije u kliničkim ispitivanjima sa pacijentima koji su primali monoterapiju olaparibom (</w:t>
      </w:r>
      <w:r w:rsidRPr="00412D29">
        <w:rPr>
          <w:rFonts w:ascii="Times New Roman" w:eastAsia="Times New Roman" w:hAnsi="Times New Roman" w:cs="Times New Roman"/>
          <w:lang w:val="sr-Latn-RS" w:eastAsia="ar-SA"/>
        </w:rPr>
        <w:t>≥</w:t>
      </w:r>
      <w:r w:rsidRPr="00412D29">
        <w:rPr>
          <w:rFonts w:ascii="Times New Roman" w:eastAsia="MS Mincho" w:hAnsi="Times New Roman" w:cs="Times New Roman"/>
          <w:lang w:val="sr-Latn-RS" w:eastAsia="ar-SA"/>
        </w:rPr>
        <w:t>10%) bile su mučnina, povraćanje, dijareja, dispepsija, zamor, glavobolja, poremećaj čula ukusa, smanjen apetit, vrtoglavica, anemija, neutropenija, limfopenija, povišena vrijednost prosječne korpuskularne zapremine eritrocita (MCV) i povišena vrijednost kreatinina.</w:t>
      </w:r>
    </w:p>
    <w:p w:rsidR="007E4A09" w:rsidRPr="00412D29" w:rsidRDefault="007E4A09" w:rsidP="005313CE">
      <w:pPr>
        <w:tabs>
          <w:tab w:val="left" w:pos="284"/>
        </w:tabs>
        <w:suppressAutoHyphens/>
        <w:spacing w:after="0" w:line="240" w:lineRule="auto"/>
        <w:ind w:right="831"/>
        <w:jc w:val="both"/>
        <w:rPr>
          <w:rFonts w:ascii="Times New Roman" w:eastAsia="MS Mincho" w:hAnsi="Times New Roman" w:cs="Times New Roman"/>
          <w:lang w:val="sr-Latn-RS" w:eastAsia="ar-SA"/>
        </w:rPr>
      </w:pPr>
    </w:p>
    <w:p w:rsidR="007E4A09" w:rsidRPr="00412D29" w:rsidRDefault="007E4A09" w:rsidP="005313CE">
      <w:pPr>
        <w:tabs>
          <w:tab w:val="left" w:pos="284"/>
        </w:tabs>
        <w:suppressAutoHyphens/>
        <w:spacing w:after="0" w:line="240" w:lineRule="auto"/>
        <w:jc w:val="both"/>
        <w:rPr>
          <w:rFonts w:ascii="Times New Roman" w:eastAsia="MS Mincho" w:hAnsi="Times New Roman" w:cs="Times New Roman"/>
          <w:u w:val="single"/>
          <w:lang w:eastAsia="ar-SA"/>
        </w:rPr>
      </w:pPr>
      <w:r w:rsidRPr="00412D29">
        <w:rPr>
          <w:rFonts w:ascii="Times New Roman" w:eastAsia="MS Mincho" w:hAnsi="Times New Roman" w:cs="Times New Roman"/>
          <w:bCs/>
          <w:u w:val="single"/>
          <w:lang w:val="sr-Latn-RS" w:eastAsia="ar-SA"/>
        </w:rPr>
        <w:t>Tabelarni prikaz neželjenih reakcija</w:t>
      </w:r>
    </w:p>
    <w:p w:rsidR="007E4A09" w:rsidRPr="00412D29" w:rsidRDefault="007E4A09" w:rsidP="005313CE">
      <w:pPr>
        <w:tabs>
          <w:tab w:val="left" w:pos="284"/>
        </w:tabs>
        <w:suppressAutoHyphens/>
        <w:spacing w:after="0" w:line="240" w:lineRule="auto"/>
        <w:jc w:val="both"/>
        <w:rPr>
          <w:rFonts w:ascii="Times New Roman" w:eastAsia="MS Mincho" w:hAnsi="Times New Roman" w:cs="Times New Roman"/>
          <w:lang w:val="sr-Latn-RS" w:eastAsia="ar-SA"/>
        </w:rPr>
      </w:pPr>
      <w:r w:rsidRPr="00412D29">
        <w:rPr>
          <w:rFonts w:ascii="Times New Roman" w:eastAsia="MS Mincho" w:hAnsi="Times New Roman" w:cs="Times New Roman"/>
          <w:lang w:val="sr-Latn-RS" w:eastAsia="ar-SA"/>
        </w:rPr>
        <w:t>Sljedeće neželjene reakcije identifikovane su u kliničkim ispitivanjima sa pacijentima koji su primali mono terapiju lijekom Lynparza. Njihova učestalost je predstavljena na osnovu CIOMS III klasifikacije učestalosti i navedena prema MedDRA klasi sistema organa (SOC) i u skladu sa odabranim terminima. Učestalost pojave neželjenih dejstava definisana je kao: veoma česta (≥1/10); česta (≥1/100 do &lt;1/10); povremena (≥1/1000 do &lt;1/100); rijetka (≥1/10 000 do 1/1000); veoma rijetka (&lt;1/10 000). Ovaj odjeljak sadrži samo podatke dobijene u završenim ispitivanjima u kojima je poznata izloženost pacijenata.</w:t>
      </w:r>
    </w:p>
    <w:p w:rsidR="007E4A09" w:rsidRPr="00412D29" w:rsidRDefault="007E4A09" w:rsidP="005313CE">
      <w:pPr>
        <w:spacing w:after="0" w:line="240" w:lineRule="auto"/>
        <w:jc w:val="both"/>
        <w:rPr>
          <w:rFonts w:ascii="Times New Roman" w:eastAsia="Times New Roman" w:hAnsi="Times New Roman" w:cs="Times New Roman"/>
          <w:lang w:val="sr-Latn-RS"/>
        </w:rPr>
      </w:pPr>
    </w:p>
    <w:p w:rsidR="007E4A09" w:rsidRDefault="007E4A09"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Tabela 1: Tabelarni prikaz neželjenih reakcija</w:t>
      </w:r>
    </w:p>
    <w:p w:rsidR="007E4A09" w:rsidRDefault="007E4A09" w:rsidP="005313CE">
      <w:pPr>
        <w:spacing w:after="0" w:line="240" w:lineRule="auto"/>
        <w:jc w:val="both"/>
        <w:rPr>
          <w:rFonts w:ascii="Times New Roman" w:eastAsia="Times New Roman" w:hAnsi="Times New Roman" w:cs="Times New Roman"/>
          <w:lang w:val="sr-Latn-RS"/>
        </w:rPr>
      </w:pPr>
    </w:p>
    <w:tbl>
      <w:tblPr>
        <w:tblW w:w="5000" w:type="pct"/>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CellMar>
          <w:top w:w="55" w:type="dxa"/>
          <w:left w:w="55" w:type="dxa"/>
          <w:bottom w:w="55" w:type="dxa"/>
          <w:right w:w="55" w:type="dxa"/>
        </w:tblCellMar>
        <w:tblLook w:val="0000" w:firstRow="0" w:lastRow="0" w:firstColumn="0" w:lastColumn="0" w:noHBand="0" w:noVBand="0"/>
      </w:tblPr>
      <w:tblGrid>
        <w:gridCol w:w="2191"/>
        <w:gridCol w:w="4174"/>
        <w:gridCol w:w="3242"/>
      </w:tblGrid>
      <w:tr w:rsidR="007E4A09" w:rsidTr="00DF3C00">
        <w:trPr>
          <w:tblCellSpacing w:w="20" w:type="dxa"/>
        </w:trPr>
        <w:tc>
          <w:tcPr>
            <w:tcW w:w="1112" w:type="pct"/>
            <w:shd w:val="clear" w:color="auto" w:fill="auto"/>
          </w:tcPr>
          <w:p w:rsidR="007E4A09" w:rsidRDefault="007E4A09" w:rsidP="00DF3C00">
            <w:pPr>
              <w:pStyle w:val="a"/>
              <w:snapToGrid w:val="0"/>
              <w:ind w:left="43" w:right="43"/>
              <w:jc w:val="both"/>
            </w:pPr>
          </w:p>
        </w:tc>
        <w:tc>
          <w:tcPr>
            <w:tcW w:w="3817" w:type="pct"/>
            <w:gridSpan w:val="2"/>
            <w:shd w:val="clear" w:color="auto" w:fill="auto"/>
          </w:tcPr>
          <w:p w:rsidR="007E4A09" w:rsidRDefault="007E4A09" w:rsidP="00DF3C00">
            <w:pPr>
              <w:pStyle w:val="a"/>
              <w:jc w:val="center"/>
            </w:pPr>
            <w:r>
              <w:rPr>
                <w:b/>
                <w:bCs/>
                <w:lang w:val="sr-Latn-RS"/>
              </w:rPr>
              <w:t>Neželjene reakcije</w:t>
            </w:r>
          </w:p>
        </w:tc>
      </w:tr>
      <w:tr w:rsidR="007E4A09" w:rsidTr="007E4A09">
        <w:trPr>
          <w:trHeight w:val="694"/>
          <w:tblCellSpacing w:w="20" w:type="dxa"/>
        </w:trPr>
        <w:tc>
          <w:tcPr>
            <w:tcW w:w="1112" w:type="pct"/>
            <w:shd w:val="clear" w:color="auto" w:fill="auto"/>
          </w:tcPr>
          <w:p w:rsidR="007E4A09" w:rsidRDefault="007E4A09" w:rsidP="00DF3C00">
            <w:pPr>
              <w:pStyle w:val="a"/>
              <w:ind w:left="43" w:right="43"/>
              <w:rPr>
                <w:b/>
                <w:bCs/>
                <w:lang w:val="sr-Latn-RS"/>
              </w:rPr>
            </w:pPr>
            <w:r>
              <w:rPr>
                <w:b/>
                <w:bCs/>
                <w:lang w:val="sr-Latn-RS"/>
              </w:rPr>
              <w:t>MedDRA klasa sistema organa</w:t>
            </w:r>
          </w:p>
        </w:tc>
        <w:tc>
          <w:tcPr>
            <w:tcW w:w="2157" w:type="pct"/>
            <w:shd w:val="clear" w:color="auto" w:fill="auto"/>
          </w:tcPr>
          <w:p w:rsidR="007E4A09" w:rsidRDefault="007E4A09" w:rsidP="00DF3C00">
            <w:pPr>
              <w:pStyle w:val="a"/>
              <w:jc w:val="both"/>
              <w:rPr>
                <w:b/>
                <w:bCs/>
                <w:lang w:val="sr-Latn-RS"/>
              </w:rPr>
            </w:pPr>
            <w:r>
              <w:rPr>
                <w:b/>
                <w:bCs/>
                <w:lang w:val="sr-Latn-RS"/>
              </w:rPr>
              <w:t>Učestalost CTCAE svakog stepena</w:t>
            </w:r>
          </w:p>
        </w:tc>
        <w:tc>
          <w:tcPr>
            <w:tcW w:w="1636" w:type="pct"/>
            <w:shd w:val="clear" w:color="auto" w:fill="auto"/>
          </w:tcPr>
          <w:p w:rsidR="007E4A09" w:rsidRDefault="007E4A09" w:rsidP="00DF3C00">
            <w:pPr>
              <w:pStyle w:val="a"/>
              <w:jc w:val="both"/>
            </w:pPr>
            <w:r>
              <w:rPr>
                <w:b/>
                <w:bCs/>
                <w:lang w:val="sr-Latn-RS"/>
              </w:rPr>
              <w:t>Učestalost CTCAE 3. stepena ili višeg</w:t>
            </w:r>
          </w:p>
        </w:tc>
      </w:tr>
      <w:tr w:rsidR="007E4A09" w:rsidTr="00DF3C00">
        <w:trPr>
          <w:tblCellSpacing w:w="20" w:type="dxa"/>
        </w:trPr>
        <w:tc>
          <w:tcPr>
            <w:tcW w:w="1112" w:type="pct"/>
            <w:shd w:val="clear" w:color="auto" w:fill="auto"/>
          </w:tcPr>
          <w:p w:rsidR="007E4A09" w:rsidRDefault="007E4A09" w:rsidP="00DF3C00">
            <w:pPr>
              <w:pStyle w:val="a"/>
              <w:ind w:left="43" w:right="43"/>
              <w:rPr>
                <w:b/>
                <w:bCs/>
                <w:lang w:val="sr-Latn-RS"/>
              </w:rPr>
            </w:pPr>
            <w:r>
              <w:rPr>
                <w:lang w:val="sr-Latn-RS"/>
              </w:rPr>
              <w:t>Poremećaji metabolizma i ishrane</w:t>
            </w:r>
          </w:p>
        </w:tc>
        <w:tc>
          <w:tcPr>
            <w:tcW w:w="2157" w:type="pct"/>
            <w:shd w:val="clear" w:color="auto" w:fill="auto"/>
          </w:tcPr>
          <w:p w:rsidR="007E4A09" w:rsidRDefault="007E4A09" w:rsidP="00DF3C00">
            <w:pPr>
              <w:pStyle w:val="a"/>
              <w:jc w:val="both"/>
              <w:rPr>
                <w:lang w:val="sr-Latn-RS"/>
              </w:rPr>
            </w:pPr>
            <w:r>
              <w:rPr>
                <w:b/>
                <w:bCs/>
                <w:lang w:val="sr-Latn-RS"/>
              </w:rPr>
              <w:t>Veoma često</w:t>
            </w:r>
          </w:p>
          <w:p w:rsidR="007E4A09" w:rsidRDefault="007E4A09" w:rsidP="00DF3C00">
            <w:pPr>
              <w:pStyle w:val="a"/>
              <w:jc w:val="both"/>
              <w:rPr>
                <w:lang w:val="sr-Latn-RS"/>
              </w:rPr>
            </w:pPr>
            <w:r>
              <w:rPr>
                <w:lang w:val="sr-Latn-RS"/>
              </w:rPr>
              <w:t>Smanjen apetit</w:t>
            </w:r>
          </w:p>
          <w:p w:rsidR="007E4A09" w:rsidRDefault="007E4A09" w:rsidP="00DF3C00">
            <w:pPr>
              <w:pStyle w:val="a"/>
              <w:jc w:val="both"/>
              <w:rPr>
                <w:lang w:val="sr-Latn-RS"/>
              </w:rPr>
            </w:pPr>
          </w:p>
        </w:tc>
        <w:tc>
          <w:tcPr>
            <w:tcW w:w="1636" w:type="pct"/>
            <w:shd w:val="clear" w:color="auto" w:fill="auto"/>
          </w:tcPr>
          <w:p w:rsidR="007E4A09" w:rsidRDefault="007E4A09" w:rsidP="00DF3C00">
            <w:pPr>
              <w:pStyle w:val="a"/>
              <w:jc w:val="both"/>
              <w:rPr>
                <w:lang w:val="sr-Latn-RS"/>
              </w:rPr>
            </w:pPr>
            <w:r>
              <w:rPr>
                <w:b/>
                <w:bCs/>
                <w:lang w:val="sr-Latn-RS"/>
              </w:rPr>
              <w:t>Povremeno</w:t>
            </w:r>
          </w:p>
          <w:p w:rsidR="007E4A09" w:rsidRDefault="007E4A09" w:rsidP="00DF3C00">
            <w:pPr>
              <w:pStyle w:val="a"/>
              <w:jc w:val="both"/>
              <w:rPr>
                <w:lang w:val="sr-Latn-RS"/>
              </w:rPr>
            </w:pPr>
            <w:r>
              <w:rPr>
                <w:lang w:val="sr-Latn-RS"/>
              </w:rPr>
              <w:t>Smanjen apetit</w:t>
            </w:r>
          </w:p>
          <w:p w:rsidR="007E4A09" w:rsidRDefault="007E4A09" w:rsidP="00DF3C00">
            <w:pPr>
              <w:pStyle w:val="a"/>
              <w:jc w:val="both"/>
              <w:rPr>
                <w:lang w:val="sr-Latn-RS"/>
              </w:rPr>
            </w:pPr>
          </w:p>
        </w:tc>
      </w:tr>
      <w:tr w:rsidR="007E4A09" w:rsidTr="00DF3C00">
        <w:trPr>
          <w:tblCellSpacing w:w="20" w:type="dxa"/>
        </w:trPr>
        <w:tc>
          <w:tcPr>
            <w:tcW w:w="1112" w:type="pct"/>
            <w:shd w:val="clear" w:color="auto" w:fill="auto"/>
          </w:tcPr>
          <w:p w:rsidR="007E4A09" w:rsidRDefault="007E4A09" w:rsidP="00DF3C00">
            <w:pPr>
              <w:pStyle w:val="a"/>
              <w:ind w:left="43" w:right="43"/>
              <w:jc w:val="both"/>
              <w:rPr>
                <w:b/>
                <w:bCs/>
                <w:lang w:val="sr-Latn-RS"/>
              </w:rPr>
            </w:pPr>
            <w:r>
              <w:rPr>
                <w:lang w:val="sr-Latn-RS"/>
              </w:rPr>
              <w:t>Poremećaji nervnog sistema</w:t>
            </w:r>
          </w:p>
        </w:tc>
        <w:tc>
          <w:tcPr>
            <w:tcW w:w="2157" w:type="pct"/>
            <w:shd w:val="clear" w:color="auto" w:fill="auto"/>
          </w:tcPr>
          <w:p w:rsidR="007E4A09" w:rsidRDefault="007E4A09" w:rsidP="00DF3C00">
            <w:pPr>
              <w:pStyle w:val="a"/>
              <w:jc w:val="both"/>
              <w:rPr>
                <w:lang w:val="sr-Latn-RS"/>
              </w:rPr>
            </w:pPr>
            <w:r>
              <w:rPr>
                <w:b/>
                <w:bCs/>
                <w:lang w:val="sr-Latn-RS"/>
              </w:rPr>
              <w:t>Veoma često</w:t>
            </w:r>
          </w:p>
          <w:p w:rsidR="007E4A09" w:rsidRDefault="007E4A09" w:rsidP="00DF3C00">
            <w:pPr>
              <w:pStyle w:val="a"/>
              <w:rPr>
                <w:b/>
                <w:bCs/>
                <w:lang w:val="sr-Latn-RS"/>
              </w:rPr>
            </w:pPr>
            <w:r>
              <w:rPr>
                <w:lang w:val="sr-Latn-RS"/>
              </w:rPr>
              <w:t>Glavobolja, vrtoglavica, poremećaj čula ukusa</w:t>
            </w:r>
          </w:p>
        </w:tc>
        <w:tc>
          <w:tcPr>
            <w:tcW w:w="1636" w:type="pct"/>
            <w:shd w:val="clear" w:color="auto" w:fill="auto"/>
          </w:tcPr>
          <w:p w:rsidR="007E4A09" w:rsidRDefault="007E4A09" w:rsidP="00DF3C00">
            <w:pPr>
              <w:pStyle w:val="a"/>
              <w:jc w:val="both"/>
              <w:rPr>
                <w:lang w:val="sr-Latn-RS"/>
              </w:rPr>
            </w:pPr>
            <w:r>
              <w:rPr>
                <w:b/>
                <w:bCs/>
                <w:lang w:val="sr-Latn-RS"/>
              </w:rPr>
              <w:t>Povremeno</w:t>
            </w:r>
          </w:p>
          <w:p w:rsidR="007E4A09" w:rsidRDefault="007E4A09" w:rsidP="00DF3C00">
            <w:pPr>
              <w:pStyle w:val="a"/>
              <w:jc w:val="both"/>
            </w:pPr>
            <w:r>
              <w:rPr>
                <w:lang w:val="sr-Latn-RS"/>
              </w:rPr>
              <w:t>Vrtoglavica, glavobolja</w:t>
            </w:r>
          </w:p>
        </w:tc>
      </w:tr>
      <w:tr w:rsidR="007E4A09" w:rsidTr="00DF3C00">
        <w:trPr>
          <w:tblCellSpacing w:w="20" w:type="dxa"/>
        </w:trPr>
        <w:tc>
          <w:tcPr>
            <w:tcW w:w="1112" w:type="pct"/>
            <w:shd w:val="clear" w:color="auto" w:fill="auto"/>
          </w:tcPr>
          <w:p w:rsidR="007E4A09" w:rsidRDefault="007E4A09" w:rsidP="00DF3C00">
            <w:pPr>
              <w:pStyle w:val="a"/>
              <w:ind w:left="43" w:right="43"/>
              <w:jc w:val="both"/>
              <w:rPr>
                <w:b/>
                <w:bCs/>
                <w:lang w:val="sr-Latn-RS"/>
              </w:rPr>
            </w:pPr>
            <w:r>
              <w:rPr>
                <w:lang w:val="sr-Latn-RS"/>
              </w:rPr>
              <w:t>Gastrointestinalni poremećaji</w:t>
            </w:r>
          </w:p>
        </w:tc>
        <w:tc>
          <w:tcPr>
            <w:tcW w:w="2157" w:type="pct"/>
            <w:shd w:val="clear" w:color="auto" w:fill="auto"/>
          </w:tcPr>
          <w:p w:rsidR="007E4A09" w:rsidRDefault="007E4A09" w:rsidP="00DF3C00">
            <w:pPr>
              <w:pStyle w:val="a"/>
              <w:jc w:val="both"/>
              <w:rPr>
                <w:lang w:val="sr-Latn-RS"/>
              </w:rPr>
            </w:pPr>
            <w:r>
              <w:rPr>
                <w:b/>
                <w:bCs/>
                <w:lang w:val="sr-Latn-RS"/>
              </w:rPr>
              <w:t>Veoma često</w:t>
            </w:r>
          </w:p>
          <w:p w:rsidR="007E4A09" w:rsidRDefault="007E4A09" w:rsidP="00DF3C00">
            <w:pPr>
              <w:pStyle w:val="a"/>
              <w:jc w:val="both"/>
              <w:rPr>
                <w:b/>
                <w:bCs/>
                <w:lang w:val="sr-Latn-RS"/>
              </w:rPr>
            </w:pPr>
            <w:r>
              <w:rPr>
                <w:lang w:val="sr-Latn-RS"/>
              </w:rPr>
              <w:t>Mučnina, povraćanje, dijareja, dispepsija</w:t>
            </w:r>
          </w:p>
          <w:p w:rsidR="007E4A09" w:rsidRDefault="007E4A09" w:rsidP="00DF3C00">
            <w:pPr>
              <w:pStyle w:val="a"/>
              <w:jc w:val="both"/>
              <w:rPr>
                <w:lang w:val="sr-Latn-RS"/>
              </w:rPr>
            </w:pPr>
            <w:r>
              <w:rPr>
                <w:b/>
                <w:bCs/>
                <w:lang w:val="sr-Latn-RS"/>
              </w:rPr>
              <w:t>Često</w:t>
            </w:r>
          </w:p>
          <w:p w:rsidR="007E4A09" w:rsidRDefault="007E4A09" w:rsidP="00DF3C00">
            <w:pPr>
              <w:pStyle w:val="a"/>
              <w:jc w:val="both"/>
              <w:rPr>
                <w:b/>
                <w:bCs/>
                <w:lang w:val="sr-Latn-RS"/>
              </w:rPr>
            </w:pPr>
            <w:r>
              <w:rPr>
                <w:lang w:val="sr-Latn-RS"/>
              </w:rPr>
              <w:t>Bol u gornjem abdomenu, stomatitis</w:t>
            </w:r>
          </w:p>
        </w:tc>
        <w:tc>
          <w:tcPr>
            <w:tcW w:w="1636" w:type="pct"/>
            <w:shd w:val="clear" w:color="auto" w:fill="auto"/>
          </w:tcPr>
          <w:p w:rsidR="007E4A09" w:rsidRDefault="007E4A09" w:rsidP="00DF3C00">
            <w:pPr>
              <w:pStyle w:val="a"/>
              <w:jc w:val="both"/>
              <w:rPr>
                <w:lang w:val="sr-Latn-RS"/>
              </w:rPr>
            </w:pPr>
            <w:r>
              <w:rPr>
                <w:b/>
                <w:bCs/>
                <w:lang w:val="sr-Latn-RS"/>
              </w:rPr>
              <w:t>Često</w:t>
            </w:r>
          </w:p>
          <w:p w:rsidR="007E4A09" w:rsidRDefault="007E4A09" w:rsidP="00DF3C00">
            <w:pPr>
              <w:pStyle w:val="a"/>
              <w:jc w:val="both"/>
              <w:rPr>
                <w:b/>
                <w:bCs/>
                <w:lang w:val="sr-Latn-RS"/>
              </w:rPr>
            </w:pPr>
            <w:r>
              <w:rPr>
                <w:lang w:val="sr-Latn-RS"/>
              </w:rPr>
              <w:t>Mučnina, povraćanje, dijareja</w:t>
            </w:r>
          </w:p>
          <w:p w:rsidR="007E4A09" w:rsidRDefault="007E4A09" w:rsidP="00DF3C00">
            <w:pPr>
              <w:pStyle w:val="a"/>
              <w:jc w:val="both"/>
              <w:rPr>
                <w:lang w:val="sr-Latn-RS"/>
              </w:rPr>
            </w:pPr>
            <w:r>
              <w:rPr>
                <w:b/>
                <w:bCs/>
                <w:lang w:val="sr-Latn-RS"/>
              </w:rPr>
              <w:t>Povremeno</w:t>
            </w:r>
          </w:p>
          <w:p w:rsidR="007E4A09" w:rsidRDefault="007E4A09" w:rsidP="00DF3C00">
            <w:pPr>
              <w:pStyle w:val="a"/>
            </w:pPr>
            <w:r>
              <w:rPr>
                <w:lang w:val="sr-Latn-RS"/>
              </w:rPr>
              <w:t>Bol u gornjem abdomenu, stomatitis</w:t>
            </w:r>
          </w:p>
        </w:tc>
      </w:tr>
      <w:tr w:rsidR="007E4A09" w:rsidTr="00DF3C00">
        <w:trPr>
          <w:tblCellSpacing w:w="20" w:type="dxa"/>
        </w:trPr>
        <w:tc>
          <w:tcPr>
            <w:tcW w:w="1112" w:type="pct"/>
            <w:shd w:val="clear" w:color="auto" w:fill="auto"/>
          </w:tcPr>
          <w:p w:rsidR="007E4A09" w:rsidRDefault="007E4A09" w:rsidP="00DF3C00">
            <w:pPr>
              <w:pStyle w:val="a"/>
              <w:ind w:left="43" w:right="43"/>
              <w:jc w:val="both"/>
              <w:rPr>
                <w:b/>
                <w:bCs/>
                <w:lang w:val="sr-Latn-RS"/>
              </w:rPr>
            </w:pPr>
            <w:r>
              <w:rPr>
                <w:lang w:val="sr-Latn-RS"/>
              </w:rPr>
              <w:t>Opšti poremećaji i reakcije na mjestu primjene</w:t>
            </w:r>
          </w:p>
        </w:tc>
        <w:tc>
          <w:tcPr>
            <w:tcW w:w="2157" w:type="pct"/>
            <w:shd w:val="clear" w:color="auto" w:fill="auto"/>
          </w:tcPr>
          <w:p w:rsidR="007E4A09" w:rsidRDefault="007E4A09" w:rsidP="00DF3C00">
            <w:pPr>
              <w:pStyle w:val="a"/>
              <w:jc w:val="both"/>
              <w:rPr>
                <w:lang w:val="sr-Latn-RS"/>
              </w:rPr>
            </w:pPr>
            <w:r>
              <w:rPr>
                <w:b/>
                <w:bCs/>
                <w:lang w:val="sr-Latn-RS"/>
              </w:rPr>
              <w:t>Veoma često</w:t>
            </w:r>
          </w:p>
          <w:p w:rsidR="007E4A09" w:rsidRDefault="007E4A09" w:rsidP="00DF3C00">
            <w:pPr>
              <w:pStyle w:val="a"/>
              <w:jc w:val="both"/>
              <w:rPr>
                <w:b/>
                <w:bCs/>
                <w:lang w:val="sr-Latn-RS"/>
              </w:rPr>
            </w:pPr>
            <w:r>
              <w:rPr>
                <w:lang w:val="sr-Latn-RS"/>
              </w:rPr>
              <w:t>Zamor (uključujući asteniju)</w:t>
            </w:r>
          </w:p>
        </w:tc>
        <w:tc>
          <w:tcPr>
            <w:tcW w:w="1636" w:type="pct"/>
            <w:shd w:val="clear" w:color="auto" w:fill="auto"/>
          </w:tcPr>
          <w:p w:rsidR="007E4A09" w:rsidRDefault="007E4A09" w:rsidP="00DF3C00">
            <w:pPr>
              <w:pStyle w:val="a"/>
              <w:jc w:val="both"/>
              <w:rPr>
                <w:lang w:val="sr-Latn-RS"/>
              </w:rPr>
            </w:pPr>
            <w:r>
              <w:rPr>
                <w:b/>
                <w:bCs/>
                <w:lang w:val="sr-Latn-RS"/>
              </w:rPr>
              <w:t>Često</w:t>
            </w:r>
          </w:p>
          <w:p w:rsidR="007E4A09" w:rsidRDefault="007E4A09" w:rsidP="00DF3C00">
            <w:pPr>
              <w:pStyle w:val="a"/>
              <w:jc w:val="both"/>
            </w:pPr>
            <w:r>
              <w:rPr>
                <w:lang w:val="sr-Latn-RS"/>
              </w:rPr>
              <w:t>Zamor (uključujući asteniju)</w:t>
            </w:r>
          </w:p>
        </w:tc>
      </w:tr>
      <w:tr w:rsidR="007E4A09" w:rsidTr="00DF3C00">
        <w:trPr>
          <w:tblCellSpacing w:w="20" w:type="dxa"/>
        </w:trPr>
        <w:tc>
          <w:tcPr>
            <w:tcW w:w="1112" w:type="pct"/>
            <w:shd w:val="clear" w:color="auto" w:fill="auto"/>
          </w:tcPr>
          <w:p w:rsidR="007E4A09" w:rsidRDefault="007E4A09" w:rsidP="00DF3C00">
            <w:pPr>
              <w:pStyle w:val="a"/>
              <w:ind w:left="43" w:right="43"/>
              <w:jc w:val="both"/>
              <w:rPr>
                <w:b/>
                <w:bCs/>
                <w:lang w:val="sr-Latn-RS"/>
              </w:rPr>
            </w:pPr>
            <w:r>
              <w:rPr>
                <w:lang w:val="sr-Latn-RS"/>
              </w:rPr>
              <w:lastRenderedPageBreak/>
              <w:t>Laboratorijska ispitivanja</w:t>
            </w:r>
          </w:p>
        </w:tc>
        <w:tc>
          <w:tcPr>
            <w:tcW w:w="2157" w:type="pct"/>
            <w:shd w:val="clear" w:color="auto" w:fill="auto"/>
          </w:tcPr>
          <w:p w:rsidR="007E4A09" w:rsidRDefault="007E4A09" w:rsidP="00DF3C00">
            <w:pPr>
              <w:pStyle w:val="a"/>
              <w:jc w:val="both"/>
              <w:rPr>
                <w:lang w:val="sr-Latn-RS"/>
              </w:rPr>
            </w:pPr>
            <w:r>
              <w:rPr>
                <w:b/>
                <w:bCs/>
                <w:lang w:val="sr-Latn-RS"/>
              </w:rPr>
              <w:t>Veoma često</w:t>
            </w:r>
          </w:p>
          <w:p w:rsidR="007E4A09" w:rsidRDefault="007E4A09" w:rsidP="00DF3C00">
            <w:pPr>
              <w:pStyle w:val="a"/>
              <w:rPr>
                <w:b/>
                <w:bCs/>
                <w:lang w:val="sr-Latn-RS"/>
              </w:rPr>
            </w:pPr>
            <w:r>
              <w:rPr>
                <w:lang w:val="sr-Latn-RS"/>
              </w:rPr>
              <w:t>Anemija (smanjena koncentracija hemoglobina)</w:t>
            </w:r>
            <w:r>
              <w:rPr>
                <w:vertAlign w:val="superscript"/>
                <w:lang w:val="sr-Latn-RS"/>
              </w:rPr>
              <w:t>a, b</w:t>
            </w:r>
            <w:r>
              <w:rPr>
                <w:lang w:val="sr-Latn-RS"/>
              </w:rPr>
              <w:t>, neutropenija (smanjen ukupan broj neutrofila)</w:t>
            </w:r>
            <w:r>
              <w:rPr>
                <w:vertAlign w:val="superscript"/>
                <w:lang w:val="sr-Latn-RS"/>
              </w:rPr>
              <w:t>a, b</w:t>
            </w:r>
            <w:r>
              <w:rPr>
                <w:lang w:val="sr-Latn-RS"/>
              </w:rPr>
              <w:t>, limfopenija (smanjen broj limfocita)</w:t>
            </w:r>
            <w:r>
              <w:rPr>
                <w:vertAlign w:val="superscript"/>
                <w:lang w:val="sr-Latn-RS"/>
              </w:rPr>
              <w:t>a, b</w:t>
            </w:r>
            <w:r>
              <w:rPr>
                <w:lang w:val="sr-Latn-RS"/>
              </w:rPr>
              <w:t xml:space="preserve">, povišena koncentracija kreatinina u krvi </w:t>
            </w:r>
            <w:r>
              <w:rPr>
                <w:vertAlign w:val="superscript"/>
                <w:lang w:val="sr-Latn-RS"/>
              </w:rPr>
              <w:t>a, d</w:t>
            </w:r>
            <w:r>
              <w:rPr>
                <w:lang w:val="sr-Latn-RS"/>
              </w:rPr>
              <w:t xml:space="preserve">, </w:t>
            </w:r>
            <w:r>
              <w:rPr>
                <w:szCs w:val="22"/>
                <w:lang w:val="sr-Latn-RS"/>
              </w:rPr>
              <w:t>povišena vrijednost prosječne korpuskularne zapremine eritrocita</w:t>
            </w:r>
            <w:r>
              <w:rPr>
                <w:lang w:val="sr-Latn-RS"/>
              </w:rPr>
              <w:t xml:space="preserve"> </w:t>
            </w:r>
            <w:r>
              <w:rPr>
                <w:vertAlign w:val="superscript"/>
                <w:lang w:val="sr-Latn-RS"/>
              </w:rPr>
              <w:t>a, c</w:t>
            </w:r>
            <w:r>
              <w:rPr>
                <w:lang w:val="sr-Latn-RS"/>
              </w:rPr>
              <w:t xml:space="preserve"> </w:t>
            </w:r>
          </w:p>
          <w:p w:rsidR="007E4A09" w:rsidRDefault="007E4A09" w:rsidP="00DF3C00">
            <w:pPr>
              <w:pStyle w:val="a"/>
              <w:rPr>
                <w:lang w:val="sr-Latn-RS"/>
              </w:rPr>
            </w:pPr>
            <w:r>
              <w:rPr>
                <w:b/>
                <w:bCs/>
                <w:lang w:val="sr-Latn-RS"/>
              </w:rPr>
              <w:t>Često</w:t>
            </w:r>
          </w:p>
          <w:p w:rsidR="007E4A09" w:rsidRDefault="007E4A09" w:rsidP="00DF3C00">
            <w:pPr>
              <w:pStyle w:val="a"/>
              <w:rPr>
                <w:b/>
                <w:bCs/>
                <w:lang w:val="sr-Latn-RS"/>
              </w:rPr>
            </w:pPr>
            <w:r>
              <w:rPr>
                <w:lang w:val="sr-Latn-RS"/>
              </w:rPr>
              <w:t>Trombocitopenija (smanjen broj trombocita)</w:t>
            </w:r>
            <w:r>
              <w:rPr>
                <w:vertAlign w:val="superscript"/>
                <w:lang w:val="sr-Latn-RS"/>
              </w:rPr>
              <w:t>a, b</w:t>
            </w:r>
          </w:p>
        </w:tc>
        <w:tc>
          <w:tcPr>
            <w:tcW w:w="1636" w:type="pct"/>
            <w:shd w:val="clear" w:color="auto" w:fill="auto"/>
          </w:tcPr>
          <w:p w:rsidR="007E4A09" w:rsidRDefault="007E4A09" w:rsidP="00DF3C00">
            <w:pPr>
              <w:pStyle w:val="a"/>
              <w:jc w:val="both"/>
              <w:rPr>
                <w:lang w:val="sr-Latn-RS"/>
              </w:rPr>
            </w:pPr>
            <w:r>
              <w:rPr>
                <w:b/>
                <w:bCs/>
                <w:lang w:val="sr-Latn-RS"/>
              </w:rPr>
              <w:t>Veoma često</w:t>
            </w:r>
          </w:p>
          <w:p w:rsidR="007E4A09" w:rsidRDefault="007E4A09" w:rsidP="00DF3C00">
            <w:pPr>
              <w:pStyle w:val="a"/>
              <w:rPr>
                <w:b/>
                <w:bCs/>
                <w:lang w:val="sr-Latn-RS"/>
              </w:rPr>
            </w:pPr>
            <w:r>
              <w:rPr>
                <w:lang w:val="sr-Latn-RS"/>
              </w:rPr>
              <w:t>Anemija (smanjena koncentracija hemoglobina)</w:t>
            </w:r>
            <w:r>
              <w:rPr>
                <w:vertAlign w:val="superscript"/>
                <w:lang w:val="sr-Latn-RS"/>
              </w:rPr>
              <w:t>a, b</w:t>
            </w:r>
            <w:r>
              <w:rPr>
                <w:lang w:val="sr-Latn-RS"/>
              </w:rPr>
              <w:t>, limfopenija (smanjen broj limfocita)</w:t>
            </w:r>
            <w:r>
              <w:rPr>
                <w:vertAlign w:val="superscript"/>
                <w:lang w:val="sr-Latn-RS"/>
              </w:rPr>
              <w:t>a, b</w:t>
            </w:r>
          </w:p>
          <w:p w:rsidR="007E4A09" w:rsidRDefault="007E4A09" w:rsidP="00DF3C00">
            <w:pPr>
              <w:pStyle w:val="a"/>
              <w:jc w:val="both"/>
              <w:rPr>
                <w:lang w:val="sr-Latn-RS"/>
              </w:rPr>
            </w:pPr>
            <w:r>
              <w:rPr>
                <w:b/>
                <w:bCs/>
                <w:lang w:val="sr-Latn-RS"/>
              </w:rPr>
              <w:t>Često</w:t>
            </w:r>
          </w:p>
          <w:p w:rsidR="007E4A09" w:rsidRDefault="007E4A09" w:rsidP="00DF3C00">
            <w:pPr>
              <w:pStyle w:val="a"/>
              <w:rPr>
                <w:b/>
                <w:bCs/>
                <w:lang w:val="sr-Latn-RS"/>
              </w:rPr>
            </w:pPr>
            <w:r>
              <w:rPr>
                <w:lang w:val="sr-Latn-RS"/>
              </w:rPr>
              <w:t>Neutropenija (smanjen apsolutni broj neutrofila)</w:t>
            </w:r>
            <w:r>
              <w:rPr>
                <w:vertAlign w:val="superscript"/>
                <w:lang w:val="sr-Latn-RS"/>
              </w:rPr>
              <w:t>a, b</w:t>
            </w:r>
            <w:r>
              <w:rPr>
                <w:lang w:val="sr-Latn-RS"/>
              </w:rPr>
              <w:t>, trombocitopenija (smanjen broj trombocita)</w:t>
            </w:r>
            <w:r>
              <w:rPr>
                <w:vertAlign w:val="superscript"/>
                <w:lang w:val="sr-Latn-RS"/>
              </w:rPr>
              <w:t>a, b</w:t>
            </w:r>
          </w:p>
          <w:p w:rsidR="007E4A09" w:rsidRDefault="007E4A09" w:rsidP="00DF3C00">
            <w:pPr>
              <w:pStyle w:val="a"/>
              <w:jc w:val="both"/>
              <w:rPr>
                <w:lang w:val="sr-Latn-RS"/>
              </w:rPr>
            </w:pPr>
            <w:r>
              <w:rPr>
                <w:b/>
                <w:bCs/>
                <w:lang w:val="sr-Latn-RS"/>
              </w:rPr>
              <w:t>Povremeno</w:t>
            </w:r>
          </w:p>
          <w:p w:rsidR="007E4A09" w:rsidRDefault="007E4A09" w:rsidP="00DF3C00">
            <w:pPr>
              <w:pStyle w:val="a"/>
            </w:pPr>
            <w:r>
              <w:rPr>
                <w:lang w:val="sr-Latn-RS"/>
              </w:rPr>
              <w:t xml:space="preserve">Povišena koncentracija kreatinina u krvi </w:t>
            </w:r>
            <w:r>
              <w:rPr>
                <w:vertAlign w:val="superscript"/>
                <w:lang w:val="sr-Latn-RS"/>
              </w:rPr>
              <w:t>a, d</w:t>
            </w:r>
          </w:p>
        </w:tc>
      </w:tr>
    </w:tbl>
    <w:p w:rsidR="007E4A09" w:rsidRPr="00412D29" w:rsidRDefault="007E4A09" w:rsidP="005313CE">
      <w:pPr>
        <w:spacing w:after="0" w:line="240" w:lineRule="auto"/>
        <w:jc w:val="both"/>
        <w:rPr>
          <w:rFonts w:ascii="Times New Roman" w:eastAsia="Times New Roman" w:hAnsi="Times New Roman" w:cs="Times New Roman"/>
          <w:lang w:val="sr-Latn-CS"/>
        </w:rPr>
      </w:pPr>
    </w:p>
    <w:p w:rsidR="007E4A09" w:rsidRPr="00412D29" w:rsidRDefault="007E4A09" w:rsidP="005313CE">
      <w:pPr>
        <w:spacing w:after="0" w:line="240" w:lineRule="auto"/>
        <w:jc w:val="both"/>
        <w:rPr>
          <w:rFonts w:ascii="Times New Roman" w:eastAsia="Times New Roman" w:hAnsi="Times New Roman" w:cs="Times New Roman"/>
          <w:vertAlign w:val="superscript"/>
          <w:lang w:val="sr-Latn-RS"/>
        </w:rPr>
      </w:pPr>
      <w:r w:rsidRPr="00412D29">
        <w:rPr>
          <w:rFonts w:ascii="Times New Roman" w:eastAsia="Times New Roman" w:hAnsi="Times New Roman" w:cs="Times New Roman"/>
          <w:vertAlign w:val="superscript"/>
          <w:lang w:val="sr-Latn-RS"/>
        </w:rPr>
        <w:t xml:space="preserve">a </w:t>
      </w:r>
      <w:r w:rsidRPr="00412D29">
        <w:rPr>
          <w:rFonts w:ascii="Times New Roman" w:eastAsia="Times New Roman" w:hAnsi="Times New Roman" w:cs="Times New Roman"/>
          <w:lang w:val="sr-Latn-RS"/>
        </w:rPr>
        <w:t xml:space="preserve">   Predstavlja incidencu laboratorijskih nalaza, a ne prijavljenih neželjenih događaja.</w:t>
      </w:r>
    </w:p>
    <w:p w:rsidR="007E4A09" w:rsidRPr="00412D29" w:rsidRDefault="007E4A09" w:rsidP="005313CE">
      <w:pPr>
        <w:spacing w:after="0" w:line="240" w:lineRule="auto"/>
        <w:jc w:val="both"/>
        <w:rPr>
          <w:rFonts w:ascii="Times New Roman" w:eastAsia="Times New Roman" w:hAnsi="Times New Roman" w:cs="Times New Roman"/>
          <w:vertAlign w:val="superscript"/>
          <w:lang w:val="sr-Latn-RS"/>
        </w:rPr>
      </w:pPr>
      <w:r w:rsidRPr="00412D29">
        <w:rPr>
          <w:rFonts w:ascii="Times New Roman" w:eastAsia="Times New Roman" w:hAnsi="Times New Roman" w:cs="Times New Roman"/>
          <w:vertAlign w:val="superscript"/>
          <w:lang w:val="sr-Latn-RS"/>
        </w:rPr>
        <w:t>b</w:t>
      </w:r>
      <w:r w:rsidRPr="00412D29">
        <w:rPr>
          <w:rFonts w:ascii="Times New Roman" w:eastAsia="Times New Roman" w:hAnsi="Times New Roman" w:cs="Times New Roman"/>
          <w:lang w:val="sr-Latn-RS"/>
        </w:rPr>
        <w:t xml:space="preserve">    Smanjenja su bila 2. ili višeg CTCAE stepena za hemoglobin, apsolutan broj neutrofila, trombocite i limfocite.</w:t>
      </w:r>
    </w:p>
    <w:p w:rsidR="007E4A09" w:rsidRPr="00412D29" w:rsidRDefault="007E4A09" w:rsidP="005313CE">
      <w:pPr>
        <w:spacing w:after="0" w:line="240" w:lineRule="auto"/>
        <w:jc w:val="both"/>
        <w:rPr>
          <w:rFonts w:ascii="Times New Roman" w:eastAsia="Times New Roman" w:hAnsi="Times New Roman" w:cs="Times New Roman"/>
          <w:vertAlign w:val="superscript"/>
          <w:lang w:val="sr-Latn-RS"/>
        </w:rPr>
      </w:pPr>
      <w:r w:rsidRPr="00412D29">
        <w:rPr>
          <w:rFonts w:ascii="Times New Roman" w:eastAsia="Times New Roman" w:hAnsi="Times New Roman" w:cs="Times New Roman"/>
          <w:vertAlign w:val="superscript"/>
          <w:lang w:val="sr-Latn-RS"/>
        </w:rPr>
        <w:t>c</w:t>
      </w:r>
      <w:r w:rsidRPr="00412D29">
        <w:rPr>
          <w:rFonts w:ascii="Times New Roman" w:eastAsia="Times New Roman" w:hAnsi="Times New Roman" w:cs="Times New Roman"/>
          <w:lang w:val="sr-Latn-RS"/>
        </w:rPr>
        <w:t xml:space="preserve">    Povišenje vrijednosti prosječne korpuskularne zapremine eritrocita od početne vrijednosti do iznad gornje granice normalnih vrijednosti (ULN). Izgled</w:t>
      </w:r>
      <w:r>
        <w:rPr>
          <w:rFonts w:ascii="Times New Roman" w:eastAsia="Times New Roman" w:hAnsi="Times New Roman" w:cs="Times New Roman"/>
          <w:lang w:val="sr-Latn-RS"/>
        </w:rPr>
        <w:t xml:space="preserve">a da se vrijednosti vraćaju do </w:t>
      </w:r>
      <w:r w:rsidRPr="00412D29">
        <w:rPr>
          <w:rFonts w:ascii="Times New Roman" w:eastAsia="Times New Roman" w:hAnsi="Times New Roman" w:cs="Times New Roman"/>
          <w:lang w:val="sr-Latn-RS"/>
        </w:rPr>
        <w:t>normalnih nakon prekida terapije i smatra se da nema kliničkih posljedica.</w:t>
      </w:r>
    </w:p>
    <w:p w:rsidR="007E4A09" w:rsidRPr="00412D29" w:rsidRDefault="007E4A09"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vertAlign w:val="superscript"/>
          <w:lang w:val="sr-Latn-RS"/>
        </w:rPr>
        <w:t>d</w:t>
      </w:r>
      <w:r w:rsidRPr="00412D29">
        <w:rPr>
          <w:rFonts w:ascii="Times New Roman" w:eastAsia="Times New Roman" w:hAnsi="Times New Roman" w:cs="Times New Roman"/>
          <w:lang w:val="sr-Latn-RS"/>
        </w:rPr>
        <w:t xml:space="preserve">    Podaci iz dvostruko slijepog, placebo-kontrolisanog kliničkog ispitivanja ukazali su na medijanu povećanja (procentualna promjena vrijednosti u odnosu na početne vrijednosti) do 23% koja je konstantna tokom vremena i koja se vraća do normalnih vrijednosti nakon prekida terapije, bez očiglednih kliničkih posljedica. 90% pacijenata na početku terapije bili su CTCAE 0 stepena, a 10% pacijenata bili su CTCAE 1. stepena.</w:t>
      </w:r>
    </w:p>
    <w:p w:rsidR="007E4A09" w:rsidRPr="00412D29" w:rsidRDefault="007E4A09" w:rsidP="005313CE">
      <w:pPr>
        <w:spacing w:after="0" w:line="240" w:lineRule="auto"/>
        <w:jc w:val="both"/>
        <w:rPr>
          <w:rFonts w:ascii="Times New Roman" w:eastAsia="Times New Roman" w:hAnsi="Times New Roman" w:cs="Times New Roman"/>
          <w:lang w:val="sr-Latn-RS"/>
        </w:rPr>
      </w:pPr>
    </w:p>
    <w:p w:rsidR="007E4A09" w:rsidRPr="00412D29" w:rsidRDefault="007E4A09"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u w:val="single"/>
          <w:lang w:val="sr-Latn-RS"/>
        </w:rPr>
        <w:t>Opis odabranih neželjenih reakcija</w:t>
      </w:r>
    </w:p>
    <w:p w:rsidR="007E4A09" w:rsidRPr="00412D29" w:rsidRDefault="007E4A09"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Gastrointestinalne toksičnosti često su prijavljivane kod terapije olaparibom i obično su niskog stepena (CTCAE 1. ili 2. stepena) i javljaju se povremeno, pa se mogu zbrinuti prekidom doziranja, smanjenjem doze i/ili istovremenom primjenom drugih ljekova (npr. antiemetici). Profilaktička primjena antiemetika nije potrebna.</w:t>
      </w:r>
    </w:p>
    <w:p w:rsidR="007E4A09" w:rsidRPr="00412D29" w:rsidRDefault="007E4A09" w:rsidP="005313CE">
      <w:pPr>
        <w:spacing w:after="0" w:line="240" w:lineRule="auto"/>
        <w:jc w:val="both"/>
        <w:rPr>
          <w:rFonts w:ascii="Times New Roman" w:eastAsia="Times New Roman" w:hAnsi="Times New Roman" w:cs="Times New Roman"/>
          <w:lang w:val="sr-Latn-RS"/>
        </w:rPr>
      </w:pPr>
    </w:p>
    <w:p w:rsidR="007E4A09" w:rsidRPr="00412D29" w:rsidRDefault="007E4A09"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lang w:val="sr-Latn-RS"/>
        </w:rPr>
        <w:t>Anemija i druge hematološke toksičnosti su obično niskog stepena (CTCAE 1. ili 2. stepena). Međutim, postoje prijave događaja 3. ili višeg CTCAE stepena. Analiza na početku terapije, praćena mjesečnom analizom kompletne krvne slike preporučuje se tokom prvih 12 mjeseci liječenja i periodično nakon ovog vremena da bi se pratile klinički značajne promjene bilo kog od parametara tokom terapije, koje bi mogle zahtijevati prekid doziranja, smanjenje doze i/ili dodatnu terapiju.</w:t>
      </w:r>
    </w:p>
    <w:p w:rsidR="007E4A09" w:rsidRPr="00412D29" w:rsidRDefault="007E4A09" w:rsidP="005313CE">
      <w:pPr>
        <w:spacing w:after="0" w:line="240" w:lineRule="auto"/>
        <w:jc w:val="both"/>
        <w:rPr>
          <w:rFonts w:ascii="Times New Roman" w:eastAsia="Times New Roman" w:hAnsi="Times New Roman" w:cs="Times New Roman"/>
          <w:i/>
          <w:iCs/>
          <w:u w:val="single"/>
          <w:lang w:val="sr-Latn-RS"/>
        </w:rPr>
      </w:pPr>
      <w:r w:rsidRPr="00412D29">
        <w:rPr>
          <w:rFonts w:ascii="Times New Roman" w:eastAsia="Times New Roman" w:hAnsi="Times New Roman" w:cs="Times New Roman"/>
        </w:rPr>
        <w:t xml:space="preserve"> </w:t>
      </w:r>
    </w:p>
    <w:p w:rsidR="007E4A09" w:rsidRPr="00412D29" w:rsidRDefault="007E4A09"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iCs/>
          <w:u w:val="single"/>
          <w:lang w:val="sr-Latn-RS"/>
        </w:rPr>
        <w:t>Pedijatrijska populacija</w:t>
      </w:r>
    </w:p>
    <w:p w:rsidR="007E4A09" w:rsidRPr="00412D29" w:rsidRDefault="007E4A09" w:rsidP="005313CE">
      <w:pPr>
        <w:spacing w:after="0" w:line="240" w:lineRule="auto"/>
        <w:jc w:val="both"/>
        <w:rPr>
          <w:rFonts w:ascii="Times New Roman" w:eastAsia="Times New Roman" w:hAnsi="Times New Roman" w:cs="Times New Roman"/>
          <w:i/>
          <w:iCs/>
          <w:u w:val="single"/>
          <w:lang w:val="sr-Latn-RS"/>
        </w:rPr>
      </w:pPr>
      <w:r w:rsidRPr="00412D29">
        <w:rPr>
          <w:rFonts w:ascii="Times New Roman" w:eastAsia="Times New Roman" w:hAnsi="Times New Roman" w:cs="Times New Roman"/>
          <w:lang w:val="sr-Latn-RS"/>
        </w:rPr>
        <w:t>Ispitivanja u pedijatrijskoj populaciji nijesu sprovedena.</w:t>
      </w:r>
    </w:p>
    <w:p w:rsidR="007E4A09" w:rsidRPr="00412D29" w:rsidRDefault="007E4A09" w:rsidP="005313CE">
      <w:pPr>
        <w:spacing w:after="0" w:line="240" w:lineRule="auto"/>
        <w:jc w:val="both"/>
        <w:rPr>
          <w:rFonts w:ascii="Times New Roman" w:eastAsia="Times New Roman" w:hAnsi="Times New Roman" w:cs="Times New Roman"/>
          <w:i/>
          <w:iCs/>
          <w:u w:val="single"/>
          <w:lang w:val="sr-Latn-RS"/>
        </w:rPr>
      </w:pPr>
    </w:p>
    <w:p w:rsidR="007E4A09" w:rsidRPr="00412D29" w:rsidRDefault="007E4A09"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iCs/>
          <w:u w:val="single"/>
          <w:lang w:val="sr-Latn-RS"/>
        </w:rPr>
        <w:t>Ostale posebne populacije</w:t>
      </w:r>
    </w:p>
    <w:p w:rsidR="007E4A09" w:rsidRPr="00412D29" w:rsidRDefault="007E4A09"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Ograničeni podaci o bezbjednosti dostupni su kod starijih pacijenata (starosti ≥75 godina) i onih koji nijesu bijele rase.</w:t>
      </w:r>
    </w:p>
    <w:p w:rsidR="007E4A09" w:rsidRPr="00412D29" w:rsidRDefault="007E4A09" w:rsidP="005313CE">
      <w:pPr>
        <w:spacing w:after="0" w:line="240" w:lineRule="auto"/>
        <w:jc w:val="both"/>
        <w:rPr>
          <w:rFonts w:ascii="Times New Roman" w:eastAsia="Times New Roman" w:hAnsi="Times New Roman" w:cs="Times New Roman"/>
          <w:lang w:val="sr-Latn-CS"/>
        </w:rPr>
      </w:pPr>
    </w:p>
    <w:p w:rsidR="005313CE" w:rsidRPr="00850E04" w:rsidRDefault="005313CE" w:rsidP="005313CE">
      <w:pPr>
        <w:spacing w:after="200" w:line="276" w:lineRule="auto"/>
        <w:jc w:val="both"/>
        <w:rPr>
          <w:rFonts w:ascii="Times New Roman" w:eastAsia="Calibri" w:hAnsi="Times New Roman" w:cs="Times New Roman"/>
          <w:u w:val="single"/>
          <w:lang w:val="sr-Latn-RS"/>
        </w:rPr>
      </w:pPr>
      <w:r w:rsidRPr="00850E04">
        <w:rPr>
          <w:rFonts w:ascii="Times New Roman" w:eastAsia="Calibri" w:hAnsi="Times New Roman" w:cs="Times New Roman"/>
          <w:u w:val="single"/>
          <w:lang w:val="sr-Latn-RS"/>
        </w:rPr>
        <w:t>Prijavljivanje sumnji na neželjena dejstva</w:t>
      </w:r>
    </w:p>
    <w:p w:rsidR="005313CE" w:rsidRPr="00850E04" w:rsidRDefault="005313CE" w:rsidP="005313CE">
      <w:pPr>
        <w:spacing w:after="200" w:line="240" w:lineRule="auto"/>
        <w:jc w:val="both"/>
        <w:rPr>
          <w:rFonts w:ascii="Times New Roman" w:eastAsia="Calibri" w:hAnsi="Times New Roman" w:cs="Times New Roman"/>
          <w:lang w:val="sr-Latn-RS"/>
        </w:rPr>
      </w:pPr>
      <w:r w:rsidRPr="00850E04">
        <w:rPr>
          <w:rFonts w:ascii="Times New Roman" w:eastAsia="Calibri" w:hAnsi="Times New Roman" w:cs="Times New Roman"/>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5313CE" w:rsidRPr="00850E04" w:rsidRDefault="005313CE" w:rsidP="005313CE">
      <w:pPr>
        <w:spacing w:after="0" w:line="240" w:lineRule="auto"/>
        <w:jc w:val="both"/>
        <w:rPr>
          <w:rFonts w:ascii="Times New Roman" w:eastAsia="Calibri" w:hAnsi="Times New Roman" w:cs="Times New Roman"/>
          <w:lang w:val="sr-Latn-RS"/>
        </w:rPr>
      </w:pPr>
      <w:r w:rsidRPr="00850E04">
        <w:rPr>
          <w:rFonts w:ascii="Times New Roman" w:eastAsia="Calibri" w:hAnsi="Times New Roman" w:cs="Times New Roman"/>
          <w:lang w:val="sr-Latn-RS"/>
        </w:rPr>
        <w:t>Agencija za ljekove i medicinska sredstva Crne Gore</w:t>
      </w:r>
    </w:p>
    <w:p w:rsidR="005313CE" w:rsidRPr="00850E04" w:rsidRDefault="005313CE" w:rsidP="005313CE">
      <w:pPr>
        <w:spacing w:after="0" w:line="240" w:lineRule="auto"/>
        <w:jc w:val="both"/>
        <w:rPr>
          <w:rFonts w:ascii="Times New Roman" w:eastAsia="Calibri" w:hAnsi="Times New Roman" w:cs="Times New Roman"/>
          <w:lang w:val="sr-Latn-RS"/>
        </w:rPr>
      </w:pPr>
      <w:r w:rsidRPr="00850E04">
        <w:rPr>
          <w:rFonts w:ascii="Times New Roman" w:eastAsia="Calibri" w:hAnsi="Times New Roman" w:cs="Times New Roman"/>
          <w:lang w:val="sr-Latn-RS"/>
        </w:rPr>
        <w:t>Odjeljenje za farmakovigilancu</w:t>
      </w:r>
    </w:p>
    <w:p w:rsidR="005313CE" w:rsidRPr="00850E04" w:rsidRDefault="005313CE" w:rsidP="005313CE">
      <w:pPr>
        <w:spacing w:after="0" w:line="240" w:lineRule="auto"/>
        <w:jc w:val="both"/>
        <w:rPr>
          <w:rFonts w:ascii="Times New Roman" w:eastAsia="Calibri" w:hAnsi="Times New Roman" w:cs="Times New Roman"/>
          <w:lang w:val="sr-Latn-RS"/>
        </w:rPr>
      </w:pPr>
      <w:r w:rsidRPr="00850E04">
        <w:rPr>
          <w:rFonts w:ascii="Times New Roman" w:eastAsia="Calibri" w:hAnsi="Times New Roman" w:cs="Times New Roman"/>
          <w:lang w:val="sr-Latn-RS"/>
        </w:rPr>
        <w:t>Bulevar Ivana Crnojevića 64a, 81000 Podgorica</w:t>
      </w:r>
    </w:p>
    <w:p w:rsidR="005313CE" w:rsidRPr="00850E04" w:rsidRDefault="005313CE" w:rsidP="005313CE">
      <w:pPr>
        <w:spacing w:after="0" w:line="240" w:lineRule="auto"/>
        <w:jc w:val="both"/>
        <w:rPr>
          <w:rFonts w:ascii="Times New Roman" w:eastAsia="Calibri" w:hAnsi="Times New Roman" w:cs="Times New Roman"/>
          <w:lang w:val="sr-Latn-RS"/>
        </w:rPr>
      </w:pPr>
    </w:p>
    <w:p w:rsidR="005313CE" w:rsidRPr="00850E04" w:rsidRDefault="005313CE" w:rsidP="005313CE">
      <w:pPr>
        <w:spacing w:after="0" w:line="240" w:lineRule="auto"/>
        <w:jc w:val="both"/>
        <w:rPr>
          <w:rFonts w:ascii="Times New Roman" w:eastAsia="Calibri" w:hAnsi="Times New Roman" w:cs="Times New Roman"/>
          <w:lang w:val="sr-Latn-RS"/>
        </w:rPr>
      </w:pPr>
      <w:r w:rsidRPr="00850E04">
        <w:rPr>
          <w:rFonts w:ascii="Times New Roman" w:eastAsia="Calibri" w:hAnsi="Times New Roman" w:cs="Times New Roman"/>
          <w:lang w:val="sr-Latn-RS"/>
        </w:rPr>
        <w:t>tel: +382 (0) 20 310 280</w:t>
      </w:r>
    </w:p>
    <w:p w:rsidR="005313CE" w:rsidRPr="00850E04" w:rsidRDefault="005313CE" w:rsidP="005313CE">
      <w:pPr>
        <w:spacing w:after="0" w:line="240" w:lineRule="auto"/>
        <w:jc w:val="both"/>
        <w:rPr>
          <w:rFonts w:ascii="Times New Roman" w:eastAsia="Calibri" w:hAnsi="Times New Roman" w:cs="Times New Roman"/>
          <w:lang w:val="sr-Latn-RS"/>
        </w:rPr>
      </w:pPr>
      <w:r w:rsidRPr="00850E04">
        <w:rPr>
          <w:rFonts w:ascii="Times New Roman" w:eastAsia="Calibri" w:hAnsi="Times New Roman" w:cs="Times New Roman"/>
          <w:lang w:val="sr-Latn-RS"/>
        </w:rPr>
        <w:t>fax: +382 (0) 20 310 581</w:t>
      </w:r>
    </w:p>
    <w:p w:rsidR="005313CE" w:rsidRPr="00850E04" w:rsidRDefault="00DC2F1A" w:rsidP="005313CE">
      <w:pPr>
        <w:spacing w:after="0" w:line="240" w:lineRule="auto"/>
        <w:jc w:val="both"/>
        <w:rPr>
          <w:rFonts w:ascii="Times New Roman" w:eastAsia="Calibri" w:hAnsi="Times New Roman" w:cs="Times New Roman"/>
          <w:lang w:val="sr-Latn-RS"/>
        </w:rPr>
      </w:pPr>
      <w:hyperlink r:id="rId9" w:history="1">
        <w:r w:rsidR="005313CE" w:rsidRPr="00850E04">
          <w:rPr>
            <w:rFonts w:ascii="Times New Roman" w:eastAsia="Calibri" w:hAnsi="Times New Roman" w:cs="Times New Roman"/>
            <w:color w:val="0000FF"/>
            <w:u w:val="single"/>
            <w:lang w:val="sr-Latn-RS"/>
          </w:rPr>
          <w:t>www.calims.me</w:t>
        </w:r>
      </w:hyperlink>
    </w:p>
    <w:p w:rsidR="005313CE" w:rsidRPr="00850E04" w:rsidRDefault="00DC2F1A" w:rsidP="005313CE">
      <w:pPr>
        <w:spacing w:after="0" w:line="240" w:lineRule="auto"/>
        <w:jc w:val="both"/>
        <w:rPr>
          <w:rFonts w:ascii="Times New Roman" w:eastAsia="Calibri" w:hAnsi="Times New Roman" w:cs="Times New Roman"/>
          <w:color w:val="0000FF"/>
          <w:u w:val="single"/>
          <w:lang w:val="sr-Latn-RS"/>
        </w:rPr>
      </w:pPr>
      <w:hyperlink r:id="rId10" w:history="1">
        <w:r w:rsidR="005313CE" w:rsidRPr="00850E04">
          <w:rPr>
            <w:rFonts w:ascii="Times New Roman" w:eastAsia="Calibri" w:hAnsi="Times New Roman" w:cs="Times New Roman"/>
            <w:color w:val="0000FF"/>
            <w:u w:val="single"/>
            <w:lang w:val="sr-Latn-RS"/>
          </w:rPr>
          <w:t>nezeljenadejstva@calims.me</w:t>
        </w:r>
      </w:hyperlink>
    </w:p>
    <w:p w:rsidR="005313CE" w:rsidRPr="00850E04" w:rsidRDefault="005313CE" w:rsidP="005313CE">
      <w:pPr>
        <w:spacing w:after="0" w:line="240" w:lineRule="auto"/>
        <w:jc w:val="both"/>
        <w:rPr>
          <w:rFonts w:ascii="Times New Roman" w:eastAsia="Calibri" w:hAnsi="Times New Roman" w:cs="Times New Roman"/>
          <w:lang w:val="sr-Latn-RS"/>
        </w:rPr>
      </w:pPr>
      <w:r w:rsidRPr="00850E04">
        <w:rPr>
          <w:rFonts w:ascii="Times New Roman" w:eastAsia="Calibri" w:hAnsi="Times New Roman" w:cs="Times New Roman"/>
          <w:lang w:val="sr-Latn-RS"/>
        </w:rPr>
        <w:t>putem IS zdravstvene zaštite</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4.9. </w:t>
      </w:r>
      <w:r w:rsidRPr="00412D29">
        <w:rPr>
          <w:rFonts w:ascii="Times New Roman" w:eastAsia="Times New Roman" w:hAnsi="Times New Roman" w:cs="Times New Roman"/>
          <w:b/>
          <w:bCs/>
        </w:rPr>
        <w:tab/>
        <w:t>Predoziranje i mjere koje je potrebno preduzeti</w:t>
      </w:r>
    </w:p>
    <w:p w:rsidR="005313CE" w:rsidRPr="00412D29" w:rsidRDefault="005313CE"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U slučaju predoziranja lijekom Lynparza ne postoji specifična terapija, i simptomi predoziranja nijesu utvrđeni. U slučaju predoziranja, ljekari treba da primijene opštu suportivnu terapiju i da simptomatski liječe pacijenta.</w:t>
      </w:r>
    </w:p>
    <w:p w:rsidR="005313CE"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7E4A09" w:rsidRPr="00412D29" w:rsidRDefault="007E4A09"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5. </w:t>
      </w:r>
      <w:r w:rsidRPr="00412D29">
        <w:rPr>
          <w:rFonts w:ascii="Times New Roman" w:eastAsia="Times New Roman" w:hAnsi="Times New Roman" w:cs="Times New Roman"/>
          <w:b/>
          <w:bCs/>
        </w:rPr>
        <w:tab/>
        <w:t>FARMAKOLOŠKI PODACI</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5.1. </w:t>
      </w:r>
      <w:r w:rsidRPr="00412D29">
        <w:rPr>
          <w:rFonts w:ascii="Times New Roman" w:eastAsia="Times New Roman" w:hAnsi="Times New Roman" w:cs="Times New Roman"/>
          <w:b/>
          <w:bCs/>
        </w:rPr>
        <w:tab/>
        <w:t>Farmakodinamski podaci</w:t>
      </w:r>
    </w:p>
    <w:p w:rsidR="00BC2ECA" w:rsidRDefault="00BC2ECA" w:rsidP="00BC2ECA">
      <w:pPr>
        <w:tabs>
          <w:tab w:val="left" w:pos="2864"/>
        </w:tabs>
        <w:spacing w:after="0" w:line="240" w:lineRule="auto"/>
        <w:rPr>
          <w:rFonts w:ascii="Times New Roman" w:eastAsia="Times New Roman" w:hAnsi="Times New Roman" w:cs="Times New Roman"/>
          <w:b/>
          <w:bCs/>
        </w:rPr>
      </w:pPr>
    </w:p>
    <w:p w:rsidR="00BC2ECA" w:rsidRDefault="00BC2ECA" w:rsidP="00BC2ECA">
      <w:pPr>
        <w:tabs>
          <w:tab w:val="left" w:pos="2864"/>
        </w:tabs>
        <w:spacing w:after="0" w:line="240" w:lineRule="auto"/>
        <w:rPr>
          <w:rFonts w:ascii="Times New Roman" w:eastAsia="Times New Roman" w:hAnsi="Times New Roman" w:cs="Times New Roman"/>
          <w:lang w:val="sr-Latn-CS"/>
        </w:rPr>
      </w:pPr>
      <w:r w:rsidRPr="00412D29">
        <w:rPr>
          <w:rFonts w:ascii="Times New Roman" w:eastAsia="Times New Roman" w:hAnsi="Times New Roman" w:cs="Times New Roman"/>
          <w:b/>
          <w:bCs/>
          <w:lang w:val="sr-Latn-CS"/>
        </w:rPr>
        <w:t>Farmakoterapijska grupa:</w:t>
      </w:r>
      <w:r w:rsidRPr="00412D29">
        <w:rPr>
          <w:rFonts w:ascii="Times New Roman" w:eastAsia="Times New Roman" w:hAnsi="Times New Roman" w:cs="Times New Roman"/>
          <w:b/>
          <w:bCs/>
          <w:lang w:val="sr-Latn-CS"/>
        </w:rPr>
        <w:tab/>
      </w:r>
      <w:r w:rsidRPr="00412D29">
        <w:rPr>
          <w:rFonts w:ascii="Times New Roman" w:eastAsia="Times New Roman" w:hAnsi="Times New Roman" w:cs="Times New Roman"/>
          <w:lang w:val="sr-Latn-CS"/>
        </w:rPr>
        <w:t xml:space="preserve">Ostali antineoplastici </w:t>
      </w:r>
    </w:p>
    <w:p w:rsidR="00BC2ECA" w:rsidRDefault="00BC2ECA" w:rsidP="00BC2ECA">
      <w:pPr>
        <w:tabs>
          <w:tab w:val="left" w:pos="1276"/>
        </w:tabs>
        <w:spacing w:after="0" w:line="240" w:lineRule="auto"/>
        <w:rPr>
          <w:rFonts w:ascii="Times New Roman" w:eastAsia="Times New Roman" w:hAnsi="Times New Roman" w:cs="Times New Roman"/>
          <w:lang w:val="sr-Latn-CS"/>
        </w:rPr>
      </w:pPr>
    </w:p>
    <w:p w:rsidR="00BC2ECA" w:rsidRDefault="00BC2ECA" w:rsidP="00BC2ECA">
      <w:pPr>
        <w:tabs>
          <w:tab w:val="left" w:pos="1276"/>
        </w:tabs>
        <w:spacing w:after="0" w:line="240" w:lineRule="auto"/>
        <w:rPr>
          <w:rFonts w:ascii="Times New Roman" w:eastAsia="Times New Roman" w:hAnsi="Times New Roman" w:cs="Times New Roman"/>
          <w:lang w:val="sr-Latn-CS"/>
        </w:rPr>
      </w:pPr>
      <w:r w:rsidRPr="00412D29">
        <w:rPr>
          <w:rFonts w:ascii="Times New Roman" w:eastAsia="Times New Roman" w:hAnsi="Times New Roman" w:cs="Times New Roman"/>
          <w:b/>
          <w:bCs/>
          <w:lang w:val="sr-Latn-CS"/>
        </w:rPr>
        <w:t>ATC kod:</w:t>
      </w:r>
      <w:r w:rsidRPr="00412D29">
        <w:rPr>
          <w:rFonts w:ascii="Times New Roman" w:eastAsia="Times New Roman" w:hAnsi="Times New Roman" w:cs="Times New Roman"/>
          <w:b/>
          <w:bCs/>
          <w:lang w:val="sr-Latn-CS"/>
        </w:rPr>
        <w:tab/>
      </w:r>
      <w:r w:rsidRPr="00412D29">
        <w:rPr>
          <w:rFonts w:ascii="Times New Roman" w:eastAsia="Times New Roman" w:hAnsi="Times New Roman" w:cs="Times New Roman"/>
          <w:lang w:val="sr-Latn-CS"/>
        </w:rPr>
        <w:t>L01XX46</w:t>
      </w:r>
    </w:p>
    <w:p w:rsidR="00BC2ECA" w:rsidRPr="00412D29" w:rsidRDefault="00BC2ECA" w:rsidP="00BC2ECA">
      <w:pPr>
        <w:tabs>
          <w:tab w:val="left" w:pos="1276"/>
        </w:tabs>
        <w:spacing w:after="0" w:line="240" w:lineRule="auto"/>
        <w:rPr>
          <w:rFonts w:ascii="Times New Roman" w:eastAsia="Times New Roman" w:hAnsi="Times New Roman" w:cs="Times New Roman"/>
          <w:lang w:val="sr-Latn-CS"/>
        </w:rPr>
      </w:pPr>
    </w:p>
    <w:p w:rsidR="00BC2ECA" w:rsidRPr="00412D29" w:rsidRDefault="00BC2ECA"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u w:val="single"/>
          <w:lang w:val="sr-Latn-RS"/>
        </w:rPr>
        <w:t>Mehanizam dejstva i farmakodinamski efekti</w:t>
      </w:r>
    </w:p>
    <w:p w:rsidR="00BC2ECA" w:rsidRPr="00412D29" w:rsidRDefault="00BC2ECA"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 xml:space="preserve">Lijek Lynparza je snažan inhibitor humanih poli (ADP-riboza) polimeraza enzima (PARP-1, PARP-2 i PARP-3), i pokazano je da inhibira rast određenih ćelijskih linija tumora </w:t>
      </w:r>
      <w:r w:rsidRPr="00412D29">
        <w:rPr>
          <w:rFonts w:ascii="Times New Roman" w:eastAsia="Times New Roman" w:hAnsi="Times New Roman" w:cs="Times New Roman"/>
          <w:i/>
          <w:iCs/>
          <w:lang w:val="sr-Latn-RS"/>
        </w:rPr>
        <w:t xml:space="preserve">in vitro </w:t>
      </w:r>
      <w:r w:rsidRPr="00412D29">
        <w:rPr>
          <w:rFonts w:ascii="Times New Roman" w:eastAsia="Times New Roman" w:hAnsi="Times New Roman" w:cs="Times New Roman"/>
          <w:lang w:val="sr-Latn-RS"/>
        </w:rPr>
        <w:t xml:space="preserve">i rast tumora </w:t>
      </w:r>
      <w:r w:rsidRPr="00412D29">
        <w:rPr>
          <w:rFonts w:ascii="Times New Roman" w:eastAsia="Times New Roman" w:hAnsi="Times New Roman" w:cs="Times New Roman"/>
          <w:i/>
          <w:iCs/>
          <w:lang w:val="sr-Latn-RS"/>
        </w:rPr>
        <w:t>in vivo</w:t>
      </w:r>
      <w:r w:rsidRPr="00412D29">
        <w:rPr>
          <w:rFonts w:ascii="Times New Roman" w:eastAsia="Times New Roman" w:hAnsi="Times New Roman" w:cs="Times New Roman"/>
          <w:lang w:val="sr-Latn-RS"/>
        </w:rPr>
        <w:t>, primijenjen kao samostalna terapija ili u kombinaciji sa drugim dobro poznatim hemioterapijama.</w:t>
      </w:r>
    </w:p>
    <w:p w:rsidR="00BC2ECA" w:rsidRPr="00412D29" w:rsidRDefault="00BC2ECA" w:rsidP="005313CE">
      <w:pPr>
        <w:spacing w:after="0" w:line="240" w:lineRule="auto"/>
        <w:jc w:val="both"/>
        <w:rPr>
          <w:rFonts w:ascii="Times New Roman" w:eastAsia="Times New Roman" w:hAnsi="Times New Roman" w:cs="Times New Roman"/>
          <w:lang w:val="sr-Latn-RS"/>
        </w:rPr>
      </w:pPr>
    </w:p>
    <w:p w:rsidR="00BC2ECA" w:rsidRPr="00412D29" w:rsidRDefault="00BC2ECA"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 xml:space="preserve">PARP su potrebne za efikasnu popravku prekida jednolančane DNK, a važan aspekt PARP-indukovane popravke zahtijeva da, nakon modifikacije hromatina, PARP sebe auto-modifikuje i odvoji se od DNK da bi olakšala pristup enzimima za popravku putem uklanjanja baza (BER). Kada se lijek Lynparza veže za aktivno mjesto na PARP vezan za DNK, on sprječava disocijaciju PARP i zarobljava je na DNK, i time blokira popravku. U ćelijama koje se umnožavaju (replikuju) to dovodi do prekida dvostrukog lanca DNK (DSB) kada replikaciona viljuška stigne do PARP-DNK adukta. U normalnim ćelijama, homologna rekombinantna popravka (HRR), za koju su potrebni funkcionalni </w:t>
      </w:r>
      <w:r w:rsidRPr="00412D29">
        <w:rPr>
          <w:rFonts w:ascii="Times New Roman" w:eastAsia="Times New Roman" w:hAnsi="Times New Roman" w:cs="Times New Roman"/>
          <w:i/>
          <w:lang w:val="sr-Latn-RS"/>
        </w:rPr>
        <w:t>BRCA</w:t>
      </w:r>
      <w:r w:rsidRPr="00412D29">
        <w:rPr>
          <w:rFonts w:ascii="Times New Roman" w:eastAsia="Times New Roman" w:hAnsi="Times New Roman" w:cs="Times New Roman"/>
          <w:lang w:val="sr-Latn-RS"/>
        </w:rPr>
        <w:t xml:space="preserve">1 i 2 geni, efikasno popravlja ove prekide dvostrukog lanca. U odsustvu funkcionalnog </w:t>
      </w:r>
      <w:r w:rsidRPr="00412D29">
        <w:rPr>
          <w:rFonts w:ascii="Times New Roman" w:eastAsia="Times New Roman" w:hAnsi="Times New Roman" w:cs="Times New Roman"/>
          <w:i/>
          <w:lang w:val="sr-Latn-RS"/>
        </w:rPr>
        <w:t>BRCA</w:t>
      </w:r>
      <w:r w:rsidRPr="00412D29">
        <w:rPr>
          <w:rFonts w:ascii="Times New Roman" w:eastAsia="Times New Roman" w:hAnsi="Times New Roman" w:cs="Times New Roman"/>
          <w:lang w:val="sr-Latn-RS"/>
        </w:rPr>
        <w:t>1 ili 2, DNK DSB ne mogu biti popravljeni putem HRR. Umjesto toga, aktiviraju se alternativni putevi kod kojih postoji veća vjerovatnoća za javljanje greške, kao što su put za spajanje ne-homolognih krajeva (NHEJ), što dovodi do povećane nestabilnosti genoma. Nakon nekoliko ciklusa replikacija, nestabilnost genoma može doći do neodrživih nivoa i dovesti do smrti ćelije karcinoma, zbog toga što ćelije karcinoma imaju više oštećene DNK u odnosu na normalne ćelije.</w:t>
      </w:r>
    </w:p>
    <w:p w:rsidR="00BC2ECA" w:rsidRPr="00412D29" w:rsidRDefault="00BC2ECA"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lastRenderedPageBreak/>
        <w:t xml:space="preserve">Kod </w:t>
      </w:r>
      <w:r w:rsidRPr="00412D29">
        <w:rPr>
          <w:rFonts w:ascii="Times New Roman" w:eastAsia="Times New Roman" w:hAnsi="Times New Roman" w:cs="Times New Roman"/>
          <w:i/>
          <w:lang w:val="sr-Latn-RS"/>
        </w:rPr>
        <w:t>in vivo</w:t>
      </w:r>
      <w:r w:rsidRPr="00412D29">
        <w:rPr>
          <w:rFonts w:ascii="Times New Roman" w:eastAsia="Times New Roman" w:hAnsi="Times New Roman" w:cs="Times New Roman"/>
          <w:lang w:val="sr-Latn-RS"/>
        </w:rPr>
        <w:t xml:space="preserve"> modela BRCA deficijencije, primjena olapariba nakon terapije platinom dovela je do odlaganja progresije tumora i povećanja ukupnog preživljavanja u poređenju sa primjenom terapije platinom bez olapariba.</w:t>
      </w:r>
    </w:p>
    <w:p w:rsidR="00BC2ECA" w:rsidRPr="00412D29" w:rsidRDefault="00BC2ECA" w:rsidP="005313CE">
      <w:pPr>
        <w:spacing w:after="0" w:line="240" w:lineRule="auto"/>
        <w:jc w:val="both"/>
        <w:rPr>
          <w:rFonts w:ascii="Times New Roman" w:eastAsia="Times New Roman" w:hAnsi="Times New Roman" w:cs="Times New Roman"/>
          <w:lang w:val="sr-Latn-RS"/>
        </w:rPr>
      </w:pPr>
    </w:p>
    <w:p w:rsidR="00BC2ECA" w:rsidRPr="00412D29" w:rsidRDefault="00BC2ECA"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u w:val="single"/>
          <w:lang w:val="sr-Latn-RS"/>
        </w:rPr>
        <w:t xml:space="preserve">Detekcija </w:t>
      </w:r>
      <w:r w:rsidRPr="00412D29">
        <w:rPr>
          <w:rFonts w:ascii="Times New Roman" w:eastAsia="Times New Roman" w:hAnsi="Times New Roman" w:cs="Times New Roman"/>
          <w:i/>
          <w:u w:val="single"/>
          <w:lang w:val="sr-Latn-RS"/>
        </w:rPr>
        <w:t xml:space="preserve">BRCA </w:t>
      </w:r>
      <w:r w:rsidRPr="00412D29">
        <w:rPr>
          <w:rFonts w:ascii="Times New Roman" w:eastAsia="Times New Roman" w:hAnsi="Times New Roman" w:cs="Times New Roman"/>
          <w:u w:val="single"/>
          <w:lang w:val="sr-Latn-RS"/>
        </w:rPr>
        <w:t>mutacije</w:t>
      </w:r>
    </w:p>
    <w:p w:rsidR="00BC2ECA" w:rsidRPr="00412D29" w:rsidRDefault="00BC2ECA"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lang w:val="sr-Latn-RS"/>
        </w:rPr>
        <w:t xml:space="preserve">Pacijenti ispunjavaju uslove za liječenje lijekom Lynparza ukoliko im je potvrđena štetna </w:t>
      </w:r>
      <w:r w:rsidRPr="00412D29">
        <w:rPr>
          <w:rFonts w:ascii="Times New Roman" w:eastAsia="Times New Roman" w:hAnsi="Times New Roman" w:cs="Times New Roman"/>
          <w:i/>
          <w:lang w:val="sr-Latn-RS"/>
        </w:rPr>
        <w:t xml:space="preserve">BRCA </w:t>
      </w:r>
      <w:r w:rsidRPr="00412D29">
        <w:rPr>
          <w:rFonts w:ascii="Times New Roman" w:eastAsia="Times New Roman" w:hAnsi="Times New Roman" w:cs="Times New Roman"/>
          <w:lang w:val="sr-Latn-RS"/>
        </w:rPr>
        <w:t xml:space="preserve">mutacija ili sumnja na štetnu </w:t>
      </w:r>
      <w:r w:rsidRPr="00412D29">
        <w:rPr>
          <w:rFonts w:ascii="Times New Roman" w:eastAsia="Times New Roman" w:hAnsi="Times New Roman" w:cs="Times New Roman"/>
          <w:i/>
          <w:lang w:val="sr-Latn-RS"/>
        </w:rPr>
        <w:t xml:space="preserve">BRCA </w:t>
      </w:r>
      <w:r w:rsidRPr="00412D29">
        <w:rPr>
          <w:rFonts w:ascii="Times New Roman" w:eastAsia="Times New Roman" w:hAnsi="Times New Roman" w:cs="Times New Roman"/>
          <w:lang w:val="sr-Latn-RS"/>
        </w:rPr>
        <w:t>mutaciju (tj. mutacija koja ometa normalnu funkciju gena) u germinativnim ili tumorskim ćelijama (detektovana pomoću testa validiranog na odgovarajući način).</w:t>
      </w:r>
    </w:p>
    <w:p w:rsidR="00BC2ECA" w:rsidRPr="00412D29" w:rsidRDefault="00BC2ECA" w:rsidP="005313CE">
      <w:pPr>
        <w:spacing w:after="0" w:line="240" w:lineRule="auto"/>
        <w:jc w:val="both"/>
        <w:rPr>
          <w:rFonts w:ascii="Times New Roman" w:eastAsia="Times New Roman" w:hAnsi="Times New Roman" w:cs="Times New Roman"/>
          <w:lang w:val="sr-Latn-RS"/>
        </w:rPr>
      </w:pPr>
    </w:p>
    <w:p w:rsidR="00BC2ECA" w:rsidRPr="00412D29" w:rsidRDefault="00BC2ECA"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u w:val="single"/>
          <w:lang w:val="sr-Latn-RS"/>
        </w:rPr>
        <w:t>Klinička efikasnost</w:t>
      </w:r>
    </w:p>
    <w:p w:rsidR="00BC2ECA" w:rsidRPr="00412D29" w:rsidRDefault="00BC2ECA"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lang w:val="sr-Latn-RS"/>
        </w:rPr>
        <w:t xml:space="preserve">Bezbjednost i efikasnost olapariba kao terapije održavanja u liječenju pacijenata sa </w:t>
      </w:r>
      <w:r w:rsidRPr="00412D29">
        <w:rPr>
          <w:rFonts w:ascii="Times New Roman" w:eastAsia="Times New Roman" w:hAnsi="Times New Roman" w:cs="Times New Roman"/>
        </w:rPr>
        <w:t>seroznim karcinomom jajnika, uključujući jajovod, ili primarnim peritonealnim karcinomom, relapsirajućim, osjetljivim na platinu i (PSR), uznapredovalog stadijuma, nakon terapije sa dva ili više hemioterapijska režima zasnovana na platini, ispitivana je u randomizovanom, dvostruko slijepom, placebom kontrolisanom ispitivanju faze II (Studija 19). Efikasnost terapije održavanja sa olaparibom koji se uzima do progresije bolesti poređena je sa izostankom terapije održavanja kod 265 (136 olaparib i 129 placebo) pacijenata sa PSR seroznim karcinomom jajnika koji su odgovorili (CR [kompletan odgovor] ili PR [parcijalan odgovor]) na dva ili više prethodno završena hemoterapijska režima koji sadrže platinu, a što je potvrđeno na osnovu RECIST i/ili na osnovu CA-125 kriterijuma, kao što je definisano od strane Međunarodne grupe za ginekološke karcinome (GCIG) (smanjenje nivoa CA-125 od najmanje 50% u odnosu na posljednji uzorak prije terapije, potvrđeno 28 dana kasnije). Primarni parameter ispitivanja efikasnosti bio je PFS (preživljavanje bez progresije bolesti) na osnovu procjene istraživača uz pomoć RECIST 1.0. Sekundarni parametri ispitivanja efikasnosti uključivali su OS (ukupno preživljavanje), DCR (stepen kontrole bolesti) definisan kao potvrđen CR/PR + SD (stabilno oboljenje), HRQoL (kvalitet života povezan sa zdravstvenim stanjem) i simptome povezane sa oboljenjem. Takođe su sprovedene eksploratorne analize i to vrijeme do prve naredne terapije ili smrti (TFST) i vrijeme do druge naredne terapije ili smrti (TSST – aproksimacija PFS2).</w:t>
      </w:r>
    </w:p>
    <w:p w:rsidR="00BC2ECA" w:rsidRPr="00412D29" w:rsidRDefault="00BC2ECA" w:rsidP="005313CE">
      <w:pPr>
        <w:spacing w:after="0" w:line="240" w:lineRule="auto"/>
        <w:jc w:val="both"/>
        <w:rPr>
          <w:rFonts w:ascii="Times New Roman" w:eastAsia="Times New Roman" w:hAnsi="Times New Roman" w:cs="Times New Roman"/>
        </w:rPr>
      </w:pPr>
    </w:p>
    <w:p w:rsidR="00BC2ECA" w:rsidRPr="00412D29" w:rsidRDefault="00BC2ECA"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Uključeni su samo PSR pacijenti sa oboljenjem parcijalno osjetljivim na platinu (interval bez platine u trajanju od 6 do 12 mjeseci) i pacijenti sa oboljenjem osjetljivim na platinu (interval bez platine duži od 12 mjeseci) koji su imali odgovor na terapiju nakon završetka posljednje hemioterapije zasnovane na platini. Mogli su da budu uključeni samo pacijenti koji nijesu prethodno primali terapiju olaparibom ili drugim PARP inhibitorom. Pacijenti su mogli prethodno da primaju bevacizumab, izuzev u režimu neposredno prije randomizacije. Ponovna primjena terapije olaparibom nije dozvoljena nakon progresije bolesti tokom trajanja terapije olaparibom.</w:t>
      </w:r>
    </w:p>
    <w:p w:rsidR="00BC2ECA" w:rsidRPr="00412D29" w:rsidRDefault="00BC2ECA" w:rsidP="005313CE">
      <w:pPr>
        <w:spacing w:after="0" w:line="240" w:lineRule="auto"/>
        <w:jc w:val="both"/>
        <w:rPr>
          <w:rFonts w:ascii="Times New Roman" w:eastAsia="Times New Roman" w:hAnsi="Times New Roman" w:cs="Times New Roman"/>
        </w:rPr>
      </w:pPr>
    </w:p>
    <w:p w:rsidR="00BC2ECA" w:rsidRPr="00412D29" w:rsidRDefault="00BC2ECA"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Pacijenti su randomizovani u ispitivanje 40 dana (medijana) nakon završetka njihove finalne hemioterapije platinom. Primili su u prosjeku 3 prethodna hemioterapijska režima (u rasponu od 2 do 11) i 2,6 hemioterapija koje sadrže platinu (u rasponu od 2 do 8).</w:t>
      </w:r>
    </w:p>
    <w:p w:rsidR="00BC2ECA" w:rsidRPr="00412D29" w:rsidRDefault="00BC2ECA" w:rsidP="005313CE">
      <w:pPr>
        <w:spacing w:after="0" w:line="240" w:lineRule="auto"/>
        <w:jc w:val="both"/>
        <w:rPr>
          <w:rFonts w:ascii="Times New Roman" w:eastAsia="Times New Roman" w:hAnsi="Times New Roman" w:cs="Times New Roman"/>
        </w:rPr>
      </w:pPr>
    </w:p>
    <w:p w:rsidR="00BC2ECA" w:rsidRPr="00412D29" w:rsidRDefault="00BC2ECA"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Pacijenti u grupi koja je primala olaparib nastavili su da primaju terapiju duže od onih u placebo grupi. Ukupno 54 (39,7%) pacijenta primalo je terapiju duže od 12 mjeseci u olaparib grupi, u poređenju sa 14 (10,9%) u placebo grupi.</w:t>
      </w:r>
    </w:p>
    <w:p w:rsidR="00BC2ECA" w:rsidRPr="00412D29" w:rsidRDefault="00BC2ECA" w:rsidP="005313CE">
      <w:pPr>
        <w:spacing w:after="0" w:line="240" w:lineRule="auto"/>
        <w:jc w:val="both"/>
        <w:rPr>
          <w:rFonts w:ascii="Times New Roman" w:eastAsia="Times New Roman" w:hAnsi="Times New Roman" w:cs="Times New Roman"/>
        </w:rPr>
      </w:pPr>
    </w:p>
    <w:p w:rsidR="00BC2ECA" w:rsidRDefault="00BC2ECA"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 xml:space="preserve">Ispitivanje je ispunilo primarni cilj – statistički značajno poboljšanje PFS za olaparib primijenjen kao monoterapija održavanja u poređenju sa placebom u ukupnoj populaciji (HR 0,35; 95% CI 0,25-0,49; p&lt;0,00001). Štaviše, unaprijed planirana analiza podgrupa na osnovu statusa BRCA mutacija identifikovala </w:t>
      </w:r>
      <w:r w:rsidRPr="00412D29">
        <w:rPr>
          <w:rFonts w:ascii="Times New Roman" w:eastAsia="Times New Roman" w:hAnsi="Times New Roman" w:cs="Times New Roman"/>
        </w:rPr>
        <w:lastRenderedPageBreak/>
        <w:t xml:space="preserve">je pacijente sa </w:t>
      </w:r>
      <w:r w:rsidRPr="00412D29">
        <w:rPr>
          <w:rFonts w:ascii="Times New Roman" w:eastAsia="Times New Roman" w:hAnsi="Times New Roman" w:cs="Times New Roman"/>
          <w:i/>
        </w:rPr>
        <w:t>BRCA</w:t>
      </w:r>
      <w:r w:rsidRPr="00412D29">
        <w:rPr>
          <w:rFonts w:ascii="Times New Roman" w:eastAsia="Times New Roman" w:hAnsi="Times New Roman" w:cs="Times New Roman"/>
        </w:rPr>
        <w:t>-mutiranim karcinomom jajnika (n=136, 51,3%) kao podgrupu koja je imala najviše kliničke koristi od primjene olapariba kao monoterapije održavanja.</w:t>
      </w:r>
    </w:p>
    <w:p w:rsidR="00BC2ECA" w:rsidRPr="00412D29" w:rsidRDefault="00BC2ECA" w:rsidP="005313CE">
      <w:pPr>
        <w:spacing w:after="0" w:line="240" w:lineRule="auto"/>
        <w:jc w:val="both"/>
        <w:rPr>
          <w:rFonts w:ascii="Times New Roman" w:eastAsia="Times New Roman" w:hAnsi="Times New Roman" w:cs="Times New Roman"/>
        </w:rPr>
      </w:pP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r w:rsidRPr="00412D29">
        <w:rPr>
          <w:rFonts w:ascii="Times New Roman" w:eastAsia="Times New Roman" w:hAnsi="Times New Roman" w:cs="Times New Roman"/>
        </w:rPr>
        <w:t xml:space="preserve">Kod pacijenata sa </w:t>
      </w:r>
      <w:r w:rsidRPr="00412D29">
        <w:rPr>
          <w:rFonts w:ascii="Times New Roman" w:eastAsia="Times New Roman" w:hAnsi="Times New Roman" w:cs="Times New Roman"/>
          <w:i/>
        </w:rPr>
        <w:t xml:space="preserve">BRCA </w:t>
      </w:r>
      <w:r w:rsidRPr="00412D29">
        <w:rPr>
          <w:rFonts w:ascii="Times New Roman" w:eastAsia="Times New Roman" w:hAnsi="Times New Roman" w:cs="Times New Roman"/>
        </w:rPr>
        <w:t xml:space="preserve">mutacijom (n=136) došlo je do statistički značajnog poboljšanja PFS, TFST i TSST. Medijana poboljšanja PFS iznosila je 6,9 mjeseci u odnosu na placebo za pacijente liječene olaparibom (HR </w:t>
      </w:r>
      <w:r w:rsidRPr="00412D29">
        <w:rPr>
          <w:rFonts w:ascii="Times New Roman" w:eastAsia="Times New Roman" w:hAnsi="Times New Roman" w:cs="Times New Roman"/>
          <w:color w:val="000000"/>
        </w:rPr>
        <w:t xml:space="preserve">0,18; 95% CI 0,10-0,31; p&lt;0,00001; medijana od 11,2 mjeseci naspram 4,3 mjeseca). Procjena PFS od strane istraživača bila je u skladu sa slijepom nezavisnom centralnom radiološkom procjenom PFS. Vrijeme od randomizacije do početka prve naredne terapije ili smrti (TFST) bilo je 9,4 mjeseci duže kod pacijenata koji su liječeni olaparibom (HR 0,33; 95% CI 0,22–0,50; p&lt;0,00001; medijana od 15,6 mjeseci naspram 6,2 mjeseca). Vrijeme od randomizacije do započinjanja druge naredne terapije ili smrti (TSST) bilo je 8,6 mjeseci duže kod pacijenata koji su liječeni olaparibom (HR 0,44; 95% CI 0,29-0,67; p=0,00013; medijana od 23,8 mjeseci naspram 15,2 mjeseca). Nije bilo statistički značajne razlike u OS (HR 0,73; 95% CI 0,45-1,17; p=0,19; medijana od 34,9 mjeseci naspram 31,9 mjeseci). Unutar populacije sa </w:t>
      </w:r>
      <w:r w:rsidRPr="00412D29">
        <w:rPr>
          <w:rFonts w:ascii="Times New Roman" w:eastAsia="Times New Roman" w:hAnsi="Times New Roman" w:cs="Times New Roman"/>
          <w:i/>
          <w:color w:val="000000"/>
        </w:rPr>
        <w:t>BRCA</w:t>
      </w:r>
      <w:r w:rsidRPr="00412D29">
        <w:rPr>
          <w:rFonts w:ascii="Times New Roman" w:eastAsia="Times New Roman" w:hAnsi="Times New Roman" w:cs="Times New Roman"/>
          <w:color w:val="000000"/>
        </w:rPr>
        <w:t xml:space="preserve"> mutacijom, stopa kontrole bolesti nakon 24 nedjelje iznosila je 57% kod pacijenata u olaparib grupi i 24% kod pacijenata u placebo grupi.</w:t>
      </w: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r w:rsidRPr="00412D29">
        <w:rPr>
          <w:rFonts w:ascii="Times New Roman" w:eastAsia="Times New Roman" w:hAnsi="Times New Roman" w:cs="Times New Roman"/>
          <w:color w:val="000000"/>
        </w:rPr>
        <w:t>Nijesu zabilježene statistički značajne razlike između olapariba i placeba u odnosu na simptome koje su prijavili pacijenti ili HRQoL, izmjereno kao stope poboljšanja i pogoršanja FACT/NCCN indeksa ovarijalnih simptoma (FOSI), Indeksa ishoda ispitivanja (TOI) i Ukupnog ovarijalnog skora Funkcionalne analize terapije karcinoma (FACT-O total).</w:t>
      </w: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r w:rsidRPr="00412D29">
        <w:rPr>
          <w:rFonts w:ascii="Times New Roman" w:eastAsia="Times New Roman" w:hAnsi="Times New Roman" w:cs="Times New Roman"/>
          <w:color w:val="000000"/>
        </w:rPr>
        <w:t xml:space="preserve">Ključni nalazi Studije 19 u odnosu na efikasnost za pacijente sa </w:t>
      </w:r>
      <w:r w:rsidRPr="00412D29">
        <w:rPr>
          <w:rFonts w:ascii="Times New Roman" w:eastAsia="Times New Roman" w:hAnsi="Times New Roman" w:cs="Times New Roman"/>
          <w:i/>
          <w:color w:val="000000"/>
        </w:rPr>
        <w:t>BRCA</w:t>
      </w:r>
      <w:r w:rsidRPr="00412D29">
        <w:rPr>
          <w:rFonts w:ascii="Times New Roman" w:eastAsia="Times New Roman" w:hAnsi="Times New Roman" w:cs="Times New Roman"/>
          <w:color w:val="000000"/>
        </w:rPr>
        <w:t xml:space="preserve"> mutacijom dati su u Tabeli 2, kao i Slikama 1 i 2.</w:t>
      </w: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p>
    <w:p w:rsidR="00BC2ECA"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r w:rsidRPr="00412D29">
        <w:rPr>
          <w:rFonts w:ascii="Times New Roman" w:eastAsia="Times New Roman" w:hAnsi="Times New Roman" w:cs="Times New Roman"/>
          <w:color w:val="000000"/>
        </w:rPr>
        <w:t xml:space="preserve">Tabela 2: Sažet prikaz ključnih nalaza u odnosu na efikasnost za pacijente sa </w:t>
      </w:r>
      <w:r w:rsidRPr="00412D29">
        <w:rPr>
          <w:rFonts w:ascii="Times New Roman" w:eastAsia="Times New Roman" w:hAnsi="Times New Roman" w:cs="Times New Roman"/>
          <w:i/>
          <w:color w:val="000000"/>
        </w:rPr>
        <w:t>BRCA</w:t>
      </w:r>
      <w:r w:rsidRPr="00412D29">
        <w:rPr>
          <w:rFonts w:ascii="Times New Roman" w:eastAsia="Times New Roman" w:hAnsi="Times New Roman" w:cs="Times New Roman"/>
          <w:color w:val="000000"/>
        </w:rPr>
        <w:t>-mutiranim PSR karcinomom jajnika u Studiji 19</w:t>
      </w: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p>
    <w:tbl>
      <w:tblPr>
        <w:tblW w:w="5000" w:type="pct"/>
        <w:tblLook w:val="0000" w:firstRow="0" w:lastRow="0" w:firstColumn="0" w:lastColumn="0" w:noHBand="0" w:noVBand="0"/>
      </w:tblPr>
      <w:tblGrid>
        <w:gridCol w:w="2007"/>
        <w:gridCol w:w="2241"/>
        <w:gridCol w:w="1483"/>
        <w:gridCol w:w="783"/>
        <w:gridCol w:w="1712"/>
        <w:gridCol w:w="1391"/>
      </w:tblGrid>
      <w:tr w:rsidR="00BC2ECA" w:rsidRPr="00BC2ECA" w:rsidTr="00BC2ECA">
        <w:trPr>
          <w:trHeight w:val="1124"/>
        </w:trPr>
        <w:tc>
          <w:tcPr>
            <w:tcW w:w="1044"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PFS</w:t>
            </w:r>
          </w:p>
        </w:tc>
        <w:tc>
          <w:tcPr>
            <w:tcW w:w="1165" w:type="pct"/>
            <w:tcBorders>
              <w:top w:val="single" w:sz="4" w:space="0" w:color="000000"/>
              <w:left w:val="single" w:sz="4" w:space="0" w:color="000000"/>
              <w:bottom w:val="single" w:sz="4" w:space="0" w:color="000000"/>
            </w:tcBorders>
            <w:shd w:val="clear" w:color="auto" w:fill="auto"/>
          </w:tcPr>
          <w:p w:rsidR="00BC2ECA" w:rsidRPr="00BC2ECA" w:rsidRDefault="00BC2ECA" w:rsidP="00BC2E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b/>
                <w:color w:val="000000"/>
              </w:rPr>
            </w:pPr>
            <w:r w:rsidRPr="00BC2ECA">
              <w:rPr>
                <w:rFonts w:ascii="Times New Roman" w:hAnsi="Times New Roman" w:cs="Times New Roman"/>
                <w:b/>
                <w:color w:val="000000"/>
              </w:rPr>
              <w:t>N</w:t>
            </w:r>
          </w:p>
          <w:p w:rsidR="00BC2ECA" w:rsidRPr="00BC2ECA" w:rsidRDefault="00BC2ECA" w:rsidP="00BC2E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b/>
                <w:color w:val="000000"/>
              </w:rPr>
            </w:pPr>
            <w:r w:rsidRPr="00BC2ECA">
              <w:rPr>
                <w:rFonts w:ascii="Times New Roman" w:hAnsi="Times New Roman" w:cs="Times New Roman"/>
                <w:b/>
                <w:color w:val="000000"/>
              </w:rPr>
              <w:t>(događaji/pacijenti)</w:t>
            </w:r>
          </w:p>
          <w:p w:rsidR="00BC2ECA" w:rsidRPr="00BC2ECA" w:rsidRDefault="00BC2ECA" w:rsidP="00BC2E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b/>
                <w:color w:val="000000"/>
              </w:rPr>
            </w:pPr>
            <w:r w:rsidRPr="00BC2ECA">
              <w:rPr>
                <w:rFonts w:ascii="Times New Roman" w:hAnsi="Times New Roman" w:cs="Times New Roman"/>
                <w:b/>
                <w:color w:val="000000"/>
              </w:rPr>
              <w:t>(%)</w:t>
            </w:r>
          </w:p>
        </w:tc>
        <w:tc>
          <w:tcPr>
            <w:tcW w:w="771"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 xml:space="preserve">Medijana </w:t>
            </w:r>
          </w:p>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PFS-a</w:t>
            </w:r>
            <w:r>
              <w:rPr>
                <w:rFonts w:ascii="Times New Roman" w:hAnsi="Times New Roman" w:cs="Times New Roman"/>
                <w:b/>
                <w:color w:val="000000"/>
              </w:rPr>
              <w:t xml:space="preserve"> </w:t>
            </w:r>
            <w:r w:rsidRPr="00BC2ECA">
              <w:rPr>
                <w:rFonts w:ascii="Times New Roman" w:hAnsi="Times New Roman" w:cs="Times New Roman"/>
                <w:b/>
                <w:color w:val="000000"/>
              </w:rPr>
              <w:t>(mjeseci)</w:t>
            </w:r>
          </w:p>
        </w:tc>
        <w:tc>
          <w:tcPr>
            <w:tcW w:w="407"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HR</w:t>
            </w:r>
            <w:r w:rsidRPr="00BC2ECA">
              <w:rPr>
                <w:rFonts w:ascii="Times New Roman" w:hAnsi="Times New Roman" w:cs="Times New Roman"/>
                <w:b/>
                <w:color w:val="000000"/>
                <w:vertAlign w:val="superscript"/>
              </w:rPr>
              <w:t>a</w:t>
            </w:r>
          </w:p>
        </w:tc>
        <w:tc>
          <w:tcPr>
            <w:tcW w:w="890"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95% CI</w:t>
            </w:r>
          </w:p>
        </w:tc>
        <w:tc>
          <w:tcPr>
            <w:tcW w:w="724"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rPr>
            </w:pPr>
            <w:r w:rsidRPr="00BC2ECA">
              <w:rPr>
                <w:rFonts w:ascii="Times New Roman" w:hAnsi="Times New Roman" w:cs="Times New Roman"/>
                <w:b/>
                <w:color w:val="000000"/>
              </w:rPr>
              <w:t>p-vrijednost</w:t>
            </w:r>
          </w:p>
        </w:tc>
      </w:tr>
      <w:tr w:rsidR="00BC2ECA" w:rsidRPr="00BC2ECA" w:rsidTr="00BC2ECA">
        <w:tc>
          <w:tcPr>
            <w:tcW w:w="1044"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Olaparib 400 mg dva puta dnevno</w:t>
            </w:r>
          </w:p>
        </w:tc>
        <w:tc>
          <w:tcPr>
            <w:tcW w:w="1165"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26/74 (35%)</w:t>
            </w:r>
          </w:p>
        </w:tc>
        <w:tc>
          <w:tcPr>
            <w:tcW w:w="771"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11,2</w:t>
            </w:r>
          </w:p>
        </w:tc>
        <w:tc>
          <w:tcPr>
            <w:tcW w:w="407" w:type="pct"/>
            <w:vMerge w:val="restar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0,18</w:t>
            </w:r>
          </w:p>
        </w:tc>
        <w:tc>
          <w:tcPr>
            <w:tcW w:w="890" w:type="pct"/>
            <w:vMerge w:val="restar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0,10-0,31</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rPr>
            </w:pPr>
            <w:r w:rsidRPr="00BC2ECA">
              <w:rPr>
                <w:rFonts w:ascii="Times New Roman" w:hAnsi="Times New Roman" w:cs="Times New Roman"/>
                <w:color w:val="000000"/>
              </w:rPr>
              <w:t>&lt;0,00001</w:t>
            </w:r>
          </w:p>
        </w:tc>
      </w:tr>
      <w:tr w:rsidR="00BC2ECA" w:rsidRPr="00BC2ECA" w:rsidTr="00BC2ECA">
        <w:tc>
          <w:tcPr>
            <w:tcW w:w="1044"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Placebo</w:t>
            </w:r>
          </w:p>
        </w:tc>
        <w:tc>
          <w:tcPr>
            <w:tcW w:w="1165"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46/62 (74%)</w:t>
            </w:r>
          </w:p>
        </w:tc>
        <w:tc>
          <w:tcPr>
            <w:tcW w:w="771"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4,3</w:t>
            </w:r>
          </w:p>
        </w:tc>
        <w:tc>
          <w:tcPr>
            <w:tcW w:w="407" w:type="pct"/>
            <w:vMerge/>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both"/>
              <w:rPr>
                <w:rFonts w:ascii="Times New Roman" w:hAnsi="Times New Roman" w:cs="Times New Roman"/>
                <w:color w:val="000000"/>
              </w:rPr>
            </w:pPr>
          </w:p>
        </w:tc>
        <w:tc>
          <w:tcPr>
            <w:tcW w:w="890" w:type="pct"/>
            <w:vMerge/>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both"/>
              <w:rPr>
                <w:rFonts w:ascii="Times New Roman" w:hAnsi="Times New Roman" w:cs="Times New Roman"/>
                <w:color w:val="000000"/>
              </w:rPr>
            </w:p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both"/>
              <w:rPr>
                <w:rFonts w:ascii="Times New Roman" w:hAnsi="Times New Roman" w:cs="Times New Roman"/>
                <w:color w:val="000000"/>
              </w:rPr>
            </w:pPr>
          </w:p>
        </w:tc>
      </w:tr>
      <w:tr w:rsidR="00BC2ECA" w:rsidRPr="00BC2ECA" w:rsidTr="00BC2ECA">
        <w:tc>
          <w:tcPr>
            <w:tcW w:w="1044"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TSST – aproksimacija PFS2</w:t>
            </w:r>
          </w:p>
        </w:tc>
        <w:tc>
          <w:tcPr>
            <w:tcW w:w="1165"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N</w:t>
            </w:r>
          </w:p>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p>
        </w:tc>
        <w:tc>
          <w:tcPr>
            <w:tcW w:w="771"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Medijana  TSST-a (mjeseci)</w:t>
            </w:r>
          </w:p>
        </w:tc>
        <w:tc>
          <w:tcPr>
            <w:tcW w:w="407"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HR</w:t>
            </w:r>
            <w:r w:rsidRPr="00BC2ECA">
              <w:rPr>
                <w:rFonts w:ascii="Times New Roman" w:hAnsi="Times New Roman" w:cs="Times New Roman"/>
                <w:b/>
                <w:color w:val="000000"/>
                <w:vertAlign w:val="superscript"/>
              </w:rPr>
              <w:t>a</w:t>
            </w:r>
          </w:p>
        </w:tc>
        <w:tc>
          <w:tcPr>
            <w:tcW w:w="890"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95% CI</w:t>
            </w:r>
          </w:p>
        </w:tc>
        <w:tc>
          <w:tcPr>
            <w:tcW w:w="724"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rPr>
            </w:pPr>
            <w:r w:rsidRPr="00BC2ECA">
              <w:rPr>
                <w:rFonts w:ascii="Times New Roman" w:hAnsi="Times New Roman" w:cs="Times New Roman"/>
                <w:b/>
                <w:color w:val="000000"/>
              </w:rPr>
              <w:t>p-vrijednost</w:t>
            </w:r>
          </w:p>
        </w:tc>
      </w:tr>
      <w:tr w:rsidR="00BC2ECA" w:rsidRPr="00BC2ECA" w:rsidTr="00BC2ECA">
        <w:tc>
          <w:tcPr>
            <w:tcW w:w="1044" w:type="pct"/>
            <w:tcBorders>
              <w:top w:val="single" w:sz="4" w:space="0" w:color="000000"/>
              <w:left w:val="single" w:sz="4" w:space="0" w:color="000000"/>
              <w:bottom w:val="single" w:sz="4" w:space="0" w:color="000000"/>
            </w:tcBorders>
            <w:shd w:val="clear" w:color="auto" w:fill="auto"/>
          </w:tcPr>
          <w:p w:rsidR="00BC2ECA" w:rsidRPr="00BC2ECA" w:rsidRDefault="00BC2ECA" w:rsidP="00BC2E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rPr>
            </w:pPr>
            <w:r w:rsidRPr="00BC2ECA">
              <w:rPr>
                <w:rFonts w:ascii="Times New Roman" w:hAnsi="Times New Roman" w:cs="Times New Roman"/>
                <w:color w:val="000000"/>
              </w:rPr>
              <w:t>Olaparib 400 mg dva puta dnevno</w:t>
            </w:r>
          </w:p>
        </w:tc>
        <w:tc>
          <w:tcPr>
            <w:tcW w:w="1165"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42/74 (57%)</w:t>
            </w:r>
          </w:p>
        </w:tc>
        <w:tc>
          <w:tcPr>
            <w:tcW w:w="771"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23,8</w:t>
            </w:r>
          </w:p>
        </w:tc>
        <w:tc>
          <w:tcPr>
            <w:tcW w:w="407" w:type="pct"/>
            <w:vMerge w:val="restar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0,44</w:t>
            </w:r>
          </w:p>
        </w:tc>
        <w:tc>
          <w:tcPr>
            <w:tcW w:w="890" w:type="pct"/>
            <w:vMerge w:val="restar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0,29-0,67</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rPr>
            </w:pPr>
            <w:r w:rsidRPr="00BC2ECA">
              <w:rPr>
                <w:rFonts w:ascii="Times New Roman" w:hAnsi="Times New Roman" w:cs="Times New Roman"/>
                <w:color w:val="000000"/>
              </w:rPr>
              <w:t>0,00013</w:t>
            </w:r>
          </w:p>
        </w:tc>
      </w:tr>
      <w:tr w:rsidR="00BC2ECA" w:rsidRPr="00BC2ECA" w:rsidTr="00BC2ECA">
        <w:tc>
          <w:tcPr>
            <w:tcW w:w="1044" w:type="pct"/>
            <w:tcBorders>
              <w:top w:val="single" w:sz="4" w:space="0" w:color="000000"/>
              <w:left w:val="single" w:sz="4" w:space="0" w:color="000000"/>
              <w:bottom w:val="single" w:sz="4" w:space="0" w:color="000000"/>
            </w:tcBorders>
            <w:shd w:val="clear" w:color="auto" w:fill="auto"/>
          </w:tcPr>
          <w:p w:rsid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Placebo</w:t>
            </w:r>
          </w:p>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p>
        </w:tc>
        <w:tc>
          <w:tcPr>
            <w:tcW w:w="1165"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49/62 (79%)</w:t>
            </w:r>
          </w:p>
        </w:tc>
        <w:tc>
          <w:tcPr>
            <w:tcW w:w="771"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15,2</w:t>
            </w:r>
          </w:p>
        </w:tc>
        <w:tc>
          <w:tcPr>
            <w:tcW w:w="407" w:type="pct"/>
            <w:vMerge/>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both"/>
              <w:rPr>
                <w:rFonts w:ascii="Times New Roman" w:hAnsi="Times New Roman" w:cs="Times New Roman"/>
                <w:color w:val="000000"/>
              </w:rPr>
            </w:pPr>
          </w:p>
        </w:tc>
        <w:tc>
          <w:tcPr>
            <w:tcW w:w="890" w:type="pct"/>
            <w:vMerge/>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both"/>
              <w:rPr>
                <w:rFonts w:ascii="Times New Roman" w:hAnsi="Times New Roman" w:cs="Times New Roman"/>
                <w:color w:val="000000"/>
              </w:rPr>
            </w:p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both"/>
              <w:rPr>
                <w:rFonts w:ascii="Times New Roman" w:hAnsi="Times New Roman" w:cs="Times New Roman"/>
                <w:color w:val="000000"/>
              </w:rPr>
            </w:pPr>
          </w:p>
        </w:tc>
      </w:tr>
      <w:tr w:rsidR="00BC2ECA" w:rsidRPr="00BC2ECA" w:rsidTr="00BC2ECA">
        <w:tc>
          <w:tcPr>
            <w:tcW w:w="1044"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lastRenderedPageBreak/>
              <w:t>Međuanaliza OS (52% završeno)</w:t>
            </w:r>
          </w:p>
        </w:tc>
        <w:tc>
          <w:tcPr>
            <w:tcW w:w="1165"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N</w:t>
            </w:r>
          </w:p>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p>
        </w:tc>
        <w:tc>
          <w:tcPr>
            <w:tcW w:w="771"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Medijana OS-a (mjeseci)</w:t>
            </w:r>
          </w:p>
        </w:tc>
        <w:tc>
          <w:tcPr>
            <w:tcW w:w="407"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HR</w:t>
            </w:r>
            <w:r w:rsidRPr="00BC2ECA">
              <w:rPr>
                <w:rFonts w:ascii="Times New Roman" w:hAnsi="Times New Roman" w:cs="Times New Roman"/>
                <w:b/>
                <w:color w:val="000000"/>
                <w:vertAlign w:val="superscript"/>
              </w:rPr>
              <w:t>a</w:t>
            </w:r>
          </w:p>
        </w:tc>
        <w:tc>
          <w:tcPr>
            <w:tcW w:w="890"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95% CI</w:t>
            </w:r>
          </w:p>
        </w:tc>
        <w:tc>
          <w:tcPr>
            <w:tcW w:w="724"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rPr>
            </w:pPr>
            <w:r w:rsidRPr="00BC2ECA">
              <w:rPr>
                <w:rFonts w:ascii="Times New Roman" w:hAnsi="Times New Roman" w:cs="Times New Roman"/>
                <w:b/>
                <w:color w:val="000000"/>
              </w:rPr>
              <w:t>p-vrijednost</w:t>
            </w:r>
          </w:p>
        </w:tc>
      </w:tr>
      <w:tr w:rsidR="00BC2ECA" w:rsidRPr="00BC2ECA" w:rsidTr="00BC2ECA">
        <w:tc>
          <w:tcPr>
            <w:tcW w:w="1044" w:type="pct"/>
            <w:tcBorders>
              <w:top w:val="single" w:sz="4" w:space="0" w:color="000000"/>
              <w:left w:val="single" w:sz="4" w:space="0" w:color="000000"/>
              <w:bottom w:val="single" w:sz="4" w:space="0" w:color="000000"/>
            </w:tcBorders>
            <w:shd w:val="clear" w:color="auto" w:fill="auto"/>
          </w:tcPr>
          <w:p w:rsidR="00BC2ECA" w:rsidRPr="00BC2ECA" w:rsidRDefault="00BC2ECA" w:rsidP="00BC2E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New Roman" w:hAnsi="Times New Roman" w:cs="Times New Roman"/>
                <w:color w:val="000000"/>
              </w:rPr>
            </w:pPr>
            <w:r w:rsidRPr="00BC2ECA">
              <w:rPr>
                <w:rFonts w:ascii="Times New Roman" w:hAnsi="Times New Roman" w:cs="Times New Roman"/>
                <w:color w:val="000000"/>
              </w:rPr>
              <w:t>Olaparib 400 mg dva puta dnevno</w:t>
            </w:r>
          </w:p>
        </w:tc>
        <w:tc>
          <w:tcPr>
            <w:tcW w:w="1165"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37/74 (50%)</w:t>
            </w:r>
          </w:p>
        </w:tc>
        <w:tc>
          <w:tcPr>
            <w:tcW w:w="771"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34,9</w:t>
            </w:r>
          </w:p>
        </w:tc>
        <w:tc>
          <w:tcPr>
            <w:tcW w:w="407" w:type="pct"/>
            <w:vMerge w:val="restar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0,73</w:t>
            </w:r>
          </w:p>
        </w:tc>
        <w:tc>
          <w:tcPr>
            <w:tcW w:w="890" w:type="pct"/>
            <w:vMerge w:val="restar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0,45-1,17</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rPr>
            </w:pPr>
            <w:r w:rsidRPr="00BC2ECA">
              <w:rPr>
                <w:rFonts w:ascii="Times New Roman" w:hAnsi="Times New Roman" w:cs="Times New Roman"/>
                <w:color w:val="000000"/>
              </w:rPr>
              <w:t>0,19</w:t>
            </w:r>
          </w:p>
        </w:tc>
      </w:tr>
      <w:tr w:rsidR="00BC2ECA" w:rsidRPr="00BC2ECA" w:rsidTr="00BC2ECA">
        <w:tc>
          <w:tcPr>
            <w:tcW w:w="1044"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Placebo</w:t>
            </w:r>
            <w:r w:rsidRPr="00BC2ECA">
              <w:rPr>
                <w:rFonts w:ascii="Times New Roman" w:hAnsi="Times New Roman" w:cs="Times New Roman"/>
                <w:color w:val="000000"/>
                <w:vertAlign w:val="superscript"/>
              </w:rPr>
              <w:t>b</w:t>
            </w:r>
          </w:p>
        </w:tc>
        <w:tc>
          <w:tcPr>
            <w:tcW w:w="1165"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34/62 (55%)</w:t>
            </w:r>
          </w:p>
        </w:tc>
        <w:tc>
          <w:tcPr>
            <w:tcW w:w="771" w:type="pct"/>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color w:val="000000"/>
              </w:rPr>
            </w:pPr>
            <w:r w:rsidRPr="00BC2ECA">
              <w:rPr>
                <w:rFonts w:ascii="Times New Roman" w:hAnsi="Times New Roman" w:cs="Times New Roman"/>
                <w:color w:val="000000"/>
              </w:rPr>
              <w:t>31,9</w:t>
            </w:r>
          </w:p>
        </w:tc>
        <w:tc>
          <w:tcPr>
            <w:tcW w:w="407" w:type="pct"/>
            <w:vMerge/>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both"/>
              <w:rPr>
                <w:rFonts w:ascii="Times New Roman" w:hAnsi="Times New Roman" w:cs="Times New Roman"/>
                <w:color w:val="000000"/>
              </w:rPr>
            </w:pPr>
          </w:p>
        </w:tc>
        <w:tc>
          <w:tcPr>
            <w:tcW w:w="890" w:type="pct"/>
            <w:vMerge/>
            <w:tcBorders>
              <w:top w:val="single" w:sz="4" w:space="0" w:color="000000"/>
              <w:left w:val="single" w:sz="4" w:space="0" w:color="000000"/>
              <w:bottom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both"/>
              <w:rPr>
                <w:rFonts w:ascii="Times New Roman" w:hAnsi="Times New Roman" w:cs="Times New Roman"/>
                <w:color w:val="000000"/>
              </w:rPr>
            </w:p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both"/>
              <w:rPr>
                <w:rFonts w:ascii="Times New Roman" w:hAnsi="Times New Roman" w:cs="Times New Roman"/>
                <w:color w:val="000000"/>
              </w:rPr>
            </w:pPr>
          </w:p>
        </w:tc>
      </w:tr>
    </w:tbl>
    <w:p w:rsidR="00BC2ECA" w:rsidRPr="00412D29" w:rsidRDefault="00BC2ECA" w:rsidP="005313CE">
      <w:pPr>
        <w:widowControl w:val="0"/>
        <w:tabs>
          <w:tab w:val="left" w:pos="2163"/>
          <w:tab w:val="left" w:pos="4226"/>
          <w:tab w:val="left" w:pos="5923"/>
          <w:tab w:val="left" w:pos="6725"/>
          <w:tab w:val="left" w:pos="8473"/>
        </w:tabs>
        <w:autoSpaceDE w:val="0"/>
        <w:snapToGrid w:val="0"/>
        <w:spacing w:after="0" w:line="240" w:lineRule="auto"/>
        <w:ind w:left="113"/>
        <w:rPr>
          <w:rFonts w:ascii="Times New Roman" w:eastAsia="Times New Roman" w:hAnsi="Times New Roman" w:cs="Times New Roman"/>
          <w:color w:val="000000"/>
        </w:rPr>
      </w:pPr>
      <w:r w:rsidRPr="00412D29">
        <w:rPr>
          <w:rFonts w:ascii="Times New Roman" w:eastAsia="Times New Roman" w:hAnsi="Times New Roman" w:cs="Times New Roman"/>
          <w:color w:val="000000"/>
        </w:rPr>
        <w:tab/>
      </w:r>
      <w:r w:rsidRPr="00412D29">
        <w:rPr>
          <w:rFonts w:ascii="Times New Roman" w:eastAsia="Times New Roman" w:hAnsi="Times New Roman" w:cs="Times New Roman"/>
          <w:color w:val="000000"/>
        </w:rPr>
        <w:tab/>
      </w:r>
      <w:r w:rsidRPr="00412D29">
        <w:rPr>
          <w:rFonts w:ascii="Times New Roman" w:eastAsia="Times New Roman" w:hAnsi="Times New Roman" w:cs="Times New Roman"/>
          <w:color w:val="000000"/>
        </w:rPr>
        <w:tab/>
      </w: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vertAlign w:val="superscript"/>
        </w:rPr>
      </w:pPr>
      <w:r w:rsidRPr="00412D29">
        <w:rPr>
          <w:rFonts w:ascii="Times New Roman" w:eastAsia="Times New Roman" w:hAnsi="Times New Roman" w:cs="Times New Roman"/>
          <w:color w:val="000000"/>
          <w:vertAlign w:val="superscript"/>
        </w:rPr>
        <w:t>a</w:t>
      </w:r>
      <w:r w:rsidRPr="00412D29">
        <w:rPr>
          <w:rFonts w:ascii="Times New Roman" w:eastAsia="Times New Roman" w:hAnsi="Times New Roman" w:cs="Times New Roman"/>
          <w:color w:val="000000"/>
        </w:rPr>
        <w:t xml:space="preserve"> HR = </w:t>
      </w:r>
      <w:r w:rsidRPr="00412D29">
        <w:rPr>
          <w:rFonts w:ascii="Times New Roman" w:eastAsia="Times New Roman" w:hAnsi="Times New Roman" w:cs="Times New Roman"/>
          <w:i/>
          <w:color w:val="000000"/>
        </w:rPr>
        <w:t>Hazard ratio</w:t>
      </w:r>
      <w:r w:rsidRPr="00412D29">
        <w:rPr>
          <w:rFonts w:ascii="Times New Roman" w:eastAsia="Times New Roman" w:hAnsi="Times New Roman" w:cs="Times New Roman"/>
          <w:color w:val="000000"/>
        </w:rPr>
        <w:t>. Vrijednost &lt;1 ide u prilog olaparibu. Analiza je sprovedena uz pomoć Koksovog modela proporcionalnih hazarda sa faktorima za terapiju, vrijeme do progresije bolesti u odnosu na pretposljednju terapiju platinom, objektivan odgovor na posljednju terapiju platinom i jevrejsko porijeklo.</w:t>
      </w: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vertAlign w:val="superscript"/>
        </w:rPr>
      </w:pPr>
      <w:r w:rsidRPr="00412D29">
        <w:rPr>
          <w:rFonts w:ascii="Times New Roman" w:eastAsia="Times New Roman" w:hAnsi="Times New Roman" w:cs="Times New Roman"/>
          <w:color w:val="000000"/>
          <w:vertAlign w:val="superscript"/>
        </w:rPr>
        <w:t>b</w:t>
      </w:r>
      <w:r w:rsidRPr="00412D29">
        <w:rPr>
          <w:rFonts w:ascii="Times New Roman" w:eastAsia="Times New Roman" w:hAnsi="Times New Roman" w:cs="Times New Roman"/>
          <w:color w:val="000000"/>
        </w:rPr>
        <w:t xml:space="preserve"> Približno četvrtina pacijenata liječenih placebom u podgrupi sa </w:t>
      </w:r>
      <w:r w:rsidRPr="00412D29">
        <w:rPr>
          <w:rFonts w:ascii="Times New Roman" w:eastAsia="Times New Roman" w:hAnsi="Times New Roman" w:cs="Times New Roman"/>
          <w:i/>
          <w:color w:val="000000"/>
        </w:rPr>
        <w:t xml:space="preserve">BRCA </w:t>
      </w:r>
      <w:r w:rsidRPr="00412D29">
        <w:rPr>
          <w:rFonts w:ascii="Times New Roman" w:eastAsia="Times New Roman" w:hAnsi="Times New Roman" w:cs="Times New Roman"/>
          <w:color w:val="000000"/>
        </w:rPr>
        <w:t>mutacijom (14/62; 22,6%) poslije je primala PARP inhibitor.</w:t>
      </w: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r w:rsidRPr="00412D29">
        <w:rPr>
          <w:rFonts w:ascii="Times New Roman" w:eastAsia="Times New Roman" w:hAnsi="Times New Roman" w:cs="Times New Roman"/>
          <w:color w:val="000000"/>
          <w:vertAlign w:val="superscript"/>
        </w:rPr>
        <w:t>N</w:t>
      </w:r>
      <w:r w:rsidRPr="00412D29">
        <w:rPr>
          <w:rFonts w:ascii="Times New Roman" w:eastAsia="Times New Roman" w:hAnsi="Times New Roman" w:cs="Times New Roman"/>
          <w:color w:val="000000"/>
        </w:rPr>
        <w:t xml:space="preserve"> Broj događaja/broj randomizovanih pacijenata; OS - ukupno preživljavanje; PFS - preživljavanje bez progresije bolesti; CI - interval pouzdanosti (ili povjerenja); TSST - vrijeme od randomizacije do započinjanja druge naredne terapije ili smrti.</w:t>
      </w: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color w:val="000000"/>
        </w:rPr>
        <w:t>Slika 1</w:t>
      </w:r>
      <w:r w:rsidRPr="00412D29">
        <w:rPr>
          <w:rFonts w:ascii="Times New Roman" w:eastAsia="Times New Roman" w:hAnsi="Times New Roman" w:cs="Times New Roman"/>
          <w:color w:val="000000"/>
        </w:rPr>
        <w:tab/>
        <w:t xml:space="preserve">Kaplan-Meier dijagram za PFS kod pacijenata sa BRCA mutacijom u registracionoj studiji 19 (zrelost podataka 53%, prema ocjeni ispitivača) </w:t>
      </w:r>
    </w:p>
    <w:p w:rsidR="00BC2ECA" w:rsidRPr="00412D29" w:rsidRDefault="00BC2ECA" w:rsidP="005313CE">
      <w:pPr>
        <w:spacing w:after="0" w:line="240" w:lineRule="auto"/>
        <w:jc w:val="both"/>
        <w:rPr>
          <w:rFonts w:ascii="Times New Roman" w:eastAsia="Times New Roman" w:hAnsi="Times New Roman" w:cs="Times New Roman"/>
          <w:lang w:val="sr-Latn-RS"/>
        </w:rPr>
      </w:pPr>
    </w:p>
    <w:p w:rsidR="00BC2ECA" w:rsidRPr="00412D29" w:rsidRDefault="00BC2ECA" w:rsidP="005313CE">
      <w:pPr>
        <w:spacing w:after="0" w:line="240" w:lineRule="auto"/>
        <w:jc w:val="both"/>
        <w:rPr>
          <w:rFonts w:ascii="Times New Roman" w:eastAsia="Times New Roman" w:hAnsi="Times New Roman" w:cs="Times New Roman"/>
          <w:lang w:val="sr-Latn-RS"/>
        </w:rPr>
      </w:pPr>
      <w:r w:rsidRPr="00412D29">
        <w:rPr>
          <w:rFonts w:ascii="Times New Roman" w:eastAsia="Times New Roman" w:hAnsi="Times New Roman" w:cs="Times New Roman"/>
          <w:noProof/>
        </w:rPr>
        <w:drawing>
          <wp:inline distT="0" distB="0" distL="0" distR="0" wp14:anchorId="10F8E70B" wp14:editId="37C44E97">
            <wp:extent cx="5274310" cy="25311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531110"/>
                    </a:xfrm>
                    <a:prstGeom prst="rect">
                      <a:avLst/>
                    </a:prstGeom>
                    <a:solidFill>
                      <a:srgbClr val="FFFFFF"/>
                    </a:solidFill>
                    <a:ln>
                      <a:noFill/>
                    </a:ln>
                  </pic:spPr>
                </pic:pic>
              </a:graphicData>
            </a:graphic>
          </wp:inline>
        </w:drawing>
      </w:r>
    </w:p>
    <w:p w:rsidR="00BC2ECA" w:rsidRPr="00412D29" w:rsidRDefault="00BC2ECA" w:rsidP="005313CE">
      <w:pPr>
        <w:spacing w:after="0" w:line="240" w:lineRule="auto"/>
        <w:jc w:val="both"/>
        <w:rPr>
          <w:rFonts w:ascii="Times New Roman" w:eastAsia="Times New Roman" w:hAnsi="Times New Roman" w:cs="Times New Roman"/>
          <w:lang w:val="sr-Latn-RS"/>
        </w:rPr>
      </w:pPr>
    </w:p>
    <w:tbl>
      <w:tblPr>
        <w:tblW w:w="5000" w:type="pct"/>
        <w:tblLook w:val="0000" w:firstRow="0" w:lastRow="0" w:firstColumn="0" w:lastColumn="0" w:noHBand="0" w:noVBand="0"/>
      </w:tblPr>
      <w:tblGrid>
        <w:gridCol w:w="1372"/>
        <w:gridCol w:w="1372"/>
        <w:gridCol w:w="1372"/>
        <w:gridCol w:w="1372"/>
        <w:gridCol w:w="1371"/>
        <w:gridCol w:w="1373"/>
        <w:gridCol w:w="1385"/>
      </w:tblGrid>
      <w:tr w:rsidR="00BC2ECA" w:rsidRPr="008D284B" w:rsidTr="00DF3C00">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mjeseci</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0</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6</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9</w:t>
            </w:r>
          </w:p>
        </w:tc>
        <w:tc>
          <w:tcPr>
            <w:tcW w:w="714"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12</w:t>
            </w:r>
          </w:p>
        </w:tc>
        <w:tc>
          <w:tcPr>
            <w:tcW w:w="720"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15</w:t>
            </w:r>
          </w:p>
        </w:tc>
      </w:tr>
      <w:tr w:rsidR="00BC2ECA" w:rsidRPr="008D284B" w:rsidTr="00DF3C00">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n-olaparib</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74</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59</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34</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15</w:t>
            </w:r>
          </w:p>
        </w:tc>
        <w:tc>
          <w:tcPr>
            <w:tcW w:w="714"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5</w:t>
            </w:r>
          </w:p>
        </w:tc>
        <w:tc>
          <w:tcPr>
            <w:tcW w:w="720"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0</w:t>
            </w:r>
          </w:p>
        </w:tc>
      </w:tr>
      <w:tr w:rsidR="00BC2ECA" w:rsidRPr="008D284B" w:rsidTr="00DF3C00">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n-placebo</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62</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35</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13</w:t>
            </w:r>
          </w:p>
        </w:tc>
        <w:tc>
          <w:tcPr>
            <w:tcW w:w="71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2</w:t>
            </w:r>
          </w:p>
        </w:tc>
        <w:tc>
          <w:tcPr>
            <w:tcW w:w="714"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0</w:t>
            </w:r>
          </w:p>
        </w:tc>
        <w:tc>
          <w:tcPr>
            <w:tcW w:w="720"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0</w:t>
            </w:r>
          </w:p>
        </w:tc>
      </w:tr>
    </w:tbl>
    <w:p w:rsidR="00BC2ECA" w:rsidRPr="00412D29" w:rsidRDefault="00BC2ECA" w:rsidP="005313CE">
      <w:pPr>
        <w:spacing w:after="0" w:line="240" w:lineRule="auto"/>
        <w:jc w:val="both"/>
        <w:rPr>
          <w:rFonts w:ascii="Times New Roman" w:eastAsia="Times New Roman" w:hAnsi="Times New Roman" w:cs="Times New Roman"/>
          <w:b/>
          <w:bCs/>
          <w:lang w:val="sr-Latn-RS"/>
        </w:rPr>
      </w:pPr>
    </w:p>
    <w:p w:rsidR="00BC2ECA" w:rsidRDefault="00BC2ECA" w:rsidP="00BC2ECA">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lastRenderedPageBreak/>
        <w:t>----olaparib 400 mg dva puta dnevno, ____placebo, x-osa=vrijeme od randomizacije u mjesecima, y-osa=PFS (preživljavanje bez progresije bolesti), n-olaparib=broj pacijenata pod rizikom-olaparib, n-placebo=broj pacijenata pod rizikom-placebo</w:t>
      </w:r>
    </w:p>
    <w:p w:rsidR="00BC2ECA" w:rsidRDefault="00BC2ECA" w:rsidP="00BC2ECA">
      <w:pPr>
        <w:spacing w:after="0" w:line="240" w:lineRule="auto"/>
        <w:jc w:val="both"/>
        <w:rPr>
          <w:rFonts w:ascii="Times New Roman" w:eastAsia="Times New Roman" w:hAnsi="Times New Roman" w:cs="Times New Roman"/>
          <w:bCs/>
          <w:lang w:val="sr-Latn-RS"/>
        </w:rPr>
      </w:pPr>
    </w:p>
    <w:p w:rsidR="00BC2ECA" w:rsidRPr="00412D29" w:rsidRDefault="00BC2ECA" w:rsidP="00BC2ECA">
      <w:pPr>
        <w:spacing w:after="0" w:line="240" w:lineRule="auto"/>
        <w:jc w:val="both"/>
        <w:rPr>
          <w:rFonts w:ascii="Times New Roman" w:eastAsia="Times New Roman" w:hAnsi="Times New Roman" w:cs="Times New Roman"/>
          <w:color w:val="000000"/>
        </w:rPr>
      </w:pPr>
      <w:r w:rsidRPr="00412D29">
        <w:rPr>
          <w:rFonts w:ascii="Times New Roman" w:eastAsia="Times New Roman" w:hAnsi="Times New Roman" w:cs="Times New Roman"/>
          <w:color w:val="000000"/>
        </w:rPr>
        <w:t>Slika 2</w:t>
      </w:r>
      <w:r w:rsidRPr="00412D29">
        <w:rPr>
          <w:rFonts w:ascii="Times New Roman" w:eastAsia="Times New Roman" w:hAnsi="Times New Roman" w:cs="Times New Roman"/>
          <w:color w:val="000000"/>
        </w:rPr>
        <w:tab/>
        <w:t>Kaplan-Meier dijagram za OS kod pacijenata sa BRCA mutacijom u registracionoj studiji 19 (zrelost podataka 52%)</w:t>
      </w: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color w:val="000000"/>
        </w:rPr>
      </w:pPr>
    </w:p>
    <w:p w:rsidR="00BC2ECA" w:rsidRPr="00412D29" w:rsidRDefault="00BC2ECA" w:rsidP="00531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noProof/>
          <w:color w:val="000000"/>
        </w:rPr>
        <w:drawing>
          <wp:inline distT="0" distB="0" distL="0" distR="0" wp14:anchorId="0107B62D" wp14:editId="1FE47C1F">
            <wp:extent cx="5193665" cy="23774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3665" cy="2377440"/>
                    </a:xfrm>
                    <a:prstGeom prst="rect">
                      <a:avLst/>
                    </a:prstGeom>
                    <a:solidFill>
                      <a:srgbClr val="FFFFFF"/>
                    </a:solidFill>
                    <a:ln>
                      <a:noFill/>
                    </a:ln>
                  </pic:spPr>
                </pic:pic>
              </a:graphicData>
            </a:graphic>
          </wp:inline>
        </w:drawing>
      </w:r>
    </w:p>
    <w:p w:rsidR="00BC2ECA" w:rsidRPr="00412D29" w:rsidRDefault="00BC2ECA" w:rsidP="005313CE">
      <w:pPr>
        <w:spacing w:after="0" w:line="240" w:lineRule="auto"/>
        <w:jc w:val="both"/>
        <w:rPr>
          <w:rFonts w:ascii="Times New Roman" w:eastAsia="Times New Roman" w:hAnsi="Times New Roman" w:cs="Times New Roman"/>
          <w:bCs/>
          <w:lang w:val="sr-Latn-RS"/>
        </w:rPr>
      </w:pPr>
    </w:p>
    <w:p w:rsidR="00BC2ECA" w:rsidRPr="00412D29" w:rsidRDefault="00BC2ECA" w:rsidP="005313CE">
      <w:pPr>
        <w:tabs>
          <w:tab w:val="left" w:pos="3253"/>
        </w:tabs>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tab/>
      </w:r>
    </w:p>
    <w:tbl>
      <w:tblPr>
        <w:tblW w:w="5000" w:type="pct"/>
        <w:tblLook w:val="0000" w:firstRow="0" w:lastRow="0" w:firstColumn="0" w:lastColumn="0" w:noHBand="0" w:noVBand="0"/>
      </w:tblPr>
      <w:tblGrid>
        <w:gridCol w:w="1025"/>
        <w:gridCol w:w="477"/>
        <w:gridCol w:w="477"/>
        <w:gridCol w:w="477"/>
        <w:gridCol w:w="477"/>
        <w:gridCol w:w="477"/>
        <w:gridCol w:w="477"/>
        <w:gridCol w:w="477"/>
        <w:gridCol w:w="477"/>
        <w:gridCol w:w="477"/>
        <w:gridCol w:w="477"/>
        <w:gridCol w:w="477"/>
        <w:gridCol w:w="477"/>
        <w:gridCol w:w="477"/>
        <w:gridCol w:w="477"/>
        <w:gridCol w:w="477"/>
        <w:gridCol w:w="477"/>
        <w:gridCol w:w="477"/>
        <w:gridCol w:w="483"/>
      </w:tblGrid>
      <w:tr w:rsidR="00BC2ECA" w:rsidRPr="008D284B" w:rsidTr="00DF3C00">
        <w:tc>
          <w:tcPr>
            <w:tcW w:w="53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mjeseci</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0</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6</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9</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12</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15</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18</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21</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24</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27</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30</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33</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36</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39</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42</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45</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48</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51</w:t>
            </w:r>
          </w:p>
        </w:tc>
      </w:tr>
      <w:tr w:rsidR="00BC2ECA" w:rsidRPr="008D284B" w:rsidTr="00DF3C00">
        <w:tc>
          <w:tcPr>
            <w:tcW w:w="53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n-olaparib</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74</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71</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69</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67</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65</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62</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56</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53</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50</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48</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39</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36</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26</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12</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7</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0</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0</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0</w:t>
            </w:r>
          </w:p>
        </w:tc>
      </w:tr>
      <w:tr w:rsidR="00BC2ECA" w:rsidRPr="008D284B" w:rsidTr="00DF3C00">
        <w:tc>
          <w:tcPr>
            <w:tcW w:w="533"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n-placebo</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62</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62</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58</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52</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50</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46</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39</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36</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33</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29</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29</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27</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21</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10</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4</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0</w:t>
            </w:r>
          </w:p>
        </w:tc>
        <w:tc>
          <w:tcPr>
            <w:tcW w:w="248"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0</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0</w:t>
            </w:r>
          </w:p>
        </w:tc>
      </w:tr>
    </w:tbl>
    <w:p w:rsidR="00BC2ECA" w:rsidRPr="00412D29" w:rsidRDefault="00BC2ECA" w:rsidP="005313CE">
      <w:pPr>
        <w:spacing w:after="0" w:line="240" w:lineRule="auto"/>
        <w:jc w:val="both"/>
        <w:rPr>
          <w:rFonts w:ascii="Times New Roman" w:eastAsia="Times New Roman" w:hAnsi="Times New Roman" w:cs="Times New Roman"/>
          <w:b/>
          <w:bCs/>
          <w:lang w:val="sr-Latn-RS"/>
        </w:rPr>
      </w:pPr>
    </w:p>
    <w:p w:rsidR="00BC2ECA" w:rsidRPr="00412D29" w:rsidRDefault="00BC2ECA" w:rsidP="005313CE">
      <w:pPr>
        <w:spacing w:after="0" w:line="240" w:lineRule="auto"/>
        <w:jc w:val="both"/>
        <w:rPr>
          <w:rFonts w:ascii="Times New Roman" w:eastAsia="Times New Roman" w:hAnsi="Times New Roman" w:cs="Times New Roman"/>
          <w:b/>
          <w:bCs/>
          <w:lang w:val="sr-Latn-RS"/>
        </w:rPr>
      </w:pPr>
      <w:r w:rsidRPr="00412D29">
        <w:rPr>
          <w:rFonts w:ascii="Times New Roman" w:eastAsia="Times New Roman" w:hAnsi="Times New Roman" w:cs="Times New Roman"/>
          <w:bCs/>
          <w:lang w:val="sr-Latn-RS"/>
        </w:rPr>
        <w:t>----olaparib 400 mg dva puta dnevno, ____placebo, x-osa=vrijeme od randomizacije u mjesecima, y-osa=OS (ukupno preživljavanje), n-olaparib=broj pacijenata pod rizikom-olaparib, n-placebo=broj pacijenata pod rizikom-placebo</w:t>
      </w:r>
    </w:p>
    <w:p w:rsidR="00BC2ECA" w:rsidRPr="00412D29" w:rsidRDefault="00BC2ECA" w:rsidP="005313CE">
      <w:pPr>
        <w:spacing w:after="0" w:line="240" w:lineRule="auto"/>
        <w:jc w:val="both"/>
        <w:rPr>
          <w:rFonts w:ascii="Times New Roman" w:eastAsia="Times New Roman" w:hAnsi="Times New Roman" w:cs="Times New Roman"/>
          <w:b/>
          <w:bCs/>
          <w:lang w:val="sr-Latn-RS"/>
        </w:rPr>
      </w:pPr>
    </w:p>
    <w:p w:rsidR="00BC2ECA" w:rsidRPr="00412D29" w:rsidRDefault="00BC2ECA"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t xml:space="preserve">U Studiji 19, </w:t>
      </w:r>
      <w:r w:rsidRPr="00412D29">
        <w:rPr>
          <w:rFonts w:ascii="Times New Roman" w:eastAsia="Times New Roman" w:hAnsi="Times New Roman" w:cs="Times New Roman"/>
          <w:bCs/>
          <w:i/>
          <w:lang w:val="sr-Latn-RS"/>
        </w:rPr>
        <w:t xml:space="preserve">BRCA </w:t>
      </w:r>
      <w:r w:rsidRPr="00412D29">
        <w:rPr>
          <w:rFonts w:ascii="Times New Roman" w:eastAsia="Times New Roman" w:hAnsi="Times New Roman" w:cs="Times New Roman"/>
          <w:bCs/>
          <w:lang w:val="sr-Latn-RS"/>
        </w:rPr>
        <w:t>mutacija somatskog tumora (mutacija u tumoru, ali ”divlji” tip (</w:t>
      </w:r>
      <w:r w:rsidRPr="00412D29">
        <w:rPr>
          <w:rFonts w:ascii="Times New Roman" w:eastAsia="Times New Roman" w:hAnsi="Times New Roman" w:cs="Times New Roman"/>
          <w:bCs/>
          <w:i/>
          <w:lang w:val="sr-Latn-RS"/>
        </w:rPr>
        <w:t>wildtype</w:t>
      </w:r>
      <w:r w:rsidRPr="00412D29">
        <w:rPr>
          <w:rFonts w:ascii="Times New Roman" w:eastAsia="Times New Roman" w:hAnsi="Times New Roman" w:cs="Times New Roman"/>
          <w:bCs/>
          <w:lang w:val="sr-Latn-RS"/>
        </w:rPr>
        <w:t xml:space="preserve">) u germinativnoj liniji) identifikovana je kod 18 pacijenata. Ograničeni podaci za ove pacijente sa </w:t>
      </w:r>
      <w:r w:rsidRPr="00412D29">
        <w:rPr>
          <w:rFonts w:ascii="Times New Roman" w:eastAsia="Times New Roman" w:hAnsi="Times New Roman" w:cs="Times New Roman"/>
          <w:bCs/>
          <w:i/>
          <w:lang w:val="sr-Latn-RS"/>
        </w:rPr>
        <w:t xml:space="preserve">BRCA </w:t>
      </w:r>
      <w:r w:rsidRPr="00412D29">
        <w:rPr>
          <w:rFonts w:ascii="Times New Roman" w:eastAsia="Times New Roman" w:hAnsi="Times New Roman" w:cs="Times New Roman"/>
          <w:bCs/>
          <w:lang w:val="sr-Latn-RS"/>
        </w:rPr>
        <w:t>mutacijom somatskog tumora (</w:t>
      </w:r>
      <w:r w:rsidRPr="00412D29">
        <w:rPr>
          <w:rFonts w:ascii="Times New Roman" w:eastAsia="Times New Roman" w:hAnsi="Times New Roman" w:cs="Times New Roman"/>
          <w:bCs/>
          <w:i/>
          <w:lang w:val="sr-Latn-RS"/>
        </w:rPr>
        <w:t>sBRCA</w:t>
      </w:r>
      <w:r w:rsidRPr="00412D29">
        <w:rPr>
          <w:rFonts w:ascii="Times New Roman" w:eastAsia="Times New Roman" w:hAnsi="Times New Roman" w:cs="Times New Roman"/>
          <w:bCs/>
          <w:lang w:val="sr-Latn-RS"/>
        </w:rPr>
        <w:t>) pokazuju da je progresija bolesti ili smrt zabilježena kod manje pacijenata koji su primali olaparib u poređenju sa placebom (Tabela 3).</w:t>
      </w:r>
    </w:p>
    <w:p w:rsidR="00BC2ECA" w:rsidRPr="00412D29" w:rsidRDefault="00BC2ECA" w:rsidP="005313CE">
      <w:pPr>
        <w:spacing w:after="0" w:line="240" w:lineRule="auto"/>
        <w:jc w:val="both"/>
        <w:rPr>
          <w:rFonts w:ascii="Times New Roman" w:eastAsia="Times New Roman" w:hAnsi="Times New Roman" w:cs="Times New Roman"/>
          <w:bCs/>
          <w:lang w:val="sr-Latn-RS"/>
        </w:rPr>
      </w:pPr>
    </w:p>
    <w:p w:rsidR="00BC2ECA" w:rsidRDefault="00BC2ECA"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t>Tabela 3  Sažet prikaz preživljavanja bez progresije bolesti i ukupnog preživljavanja: populacija sa s</w:t>
      </w:r>
      <w:r w:rsidRPr="00412D29">
        <w:rPr>
          <w:rFonts w:ascii="Times New Roman" w:eastAsia="Times New Roman" w:hAnsi="Times New Roman" w:cs="Times New Roman"/>
          <w:bCs/>
          <w:i/>
          <w:lang w:val="sr-Latn-RS"/>
        </w:rPr>
        <w:t xml:space="preserve">BRCA </w:t>
      </w:r>
      <w:r w:rsidRPr="00412D29">
        <w:rPr>
          <w:rFonts w:ascii="Times New Roman" w:eastAsia="Times New Roman" w:hAnsi="Times New Roman" w:cs="Times New Roman"/>
          <w:bCs/>
          <w:lang w:val="sr-Latn-RS"/>
        </w:rPr>
        <w:t>mutacijom u Studiji 19</w:t>
      </w:r>
    </w:p>
    <w:p w:rsidR="00BC2ECA" w:rsidRDefault="00BC2ECA" w:rsidP="005313CE">
      <w:pPr>
        <w:spacing w:after="0" w:line="240" w:lineRule="auto"/>
        <w:jc w:val="both"/>
        <w:rPr>
          <w:rFonts w:ascii="Times New Roman" w:eastAsia="Times New Roman" w:hAnsi="Times New Roman" w:cs="Times New Roman"/>
          <w:bCs/>
          <w:lang w:val="sr-Latn-RS"/>
        </w:rPr>
      </w:pPr>
    </w:p>
    <w:p w:rsidR="00BC2ECA" w:rsidRDefault="00BC2ECA" w:rsidP="005313CE">
      <w:pPr>
        <w:spacing w:after="0" w:line="240" w:lineRule="auto"/>
        <w:jc w:val="both"/>
        <w:rPr>
          <w:rFonts w:ascii="Times New Roman" w:eastAsia="Times New Roman" w:hAnsi="Times New Roman" w:cs="Times New Roman"/>
          <w:bCs/>
          <w:lang w:val="sr-Latn-RS"/>
        </w:rPr>
      </w:pPr>
    </w:p>
    <w:p w:rsidR="00BC2ECA" w:rsidRDefault="00BC2ECA" w:rsidP="005313CE">
      <w:pPr>
        <w:spacing w:after="0" w:line="240" w:lineRule="auto"/>
        <w:jc w:val="both"/>
        <w:rPr>
          <w:rFonts w:ascii="Times New Roman" w:eastAsia="Times New Roman" w:hAnsi="Times New Roman" w:cs="Times New Roman"/>
          <w:bCs/>
          <w:lang w:val="sr-Latn-RS"/>
        </w:rPr>
      </w:pPr>
    </w:p>
    <w:tbl>
      <w:tblPr>
        <w:tblW w:w="5000" w:type="pct"/>
        <w:tblLook w:val="0000" w:firstRow="0" w:lastRow="0" w:firstColumn="0" w:lastColumn="0" w:noHBand="0" w:noVBand="0"/>
      </w:tblPr>
      <w:tblGrid>
        <w:gridCol w:w="4803"/>
        <w:gridCol w:w="4814"/>
      </w:tblGrid>
      <w:tr w:rsidR="00BC2ECA" w:rsidRPr="008D284B" w:rsidTr="00DF3C00">
        <w:tc>
          <w:tcPr>
            <w:tcW w:w="2497"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snapToGrid w:val="0"/>
              <w:jc w:val="both"/>
              <w:rPr>
                <w:rFonts w:ascii="Times New Roman" w:hAnsi="Times New Roman" w:cs="Times New Roman"/>
                <w:bCs/>
                <w:lang w:val="sr-Latn-RS"/>
              </w:rPr>
            </w:pP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N</w:t>
            </w:r>
          </w:p>
          <w:p w:rsidR="00BC2ECA" w:rsidRPr="00BC2ECA" w:rsidRDefault="00BC2ECA" w:rsidP="00DF3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 New Roman" w:hAnsi="Times New Roman" w:cs="Times New Roman"/>
                <w:b/>
                <w:color w:val="000000"/>
              </w:rPr>
            </w:pPr>
            <w:r w:rsidRPr="00BC2ECA">
              <w:rPr>
                <w:rFonts w:ascii="Times New Roman" w:hAnsi="Times New Roman" w:cs="Times New Roman"/>
                <w:b/>
                <w:color w:val="000000"/>
              </w:rPr>
              <w:t>događaji/pacijenti</w:t>
            </w:r>
          </w:p>
          <w:p w:rsidR="00BC2ECA" w:rsidRPr="00BC2ECA" w:rsidRDefault="00BC2ECA" w:rsidP="00DF3C00">
            <w:pPr>
              <w:jc w:val="both"/>
              <w:rPr>
                <w:rFonts w:ascii="Times New Roman" w:hAnsi="Times New Roman" w:cs="Times New Roman"/>
              </w:rPr>
            </w:pPr>
            <w:r w:rsidRPr="00BC2ECA">
              <w:rPr>
                <w:rFonts w:ascii="Times New Roman" w:hAnsi="Times New Roman" w:cs="Times New Roman"/>
                <w:b/>
                <w:color w:val="000000"/>
              </w:rPr>
              <w:t>(%)</w:t>
            </w:r>
          </w:p>
        </w:tc>
      </w:tr>
      <w:tr w:rsidR="00BC2ECA" w:rsidRPr="008D284B" w:rsidTr="00DF3C00">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
                <w:bCs/>
                <w:lang w:val="sr-Latn-RS"/>
              </w:rPr>
              <w:t>PFS</w:t>
            </w:r>
          </w:p>
        </w:tc>
      </w:tr>
      <w:tr w:rsidR="00BC2ECA" w:rsidRPr="008D284B" w:rsidTr="00DF3C00">
        <w:tc>
          <w:tcPr>
            <w:tcW w:w="2497"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Olaparib 400 mg dva puta dnevno</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3/8 (38%)</w:t>
            </w:r>
          </w:p>
        </w:tc>
      </w:tr>
      <w:tr w:rsidR="00BC2ECA" w:rsidRPr="008D284B" w:rsidTr="00DF3C00">
        <w:tc>
          <w:tcPr>
            <w:tcW w:w="2497"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Placebo</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6/10 (60%)</w:t>
            </w:r>
          </w:p>
        </w:tc>
      </w:tr>
      <w:tr w:rsidR="00BC2ECA" w:rsidRPr="008D284B" w:rsidTr="00DF3C00">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
                <w:bCs/>
                <w:lang w:val="sr-Latn-RS"/>
              </w:rPr>
              <w:t>OS</w:t>
            </w:r>
          </w:p>
        </w:tc>
      </w:tr>
      <w:tr w:rsidR="00BC2ECA" w:rsidRPr="008D284B" w:rsidTr="00DF3C00">
        <w:tc>
          <w:tcPr>
            <w:tcW w:w="2497"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Olaparib 400 mg dva puta dnevno</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4/8 (50%)</w:t>
            </w:r>
          </w:p>
        </w:tc>
      </w:tr>
      <w:tr w:rsidR="00BC2ECA" w:rsidRPr="008D284B" w:rsidTr="00DF3C00">
        <w:tc>
          <w:tcPr>
            <w:tcW w:w="2497" w:type="pct"/>
            <w:tcBorders>
              <w:top w:val="single" w:sz="4" w:space="0" w:color="000000"/>
              <w:left w:val="single" w:sz="4" w:space="0" w:color="000000"/>
              <w:bottom w:val="single" w:sz="4" w:space="0" w:color="000000"/>
            </w:tcBorders>
            <w:shd w:val="clear" w:color="auto" w:fill="auto"/>
          </w:tcPr>
          <w:p w:rsidR="00BC2ECA" w:rsidRPr="00BC2ECA" w:rsidRDefault="00BC2ECA" w:rsidP="00DF3C00">
            <w:pPr>
              <w:jc w:val="both"/>
              <w:rPr>
                <w:rFonts w:ascii="Times New Roman" w:hAnsi="Times New Roman" w:cs="Times New Roman"/>
                <w:bCs/>
                <w:lang w:val="sr-Latn-RS"/>
              </w:rPr>
            </w:pPr>
            <w:r w:rsidRPr="00BC2ECA">
              <w:rPr>
                <w:rFonts w:ascii="Times New Roman" w:hAnsi="Times New Roman" w:cs="Times New Roman"/>
                <w:bCs/>
                <w:lang w:val="sr-Latn-RS"/>
              </w:rPr>
              <w:t>Placebo</w:t>
            </w:r>
          </w:p>
        </w:tc>
        <w:tc>
          <w:tcPr>
            <w:tcW w:w="2503" w:type="pct"/>
            <w:tcBorders>
              <w:top w:val="single" w:sz="4" w:space="0" w:color="000000"/>
              <w:left w:val="single" w:sz="4" w:space="0" w:color="000000"/>
              <w:bottom w:val="single" w:sz="4" w:space="0" w:color="000000"/>
              <w:right w:val="single" w:sz="4" w:space="0" w:color="000000"/>
            </w:tcBorders>
            <w:shd w:val="clear" w:color="auto" w:fill="auto"/>
          </w:tcPr>
          <w:p w:rsidR="00BC2ECA" w:rsidRPr="00BC2ECA" w:rsidRDefault="00BC2ECA" w:rsidP="00DF3C00">
            <w:pPr>
              <w:jc w:val="both"/>
              <w:rPr>
                <w:rFonts w:ascii="Times New Roman" w:hAnsi="Times New Roman" w:cs="Times New Roman"/>
              </w:rPr>
            </w:pPr>
            <w:r w:rsidRPr="00BC2ECA">
              <w:rPr>
                <w:rFonts w:ascii="Times New Roman" w:hAnsi="Times New Roman" w:cs="Times New Roman"/>
                <w:bCs/>
                <w:lang w:val="sr-Latn-RS"/>
              </w:rPr>
              <w:t>6/10 (60%)</w:t>
            </w:r>
          </w:p>
        </w:tc>
      </w:tr>
    </w:tbl>
    <w:p w:rsidR="00BC2ECA" w:rsidRPr="00412D29" w:rsidRDefault="00BC2ECA" w:rsidP="005313CE">
      <w:pPr>
        <w:spacing w:after="0" w:line="240" w:lineRule="auto"/>
        <w:jc w:val="both"/>
        <w:rPr>
          <w:rFonts w:ascii="Times New Roman" w:eastAsia="Times New Roman" w:hAnsi="Times New Roman" w:cs="Times New Roman"/>
          <w:bCs/>
          <w:lang w:val="sr-Latn-RS"/>
        </w:rPr>
      </w:pPr>
    </w:p>
    <w:p w:rsidR="00BC2ECA" w:rsidRPr="00412D29" w:rsidRDefault="00BC2ECA" w:rsidP="005313CE">
      <w:pPr>
        <w:spacing w:after="0" w:line="240" w:lineRule="auto"/>
        <w:jc w:val="both"/>
        <w:rPr>
          <w:rFonts w:ascii="Times New Roman" w:eastAsia="Times New Roman" w:hAnsi="Times New Roman" w:cs="Times New Roman"/>
          <w:bCs/>
          <w:u w:val="single"/>
          <w:lang w:val="sr-Latn-RS"/>
        </w:rPr>
      </w:pPr>
      <w:r w:rsidRPr="00412D29">
        <w:rPr>
          <w:rFonts w:ascii="Times New Roman" w:eastAsia="Times New Roman" w:hAnsi="Times New Roman" w:cs="Times New Roman"/>
          <w:bCs/>
          <w:u w:val="single"/>
          <w:lang w:val="sr-Latn-RS"/>
        </w:rPr>
        <w:t>Pedijatrijska populacija</w:t>
      </w:r>
    </w:p>
    <w:p w:rsidR="00BC2ECA" w:rsidRPr="00412D29" w:rsidRDefault="00BC2ECA" w:rsidP="005313CE">
      <w:pPr>
        <w:spacing w:after="0" w:line="240" w:lineRule="auto"/>
        <w:jc w:val="both"/>
        <w:rPr>
          <w:rFonts w:ascii="Times New Roman" w:eastAsia="Times New Roman" w:hAnsi="Times New Roman" w:cs="Times New Roman"/>
          <w:bCs/>
          <w:u w:val="single"/>
          <w:lang w:val="sr-Latn-RS"/>
        </w:rPr>
      </w:pPr>
    </w:p>
    <w:p w:rsidR="00BC2ECA" w:rsidRPr="00412D29" w:rsidRDefault="00BC2ECA"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t>Evropska agencija za ljekove je oslobodila proizvođača od obaveze da dostavi rezultate ispitivanja sa lijekom Lynparza za sve podgrupe pedijatrijske populacije kod ovarijalnog karcinoma (izuzev rabdomiosarkoma i tumora germinativnih ćelija) (vidjeti odjeljak 4.2 za informacije o pedijatrijskoj primjeni).</w:t>
      </w:r>
    </w:p>
    <w:p w:rsidR="00BC2ECA" w:rsidRPr="00412D29" w:rsidRDefault="00BC2ECA" w:rsidP="005313CE">
      <w:pPr>
        <w:spacing w:after="0" w:line="240" w:lineRule="auto"/>
        <w:ind w:left="108"/>
        <w:rPr>
          <w:rFonts w:ascii="Times New Roman" w:eastAsia="Times New Roman" w:hAnsi="Times New Roman" w:cs="Times New Roman"/>
          <w:lang w:val="sr-Latn-CS"/>
        </w:rPr>
      </w:pPr>
    </w:p>
    <w:p w:rsidR="00BC2ECA" w:rsidRPr="00412D29" w:rsidRDefault="00BC2ECA" w:rsidP="00BC2ECA">
      <w:pPr>
        <w:spacing w:before="80" w:after="80" w:line="240" w:lineRule="auto"/>
        <w:rPr>
          <w:rFonts w:ascii="Times New Roman" w:eastAsia="Times New Roman" w:hAnsi="Times New Roman" w:cs="Times New Roman"/>
          <w:b/>
          <w:bCs/>
          <w:lang w:val="sr-Latn-CS"/>
        </w:rPr>
      </w:pPr>
      <w:r w:rsidRPr="00412D29">
        <w:rPr>
          <w:rFonts w:ascii="Times New Roman" w:eastAsia="Times New Roman" w:hAnsi="Times New Roman" w:cs="Times New Roman"/>
          <w:b/>
          <w:bCs/>
          <w:lang w:val="sr-Latn-CS"/>
        </w:rPr>
        <w:t>5.2. Farmakokinetički podaci</w:t>
      </w:r>
    </w:p>
    <w:p w:rsidR="00BC2ECA" w:rsidRDefault="00BC2ECA" w:rsidP="005313CE">
      <w:pPr>
        <w:spacing w:after="0" w:line="240" w:lineRule="auto"/>
        <w:jc w:val="both"/>
        <w:rPr>
          <w:rFonts w:ascii="Times New Roman" w:eastAsia="Times New Roman" w:hAnsi="Times New Roman" w:cs="Times New Roman"/>
          <w:bCs/>
          <w:lang w:val="sr-Latn-RS"/>
        </w:rPr>
      </w:pP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t xml:space="preserve">Farmakokinetiku olapariba primijenjenog u kapsulama u dozi od 400 mg dva puta dnevno karakteriše prividni plazma klirens od </w:t>
      </w:r>
      <w:r w:rsidRPr="00412D29">
        <w:rPr>
          <w:rFonts w:ascii="Cambria Math" w:eastAsia="Times New Roman" w:hAnsi="Cambria Math" w:cs="Cambria Math"/>
          <w:bCs/>
          <w:lang w:val="sr-Latn-RS"/>
        </w:rPr>
        <w:t>∼</w:t>
      </w:r>
      <w:r w:rsidRPr="00412D29">
        <w:rPr>
          <w:rFonts w:ascii="Times New Roman" w:eastAsia="Times New Roman" w:hAnsi="Times New Roman" w:cs="Times New Roman"/>
          <w:bCs/>
          <w:lang w:val="sr-Latn-RS"/>
        </w:rPr>
        <w:t xml:space="preserve">8,6 L/h, prividni volumen distribucije od </w:t>
      </w:r>
      <w:r w:rsidRPr="00412D29">
        <w:rPr>
          <w:rFonts w:ascii="Cambria Math" w:eastAsia="Times New Roman" w:hAnsi="Cambria Math" w:cs="Cambria Math"/>
          <w:bCs/>
          <w:lang w:val="sr-Latn-RS"/>
        </w:rPr>
        <w:t>∼</w:t>
      </w:r>
      <w:r w:rsidRPr="00412D29">
        <w:rPr>
          <w:rFonts w:ascii="Times New Roman" w:eastAsia="Times New Roman" w:hAnsi="Times New Roman" w:cs="Times New Roman"/>
          <w:bCs/>
          <w:lang w:val="sr-Latn-RS"/>
        </w:rPr>
        <w:t>167 L i terminalno poluvrijeme eliminacije od 11,9 časova.</w:t>
      </w:r>
    </w:p>
    <w:p w:rsidR="005313CE" w:rsidRPr="00412D29" w:rsidRDefault="005313CE" w:rsidP="005313CE">
      <w:pPr>
        <w:spacing w:after="0" w:line="240" w:lineRule="auto"/>
        <w:jc w:val="both"/>
        <w:rPr>
          <w:rFonts w:ascii="Times New Roman" w:eastAsia="Times New Roman" w:hAnsi="Times New Roman" w:cs="Times New Roman"/>
          <w:bCs/>
          <w:lang w:val="sr-Latn-RS"/>
        </w:rPr>
      </w:pP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u w:val="single"/>
          <w:lang w:val="sr-Latn-RS"/>
        </w:rPr>
        <w:t>Resorpcija</w:t>
      </w: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t xml:space="preserve">Nakon oralne primjene olapariba putem kapsula, resorpcija je brza a maksimalne koncentracije u plazmi obično se postižu između 1 i 3 sata nakon doziranja. Višestruko doziranje ne dovodi do značajne akumulacije, dok se izlaganje u ravnotežnom stanju dostiže u roku od </w:t>
      </w:r>
      <w:r w:rsidRPr="00412D29">
        <w:rPr>
          <w:rFonts w:ascii="Cambria Math" w:eastAsia="Times New Roman" w:hAnsi="Cambria Math" w:cs="Cambria Math"/>
          <w:bCs/>
          <w:lang w:val="sr-Latn-RS"/>
        </w:rPr>
        <w:t>∼</w:t>
      </w:r>
      <w:r w:rsidRPr="00412D29">
        <w:rPr>
          <w:rFonts w:ascii="Times New Roman" w:eastAsia="Times New Roman" w:hAnsi="Times New Roman" w:cs="Times New Roman"/>
          <w:bCs/>
          <w:lang w:val="sr-Latn-RS"/>
        </w:rPr>
        <w:t xml:space="preserve">3 do 4 dana. </w:t>
      </w:r>
    </w:p>
    <w:p w:rsidR="00BC2ECA" w:rsidRDefault="00BC2ECA" w:rsidP="005313CE">
      <w:pPr>
        <w:spacing w:after="0" w:line="240" w:lineRule="auto"/>
        <w:jc w:val="both"/>
        <w:rPr>
          <w:rFonts w:ascii="Times New Roman" w:eastAsia="Times New Roman" w:hAnsi="Times New Roman" w:cs="Times New Roman"/>
          <w:bCs/>
          <w:lang w:val="sr-Latn-RS"/>
        </w:rPr>
      </w:pP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t>Primjena istovremeno sa hranom usporava brzinu (t</w:t>
      </w:r>
      <w:r w:rsidRPr="00412D29">
        <w:rPr>
          <w:rFonts w:ascii="Times New Roman" w:eastAsia="Times New Roman" w:hAnsi="Times New Roman" w:cs="Times New Roman"/>
          <w:bCs/>
          <w:vertAlign w:val="subscript"/>
          <w:lang w:val="sr-Latn-RS"/>
        </w:rPr>
        <w:t>max</w:t>
      </w:r>
      <w:r w:rsidRPr="00412D29">
        <w:rPr>
          <w:rFonts w:ascii="Times New Roman" w:eastAsia="Times New Roman" w:hAnsi="Times New Roman" w:cs="Times New Roman"/>
          <w:bCs/>
          <w:lang w:val="sr-Latn-RS"/>
        </w:rPr>
        <w:t xml:space="preserve"> odloženo za 2 sata) i marginalno povećava stepen resorpcije olapariba (PIK raste za približno 20%). Stoga, preporučuje se da pacijenti uzimaju lijek Lynparza najmanje jedan sat nakon jela, i da se uzdrže od hrane poželjno tokom naredna 2 sata (vidjeti odjeljak 4.2).</w:t>
      </w:r>
    </w:p>
    <w:p w:rsidR="005313CE" w:rsidRPr="00412D29" w:rsidRDefault="005313CE" w:rsidP="005313CE">
      <w:pPr>
        <w:spacing w:after="0" w:line="240" w:lineRule="auto"/>
        <w:jc w:val="both"/>
        <w:rPr>
          <w:rFonts w:ascii="Times New Roman" w:eastAsia="Times New Roman" w:hAnsi="Times New Roman" w:cs="Times New Roman"/>
          <w:bCs/>
          <w:lang w:val="sr-Latn-RS"/>
        </w:rPr>
      </w:pPr>
    </w:p>
    <w:p w:rsidR="005313CE" w:rsidRPr="00412D29" w:rsidRDefault="005313CE" w:rsidP="005313CE">
      <w:pPr>
        <w:spacing w:after="0" w:line="240" w:lineRule="auto"/>
        <w:jc w:val="both"/>
        <w:rPr>
          <w:rFonts w:ascii="Times New Roman" w:eastAsia="Times New Roman" w:hAnsi="Times New Roman" w:cs="Times New Roman"/>
          <w:bCs/>
          <w:i/>
          <w:lang w:val="sr-Latn-RS"/>
        </w:rPr>
      </w:pPr>
      <w:r w:rsidRPr="00412D29">
        <w:rPr>
          <w:rFonts w:ascii="Times New Roman" w:eastAsia="Times New Roman" w:hAnsi="Times New Roman" w:cs="Times New Roman"/>
          <w:bCs/>
          <w:u w:val="single"/>
          <w:lang w:val="sr-Latn-RS"/>
        </w:rPr>
        <w:t>Distribucija</w:t>
      </w: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i/>
          <w:lang w:val="sr-Latn-RS"/>
        </w:rPr>
        <w:t>In vitro</w:t>
      </w:r>
      <w:r w:rsidRPr="00412D29">
        <w:rPr>
          <w:rFonts w:ascii="Times New Roman" w:eastAsia="Times New Roman" w:hAnsi="Times New Roman" w:cs="Times New Roman"/>
          <w:bCs/>
          <w:lang w:val="sr-Latn-RS"/>
        </w:rPr>
        <w:t xml:space="preserve"> vezivanje olapariba za proteine iznosi </w:t>
      </w:r>
      <w:r w:rsidRPr="00412D29">
        <w:rPr>
          <w:rFonts w:ascii="Cambria Math" w:eastAsia="Times New Roman" w:hAnsi="Cambria Math" w:cs="Cambria Math"/>
          <w:bCs/>
          <w:lang w:val="sr-Latn-RS"/>
        </w:rPr>
        <w:t>∼</w:t>
      </w:r>
      <w:r w:rsidRPr="00412D29">
        <w:rPr>
          <w:rFonts w:ascii="Times New Roman" w:eastAsia="Times New Roman" w:hAnsi="Times New Roman" w:cs="Times New Roman"/>
          <w:bCs/>
          <w:lang w:val="sr-Latn-RS"/>
        </w:rPr>
        <w:t>82% pri koncentracijama u plazmi koje se postižu nakon primjene doze od 400 mg dva puta dnevno.</w:t>
      </w:r>
    </w:p>
    <w:p w:rsidR="005313CE" w:rsidRPr="00412D29" w:rsidRDefault="005313CE" w:rsidP="005313CE">
      <w:pPr>
        <w:spacing w:after="0" w:line="240" w:lineRule="auto"/>
        <w:jc w:val="both"/>
        <w:rPr>
          <w:rFonts w:ascii="Times New Roman" w:eastAsia="Times New Roman" w:hAnsi="Times New Roman" w:cs="Times New Roman"/>
          <w:bCs/>
          <w:lang w:val="sr-Latn-RS"/>
        </w:rPr>
      </w:pP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t>Olaparib je umjereno vezan za humani serumski albumin (HSA), nezavisno od koncentracije (oko 55%), te je slabo (oko 35%) vezan za alfa-1 kiseli glikoprotein (AAG).</w:t>
      </w:r>
    </w:p>
    <w:p w:rsidR="005313CE" w:rsidRPr="00412D29" w:rsidRDefault="005313CE" w:rsidP="005313CE">
      <w:pPr>
        <w:spacing w:after="0" w:line="240" w:lineRule="auto"/>
        <w:jc w:val="both"/>
        <w:rPr>
          <w:rFonts w:ascii="Times New Roman" w:eastAsia="Times New Roman" w:hAnsi="Times New Roman" w:cs="Times New Roman"/>
          <w:bCs/>
          <w:lang w:val="sr-Latn-RS"/>
        </w:rPr>
      </w:pPr>
    </w:p>
    <w:p w:rsidR="00BC2ECA" w:rsidRDefault="00BC2ECA" w:rsidP="005313CE">
      <w:pPr>
        <w:spacing w:after="0" w:line="240" w:lineRule="auto"/>
        <w:jc w:val="both"/>
        <w:rPr>
          <w:rFonts w:ascii="Times New Roman" w:eastAsia="Times New Roman" w:hAnsi="Times New Roman" w:cs="Times New Roman"/>
          <w:bCs/>
          <w:u w:val="single"/>
          <w:lang w:val="sr-Latn-RS"/>
        </w:rPr>
      </w:pPr>
    </w:p>
    <w:p w:rsidR="005313CE" w:rsidRPr="00412D29" w:rsidRDefault="005313CE" w:rsidP="005313CE">
      <w:pPr>
        <w:spacing w:after="0" w:line="240" w:lineRule="auto"/>
        <w:jc w:val="both"/>
        <w:rPr>
          <w:rFonts w:ascii="Times New Roman" w:eastAsia="Times New Roman" w:hAnsi="Times New Roman" w:cs="Times New Roman"/>
          <w:bCs/>
          <w:i/>
          <w:lang w:val="sr-Latn-RS"/>
        </w:rPr>
      </w:pPr>
      <w:r w:rsidRPr="00412D29">
        <w:rPr>
          <w:rFonts w:ascii="Times New Roman" w:eastAsia="Times New Roman" w:hAnsi="Times New Roman" w:cs="Times New Roman"/>
          <w:bCs/>
          <w:u w:val="single"/>
          <w:lang w:val="sr-Latn-RS"/>
        </w:rPr>
        <w:lastRenderedPageBreak/>
        <w:t>Biotransformacija</w:t>
      </w: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i/>
          <w:lang w:val="sr-Latn-RS"/>
        </w:rPr>
        <w:t>In vitro</w:t>
      </w:r>
      <w:r w:rsidRPr="00412D29">
        <w:rPr>
          <w:rFonts w:ascii="Times New Roman" w:eastAsia="Times New Roman" w:hAnsi="Times New Roman" w:cs="Times New Roman"/>
          <w:bCs/>
          <w:lang w:val="sr-Latn-RS"/>
        </w:rPr>
        <w:t>, pokazano je da je CYP3A4 enzim koji je primarno odgovoran za metabolizam olapariba (vidjeti odjeljak 4.5).</w:t>
      </w:r>
    </w:p>
    <w:p w:rsidR="005313CE" w:rsidRPr="00412D29" w:rsidRDefault="005313CE" w:rsidP="005313CE">
      <w:pPr>
        <w:spacing w:after="0" w:line="240" w:lineRule="auto"/>
        <w:jc w:val="both"/>
        <w:rPr>
          <w:rFonts w:ascii="Times New Roman" w:eastAsia="Times New Roman" w:hAnsi="Times New Roman" w:cs="Times New Roman"/>
          <w:bCs/>
          <w:lang w:val="sr-Latn-RS"/>
        </w:rPr>
      </w:pP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lang w:val="sr-Latn-RS"/>
        </w:rPr>
        <w:t xml:space="preserve">Nakon oralne primjene </w:t>
      </w:r>
      <w:r w:rsidRPr="00412D29">
        <w:rPr>
          <w:rFonts w:ascii="Times New Roman" w:eastAsia="Times New Roman" w:hAnsi="Times New Roman" w:cs="Times New Roman"/>
          <w:bCs/>
          <w:vertAlign w:val="superscript"/>
          <w:lang w:val="sr-Latn-RS"/>
        </w:rPr>
        <w:t>14</w:t>
      </w:r>
      <w:r w:rsidRPr="00412D29">
        <w:rPr>
          <w:rFonts w:ascii="Times New Roman" w:eastAsia="Times New Roman" w:hAnsi="Times New Roman" w:cs="Times New Roman"/>
          <w:bCs/>
          <w:lang w:val="sr-Latn-RS"/>
        </w:rPr>
        <w:t xml:space="preserve">C-obilježenog olapariba kod pacijentkinja, nepromijenjen olaparib predstavlja većinu cirkulišuće radioaktivnosti u plazmi (70%) i predstavlja glavnu komponentu koja se nalazi u urinu i fecesu (redom, 15% i 6% doze). Olaparib ima ekstenzivan metabolizam. Veći dio metabolizma može se pripisati reakcijama oksidacije, gdje veliki broj jedinjenja koja nastaju podliježe posljedičnoj konjugaciji sa glukuronidima ili sulfatima. U plazmi je detektovano do 20 metabolita, u urinu do 37 metabolita i u fecesu do 20 metabolita, gdje većina njih predstavlja &lt;1% doziranog materijala. Hidroksiciklopropil funkcionalna grupa otvorenog prstena, i dva mono-kiseonična metabolita (svaki </w:t>
      </w:r>
      <w:r w:rsidRPr="00412D29">
        <w:rPr>
          <w:rFonts w:ascii="Cambria Math" w:eastAsia="Times New Roman" w:hAnsi="Cambria Math" w:cs="Cambria Math"/>
          <w:bCs/>
          <w:lang w:val="sr-Latn-RS"/>
        </w:rPr>
        <w:t>∼</w:t>
      </w:r>
      <w:r w:rsidRPr="00412D29">
        <w:rPr>
          <w:rFonts w:ascii="Times New Roman" w:eastAsia="Times New Roman" w:hAnsi="Times New Roman" w:cs="Times New Roman"/>
          <w:bCs/>
          <w:lang w:val="sr-Latn-RS"/>
        </w:rPr>
        <w:t>10%) predstavljaju glavne komponente u cirkulaciji, gdje je jedan od mono-kiseoničnih metabolita takođe i glavni metabolit u ekskretima (6% urinarne i 5% fekalne radioaktivnosti).</w:t>
      </w:r>
    </w:p>
    <w:p w:rsidR="005313CE" w:rsidRPr="00412D29" w:rsidRDefault="005313CE" w:rsidP="005313CE">
      <w:pPr>
        <w:spacing w:after="0" w:line="240" w:lineRule="auto"/>
        <w:jc w:val="both"/>
        <w:rPr>
          <w:rFonts w:ascii="Times New Roman" w:eastAsia="Times New Roman" w:hAnsi="Times New Roman" w:cs="Times New Roman"/>
          <w:bCs/>
          <w:lang w:val="sr-Latn-RS"/>
        </w:rPr>
      </w:pPr>
    </w:p>
    <w:p w:rsidR="005313CE" w:rsidRPr="00412D29" w:rsidRDefault="005313CE" w:rsidP="005313CE">
      <w:pPr>
        <w:spacing w:after="0" w:line="240" w:lineRule="auto"/>
        <w:jc w:val="both"/>
        <w:rPr>
          <w:rFonts w:ascii="Times New Roman" w:eastAsia="Times New Roman" w:hAnsi="Times New Roman" w:cs="Times New Roman"/>
          <w:color w:val="000000"/>
        </w:rPr>
      </w:pPr>
      <w:r w:rsidRPr="00412D29">
        <w:rPr>
          <w:rFonts w:ascii="Times New Roman" w:eastAsia="Times New Roman" w:hAnsi="Times New Roman" w:cs="Times New Roman"/>
          <w:bCs/>
          <w:i/>
          <w:lang w:val="sr-Latn-RS"/>
        </w:rPr>
        <w:t xml:space="preserve">In vitro, </w:t>
      </w:r>
      <w:r w:rsidRPr="00412D29">
        <w:rPr>
          <w:rFonts w:ascii="Times New Roman" w:eastAsia="Times New Roman" w:hAnsi="Times New Roman" w:cs="Times New Roman"/>
          <w:bCs/>
          <w:lang w:val="sr-Latn-RS"/>
        </w:rPr>
        <w:t xml:space="preserve">olaparib je malo/nimalo inhibirao CYP </w:t>
      </w:r>
      <w:r w:rsidRPr="00412D29">
        <w:rPr>
          <w:rFonts w:ascii="Times New Roman" w:eastAsia="Times New Roman" w:hAnsi="Times New Roman" w:cs="Times New Roman"/>
          <w:color w:val="000000"/>
        </w:rPr>
        <w:t xml:space="preserve">1A2, 2A6, 2B6, 2C8, 2C9, 2C19, 2D6 ili 2E1 i ne očekuje se da će biti klinički značajan, vremenski zavisan inhibitor bilo kog od P450 enzima. </w:t>
      </w:r>
      <w:r w:rsidRPr="00412D29">
        <w:rPr>
          <w:rFonts w:ascii="Times New Roman" w:eastAsia="Times New Roman" w:hAnsi="Times New Roman" w:cs="Times New Roman"/>
          <w:i/>
          <w:color w:val="000000"/>
        </w:rPr>
        <w:t xml:space="preserve">In vitro </w:t>
      </w:r>
      <w:r w:rsidRPr="00412D29">
        <w:rPr>
          <w:rFonts w:ascii="Times New Roman" w:eastAsia="Times New Roman" w:hAnsi="Times New Roman" w:cs="Times New Roman"/>
          <w:color w:val="000000"/>
        </w:rPr>
        <w:t>podaci takođe pokazuju da olaparib nije supstrat za OATP1B1, OATP1B3, OCT1, BCRP ili MRP2 supstrat i da nije inhibitor OATP1B3, OAT1 ili MRP2.</w:t>
      </w:r>
    </w:p>
    <w:p w:rsidR="005313CE" w:rsidRPr="00412D29" w:rsidRDefault="005313CE" w:rsidP="005313CE">
      <w:pPr>
        <w:spacing w:after="0" w:line="240" w:lineRule="auto"/>
        <w:jc w:val="both"/>
        <w:rPr>
          <w:rFonts w:ascii="Times New Roman" w:eastAsia="Times New Roman" w:hAnsi="Times New Roman" w:cs="Times New Roman"/>
          <w:color w:val="000000"/>
        </w:rPr>
      </w:pPr>
    </w:p>
    <w:p w:rsidR="005313CE" w:rsidRPr="00412D29" w:rsidRDefault="005313CE" w:rsidP="005313CE">
      <w:pPr>
        <w:spacing w:after="0" w:line="240" w:lineRule="auto"/>
        <w:jc w:val="both"/>
        <w:rPr>
          <w:rFonts w:ascii="Times New Roman" w:eastAsia="Times New Roman" w:hAnsi="Times New Roman" w:cs="Times New Roman"/>
          <w:color w:val="000000"/>
        </w:rPr>
      </w:pPr>
      <w:r w:rsidRPr="00412D29">
        <w:rPr>
          <w:rFonts w:ascii="Times New Roman" w:eastAsia="Times New Roman" w:hAnsi="Times New Roman" w:cs="Times New Roman"/>
          <w:color w:val="000000"/>
          <w:u w:val="single"/>
        </w:rPr>
        <w:t>Eliminacija</w:t>
      </w: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color w:val="000000"/>
        </w:rPr>
        <w:t xml:space="preserve">Nakon pojedinačne doze </w:t>
      </w:r>
      <w:r w:rsidRPr="00412D29">
        <w:rPr>
          <w:rFonts w:ascii="Times New Roman" w:eastAsia="Times New Roman" w:hAnsi="Times New Roman" w:cs="Times New Roman"/>
          <w:bCs/>
          <w:vertAlign w:val="superscript"/>
          <w:lang w:val="sr-Latn-RS"/>
        </w:rPr>
        <w:t>14</w:t>
      </w:r>
      <w:r w:rsidRPr="00412D29">
        <w:rPr>
          <w:rFonts w:ascii="Times New Roman" w:eastAsia="Times New Roman" w:hAnsi="Times New Roman" w:cs="Times New Roman"/>
          <w:bCs/>
          <w:lang w:val="sr-Latn-RS"/>
        </w:rPr>
        <w:t xml:space="preserve">C-obilježenog olapariba, </w:t>
      </w:r>
      <w:r w:rsidRPr="00412D29">
        <w:rPr>
          <w:rFonts w:ascii="Cambria Math" w:eastAsia="Times New Roman" w:hAnsi="Cambria Math" w:cs="Cambria Math"/>
          <w:bCs/>
          <w:lang w:val="sr-Latn-RS"/>
        </w:rPr>
        <w:t>∼</w:t>
      </w:r>
      <w:r w:rsidRPr="00412D29">
        <w:rPr>
          <w:rFonts w:ascii="Times New Roman" w:eastAsia="Times New Roman" w:hAnsi="Times New Roman" w:cs="Times New Roman"/>
          <w:bCs/>
          <w:lang w:val="sr-Latn-RS"/>
        </w:rPr>
        <w:t xml:space="preserve">86% radioaktivnosti iz doze prikupljeno je tokom perioda od 7 dana, </w:t>
      </w:r>
      <w:r w:rsidRPr="00412D29">
        <w:rPr>
          <w:rFonts w:ascii="Cambria Math" w:eastAsia="Times New Roman" w:hAnsi="Cambria Math" w:cs="Cambria Math"/>
          <w:bCs/>
          <w:lang w:val="sr-Latn-RS"/>
        </w:rPr>
        <w:t>∼</w:t>
      </w:r>
      <w:r w:rsidRPr="00412D29">
        <w:rPr>
          <w:rFonts w:ascii="Times New Roman" w:eastAsia="Times New Roman" w:hAnsi="Times New Roman" w:cs="Times New Roman"/>
          <w:bCs/>
          <w:lang w:val="sr-Latn-RS"/>
        </w:rPr>
        <w:t xml:space="preserve">44% putem urina i </w:t>
      </w:r>
      <w:r w:rsidRPr="00412D29">
        <w:rPr>
          <w:rFonts w:ascii="Cambria Math" w:eastAsia="Times New Roman" w:hAnsi="Cambria Math" w:cs="Cambria Math"/>
          <w:bCs/>
          <w:lang w:val="sr-Latn-RS"/>
        </w:rPr>
        <w:t>∼</w:t>
      </w:r>
      <w:r w:rsidRPr="00412D29">
        <w:rPr>
          <w:rFonts w:ascii="Times New Roman" w:eastAsia="Times New Roman" w:hAnsi="Times New Roman" w:cs="Times New Roman"/>
          <w:bCs/>
          <w:lang w:val="sr-Latn-RS"/>
        </w:rPr>
        <w:t>42% putem fecesa. Većina materijala izlučena je u obliku metabolita.</w:t>
      </w:r>
    </w:p>
    <w:p w:rsidR="005313CE" w:rsidRPr="00412D29" w:rsidRDefault="005313CE" w:rsidP="005313CE">
      <w:pPr>
        <w:spacing w:after="0" w:line="240" w:lineRule="auto"/>
        <w:jc w:val="both"/>
        <w:rPr>
          <w:rFonts w:ascii="Times New Roman" w:eastAsia="Times New Roman" w:hAnsi="Times New Roman" w:cs="Times New Roman"/>
          <w:bCs/>
          <w:lang w:val="sr-Latn-RS"/>
        </w:rPr>
      </w:pPr>
    </w:p>
    <w:p w:rsidR="005313CE" w:rsidRPr="00412D29" w:rsidRDefault="005313CE" w:rsidP="005313CE">
      <w:pPr>
        <w:spacing w:after="0" w:line="240" w:lineRule="auto"/>
        <w:jc w:val="both"/>
        <w:rPr>
          <w:rFonts w:ascii="Times New Roman" w:eastAsia="Times New Roman" w:hAnsi="Times New Roman" w:cs="Times New Roman"/>
          <w:bCs/>
          <w:i/>
          <w:u w:val="single"/>
          <w:lang w:val="sr-Latn-RS"/>
        </w:rPr>
      </w:pPr>
      <w:r w:rsidRPr="00412D29">
        <w:rPr>
          <w:rFonts w:ascii="Times New Roman" w:eastAsia="Times New Roman" w:hAnsi="Times New Roman" w:cs="Times New Roman"/>
          <w:bCs/>
          <w:i/>
          <w:u w:val="single"/>
          <w:lang w:val="sr-Latn-RS"/>
        </w:rPr>
        <w:t>Posebne populacije</w:t>
      </w:r>
    </w:p>
    <w:p w:rsidR="005313CE" w:rsidRPr="00412D29" w:rsidRDefault="005313CE" w:rsidP="005313CE">
      <w:pPr>
        <w:spacing w:after="0" w:line="240" w:lineRule="auto"/>
        <w:jc w:val="both"/>
        <w:rPr>
          <w:rFonts w:ascii="Times New Roman" w:eastAsia="Times New Roman" w:hAnsi="Times New Roman" w:cs="Times New Roman"/>
          <w:bCs/>
          <w:i/>
          <w:lang w:val="sr-Latn-RS"/>
        </w:rPr>
      </w:pPr>
    </w:p>
    <w:p w:rsidR="005313CE" w:rsidRPr="00412D29" w:rsidRDefault="005313CE" w:rsidP="005313CE">
      <w:pPr>
        <w:spacing w:after="0" w:line="240" w:lineRule="auto"/>
        <w:jc w:val="both"/>
        <w:rPr>
          <w:rFonts w:ascii="Times New Roman" w:eastAsia="Times New Roman" w:hAnsi="Times New Roman" w:cs="Times New Roman"/>
          <w:bCs/>
          <w:lang w:val="sr-Latn-RS"/>
        </w:rPr>
      </w:pPr>
      <w:r w:rsidRPr="00412D29">
        <w:rPr>
          <w:rFonts w:ascii="Times New Roman" w:eastAsia="Times New Roman" w:hAnsi="Times New Roman" w:cs="Times New Roman"/>
          <w:bCs/>
          <w:i/>
          <w:lang w:val="sr-Latn-RS"/>
        </w:rPr>
        <w:t>Insuficijencija bubrega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bCs/>
          <w:lang w:val="sr-Latn-RS"/>
        </w:rPr>
        <w:t xml:space="preserve">Uticaj insuficijencije bubrega na izloženost olaparibu nije ispitivan. Olaparib se može primjenjivati kod pacijenata sa blagom insuficijencijom bubrega (klirens kreatinina </w:t>
      </w:r>
      <w:r w:rsidRPr="00412D29">
        <w:rPr>
          <w:rFonts w:ascii="Times New Roman" w:eastAsia="Times New Roman" w:hAnsi="Times New Roman" w:cs="Times New Roman"/>
        </w:rPr>
        <w:t xml:space="preserve"> &gt; 50 mL/min). Postoje ograničeni podaci kod pacijenata sa umjerenom insuficijencijom bubrega (klirens kreatinina &lt; 50 mL/min) ili teškom insuficijencijom bubrega (klirens kreatinina &lt;30 mL/min) (vidjeti odjeljak 4.2).</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Insuficijencija jetre</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Uticaj insuficijencije jetre na izloženost olaparibu nije ispitivan. Primjena olapariba ne preporučuje se kod pacijenata sa insuficijencijom jetre (vrijednost bilirubina u serumu više od 1,5 puta veća od gornje granice normalnih vrijednosti).</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Starije osobe</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Podaci su ograničeni kod pacijenata starih 75 i više godina. Populaciona analiza dostupnih podataka nije otkrila bilo kakvu vezu između koncentracije olapariba u plazmi i starosti pacijenta.</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t>Tjelesna masa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Nema podataka kod gojaznih (BMI &gt; 30 kg/m</w:t>
      </w:r>
      <w:r w:rsidRPr="00412D29">
        <w:rPr>
          <w:rFonts w:ascii="Times New Roman" w:eastAsia="Times New Roman" w:hAnsi="Times New Roman" w:cs="Times New Roman"/>
          <w:vertAlign w:val="superscript"/>
        </w:rPr>
        <w:t>2</w:t>
      </w:r>
      <w:r w:rsidRPr="00412D29">
        <w:rPr>
          <w:rFonts w:ascii="Times New Roman" w:eastAsia="Times New Roman" w:hAnsi="Times New Roman" w:cs="Times New Roman"/>
        </w:rPr>
        <w:t>) ili neuhranjenih (BMI &lt; 18 kg/m</w:t>
      </w:r>
      <w:r w:rsidRPr="00412D29">
        <w:rPr>
          <w:rFonts w:ascii="Times New Roman" w:eastAsia="Times New Roman" w:hAnsi="Times New Roman" w:cs="Times New Roman"/>
          <w:vertAlign w:val="superscript"/>
        </w:rPr>
        <w:t>2</w:t>
      </w:r>
      <w:r w:rsidRPr="00412D29">
        <w:rPr>
          <w:rFonts w:ascii="Times New Roman" w:eastAsia="Times New Roman" w:hAnsi="Times New Roman" w:cs="Times New Roman"/>
        </w:rPr>
        <w:t>) pacijenata. Populaciona analiza dostupnih podataka nije otkrila dokaze da tjelesna masa pacijenata utiče na koncentracije olapariba u plazmi.</w:t>
      </w:r>
    </w:p>
    <w:p w:rsidR="005313CE" w:rsidRPr="00412D29" w:rsidRDefault="005313CE" w:rsidP="005313CE">
      <w:pPr>
        <w:spacing w:after="0" w:line="240" w:lineRule="auto"/>
        <w:jc w:val="both"/>
        <w:rPr>
          <w:rFonts w:ascii="Times New Roman" w:eastAsia="Times New Roman" w:hAnsi="Times New Roman" w:cs="Times New Roman"/>
        </w:rPr>
      </w:pPr>
    </w:p>
    <w:p w:rsidR="00BC2ECA" w:rsidRDefault="00BC2ECA" w:rsidP="005313CE">
      <w:pPr>
        <w:spacing w:after="0" w:line="240" w:lineRule="auto"/>
        <w:jc w:val="both"/>
        <w:rPr>
          <w:rFonts w:ascii="Times New Roman" w:eastAsia="Times New Roman" w:hAnsi="Times New Roman" w:cs="Times New Roman"/>
          <w:i/>
        </w:rPr>
      </w:pPr>
    </w:p>
    <w:p w:rsidR="00BC2ECA" w:rsidRDefault="00BC2ECA" w:rsidP="005313CE">
      <w:pPr>
        <w:spacing w:after="0" w:line="240" w:lineRule="auto"/>
        <w:jc w:val="both"/>
        <w:rPr>
          <w:rFonts w:ascii="Times New Roman" w:eastAsia="Times New Roman" w:hAnsi="Times New Roman" w:cs="Times New Roman"/>
          <w:i/>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rPr>
        <w:lastRenderedPageBreak/>
        <w:t>Rasa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Nema dovoljno podataka da bi se procijenio potencijalni uticaj rase na farmakokinetiku olapariba, zbog toga što klinički podaci potiču najvećim dijelom od pacijenata bijele rase (94% pacijenata uključenih u populacionu analizu bili su bijele rase). U dostupnim ograničenim podacima nije bilo dokaza da postoje izražene etničke razlike u farmakokinetici olapariba između japanskih pacijenata i pacijenata bijele rase.</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i/>
          <w:u w:val="single"/>
        </w:rPr>
        <w:t>Pedijatrijska populacija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Nijesu sprovedena ispitivanja kojima bi se istražila farmakokinetika olapariba kod pedijatrijskih pacijenata.</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5.3. </w:t>
      </w:r>
      <w:r w:rsidRPr="00412D29">
        <w:rPr>
          <w:rFonts w:ascii="Times New Roman" w:eastAsia="Times New Roman" w:hAnsi="Times New Roman" w:cs="Times New Roman"/>
          <w:b/>
          <w:bCs/>
        </w:rPr>
        <w:tab/>
        <w:t xml:space="preserve">Pretklinički podaci o bezbjednosti </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Genotoksičnost</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 xml:space="preserve">Olaparib nije pokazao mutageni potencijal, ali je djelovao klastogeno na ćelije sisara </w:t>
      </w:r>
      <w:r w:rsidRPr="00412D29">
        <w:rPr>
          <w:rFonts w:ascii="Times New Roman" w:eastAsia="Times New Roman" w:hAnsi="Times New Roman" w:cs="Times New Roman"/>
          <w:i/>
        </w:rPr>
        <w:t>in vitro</w:t>
      </w:r>
      <w:r w:rsidRPr="00412D29">
        <w:rPr>
          <w:rFonts w:ascii="Times New Roman" w:eastAsia="Times New Roman" w:hAnsi="Times New Roman" w:cs="Times New Roman"/>
        </w:rPr>
        <w:t>. Kada je primijenjen oralno kod pacova, olaparib je indukovao mikronukleuse u kostnoj srži. Ova klastogenost je u skladu sa poznatom farmakologijom olapariba i ukazuje na genotoksični potencijal kod ljudi.</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Toksičnost nakon primjene ponovljenih doza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 xml:space="preserve">U ispitivanjima toksičnosti nakon primjene ponovljenih doza u trajanju do 6 mjeseci na pacovima i psima, jedinke su dobro podnosile dnevne oralne doze olapariba. Primarni ciljni organ za toksičnost kod obije životinjske vrste bila je kostna srž, sa povezanim promjenama perifernih hematoloških parametara. Ovi nalazi su zabilježeni pri izlaganjima manjim od onih koja se javljaju u kliničkim uslovima i bili su većinom reverzibilni u roku od 4 nedjelje nakon prestanka doziranja. </w:t>
      </w:r>
      <w:r w:rsidRPr="00412D29">
        <w:rPr>
          <w:rFonts w:ascii="Times New Roman" w:eastAsia="Times New Roman" w:hAnsi="Times New Roman" w:cs="Times New Roman"/>
          <w:i/>
        </w:rPr>
        <w:t xml:space="preserve">Ex vivo </w:t>
      </w:r>
      <w:r w:rsidRPr="00412D29">
        <w:rPr>
          <w:rFonts w:ascii="Times New Roman" w:eastAsia="Times New Roman" w:hAnsi="Times New Roman" w:cs="Times New Roman"/>
        </w:rPr>
        <w:t>ispitivanja na ćelijama kostne srži ljudi takođe su potvrdila da olaparib djeluje citotoksično na ćelije kostne srži ljudi.</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Reproduktivna toksikologija</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 ispitivanjima uticaja na plodnost ženki u kojima su ženke pacova dobijale lijek do implantacije, iako je kod nekih životinja zabilježen produženi estrus, nije zabilježen uticaj na parenje i stopu graviditeta. Međutim, zabilježeno je blago smanjenje embriofetalnog preživljavanja.</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U ispitivanjima embriofetalnog razvoja pacova, i pri dozama koje nijesu indukovale značajnu maternalnu toksičnost, olaparib je prouzrokovao smanjeno embriofetalno preživljavanje, smanjenu masu fetusa i razvojne poremećaje kod fetusa, uključujući značajne malformacije oka (npr. anoftalmija, mikroftalmija), poremećaje kičmenih pršljenova/rebara, i visceralne i skeletne poremećaje.</w:t>
      </w:r>
    </w:p>
    <w:p w:rsidR="005313CE" w:rsidRPr="00412D29" w:rsidRDefault="005313CE" w:rsidP="005313CE">
      <w:pPr>
        <w:spacing w:after="0" w:line="240" w:lineRule="auto"/>
        <w:jc w:val="both"/>
        <w:rPr>
          <w:rFonts w:ascii="Times New Roman" w:eastAsia="Times New Roman" w:hAnsi="Times New Roman" w:cs="Times New Roman"/>
        </w:rPr>
      </w:pP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u w:val="single"/>
        </w:rPr>
        <w:t>Kancerogenost</w:t>
      </w:r>
    </w:p>
    <w:p w:rsidR="005313CE" w:rsidRPr="00412D29" w:rsidRDefault="005313CE" w:rsidP="005313CE">
      <w:pPr>
        <w:spacing w:after="0" w:line="240" w:lineRule="auto"/>
        <w:jc w:val="both"/>
        <w:rPr>
          <w:rFonts w:ascii="Times New Roman" w:eastAsia="Times New Roman" w:hAnsi="Times New Roman" w:cs="Times New Roman"/>
        </w:rPr>
      </w:pPr>
      <w:r w:rsidRPr="00412D29">
        <w:rPr>
          <w:rFonts w:ascii="Times New Roman" w:eastAsia="Times New Roman" w:hAnsi="Times New Roman" w:cs="Times New Roman"/>
        </w:rPr>
        <w:t>Ispitivanja kancerogenosti sa olaparibom nijesu sprovedena.</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6. </w:t>
      </w:r>
      <w:r w:rsidRPr="00412D29">
        <w:rPr>
          <w:rFonts w:ascii="Times New Roman" w:eastAsia="Times New Roman" w:hAnsi="Times New Roman" w:cs="Times New Roman"/>
          <w:b/>
          <w:bCs/>
        </w:rPr>
        <w:tab/>
        <w:t>FARMACEUTSKI PODACI</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6.1. </w:t>
      </w:r>
      <w:r w:rsidRPr="00412D29">
        <w:rPr>
          <w:rFonts w:ascii="Times New Roman" w:eastAsia="Times New Roman" w:hAnsi="Times New Roman" w:cs="Times New Roman"/>
          <w:b/>
          <w:bCs/>
        </w:rPr>
        <w:tab/>
        <w:t>Lista pomoćnih supstanci</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spacing w:after="0" w:line="240" w:lineRule="auto"/>
        <w:jc w:val="both"/>
        <w:rPr>
          <w:rFonts w:ascii="Times New Roman" w:eastAsia="Times New Roman" w:hAnsi="Times New Roman" w:cs="Times New Roman"/>
          <w:u w:val="single"/>
          <w:lang w:val="sr-Latn-CS"/>
        </w:rPr>
      </w:pPr>
      <w:r w:rsidRPr="00412D29">
        <w:rPr>
          <w:rFonts w:ascii="Times New Roman" w:eastAsia="Times New Roman" w:hAnsi="Times New Roman" w:cs="Times New Roman"/>
          <w:u w:val="single"/>
          <w:lang w:val="sr-Latn-CS"/>
        </w:rPr>
        <w:t>Sadržaj kapsule</w:t>
      </w: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Lauroil makrogol-32 gliceridi</w:t>
      </w:r>
    </w:p>
    <w:p w:rsidR="005313CE" w:rsidRPr="00412D29" w:rsidRDefault="005313CE" w:rsidP="005313CE">
      <w:pPr>
        <w:spacing w:after="0" w:line="240" w:lineRule="auto"/>
        <w:jc w:val="both"/>
        <w:rPr>
          <w:rFonts w:ascii="Times New Roman" w:eastAsia="Times New Roman" w:hAnsi="Times New Roman" w:cs="Times New Roman"/>
          <w:u w:val="single"/>
          <w:lang w:val="sr-Latn-CS"/>
        </w:rPr>
      </w:pPr>
    </w:p>
    <w:p w:rsidR="005313CE" w:rsidRPr="00412D29" w:rsidRDefault="005313CE" w:rsidP="005313CE">
      <w:pPr>
        <w:spacing w:after="0" w:line="240" w:lineRule="auto"/>
        <w:jc w:val="both"/>
        <w:rPr>
          <w:rFonts w:ascii="Times New Roman" w:eastAsia="Times New Roman" w:hAnsi="Times New Roman" w:cs="Times New Roman"/>
          <w:u w:val="single"/>
          <w:lang w:val="sr-Latn-CS"/>
        </w:rPr>
      </w:pPr>
      <w:r w:rsidRPr="00412D29">
        <w:rPr>
          <w:rFonts w:ascii="Times New Roman" w:eastAsia="Times New Roman" w:hAnsi="Times New Roman" w:cs="Times New Roman"/>
          <w:u w:val="single"/>
          <w:lang w:val="sr-Latn-CS"/>
        </w:rPr>
        <w:t>Omotač kapsule</w:t>
      </w: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Hipromeloza</w:t>
      </w: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lastRenderedPageBreak/>
        <w:t>Titan dioksid (E 171)</w:t>
      </w: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Gelan guma (E418)</w:t>
      </w: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Kalijum acetat</w:t>
      </w:r>
    </w:p>
    <w:p w:rsidR="005313CE" w:rsidRPr="00412D29" w:rsidRDefault="005313CE" w:rsidP="005313CE">
      <w:pPr>
        <w:tabs>
          <w:tab w:val="left" w:pos="284"/>
          <w:tab w:val="center" w:pos="4320"/>
          <w:tab w:val="right" w:pos="8640"/>
        </w:tabs>
        <w:spacing w:after="0" w:line="240" w:lineRule="auto"/>
        <w:jc w:val="both"/>
        <w:rPr>
          <w:rFonts w:ascii="Times New Roman" w:eastAsia="Times New Roman" w:hAnsi="Times New Roman" w:cs="Times New Roman"/>
          <w:lang w:val="sr-Latn-CS"/>
        </w:rPr>
      </w:pPr>
    </w:p>
    <w:p w:rsidR="005313CE" w:rsidRPr="00412D29" w:rsidRDefault="005313CE" w:rsidP="005313CE">
      <w:pPr>
        <w:spacing w:after="0" w:line="240" w:lineRule="auto"/>
        <w:jc w:val="both"/>
        <w:rPr>
          <w:rFonts w:ascii="Times New Roman" w:eastAsia="Times New Roman" w:hAnsi="Times New Roman" w:cs="Times New Roman"/>
          <w:u w:val="single"/>
          <w:lang w:val="sr-Latn-CS"/>
        </w:rPr>
      </w:pPr>
      <w:r w:rsidRPr="00412D29">
        <w:rPr>
          <w:rFonts w:ascii="Times New Roman" w:eastAsia="Times New Roman" w:hAnsi="Times New Roman" w:cs="Times New Roman"/>
          <w:u w:val="single"/>
          <w:lang w:val="sr-Latn-CS"/>
        </w:rPr>
        <w:t>Mastilo za štampu</w:t>
      </w: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Šelak</w:t>
      </w: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Gvožđe (III) oksid, crni (E172)</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6.2. </w:t>
      </w:r>
      <w:r w:rsidRPr="00412D29">
        <w:rPr>
          <w:rFonts w:ascii="Times New Roman" w:eastAsia="Times New Roman" w:hAnsi="Times New Roman" w:cs="Times New Roman"/>
          <w:b/>
          <w:bCs/>
        </w:rPr>
        <w:tab/>
        <w:t>Inkompatibilnosti</w:t>
      </w:r>
    </w:p>
    <w:p w:rsidR="0098427B" w:rsidRDefault="0098427B" w:rsidP="005313CE">
      <w:pPr>
        <w:tabs>
          <w:tab w:val="left" w:pos="540"/>
          <w:tab w:val="left" w:pos="569"/>
        </w:tabs>
        <w:spacing w:after="0" w:line="240" w:lineRule="auto"/>
        <w:jc w:val="both"/>
        <w:rPr>
          <w:rFonts w:ascii="Times New Roman" w:eastAsia="Times New Roman" w:hAnsi="Times New Roman" w:cs="Times New Roman"/>
          <w:lang w:val="sr-Latn-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Nije primjenljivo.</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6.3.</w:t>
      </w:r>
      <w:r w:rsidRPr="00412D29">
        <w:rPr>
          <w:rFonts w:ascii="Times New Roman" w:eastAsia="Times New Roman" w:hAnsi="Times New Roman" w:cs="Times New Roman"/>
          <w:b/>
          <w:bCs/>
        </w:rPr>
        <w:tab/>
        <w:t>Rok upotrebe</w:t>
      </w:r>
    </w:p>
    <w:p w:rsidR="0098427B" w:rsidRDefault="0098427B" w:rsidP="005313CE">
      <w:pPr>
        <w:tabs>
          <w:tab w:val="left" w:pos="540"/>
          <w:tab w:val="left" w:pos="569"/>
        </w:tabs>
        <w:spacing w:after="0" w:line="240" w:lineRule="auto"/>
        <w:jc w:val="both"/>
        <w:rPr>
          <w:rFonts w:ascii="Times New Roman" w:eastAsia="Times New Roman" w:hAnsi="Times New Roman" w:cs="Times New Roman"/>
          <w:lang w:val="sr-Latn-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18 mjeseci.</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6.4. </w:t>
      </w:r>
      <w:r w:rsidRPr="00412D29">
        <w:rPr>
          <w:rFonts w:ascii="Times New Roman" w:eastAsia="Times New Roman" w:hAnsi="Times New Roman" w:cs="Times New Roman"/>
          <w:b/>
          <w:bCs/>
        </w:rPr>
        <w:tab/>
        <w:t>Posebne mjere upozorenja pri čuvanju lijeka</w:t>
      </w:r>
    </w:p>
    <w:p w:rsidR="0098427B" w:rsidRDefault="0098427B" w:rsidP="005313CE">
      <w:pPr>
        <w:spacing w:after="0" w:line="240" w:lineRule="auto"/>
        <w:jc w:val="both"/>
        <w:rPr>
          <w:rFonts w:ascii="Times New Roman" w:eastAsia="Times New Roman" w:hAnsi="Times New Roman" w:cs="Times New Roman"/>
          <w:lang w:val="sr-Latn-CS"/>
        </w:rPr>
      </w:pP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Čuvati na temperaturi do 30ºC.</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6.5. </w:t>
      </w:r>
      <w:r w:rsidRPr="00412D29">
        <w:rPr>
          <w:rFonts w:ascii="Times New Roman" w:eastAsia="Times New Roman" w:hAnsi="Times New Roman" w:cs="Times New Roman"/>
          <w:b/>
          <w:bCs/>
        </w:rPr>
        <w:tab/>
        <w:t>Vrsta i sadržaj pakovanja</w:t>
      </w:r>
    </w:p>
    <w:p w:rsidR="0098427B" w:rsidRDefault="0098427B" w:rsidP="005313CE">
      <w:pPr>
        <w:spacing w:after="0" w:line="240" w:lineRule="auto"/>
        <w:jc w:val="both"/>
        <w:rPr>
          <w:rFonts w:ascii="Times New Roman" w:eastAsia="Times New Roman" w:hAnsi="Times New Roman" w:cs="Times New Roman"/>
          <w:lang w:val="sr-Latn-CS"/>
        </w:rPr>
      </w:pPr>
    </w:p>
    <w:p w:rsidR="005313CE" w:rsidRPr="00412D29" w:rsidRDefault="005313CE" w:rsidP="005313CE">
      <w:pPr>
        <w:spacing w:after="0" w:line="240" w:lineRule="auto"/>
        <w:jc w:val="both"/>
        <w:rPr>
          <w:rFonts w:ascii="Times New Roman" w:eastAsia="Times New Roman" w:hAnsi="Times New Roman" w:cs="Times New Roman"/>
          <w:lang w:val="sr-Latn-CS"/>
        </w:rPr>
      </w:pPr>
      <w:r w:rsidRPr="00412D29">
        <w:rPr>
          <w:rFonts w:ascii="Times New Roman" w:eastAsia="Times New Roman" w:hAnsi="Times New Roman" w:cs="Times New Roman"/>
          <w:lang w:val="sr-Latn-CS"/>
        </w:rPr>
        <w:t>Unutrašnje pakovanje je HDPE boca sa sigurnosnim zatvaračem za djecu sa navojem od polipropilena koja sadrži 112 kapsula, tvrdih. Spoljnje pakovanje je složiva kartonska kutija u kojoj se nalaze četiri boce sa po 112 kapsula, tvrdih (ukupno 448 kapsula, tvrdih) i Uputstvo za lijek.</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6.6. </w:t>
      </w:r>
      <w:r w:rsidRPr="00412D29">
        <w:rPr>
          <w:rFonts w:ascii="Times New Roman" w:eastAsia="Times New Roman" w:hAnsi="Times New Roman" w:cs="Times New Roman"/>
          <w:b/>
          <w:bCs/>
        </w:rPr>
        <w:tab/>
        <w:t xml:space="preserve">Posebne mjere opreza pri odlaganju materijala koji treba odbaciti nakon primjene lijeka </w:t>
      </w:r>
    </w:p>
    <w:p w:rsidR="0098427B" w:rsidRDefault="0098427B" w:rsidP="005313CE">
      <w:pPr>
        <w:tabs>
          <w:tab w:val="left" w:pos="540"/>
          <w:tab w:val="left" w:pos="569"/>
        </w:tabs>
        <w:spacing w:after="0" w:line="240" w:lineRule="auto"/>
        <w:jc w:val="both"/>
        <w:rPr>
          <w:rFonts w:ascii="Times New Roman" w:eastAsia="Times New Roman" w:hAnsi="Times New Roman" w:cs="Times New Roman"/>
          <w:iCs/>
          <w:lang w:val="sr-Latn-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iCs/>
          <w:lang w:val="sr-Latn-CS"/>
        </w:rPr>
      </w:pPr>
      <w:r w:rsidRPr="00412D29">
        <w:rPr>
          <w:rFonts w:ascii="Times New Roman" w:eastAsia="Times New Roman" w:hAnsi="Times New Roman" w:cs="Times New Roman"/>
          <w:iCs/>
          <w:lang w:val="sr-Latn-CS"/>
        </w:rPr>
        <w:t>Neupotrijebljeni lijek se uništava u skladu sa važećim propisima.</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6.7. </w:t>
      </w:r>
      <w:r w:rsidRPr="00412D29">
        <w:rPr>
          <w:rFonts w:ascii="Times New Roman" w:eastAsia="Times New Roman" w:hAnsi="Times New Roman" w:cs="Times New Roman"/>
          <w:b/>
          <w:bCs/>
        </w:rPr>
        <w:tab/>
        <w:t>Režim izdavanja lijeka</w:t>
      </w:r>
    </w:p>
    <w:p w:rsidR="0098427B" w:rsidRDefault="0098427B"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r w:rsidRPr="00412D29">
        <w:rPr>
          <w:rFonts w:ascii="Times New Roman" w:eastAsia="Times New Roman" w:hAnsi="Times New Roman" w:cs="Times New Roman"/>
          <w:bCs/>
        </w:rPr>
        <w:t>Ograničen recept.</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7. </w:t>
      </w:r>
      <w:r w:rsidRPr="00412D29">
        <w:rPr>
          <w:rFonts w:ascii="Times New Roman" w:eastAsia="Times New Roman" w:hAnsi="Times New Roman" w:cs="Times New Roman"/>
          <w:b/>
          <w:bCs/>
        </w:rPr>
        <w:tab/>
        <w:t xml:space="preserve">NOSILAC DOZVOLE </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ab/>
      </w:r>
    </w:p>
    <w:p w:rsidR="005313CE" w:rsidRPr="00412D29" w:rsidRDefault="005313CE" w:rsidP="005313CE">
      <w:pPr>
        <w:autoSpaceDE w:val="0"/>
        <w:autoSpaceDN w:val="0"/>
        <w:adjustRightInd w:val="0"/>
        <w:spacing w:after="0" w:line="240" w:lineRule="auto"/>
        <w:jc w:val="both"/>
        <w:rPr>
          <w:rFonts w:ascii="Times New Roman" w:eastAsia="Times New Roman" w:hAnsi="Times New Roman" w:cs="Times New Roman"/>
          <w:color w:val="000000"/>
          <w:lang w:val="en-GB" w:eastAsia="en-GB"/>
        </w:rPr>
      </w:pPr>
      <w:r w:rsidRPr="00412D29">
        <w:rPr>
          <w:rFonts w:ascii="Times New Roman" w:eastAsia="Times New Roman" w:hAnsi="Times New Roman" w:cs="Times New Roman"/>
          <w:color w:val="000000"/>
          <w:lang w:val="en-GB" w:eastAsia="en-GB"/>
        </w:rPr>
        <w:t xml:space="preserve">Glosarij d.o.o. </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r w:rsidRPr="00412D29">
        <w:rPr>
          <w:rFonts w:ascii="Times New Roman" w:eastAsia="Times New Roman" w:hAnsi="Times New Roman" w:cs="Times New Roman"/>
        </w:rPr>
        <w:t xml:space="preserve">Vojislavljevića 76, 81 000 Podgorica, Crna Gora </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8. </w:t>
      </w:r>
      <w:r w:rsidRPr="00412D29">
        <w:rPr>
          <w:rFonts w:ascii="Times New Roman" w:eastAsia="Times New Roman" w:hAnsi="Times New Roman" w:cs="Times New Roman"/>
          <w:b/>
          <w:bCs/>
        </w:rPr>
        <w:tab/>
        <w:t>BROJ PRVE DOZVOLE/ OBNOVE DOZVOLE</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r w:rsidRPr="00412D29">
        <w:rPr>
          <w:rFonts w:ascii="Times New Roman" w:eastAsia="Times New Roman" w:hAnsi="Times New Roman" w:cs="Times New Roman"/>
          <w:bCs/>
        </w:rPr>
        <w:t>Lynparza</w:t>
      </w:r>
      <w:r w:rsidRPr="00412D29">
        <w:rPr>
          <w:rFonts w:ascii="Times New Roman" w:eastAsia="Times New Roman" w:hAnsi="Times New Roman" w:cs="Times New Roman"/>
          <w:bCs/>
          <w:vertAlign w:val="superscript"/>
        </w:rPr>
        <w:t>®</w:t>
      </w:r>
      <w:r w:rsidRPr="00412D29">
        <w:rPr>
          <w:rFonts w:ascii="Times New Roman" w:eastAsia="Times New Roman" w:hAnsi="Times New Roman" w:cs="Times New Roman"/>
          <w:lang w:val="sr-Latn-CS"/>
        </w:rPr>
        <w:t>, kapsula, tvrda,</w:t>
      </w:r>
      <w:r w:rsidR="00EB21E7">
        <w:rPr>
          <w:rFonts w:ascii="Times New Roman" w:eastAsia="Times New Roman" w:hAnsi="Times New Roman" w:cs="Times New Roman"/>
          <w:lang w:val="sr-Latn-CS"/>
        </w:rPr>
        <w:t xml:space="preserve"> 50 mg, boca, plastična, 448 (4x</w:t>
      </w:r>
      <w:bookmarkStart w:id="0" w:name="_GoBack"/>
      <w:bookmarkEnd w:id="0"/>
      <w:r w:rsidRPr="00412D29">
        <w:rPr>
          <w:rFonts w:ascii="Times New Roman" w:eastAsia="Times New Roman" w:hAnsi="Times New Roman" w:cs="Times New Roman"/>
          <w:lang w:val="sr-Latn-CS"/>
        </w:rPr>
        <w:t>112) kapsula, tvrdih:</w:t>
      </w:r>
      <w:r w:rsidR="00E236D0">
        <w:rPr>
          <w:rFonts w:ascii="Times New Roman" w:eastAsia="Times New Roman" w:hAnsi="Times New Roman" w:cs="Times New Roman"/>
          <w:lang w:val="sr-Latn-CS"/>
        </w:rPr>
        <w:t xml:space="preserve"> </w:t>
      </w:r>
      <w:r w:rsidR="00E236D0" w:rsidRPr="00E236D0">
        <w:rPr>
          <w:rFonts w:ascii="Times New Roman" w:eastAsia="Times New Roman" w:hAnsi="Times New Roman" w:cs="Times New Roman"/>
          <w:lang w:val="sr-Latn-CS"/>
        </w:rPr>
        <w:t>2030/17/401 - 6734</w:t>
      </w:r>
    </w:p>
    <w:p w:rsidR="0098427B" w:rsidRDefault="0098427B" w:rsidP="005313CE">
      <w:pPr>
        <w:tabs>
          <w:tab w:val="left" w:pos="540"/>
          <w:tab w:val="left" w:pos="569"/>
        </w:tabs>
        <w:spacing w:after="0" w:line="240" w:lineRule="auto"/>
        <w:jc w:val="both"/>
        <w:rPr>
          <w:rFonts w:ascii="Times New Roman" w:eastAsia="Times New Roman" w:hAnsi="Times New Roman" w:cs="Times New Roman"/>
          <w:b/>
          <w:bCs/>
        </w:rPr>
      </w:pPr>
    </w:p>
    <w:p w:rsidR="0098427B" w:rsidRDefault="0098427B" w:rsidP="005313CE">
      <w:pPr>
        <w:tabs>
          <w:tab w:val="left" w:pos="540"/>
          <w:tab w:val="left" w:pos="569"/>
        </w:tabs>
        <w:spacing w:after="0" w:line="240" w:lineRule="auto"/>
        <w:jc w:val="both"/>
        <w:rPr>
          <w:rFonts w:ascii="Times New Roman" w:eastAsia="Times New Roman" w:hAnsi="Times New Roman" w:cs="Times New Roman"/>
          <w:b/>
          <w:bCs/>
        </w:rPr>
      </w:pPr>
    </w:p>
    <w:p w:rsidR="0098427B" w:rsidRDefault="0098427B"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lastRenderedPageBreak/>
        <w:t xml:space="preserve">9. </w:t>
      </w:r>
      <w:r w:rsidRPr="00412D29">
        <w:rPr>
          <w:rFonts w:ascii="Times New Roman" w:eastAsia="Times New Roman" w:hAnsi="Times New Roman" w:cs="Times New Roman"/>
          <w:b/>
          <w:bCs/>
        </w:rPr>
        <w:tab/>
        <w:t>DATUM PRVE DOZVOLE/ DATUM OBNOVE DOZVOLE</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r w:rsidRPr="00412D29">
        <w:rPr>
          <w:rFonts w:ascii="Times New Roman" w:eastAsia="Times New Roman" w:hAnsi="Times New Roman" w:cs="Times New Roman"/>
          <w:bCs/>
        </w:rPr>
        <w:t>Lynparza</w:t>
      </w:r>
      <w:r w:rsidRPr="00412D29">
        <w:rPr>
          <w:rFonts w:ascii="Times New Roman" w:eastAsia="Times New Roman" w:hAnsi="Times New Roman" w:cs="Times New Roman"/>
          <w:bCs/>
          <w:vertAlign w:val="superscript"/>
        </w:rPr>
        <w:t>®</w:t>
      </w:r>
      <w:r w:rsidRPr="00412D29">
        <w:rPr>
          <w:rFonts w:ascii="Times New Roman" w:eastAsia="Times New Roman" w:hAnsi="Times New Roman" w:cs="Times New Roman"/>
          <w:lang w:val="sr-Latn-CS"/>
        </w:rPr>
        <w:t>, kapsula, tvrda,</w:t>
      </w:r>
      <w:r w:rsidR="00A15205">
        <w:rPr>
          <w:rFonts w:ascii="Times New Roman" w:eastAsia="Times New Roman" w:hAnsi="Times New Roman" w:cs="Times New Roman"/>
          <w:lang w:val="sr-Latn-CS"/>
        </w:rPr>
        <w:t xml:space="preserve"> 50 mg, boca, plastična, 448 (4x</w:t>
      </w:r>
      <w:r w:rsidRPr="00412D29">
        <w:rPr>
          <w:rFonts w:ascii="Times New Roman" w:eastAsia="Times New Roman" w:hAnsi="Times New Roman" w:cs="Times New Roman"/>
          <w:lang w:val="sr-Latn-CS"/>
        </w:rPr>
        <w:t>112) kapsula, tvrdih:</w:t>
      </w:r>
      <w:r w:rsidR="00E236D0">
        <w:rPr>
          <w:rFonts w:ascii="Times New Roman" w:eastAsia="Times New Roman" w:hAnsi="Times New Roman" w:cs="Times New Roman"/>
          <w:lang w:val="sr-Latn-CS"/>
        </w:rPr>
        <w:t xml:space="preserve"> 11.10.2017. godine</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Default="005313CE" w:rsidP="005313CE">
      <w:pPr>
        <w:tabs>
          <w:tab w:val="left" w:pos="540"/>
          <w:tab w:val="left" w:pos="569"/>
        </w:tabs>
        <w:spacing w:after="0" w:line="240" w:lineRule="auto"/>
        <w:jc w:val="both"/>
        <w:rPr>
          <w:rFonts w:ascii="Times New Roman" w:eastAsia="Times New Roman" w:hAnsi="Times New Roman" w:cs="Times New Roman"/>
          <w:b/>
          <w:bCs/>
        </w:rPr>
      </w:pPr>
      <w:r w:rsidRPr="00412D29">
        <w:rPr>
          <w:rFonts w:ascii="Times New Roman" w:eastAsia="Times New Roman" w:hAnsi="Times New Roman" w:cs="Times New Roman"/>
          <w:b/>
          <w:bCs/>
        </w:rPr>
        <w:t xml:space="preserve">10. </w:t>
      </w:r>
      <w:r w:rsidRPr="00412D29">
        <w:rPr>
          <w:rFonts w:ascii="Times New Roman" w:eastAsia="Times New Roman" w:hAnsi="Times New Roman" w:cs="Times New Roman"/>
          <w:b/>
          <w:bCs/>
        </w:rPr>
        <w:tab/>
        <w:t>DATUM POSLEDNJE REVIZIJE TEKSTA SAŽETKA OSNOVNIH KARAKTERISTIKA LIJEKA</w:t>
      </w:r>
    </w:p>
    <w:p w:rsidR="00E236D0" w:rsidRDefault="00E236D0" w:rsidP="005313CE">
      <w:pPr>
        <w:tabs>
          <w:tab w:val="left" w:pos="540"/>
          <w:tab w:val="left" w:pos="569"/>
        </w:tabs>
        <w:spacing w:after="0" w:line="240" w:lineRule="auto"/>
        <w:jc w:val="both"/>
        <w:rPr>
          <w:rFonts w:ascii="Times New Roman" w:eastAsia="Times New Roman" w:hAnsi="Times New Roman" w:cs="Times New Roman"/>
          <w:b/>
          <w:bCs/>
        </w:rPr>
      </w:pPr>
    </w:p>
    <w:p w:rsidR="00E236D0" w:rsidRPr="00E236D0" w:rsidRDefault="00E236D0" w:rsidP="005313CE">
      <w:pPr>
        <w:tabs>
          <w:tab w:val="left" w:pos="540"/>
          <w:tab w:val="left" w:pos="569"/>
        </w:tabs>
        <w:spacing w:after="0" w:line="240" w:lineRule="auto"/>
        <w:jc w:val="both"/>
        <w:rPr>
          <w:rFonts w:ascii="Times New Roman" w:eastAsia="Times New Roman" w:hAnsi="Times New Roman" w:cs="Times New Roman"/>
          <w:bCs/>
        </w:rPr>
      </w:pPr>
      <w:r w:rsidRPr="00E236D0">
        <w:rPr>
          <w:rFonts w:ascii="Times New Roman" w:eastAsia="Times New Roman" w:hAnsi="Times New Roman" w:cs="Times New Roman"/>
          <w:bCs/>
        </w:rPr>
        <w:t>Oktobar, 2017. godine</w:t>
      </w: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tabs>
          <w:tab w:val="left" w:pos="540"/>
          <w:tab w:val="left" w:pos="569"/>
        </w:tabs>
        <w:spacing w:after="0" w:line="240" w:lineRule="auto"/>
        <w:jc w:val="both"/>
        <w:rPr>
          <w:rFonts w:ascii="Times New Roman" w:eastAsia="Times New Roman" w:hAnsi="Times New Roman" w:cs="Times New Roman"/>
          <w:bCs/>
        </w:rPr>
      </w:pPr>
    </w:p>
    <w:p w:rsidR="005313CE" w:rsidRPr="00412D29" w:rsidRDefault="005313CE" w:rsidP="005313CE">
      <w:pPr>
        <w:spacing w:after="0" w:line="240" w:lineRule="auto"/>
        <w:jc w:val="both"/>
        <w:rPr>
          <w:rFonts w:ascii="Times New Roman" w:eastAsia="Times New Roman" w:hAnsi="Times New Roman" w:cs="Times New Roman"/>
          <w:lang w:val="pl-PL"/>
        </w:rPr>
      </w:pPr>
    </w:p>
    <w:p w:rsidR="009318B4" w:rsidRPr="00412D29" w:rsidRDefault="009318B4" w:rsidP="009318B4">
      <w:pPr>
        <w:rPr>
          <w:rFonts w:ascii="Times New Roman" w:hAnsi="Times New Roman" w:cs="Times New Roman"/>
        </w:rPr>
      </w:pPr>
    </w:p>
    <w:p w:rsidR="009318B4" w:rsidRPr="00412D29" w:rsidRDefault="00747C4B" w:rsidP="00747C4B">
      <w:pPr>
        <w:tabs>
          <w:tab w:val="left" w:pos="6150"/>
        </w:tabs>
        <w:rPr>
          <w:rFonts w:ascii="Times New Roman" w:hAnsi="Times New Roman" w:cs="Times New Roman"/>
        </w:rPr>
      </w:pPr>
      <w:r w:rsidRPr="00412D29">
        <w:rPr>
          <w:rFonts w:ascii="Times New Roman" w:hAnsi="Times New Roman" w:cs="Times New Roman"/>
        </w:rPr>
        <w:tab/>
      </w:r>
    </w:p>
    <w:p w:rsidR="009318B4" w:rsidRPr="00412D29" w:rsidRDefault="009318B4" w:rsidP="009318B4">
      <w:pPr>
        <w:rPr>
          <w:rFonts w:ascii="Times New Roman" w:hAnsi="Times New Roman" w:cs="Times New Roman"/>
        </w:rPr>
      </w:pPr>
    </w:p>
    <w:p w:rsidR="00F1527C" w:rsidRPr="00412D29" w:rsidRDefault="00F1527C" w:rsidP="009318B4">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rPr>
          <w:rFonts w:ascii="Times New Roman" w:hAnsi="Times New Roman" w:cs="Times New Roman"/>
        </w:rPr>
      </w:pPr>
    </w:p>
    <w:p w:rsidR="00F1527C" w:rsidRPr="00412D29" w:rsidRDefault="00F1527C" w:rsidP="00F1527C">
      <w:pPr>
        <w:tabs>
          <w:tab w:val="left" w:pos="2751"/>
        </w:tabs>
        <w:rPr>
          <w:rFonts w:ascii="Times New Roman" w:hAnsi="Times New Roman" w:cs="Times New Roman"/>
        </w:rPr>
      </w:pPr>
    </w:p>
    <w:p w:rsidR="00F1527C" w:rsidRPr="00412D29" w:rsidRDefault="00F1527C" w:rsidP="00F1527C">
      <w:pPr>
        <w:tabs>
          <w:tab w:val="left" w:pos="2751"/>
        </w:tabs>
        <w:rPr>
          <w:rFonts w:ascii="Times New Roman" w:hAnsi="Times New Roman" w:cs="Times New Roman"/>
        </w:rPr>
      </w:pPr>
    </w:p>
    <w:p w:rsidR="00F1527C" w:rsidRPr="00412D29" w:rsidRDefault="00F1527C" w:rsidP="00F1527C">
      <w:pPr>
        <w:tabs>
          <w:tab w:val="left" w:pos="2751"/>
        </w:tabs>
        <w:rPr>
          <w:rFonts w:ascii="Times New Roman" w:hAnsi="Times New Roman" w:cs="Times New Roman"/>
        </w:rPr>
      </w:pPr>
    </w:p>
    <w:p w:rsidR="009318B4" w:rsidRPr="00412D29" w:rsidRDefault="00F1527C" w:rsidP="00F1527C">
      <w:pPr>
        <w:tabs>
          <w:tab w:val="left" w:pos="2751"/>
        </w:tabs>
        <w:rPr>
          <w:rFonts w:ascii="Times New Roman" w:hAnsi="Times New Roman" w:cs="Times New Roman"/>
        </w:rPr>
      </w:pPr>
      <w:r w:rsidRPr="00412D29">
        <w:rPr>
          <w:rFonts w:ascii="Times New Roman" w:hAnsi="Times New Roman" w:cs="Times New Roman"/>
        </w:rPr>
        <w:tab/>
      </w:r>
    </w:p>
    <w:sectPr w:rsidR="009318B4" w:rsidRPr="00412D29" w:rsidSect="00B34AF2">
      <w:headerReference w:type="default" r:id="rId13"/>
      <w:footerReference w:type="default" r:id="rId14"/>
      <w:headerReference w:type="first" r:id="rId15"/>
      <w:footerReference w:type="first" r:id="rId16"/>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F1A" w:rsidRDefault="00DC2F1A" w:rsidP="00FF2B5A">
      <w:pPr>
        <w:spacing w:after="0" w:line="240" w:lineRule="auto"/>
      </w:pPr>
      <w:r>
        <w:separator/>
      </w:r>
    </w:p>
  </w:endnote>
  <w:endnote w:type="continuationSeparator" w:id="0">
    <w:p w:rsidR="00DC2F1A" w:rsidRDefault="00DC2F1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B6" w:rsidRPr="00F1527C" w:rsidRDefault="006C45B6"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6C45B6" w:rsidRPr="00F1527C" w:rsidRDefault="006C45B6"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6C45B6" w:rsidRPr="00F1527C" w:rsidRDefault="006C45B6"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6C45B6" w:rsidRPr="00F1527C" w:rsidRDefault="006C45B6"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6C45B6" w:rsidRPr="00F1527C" w:rsidRDefault="006C45B6"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6C45B6" w:rsidRPr="009318B4" w:rsidRDefault="006C45B6"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B21E7">
      <w:rPr>
        <w:rFonts w:ascii="Times New Roman" w:eastAsia="Times New Roman" w:hAnsi="Times New Roman" w:cs="Times New Roman"/>
        <w:noProof/>
        <w:sz w:val="20"/>
        <w:szCs w:val="20"/>
        <w:lang w:val="sr-Latn-ME"/>
      </w:rPr>
      <w:t>19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B21E7">
      <w:rPr>
        <w:rFonts w:ascii="Times New Roman" w:eastAsia="Times New Roman" w:hAnsi="Times New Roman" w:cs="Times New Roman"/>
        <w:noProof/>
        <w:sz w:val="20"/>
        <w:szCs w:val="20"/>
        <w:lang w:val="sr-Latn-ME"/>
      </w:rPr>
      <w:t>19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B6" w:rsidRPr="00F1527C" w:rsidRDefault="006C45B6"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6C45B6" w:rsidRPr="00F1527C" w:rsidRDefault="006C45B6"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6C45B6" w:rsidRPr="00F1527C" w:rsidRDefault="006C45B6"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6C45B6" w:rsidRPr="00F1527C" w:rsidRDefault="006C45B6"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6C45B6" w:rsidRPr="00F1527C" w:rsidRDefault="006C45B6"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6C45B6" w:rsidRPr="009318B4" w:rsidRDefault="006C45B6"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F1A" w:rsidRDefault="00DC2F1A" w:rsidP="00FF2B5A">
      <w:pPr>
        <w:spacing w:after="0" w:line="240" w:lineRule="auto"/>
      </w:pPr>
      <w:r>
        <w:separator/>
      </w:r>
    </w:p>
  </w:footnote>
  <w:footnote w:type="continuationSeparator" w:id="0">
    <w:p w:rsidR="00DC2F1A" w:rsidRDefault="00DC2F1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B6" w:rsidRDefault="006C45B6" w:rsidP="009318B4">
    <w:pPr>
      <w:pStyle w:val="Header"/>
      <w:rPr>
        <w:sz w:val="16"/>
        <w:szCs w:val="16"/>
      </w:rPr>
    </w:pPr>
  </w:p>
  <w:p w:rsidR="006C45B6" w:rsidRDefault="006C45B6"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6C45B6" w:rsidRDefault="006C4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B6" w:rsidRDefault="006C45B6" w:rsidP="009318B4">
    <w:pPr>
      <w:pStyle w:val="Header"/>
      <w:rPr>
        <w:sz w:val="16"/>
        <w:szCs w:val="16"/>
      </w:rPr>
    </w:pPr>
  </w:p>
  <w:p w:rsidR="006C45B6" w:rsidRDefault="006C45B6"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6C45B6" w:rsidRDefault="006C4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7"/>
  </w:num>
  <w:num w:numId="5">
    <w:abstractNumId w:val="4"/>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7AF5"/>
    <w:rsid w:val="000E6B21"/>
    <w:rsid w:val="00116FE6"/>
    <w:rsid w:val="002A564A"/>
    <w:rsid w:val="0038437D"/>
    <w:rsid w:val="00412D29"/>
    <w:rsid w:val="00461135"/>
    <w:rsid w:val="005313CE"/>
    <w:rsid w:val="006C45B6"/>
    <w:rsid w:val="00747C4B"/>
    <w:rsid w:val="007E4A09"/>
    <w:rsid w:val="00850E04"/>
    <w:rsid w:val="00883AF2"/>
    <w:rsid w:val="009318B4"/>
    <w:rsid w:val="00934541"/>
    <w:rsid w:val="00946739"/>
    <w:rsid w:val="0098427B"/>
    <w:rsid w:val="00A06058"/>
    <w:rsid w:val="00A15205"/>
    <w:rsid w:val="00B234CE"/>
    <w:rsid w:val="00B34AF2"/>
    <w:rsid w:val="00BA4DD8"/>
    <w:rsid w:val="00BC2ECA"/>
    <w:rsid w:val="00C4240B"/>
    <w:rsid w:val="00C7389C"/>
    <w:rsid w:val="00D45AFE"/>
    <w:rsid w:val="00DC2F1A"/>
    <w:rsid w:val="00E0627A"/>
    <w:rsid w:val="00E236D0"/>
    <w:rsid w:val="00EB21E7"/>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313CE"/>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5313CE"/>
    <w:rPr>
      <w:rFonts w:ascii="Arial" w:eastAsia="Times New Roman" w:hAnsi="Arial" w:cs="Arial"/>
      <w:i/>
      <w:iCs/>
      <w:color w:val="999999"/>
      <w:sz w:val="18"/>
      <w:szCs w:val="24"/>
    </w:rPr>
  </w:style>
  <w:style w:type="numbering" w:customStyle="1" w:styleId="NoList1">
    <w:name w:val="No List1"/>
    <w:next w:val="NoList"/>
    <w:uiPriority w:val="99"/>
    <w:semiHidden/>
    <w:unhideWhenUsed/>
    <w:rsid w:val="005313CE"/>
  </w:style>
  <w:style w:type="character" w:styleId="PageNumber">
    <w:name w:val="page number"/>
    <w:basedOn w:val="DefaultParagraphFont"/>
    <w:rsid w:val="005313CE"/>
  </w:style>
  <w:style w:type="numbering" w:styleId="111111">
    <w:name w:val="Outline List 2"/>
    <w:basedOn w:val="NoList"/>
    <w:rsid w:val="005313CE"/>
    <w:pPr>
      <w:numPr>
        <w:numId w:val="3"/>
      </w:numPr>
    </w:pPr>
  </w:style>
  <w:style w:type="character" w:styleId="CommentReference">
    <w:name w:val="annotation reference"/>
    <w:semiHidden/>
    <w:rsid w:val="005313CE"/>
    <w:rPr>
      <w:sz w:val="16"/>
      <w:szCs w:val="16"/>
    </w:rPr>
  </w:style>
  <w:style w:type="paragraph" w:styleId="CommentText">
    <w:name w:val="annotation text"/>
    <w:basedOn w:val="Normal"/>
    <w:link w:val="CommentTextChar"/>
    <w:semiHidden/>
    <w:rsid w:val="005313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313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313CE"/>
    <w:rPr>
      <w:b/>
      <w:bCs/>
    </w:rPr>
  </w:style>
  <w:style w:type="character" w:customStyle="1" w:styleId="CommentSubjectChar">
    <w:name w:val="Comment Subject Char"/>
    <w:basedOn w:val="CommentTextChar"/>
    <w:link w:val="CommentSubject"/>
    <w:semiHidden/>
    <w:rsid w:val="005313C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313C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313CE"/>
    <w:rPr>
      <w:rFonts w:ascii="Tahoma" w:eastAsia="Times New Roman" w:hAnsi="Tahoma" w:cs="Tahoma"/>
      <w:sz w:val="16"/>
      <w:szCs w:val="16"/>
    </w:rPr>
  </w:style>
  <w:style w:type="paragraph" w:styleId="NoSpacing">
    <w:name w:val="No Spacing"/>
    <w:uiPriority w:val="1"/>
    <w:qFormat/>
    <w:rsid w:val="005313CE"/>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313CE"/>
    <w:pPr>
      <w:suppressAutoHyphens/>
      <w:spacing w:after="120" w:line="240" w:lineRule="auto"/>
    </w:pPr>
    <w:rPr>
      <w:rFonts w:ascii="Times New Roman" w:eastAsia="MS Mincho" w:hAnsi="Times New Roman" w:cs="Times New Roman"/>
      <w:szCs w:val="24"/>
      <w:lang w:eastAsia="ar-SA"/>
    </w:rPr>
  </w:style>
  <w:style w:type="character" w:customStyle="1" w:styleId="BodyTextChar">
    <w:name w:val="Body Text Char"/>
    <w:basedOn w:val="DefaultParagraphFont"/>
    <w:link w:val="BodyText"/>
    <w:rsid w:val="005313CE"/>
    <w:rPr>
      <w:rFonts w:ascii="Times New Roman" w:eastAsia="MS Mincho" w:hAnsi="Times New Roman" w:cs="Times New Roman"/>
      <w:szCs w:val="24"/>
      <w:lang w:eastAsia="ar-SA"/>
    </w:rPr>
  </w:style>
  <w:style w:type="paragraph" w:customStyle="1" w:styleId="a">
    <w:name w:val="Садржај табеле"/>
    <w:basedOn w:val="Normal"/>
    <w:rsid w:val="005313CE"/>
    <w:pPr>
      <w:suppressLineNumbers/>
      <w:suppressAutoHyphens/>
      <w:spacing w:after="0" w:line="240" w:lineRule="auto"/>
    </w:pPr>
    <w:rPr>
      <w:rFonts w:ascii="Times New Roman" w:eastAsia="MS Mincho" w:hAnsi="Times New Roman" w:cs="Times New Roman"/>
      <w:szCs w:val="24"/>
      <w:lang w:eastAsia="ar-SA"/>
    </w:rPr>
  </w:style>
  <w:style w:type="paragraph" w:customStyle="1" w:styleId="Default">
    <w:name w:val="Default"/>
    <w:rsid w:val="005313CE"/>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DE474-D25B-4695-89EB-DDBB824C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19</Pages>
  <Words>6188</Words>
  <Characters>35274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8</cp:revision>
  <dcterms:created xsi:type="dcterms:W3CDTF">2017-12-28T12:16:00Z</dcterms:created>
  <dcterms:modified xsi:type="dcterms:W3CDTF">2018-01-10T10:52:00Z</dcterms:modified>
</cp:coreProperties>
</file>