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D45" w:rsidRDefault="008F3D45" w:rsidP="008F3D45">
      <w:pPr>
        <w:spacing w:before="1000"/>
        <w:rPr>
          <w:sz w:val="22"/>
          <w:szCs w:val="22"/>
        </w:rPr>
      </w:pPr>
    </w:p>
    <w:p w:rsidR="008F3D45" w:rsidRPr="008F3D45" w:rsidRDefault="008F3D45" w:rsidP="008F3D45">
      <w:pPr>
        <w:spacing w:before="1000"/>
        <w:rPr>
          <w:sz w:val="22"/>
          <w:szCs w:val="22"/>
        </w:rPr>
      </w:pPr>
    </w:p>
    <w:tbl>
      <w:tblPr>
        <w:tblW w:w="9360" w:type="dxa"/>
        <w:jc w:val="center"/>
        <w:tblLayout w:type="fixed"/>
        <w:tblLook w:val="0000" w:firstRow="0" w:lastRow="0" w:firstColumn="0" w:lastColumn="0" w:noHBand="0" w:noVBand="0"/>
      </w:tblPr>
      <w:tblGrid>
        <w:gridCol w:w="2160"/>
        <w:gridCol w:w="7200"/>
      </w:tblGrid>
      <w:tr w:rsidR="008F3D45" w:rsidRPr="008F3D45" w:rsidTr="009E1912">
        <w:trPr>
          <w:trHeight w:val="530"/>
          <w:jc w:val="center"/>
        </w:trPr>
        <w:tc>
          <w:tcPr>
            <w:tcW w:w="9360" w:type="dxa"/>
            <w:gridSpan w:val="2"/>
            <w:vAlign w:val="center"/>
          </w:tcPr>
          <w:p w:rsidR="008F3D45" w:rsidRPr="008F3D45" w:rsidRDefault="008F3D45" w:rsidP="009E1912">
            <w:pPr>
              <w:jc w:val="center"/>
              <w:rPr>
                <w:b/>
                <w:bCs/>
                <w:i/>
                <w:iCs/>
                <w:sz w:val="22"/>
                <w:szCs w:val="22"/>
                <w:u w:val="single"/>
              </w:rPr>
            </w:pPr>
            <w:r w:rsidRPr="008F3D45">
              <w:rPr>
                <w:b/>
                <w:bCs/>
                <w:i/>
                <w:iCs/>
                <w:sz w:val="22"/>
                <w:szCs w:val="22"/>
                <w:u w:val="single"/>
              </w:rPr>
              <w:t>SAŽETAK KARAKTERISTIKA LIJEKA</w:t>
            </w:r>
          </w:p>
        </w:tc>
      </w:tr>
      <w:tr w:rsidR="008F3D45" w:rsidRPr="008F3D45" w:rsidTr="009E1912">
        <w:trPr>
          <w:trHeight w:val="1969"/>
          <w:jc w:val="center"/>
        </w:trPr>
        <w:tc>
          <w:tcPr>
            <w:tcW w:w="9360" w:type="dxa"/>
            <w:gridSpan w:val="2"/>
            <w:vAlign w:val="bottom"/>
          </w:tcPr>
          <w:p w:rsidR="008F3D45" w:rsidRPr="008F3D45" w:rsidRDefault="008F3D45" w:rsidP="009E1912">
            <w:pPr>
              <w:spacing w:after="40"/>
              <w:jc w:val="center"/>
              <w:rPr>
                <w:b/>
                <w:bCs/>
                <w:sz w:val="22"/>
                <w:szCs w:val="22"/>
              </w:rPr>
            </w:pPr>
            <w:r w:rsidRPr="008F3D45">
              <w:rPr>
                <w:b/>
                <w:bCs/>
                <w:sz w:val="22"/>
                <w:szCs w:val="22"/>
              </w:rPr>
              <w:t xml:space="preserve">Trixin®, film tableta, 500 mg, </w:t>
            </w:r>
          </w:p>
          <w:p w:rsidR="008F3D45" w:rsidRPr="008F3D45" w:rsidRDefault="008F3D45" w:rsidP="009E1912">
            <w:pPr>
              <w:spacing w:after="40"/>
              <w:jc w:val="center"/>
              <w:rPr>
                <w:b/>
                <w:bCs/>
                <w:sz w:val="22"/>
                <w:szCs w:val="22"/>
                <w:highlight w:val="cyan"/>
                <w:u w:val="single"/>
              </w:rPr>
            </w:pPr>
            <w:r w:rsidRPr="008F3D45">
              <w:rPr>
                <w:b/>
                <w:bCs/>
                <w:sz w:val="22"/>
                <w:szCs w:val="22"/>
              </w:rPr>
              <w:t>blister, 50 tableta (5x10)</w:t>
            </w:r>
          </w:p>
        </w:tc>
      </w:tr>
      <w:tr w:rsidR="008F3D45" w:rsidRPr="008F3D45" w:rsidTr="009E1912">
        <w:trPr>
          <w:trHeight w:val="1225"/>
          <w:jc w:val="center"/>
        </w:trPr>
        <w:tc>
          <w:tcPr>
            <w:tcW w:w="9360" w:type="dxa"/>
            <w:gridSpan w:val="2"/>
          </w:tcPr>
          <w:p w:rsidR="008F3D45" w:rsidRPr="008F3D45" w:rsidRDefault="008F3D45" w:rsidP="009E1912">
            <w:pPr>
              <w:pStyle w:val="Heading2"/>
              <w:rPr>
                <w:rFonts w:ascii="Times New Roman" w:hAnsi="Times New Roman" w:cs="Times New Roman"/>
                <w:color w:val="808080"/>
                <w:sz w:val="22"/>
                <w:szCs w:val="22"/>
                <w:highlight w:val="cyan"/>
              </w:rPr>
            </w:pPr>
          </w:p>
        </w:tc>
      </w:tr>
      <w:tr w:rsidR="008F3D45" w:rsidRPr="008F3D45" w:rsidTr="009E1912">
        <w:trPr>
          <w:jc w:val="center"/>
        </w:trPr>
        <w:tc>
          <w:tcPr>
            <w:tcW w:w="2160" w:type="dxa"/>
            <w:vAlign w:val="bottom"/>
          </w:tcPr>
          <w:p w:rsidR="008F3D45" w:rsidRPr="008F3D45" w:rsidRDefault="008F3D45" w:rsidP="009E1912">
            <w:pPr>
              <w:spacing w:before="200"/>
              <w:jc w:val="right"/>
              <w:rPr>
                <w:sz w:val="22"/>
                <w:szCs w:val="22"/>
              </w:rPr>
            </w:pPr>
            <w:r w:rsidRPr="008F3D45">
              <w:rPr>
                <w:sz w:val="22"/>
                <w:szCs w:val="22"/>
              </w:rPr>
              <w:t>Proizvođač:</w:t>
            </w:r>
          </w:p>
        </w:tc>
        <w:tc>
          <w:tcPr>
            <w:tcW w:w="7200" w:type="dxa"/>
          </w:tcPr>
          <w:p w:rsidR="008F3D45" w:rsidRPr="008F3D45" w:rsidRDefault="008F3D45" w:rsidP="009E1912">
            <w:pPr>
              <w:spacing w:before="200"/>
              <w:ind w:left="72" w:hanging="72"/>
              <w:rPr>
                <w:b/>
                <w:bCs/>
                <w:sz w:val="22"/>
                <w:szCs w:val="22"/>
              </w:rPr>
            </w:pPr>
            <w:r w:rsidRPr="008F3D45">
              <w:rPr>
                <w:b/>
                <w:bCs/>
                <w:sz w:val="22"/>
                <w:szCs w:val="22"/>
              </w:rPr>
              <w:t>Pliva Hrvatska d.o.o.</w:t>
            </w:r>
          </w:p>
        </w:tc>
      </w:tr>
      <w:tr w:rsidR="008F3D45" w:rsidRPr="008F3D45" w:rsidTr="009E1912">
        <w:trPr>
          <w:jc w:val="center"/>
        </w:trPr>
        <w:tc>
          <w:tcPr>
            <w:tcW w:w="2160" w:type="dxa"/>
            <w:vAlign w:val="bottom"/>
          </w:tcPr>
          <w:p w:rsidR="008F3D45" w:rsidRPr="008F3D45" w:rsidRDefault="008F3D45" w:rsidP="009E1912">
            <w:pPr>
              <w:spacing w:before="200"/>
              <w:jc w:val="right"/>
              <w:rPr>
                <w:sz w:val="22"/>
                <w:szCs w:val="22"/>
              </w:rPr>
            </w:pPr>
            <w:r w:rsidRPr="008F3D45">
              <w:rPr>
                <w:sz w:val="22"/>
                <w:szCs w:val="22"/>
              </w:rPr>
              <w:t>Adresa:</w:t>
            </w:r>
          </w:p>
        </w:tc>
        <w:tc>
          <w:tcPr>
            <w:tcW w:w="7200" w:type="dxa"/>
          </w:tcPr>
          <w:p w:rsidR="008F3D45" w:rsidRPr="008F3D45" w:rsidRDefault="008F3D45" w:rsidP="009E1912">
            <w:pPr>
              <w:spacing w:before="200"/>
              <w:ind w:left="72" w:hanging="72"/>
              <w:rPr>
                <w:b/>
                <w:bCs/>
                <w:sz w:val="22"/>
                <w:szCs w:val="22"/>
              </w:rPr>
            </w:pPr>
            <w:r w:rsidRPr="008F3D45">
              <w:rPr>
                <w:b/>
                <w:bCs/>
                <w:sz w:val="22"/>
                <w:szCs w:val="22"/>
              </w:rPr>
              <w:t>Prilaz Baruna Filipovića 25, 10 000 Zagreb, Hrvatska</w:t>
            </w:r>
          </w:p>
        </w:tc>
      </w:tr>
      <w:tr w:rsidR="008F3D45" w:rsidRPr="008F3D45" w:rsidTr="009E1912">
        <w:trPr>
          <w:jc w:val="center"/>
        </w:trPr>
        <w:tc>
          <w:tcPr>
            <w:tcW w:w="2160" w:type="dxa"/>
            <w:vAlign w:val="bottom"/>
          </w:tcPr>
          <w:p w:rsidR="008F3D45" w:rsidRPr="008F3D45" w:rsidRDefault="008F3D45" w:rsidP="009E1912">
            <w:pPr>
              <w:spacing w:before="200"/>
              <w:jc w:val="right"/>
              <w:rPr>
                <w:sz w:val="22"/>
                <w:szCs w:val="22"/>
              </w:rPr>
            </w:pPr>
            <w:r w:rsidRPr="008F3D45">
              <w:rPr>
                <w:sz w:val="22"/>
                <w:szCs w:val="22"/>
              </w:rPr>
              <w:t>Podnosilac zahtjeva:</w:t>
            </w:r>
          </w:p>
        </w:tc>
        <w:tc>
          <w:tcPr>
            <w:tcW w:w="7200" w:type="dxa"/>
          </w:tcPr>
          <w:p w:rsidR="008F3D45" w:rsidRPr="008F3D45" w:rsidRDefault="008F3D45" w:rsidP="009E1912">
            <w:pPr>
              <w:rPr>
                <w:b/>
                <w:bCs/>
                <w:sz w:val="22"/>
                <w:szCs w:val="22"/>
              </w:rPr>
            </w:pPr>
          </w:p>
          <w:p w:rsidR="008F3D45" w:rsidRPr="008F3D45" w:rsidRDefault="001917D6" w:rsidP="009E1912">
            <w:pPr>
              <w:rPr>
                <w:sz w:val="22"/>
                <w:szCs w:val="22"/>
              </w:rPr>
            </w:pPr>
            <w:r w:rsidRPr="001917D6">
              <w:rPr>
                <w:b/>
                <w:bCs/>
                <w:sz w:val="22"/>
                <w:szCs w:val="22"/>
              </w:rPr>
              <w:t>Evropa Lek Pharma d.o.o. Podgorica</w:t>
            </w:r>
          </w:p>
        </w:tc>
      </w:tr>
      <w:tr w:rsidR="008F3D45" w:rsidRPr="008F3D45" w:rsidTr="009E1912">
        <w:trPr>
          <w:jc w:val="center"/>
        </w:trPr>
        <w:tc>
          <w:tcPr>
            <w:tcW w:w="2160" w:type="dxa"/>
            <w:vAlign w:val="bottom"/>
          </w:tcPr>
          <w:p w:rsidR="008F3D45" w:rsidRPr="008F3D45" w:rsidRDefault="008F3D45" w:rsidP="009E1912">
            <w:pPr>
              <w:spacing w:before="200"/>
              <w:jc w:val="right"/>
              <w:rPr>
                <w:sz w:val="22"/>
                <w:szCs w:val="22"/>
              </w:rPr>
            </w:pPr>
            <w:r w:rsidRPr="008F3D45">
              <w:rPr>
                <w:sz w:val="22"/>
                <w:szCs w:val="22"/>
              </w:rPr>
              <w:t>Adresa:</w:t>
            </w:r>
          </w:p>
        </w:tc>
        <w:tc>
          <w:tcPr>
            <w:tcW w:w="7200" w:type="dxa"/>
          </w:tcPr>
          <w:p w:rsidR="008F3D45" w:rsidRPr="008F3D45" w:rsidRDefault="008F3D45" w:rsidP="009E1912">
            <w:pPr>
              <w:rPr>
                <w:b/>
                <w:bCs/>
                <w:sz w:val="22"/>
                <w:szCs w:val="22"/>
              </w:rPr>
            </w:pPr>
            <w:r w:rsidRPr="008F3D45">
              <w:rPr>
                <w:b/>
                <w:bCs/>
                <w:sz w:val="22"/>
                <w:szCs w:val="22"/>
              </w:rPr>
              <w:t xml:space="preserve">                                   </w:t>
            </w:r>
          </w:p>
          <w:p w:rsidR="008F3D45" w:rsidRPr="008F3D45" w:rsidRDefault="001917D6" w:rsidP="009E1912">
            <w:pPr>
              <w:rPr>
                <w:b/>
                <w:sz w:val="22"/>
                <w:szCs w:val="22"/>
              </w:rPr>
            </w:pPr>
            <w:r w:rsidRPr="001917D6">
              <w:rPr>
                <w:b/>
                <w:sz w:val="22"/>
                <w:szCs w:val="22"/>
              </w:rPr>
              <w:t>Kritskog odreda 4/1, 81000 Podgorica, Crna Gora</w:t>
            </w:r>
          </w:p>
        </w:tc>
      </w:tr>
    </w:tbl>
    <w:p w:rsidR="008F3D45" w:rsidRPr="008F3D45" w:rsidRDefault="008F3D45" w:rsidP="008F3D45">
      <w:pPr>
        <w:pStyle w:val="Header"/>
        <w:tabs>
          <w:tab w:val="left" w:pos="284"/>
        </w:tabs>
        <w:rPr>
          <w:sz w:val="22"/>
          <w:szCs w:val="22"/>
        </w:rPr>
      </w:pPr>
    </w:p>
    <w:p w:rsidR="008F3D45" w:rsidRPr="008F3D45" w:rsidRDefault="008F3D45" w:rsidP="008F3D45">
      <w:pPr>
        <w:pStyle w:val="Header"/>
        <w:tabs>
          <w:tab w:val="left" w:pos="284"/>
        </w:tabs>
        <w:spacing w:before="400"/>
        <w:rPr>
          <w:b/>
          <w:bCs/>
          <w:sz w:val="22"/>
          <w:szCs w:val="22"/>
        </w:rPr>
      </w:pPr>
      <w:r w:rsidRPr="008F3D45">
        <w:rPr>
          <w:sz w:val="22"/>
          <w:szCs w:val="22"/>
        </w:rPr>
        <w:br w:type="page"/>
      </w:r>
    </w:p>
    <w:tbl>
      <w:tblPr>
        <w:tblW w:w="10188" w:type="dxa"/>
        <w:tblLayout w:type="fixed"/>
        <w:tblLook w:val="0000" w:firstRow="0" w:lastRow="0" w:firstColumn="0" w:lastColumn="0" w:noHBand="0" w:noVBand="0"/>
      </w:tblPr>
      <w:tblGrid>
        <w:gridCol w:w="828"/>
        <w:gridCol w:w="360"/>
        <w:gridCol w:w="1620"/>
        <w:gridCol w:w="7380"/>
      </w:tblGrid>
      <w:tr w:rsidR="008F3D45" w:rsidRPr="008F3D45" w:rsidTr="009E1912">
        <w:trPr>
          <w:trHeight w:val="284"/>
        </w:trPr>
        <w:tc>
          <w:tcPr>
            <w:tcW w:w="10188" w:type="dxa"/>
            <w:gridSpan w:val="4"/>
            <w:shd w:val="clear" w:color="auto" w:fill="E0E0E0"/>
            <w:vAlign w:val="center"/>
          </w:tcPr>
          <w:p w:rsidR="008F3D45" w:rsidRPr="008F3D45" w:rsidRDefault="008F3D45" w:rsidP="008F3D45">
            <w:pPr>
              <w:pStyle w:val="Header"/>
              <w:numPr>
                <w:ilvl w:val="0"/>
                <w:numId w:val="36"/>
              </w:numPr>
              <w:tabs>
                <w:tab w:val="clear" w:pos="4320"/>
                <w:tab w:val="clear" w:pos="8640"/>
                <w:tab w:val="left" w:pos="284"/>
              </w:tabs>
              <w:jc w:val="both"/>
              <w:rPr>
                <w:b/>
                <w:bCs/>
                <w:sz w:val="22"/>
                <w:szCs w:val="22"/>
              </w:rPr>
            </w:pPr>
            <w:r w:rsidRPr="008F3D45">
              <w:rPr>
                <w:b/>
                <w:bCs/>
                <w:sz w:val="22"/>
                <w:szCs w:val="22"/>
              </w:rPr>
              <w:lastRenderedPageBreak/>
              <w:t xml:space="preserve">IME LIJEKA </w:t>
            </w:r>
          </w:p>
        </w:tc>
      </w:tr>
      <w:tr w:rsidR="008F3D45" w:rsidRPr="008F3D45" w:rsidTr="009E1912">
        <w:trPr>
          <w:trHeight w:val="525"/>
        </w:trPr>
        <w:tc>
          <w:tcPr>
            <w:tcW w:w="10188" w:type="dxa"/>
            <w:gridSpan w:val="4"/>
            <w:vAlign w:val="center"/>
          </w:tcPr>
          <w:p w:rsidR="008F3D45" w:rsidRPr="008F3D45" w:rsidRDefault="008F3D45" w:rsidP="009E1912">
            <w:pPr>
              <w:pStyle w:val="Header"/>
              <w:tabs>
                <w:tab w:val="left" w:pos="284"/>
              </w:tabs>
              <w:rPr>
                <w:sz w:val="22"/>
                <w:szCs w:val="22"/>
              </w:rPr>
            </w:pPr>
            <w:r w:rsidRPr="008F3D45">
              <w:rPr>
                <w:b/>
                <w:sz w:val="22"/>
                <w:szCs w:val="22"/>
              </w:rPr>
              <w:t>Trixin®</w:t>
            </w:r>
            <w:r w:rsidRPr="008F3D45">
              <w:rPr>
                <w:sz w:val="22"/>
                <w:szCs w:val="22"/>
              </w:rPr>
              <w:t>, film tableta, 500 mg</w:t>
            </w:r>
          </w:p>
        </w:tc>
      </w:tr>
      <w:tr w:rsidR="008F3D45" w:rsidRPr="008F3D45" w:rsidTr="009E1912">
        <w:tc>
          <w:tcPr>
            <w:tcW w:w="828" w:type="dxa"/>
          </w:tcPr>
          <w:p w:rsidR="008F3D45" w:rsidRPr="008F3D45" w:rsidRDefault="008F3D45" w:rsidP="009E1912">
            <w:pPr>
              <w:pStyle w:val="Header"/>
              <w:tabs>
                <w:tab w:val="left" w:pos="284"/>
              </w:tabs>
              <w:rPr>
                <w:sz w:val="22"/>
                <w:szCs w:val="22"/>
              </w:rPr>
            </w:pPr>
            <w:r w:rsidRPr="008F3D45">
              <w:rPr>
                <w:sz w:val="22"/>
                <w:szCs w:val="22"/>
              </w:rPr>
              <w:t>INN:</w:t>
            </w:r>
          </w:p>
        </w:tc>
        <w:tc>
          <w:tcPr>
            <w:tcW w:w="9360" w:type="dxa"/>
            <w:gridSpan w:val="3"/>
            <w:vAlign w:val="center"/>
          </w:tcPr>
          <w:p w:rsidR="008F3D45" w:rsidRPr="008F3D45" w:rsidRDefault="008F3D45" w:rsidP="009E1912">
            <w:pPr>
              <w:pStyle w:val="Header"/>
              <w:tabs>
                <w:tab w:val="left" w:pos="284"/>
              </w:tabs>
              <w:rPr>
                <w:sz w:val="22"/>
                <w:szCs w:val="22"/>
              </w:rPr>
            </w:pPr>
            <w:r w:rsidRPr="008F3D45">
              <w:rPr>
                <w:sz w:val="22"/>
                <w:szCs w:val="22"/>
              </w:rPr>
              <w:t>mikofenolat mofetil</w:t>
            </w:r>
          </w:p>
        </w:tc>
      </w:tr>
      <w:tr w:rsidR="008F3D45" w:rsidRPr="008F3D45" w:rsidTr="009E1912">
        <w:tc>
          <w:tcPr>
            <w:tcW w:w="10188" w:type="dxa"/>
            <w:gridSpan w:val="4"/>
          </w:tcPr>
          <w:p w:rsidR="008F3D45" w:rsidRPr="008F3D45" w:rsidRDefault="008F3D45" w:rsidP="009E1912">
            <w:pPr>
              <w:pStyle w:val="Header"/>
              <w:tabs>
                <w:tab w:val="left" w:pos="284"/>
              </w:tabs>
              <w:rPr>
                <w:sz w:val="22"/>
                <w:szCs w:val="22"/>
              </w:rPr>
            </w:pPr>
          </w:p>
        </w:tc>
      </w:tr>
      <w:tr w:rsidR="008F3D45" w:rsidRPr="008F3D45" w:rsidTr="009E1912">
        <w:tc>
          <w:tcPr>
            <w:tcW w:w="10188" w:type="dxa"/>
            <w:gridSpan w:val="4"/>
            <w:shd w:val="clear" w:color="auto" w:fill="E0E0E0"/>
            <w:vAlign w:val="center"/>
          </w:tcPr>
          <w:p w:rsidR="008F3D45" w:rsidRPr="008F3D45" w:rsidRDefault="008F3D45" w:rsidP="009E1912">
            <w:pPr>
              <w:pStyle w:val="Header"/>
              <w:tabs>
                <w:tab w:val="left" w:pos="284"/>
              </w:tabs>
              <w:rPr>
                <w:b/>
                <w:bCs/>
                <w:sz w:val="22"/>
                <w:szCs w:val="22"/>
              </w:rPr>
            </w:pPr>
            <w:r w:rsidRPr="008F3D45">
              <w:rPr>
                <w:b/>
                <w:bCs/>
                <w:sz w:val="22"/>
                <w:szCs w:val="22"/>
              </w:rPr>
              <w:t>2. KVALITATIVNI I KVANTITATIVNI SASTAV</w:t>
            </w:r>
          </w:p>
        </w:tc>
      </w:tr>
      <w:tr w:rsidR="008F3D45" w:rsidRPr="008F3D45" w:rsidTr="009E1912">
        <w:trPr>
          <w:trHeight w:val="1145"/>
        </w:trPr>
        <w:tc>
          <w:tcPr>
            <w:tcW w:w="10188" w:type="dxa"/>
            <w:gridSpan w:val="4"/>
            <w:vAlign w:val="center"/>
          </w:tcPr>
          <w:p w:rsidR="008F3D45" w:rsidRPr="008F3D45" w:rsidRDefault="008F3D45" w:rsidP="009E1912">
            <w:pPr>
              <w:rPr>
                <w:sz w:val="22"/>
                <w:szCs w:val="22"/>
              </w:rPr>
            </w:pPr>
            <w:r w:rsidRPr="008F3D45">
              <w:rPr>
                <w:sz w:val="22"/>
                <w:szCs w:val="22"/>
              </w:rPr>
              <w:t xml:space="preserve">Svaka tableta sadrži 500 mg mikofenolat mofetila. </w:t>
            </w:r>
          </w:p>
          <w:p w:rsidR="008F3D45" w:rsidRPr="008F3D45" w:rsidRDefault="008F3D45" w:rsidP="009E1912">
            <w:pPr>
              <w:rPr>
                <w:sz w:val="22"/>
                <w:szCs w:val="22"/>
              </w:rPr>
            </w:pPr>
            <w:r w:rsidRPr="008F3D45">
              <w:rPr>
                <w:sz w:val="22"/>
                <w:szCs w:val="22"/>
              </w:rPr>
              <w:t>Za kompletnu listu pomoćnih supstanci vidi dio 6.1.</w:t>
            </w:r>
          </w:p>
          <w:p w:rsidR="008F3D45" w:rsidRPr="008F3D45" w:rsidRDefault="008F3D45" w:rsidP="009E1912">
            <w:pPr>
              <w:pStyle w:val="Header"/>
              <w:tabs>
                <w:tab w:val="left" w:pos="284"/>
              </w:tabs>
              <w:rPr>
                <w:sz w:val="22"/>
                <w:szCs w:val="22"/>
              </w:rPr>
            </w:pPr>
          </w:p>
        </w:tc>
      </w:tr>
      <w:tr w:rsidR="008F3D45" w:rsidRPr="008F3D45" w:rsidTr="009E1912">
        <w:tc>
          <w:tcPr>
            <w:tcW w:w="10188" w:type="dxa"/>
            <w:gridSpan w:val="4"/>
            <w:shd w:val="clear" w:color="auto" w:fill="E0E0E0"/>
            <w:vAlign w:val="center"/>
          </w:tcPr>
          <w:p w:rsidR="008F3D45" w:rsidRPr="008F3D45" w:rsidRDefault="008F3D45" w:rsidP="009E1912">
            <w:pPr>
              <w:pStyle w:val="Header"/>
              <w:tabs>
                <w:tab w:val="left" w:pos="284"/>
              </w:tabs>
              <w:rPr>
                <w:b/>
                <w:bCs/>
                <w:sz w:val="22"/>
                <w:szCs w:val="22"/>
              </w:rPr>
            </w:pPr>
            <w:r w:rsidRPr="008F3D45">
              <w:rPr>
                <w:b/>
                <w:bCs/>
                <w:sz w:val="22"/>
                <w:szCs w:val="22"/>
              </w:rPr>
              <w:t>3. FARMACEUTSKI OBLIK</w:t>
            </w:r>
          </w:p>
        </w:tc>
      </w:tr>
      <w:tr w:rsidR="008F3D45" w:rsidRPr="008F3D45" w:rsidTr="009E1912">
        <w:trPr>
          <w:trHeight w:val="1145"/>
        </w:trPr>
        <w:tc>
          <w:tcPr>
            <w:tcW w:w="10188" w:type="dxa"/>
            <w:gridSpan w:val="4"/>
            <w:vAlign w:val="center"/>
          </w:tcPr>
          <w:p w:rsidR="008F3D45" w:rsidRPr="008F3D45" w:rsidRDefault="008F3D45" w:rsidP="009E1912">
            <w:pPr>
              <w:rPr>
                <w:sz w:val="22"/>
                <w:szCs w:val="22"/>
              </w:rPr>
            </w:pPr>
            <w:r w:rsidRPr="008F3D45">
              <w:rPr>
                <w:sz w:val="22"/>
                <w:szCs w:val="22"/>
              </w:rPr>
              <w:t xml:space="preserve">Film tablete. </w:t>
            </w:r>
          </w:p>
          <w:p w:rsidR="008F3D45" w:rsidRPr="008F3D45" w:rsidRDefault="008F3D45" w:rsidP="009E1912">
            <w:pPr>
              <w:autoSpaceDE w:val="0"/>
              <w:autoSpaceDN w:val="0"/>
              <w:adjustRightInd w:val="0"/>
              <w:rPr>
                <w:sz w:val="22"/>
                <w:szCs w:val="22"/>
                <w:lang w:val="hr-HR" w:eastAsia="de-AT"/>
              </w:rPr>
            </w:pPr>
            <w:r w:rsidRPr="008F3D45">
              <w:rPr>
                <w:sz w:val="22"/>
                <w:szCs w:val="22"/>
                <w:lang w:eastAsia="de-AT"/>
              </w:rPr>
              <w:t xml:space="preserve">Trixin tablete: </w:t>
            </w:r>
            <w:r w:rsidRPr="008F3D45">
              <w:rPr>
                <w:sz w:val="22"/>
                <w:szCs w:val="22"/>
                <w:lang w:val="hr-HR" w:eastAsia="de-AT"/>
              </w:rPr>
              <w:t>Svijetlo ljubičaste tablete, ovalnog oblika, sa oznakom "M 500" na jednoj strani i bez oznake na drugoj strani.</w:t>
            </w:r>
          </w:p>
          <w:p w:rsidR="008F3D45" w:rsidRPr="008F3D45" w:rsidRDefault="008F3D45" w:rsidP="009E1912">
            <w:pPr>
              <w:pStyle w:val="Header"/>
              <w:tabs>
                <w:tab w:val="left" w:pos="284"/>
              </w:tabs>
              <w:rPr>
                <w:sz w:val="22"/>
                <w:szCs w:val="22"/>
              </w:rPr>
            </w:pPr>
          </w:p>
        </w:tc>
      </w:tr>
      <w:tr w:rsidR="008F3D45" w:rsidRPr="008F3D45" w:rsidTr="009E1912">
        <w:tc>
          <w:tcPr>
            <w:tcW w:w="10188" w:type="dxa"/>
            <w:gridSpan w:val="4"/>
            <w:shd w:val="clear" w:color="auto" w:fill="E0E0E0"/>
            <w:vAlign w:val="center"/>
          </w:tcPr>
          <w:p w:rsidR="008F3D45" w:rsidRPr="008F3D45" w:rsidRDefault="008F3D45" w:rsidP="009E1912">
            <w:pPr>
              <w:pStyle w:val="Header"/>
              <w:tabs>
                <w:tab w:val="left" w:pos="284"/>
              </w:tabs>
              <w:rPr>
                <w:b/>
                <w:bCs/>
                <w:sz w:val="22"/>
                <w:szCs w:val="22"/>
              </w:rPr>
            </w:pPr>
            <w:r w:rsidRPr="008F3D45">
              <w:rPr>
                <w:b/>
                <w:bCs/>
                <w:sz w:val="22"/>
                <w:szCs w:val="22"/>
              </w:rPr>
              <w:t>4. KLINIČKI PODACI</w:t>
            </w:r>
          </w:p>
        </w:tc>
      </w:tr>
      <w:tr w:rsidR="008F3D45" w:rsidRPr="008F3D45" w:rsidTr="009E1912">
        <w:tc>
          <w:tcPr>
            <w:tcW w:w="10188" w:type="dxa"/>
            <w:gridSpan w:val="4"/>
            <w:vAlign w:val="center"/>
          </w:tcPr>
          <w:p w:rsidR="008F3D45" w:rsidRPr="008F3D45" w:rsidRDefault="008F3D45" w:rsidP="009E1912">
            <w:pPr>
              <w:pStyle w:val="Header"/>
              <w:tabs>
                <w:tab w:val="left" w:pos="284"/>
              </w:tabs>
              <w:spacing w:before="80" w:after="80"/>
              <w:rPr>
                <w:b/>
                <w:bCs/>
                <w:sz w:val="22"/>
                <w:szCs w:val="22"/>
              </w:rPr>
            </w:pPr>
            <w:r w:rsidRPr="008F3D45">
              <w:rPr>
                <w:b/>
                <w:bCs/>
                <w:sz w:val="22"/>
                <w:szCs w:val="22"/>
              </w:rPr>
              <w:t>4.1. Terapijske indikacije</w:t>
            </w:r>
          </w:p>
        </w:tc>
      </w:tr>
      <w:tr w:rsidR="008F3D45" w:rsidRPr="008F3D45" w:rsidTr="009E1912">
        <w:trPr>
          <w:trHeight w:val="828"/>
        </w:trPr>
        <w:tc>
          <w:tcPr>
            <w:tcW w:w="10188" w:type="dxa"/>
            <w:gridSpan w:val="4"/>
            <w:vAlign w:val="center"/>
          </w:tcPr>
          <w:p w:rsidR="008F3D45" w:rsidRPr="008F3D45" w:rsidRDefault="008F3D45" w:rsidP="009E1912">
            <w:pPr>
              <w:jc w:val="both"/>
              <w:rPr>
                <w:sz w:val="22"/>
                <w:szCs w:val="22"/>
              </w:rPr>
            </w:pPr>
            <w:r w:rsidRPr="008F3D45">
              <w:rPr>
                <w:sz w:val="22"/>
                <w:szCs w:val="22"/>
              </w:rPr>
              <w:t>Trixin je indikovan, u kombinaciji sa ciklosporinom i kortikosteroidima, za profilaksu akutnog odbacivanja transplantata kod pacijenata koji primaju alogeni transplantat bubrega, srca ili jetre.</w:t>
            </w:r>
          </w:p>
          <w:p w:rsidR="008F3D45" w:rsidRPr="008F3D45" w:rsidRDefault="008F3D45" w:rsidP="009E1912">
            <w:pPr>
              <w:pStyle w:val="Header"/>
              <w:tabs>
                <w:tab w:val="left" w:pos="284"/>
              </w:tabs>
              <w:rPr>
                <w:sz w:val="22"/>
                <w:szCs w:val="22"/>
              </w:rPr>
            </w:pPr>
          </w:p>
        </w:tc>
      </w:tr>
      <w:tr w:rsidR="008F3D45" w:rsidRPr="008F3D45" w:rsidTr="009E1912">
        <w:tc>
          <w:tcPr>
            <w:tcW w:w="10188" w:type="dxa"/>
            <w:gridSpan w:val="4"/>
            <w:vAlign w:val="center"/>
          </w:tcPr>
          <w:p w:rsidR="008F3D45" w:rsidRPr="008F3D45" w:rsidRDefault="008F3D45" w:rsidP="009E1912">
            <w:pPr>
              <w:pStyle w:val="Header"/>
              <w:tabs>
                <w:tab w:val="left" w:pos="284"/>
              </w:tabs>
              <w:spacing w:before="80" w:after="80"/>
              <w:rPr>
                <w:b/>
                <w:bCs/>
                <w:sz w:val="22"/>
                <w:szCs w:val="22"/>
              </w:rPr>
            </w:pPr>
            <w:r w:rsidRPr="008F3D45">
              <w:rPr>
                <w:b/>
                <w:bCs/>
                <w:sz w:val="22"/>
                <w:szCs w:val="22"/>
              </w:rPr>
              <w:t>4.2. Doziranje i način primjene</w:t>
            </w:r>
          </w:p>
        </w:tc>
      </w:tr>
      <w:tr w:rsidR="008F3D45" w:rsidRPr="008F3D45" w:rsidTr="009E1912">
        <w:trPr>
          <w:trHeight w:val="1145"/>
        </w:trPr>
        <w:tc>
          <w:tcPr>
            <w:tcW w:w="10188" w:type="dxa"/>
            <w:gridSpan w:val="4"/>
            <w:vAlign w:val="center"/>
          </w:tcPr>
          <w:p w:rsidR="008F3D45" w:rsidRPr="008F3D45" w:rsidRDefault="008F3D45" w:rsidP="009E1912">
            <w:pPr>
              <w:rPr>
                <w:sz w:val="22"/>
                <w:szCs w:val="22"/>
              </w:rPr>
            </w:pPr>
            <w:r w:rsidRPr="008F3D45">
              <w:rPr>
                <w:sz w:val="22"/>
                <w:szCs w:val="22"/>
              </w:rPr>
              <w:t xml:space="preserve">Terapiju lijekom Trixin treba da započne i vodi ljekar specijalista odgovarajuće kvalifikovan za područje transplantacione medicine. </w:t>
            </w:r>
          </w:p>
          <w:p w:rsidR="008F3D45" w:rsidRPr="008F3D45" w:rsidRDefault="008F3D45" w:rsidP="009E1912">
            <w:pPr>
              <w:rPr>
                <w:sz w:val="22"/>
                <w:szCs w:val="22"/>
                <w:u w:val="single"/>
              </w:rPr>
            </w:pPr>
          </w:p>
          <w:p w:rsidR="008F3D45" w:rsidRPr="008F3D45" w:rsidRDefault="008F3D45" w:rsidP="009E1912">
            <w:pPr>
              <w:jc w:val="both"/>
              <w:rPr>
                <w:sz w:val="22"/>
                <w:szCs w:val="22"/>
              </w:rPr>
            </w:pPr>
            <w:r w:rsidRPr="008F3D45">
              <w:rPr>
                <w:sz w:val="22"/>
                <w:szCs w:val="22"/>
                <w:u w:val="single"/>
              </w:rPr>
              <w:t>Primjena kod pacijenata sa transplantiranim bubregom</w:t>
            </w:r>
            <w:r w:rsidRPr="008F3D45">
              <w:rPr>
                <w:sz w:val="22"/>
                <w:szCs w:val="22"/>
              </w:rPr>
              <w:t xml:space="preserve">: </w:t>
            </w:r>
          </w:p>
          <w:p w:rsidR="008F3D45" w:rsidRPr="008F3D45" w:rsidRDefault="008F3D45" w:rsidP="009E1912">
            <w:pPr>
              <w:jc w:val="both"/>
              <w:rPr>
                <w:sz w:val="22"/>
                <w:szCs w:val="22"/>
              </w:rPr>
            </w:pPr>
            <w:r w:rsidRPr="008F3D45">
              <w:rPr>
                <w:sz w:val="22"/>
                <w:szCs w:val="22"/>
                <w:u w:val="single"/>
              </w:rPr>
              <w:t>Odrasli</w:t>
            </w:r>
            <w:r w:rsidRPr="008F3D45">
              <w:rPr>
                <w:sz w:val="22"/>
                <w:szCs w:val="22"/>
              </w:rPr>
              <w:t xml:space="preserve">: Trixin tablete moraju se primjeniti u prva 72 časa po transplantaciji. Preporučena doza kod pacijenata kojima je transplantiran bubreg je 1,0 g dva puta na dan (dnevna doza je 2 g). </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u w:val="single"/>
              </w:rPr>
              <w:t>Djeca i adolescenti (uzrasta 2 do 18 godina)</w:t>
            </w:r>
            <w:r w:rsidRPr="008F3D45">
              <w:rPr>
                <w:sz w:val="22"/>
                <w:szCs w:val="22"/>
              </w:rPr>
              <w:t>:  preporučena doza mikofenolat mofetila je 600 mg/m</w:t>
            </w:r>
            <w:r w:rsidRPr="008F3D45">
              <w:rPr>
                <w:sz w:val="22"/>
                <w:szCs w:val="22"/>
                <w:vertAlign w:val="superscript"/>
              </w:rPr>
              <w:t>2</w:t>
            </w:r>
            <w:r w:rsidRPr="008F3D45">
              <w:rPr>
                <w:sz w:val="22"/>
                <w:szCs w:val="22"/>
              </w:rPr>
              <w:t xml:space="preserve"> i primjenjuje  se oralno dva puta na dan  (do maksimalnih 2 g dnevno). Trixin tablete mogu se propisivati samo pacijentima površine tijela preko 1,5 m</w:t>
            </w:r>
            <w:r w:rsidRPr="008F3D45">
              <w:rPr>
                <w:sz w:val="22"/>
                <w:szCs w:val="22"/>
                <w:vertAlign w:val="superscript"/>
              </w:rPr>
              <w:t>2</w:t>
            </w:r>
            <w:r w:rsidRPr="008F3D45">
              <w:rPr>
                <w:sz w:val="22"/>
                <w:szCs w:val="22"/>
              </w:rPr>
              <w:t xml:space="preserve"> u dozi od 1 g dva puta na dan (dnevna doza 2 g). Budući da se neke neželjene reakcije pojavljuju sa većom učestalošću u ovoj starosnoj grupi nego kod odraslih (vidjeti dio 4.8.), možda će biti  potrebno privremeno smanjenjiti dozu ili prekinuti liječenje; za što treba uzeti u obzir relevantne kliničke faktore, uključujući i težinu reakcije.</w:t>
            </w:r>
          </w:p>
          <w:p w:rsidR="008F3D45" w:rsidRPr="008F3D45" w:rsidRDefault="008F3D45" w:rsidP="009E1912">
            <w:pPr>
              <w:rPr>
                <w:sz w:val="22"/>
                <w:szCs w:val="22"/>
              </w:rPr>
            </w:pPr>
          </w:p>
          <w:p w:rsidR="008F3D45" w:rsidRPr="008F3D45" w:rsidRDefault="008F3D45" w:rsidP="009E1912">
            <w:pPr>
              <w:jc w:val="both"/>
              <w:rPr>
                <w:sz w:val="22"/>
                <w:szCs w:val="22"/>
              </w:rPr>
            </w:pPr>
            <w:r w:rsidRPr="008F3D45">
              <w:rPr>
                <w:sz w:val="22"/>
                <w:szCs w:val="22"/>
                <w:u w:val="single"/>
              </w:rPr>
              <w:t>Djeca (&lt; 2 godine)</w:t>
            </w:r>
            <w:r w:rsidRPr="008F3D45">
              <w:rPr>
                <w:sz w:val="22"/>
                <w:szCs w:val="22"/>
              </w:rPr>
              <w:t xml:space="preserve">: podaci o efikasnosti i bezbjednosti primjene kod djece mlađe od 2 godine su veoma ograničeni. Ti podaci nijesu dovoljni da bi se dale preporuke za doziranje, pa se primjena u ovoj starosnoj grupi i ne preporučuje. </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u w:val="single"/>
              </w:rPr>
              <w:t>Primjena kod pacijenata sa transplantiranim srcem</w:t>
            </w:r>
            <w:r w:rsidRPr="008F3D45">
              <w:rPr>
                <w:sz w:val="22"/>
                <w:szCs w:val="22"/>
              </w:rPr>
              <w:t>:</w:t>
            </w:r>
          </w:p>
          <w:p w:rsidR="008F3D45" w:rsidRPr="008F3D45" w:rsidRDefault="008F3D45" w:rsidP="009E1912">
            <w:pPr>
              <w:jc w:val="both"/>
              <w:rPr>
                <w:sz w:val="22"/>
                <w:szCs w:val="22"/>
              </w:rPr>
            </w:pPr>
            <w:r w:rsidRPr="008F3D45">
              <w:rPr>
                <w:sz w:val="22"/>
                <w:szCs w:val="22"/>
                <w:u w:val="single"/>
              </w:rPr>
              <w:t>Odrasli</w:t>
            </w:r>
            <w:r w:rsidRPr="008F3D45">
              <w:rPr>
                <w:sz w:val="22"/>
                <w:szCs w:val="22"/>
              </w:rPr>
              <w:t xml:space="preserve">:  Trixin tablete moraju se primjeniti u prvih 5 dana po transplantaciji. Preporučena doza kod pacijenata kojima je transplantirano srce je 1,5 g dva puta na dan (dnevna doza je 3 g). </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u w:val="single"/>
              </w:rPr>
              <w:t>Djeca</w:t>
            </w:r>
            <w:r w:rsidRPr="008F3D45">
              <w:rPr>
                <w:sz w:val="22"/>
                <w:szCs w:val="22"/>
              </w:rPr>
              <w:t xml:space="preserve">: Nema podataka za pedijatrijske pacijente kojima je transplantirano srce. </w:t>
            </w:r>
          </w:p>
          <w:p w:rsidR="008F3D45" w:rsidRPr="008F3D45" w:rsidRDefault="008F3D45" w:rsidP="009E1912">
            <w:pPr>
              <w:jc w:val="both"/>
              <w:rPr>
                <w:sz w:val="22"/>
                <w:szCs w:val="22"/>
              </w:rPr>
            </w:pPr>
            <w:r w:rsidRPr="008F3D45">
              <w:rPr>
                <w:sz w:val="22"/>
                <w:szCs w:val="22"/>
                <w:u w:val="single"/>
              </w:rPr>
              <w:lastRenderedPageBreak/>
              <w:t xml:space="preserve">Primjena kod pacijenata sa  transplantiranom  jetrom </w:t>
            </w:r>
            <w:r w:rsidRPr="008F3D45">
              <w:rPr>
                <w:sz w:val="22"/>
                <w:szCs w:val="22"/>
              </w:rPr>
              <w:t>:</w:t>
            </w:r>
          </w:p>
          <w:p w:rsidR="008F3D45" w:rsidRPr="008F3D45" w:rsidRDefault="008F3D45" w:rsidP="009E1912">
            <w:pPr>
              <w:jc w:val="both"/>
              <w:rPr>
                <w:sz w:val="22"/>
                <w:szCs w:val="22"/>
              </w:rPr>
            </w:pPr>
            <w:r w:rsidRPr="008F3D45">
              <w:rPr>
                <w:sz w:val="22"/>
                <w:szCs w:val="22"/>
              </w:rPr>
              <w:t>Odrasli: IV Trixin mora se primjeniti prva 4 dana po transplantaciji kod pacijenata kojima je transplantirana jetra,  a sa primjenom Trixin tableta treba početi čim to dozvoli stanje pacijenta. Preporučena oralna doza Trixina kod pacijenata kojima je transplantirana jetra je 1,5 g dva puta dnevno (dnevna doza je 3 g).</w:t>
            </w:r>
          </w:p>
          <w:p w:rsidR="008F3D45" w:rsidRPr="008F3D45" w:rsidRDefault="008F3D45" w:rsidP="009E1912">
            <w:pPr>
              <w:jc w:val="both"/>
              <w:rPr>
                <w:sz w:val="22"/>
                <w:szCs w:val="22"/>
                <w:u w:val="single"/>
              </w:rPr>
            </w:pPr>
          </w:p>
          <w:p w:rsidR="008F3D45" w:rsidRPr="008F3D45" w:rsidRDefault="008F3D45" w:rsidP="009E1912">
            <w:pPr>
              <w:jc w:val="both"/>
              <w:rPr>
                <w:sz w:val="22"/>
                <w:szCs w:val="22"/>
              </w:rPr>
            </w:pPr>
            <w:r w:rsidRPr="008F3D45">
              <w:rPr>
                <w:sz w:val="22"/>
                <w:szCs w:val="22"/>
                <w:u w:val="single"/>
              </w:rPr>
              <w:t>Djeca</w:t>
            </w:r>
            <w:r w:rsidRPr="008F3D45">
              <w:rPr>
                <w:sz w:val="22"/>
                <w:szCs w:val="22"/>
              </w:rPr>
              <w:t xml:space="preserve">: Nema podataka za pedijatrijske pacijente kojima je transplantirana jetra. </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u w:val="single"/>
              </w:rPr>
              <w:t>Primjena kod starijih osoba (≥ 65 godina)</w:t>
            </w:r>
            <w:r w:rsidRPr="008F3D45">
              <w:rPr>
                <w:sz w:val="22"/>
                <w:szCs w:val="22"/>
              </w:rPr>
              <w:t>: za starije osobe preporučuje se doza od 1,0 g dva puta na dan za pacijente kojima je presađen bubreg, a 1,5 g za one  kojima je presađeno srce ili jetra.</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u w:val="single"/>
              </w:rPr>
              <w:t>Primjena kod pacijenata sa bubrežnom insuficijencijom</w:t>
            </w:r>
            <w:r w:rsidRPr="008F3D45">
              <w:rPr>
                <w:sz w:val="22"/>
                <w:szCs w:val="22"/>
              </w:rPr>
              <w:t>: Kod pacijenata sa teškom hroničnom bubrežnom insuficijencijom (brzina glomerularna filtracija &lt;25 ml/min/1,73m</w:t>
            </w:r>
            <w:r w:rsidRPr="008F3D45">
              <w:rPr>
                <w:sz w:val="22"/>
                <w:szCs w:val="22"/>
                <w:vertAlign w:val="superscript"/>
              </w:rPr>
              <w:t>2</w:t>
            </w:r>
            <w:r w:rsidRPr="008F3D45">
              <w:rPr>
                <w:sz w:val="22"/>
                <w:szCs w:val="22"/>
              </w:rPr>
              <w:t xml:space="preserve">) kojima je presađen bubreg, nakon posttransplantacionog perioda, moraju se  izbjegavati doze veće od 1 g dva puta na dan. Ove pacijente treba pažljivo pratiti. Nije potrebno  podešavanje doze kod pacijenata kod kojih nakon transplantacije dolazi do  odložene  funkcije  grafta (vidjeti dio 5.2). Nema podataka za pacijente kojima je presađeno srce ili jetra koji imaju i tešku bubrežnu insuficijenciju. </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u w:val="single"/>
              </w:rPr>
              <w:t>Primjena kod pacijenata sa teškom insuficijencijom jetre</w:t>
            </w:r>
            <w:r w:rsidRPr="008F3D45">
              <w:rPr>
                <w:sz w:val="22"/>
                <w:szCs w:val="22"/>
              </w:rPr>
              <w:t xml:space="preserve">: Nije potrebno podešavanje doze kod pacijenata kojima je presađen bubreg a koji imaju teško parenhimsko oboljenje jetre. Nema podataka o doziranju za pacijente kojima je presađeno srce a koji imaju teško parenhimsko oboljenje jetre. </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u w:val="single"/>
              </w:rPr>
              <w:t>Terapija tokom epizoda odbacivanja organa</w:t>
            </w:r>
            <w:r w:rsidRPr="008F3D45">
              <w:rPr>
                <w:sz w:val="22"/>
                <w:szCs w:val="22"/>
              </w:rPr>
              <w:t xml:space="preserve">: MPA (mikofenolna kiselina) je aktivni metabolit mikofenolat mofetila. Odbacivanje transplantiranog bubrega ne dovodi do promjene u farmakokinetici MPA, pa nije potrebno  smanjiti  dozu  niti  prekinuti  primjenu lijeka Trixin. Ne postoji osnova za prilagođavanje doze nakon  odbacivanja transplantiranog srca. Nema farmakokinetičkih podataka za slučaj akutnog odbacivanja transplantirane jetre. </w:t>
            </w:r>
          </w:p>
          <w:p w:rsidR="008F3D45" w:rsidRPr="008F3D45" w:rsidRDefault="008F3D45" w:rsidP="009E1912">
            <w:pPr>
              <w:pStyle w:val="Header"/>
              <w:tabs>
                <w:tab w:val="left" w:pos="284"/>
              </w:tabs>
              <w:rPr>
                <w:sz w:val="22"/>
                <w:szCs w:val="22"/>
              </w:rPr>
            </w:pPr>
          </w:p>
        </w:tc>
      </w:tr>
      <w:tr w:rsidR="008F3D45" w:rsidRPr="008F3D45" w:rsidTr="009E1912">
        <w:tc>
          <w:tcPr>
            <w:tcW w:w="10188" w:type="dxa"/>
            <w:gridSpan w:val="4"/>
            <w:vAlign w:val="center"/>
          </w:tcPr>
          <w:p w:rsidR="008F3D45" w:rsidRPr="008F3D45" w:rsidRDefault="008F3D45" w:rsidP="009E1912">
            <w:pPr>
              <w:pStyle w:val="Header"/>
              <w:tabs>
                <w:tab w:val="left" w:pos="284"/>
              </w:tabs>
              <w:spacing w:before="80" w:after="80"/>
              <w:rPr>
                <w:b/>
                <w:bCs/>
                <w:sz w:val="22"/>
                <w:szCs w:val="22"/>
              </w:rPr>
            </w:pPr>
            <w:r w:rsidRPr="008F3D45">
              <w:rPr>
                <w:b/>
                <w:bCs/>
                <w:sz w:val="22"/>
                <w:szCs w:val="22"/>
              </w:rPr>
              <w:lastRenderedPageBreak/>
              <w:t>4.3. Kontraindikacije</w:t>
            </w:r>
          </w:p>
        </w:tc>
      </w:tr>
      <w:tr w:rsidR="008F3D45" w:rsidRPr="008F3D45" w:rsidTr="009E1912">
        <w:trPr>
          <w:trHeight w:val="1145"/>
        </w:trPr>
        <w:tc>
          <w:tcPr>
            <w:tcW w:w="10188" w:type="dxa"/>
            <w:gridSpan w:val="4"/>
            <w:vAlign w:val="center"/>
          </w:tcPr>
          <w:p w:rsidR="008F3D45" w:rsidRPr="008F3D45" w:rsidRDefault="008F3D45" w:rsidP="009E1912">
            <w:pPr>
              <w:jc w:val="both"/>
              <w:rPr>
                <w:sz w:val="22"/>
                <w:szCs w:val="22"/>
              </w:rPr>
            </w:pPr>
            <w:r w:rsidRPr="008F3D45">
              <w:rPr>
                <w:sz w:val="22"/>
                <w:szCs w:val="22"/>
              </w:rPr>
              <w:t xml:space="preserve">Zabilježene su reakcije preosjetljivosti na Trixin (vidjeti dio 4.8). Prema tome, Trixin je kontraindikovan kod pacijenata  preosjetljivih na mikofenolat mofetil ili mikofenolnu kisjelinu. </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rPr>
              <w:t xml:space="preserve">Trixin je kontraindikovan kod dojilja.  (vidjeti dio 4.6.). </w:t>
            </w:r>
          </w:p>
          <w:p w:rsidR="008F3D45" w:rsidRPr="008F3D45" w:rsidRDefault="008F3D45" w:rsidP="009E1912">
            <w:pPr>
              <w:jc w:val="both"/>
              <w:rPr>
                <w:sz w:val="22"/>
                <w:szCs w:val="22"/>
              </w:rPr>
            </w:pPr>
            <w:r w:rsidRPr="008F3D45">
              <w:rPr>
                <w:sz w:val="22"/>
                <w:szCs w:val="22"/>
              </w:rPr>
              <w:t xml:space="preserve">Za informacije o primjeni  tokom trudnoće i  kontracepciji vidjeti  dio 4.6. </w:t>
            </w:r>
          </w:p>
          <w:p w:rsidR="008F3D45" w:rsidRPr="008F3D45" w:rsidRDefault="008F3D45" w:rsidP="009E1912">
            <w:pPr>
              <w:pStyle w:val="Header"/>
              <w:tabs>
                <w:tab w:val="left" w:pos="284"/>
              </w:tabs>
              <w:rPr>
                <w:sz w:val="22"/>
                <w:szCs w:val="22"/>
              </w:rPr>
            </w:pPr>
          </w:p>
        </w:tc>
      </w:tr>
      <w:tr w:rsidR="008F3D45" w:rsidRPr="008F3D45" w:rsidTr="009E1912">
        <w:tc>
          <w:tcPr>
            <w:tcW w:w="10188" w:type="dxa"/>
            <w:gridSpan w:val="4"/>
            <w:vAlign w:val="center"/>
          </w:tcPr>
          <w:p w:rsidR="008F3D45" w:rsidRPr="008F3D45" w:rsidRDefault="008F3D45" w:rsidP="009E1912">
            <w:pPr>
              <w:pStyle w:val="Header"/>
              <w:tabs>
                <w:tab w:val="left" w:pos="284"/>
              </w:tabs>
              <w:spacing w:before="80" w:after="80"/>
              <w:rPr>
                <w:b/>
                <w:bCs/>
                <w:sz w:val="22"/>
                <w:szCs w:val="22"/>
              </w:rPr>
            </w:pPr>
            <w:r w:rsidRPr="008F3D45">
              <w:rPr>
                <w:b/>
                <w:bCs/>
                <w:sz w:val="22"/>
                <w:szCs w:val="22"/>
              </w:rPr>
              <w:t>4.4. Posebna upozorenja i mjere opreza pri upotrebi lijeka</w:t>
            </w:r>
          </w:p>
        </w:tc>
      </w:tr>
      <w:tr w:rsidR="008F3D45" w:rsidRPr="008F3D45" w:rsidTr="009E1912">
        <w:trPr>
          <w:trHeight w:val="1145"/>
        </w:trPr>
        <w:tc>
          <w:tcPr>
            <w:tcW w:w="10188" w:type="dxa"/>
            <w:gridSpan w:val="4"/>
            <w:vAlign w:val="center"/>
          </w:tcPr>
          <w:p w:rsidR="008F3D45" w:rsidRPr="008F3D45" w:rsidRDefault="008F3D45" w:rsidP="009E1912">
            <w:pPr>
              <w:jc w:val="both"/>
              <w:rPr>
                <w:sz w:val="22"/>
                <w:szCs w:val="22"/>
              </w:rPr>
            </w:pPr>
            <w:r w:rsidRPr="008F3D45">
              <w:rPr>
                <w:sz w:val="22"/>
                <w:szCs w:val="22"/>
              </w:rPr>
              <w:t xml:space="preserve">Pacijenti koji primaju imunosupresivnu terapiju koja obuhvata kombinaciju ljekova, uključujući i Trixin su izloženi povećanom riziku od razvoja limfoma i drugih maligniteta, posebno bolesti  kože  (vidjeti dio 4.8.). Ovaj rizik je izgleda povezan sa intenzitetom i trajanjem imunosupresije, a ne sa primjenom  bilo kojeg određenog lijeka. Da bi se smanjio rizik od raka kože, potrebno je ograničiti  izlaganje sunčevoj svjetlosti i  UV zracima  nošenjem  zaštitne odjeće i upotrebom  sredstva za sunčanje sa visokim zaštitnim faktorom. </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rPr>
              <w:t xml:space="preserve">Pacijente koji primaju Trixin treba savjetovati da odmah prijave svaku pojavu infekcije, neočekivane pojave modrica, krvarenja ili bilo koje manifestacije depresije kostne  srži. </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rPr>
              <w:t xml:space="preserve">Pacijenti liječeni imunosupresivima, uključujući Trixin, su u povećanom riziku od razvoja oportunističkih infekcija (bakterijskih, gljivičnih, virusnih i protozoalnih), fatalnih infekcija i sepse (vidjeti dio 4.8). ). Takve infekcije uključuju reaktivizaciju latentnih virusa, poput reaktivizacije hepatitisa B ili hepatitisa C i infekcije </w:t>
            </w:r>
            <w:r w:rsidRPr="008F3D45">
              <w:rPr>
                <w:sz w:val="22"/>
                <w:szCs w:val="22"/>
              </w:rPr>
              <w:lastRenderedPageBreak/>
              <w:t xml:space="preserve">uzrokovane polioma virusima (nefropatija povezana sa BK virusom, progresivna multifokalna leukoencefalopatija (PML) povezana sa JS virusom). Prijavljeni su slučajevi hepatitisa kao posljedica reaktivacije hepatitisa B ili hepatitisa C u nosioca virusa liječenih imunosupresivima. Ove infekcije su često povezane sa visokim ukupnim imunosupresivnim opterećenjem i mogu dovesti do ozbiljnih ili fatalnih stanja, koje  ljekar mora uzeti u obzir u diferencijalnoj dijagnostici pacijenata na imunosupresivnoj terapiji, koji imaju sve slabiju bubrežnu funkciju ili neurološke  simptome. </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rPr>
              <w:t xml:space="preserve">Zabilježeni su slučajevi hipogamaglobulinemije povazane sa rekurentnim infekcijama kod pacijenata koji primaju lijek Trixin u kombinaciji sa drugim imunosupresivima. Kod nekih od ovih slučajeva zamjena lijeka Trixin drugim imunosupresivom rezultirala je normalizacijom nivoa IgG u serumu. Kod pacijenata koji primaju Trixin kod kojih se javljaju rekurentne infrekcije treba kontrolisati nivo imunoglobulina u serumu. U slučaju da se klinički relevantna hipogamaglobulinemija održava, treba sprovesti odgovarajuće kliničke mjere uzimajući u obzir potentno citostatsko dejstvo mikofenolične kiseline na T- i B-limfocite.  </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rPr>
              <w:t xml:space="preserve">Publikovani su slučajevi bronhiektazije kod odraslih i djece koji su primali Trixin u kombinaciji sa drugim imunosupresivima. Kod nekih od ovih slučajeva zamjena lijeka Triksin drugim imunosupresivom dovela je to poboljšanja respiratornih simptoma. Rizik od bronhiektazije se može povezati sa hipogamaglobulinemijom ili sa direktnim dejstvom na pluća. Prijavljeni su izolovani slučajevi intersticijalne bolesti pluća i pulmonarne fibroze, od kojih su neki imali smrtni ishod (vidjeti dio 4.8). Preporučuje se ispitivanje pacijenata kod kojih se razviju perzistentni plućni simptomi, kao što su kašalj i dispneja. </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rPr>
              <w:t>Pacijente koji primaju Trixin treba kontrolisati na razvoj neutropenije, koja može biti povezana sa samim lijekom Trixin, drugim ljekovima, virusnim infekcijama, ili nekim kombinacijama ovih uzročnika. Pacijentima koji uzimaju Trixin treba raditi kompletnu krvnu sliku jednom nedjeljno tokom prvog mjeseca, dva puta mjesečno tokom drugog i trećeg mjeseca terapije, a onda jednom mjesečno do kraja prve godine. Ako se razvije neutropenija (apsolutni broj neutrofila &lt;1,3 x 10</w:t>
            </w:r>
            <w:r w:rsidRPr="008F3D45">
              <w:rPr>
                <w:sz w:val="22"/>
                <w:szCs w:val="22"/>
                <w:vertAlign w:val="superscript"/>
              </w:rPr>
              <w:t>3</w:t>
            </w:r>
            <w:r w:rsidRPr="008F3D45">
              <w:rPr>
                <w:sz w:val="22"/>
                <w:szCs w:val="22"/>
              </w:rPr>
              <w:t>/</w:t>
            </w:r>
            <w:r w:rsidRPr="008F3D45">
              <w:rPr>
                <w:sz w:val="22"/>
                <w:szCs w:val="22"/>
              </w:rPr>
              <w:sym w:font="Symbol" w:char="F06D"/>
            </w:r>
            <w:r w:rsidRPr="008F3D45">
              <w:rPr>
                <w:sz w:val="22"/>
                <w:szCs w:val="22"/>
              </w:rPr>
              <w:t xml:space="preserve">l) možda će  biti primjereno privremeno ili potpuno prekinuti primjenu Trixina. </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rPr>
              <w:t>Slučajevi izolovane aplazije eritrocita (pure red cell aplasia -PRCA) prijavljeni su kod pacijenata liječenih lijekom Trixin u kombinaciji sa drugim imunosupresivima. Mehanizam kojim mikofenil mofetil uzrokuje  PRCA je nepoznat. Smanjenje doze ili prestanak terapije Trixinom može dovesti do povlačenja izolovane aplazije eritrocita. Promjene u terapiji lijekom Trixin treba preduzeti samo pod odgovarajućim nadzorom transplantiranog primaoca kako bi se minimizirao rizik od odbacivanja grafta (vidjeti dio 4.8).</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rPr>
              <w:t xml:space="preserve">Pacijente treba upozoriti da tokom terapije lijekom Trixin vakcinacija može da bude manje efikasna i da treba izbjegavati upotrebu živih oslabljenih vakcina (vidjeti dio 4.5). Vakcina protiv gripa može biti korisna. Ljekar koji propisuje terapiju treba da prati nacionalne smjernice za vakcinaciju protiv gripa. </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rPr>
              <w:t xml:space="preserve">Budući da je Trixin doveden u vezu sa povećanom učestalošću neželjenih događaja u digestivnom sistemu, uključujući i česte pojave ulceracija gastrointestinalnog trakta, hemoragije i perforacija, Trixin treba oprezno davati pacijentima sa aktivnim oboljenjem digestivnog sistema. </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rPr>
              <w:t xml:space="preserve">Trixin je inhibitor IMPDH (inozin monofosfat dehidrogenaze). Prema tome, teorijski bi ga trebalo izbjegavati kod pacijenata sa rijetkom nasljednom deficijencijom hipoksantin guanin fosforibozil transferaze (HGPRT) kao što su sindromi Lesch-Nyhan i Kelley-Seegmiller. </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rPr>
              <w:lastRenderedPageBreak/>
              <w:t xml:space="preserve">Preporuka je da se Trixin ne primjenjuje istovremeno sa azatioprinom jer takva istovremena primjena nije ispitivana. </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rPr>
              <w:t xml:space="preserve">U svijetlu značajnog smanjenja PIK (površine ispod krive) MPA holestiraminom, treba biti oprezan kada se Trixin istovremeno primjenjuje  sa ljekovima koji se uključuju u enterohepatičku  cirkulaciju  zbog potencijala da smanje efikasnost Trixina. </w:t>
            </w:r>
          </w:p>
          <w:p w:rsidR="008F3D45" w:rsidRPr="008F3D45" w:rsidRDefault="008F3D45" w:rsidP="009E1912">
            <w:pPr>
              <w:rPr>
                <w:sz w:val="22"/>
                <w:szCs w:val="22"/>
              </w:rPr>
            </w:pPr>
          </w:p>
          <w:p w:rsidR="008F3D45" w:rsidRPr="008F3D45" w:rsidRDefault="008F3D45" w:rsidP="009E1912">
            <w:pPr>
              <w:rPr>
                <w:sz w:val="22"/>
                <w:szCs w:val="22"/>
              </w:rPr>
            </w:pPr>
            <w:r w:rsidRPr="008F3D45">
              <w:rPr>
                <w:sz w:val="22"/>
                <w:szCs w:val="22"/>
              </w:rPr>
              <w:t xml:space="preserve">Rizik: korist od mikofenolat mofetila u kombinaciji sa takrolimusom ili sirolimusom nije dokazana (vidjeti dio 4.5.). </w:t>
            </w:r>
          </w:p>
          <w:p w:rsidR="008F3D45" w:rsidRPr="008F3D45" w:rsidRDefault="008F3D45" w:rsidP="009E1912">
            <w:pPr>
              <w:pStyle w:val="Header"/>
              <w:tabs>
                <w:tab w:val="left" w:pos="284"/>
              </w:tabs>
              <w:rPr>
                <w:sz w:val="22"/>
                <w:szCs w:val="22"/>
              </w:rPr>
            </w:pPr>
          </w:p>
        </w:tc>
      </w:tr>
      <w:tr w:rsidR="008F3D45" w:rsidRPr="008F3D45" w:rsidTr="009E1912">
        <w:tc>
          <w:tcPr>
            <w:tcW w:w="10188" w:type="dxa"/>
            <w:gridSpan w:val="4"/>
            <w:vAlign w:val="center"/>
          </w:tcPr>
          <w:p w:rsidR="008F3D45" w:rsidRPr="008F3D45" w:rsidRDefault="008F3D45" w:rsidP="009E1912">
            <w:pPr>
              <w:pStyle w:val="Header"/>
              <w:tabs>
                <w:tab w:val="left" w:pos="284"/>
              </w:tabs>
              <w:spacing w:before="80" w:after="80"/>
              <w:rPr>
                <w:b/>
                <w:bCs/>
                <w:sz w:val="22"/>
                <w:szCs w:val="22"/>
              </w:rPr>
            </w:pPr>
            <w:r w:rsidRPr="008F3D45">
              <w:rPr>
                <w:b/>
                <w:bCs/>
                <w:sz w:val="22"/>
                <w:szCs w:val="22"/>
              </w:rPr>
              <w:lastRenderedPageBreak/>
              <w:t>4.5. Interakcije sa drugim ljekovima i druge vrste interakcija</w:t>
            </w:r>
          </w:p>
        </w:tc>
      </w:tr>
      <w:tr w:rsidR="008F3D45" w:rsidRPr="008F3D45" w:rsidTr="008F3D45">
        <w:trPr>
          <w:trHeight w:val="80"/>
        </w:trPr>
        <w:tc>
          <w:tcPr>
            <w:tcW w:w="10188" w:type="dxa"/>
            <w:gridSpan w:val="4"/>
            <w:vAlign w:val="center"/>
          </w:tcPr>
          <w:p w:rsidR="008F3D45" w:rsidRPr="008F3D45" w:rsidRDefault="008F3D45" w:rsidP="009E1912">
            <w:pPr>
              <w:jc w:val="both"/>
              <w:rPr>
                <w:sz w:val="22"/>
                <w:szCs w:val="22"/>
              </w:rPr>
            </w:pPr>
            <w:r w:rsidRPr="008F3D45">
              <w:rPr>
                <w:sz w:val="22"/>
                <w:szCs w:val="22"/>
              </w:rPr>
              <w:t xml:space="preserve">Ispitivanja interakcija sprovedena su samo kod odraslih. </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u w:val="single"/>
              </w:rPr>
              <w:t>Aciklovir</w:t>
            </w:r>
            <w:r w:rsidRPr="008F3D45">
              <w:rPr>
                <w:sz w:val="22"/>
                <w:szCs w:val="22"/>
              </w:rPr>
              <w:t xml:space="preserve">: više koncentracije aciklovira u plazmi zabilježene su kada se mikofenolat mofetil daje sa aciklovirom, u poređenju sa situacijom kada se aciklovir primjenjuje sam. Promjene u farmakokinetici MPAG (MPA glukuronid) (povećanje MPAG za 8%) bile su minimalne i ne smatraju se klinički signifikantnim. Budući da su koncentracije MPAG i aciklovira u plazmi povišene kod bubrežne insuficijencije, postoji mogućnost  da mikofenolat mofetil i aciklovir ili njegovi proljekovi, npr. valaciklovir, budu u kompeticiji za tubularnu sekreciju i dodatno povise koncentracije obje supstance u plazmi. </w:t>
            </w:r>
          </w:p>
          <w:p w:rsidR="008F3D45" w:rsidRPr="008F3D45" w:rsidRDefault="008F3D45" w:rsidP="009E1912">
            <w:pPr>
              <w:jc w:val="both"/>
              <w:rPr>
                <w:sz w:val="22"/>
                <w:szCs w:val="22"/>
              </w:rPr>
            </w:pPr>
          </w:p>
          <w:p w:rsidR="008F3D45" w:rsidRPr="008F3D45" w:rsidRDefault="008F3D45" w:rsidP="009E1912">
            <w:pPr>
              <w:jc w:val="both"/>
              <w:rPr>
                <w:sz w:val="22"/>
                <w:szCs w:val="22"/>
                <w:u w:val="single"/>
              </w:rPr>
            </w:pPr>
            <w:r w:rsidRPr="008F3D45">
              <w:rPr>
                <w:sz w:val="22"/>
                <w:szCs w:val="22"/>
                <w:u w:val="single"/>
              </w:rPr>
              <w:t>Antacidi i inhibitori protonske pumpme (IPP)</w:t>
            </w:r>
            <w:r w:rsidRPr="008F3D45">
              <w:rPr>
                <w:sz w:val="22"/>
                <w:szCs w:val="22"/>
              </w:rPr>
              <w:t>: Primjećeno je smanjenje resorpcije mikofenolat mofetila kada je Trixin primjenjivan sa antacidima, kao što su magnezijum i aluminijum hidroksid i IPP, uključujući lansoprazol i pantoprazol. Kada se uporedi stopa odbacivanja transplanta ili stopa gubitka grafta kod pacijenata koji su uzimali Trixin sa IPP sa pacijentima koji su uzimali Trixin bez IPP, nijesu primjećene značajne  razlike. Ovi podaci podržavaju ekstrapolaciju ovih zaključaka na sve antacide zato što je smanjenje izloženosti u slučaju kada je Trixin istovremeno primjenjivan sa magnezijumom i aluminijum hidroksidom značajno manja nego kada se Trixin istovremeno primjenjuje sa IPPs.</w:t>
            </w:r>
          </w:p>
          <w:p w:rsidR="008F3D45" w:rsidRPr="008F3D45" w:rsidRDefault="008F3D45" w:rsidP="009E1912">
            <w:pPr>
              <w:jc w:val="both"/>
              <w:rPr>
                <w:sz w:val="22"/>
                <w:szCs w:val="22"/>
                <w:u w:val="single"/>
              </w:rPr>
            </w:pPr>
          </w:p>
          <w:p w:rsidR="008F3D45" w:rsidRPr="008F3D45" w:rsidRDefault="008F3D45" w:rsidP="009E1912">
            <w:pPr>
              <w:jc w:val="both"/>
              <w:rPr>
                <w:sz w:val="22"/>
                <w:szCs w:val="22"/>
              </w:rPr>
            </w:pPr>
            <w:r w:rsidRPr="008F3D45">
              <w:rPr>
                <w:sz w:val="22"/>
                <w:szCs w:val="22"/>
                <w:u w:val="single"/>
              </w:rPr>
              <w:t>Holestiramin</w:t>
            </w:r>
            <w:r w:rsidRPr="008F3D45">
              <w:rPr>
                <w:sz w:val="22"/>
                <w:szCs w:val="22"/>
              </w:rPr>
              <w:t xml:space="preserve">: Nakon primjene jedne doze od 1,5 g mikofenolat mofetila u normalnih zdravih osoba, koji su   prethodno liječeni dozom od 4 g holestirmina tri puta dnevno tokom 4 dana, došlo je do smanjenja PIK MPA  za 40% smanjenja (vidjeti dio 4.4 i dio 5.2). Treba biti oprezan tokom istovremene primjene zbog potencijala da se smanji efikasnost Trixina®. </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u w:val="single"/>
              </w:rPr>
              <w:t>Ljekovi koji se uključuju u enterohepatičku cirkulaciju</w:t>
            </w:r>
            <w:r w:rsidRPr="008F3D45">
              <w:rPr>
                <w:sz w:val="22"/>
                <w:szCs w:val="22"/>
              </w:rPr>
              <w:t xml:space="preserve">: Potreban je povećan oprez kada se koriste ljekovi koji se uključuju u enterohepatičku cirkulaciju zbog njihovog potencijala da smanje efikasnost Trixina. </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u w:val="single"/>
              </w:rPr>
              <w:t>Ciklosporin A</w:t>
            </w:r>
            <w:r w:rsidRPr="008F3D45">
              <w:rPr>
                <w:sz w:val="22"/>
                <w:szCs w:val="22"/>
              </w:rPr>
              <w:t>: Farmakokinetika ciklosporina A (CsA) nije pod uticajem mikofenolat mofetila. Na suprot tome, ukoliko se prekine istovremeno liječenje ciklosporinom, treba očekivati povećanje MPA, AUC za oko 30%.</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u w:val="single"/>
              </w:rPr>
              <w:t>Ganciklovir</w:t>
            </w:r>
            <w:r w:rsidRPr="008F3D45">
              <w:rPr>
                <w:sz w:val="22"/>
                <w:szCs w:val="22"/>
              </w:rPr>
              <w:t xml:space="preserve">: Na osnovu rezultata studije sa primjenom pojedinačne preporučene doze oralnog mikofenolata i IV ganciklovira i poznatih dejstava bubrežne insuficijencije na farmakokinetiku lijeka Trixin (vidjeti dio 4.2) i ganciklovira, pretpostavilo se da će istovremena primjena ovih ljekova (koji su u kompeticiji za mehanizme bubrežne tubularne sekrecije) dovesti do porasta koncentracije i MPAG i ganciklovira. Ne očekuju se nikakve značajnije promjene farmakokinetike MPA, pa nije potrebno podešavanje doze lijeka Trixin. Kod pacijenata sa bubrežnom insuficijencijom kojima se paralelno daju Trixin i ganciklovir ili njegovi proljekovi, na pr. valganciklovir, potrebno je razmotriti primjenu preporučene doze ganciklovira i pažljivo pratiti pacijenta. </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u w:val="single"/>
              </w:rPr>
              <w:t>Oralni kontraceptivi</w:t>
            </w:r>
            <w:r w:rsidRPr="008F3D45">
              <w:rPr>
                <w:sz w:val="22"/>
                <w:szCs w:val="22"/>
              </w:rPr>
              <w:t>: Farmakokinetika i farmakodinamika oralnih kontraceptiva nije se izmijenila njihovom istovremenom primjenom sa Trixinom (vidjeti dio 5.2).</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u w:val="single"/>
              </w:rPr>
              <w:t>Rifampicin</w:t>
            </w:r>
            <w:r w:rsidRPr="008F3D45">
              <w:rPr>
                <w:sz w:val="22"/>
                <w:szCs w:val="22"/>
              </w:rPr>
              <w:t>: kod pacijenata koji ne dobijaju i ciklosporin, istovremena primjena lijeka Trixin® i rifampicina rezultirala je smanjenjem izloženosti MPA (</w:t>
            </w:r>
            <w:r w:rsidRPr="008F3D45">
              <w:rPr>
                <w:rFonts w:eastAsia="Calibri"/>
                <w:sz w:val="22"/>
                <w:szCs w:val="22"/>
              </w:rPr>
              <w:t xml:space="preserve"> </w:t>
            </w:r>
            <w:r w:rsidRPr="008F3D45">
              <w:rPr>
                <w:rFonts w:eastAsia="Calibri"/>
                <w:sz w:val="22"/>
                <w:szCs w:val="22"/>
                <w:vertAlign w:val="subscript"/>
              </w:rPr>
              <w:t>0–12</w:t>
            </w:r>
            <w:r w:rsidRPr="008F3D45">
              <w:rPr>
                <w:sz w:val="22"/>
                <w:szCs w:val="22"/>
                <w:vertAlign w:val="subscript"/>
              </w:rPr>
              <w:t xml:space="preserve"> h</w:t>
            </w:r>
            <w:r w:rsidRPr="008F3D45">
              <w:rPr>
                <w:sz w:val="22"/>
                <w:szCs w:val="22"/>
              </w:rPr>
              <w:t>) od  18% do 70%. Preporučuje se praćenje nivoa izloženosti  MPA kao i prilagođavanje doze lijeka Trixin® prema njemu u cilju održavanja kliničke efikasnosti pri istovremenoj primjeni rifampicina.</w:t>
            </w:r>
          </w:p>
          <w:p w:rsidR="008F3D45" w:rsidRPr="008F3D45" w:rsidRDefault="008F3D45" w:rsidP="009E1912">
            <w:pPr>
              <w:rPr>
                <w:sz w:val="22"/>
                <w:szCs w:val="22"/>
              </w:rPr>
            </w:pPr>
          </w:p>
          <w:p w:rsidR="008F3D45" w:rsidRPr="008F3D45" w:rsidRDefault="008F3D45" w:rsidP="009E1912">
            <w:pPr>
              <w:jc w:val="both"/>
              <w:rPr>
                <w:sz w:val="22"/>
                <w:szCs w:val="22"/>
              </w:rPr>
            </w:pPr>
            <w:r w:rsidRPr="008F3D45">
              <w:rPr>
                <w:sz w:val="22"/>
                <w:szCs w:val="22"/>
                <w:u w:val="single"/>
              </w:rPr>
              <w:t>Sirolimus</w:t>
            </w:r>
            <w:r w:rsidRPr="008F3D45">
              <w:rPr>
                <w:sz w:val="22"/>
                <w:szCs w:val="22"/>
              </w:rPr>
              <w:t>: kod pacijenata kod kojih je izvršena transplantacija bubrega, istovremena primjena lijeka Trixin® i CsA dovela je do smanjenja izloženosti MPA  za 30-50% u poređenju sa pacijentima koji su primili kombinaciju sirolimusa i sličnih doza lijeka Trixin® (vidjeti dio 4.4).</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u w:val="single"/>
              </w:rPr>
              <w:t>Sevelamer</w:t>
            </w:r>
            <w:r w:rsidRPr="008F3D45">
              <w:rPr>
                <w:sz w:val="22"/>
                <w:szCs w:val="22"/>
              </w:rPr>
              <w:t>: smanjenje vrijednosti Cmax i PIK</w:t>
            </w:r>
            <w:r w:rsidRPr="008F3D45">
              <w:rPr>
                <w:rFonts w:eastAsia="Calibri"/>
                <w:sz w:val="22"/>
                <w:szCs w:val="22"/>
                <w:vertAlign w:val="subscript"/>
              </w:rPr>
              <w:t>0–12</w:t>
            </w:r>
            <w:r w:rsidRPr="008F3D45">
              <w:rPr>
                <w:sz w:val="22"/>
                <w:szCs w:val="22"/>
              </w:rPr>
              <w:t xml:space="preserve">  MPA  od 30% odnosno 25%, uočeno je tokom istovremene primjene lijeka Trixin® sa sevelamerom bez bilo kakvih kliničkih posljedica (na primjer odbacivanje grafta). Ipak se preporučuje primjena lijeka Trixin® najmanje jedan sat prije ili tri sata nakon unošenja sevelamera, kako bi se uticaj na resorpciju MPA smanjio na minimum. Ne postoje podaci o interakciji lijeka Trixin® sa drugim ljekovima koji vežu fosfate, osim sa sevelamerom.</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u w:val="single"/>
              </w:rPr>
              <w:t>Trimetoprim/sulfametoksazol</w:t>
            </w:r>
            <w:r w:rsidRPr="008F3D45">
              <w:rPr>
                <w:sz w:val="22"/>
                <w:szCs w:val="22"/>
              </w:rPr>
              <w:t xml:space="preserve">: nije zabilježeno nikakvo dejstvo na biološku raspoloživost MPA. </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u w:val="single"/>
              </w:rPr>
              <w:t>Norfloksacin i metronidazol:</w:t>
            </w:r>
            <w:r w:rsidRPr="008F3D45">
              <w:rPr>
                <w:sz w:val="22"/>
                <w:szCs w:val="22"/>
              </w:rPr>
              <w:t xml:space="preserve"> kod zdravih dobrovoljaca, nije uočena značajna interakcija kada je Trixin® primjenjen istovremeno sa norfloksacinom odnosno metronidazolom. Međutim, norfloksacin i metronidazol primjenjeni zajedno smanjuju izloženost MPA za oko 30% nakon pojedinačne doze lijeka Trixin®.</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u w:val="single"/>
              </w:rPr>
              <w:t>Ciprofloksacin i amoksicilin plus klavulanska kiselina</w:t>
            </w:r>
            <w:r w:rsidRPr="008F3D45">
              <w:rPr>
                <w:b/>
                <w:sz w:val="22"/>
                <w:szCs w:val="22"/>
              </w:rPr>
              <w:t xml:space="preserve">: </w:t>
            </w:r>
            <w:r w:rsidRPr="008F3D45">
              <w:rPr>
                <w:sz w:val="22"/>
                <w:szCs w:val="22"/>
              </w:rPr>
              <w:t>prijavljeni su slučajevi redukcije u pre dozi (kroz) MPA koncentracije od oko 50% kod pacijenata sa bubrežnim transplantantima u danima odmah nakon početka primjene oralnog ciprofloksacina ili amoksicilina plus klavulinska kiselina. Ovaj efekat se smanjuje sa nastavkom primjene antibiotika i prestaje unutar nekoliko dana od prekida njihove primjene. Promjene nivoa koncentracije neposredno prije davanja sljedeće doze nijesu tačan pokazatelj promjene u ukupnoj izloženosti MPA. Dakle, u odsustvu kliničkih dokaza disfunkcije grafta, promjena doze lijeka Trixin obično nije potrebna. Međutim, kliničko praćenje treba sprovesti tokom kombinacije i kratko nakon liječenja antibioticima.</w:t>
            </w:r>
          </w:p>
          <w:p w:rsidR="008F3D45" w:rsidRPr="008F3D45" w:rsidRDefault="008F3D45" w:rsidP="009E1912">
            <w:pPr>
              <w:jc w:val="both"/>
              <w:rPr>
                <w:sz w:val="22"/>
                <w:szCs w:val="22"/>
                <w:u w:val="single"/>
              </w:rPr>
            </w:pPr>
          </w:p>
          <w:p w:rsidR="008F3D45" w:rsidRPr="008F3D45" w:rsidRDefault="008F3D45" w:rsidP="009E1912">
            <w:pPr>
              <w:jc w:val="both"/>
              <w:rPr>
                <w:sz w:val="22"/>
                <w:szCs w:val="22"/>
              </w:rPr>
            </w:pPr>
            <w:r w:rsidRPr="008F3D45">
              <w:rPr>
                <w:sz w:val="22"/>
                <w:szCs w:val="22"/>
                <w:u w:val="single"/>
              </w:rPr>
              <w:t>Takrolimus</w:t>
            </w:r>
            <w:r w:rsidRPr="008F3D45">
              <w:rPr>
                <w:sz w:val="22"/>
                <w:szCs w:val="22"/>
              </w:rPr>
              <w:t>: kod pacijenata kojima je presađena jetra, a kod kojih je započeta terapija lijekom Trixin® i takrolimusom, istovremena primjena takrolimusa nije značajno uticala na PIK i Cmax aktivnog metabolita  lijeka Trixin®, MRA. Nasuprot tome, zabilježeno je povećanje PIK takrolimusa od približno 20% kada su davane ponovljene doze lijeka Trixin® (1,5 g dva puta na dan) pacijentima koji već uzimaju takrolimus. Međutim, kod pacijenata kojima je presađen bubreg, koncentarcija takrolimusa nije bila izmijenjena primjenom lijeka Trixin® ( vidjeti dio 4.4).</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u w:val="single"/>
              </w:rPr>
              <w:t>Ostale interakcije</w:t>
            </w:r>
            <w:r w:rsidRPr="008F3D45">
              <w:rPr>
                <w:sz w:val="22"/>
                <w:szCs w:val="22"/>
              </w:rPr>
              <w:t xml:space="preserve">: istovremena primjena probenecida sa mikofenolat mofetilom kod majmuna povećavalo je PIK MPAG u plazmi tri puta. Prema tome, i druge supstance za koje se zna da podliježu bubrežnoj tubularnoj sekreciji bi mogle da uđu u kompeticiju sa MPAG i tako povećaju koncentracije MPAG u plazmi ili koncentracije drugih supstanci koje podliježu tubularnoj sekreciji. </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u w:val="single"/>
              </w:rPr>
              <w:t>Žive vakcine</w:t>
            </w:r>
            <w:r w:rsidRPr="008F3D45">
              <w:rPr>
                <w:sz w:val="22"/>
                <w:szCs w:val="22"/>
              </w:rPr>
              <w:t>: žive vakcine ne  smiju se  davati pacijentima sa oslabljenim imunološkim  odgovorom. Odgovor antitijela na druge vakcine može biti smanjen (vidjeti dio 4.4).</w:t>
            </w:r>
          </w:p>
          <w:p w:rsidR="008F3D45" w:rsidRPr="008F3D45" w:rsidRDefault="008F3D45" w:rsidP="009E1912">
            <w:pPr>
              <w:rPr>
                <w:sz w:val="22"/>
                <w:szCs w:val="22"/>
              </w:rPr>
            </w:pPr>
          </w:p>
        </w:tc>
      </w:tr>
      <w:tr w:rsidR="008F3D45" w:rsidRPr="008F3D45" w:rsidTr="009E1912">
        <w:tc>
          <w:tcPr>
            <w:tcW w:w="10188" w:type="dxa"/>
            <w:gridSpan w:val="4"/>
            <w:vAlign w:val="center"/>
          </w:tcPr>
          <w:p w:rsidR="008F3D45" w:rsidRPr="008F3D45" w:rsidRDefault="008F3D45" w:rsidP="009E1912">
            <w:pPr>
              <w:pStyle w:val="Header"/>
              <w:tabs>
                <w:tab w:val="left" w:pos="284"/>
              </w:tabs>
              <w:spacing w:before="80" w:after="80"/>
              <w:jc w:val="both"/>
              <w:rPr>
                <w:b/>
                <w:bCs/>
                <w:sz w:val="22"/>
                <w:szCs w:val="22"/>
              </w:rPr>
            </w:pPr>
            <w:r w:rsidRPr="008F3D45">
              <w:rPr>
                <w:b/>
                <w:bCs/>
                <w:sz w:val="22"/>
                <w:szCs w:val="22"/>
              </w:rPr>
              <w:lastRenderedPageBreak/>
              <w:t>4.6. Primjena u periodu trudnoće i dojenja</w:t>
            </w:r>
          </w:p>
          <w:p w:rsidR="008F3D45" w:rsidRPr="008F3D45" w:rsidRDefault="008F3D45" w:rsidP="009E1912">
            <w:pPr>
              <w:pStyle w:val="Header"/>
              <w:tabs>
                <w:tab w:val="left" w:pos="284"/>
              </w:tabs>
              <w:spacing w:before="80" w:after="80"/>
              <w:jc w:val="both"/>
              <w:rPr>
                <w:b/>
                <w:bCs/>
                <w:sz w:val="22"/>
                <w:szCs w:val="22"/>
                <w:u w:val="single"/>
              </w:rPr>
            </w:pPr>
          </w:p>
          <w:p w:rsidR="008F3D45" w:rsidRPr="008F3D45" w:rsidRDefault="008F3D45" w:rsidP="009E1912">
            <w:pPr>
              <w:pStyle w:val="Header"/>
              <w:tabs>
                <w:tab w:val="left" w:pos="284"/>
              </w:tabs>
              <w:spacing w:before="80" w:after="80"/>
              <w:jc w:val="both"/>
              <w:rPr>
                <w:b/>
                <w:bCs/>
                <w:sz w:val="22"/>
                <w:szCs w:val="22"/>
              </w:rPr>
            </w:pPr>
            <w:r w:rsidRPr="008F3D45">
              <w:rPr>
                <w:bCs/>
                <w:sz w:val="22"/>
                <w:szCs w:val="22"/>
                <w:u w:val="single"/>
              </w:rPr>
              <w:t>Trudnoća</w:t>
            </w:r>
            <w:r w:rsidRPr="008F3D45">
              <w:rPr>
                <w:b/>
                <w:bCs/>
                <w:sz w:val="22"/>
                <w:szCs w:val="22"/>
                <w:u w:val="single"/>
              </w:rPr>
              <w:t>:</w:t>
            </w:r>
          </w:p>
        </w:tc>
      </w:tr>
      <w:tr w:rsidR="008F3D45" w:rsidRPr="008F3D45" w:rsidTr="009E1912">
        <w:trPr>
          <w:trHeight w:val="1145"/>
        </w:trPr>
        <w:tc>
          <w:tcPr>
            <w:tcW w:w="10188" w:type="dxa"/>
            <w:gridSpan w:val="4"/>
            <w:vAlign w:val="center"/>
          </w:tcPr>
          <w:p w:rsidR="008F3D45" w:rsidRPr="008F3D45" w:rsidRDefault="008F3D45" w:rsidP="009E1912">
            <w:pPr>
              <w:jc w:val="both"/>
              <w:rPr>
                <w:sz w:val="22"/>
                <w:szCs w:val="22"/>
              </w:rPr>
            </w:pPr>
            <w:r w:rsidRPr="008F3D45">
              <w:rPr>
                <w:sz w:val="22"/>
                <w:szCs w:val="22"/>
              </w:rPr>
              <w:t>Početak liječenja lijekomTrixin preporučuje se tek nakon što se potvrdi negativan test na trudnoću. Prije uvođenja terapije lijekom Trixin, tokom terapije i šest nedjelja po prekidu ove terapije (vidjeti dio 4.5) mora se koristiti efikasna  kontracepcija. Pacijentkinje treba upozoriti da se odmah obrate svom ljekaru ako posumnjaju da su trudne.</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rPr>
              <w:t xml:space="preserve">Upotreba lijeka Trixin® se ne preporučuje tokom trudnoće i treba je ograničiti na za slučajeve kada ne postoji prikladniji altertativni način liječenja. Trixin® treba koristiti kod trudnica samo ako je potencijalna korist veća od potencijalnog rizika po fetus. Postoji ograničen nivo podataka o upotrebi lijeka Trixin® kod trudnica. Međutim, kongenitalne malformacije uključujući malformacije uva, kao što je poremećaj formiranja ili odsustvo spoljašnjeg/srednjeg uva, prijavljeni su kod djece pacijentkinja koje su primale Trixin u kombinaciji sa drugim imunosupresivima tokom trudnoće. Slučajevi spontanog abortusa su prijavljeni kod pacijentkinja  koje su koristile Trixin. Ispitivanja na životinjama su pokazala reproduktivnu toksičnost (vidjeti dio 5.3). </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rPr>
              <w:t>Dojenje:</w:t>
            </w:r>
          </w:p>
          <w:p w:rsidR="008F3D45" w:rsidRPr="008F3D45" w:rsidRDefault="008F3D45" w:rsidP="009E1912">
            <w:pPr>
              <w:jc w:val="both"/>
              <w:rPr>
                <w:sz w:val="22"/>
                <w:szCs w:val="22"/>
              </w:rPr>
            </w:pPr>
            <w:r w:rsidRPr="008F3D45">
              <w:rPr>
                <w:sz w:val="22"/>
                <w:szCs w:val="22"/>
              </w:rPr>
              <w:t xml:space="preserve">Pokazano je da se mikofenolat mofetil izlučuje u mlijeko ženki pacova u periodu laktacije. Nije poznato da li se ova supstanca izlučuje u majčino  mlijeko. Zbog mogućih ozbiljnih neželjenih  dejstava mikofenolat mofetila na odojčad Trixin je kontraindikovan kod dojilja (vidjeti dio 4.3). </w:t>
            </w:r>
          </w:p>
          <w:p w:rsidR="008F3D45" w:rsidRPr="008F3D45" w:rsidRDefault="008F3D45" w:rsidP="009E1912">
            <w:pPr>
              <w:jc w:val="both"/>
              <w:rPr>
                <w:sz w:val="22"/>
                <w:szCs w:val="22"/>
              </w:rPr>
            </w:pPr>
          </w:p>
          <w:p w:rsidR="008F3D45" w:rsidRPr="008F3D45" w:rsidRDefault="008F3D45" w:rsidP="009E1912">
            <w:pPr>
              <w:pStyle w:val="Header"/>
              <w:tabs>
                <w:tab w:val="left" w:pos="284"/>
              </w:tabs>
              <w:jc w:val="both"/>
              <w:rPr>
                <w:sz w:val="22"/>
                <w:szCs w:val="22"/>
              </w:rPr>
            </w:pPr>
          </w:p>
        </w:tc>
      </w:tr>
      <w:tr w:rsidR="008F3D45" w:rsidRPr="008F3D45" w:rsidTr="009E1912">
        <w:tc>
          <w:tcPr>
            <w:tcW w:w="10188" w:type="dxa"/>
            <w:gridSpan w:val="4"/>
            <w:vAlign w:val="center"/>
          </w:tcPr>
          <w:p w:rsidR="008F3D45" w:rsidRPr="008F3D45" w:rsidRDefault="008F3D45" w:rsidP="009E1912">
            <w:pPr>
              <w:pStyle w:val="Header"/>
              <w:tabs>
                <w:tab w:val="left" w:pos="284"/>
              </w:tabs>
              <w:spacing w:before="80" w:after="80"/>
              <w:rPr>
                <w:b/>
                <w:bCs/>
                <w:spacing w:val="-8"/>
                <w:sz w:val="22"/>
                <w:szCs w:val="22"/>
              </w:rPr>
            </w:pPr>
            <w:r w:rsidRPr="008F3D45">
              <w:rPr>
                <w:b/>
                <w:bCs/>
                <w:spacing w:val="-8"/>
                <w:sz w:val="22"/>
                <w:szCs w:val="22"/>
              </w:rPr>
              <w:t>4.7. Uticaj na psihofizičke sposobnosti prilikom upravljanja motornim vozilom i rukovanja mašinama</w:t>
            </w:r>
          </w:p>
        </w:tc>
      </w:tr>
      <w:tr w:rsidR="008F3D45" w:rsidRPr="008F3D45" w:rsidTr="009E1912">
        <w:trPr>
          <w:trHeight w:val="885"/>
        </w:trPr>
        <w:tc>
          <w:tcPr>
            <w:tcW w:w="10188" w:type="dxa"/>
            <w:gridSpan w:val="4"/>
            <w:vAlign w:val="center"/>
          </w:tcPr>
          <w:p w:rsidR="008F3D45" w:rsidRPr="008F3D45" w:rsidRDefault="008F3D45" w:rsidP="009E1912">
            <w:pPr>
              <w:jc w:val="both"/>
              <w:rPr>
                <w:sz w:val="22"/>
                <w:szCs w:val="22"/>
              </w:rPr>
            </w:pPr>
            <w:r w:rsidRPr="008F3D45">
              <w:rPr>
                <w:sz w:val="22"/>
                <w:szCs w:val="22"/>
              </w:rPr>
              <w:t>Nijesu sprovedena ispitivanja o uticaju lijeka na sposobnost upravljanja vozilima i radom na mašinama. Farmakodinamički profil i zabilježene neželjene reakcije govore da je ovakvo dejstvo malo vjerovatno.</w:t>
            </w:r>
          </w:p>
          <w:p w:rsidR="008F3D45" w:rsidRPr="008F3D45" w:rsidRDefault="008F3D45" w:rsidP="009E1912">
            <w:pPr>
              <w:pStyle w:val="Header"/>
              <w:tabs>
                <w:tab w:val="left" w:pos="284"/>
              </w:tabs>
              <w:rPr>
                <w:sz w:val="22"/>
                <w:szCs w:val="22"/>
              </w:rPr>
            </w:pPr>
          </w:p>
        </w:tc>
      </w:tr>
      <w:tr w:rsidR="008F3D45" w:rsidRPr="008F3D45" w:rsidTr="009E1912">
        <w:tc>
          <w:tcPr>
            <w:tcW w:w="10188" w:type="dxa"/>
            <w:gridSpan w:val="4"/>
            <w:vAlign w:val="center"/>
          </w:tcPr>
          <w:p w:rsidR="008F3D45" w:rsidRPr="008F3D45" w:rsidRDefault="008F3D45" w:rsidP="009E1912">
            <w:pPr>
              <w:pStyle w:val="Header"/>
              <w:tabs>
                <w:tab w:val="left" w:pos="284"/>
              </w:tabs>
              <w:spacing w:before="80" w:after="80"/>
              <w:jc w:val="both"/>
              <w:rPr>
                <w:b/>
                <w:bCs/>
                <w:sz w:val="22"/>
                <w:szCs w:val="22"/>
              </w:rPr>
            </w:pPr>
            <w:r w:rsidRPr="008F3D45">
              <w:rPr>
                <w:b/>
                <w:bCs/>
                <w:sz w:val="22"/>
                <w:szCs w:val="22"/>
              </w:rPr>
              <w:t>4.8. Neželjena dejstva</w:t>
            </w:r>
          </w:p>
        </w:tc>
      </w:tr>
      <w:tr w:rsidR="008F3D45" w:rsidRPr="008F3D45" w:rsidTr="009E1912">
        <w:trPr>
          <w:trHeight w:val="1145"/>
        </w:trPr>
        <w:tc>
          <w:tcPr>
            <w:tcW w:w="10188" w:type="dxa"/>
            <w:gridSpan w:val="4"/>
            <w:vAlign w:val="center"/>
          </w:tcPr>
          <w:p w:rsidR="008F3D45" w:rsidRPr="008F3D45" w:rsidRDefault="008F3D45" w:rsidP="009E1912">
            <w:pPr>
              <w:jc w:val="both"/>
              <w:rPr>
                <w:sz w:val="22"/>
                <w:szCs w:val="22"/>
              </w:rPr>
            </w:pPr>
            <w:r w:rsidRPr="008F3D45">
              <w:rPr>
                <w:sz w:val="22"/>
                <w:szCs w:val="22"/>
                <w:u w:val="single"/>
              </w:rPr>
              <w:t>U kliničkim ispitivanjima zabilježena su sljedeća neželjena dejstva</w:t>
            </w:r>
            <w:r w:rsidRPr="008F3D45">
              <w:rPr>
                <w:sz w:val="22"/>
                <w:szCs w:val="22"/>
              </w:rPr>
              <w:t xml:space="preserve">: </w:t>
            </w:r>
          </w:p>
          <w:p w:rsidR="008F3D45" w:rsidRPr="008F3D45" w:rsidRDefault="008F3D45" w:rsidP="009E1912">
            <w:pPr>
              <w:jc w:val="both"/>
              <w:rPr>
                <w:sz w:val="22"/>
                <w:szCs w:val="22"/>
              </w:rPr>
            </w:pPr>
            <w:r w:rsidRPr="008F3D45">
              <w:rPr>
                <w:sz w:val="22"/>
                <w:szCs w:val="22"/>
              </w:rPr>
              <w:t xml:space="preserve">Osnovna neželjena dejstva povezana sa davanjem mikofenolat mofetila u kombinaciji sa ciklosporinom i kortikosteroidima uključuju dijareju, leukopeniju, sepsu i povraćanje, a postoje i dokazi o većoj učestalosti nekih vrsta infekcija (vidjeti dio 4.4). </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u w:val="single"/>
              </w:rPr>
              <w:t>Maligniteti</w:t>
            </w:r>
            <w:r w:rsidRPr="008F3D45">
              <w:rPr>
                <w:sz w:val="22"/>
                <w:szCs w:val="22"/>
              </w:rPr>
              <w:t xml:space="preserve">: </w:t>
            </w:r>
          </w:p>
          <w:p w:rsidR="008F3D45" w:rsidRPr="008F3D45" w:rsidRDefault="008F3D45" w:rsidP="009E1912">
            <w:pPr>
              <w:jc w:val="both"/>
              <w:rPr>
                <w:sz w:val="22"/>
                <w:szCs w:val="22"/>
              </w:rPr>
            </w:pPr>
            <w:r w:rsidRPr="008F3D45">
              <w:rPr>
                <w:sz w:val="22"/>
                <w:szCs w:val="22"/>
              </w:rPr>
              <w:t xml:space="preserve">Pacijenti koji primaju imunosupresivnu terapiju koja obuhvata kombinaciju ljekova uključujući i mikofenolat mofetil su izloženi povećanom riziku od razvoja limfoma i drugih maligniteta, posebno na koži (vidjeti dio 4.4). Limfoproliferativne bolesti ili limfomi razvili su se kod 0,6% pacijenata koji su primali mikofenolat mofetil (2 g ili 3 g na dan) u kombinaciji sa drugim imunosupresivima u kontrolisanim kliničkim studijama na pacijentima kojima su presađeni bubreg (podaci sa 2 g), srce ili jetra, koji su praćeni najmanje godinu dana. Do nemelanomskih karcinoma kože došlo je kod 3,6% pacijenata; druge vrste maligniteta javile su se kod 1,1% pacijenata. Trogodišnji podaci o bezbjednosti kod pacijenata kojima su presađeni bubreg i srce nijesu otkrili nikakve neočekivane promjene u incidenciji maligniteta u poređenju sa podacima dobijenim poslije godinu dana. Pacijenti kojima je presađena jetra praćeni su najmanje godinu dana, ali manje od 3 godine. </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u w:val="single"/>
              </w:rPr>
              <w:lastRenderedPageBreak/>
              <w:t>Oportunističke infekcije</w:t>
            </w:r>
            <w:r w:rsidRPr="008F3D45">
              <w:rPr>
                <w:sz w:val="22"/>
                <w:szCs w:val="22"/>
              </w:rPr>
              <w:t xml:space="preserve">: </w:t>
            </w:r>
          </w:p>
          <w:p w:rsidR="008F3D45" w:rsidRPr="008F3D45" w:rsidRDefault="008F3D45" w:rsidP="009E1912">
            <w:pPr>
              <w:jc w:val="both"/>
              <w:rPr>
                <w:sz w:val="22"/>
                <w:szCs w:val="22"/>
              </w:rPr>
            </w:pPr>
            <w:r w:rsidRPr="008F3D45">
              <w:rPr>
                <w:sz w:val="22"/>
                <w:szCs w:val="22"/>
              </w:rPr>
              <w:t xml:space="preserve">Svi transplantirani bolesnici su izloženi povećanom riziku od oportunističkih infekcija; ovaj rizik se povećavao sa ukupnim opterećenjem imunosupresivima (vidjeti dio 4.4). Najčešće oportunističke infekcije kod pacijenata koji su primali mikofenolat mofetil (2 g ili 3 g na dan) sa drugim imunosupresivima u kontrolisanim kliničkim ispitivanjima na pacijentima kojima su presađeni bubreg (podaci sa 2 g), srce ili jetra, koji su praćeni najmanje godinu dana, bile su mukokutana kandida, viremija/sindrom CMV i Herpes simplex. Procenat pacijenata sa viremijom/sindromom CMV iznosio je 13,5%. </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u w:val="single"/>
              </w:rPr>
              <w:t>Djeca i adolescenti (uzrasta 2 do 18 godina)</w:t>
            </w:r>
            <w:r w:rsidRPr="008F3D45">
              <w:rPr>
                <w:sz w:val="22"/>
                <w:szCs w:val="22"/>
              </w:rPr>
              <w:t xml:space="preserve">: </w:t>
            </w:r>
          </w:p>
          <w:p w:rsidR="008F3D45" w:rsidRPr="008F3D45" w:rsidRDefault="008F3D45" w:rsidP="009E1912">
            <w:pPr>
              <w:jc w:val="both"/>
              <w:rPr>
                <w:sz w:val="22"/>
                <w:szCs w:val="22"/>
              </w:rPr>
            </w:pPr>
            <w:r w:rsidRPr="008F3D45">
              <w:rPr>
                <w:sz w:val="22"/>
                <w:szCs w:val="22"/>
              </w:rPr>
              <w:t>Tip i učestalost neželjenih reakcija u jednoj kliničkoj studiji  u kojoj su regrutovana 92 pedijatrijska bolesnika uzrasta 2 do 18 godina koji su dobijali 600 mg/m</w:t>
            </w:r>
            <w:r w:rsidRPr="008F3D45">
              <w:rPr>
                <w:sz w:val="22"/>
                <w:szCs w:val="22"/>
                <w:vertAlign w:val="superscript"/>
              </w:rPr>
              <w:t>2</w:t>
            </w:r>
            <w:r w:rsidRPr="008F3D45">
              <w:rPr>
                <w:sz w:val="22"/>
                <w:szCs w:val="22"/>
              </w:rPr>
              <w:t xml:space="preserve"> mikofenolat mofetila oralno dva puta na dan, bili su uglavnom slični onima koje su zabilježene kod odraslih koji su dobijali 1 g mikofenolat mofetila dva puta na dan. Međutim, sljedeći neželjeni događaji koji su povezani sa terapijom bili su češći u pedijatrijskoj populaciji, pogotovu kod djece uzrasta ispod 6 godina, kada se uporede sa odraslima: dijareja, sepsa, leukopenija, anemija i infekcije. </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u w:val="single"/>
              </w:rPr>
              <w:t>Stariji pacijenti (≥ 65 godina)</w:t>
            </w:r>
            <w:r w:rsidRPr="008F3D45">
              <w:rPr>
                <w:sz w:val="22"/>
                <w:szCs w:val="22"/>
              </w:rPr>
              <w:t xml:space="preserve">: </w:t>
            </w:r>
          </w:p>
          <w:p w:rsidR="008F3D45" w:rsidRPr="008F3D45" w:rsidRDefault="008F3D45" w:rsidP="009E1912">
            <w:pPr>
              <w:jc w:val="both"/>
              <w:rPr>
                <w:sz w:val="22"/>
                <w:szCs w:val="22"/>
              </w:rPr>
            </w:pPr>
            <w:r w:rsidRPr="008F3D45">
              <w:rPr>
                <w:sz w:val="22"/>
                <w:szCs w:val="22"/>
              </w:rPr>
              <w:t xml:space="preserve">Stariji pacijenti (≥ 65 godina) mogu generalno biti izloženi povećanom riziku od neželjenih reakcija zbog imunosupresije. Pacijenti starijeg životnog doba koji primaju mikofenolat mofetil kao dio kombinovane imunosupresivne terapije mogu biti, u poređenju sa mlađim pacijentima, izloženi povećanom riziku od nekih infekcija (uključujući invazivnu tkivnu infekciju citomegalovirusom) i eventualno od gastrointestinalne hemoragije i plućnog edema. </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u w:val="single"/>
              </w:rPr>
              <w:t>Druge neželjene reakcije</w:t>
            </w:r>
            <w:r w:rsidRPr="008F3D45">
              <w:rPr>
                <w:sz w:val="22"/>
                <w:szCs w:val="22"/>
              </w:rPr>
              <w:t>:</w:t>
            </w:r>
          </w:p>
          <w:p w:rsidR="008F3D45" w:rsidRPr="008F3D45" w:rsidRDefault="008F3D45" w:rsidP="009E1912">
            <w:pPr>
              <w:jc w:val="both"/>
              <w:rPr>
                <w:sz w:val="22"/>
                <w:szCs w:val="22"/>
              </w:rPr>
            </w:pPr>
            <w:r w:rsidRPr="008F3D45">
              <w:rPr>
                <w:sz w:val="22"/>
                <w:szCs w:val="22"/>
              </w:rPr>
              <w:t xml:space="preserve">Neželjene reakcije, vjerovatno ili moguće povezane sa mikofenolat mofetilom prijavljene kod ≥1/10 i ≥1/100 do &lt;1/10 pacijenata liječenih mikofenolat mofetilom u kontrolisanim kliničkim studijama transplantacije bubrega (podaci sa 2 g), jetre i srca i navedene su u sljedećoj tabeli: </w:t>
            </w:r>
          </w:p>
          <w:p w:rsidR="008F3D45" w:rsidRPr="008F3D45" w:rsidRDefault="008F3D45" w:rsidP="009E1912">
            <w:pPr>
              <w:jc w:val="both"/>
              <w:rPr>
                <w:b/>
                <w:sz w:val="22"/>
                <w:szCs w:val="22"/>
              </w:rPr>
            </w:pPr>
          </w:p>
          <w:p w:rsidR="008F3D45" w:rsidRPr="008F3D45" w:rsidRDefault="008F3D45" w:rsidP="009E1912">
            <w:pPr>
              <w:jc w:val="both"/>
              <w:rPr>
                <w:b/>
                <w:sz w:val="22"/>
                <w:szCs w:val="22"/>
              </w:rPr>
            </w:pPr>
            <w:r w:rsidRPr="008F3D45">
              <w:rPr>
                <w:b/>
                <w:sz w:val="22"/>
                <w:szCs w:val="22"/>
              </w:rPr>
              <w:t>Neželjene reakcije, vjerovatno ili moguće povezane sa mikofenolat mofetilom prijavljene kod pacijenata liječenih mikofenolat mofetilom u kliničkim studijama transplantacije bubrega, srca i jetre, kada je ovaj lijek korišćen u kombinaciji sa ciklosporinom i kortikosteroidima</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rPr>
              <w:t>U klasama sistema organa, neželjena dejstva su navedena po učestalosti pojavljivanja korišćenjem sljedećih kategorija: veoma česta (≥1/10); česta (≥1/100 do &lt;1/10), povremena (≥1/1000 do &lt;1/100); rijetka (≥1/10.000 do &lt;1/1000); veoma rijetka (≤1/10.000), nepoznato (ne može se procijeniti iz raspoloživih podataka). U okviru grupe za svaku učestalost, neželjena dejstva su poređana po opadajućoj ozbiljnosti.</w:t>
            </w:r>
          </w:p>
          <w:p w:rsidR="008F3D45" w:rsidRPr="008F3D45" w:rsidRDefault="008F3D45" w:rsidP="009E191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2"/>
              <w:gridCol w:w="1566"/>
              <w:gridCol w:w="4338"/>
            </w:tblGrid>
            <w:tr w:rsidR="008F3D45" w:rsidRPr="008F3D45" w:rsidTr="009E1912">
              <w:tc>
                <w:tcPr>
                  <w:tcW w:w="4518" w:type="dxa"/>
                  <w:gridSpan w:val="2"/>
                  <w:shd w:val="clear" w:color="auto" w:fill="auto"/>
                </w:tcPr>
                <w:p w:rsidR="008F3D45" w:rsidRPr="008F3D45" w:rsidRDefault="008F3D45" w:rsidP="009E1912">
                  <w:pPr>
                    <w:jc w:val="both"/>
                    <w:rPr>
                      <w:b/>
                      <w:sz w:val="22"/>
                      <w:szCs w:val="22"/>
                    </w:rPr>
                  </w:pPr>
                  <w:r w:rsidRPr="008F3D45">
                    <w:rPr>
                      <w:b/>
                      <w:sz w:val="22"/>
                      <w:szCs w:val="22"/>
                    </w:rPr>
                    <w:t>Klase sistema organa</w:t>
                  </w:r>
                </w:p>
              </w:tc>
              <w:tc>
                <w:tcPr>
                  <w:tcW w:w="4338" w:type="dxa"/>
                  <w:shd w:val="clear" w:color="auto" w:fill="auto"/>
                </w:tcPr>
                <w:p w:rsidR="008F3D45" w:rsidRPr="008F3D45" w:rsidRDefault="008F3D45" w:rsidP="009E1912">
                  <w:pPr>
                    <w:jc w:val="both"/>
                    <w:rPr>
                      <w:b/>
                      <w:sz w:val="22"/>
                      <w:szCs w:val="22"/>
                    </w:rPr>
                  </w:pPr>
                  <w:r w:rsidRPr="008F3D45">
                    <w:rPr>
                      <w:b/>
                      <w:sz w:val="22"/>
                      <w:szCs w:val="22"/>
                    </w:rPr>
                    <w:t>Neželjene reakcije</w:t>
                  </w:r>
                </w:p>
              </w:tc>
            </w:tr>
            <w:tr w:rsidR="008F3D45" w:rsidRPr="008F3D45" w:rsidTr="009E1912">
              <w:tc>
                <w:tcPr>
                  <w:tcW w:w="2952" w:type="dxa"/>
                  <w:vMerge w:val="restart"/>
                  <w:shd w:val="clear" w:color="auto" w:fill="auto"/>
                </w:tcPr>
                <w:p w:rsidR="008F3D45" w:rsidRPr="008F3D45" w:rsidRDefault="008F3D45" w:rsidP="009E1912">
                  <w:pPr>
                    <w:jc w:val="both"/>
                    <w:rPr>
                      <w:sz w:val="22"/>
                      <w:szCs w:val="22"/>
                    </w:rPr>
                  </w:pPr>
                  <w:r w:rsidRPr="008F3D45">
                    <w:rPr>
                      <w:sz w:val="22"/>
                      <w:szCs w:val="22"/>
                    </w:rPr>
                    <w:t>Infekcije i infestacije</w:t>
                  </w:r>
                </w:p>
              </w:tc>
              <w:tc>
                <w:tcPr>
                  <w:tcW w:w="1566" w:type="dxa"/>
                  <w:shd w:val="clear" w:color="auto" w:fill="auto"/>
                </w:tcPr>
                <w:p w:rsidR="008F3D45" w:rsidRPr="008F3D45" w:rsidRDefault="008F3D45" w:rsidP="009E1912">
                  <w:pPr>
                    <w:jc w:val="both"/>
                    <w:rPr>
                      <w:sz w:val="22"/>
                      <w:szCs w:val="22"/>
                    </w:rPr>
                  </w:pPr>
                  <w:r w:rsidRPr="008F3D45">
                    <w:rPr>
                      <w:sz w:val="22"/>
                      <w:szCs w:val="22"/>
                    </w:rPr>
                    <w:t>Veoma  česta</w:t>
                  </w:r>
                </w:p>
              </w:tc>
              <w:tc>
                <w:tcPr>
                  <w:tcW w:w="4338" w:type="dxa"/>
                  <w:shd w:val="clear" w:color="auto" w:fill="auto"/>
                </w:tcPr>
                <w:p w:rsidR="008F3D45" w:rsidRPr="008F3D45" w:rsidRDefault="008F3D45" w:rsidP="009E1912">
                  <w:pPr>
                    <w:jc w:val="both"/>
                    <w:rPr>
                      <w:sz w:val="22"/>
                      <w:szCs w:val="22"/>
                    </w:rPr>
                  </w:pPr>
                  <w:r w:rsidRPr="008F3D45">
                    <w:rPr>
                      <w:sz w:val="22"/>
                      <w:szCs w:val="22"/>
                    </w:rPr>
                    <w:t>Sepsa, gastrointestinalna kandidijaza, infekcije urinarnog trakta, herpes simplex, herpes zoster</w:t>
                  </w:r>
                </w:p>
              </w:tc>
            </w:tr>
            <w:tr w:rsidR="008F3D45" w:rsidRPr="008F3D45" w:rsidTr="009E1912">
              <w:tc>
                <w:tcPr>
                  <w:tcW w:w="2952" w:type="dxa"/>
                  <w:vMerge/>
                  <w:shd w:val="clear" w:color="auto" w:fill="auto"/>
                </w:tcPr>
                <w:p w:rsidR="008F3D45" w:rsidRPr="008F3D45" w:rsidRDefault="008F3D45" w:rsidP="009E1912">
                  <w:pPr>
                    <w:jc w:val="both"/>
                    <w:rPr>
                      <w:sz w:val="22"/>
                      <w:szCs w:val="22"/>
                    </w:rPr>
                  </w:pPr>
                </w:p>
              </w:tc>
              <w:tc>
                <w:tcPr>
                  <w:tcW w:w="1566" w:type="dxa"/>
                  <w:shd w:val="clear" w:color="auto" w:fill="auto"/>
                </w:tcPr>
                <w:p w:rsidR="008F3D45" w:rsidRPr="008F3D45" w:rsidRDefault="008F3D45" w:rsidP="009E1912">
                  <w:pPr>
                    <w:jc w:val="both"/>
                    <w:rPr>
                      <w:sz w:val="22"/>
                      <w:szCs w:val="22"/>
                    </w:rPr>
                  </w:pPr>
                  <w:r w:rsidRPr="008F3D45">
                    <w:rPr>
                      <w:sz w:val="22"/>
                      <w:szCs w:val="22"/>
                    </w:rPr>
                    <w:t xml:space="preserve"> Česta</w:t>
                  </w:r>
                </w:p>
              </w:tc>
              <w:tc>
                <w:tcPr>
                  <w:tcW w:w="4338" w:type="dxa"/>
                  <w:shd w:val="clear" w:color="auto" w:fill="auto"/>
                </w:tcPr>
                <w:p w:rsidR="008F3D45" w:rsidRPr="008F3D45" w:rsidRDefault="008F3D45" w:rsidP="009E1912">
                  <w:pPr>
                    <w:jc w:val="both"/>
                    <w:rPr>
                      <w:sz w:val="22"/>
                      <w:szCs w:val="22"/>
                    </w:rPr>
                  </w:pPr>
                  <w:r w:rsidRPr="008F3D45">
                    <w:rPr>
                      <w:sz w:val="22"/>
                      <w:szCs w:val="22"/>
                    </w:rPr>
                    <w:t>Pneumonija, grip, infekcija respiratornog trakta, respiratorna monilijaza, gastrointestinalna infekcija, kandidijaza, gastroenteritis, infekcija, bronhitis, faringitis, sinusitis, gljivična infekcija kože, kandida na koži, vaginalna kandidijaza, rinitis</w:t>
                  </w:r>
                </w:p>
              </w:tc>
            </w:tr>
            <w:tr w:rsidR="008F3D45" w:rsidRPr="008F3D45" w:rsidTr="009E1912">
              <w:tc>
                <w:tcPr>
                  <w:tcW w:w="2952" w:type="dxa"/>
                  <w:vMerge w:val="restart"/>
                  <w:shd w:val="clear" w:color="auto" w:fill="auto"/>
                </w:tcPr>
                <w:p w:rsidR="008F3D45" w:rsidRPr="008F3D45" w:rsidRDefault="008F3D45" w:rsidP="009E1912">
                  <w:pPr>
                    <w:jc w:val="both"/>
                    <w:rPr>
                      <w:sz w:val="22"/>
                      <w:szCs w:val="22"/>
                    </w:rPr>
                  </w:pPr>
                  <w:r w:rsidRPr="008F3D45">
                    <w:rPr>
                      <w:sz w:val="22"/>
                      <w:szCs w:val="22"/>
                    </w:rPr>
                    <w:t xml:space="preserve"> Neoplazme benigne, maligne i nespecifične (uključujući i ciste i polipe)</w:t>
                  </w:r>
                </w:p>
              </w:tc>
              <w:tc>
                <w:tcPr>
                  <w:tcW w:w="1566" w:type="dxa"/>
                  <w:shd w:val="clear" w:color="auto" w:fill="auto"/>
                </w:tcPr>
                <w:p w:rsidR="008F3D45" w:rsidRPr="008F3D45" w:rsidRDefault="008F3D45" w:rsidP="009E1912">
                  <w:pPr>
                    <w:jc w:val="both"/>
                    <w:rPr>
                      <w:sz w:val="22"/>
                      <w:szCs w:val="22"/>
                    </w:rPr>
                  </w:pPr>
                  <w:r w:rsidRPr="008F3D45">
                    <w:rPr>
                      <w:sz w:val="22"/>
                      <w:szCs w:val="22"/>
                    </w:rPr>
                    <w:t>Veoma  česta</w:t>
                  </w:r>
                </w:p>
              </w:tc>
              <w:tc>
                <w:tcPr>
                  <w:tcW w:w="4338" w:type="dxa"/>
                  <w:shd w:val="clear" w:color="auto" w:fill="auto"/>
                </w:tcPr>
                <w:p w:rsidR="008F3D45" w:rsidRPr="008F3D45" w:rsidRDefault="008F3D45" w:rsidP="009E1912">
                  <w:pPr>
                    <w:jc w:val="both"/>
                    <w:rPr>
                      <w:sz w:val="22"/>
                      <w:szCs w:val="22"/>
                    </w:rPr>
                  </w:pPr>
                  <w:r w:rsidRPr="008F3D45">
                    <w:rPr>
                      <w:sz w:val="22"/>
                      <w:szCs w:val="22"/>
                    </w:rPr>
                    <w:t>-</w:t>
                  </w:r>
                </w:p>
              </w:tc>
            </w:tr>
            <w:tr w:rsidR="008F3D45" w:rsidRPr="008F3D45" w:rsidTr="009E1912">
              <w:trPr>
                <w:trHeight w:val="516"/>
              </w:trPr>
              <w:tc>
                <w:tcPr>
                  <w:tcW w:w="2952" w:type="dxa"/>
                  <w:vMerge/>
                  <w:shd w:val="clear" w:color="auto" w:fill="auto"/>
                </w:tcPr>
                <w:p w:rsidR="008F3D45" w:rsidRPr="008F3D45" w:rsidRDefault="008F3D45" w:rsidP="009E1912">
                  <w:pPr>
                    <w:jc w:val="both"/>
                    <w:rPr>
                      <w:sz w:val="22"/>
                      <w:szCs w:val="22"/>
                    </w:rPr>
                  </w:pPr>
                </w:p>
              </w:tc>
              <w:tc>
                <w:tcPr>
                  <w:tcW w:w="1566" w:type="dxa"/>
                  <w:shd w:val="clear" w:color="auto" w:fill="auto"/>
                </w:tcPr>
                <w:p w:rsidR="008F3D45" w:rsidRPr="008F3D45" w:rsidRDefault="008F3D45" w:rsidP="009E1912">
                  <w:pPr>
                    <w:jc w:val="both"/>
                    <w:rPr>
                      <w:sz w:val="22"/>
                      <w:szCs w:val="22"/>
                    </w:rPr>
                  </w:pPr>
                  <w:r w:rsidRPr="008F3D45">
                    <w:rPr>
                      <w:sz w:val="22"/>
                      <w:szCs w:val="22"/>
                    </w:rPr>
                    <w:t xml:space="preserve"> Česta</w:t>
                  </w:r>
                </w:p>
              </w:tc>
              <w:tc>
                <w:tcPr>
                  <w:tcW w:w="4338" w:type="dxa"/>
                  <w:shd w:val="clear" w:color="auto" w:fill="auto"/>
                </w:tcPr>
                <w:p w:rsidR="008F3D45" w:rsidRPr="008F3D45" w:rsidRDefault="008F3D45" w:rsidP="009E1912">
                  <w:pPr>
                    <w:jc w:val="both"/>
                    <w:rPr>
                      <w:sz w:val="22"/>
                      <w:szCs w:val="22"/>
                    </w:rPr>
                  </w:pPr>
                  <w:r w:rsidRPr="008F3D45">
                    <w:rPr>
                      <w:sz w:val="22"/>
                      <w:szCs w:val="22"/>
                    </w:rPr>
                    <w:t>Karcinom kože, benigne kožne  neoplazme</w:t>
                  </w:r>
                </w:p>
              </w:tc>
            </w:tr>
            <w:tr w:rsidR="008F3D45" w:rsidRPr="008F3D45" w:rsidTr="009E1912">
              <w:tc>
                <w:tcPr>
                  <w:tcW w:w="2952" w:type="dxa"/>
                  <w:vMerge w:val="restart"/>
                  <w:shd w:val="clear" w:color="auto" w:fill="auto"/>
                </w:tcPr>
                <w:p w:rsidR="008F3D45" w:rsidRPr="008F3D45" w:rsidRDefault="008F3D45" w:rsidP="009E1912">
                  <w:pPr>
                    <w:jc w:val="both"/>
                    <w:rPr>
                      <w:sz w:val="22"/>
                      <w:szCs w:val="22"/>
                    </w:rPr>
                  </w:pPr>
                  <w:r w:rsidRPr="008F3D45">
                    <w:rPr>
                      <w:sz w:val="22"/>
                      <w:szCs w:val="22"/>
                    </w:rPr>
                    <w:t>Poremećaji krvi i limfnog sistema</w:t>
                  </w:r>
                </w:p>
              </w:tc>
              <w:tc>
                <w:tcPr>
                  <w:tcW w:w="1566" w:type="dxa"/>
                  <w:shd w:val="clear" w:color="auto" w:fill="auto"/>
                </w:tcPr>
                <w:p w:rsidR="008F3D45" w:rsidRPr="008F3D45" w:rsidRDefault="008F3D45" w:rsidP="009E1912">
                  <w:pPr>
                    <w:jc w:val="both"/>
                    <w:rPr>
                      <w:sz w:val="22"/>
                      <w:szCs w:val="22"/>
                    </w:rPr>
                  </w:pPr>
                  <w:r w:rsidRPr="008F3D45">
                    <w:rPr>
                      <w:sz w:val="22"/>
                      <w:szCs w:val="22"/>
                    </w:rPr>
                    <w:t>Veoma  česta</w:t>
                  </w:r>
                </w:p>
              </w:tc>
              <w:tc>
                <w:tcPr>
                  <w:tcW w:w="4338" w:type="dxa"/>
                  <w:shd w:val="clear" w:color="auto" w:fill="auto"/>
                </w:tcPr>
                <w:p w:rsidR="008F3D45" w:rsidRPr="008F3D45" w:rsidRDefault="008F3D45" w:rsidP="009E1912">
                  <w:pPr>
                    <w:jc w:val="both"/>
                    <w:rPr>
                      <w:sz w:val="22"/>
                      <w:szCs w:val="22"/>
                    </w:rPr>
                  </w:pPr>
                  <w:r w:rsidRPr="008F3D45">
                    <w:rPr>
                      <w:sz w:val="22"/>
                      <w:szCs w:val="22"/>
                    </w:rPr>
                    <w:t>Leukopenija, trombocitopenija, anemija</w:t>
                  </w:r>
                </w:p>
              </w:tc>
            </w:tr>
            <w:tr w:rsidR="008F3D45" w:rsidRPr="008F3D45" w:rsidTr="009E1912">
              <w:tc>
                <w:tcPr>
                  <w:tcW w:w="2952" w:type="dxa"/>
                  <w:vMerge/>
                  <w:shd w:val="clear" w:color="auto" w:fill="auto"/>
                </w:tcPr>
                <w:p w:rsidR="008F3D45" w:rsidRPr="008F3D45" w:rsidRDefault="008F3D45" w:rsidP="009E1912">
                  <w:pPr>
                    <w:jc w:val="both"/>
                    <w:rPr>
                      <w:sz w:val="22"/>
                      <w:szCs w:val="22"/>
                    </w:rPr>
                  </w:pPr>
                </w:p>
              </w:tc>
              <w:tc>
                <w:tcPr>
                  <w:tcW w:w="1566" w:type="dxa"/>
                  <w:shd w:val="clear" w:color="auto" w:fill="auto"/>
                </w:tcPr>
                <w:p w:rsidR="008F3D45" w:rsidRPr="008F3D45" w:rsidRDefault="008F3D45" w:rsidP="009E1912">
                  <w:pPr>
                    <w:jc w:val="both"/>
                    <w:rPr>
                      <w:sz w:val="22"/>
                      <w:szCs w:val="22"/>
                    </w:rPr>
                  </w:pPr>
                  <w:r w:rsidRPr="008F3D45">
                    <w:rPr>
                      <w:sz w:val="22"/>
                      <w:szCs w:val="22"/>
                    </w:rPr>
                    <w:t xml:space="preserve"> Česta</w:t>
                  </w:r>
                </w:p>
              </w:tc>
              <w:tc>
                <w:tcPr>
                  <w:tcW w:w="4338" w:type="dxa"/>
                  <w:shd w:val="clear" w:color="auto" w:fill="auto"/>
                </w:tcPr>
                <w:p w:rsidR="008F3D45" w:rsidRPr="008F3D45" w:rsidRDefault="008F3D45" w:rsidP="009E1912">
                  <w:pPr>
                    <w:jc w:val="both"/>
                    <w:rPr>
                      <w:sz w:val="22"/>
                      <w:szCs w:val="22"/>
                    </w:rPr>
                  </w:pPr>
                  <w:r w:rsidRPr="008F3D45">
                    <w:rPr>
                      <w:sz w:val="22"/>
                      <w:szCs w:val="22"/>
                    </w:rPr>
                    <w:t>Pancitopenija, leukocitoza</w:t>
                  </w:r>
                </w:p>
              </w:tc>
            </w:tr>
            <w:tr w:rsidR="008F3D45" w:rsidRPr="008F3D45" w:rsidTr="009E1912">
              <w:tc>
                <w:tcPr>
                  <w:tcW w:w="2952" w:type="dxa"/>
                  <w:vMerge w:val="restart"/>
                  <w:shd w:val="clear" w:color="auto" w:fill="auto"/>
                </w:tcPr>
                <w:p w:rsidR="008F3D45" w:rsidRPr="008F3D45" w:rsidRDefault="008F3D45" w:rsidP="009E1912">
                  <w:pPr>
                    <w:jc w:val="both"/>
                    <w:rPr>
                      <w:sz w:val="22"/>
                      <w:szCs w:val="22"/>
                    </w:rPr>
                  </w:pPr>
                  <w:r w:rsidRPr="008F3D45">
                    <w:rPr>
                      <w:sz w:val="22"/>
                      <w:szCs w:val="22"/>
                    </w:rPr>
                    <w:t xml:space="preserve">Poremećaji metabolizma i ishrane </w:t>
                  </w:r>
                </w:p>
              </w:tc>
              <w:tc>
                <w:tcPr>
                  <w:tcW w:w="1566" w:type="dxa"/>
                  <w:shd w:val="clear" w:color="auto" w:fill="auto"/>
                </w:tcPr>
                <w:p w:rsidR="008F3D45" w:rsidRPr="008F3D45" w:rsidRDefault="008F3D45" w:rsidP="009E1912">
                  <w:pPr>
                    <w:jc w:val="both"/>
                    <w:rPr>
                      <w:sz w:val="22"/>
                      <w:szCs w:val="22"/>
                    </w:rPr>
                  </w:pPr>
                  <w:r w:rsidRPr="008F3D45">
                    <w:rPr>
                      <w:sz w:val="22"/>
                      <w:szCs w:val="22"/>
                    </w:rPr>
                    <w:t>Veoma  česta</w:t>
                  </w:r>
                </w:p>
              </w:tc>
              <w:tc>
                <w:tcPr>
                  <w:tcW w:w="4338" w:type="dxa"/>
                  <w:shd w:val="clear" w:color="auto" w:fill="auto"/>
                </w:tcPr>
                <w:p w:rsidR="008F3D45" w:rsidRPr="008F3D45" w:rsidRDefault="008F3D45" w:rsidP="009E1912">
                  <w:pPr>
                    <w:jc w:val="both"/>
                    <w:rPr>
                      <w:sz w:val="22"/>
                      <w:szCs w:val="22"/>
                    </w:rPr>
                  </w:pPr>
                  <w:r w:rsidRPr="008F3D45">
                    <w:rPr>
                      <w:sz w:val="22"/>
                      <w:szCs w:val="22"/>
                    </w:rPr>
                    <w:t>-</w:t>
                  </w:r>
                </w:p>
              </w:tc>
            </w:tr>
            <w:tr w:rsidR="008F3D45" w:rsidRPr="008F3D45" w:rsidTr="009E1912">
              <w:tc>
                <w:tcPr>
                  <w:tcW w:w="2952" w:type="dxa"/>
                  <w:vMerge/>
                  <w:shd w:val="clear" w:color="auto" w:fill="auto"/>
                </w:tcPr>
                <w:p w:rsidR="008F3D45" w:rsidRPr="008F3D45" w:rsidRDefault="008F3D45" w:rsidP="009E1912">
                  <w:pPr>
                    <w:jc w:val="both"/>
                    <w:rPr>
                      <w:sz w:val="22"/>
                      <w:szCs w:val="22"/>
                    </w:rPr>
                  </w:pPr>
                </w:p>
              </w:tc>
              <w:tc>
                <w:tcPr>
                  <w:tcW w:w="1566" w:type="dxa"/>
                  <w:shd w:val="clear" w:color="auto" w:fill="auto"/>
                </w:tcPr>
                <w:p w:rsidR="008F3D45" w:rsidRPr="008F3D45" w:rsidRDefault="008F3D45" w:rsidP="009E1912">
                  <w:pPr>
                    <w:jc w:val="both"/>
                    <w:rPr>
                      <w:sz w:val="22"/>
                      <w:szCs w:val="22"/>
                    </w:rPr>
                  </w:pPr>
                  <w:r w:rsidRPr="008F3D45">
                    <w:rPr>
                      <w:sz w:val="22"/>
                      <w:szCs w:val="22"/>
                    </w:rPr>
                    <w:t xml:space="preserve"> Česta</w:t>
                  </w:r>
                </w:p>
              </w:tc>
              <w:tc>
                <w:tcPr>
                  <w:tcW w:w="4338" w:type="dxa"/>
                  <w:shd w:val="clear" w:color="auto" w:fill="auto"/>
                </w:tcPr>
                <w:p w:rsidR="008F3D45" w:rsidRPr="008F3D45" w:rsidRDefault="008F3D45" w:rsidP="009E1912">
                  <w:pPr>
                    <w:jc w:val="both"/>
                    <w:rPr>
                      <w:sz w:val="22"/>
                      <w:szCs w:val="22"/>
                    </w:rPr>
                  </w:pPr>
                  <w:r w:rsidRPr="008F3D45">
                    <w:rPr>
                      <w:sz w:val="22"/>
                      <w:szCs w:val="22"/>
                    </w:rPr>
                    <w:t>Acidoza, hiperkalemija, hipokalemija, hiperglikemija, hipomagnezemija, hipokalcemija, hiperholesterolemija, hiperlipidemija, hipofosfatemija, hiperurikemija, giht, anoreksija</w:t>
                  </w:r>
                </w:p>
              </w:tc>
            </w:tr>
            <w:tr w:rsidR="008F3D45" w:rsidRPr="008F3D45" w:rsidTr="009E1912">
              <w:tc>
                <w:tcPr>
                  <w:tcW w:w="2952" w:type="dxa"/>
                  <w:vMerge w:val="restart"/>
                  <w:shd w:val="clear" w:color="auto" w:fill="auto"/>
                </w:tcPr>
                <w:p w:rsidR="008F3D45" w:rsidRPr="008F3D45" w:rsidRDefault="008F3D45" w:rsidP="009E1912">
                  <w:pPr>
                    <w:jc w:val="both"/>
                    <w:rPr>
                      <w:sz w:val="22"/>
                      <w:szCs w:val="22"/>
                    </w:rPr>
                  </w:pPr>
                  <w:r w:rsidRPr="008F3D45">
                    <w:rPr>
                      <w:sz w:val="22"/>
                      <w:szCs w:val="22"/>
                    </w:rPr>
                    <w:t>Psihijatrijski poremećaji</w:t>
                  </w:r>
                </w:p>
              </w:tc>
              <w:tc>
                <w:tcPr>
                  <w:tcW w:w="1566" w:type="dxa"/>
                  <w:shd w:val="clear" w:color="auto" w:fill="auto"/>
                </w:tcPr>
                <w:p w:rsidR="008F3D45" w:rsidRPr="008F3D45" w:rsidRDefault="008F3D45" w:rsidP="009E1912">
                  <w:pPr>
                    <w:jc w:val="both"/>
                    <w:rPr>
                      <w:sz w:val="22"/>
                      <w:szCs w:val="22"/>
                    </w:rPr>
                  </w:pPr>
                  <w:r w:rsidRPr="008F3D45">
                    <w:rPr>
                      <w:sz w:val="22"/>
                      <w:szCs w:val="22"/>
                    </w:rPr>
                    <w:t>Veoma  česta</w:t>
                  </w:r>
                </w:p>
              </w:tc>
              <w:tc>
                <w:tcPr>
                  <w:tcW w:w="4338" w:type="dxa"/>
                  <w:shd w:val="clear" w:color="auto" w:fill="auto"/>
                </w:tcPr>
                <w:p w:rsidR="008F3D45" w:rsidRPr="008F3D45" w:rsidRDefault="008F3D45" w:rsidP="009E1912">
                  <w:pPr>
                    <w:jc w:val="both"/>
                    <w:rPr>
                      <w:sz w:val="22"/>
                      <w:szCs w:val="22"/>
                    </w:rPr>
                  </w:pPr>
                  <w:r w:rsidRPr="008F3D45">
                    <w:rPr>
                      <w:sz w:val="22"/>
                      <w:szCs w:val="22"/>
                    </w:rPr>
                    <w:t>-</w:t>
                  </w:r>
                </w:p>
              </w:tc>
            </w:tr>
            <w:tr w:rsidR="008F3D45" w:rsidRPr="008F3D45" w:rsidTr="009E1912">
              <w:tc>
                <w:tcPr>
                  <w:tcW w:w="2952" w:type="dxa"/>
                  <w:vMerge/>
                  <w:shd w:val="clear" w:color="auto" w:fill="auto"/>
                </w:tcPr>
                <w:p w:rsidR="008F3D45" w:rsidRPr="008F3D45" w:rsidRDefault="008F3D45" w:rsidP="009E1912">
                  <w:pPr>
                    <w:jc w:val="both"/>
                    <w:rPr>
                      <w:sz w:val="22"/>
                      <w:szCs w:val="22"/>
                    </w:rPr>
                  </w:pPr>
                </w:p>
              </w:tc>
              <w:tc>
                <w:tcPr>
                  <w:tcW w:w="1566" w:type="dxa"/>
                  <w:shd w:val="clear" w:color="auto" w:fill="auto"/>
                </w:tcPr>
                <w:p w:rsidR="008F3D45" w:rsidRPr="008F3D45" w:rsidRDefault="008F3D45" w:rsidP="009E1912">
                  <w:pPr>
                    <w:jc w:val="both"/>
                    <w:rPr>
                      <w:sz w:val="22"/>
                      <w:szCs w:val="22"/>
                    </w:rPr>
                  </w:pPr>
                  <w:r w:rsidRPr="008F3D45">
                    <w:rPr>
                      <w:sz w:val="22"/>
                      <w:szCs w:val="22"/>
                    </w:rPr>
                    <w:t xml:space="preserve"> Česta</w:t>
                  </w:r>
                </w:p>
              </w:tc>
              <w:tc>
                <w:tcPr>
                  <w:tcW w:w="4338" w:type="dxa"/>
                  <w:shd w:val="clear" w:color="auto" w:fill="auto"/>
                </w:tcPr>
                <w:p w:rsidR="008F3D45" w:rsidRPr="008F3D45" w:rsidRDefault="008F3D45" w:rsidP="009E1912">
                  <w:pPr>
                    <w:jc w:val="both"/>
                    <w:rPr>
                      <w:sz w:val="22"/>
                      <w:szCs w:val="22"/>
                    </w:rPr>
                  </w:pPr>
                  <w:r w:rsidRPr="008F3D45">
                    <w:rPr>
                      <w:sz w:val="22"/>
                      <w:szCs w:val="22"/>
                    </w:rPr>
                    <w:t>Agitiranost, stanje konfuzije, depresija, anksioznost,abnormalne misli, nesanica</w:t>
                  </w:r>
                </w:p>
              </w:tc>
            </w:tr>
            <w:tr w:rsidR="008F3D45" w:rsidRPr="008F3D45" w:rsidTr="009E1912">
              <w:tc>
                <w:tcPr>
                  <w:tcW w:w="2952" w:type="dxa"/>
                  <w:vMerge w:val="restart"/>
                  <w:shd w:val="clear" w:color="auto" w:fill="auto"/>
                </w:tcPr>
                <w:p w:rsidR="008F3D45" w:rsidRPr="008F3D45" w:rsidRDefault="008F3D45" w:rsidP="009E1912">
                  <w:pPr>
                    <w:jc w:val="both"/>
                    <w:rPr>
                      <w:sz w:val="22"/>
                      <w:szCs w:val="22"/>
                    </w:rPr>
                  </w:pPr>
                  <w:r w:rsidRPr="008F3D45">
                    <w:rPr>
                      <w:sz w:val="22"/>
                      <w:szCs w:val="22"/>
                    </w:rPr>
                    <w:t>Poremećaji nervnog sistema</w:t>
                  </w:r>
                </w:p>
              </w:tc>
              <w:tc>
                <w:tcPr>
                  <w:tcW w:w="1566" w:type="dxa"/>
                  <w:shd w:val="clear" w:color="auto" w:fill="auto"/>
                </w:tcPr>
                <w:p w:rsidR="008F3D45" w:rsidRPr="008F3D45" w:rsidRDefault="008F3D45" w:rsidP="009E1912">
                  <w:pPr>
                    <w:jc w:val="both"/>
                    <w:rPr>
                      <w:sz w:val="22"/>
                      <w:szCs w:val="22"/>
                    </w:rPr>
                  </w:pPr>
                  <w:r w:rsidRPr="008F3D45">
                    <w:rPr>
                      <w:sz w:val="22"/>
                      <w:szCs w:val="22"/>
                    </w:rPr>
                    <w:t>Veoma  česta</w:t>
                  </w:r>
                </w:p>
              </w:tc>
              <w:tc>
                <w:tcPr>
                  <w:tcW w:w="4338" w:type="dxa"/>
                  <w:shd w:val="clear" w:color="auto" w:fill="auto"/>
                </w:tcPr>
                <w:p w:rsidR="008F3D45" w:rsidRPr="008F3D45" w:rsidRDefault="008F3D45" w:rsidP="009E1912">
                  <w:pPr>
                    <w:jc w:val="both"/>
                    <w:rPr>
                      <w:sz w:val="22"/>
                      <w:szCs w:val="22"/>
                    </w:rPr>
                  </w:pPr>
                  <w:r w:rsidRPr="008F3D45">
                    <w:rPr>
                      <w:sz w:val="22"/>
                      <w:szCs w:val="22"/>
                    </w:rPr>
                    <w:t>-</w:t>
                  </w:r>
                </w:p>
              </w:tc>
            </w:tr>
            <w:tr w:rsidR="008F3D45" w:rsidRPr="008F3D45" w:rsidTr="009E1912">
              <w:tc>
                <w:tcPr>
                  <w:tcW w:w="2952" w:type="dxa"/>
                  <w:vMerge/>
                  <w:shd w:val="clear" w:color="auto" w:fill="auto"/>
                </w:tcPr>
                <w:p w:rsidR="008F3D45" w:rsidRPr="008F3D45" w:rsidRDefault="008F3D45" w:rsidP="009E1912">
                  <w:pPr>
                    <w:jc w:val="both"/>
                    <w:rPr>
                      <w:sz w:val="22"/>
                      <w:szCs w:val="22"/>
                    </w:rPr>
                  </w:pPr>
                </w:p>
              </w:tc>
              <w:tc>
                <w:tcPr>
                  <w:tcW w:w="1566" w:type="dxa"/>
                  <w:shd w:val="clear" w:color="auto" w:fill="auto"/>
                </w:tcPr>
                <w:p w:rsidR="008F3D45" w:rsidRPr="008F3D45" w:rsidRDefault="008F3D45" w:rsidP="009E1912">
                  <w:pPr>
                    <w:jc w:val="both"/>
                    <w:rPr>
                      <w:sz w:val="22"/>
                      <w:szCs w:val="22"/>
                    </w:rPr>
                  </w:pPr>
                  <w:r w:rsidRPr="008F3D45">
                    <w:rPr>
                      <w:sz w:val="22"/>
                      <w:szCs w:val="22"/>
                    </w:rPr>
                    <w:t xml:space="preserve"> Česta</w:t>
                  </w:r>
                </w:p>
              </w:tc>
              <w:tc>
                <w:tcPr>
                  <w:tcW w:w="4338" w:type="dxa"/>
                  <w:shd w:val="clear" w:color="auto" w:fill="auto"/>
                </w:tcPr>
                <w:p w:rsidR="008F3D45" w:rsidRPr="008F3D45" w:rsidRDefault="008F3D45" w:rsidP="009E1912">
                  <w:pPr>
                    <w:jc w:val="both"/>
                    <w:rPr>
                      <w:sz w:val="22"/>
                      <w:szCs w:val="22"/>
                    </w:rPr>
                  </w:pPr>
                  <w:r w:rsidRPr="008F3D45">
                    <w:rPr>
                      <w:sz w:val="22"/>
                      <w:szCs w:val="22"/>
                    </w:rPr>
                    <w:t>Konvulzije, hipertonija, tremor, somnolencija, miastenični sindrom, omaglice, glavobolja, parestezija, poremećaj čula ukusa</w:t>
                  </w:r>
                </w:p>
              </w:tc>
            </w:tr>
            <w:tr w:rsidR="008F3D45" w:rsidRPr="008F3D45" w:rsidTr="009E1912">
              <w:tc>
                <w:tcPr>
                  <w:tcW w:w="2952" w:type="dxa"/>
                  <w:vMerge w:val="restart"/>
                  <w:shd w:val="clear" w:color="auto" w:fill="auto"/>
                </w:tcPr>
                <w:p w:rsidR="008F3D45" w:rsidRPr="008F3D45" w:rsidRDefault="008F3D45" w:rsidP="009E1912">
                  <w:pPr>
                    <w:jc w:val="both"/>
                    <w:rPr>
                      <w:sz w:val="22"/>
                      <w:szCs w:val="22"/>
                    </w:rPr>
                  </w:pPr>
                  <w:r w:rsidRPr="008F3D45">
                    <w:rPr>
                      <w:sz w:val="22"/>
                      <w:szCs w:val="22"/>
                    </w:rPr>
                    <w:t>Kardiološki poremećaji</w:t>
                  </w:r>
                </w:p>
              </w:tc>
              <w:tc>
                <w:tcPr>
                  <w:tcW w:w="1566" w:type="dxa"/>
                  <w:shd w:val="clear" w:color="auto" w:fill="auto"/>
                </w:tcPr>
                <w:p w:rsidR="008F3D45" w:rsidRPr="008F3D45" w:rsidRDefault="008F3D45" w:rsidP="009E1912">
                  <w:pPr>
                    <w:jc w:val="both"/>
                    <w:rPr>
                      <w:sz w:val="22"/>
                      <w:szCs w:val="22"/>
                    </w:rPr>
                  </w:pPr>
                  <w:r w:rsidRPr="008F3D45">
                    <w:rPr>
                      <w:sz w:val="22"/>
                      <w:szCs w:val="22"/>
                    </w:rPr>
                    <w:t>Veoma  česta</w:t>
                  </w:r>
                </w:p>
              </w:tc>
              <w:tc>
                <w:tcPr>
                  <w:tcW w:w="4338" w:type="dxa"/>
                  <w:shd w:val="clear" w:color="auto" w:fill="auto"/>
                </w:tcPr>
                <w:p w:rsidR="008F3D45" w:rsidRPr="008F3D45" w:rsidRDefault="008F3D45" w:rsidP="009E1912">
                  <w:pPr>
                    <w:jc w:val="both"/>
                    <w:rPr>
                      <w:sz w:val="22"/>
                      <w:szCs w:val="22"/>
                    </w:rPr>
                  </w:pPr>
                  <w:r w:rsidRPr="008F3D45">
                    <w:rPr>
                      <w:sz w:val="22"/>
                      <w:szCs w:val="22"/>
                    </w:rPr>
                    <w:t>-</w:t>
                  </w:r>
                </w:p>
              </w:tc>
            </w:tr>
            <w:tr w:rsidR="008F3D45" w:rsidRPr="008F3D45" w:rsidTr="009E1912">
              <w:tc>
                <w:tcPr>
                  <w:tcW w:w="2952" w:type="dxa"/>
                  <w:vMerge/>
                  <w:shd w:val="clear" w:color="auto" w:fill="auto"/>
                </w:tcPr>
                <w:p w:rsidR="008F3D45" w:rsidRPr="008F3D45" w:rsidRDefault="008F3D45" w:rsidP="009E1912">
                  <w:pPr>
                    <w:jc w:val="both"/>
                    <w:rPr>
                      <w:sz w:val="22"/>
                      <w:szCs w:val="22"/>
                    </w:rPr>
                  </w:pPr>
                </w:p>
              </w:tc>
              <w:tc>
                <w:tcPr>
                  <w:tcW w:w="1566" w:type="dxa"/>
                  <w:shd w:val="clear" w:color="auto" w:fill="auto"/>
                </w:tcPr>
                <w:p w:rsidR="008F3D45" w:rsidRPr="008F3D45" w:rsidRDefault="008F3D45" w:rsidP="009E1912">
                  <w:pPr>
                    <w:jc w:val="both"/>
                    <w:rPr>
                      <w:sz w:val="22"/>
                      <w:szCs w:val="22"/>
                      <w:u w:val="single"/>
                    </w:rPr>
                  </w:pPr>
                  <w:r w:rsidRPr="008F3D45">
                    <w:rPr>
                      <w:sz w:val="22"/>
                      <w:szCs w:val="22"/>
                    </w:rPr>
                    <w:t xml:space="preserve"> Česta</w:t>
                  </w:r>
                </w:p>
              </w:tc>
              <w:tc>
                <w:tcPr>
                  <w:tcW w:w="4338" w:type="dxa"/>
                  <w:shd w:val="clear" w:color="auto" w:fill="auto"/>
                </w:tcPr>
                <w:p w:rsidR="008F3D45" w:rsidRPr="008F3D45" w:rsidRDefault="008F3D45" w:rsidP="009E1912">
                  <w:pPr>
                    <w:jc w:val="both"/>
                    <w:rPr>
                      <w:sz w:val="22"/>
                      <w:szCs w:val="22"/>
                    </w:rPr>
                  </w:pPr>
                  <w:r w:rsidRPr="008F3D45">
                    <w:rPr>
                      <w:sz w:val="22"/>
                      <w:szCs w:val="22"/>
                    </w:rPr>
                    <w:t>Tahikardija</w:t>
                  </w:r>
                </w:p>
              </w:tc>
            </w:tr>
            <w:tr w:rsidR="008F3D45" w:rsidRPr="008F3D45" w:rsidTr="009E1912">
              <w:tc>
                <w:tcPr>
                  <w:tcW w:w="2952" w:type="dxa"/>
                  <w:shd w:val="clear" w:color="auto" w:fill="auto"/>
                </w:tcPr>
                <w:p w:rsidR="008F3D45" w:rsidRPr="008F3D45" w:rsidRDefault="008F3D45" w:rsidP="009E1912">
                  <w:pPr>
                    <w:jc w:val="both"/>
                    <w:rPr>
                      <w:sz w:val="22"/>
                      <w:szCs w:val="22"/>
                    </w:rPr>
                  </w:pPr>
                  <w:r w:rsidRPr="008F3D45">
                    <w:rPr>
                      <w:sz w:val="22"/>
                      <w:szCs w:val="22"/>
                    </w:rPr>
                    <w:t>Vaskularni poremećaji</w:t>
                  </w:r>
                </w:p>
              </w:tc>
              <w:tc>
                <w:tcPr>
                  <w:tcW w:w="1566" w:type="dxa"/>
                  <w:shd w:val="clear" w:color="auto" w:fill="auto"/>
                </w:tcPr>
                <w:p w:rsidR="008F3D45" w:rsidRPr="008F3D45" w:rsidRDefault="008F3D45" w:rsidP="009E1912">
                  <w:pPr>
                    <w:jc w:val="both"/>
                    <w:rPr>
                      <w:sz w:val="22"/>
                      <w:szCs w:val="22"/>
                    </w:rPr>
                  </w:pPr>
                  <w:r w:rsidRPr="008F3D45">
                    <w:rPr>
                      <w:sz w:val="22"/>
                      <w:szCs w:val="22"/>
                    </w:rPr>
                    <w:t>Veoma  česta</w:t>
                  </w:r>
                </w:p>
              </w:tc>
              <w:tc>
                <w:tcPr>
                  <w:tcW w:w="4338" w:type="dxa"/>
                  <w:shd w:val="clear" w:color="auto" w:fill="auto"/>
                </w:tcPr>
                <w:p w:rsidR="008F3D45" w:rsidRPr="008F3D45" w:rsidRDefault="008F3D45" w:rsidP="009E1912">
                  <w:pPr>
                    <w:jc w:val="both"/>
                    <w:rPr>
                      <w:sz w:val="22"/>
                      <w:szCs w:val="22"/>
                    </w:rPr>
                  </w:pPr>
                  <w:r w:rsidRPr="008F3D45">
                    <w:rPr>
                      <w:sz w:val="22"/>
                      <w:szCs w:val="22"/>
                    </w:rPr>
                    <w:t>-</w:t>
                  </w:r>
                </w:p>
              </w:tc>
            </w:tr>
            <w:tr w:rsidR="008F3D45" w:rsidRPr="008F3D45" w:rsidTr="009E1912">
              <w:tc>
                <w:tcPr>
                  <w:tcW w:w="2952" w:type="dxa"/>
                  <w:shd w:val="clear" w:color="auto" w:fill="auto"/>
                </w:tcPr>
                <w:p w:rsidR="008F3D45" w:rsidRPr="008F3D45" w:rsidRDefault="008F3D45" w:rsidP="009E1912">
                  <w:pPr>
                    <w:jc w:val="both"/>
                    <w:rPr>
                      <w:sz w:val="22"/>
                      <w:szCs w:val="22"/>
                    </w:rPr>
                  </w:pPr>
                </w:p>
              </w:tc>
              <w:tc>
                <w:tcPr>
                  <w:tcW w:w="1566" w:type="dxa"/>
                  <w:shd w:val="clear" w:color="auto" w:fill="auto"/>
                </w:tcPr>
                <w:p w:rsidR="008F3D45" w:rsidRPr="008F3D45" w:rsidRDefault="008F3D45" w:rsidP="009E1912">
                  <w:pPr>
                    <w:jc w:val="both"/>
                    <w:rPr>
                      <w:sz w:val="22"/>
                      <w:szCs w:val="22"/>
                    </w:rPr>
                  </w:pPr>
                  <w:r w:rsidRPr="008F3D45">
                    <w:rPr>
                      <w:sz w:val="22"/>
                      <w:szCs w:val="22"/>
                    </w:rPr>
                    <w:t xml:space="preserve"> Česta</w:t>
                  </w:r>
                </w:p>
              </w:tc>
              <w:tc>
                <w:tcPr>
                  <w:tcW w:w="4338" w:type="dxa"/>
                  <w:shd w:val="clear" w:color="auto" w:fill="auto"/>
                </w:tcPr>
                <w:p w:rsidR="008F3D45" w:rsidRPr="008F3D45" w:rsidRDefault="008F3D45" w:rsidP="009E1912">
                  <w:pPr>
                    <w:jc w:val="both"/>
                    <w:rPr>
                      <w:sz w:val="22"/>
                      <w:szCs w:val="22"/>
                    </w:rPr>
                  </w:pPr>
                  <w:r w:rsidRPr="008F3D45">
                    <w:rPr>
                      <w:sz w:val="22"/>
                      <w:szCs w:val="22"/>
                    </w:rPr>
                    <w:t>Hipotenzija, hipertenzija, vazodilatacija</w:t>
                  </w:r>
                </w:p>
              </w:tc>
            </w:tr>
            <w:tr w:rsidR="008F3D45" w:rsidRPr="008F3D45" w:rsidTr="009E1912">
              <w:tc>
                <w:tcPr>
                  <w:tcW w:w="2952" w:type="dxa"/>
                  <w:vMerge w:val="restart"/>
                  <w:shd w:val="clear" w:color="auto" w:fill="auto"/>
                </w:tcPr>
                <w:p w:rsidR="008F3D45" w:rsidRPr="008F3D45" w:rsidRDefault="008F3D45" w:rsidP="009E1912">
                  <w:pPr>
                    <w:jc w:val="both"/>
                    <w:rPr>
                      <w:sz w:val="22"/>
                      <w:szCs w:val="22"/>
                    </w:rPr>
                  </w:pPr>
                  <w:r w:rsidRPr="008F3D45">
                    <w:rPr>
                      <w:sz w:val="22"/>
                      <w:szCs w:val="22"/>
                    </w:rPr>
                    <w:t>Respiratorni, torakalni i medijastinalni poremećaji</w:t>
                  </w:r>
                </w:p>
              </w:tc>
              <w:tc>
                <w:tcPr>
                  <w:tcW w:w="1566" w:type="dxa"/>
                  <w:shd w:val="clear" w:color="auto" w:fill="auto"/>
                </w:tcPr>
                <w:p w:rsidR="008F3D45" w:rsidRPr="008F3D45" w:rsidRDefault="008F3D45" w:rsidP="009E1912">
                  <w:pPr>
                    <w:jc w:val="both"/>
                    <w:rPr>
                      <w:sz w:val="22"/>
                      <w:szCs w:val="22"/>
                    </w:rPr>
                  </w:pPr>
                  <w:r w:rsidRPr="008F3D45">
                    <w:rPr>
                      <w:sz w:val="22"/>
                      <w:szCs w:val="22"/>
                    </w:rPr>
                    <w:t>Veoma  česta</w:t>
                  </w:r>
                </w:p>
              </w:tc>
              <w:tc>
                <w:tcPr>
                  <w:tcW w:w="4338" w:type="dxa"/>
                  <w:shd w:val="clear" w:color="auto" w:fill="auto"/>
                </w:tcPr>
                <w:p w:rsidR="008F3D45" w:rsidRPr="008F3D45" w:rsidRDefault="008F3D45" w:rsidP="009E1912">
                  <w:pPr>
                    <w:jc w:val="both"/>
                    <w:rPr>
                      <w:sz w:val="22"/>
                      <w:szCs w:val="22"/>
                    </w:rPr>
                  </w:pPr>
                  <w:r w:rsidRPr="008F3D45">
                    <w:rPr>
                      <w:sz w:val="22"/>
                      <w:szCs w:val="22"/>
                    </w:rPr>
                    <w:t>-</w:t>
                  </w:r>
                </w:p>
              </w:tc>
            </w:tr>
            <w:tr w:rsidR="008F3D45" w:rsidRPr="008F3D45" w:rsidTr="009E1912">
              <w:tc>
                <w:tcPr>
                  <w:tcW w:w="2952" w:type="dxa"/>
                  <w:vMerge/>
                  <w:shd w:val="clear" w:color="auto" w:fill="auto"/>
                </w:tcPr>
                <w:p w:rsidR="008F3D45" w:rsidRPr="008F3D45" w:rsidRDefault="008F3D45" w:rsidP="009E1912">
                  <w:pPr>
                    <w:jc w:val="both"/>
                    <w:rPr>
                      <w:sz w:val="22"/>
                      <w:szCs w:val="22"/>
                    </w:rPr>
                  </w:pPr>
                </w:p>
              </w:tc>
              <w:tc>
                <w:tcPr>
                  <w:tcW w:w="1566" w:type="dxa"/>
                  <w:shd w:val="clear" w:color="auto" w:fill="auto"/>
                </w:tcPr>
                <w:p w:rsidR="008F3D45" w:rsidRPr="008F3D45" w:rsidRDefault="008F3D45" w:rsidP="009E1912">
                  <w:pPr>
                    <w:jc w:val="both"/>
                    <w:rPr>
                      <w:sz w:val="22"/>
                      <w:szCs w:val="22"/>
                    </w:rPr>
                  </w:pPr>
                  <w:r w:rsidRPr="008F3D45">
                    <w:rPr>
                      <w:sz w:val="22"/>
                      <w:szCs w:val="22"/>
                    </w:rPr>
                    <w:t xml:space="preserve"> Česta</w:t>
                  </w:r>
                </w:p>
              </w:tc>
              <w:tc>
                <w:tcPr>
                  <w:tcW w:w="4338" w:type="dxa"/>
                  <w:shd w:val="clear" w:color="auto" w:fill="auto"/>
                </w:tcPr>
                <w:p w:rsidR="008F3D45" w:rsidRPr="008F3D45" w:rsidRDefault="008F3D45" w:rsidP="009E1912">
                  <w:pPr>
                    <w:jc w:val="both"/>
                    <w:rPr>
                      <w:sz w:val="22"/>
                      <w:szCs w:val="22"/>
                    </w:rPr>
                  </w:pPr>
                  <w:r w:rsidRPr="008F3D45">
                    <w:rPr>
                      <w:sz w:val="22"/>
                      <w:szCs w:val="22"/>
                    </w:rPr>
                    <w:t>Pleuralna efuzija, dispnea, kašalj</w:t>
                  </w:r>
                </w:p>
              </w:tc>
            </w:tr>
            <w:tr w:rsidR="008F3D45" w:rsidRPr="008F3D45" w:rsidTr="009E1912">
              <w:tc>
                <w:tcPr>
                  <w:tcW w:w="2952" w:type="dxa"/>
                  <w:vMerge w:val="restart"/>
                  <w:shd w:val="clear" w:color="auto" w:fill="auto"/>
                </w:tcPr>
                <w:p w:rsidR="008F3D45" w:rsidRPr="008F3D45" w:rsidRDefault="008F3D45" w:rsidP="009E1912">
                  <w:pPr>
                    <w:jc w:val="both"/>
                    <w:rPr>
                      <w:sz w:val="22"/>
                      <w:szCs w:val="22"/>
                    </w:rPr>
                  </w:pPr>
                  <w:r w:rsidRPr="008F3D45">
                    <w:rPr>
                      <w:sz w:val="22"/>
                      <w:szCs w:val="22"/>
                    </w:rPr>
                    <w:t>Gastrointestinalni poremećaji</w:t>
                  </w:r>
                </w:p>
              </w:tc>
              <w:tc>
                <w:tcPr>
                  <w:tcW w:w="1566" w:type="dxa"/>
                  <w:shd w:val="clear" w:color="auto" w:fill="auto"/>
                </w:tcPr>
                <w:p w:rsidR="008F3D45" w:rsidRPr="008F3D45" w:rsidRDefault="008F3D45" w:rsidP="009E1912">
                  <w:pPr>
                    <w:jc w:val="both"/>
                    <w:rPr>
                      <w:sz w:val="22"/>
                      <w:szCs w:val="22"/>
                    </w:rPr>
                  </w:pPr>
                  <w:r w:rsidRPr="008F3D45">
                    <w:rPr>
                      <w:sz w:val="22"/>
                      <w:szCs w:val="22"/>
                    </w:rPr>
                    <w:t>Veoma  česta</w:t>
                  </w:r>
                </w:p>
              </w:tc>
              <w:tc>
                <w:tcPr>
                  <w:tcW w:w="4338" w:type="dxa"/>
                  <w:shd w:val="clear" w:color="auto" w:fill="auto"/>
                </w:tcPr>
                <w:p w:rsidR="008F3D45" w:rsidRPr="008F3D45" w:rsidRDefault="008F3D45" w:rsidP="009E1912">
                  <w:pPr>
                    <w:jc w:val="both"/>
                    <w:rPr>
                      <w:sz w:val="22"/>
                      <w:szCs w:val="22"/>
                    </w:rPr>
                  </w:pPr>
                  <w:r w:rsidRPr="008F3D45">
                    <w:rPr>
                      <w:sz w:val="22"/>
                      <w:szCs w:val="22"/>
                    </w:rPr>
                    <w:t>Povraćanje, bol u stomaku, dijareja, mučnina</w:t>
                  </w:r>
                </w:p>
              </w:tc>
            </w:tr>
            <w:tr w:rsidR="008F3D45" w:rsidRPr="008F3D45" w:rsidTr="009E1912">
              <w:tc>
                <w:tcPr>
                  <w:tcW w:w="2952" w:type="dxa"/>
                  <w:vMerge/>
                  <w:shd w:val="clear" w:color="auto" w:fill="auto"/>
                </w:tcPr>
                <w:p w:rsidR="008F3D45" w:rsidRPr="008F3D45" w:rsidRDefault="008F3D45" w:rsidP="009E1912">
                  <w:pPr>
                    <w:jc w:val="both"/>
                    <w:rPr>
                      <w:sz w:val="22"/>
                      <w:szCs w:val="22"/>
                    </w:rPr>
                  </w:pPr>
                </w:p>
              </w:tc>
              <w:tc>
                <w:tcPr>
                  <w:tcW w:w="1566" w:type="dxa"/>
                  <w:shd w:val="clear" w:color="auto" w:fill="auto"/>
                </w:tcPr>
                <w:p w:rsidR="008F3D45" w:rsidRPr="008F3D45" w:rsidRDefault="008F3D45" w:rsidP="009E1912">
                  <w:pPr>
                    <w:jc w:val="both"/>
                    <w:rPr>
                      <w:sz w:val="22"/>
                      <w:szCs w:val="22"/>
                    </w:rPr>
                  </w:pPr>
                  <w:r w:rsidRPr="008F3D45">
                    <w:rPr>
                      <w:sz w:val="22"/>
                      <w:szCs w:val="22"/>
                    </w:rPr>
                    <w:t xml:space="preserve"> Česta</w:t>
                  </w:r>
                </w:p>
              </w:tc>
              <w:tc>
                <w:tcPr>
                  <w:tcW w:w="4338" w:type="dxa"/>
                  <w:shd w:val="clear" w:color="auto" w:fill="auto"/>
                </w:tcPr>
                <w:p w:rsidR="008F3D45" w:rsidRPr="008F3D45" w:rsidRDefault="008F3D45" w:rsidP="009E1912">
                  <w:pPr>
                    <w:jc w:val="both"/>
                    <w:rPr>
                      <w:sz w:val="22"/>
                      <w:szCs w:val="22"/>
                    </w:rPr>
                  </w:pPr>
                  <w:r w:rsidRPr="008F3D45">
                    <w:rPr>
                      <w:sz w:val="22"/>
                      <w:szCs w:val="22"/>
                    </w:rPr>
                    <w:t>Gastrointestinalna hemoragija, peritonitis, ileus, kolitis, čir na želucu, čir na dvanaestopalačnom crijevu, gastritis, ezofagitis, stomatitis, konstipacija, dispepsija, flatulencija, eruktacije</w:t>
                  </w:r>
                </w:p>
              </w:tc>
            </w:tr>
            <w:tr w:rsidR="008F3D45" w:rsidRPr="008F3D45" w:rsidTr="009E1912">
              <w:tc>
                <w:tcPr>
                  <w:tcW w:w="2952" w:type="dxa"/>
                  <w:vMerge w:val="restart"/>
                  <w:shd w:val="clear" w:color="auto" w:fill="auto"/>
                </w:tcPr>
                <w:p w:rsidR="008F3D45" w:rsidRPr="008F3D45" w:rsidRDefault="008F3D45" w:rsidP="009E1912">
                  <w:pPr>
                    <w:jc w:val="both"/>
                    <w:rPr>
                      <w:sz w:val="22"/>
                      <w:szCs w:val="22"/>
                    </w:rPr>
                  </w:pPr>
                  <w:r w:rsidRPr="008F3D45">
                    <w:rPr>
                      <w:sz w:val="22"/>
                      <w:szCs w:val="22"/>
                    </w:rPr>
                    <w:t>Hepatobilijarni poremećaji</w:t>
                  </w:r>
                </w:p>
              </w:tc>
              <w:tc>
                <w:tcPr>
                  <w:tcW w:w="1566" w:type="dxa"/>
                  <w:shd w:val="clear" w:color="auto" w:fill="auto"/>
                </w:tcPr>
                <w:p w:rsidR="008F3D45" w:rsidRPr="008F3D45" w:rsidRDefault="008F3D45" w:rsidP="009E1912">
                  <w:pPr>
                    <w:jc w:val="both"/>
                    <w:rPr>
                      <w:sz w:val="22"/>
                      <w:szCs w:val="22"/>
                    </w:rPr>
                  </w:pPr>
                  <w:r w:rsidRPr="008F3D45">
                    <w:rPr>
                      <w:sz w:val="22"/>
                      <w:szCs w:val="22"/>
                    </w:rPr>
                    <w:t>Veoma  česta</w:t>
                  </w:r>
                </w:p>
              </w:tc>
              <w:tc>
                <w:tcPr>
                  <w:tcW w:w="4338" w:type="dxa"/>
                  <w:shd w:val="clear" w:color="auto" w:fill="auto"/>
                </w:tcPr>
                <w:p w:rsidR="008F3D45" w:rsidRPr="008F3D45" w:rsidRDefault="008F3D45" w:rsidP="009E1912">
                  <w:pPr>
                    <w:jc w:val="both"/>
                    <w:rPr>
                      <w:sz w:val="22"/>
                      <w:szCs w:val="22"/>
                    </w:rPr>
                  </w:pPr>
                  <w:r w:rsidRPr="008F3D45">
                    <w:rPr>
                      <w:sz w:val="22"/>
                      <w:szCs w:val="22"/>
                    </w:rPr>
                    <w:t>-</w:t>
                  </w:r>
                </w:p>
              </w:tc>
            </w:tr>
            <w:tr w:rsidR="008F3D45" w:rsidRPr="008F3D45" w:rsidTr="009E1912">
              <w:tc>
                <w:tcPr>
                  <w:tcW w:w="2952" w:type="dxa"/>
                  <w:vMerge/>
                  <w:shd w:val="clear" w:color="auto" w:fill="auto"/>
                </w:tcPr>
                <w:p w:rsidR="008F3D45" w:rsidRPr="008F3D45" w:rsidRDefault="008F3D45" w:rsidP="009E1912">
                  <w:pPr>
                    <w:jc w:val="both"/>
                    <w:rPr>
                      <w:sz w:val="22"/>
                      <w:szCs w:val="22"/>
                    </w:rPr>
                  </w:pPr>
                </w:p>
              </w:tc>
              <w:tc>
                <w:tcPr>
                  <w:tcW w:w="1566" w:type="dxa"/>
                  <w:shd w:val="clear" w:color="auto" w:fill="auto"/>
                </w:tcPr>
                <w:p w:rsidR="008F3D45" w:rsidRPr="008F3D45" w:rsidRDefault="008F3D45" w:rsidP="009E1912">
                  <w:pPr>
                    <w:jc w:val="both"/>
                    <w:rPr>
                      <w:sz w:val="22"/>
                      <w:szCs w:val="22"/>
                    </w:rPr>
                  </w:pPr>
                  <w:r w:rsidRPr="008F3D45">
                    <w:rPr>
                      <w:sz w:val="22"/>
                      <w:szCs w:val="22"/>
                    </w:rPr>
                    <w:t xml:space="preserve"> Česta</w:t>
                  </w:r>
                </w:p>
              </w:tc>
              <w:tc>
                <w:tcPr>
                  <w:tcW w:w="4338" w:type="dxa"/>
                  <w:shd w:val="clear" w:color="auto" w:fill="auto"/>
                </w:tcPr>
                <w:p w:rsidR="008F3D45" w:rsidRPr="008F3D45" w:rsidRDefault="008F3D45" w:rsidP="009E1912">
                  <w:pPr>
                    <w:jc w:val="both"/>
                    <w:rPr>
                      <w:sz w:val="22"/>
                      <w:szCs w:val="22"/>
                    </w:rPr>
                  </w:pPr>
                  <w:r w:rsidRPr="008F3D45">
                    <w:rPr>
                      <w:sz w:val="22"/>
                      <w:szCs w:val="22"/>
                    </w:rPr>
                    <w:t xml:space="preserve">Hepatitis, žutica, hiperbilirubinemija </w:t>
                  </w:r>
                </w:p>
              </w:tc>
            </w:tr>
            <w:tr w:rsidR="008F3D45" w:rsidRPr="008F3D45" w:rsidTr="009E1912">
              <w:tc>
                <w:tcPr>
                  <w:tcW w:w="2952" w:type="dxa"/>
                  <w:vMerge w:val="restart"/>
                  <w:shd w:val="clear" w:color="auto" w:fill="auto"/>
                </w:tcPr>
                <w:p w:rsidR="008F3D45" w:rsidRPr="008F3D45" w:rsidRDefault="008F3D45" w:rsidP="009E1912">
                  <w:pPr>
                    <w:jc w:val="both"/>
                    <w:rPr>
                      <w:sz w:val="22"/>
                      <w:szCs w:val="22"/>
                    </w:rPr>
                  </w:pPr>
                  <w:r w:rsidRPr="008F3D45">
                    <w:rPr>
                      <w:sz w:val="22"/>
                      <w:szCs w:val="22"/>
                    </w:rPr>
                    <w:t>Poremećaji kože i potkožnog tkiva</w:t>
                  </w:r>
                </w:p>
              </w:tc>
              <w:tc>
                <w:tcPr>
                  <w:tcW w:w="1566" w:type="dxa"/>
                  <w:shd w:val="clear" w:color="auto" w:fill="auto"/>
                </w:tcPr>
                <w:p w:rsidR="008F3D45" w:rsidRPr="008F3D45" w:rsidRDefault="008F3D45" w:rsidP="009E1912">
                  <w:pPr>
                    <w:jc w:val="both"/>
                    <w:rPr>
                      <w:sz w:val="22"/>
                      <w:szCs w:val="22"/>
                    </w:rPr>
                  </w:pPr>
                  <w:r w:rsidRPr="008F3D45">
                    <w:rPr>
                      <w:sz w:val="22"/>
                      <w:szCs w:val="22"/>
                    </w:rPr>
                    <w:t>Veoma  česta</w:t>
                  </w:r>
                </w:p>
              </w:tc>
              <w:tc>
                <w:tcPr>
                  <w:tcW w:w="4338" w:type="dxa"/>
                  <w:shd w:val="clear" w:color="auto" w:fill="auto"/>
                </w:tcPr>
                <w:p w:rsidR="008F3D45" w:rsidRPr="008F3D45" w:rsidRDefault="008F3D45" w:rsidP="009E1912">
                  <w:pPr>
                    <w:jc w:val="both"/>
                    <w:rPr>
                      <w:sz w:val="22"/>
                      <w:szCs w:val="22"/>
                    </w:rPr>
                  </w:pPr>
                  <w:r w:rsidRPr="008F3D45">
                    <w:rPr>
                      <w:sz w:val="22"/>
                      <w:szCs w:val="22"/>
                    </w:rPr>
                    <w:t>-</w:t>
                  </w:r>
                </w:p>
              </w:tc>
            </w:tr>
            <w:tr w:rsidR="008F3D45" w:rsidRPr="008F3D45" w:rsidTr="009E1912">
              <w:tc>
                <w:tcPr>
                  <w:tcW w:w="2952" w:type="dxa"/>
                  <w:vMerge/>
                  <w:shd w:val="clear" w:color="auto" w:fill="auto"/>
                </w:tcPr>
                <w:p w:rsidR="008F3D45" w:rsidRPr="008F3D45" w:rsidRDefault="008F3D45" w:rsidP="009E1912">
                  <w:pPr>
                    <w:jc w:val="both"/>
                    <w:rPr>
                      <w:sz w:val="22"/>
                      <w:szCs w:val="22"/>
                    </w:rPr>
                  </w:pPr>
                </w:p>
              </w:tc>
              <w:tc>
                <w:tcPr>
                  <w:tcW w:w="1566" w:type="dxa"/>
                  <w:shd w:val="clear" w:color="auto" w:fill="auto"/>
                </w:tcPr>
                <w:p w:rsidR="008F3D45" w:rsidRPr="008F3D45" w:rsidRDefault="008F3D45" w:rsidP="009E1912">
                  <w:pPr>
                    <w:jc w:val="both"/>
                    <w:rPr>
                      <w:sz w:val="22"/>
                      <w:szCs w:val="22"/>
                    </w:rPr>
                  </w:pPr>
                  <w:r w:rsidRPr="008F3D45">
                    <w:rPr>
                      <w:sz w:val="22"/>
                      <w:szCs w:val="22"/>
                    </w:rPr>
                    <w:t xml:space="preserve"> Česta</w:t>
                  </w:r>
                </w:p>
              </w:tc>
              <w:tc>
                <w:tcPr>
                  <w:tcW w:w="4338" w:type="dxa"/>
                  <w:shd w:val="clear" w:color="auto" w:fill="auto"/>
                </w:tcPr>
                <w:p w:rsidR="008F3D45" w:rsidRPr="008F3D45" w:rsidRDefault="008F3D45" w:rsidP="009E1912">
                  <w:pPr>
                    <w:jc w:val="both"/>
                    <w:rPr>
                      <w:sz w:val="22"/>
                      <w:szCs w:val="22"/>
                    </w:rPr>
                  </w:pPr>
                  <w:r w:rsidRPr="008F3D45">
                    <w:rPr>
                      <w:sz w:val="22"/>
                      <w:szCs w:val="22"/>
                    </w:rPr>
                    <w:t>Hipertrofija kože, ospa, akne, alopecija</w:t>
                  </w:r>
                </w:p>
              </w:tc>
            </w:tr>
            <w:tr w:rsidR="008F3D45" w:rsidRPr="008F3D45" w:rsidTr="009E1912">
              <w:tc>
                <w:tcPr>
                  <w:tcW w:w="2952" w:type="dxa"/>
                  <w:vMerge w:val="restart"/>
                  <w:shd w:val="clear" w:color="auto" w:fill="auto"/>
                </w:tcPr>
                <w:p w:rsidR="008F3D45" w:rsidRPr="008F3D45" w:rsidRDefault="008F3D45" w:rsidP="009E1912">
                  <w:pPr>
                    <w:jc w:val="both"/>
                    <w:rPr>
                      <w:sz w:val="22"/>
                      <w:szCs w:val="22"/>
                    </w:rPr>
                  </w:pPr>
                  <w:r w:rsidRPr="008F3D45">
                    <w:rPr>
                      <w:sz w:val="22"/>
                      <w:szCs w:val="22"/>
                    </w:rPr>
                    <w:t>Poremećaji koštanomišićnog i vezivnog tkiva</w:t>
                  </w:r>
                </w:p>
              </w:tc>
              <w:tc>
                <w:tcPr>
                  <w:tcW w:w="1566" w:type="dxa"/>
                  <w:shd w:val="clear" w:color="auto" w:fill="auto"/>
                </w:tcPr>
                <w:p w:rsidR="008F3D45" w:rsidRPr="008F3D45" w:rsidRDefault="008F3D45" w:rsidP="009E1912">
                  <w:pPr>
                    <w:jc w:val="both"/>
                    <w:rPr>
                      <w:sz w:val="22"/>
                      <w:szCs w:val="22"/>
                    </w:rPr>
                  </w:pPr>
                  <w:r w:rsidRPr="008F3D45">
                    <w:rPr>
                      <w:sz w:val="22"/>
                      <w:szCs w:val="22"/>
                    </w:rPr>
                    <w:t>Veoma  česta</w:t>
                  </w:r>
                </w:p>
              </w:tc>
              <w:tc>
                <w:tcPr>
                  <w:tcW w:w="4338" w:type="dxa"/>
                  <w:shd w:val="clear" w:color="auto" w:fill="auto"/>
                </w:tcPr>
                <w:p w:rsidR="008F3D45" w:rsidRPr="008F3D45" w:rsidRDefault="008F3D45" w:rsidP="009E1912">
                  <w:pPr>
                    <w:jc w:val="both"/>
                    <w:rPr>
                      <w:sz w:val="22"/>
                      <w:szCs w:val="22"/>
                    </w:rPr>
                  </w:pPr>
                  <w:r w:rsidRPr="008F3D45">
                    <w:rPr>
                      <w:sz w:val="22"/>
                      <w:szCs w:val="22"/>
                    </w:rPr>
                    <w:t>-</w:t>
                  </w:r>
                </w:p>
              </w:tc>
            </w:tr>
            <w:tr w:rsidR="008F3D45" w:rsidRPr="008F3D45" w:rsidTr="009E1912">
              <w:tc>
                <w:tcPr>
                  <w:tcW w:w="2952" w:type="dxa"/>
                  <w:vMerge/>
                  <w:shd w:val="clear" w:color="auto" w:fill="auto"/>
                </w:tcPr>
                <w:p w:rsidR="008F3D45" w:rsidRPr="008F3D45" w:rsidRDefault="008F3D45" w:rsidP="009E1912">
                  <w:pPr>
                    <w:jc w:val="both"/>
                    <w:rPr>
                      <w:sz w:val="22"/>
                      <w:szCs w:val="22"/>
                    </w:rPr>
                  </w:pPr>
                </w:p>
              </w:tc>
              <w:tc>
                <w:tcPr>
                  <w:tcW w:w="1566" w:type="dxa"/>
                  <w:shd w:val="clear" w:color="auto" w:fill="auto"/>
                </w:tcPr>
                <w:p w:rsidR="008F3D45" w:rsidRPr="008F3D45" w:rsidRDefault="008F3D45" w:rsidP="009E1912">
                  <w:pPr>
                    <w:jc w:val="both"/>
                    <w:rPr>
                      <w:sz w:val="22"/>
                      <w:szCs w:val="22"/>
                    </w:rPr>
                  </w:pPr>
                  <w:r w:rsidRPr="008F3D45">
                    <w:rPr>
                      <w:sz w:val="22"/>
                      <w:szCs w:val="22"/>
                    </w:rPr>
                    <w:t xml:space="preserve"> Česta</w:t>
                  </w:r>
                </w:p>
              </w:tc>
              <w:tc>
                <w:tcPr>
                  <w:tcW w:w="4338" w:type="dxa"/>
                  <w:shd w:val="clear" w:color="auto" w:fill="auto"/>
                </w:tcPr>
                <w:p w:rsidR="008F3D45" w:rsidRPr="008F3D45" w:rsidRDefault="008F3D45" w:rsidP="009E1912">
                  <w:pPr>
                    <w:jc w:val="both"/>
                    <w:rPr>
                      <w:sz w:val="22"/>
                      <w:szCs w:val="22"/>
                    </w:rPr>
                  </w:pPr>
                  <w:r w:rsidRPr="008F3D45">
                    <w:rPr>
                      <w:sz w:val="22"/>
                      <w:szCs w:val="22"/>
                    </w:rPr>
                    <w:t>Artralgija</w:t>
                  </w:r>
                </w:p>
              </w:tc>
            </w:tr>
            <w:tr w:rsidR="008F3D45" w:rsidRPr="008F3D45" w:rsidTr="009E1912">
              <w:tc>
                <w:tcPr>
                  <w:tcW w:w="2952" w:type="dxa"/>
                  <w:vMerge w:val="restart"/>
                  <w:shd w:val="clear" w:color="auto" w:fill="auto"/>
                </w:tcPr>
                <w:p w:rsidR="008F3D45" w:rsidRPr="008F3D45" w:rsidRDefault="008F3D45" w:rsidP="009E1912">
                  <w:pPr>
                    <w:jc w:val="both"/>
                    <w:rPr>
                      <w:sz w:val="22"/>
                      <w:szCs w:val="22"/>
                    </w:rPr>
                  </w:pPr>
                  <w:r w:rsidRPr="008F3D45">
                    <w:rPr>
                      <w:sz w:val="22"/>
                      <w:szCs w:val="22"/>
                    </w:rPr>
                    <w:t>Poremećaji bubrega i urinarnog sistema</w:t>
                  </w:r>
                </w:p>
              </w:tc>
              <w:tc>
                <w:tcPr>
                  <w:tcW w:w="1566" w:type="dxa"/>
                  <w:shd w:val="clear" w:color="auto" w:fill="auto"/>
                </w:tcPr>
                <w:p w:rsidR="008F3D45" w:rsidRPr="008F3D45" w:rsidRDefault="008F3D45" w:rsidP="009E1912">
                  <w:pPr>
                    <w:jc w:val="both"/>
                    <w:rPr>
                      <w:sz w:val="22"/>
                      <w:szCs w:val="22"/>
                    </w:rPr>
                  </w:pPr>
                  <w:r w:rsidRPr="008F3D45">
                    <w:rPr>
                      <w:sz w:val="22"/>
                      <w:szCs w:val="22"/>
                    </w:rPr>
                    <w:t>Veoma  česta</w:t>
                  </w:r>
                </w:p>
              </w:tc>
              <w:tc>
                <w:tcPr>
                  <w:tcW w:w="4338" w:type="dxa"/>
                  <w:shd w:val="clear" w:color="auto" w:fill="auto"/>
                </w:tcPr>
                <w:p w:rsidR="008F3D45" w:rsidRPr="008F3D45" w:rsidRDefault="008F3D45" w:rsidP="009E1912">
                  <w:pPr>
                    <w:jc w:val="both"/>
                    <w:rPr>
                      <w:sz w:val="22"/>
                      <w:szCs w:val="22"/>
                    </w:rPr>
                  </w:pPr>
                  <w:r w:rsidRPr="008F3D45">
                    <w:rPr>
                      <w:sz w:val="22"/>
                      <w:szCs w:val="22"/>
                    </w:rPr>
                    <w:t>-</w:t>
                  </w:r>
                </w:p>
              </w:tc>
            </w:tr>
            <w:tr w:rsidR="008F3D45" w:rsidRPr="008F3D45" w:rsidTr="009E1912">
              <w:tc>
                <w:tcPr>
                  <w:tcW w:w="2952" w:type="dxa"/>
                  <w:vMerge/>
                  <w:shd w:val="clear" w:color="auto" w:fill="auto"/>
                </w:tcPr>
                <w:p w:rsidR="008F3D45" w:rsidRPr="008F3D45" w:rsidRDefault="008F3D45" w:rsidP="009E1912">
                  <w:pPr>
                    <w:jc w:val="both"/>
                    <w:rPr>
                      <w:sz w:val="22"/>
                      <w:szCs w:val="22"/>
                    </w:rPr>
                  </w:pPr>
                </w:p>
              </w:tc>
              <w:tc>
                <w:tcPr>
                  <w:tcW w:w="1566" w:type="dxa"/>
                  <w:shd w:val="clear" w:color="auto" w:fill="auto"/>
                </w:tcPr>
                <w:p w:rsidR="008F3D45" w:rsidRPr="008F3D45" w:rsidRDefault="008F3D45" w:rsidP="009E1912">
                  <w:pPr>
                    <w:jc w:val="both"/>
                    <w:rPr>
                      <w:sz w:val="22"/>
                      <w:szCs w:val="22"/>
                    </w:rPr>
                  </w:pPr>
                  <w:r w:rsidRPr="008F3D45">
                    <w:rPr>
                      <w:sz w:val="22"/>
                      <w:szCs w:val="22"/>
                    </w:rPr>
                    <w:t xml:space="preserve"> Česta</w:t>
                  </w:r>
                </w:p>
              </w:tc>
              <w:tc>
                <w:tcPr>
                  <w:tcW w:w="4338" w:type="dxa"/>
                  <w:shd w:val="clear" w:color="auto" w:fill="auto"/>
                </w:tcPr>
                <w:p w:rsidR="008F3D45" w:rsidRPr="008F3D45" w:rsidRDefault="008F3D45" w:rsidP="009E1912">
                  <w:pPr>
                    <w:jc w:val="both"/>
                    <w:rPr>
                      <w:sz w:val="22"/>
                      <w:szCs w:val="22"/>
                    </w:rPr>
                  </w:pPr>
                  <w:r w:rsidRPr="008F3D45">
                    <w:rPr>
                      <w:sz w:val="22"/>
                      <w:szCs w:val="22"/>
                    </w:rPr>
                    <w:t>Bubrežna insuficijencija</w:t>
                  </w:r>
                </w:p>
              </w:tc>
            </w:tr>
            <w:tr w:rsidR="008F3D45" w:rsidRPr="008F3D45" w:rsidTr="009E1912">
              <w:tc>
                <w:tcPr>
                  <w:tcW w:w="2952" w:type="dxa"/>
                  <w:vMerge w:val="restart"/>
                  <w:shd w:val="clear" w:color="auto" w:fill="auto"/>
                </w:tcPr>
                <w:p w:rsidR="008F3D45" w:rsidRPr="008F3D45" w:rsidRDefault="008F3D45" w:rsidP="009E1912">
                  <w:pPr>
                    <w:jc w:val="both"/>
                    <w:rPr>
                      <w:sz w:val="22"/>
                      <w:szCs w:val="22"/>
                    </w:rPr>
                  </w:pPr>
                  <w:r w:rsidRPr="008F3D45">
                    <w:rPr>
                      <w:sz w:val="22"/>
                      <w:szCs w:val="22"/>
                    </w:rPr>
                    <w:t>Opšti poremećaji i reakcije na mjestu primjene</w:t>
                  </w:r>
                </w:p>
              </w:tc>
              <w:tc>
                <w:tcPr>
                  <w:tcW w:w="1566" w:type="dxa"/>
                  <w:shd w:val="clear" w:color="auto" w:fill="auto"/>
                </w:tcPr>
                <w:p w:rsidR="008F3D45" w:rsidRPr="008F3D45" w:rsidRDefault="008F3D45" w:rsidP="009E1912">
                  <w:pPr>
                    <w:jc w:val="both"/>
                    <w:rPr>
                      <w:sz w:val="22"/>
                      <w:szCs w:val="22"/>
                    </w:rPr>
                  </w:pPr>
                  <w:r w:rsidRPr="008F3D45">
                    <w:rPr>
                      <w:sz w:val="22"/>
                      <w:szCs w:val="22"/>
                    </w:rPr>
                    <w:t>Veoma  česta</w:t>
                  </w:r>
                </w:p>
              </w:tc>
              <w:tc>
                <w:tcPr>
                  <w:tcW w:w="4338" w:type="dxa"/>
                  <w:shd w:val="clear" w:color="auto" w:fill="auto"/>
                </w:tcPr>
                <w:p w:rsidR="008F3D45" w:rsidRPr="008F3D45" w:rsidRDefault="008F3D45" w:rsidP="009E1912">
                  <w:pPr>
                    <w:jc w:val="both"/>
                    <w:rPr>
                      <w:sz w:val="22"/>
                      <w:szCs w:val="22"/>
                    </w:rPr>
                  </w:pPr>
                  <w:r w:rsidRPr="008F3D45">
                    <w:rPr>
                      <w:sz w:val="22"/>
                      <w:szCs w:val="22"/>
                    </w:rPr>
                    <w:t>-</w:t>
                  </w:r>
                </w:p>
              </w:tc>
            </w:tr>
            <w:tr w:rsidR="008F3D45" w:rsidRPr="008F3D45" w:rsidTr="009E1912">
              <w:tc>
                <w:tcPr>
                  <w:tcW w:w="2952" w:type="dxa"/>
                  <w:vMerge/>
                  <w:shd w:val="clear" w:color="auto" w:fill="auto"/>
                </w:tcPr>
                <w:p w:rsidR="008F3D45" w:rsidRPr="008F3D45" w:rsidRDefault="008F3D45" w:rsidP="009E1912">
                  <w:pPr>
                    <w:jc w:val="both"/>
                    <w:rPr>
                      <w:sz w:val="22"/>
                      <w:szCs w:val="22"/>
                    </w:rPr>
                  </w:pPr>
                </w:p>
              </w:tc>
              <w:tc>
                <w:tcPr>
                  <w:tcW w:w="1566" w:type="dxa"/>
                  <w:shd w:val="clear" w:color="auto" w:fill="auto"/>
                </w:tcPr>
                <w:p w:rsidR="008F3D45" w:rsidRPr="008F3D45" w:rsidRDefault="008F3D45" w:rsidP="009E1912">
                  <w:pPr>
                    <w:jc w:val="both"/>
                    <w:rPr>
                      <w:sz w:val="22"/>
                      <w:szCs w:val="22"/>
                    </w:rPr>
                  </w:pPr>
                  <w:r w:rsidRPr="008F3D45">
                    <w:rPr>
                      <w:sz w:val="22"/>
                      <w:szCs w:val="22"/>
                    </w:rPr>
                    <w:t xml:space="preserve"> Česta</w:t>
                  </w:r>
                </w:p>
              </w:tc>
              <w:tc>
                <w:tcPr>
                  <w:tcW w:w="4338" w:type="dxa"/>
                  <w:shd w:val="clear" w:color="auto" w:fill="auto"/>
                </w:tcPr>
                <w:p w:rsidR="008F3D45" w:rsidRPr="008F3D45" w:rsidRDefault="008F3D45" w:rsidP="009E1912">
                  <w:pPr>
                    <w:jc w:val="both"/>
                    <w:rPr>
                      <w:sz w:val="22"/>
                      <w:szCs w:val="22"/>
                    </w:rPr>
                  </w:pPr>
                  <w:r w:rsidRPr="008F3D45">
                    <w:rPr>
                      <w:sz w:val="22"/>
                      <w:szCs w:val="22"/>
                    </w:rPr>
                    <w:t>Edem, pireksija, drhtavica, bol, slabost, astenija</w:t>
                  </w:r>
                </w:p>
              </w:tc>
            </w:tr>
            <w:tr w:rsidR="008F3D45" w:rsidRPr="008F3D45" w:rsidTr="009E1912">
              <w:tc>
                <w:tcPr>
                  <w:tcW w:w="2952" w:type="dxa"/>
                  <w:vMerge w:val="restart"/>
                  <w:shd w:val="clear" w:color="auto" w:fill="auto"/>
                </w:tcPr>
                <w:p w:rsidR="008F3D45" w:rsidRPr="008F3D45" w:rsidRDefault="008F3D45" w:rsidP="009E1912">
                  <w:pPr>
                    <w:jc w:val="both"/>
                    <w:rPr>
                      <w:sz w:val="22"/>
                      <w:szCs w:val="22"/>
                    </w:rPr>
                  </w:pPr>
                  <w:r w:rsidRPr="008F3D45">
                    <w:rPr>
                      <w:sz w:val="22"/>
                      <w:szCs w:val="22"/>
                    </w:rPr>
                    <w:t>Ispitivanja</w:t>
                  </w:r>
                </w:p>
              </w:tc>
              <w:tc>
                <w:tcPr>
                  <w:tcW w:w="1566" w:type="dxa"/>
                  <w:shd w:val="clear" w:color="auto" w:fill="auto"/>
                </w:tcPr>
                <w:p w:rsidR="008F3D45" w:rsidRPr="008F3D45" w:rsidRDefault="008F3D45" w:rsidP="009E1912">
                  <w:pPr>
                    <w:jc w:val="both"/>
                    <w:rPr>
                      <w:sz w:val="22"/>
                      <w:szCs w:val="22"/>
                    </w:rPr>
                  </w:pPr>
                  <w:r w:rsidRPr="008F3D45">
                    <w:rPr>
                      <w:sz w:val="22"/>
                      <w:szCs w:val="22"/>
                    </w:rPr>
                    <w:t>Veoma  česta</w:t>
                  </w:r>
                </w:p>
              </w:tc>
              <w:tc>
                <w:tcPr>
                  <w:tcW w:w="4338" w:type="dxa"/>
                  <w:shd w:val="clear" w:color="auto" w:fill="auto"/>
                </w:tcPr>
                <w:p w:rsidR="008F3D45" w:rsidRPr="008F3D45" w:rsidRDefault="008F3D45" w:rsidP="009E1912">
                  <w:pPr>
                    <w:jc w:val="both"/>
                    <w:rPr>
                      <w:sz w:val="22"/>
                      <w:szCs w:val="22"/>
                    </w:rPr>
                  </w:pPr>
                  <w:r w:rsidRPr="008F3D45">
                    <w:rPr>
                      <w:sz w:val="22"/>
                      <w:szCs w:val="22"/>
                    </w:rPr>
                    <w:t>-</w:t>
                  </w:r>
                </w:p>
              </w:tc>
            </w:tr>
            <w:tr w:rsidR="008F3D45" w:rsidRPr="008F3D45" w:rsidTr="009E1912">
              <w:tc>
                <w:tcPr>
                  <w:tcW w:w="2952" w:type="dxa"/>
                  <w:vMerge/>
                  <w:shd w:val="clear" w:color="auto" w:fill="auto"/>
                </w:tcPr>
                <w:p w:rsidR="008F3D45" w:rsidRPr="008F3D45" w:rsidRDefault="008F3D45" w:rsidP="009E1912">
                  <w:pPr>
                    <w:jc w:val="both"/>
                    <w:rPr>
                      <w:sz w:val="22"/>
                      <w:szCs w:val="22"/>
                    </w:rPr>
                  </w:pPr>
                </w:p>
              </w:tc>
              <w:tc>
                <w:tcPr>
                  <w:tcW w:w="1566" w:type="dxa"/>
                  <w:shd w:val="clear" w:color="auto" w:fill="auto"/>
                </w:tcPr>
                <w:p w:rsidR="008F3D45" w:rsidRPr="008F3D45" w:rsidRDefault="008F3D45" w:rsidP="009E1912">
                  <w:pPr>
                    <w:jc w:val="both"/>
                    <w:rPr>
                      <w:sz w:val="22"/>
                      <w:szCs w:val="22"/>
                    </w:rPr>
                  </w:pPr>
                  <w:r w:rsidRPr="008F3D45">
                    <w:rPr>
                      <w:sz w:val="22"/>
                      <w:szCs w:val="22"/>
                    </w:rPr>
                    <w:t xml:space="preserve"> Česta</w:t>
                  </w:r>
                </w:p>
              </w:tc>
              <w:tc>
                <w:tcPr>
                  <w:tcW w:w="4338" w:type="dxa"/>
                  <w:shd w:val="clear" w:color="auto" w:fill="auto"/>
                </w:tcPr>
                <w:p w:rsidR="008F3D45" w:rsidRPr="008F3D45" w:rsidRDefault="008F3D45" w:rsidP="009E1912">
                  <w:pPr>
                    <w:jc w:val="both"/>
                    <w:rPr>
                      <w:sz w:val="22"/>
                      <w:szCs w:val="22"/>
                    </w:rPr>
                  </w:pPr>
                  <w:r w:rsidRPr="008F3D45">
                    <w:rPr>
                      <w:sz w:val="22"/>
                      <w:szCs w:val="22"/>
                    </w:rPr>
                    <w:t>Povećanje enzima jetre, povećanje kreatitnina u krvi, povećanje laktat dehidrogenaze u krvi, povećanje alkalne fosfataze u krvi, smanjenje tjelesne težine</w:t>
                  </w:r>
                </w:p>
              </w:tc>
            </w:tr>
          </w:tbl>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rPr>
              <w:t xml:space="preserve">Napomena: 501 (2 g mikofenolat mofetila na dan), 289 (3 g mikofenolat mofetila na dan) i 277 (2 g IV/3 g oralnog mikofenolat mofetila na dan) pacijenata su liječeni u studiji treće faze za prevenciju odbacivanja poslije transplantacije bubrega, srca, odnosno jetre. </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u w:val="single"/>
              </w:rPr>
              <w:t>Sljedeća neželjena dejstva obuhvataju neželjene reakcije prijavljene u postmarketinškom periodu</w:t>
            </w:r>
            <w:r w:rsidRPr="008F3D45">
              <w:rPr>
                <w:sz w:val="22"/>
                <w:szCs w:val="22"/>
              </w:rPr>
              <w:t xml:space="preserve">: </w:t>
            </w:r>
          </w:p>
          <w:p w:rsidR="008F3D45" w:rsidRPr="008F3D45" w:rsidRDefault="008F3D45" w:rsidP="009E1912">
            <w:pPr>
              <w:jc w:val="both"/>
              <w:rPr>
                <w:sz w:val="22"/>
                <w:szCs w:val="22"/>
              </w:rPr>
            </w:pPr>
            <w:r w:rsidRPr="008F3D45">
              <w:rPr>
                <w:sz w:val="22"/>
                <w:szCs w:val="22"/>
              </w:rPr>
              <w:t xml:space="preserve">Neželjene reakcije prijavljene u postmarketinškom periodu mikofenolat mofetila slične su onima koje su zabilježene u kontrolisanim studijama nakon transplantacije bubrega, srca i jetre. Dodatne neželjene reakcije koje su prijavljene u postmarketinškom periodu  opisane su dolje, a u zagradi su date učestalosti, ako su poznate. </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u w:val="single"/>
              </w:rPr>
              <w:t>Gastrointestinalni poremećaji</w:t>
            </w:r>
            <w:r w:rsidRPr="008F3D45">
              <w:rPr>
                <w:sz w:val="22"/>
                <w:szCs w:val="22"/>
              </w:rPr>
              <w:t xml:space="preserve">: hiperplazija gingive (≥1/100 do &lt;1/10), kolitis uključujući i kolitis izazvan citomegalovirusom (≥1/100 do &lt;1/10), pankreatitis (≥1/100 do &lt;1/10), i atrofija intestinalnih vilusa. </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u w:val="single"/>
              </w:rPr>
              <w:t>Poremećaji vezani za imunosupresiju</w:t>
            </w:r>
            <w:r w:rsidRPr="008F3D45">
              <w:rPr>
                <w:sz w:val="22"/>
                <w:szCs w:val="22"/>
              </w:rPr>
              <w:t xml:space="preserve">: ozbiljne, životno ugrožavajuće infekcije uključujući infekcije meningitis, endokarditis, tuberkulozu i atipične infekcije mikobakterijama. Slučajevi BK virusa udruženi sa nefropatijom kao i slučajevi JC virusa koji je udružen sa progresivnom multifokalnom leukoencefalopatijom (PML) su prijavljeni kod pacijenata na terapiji imunosupresivima, uključujući mikofenolat mofetil.  </w:t>
            </w:r>
          </w:p>
          <w:p w:rsidR="008F3D45" w:rsidRPr="008F3D45" w:rsidRDefault="008F3D45" w:rsidP="009E1912">
            <w:pPr>
              <w:jc w:val="both"/>
              <w:rPr>
                <w:sz w:val="22"/>
                <w:szCs w:val="22"/>
              </w:rPr>
            </w:pPr>
            <w:r w:rsidRPr="008F3D45">
              <w:rPr>
                <w:sz w:val="22"/>
                <w:szCs w:val="22"/>
              </w:rPr>
              <w:t xml:space="preserve">Prijavljene su i agranulocitoza (≥1/1000 do &lt;1/100) i neutropenija; prema tome, savjetuje se redovno praćenje pacijenata koji uzimaju mikofenolat mofetil (vidjeti dio 4.4). Prijavljeni su slučajevi aplastične anemije i depresije koštane srži kod pacijenata koji su liječeni mikofenolat mofetilom, od kojih su neki imali fatalni ishod. </w:t>
            </w:r>
          </w:p>
          <w:p w:rsidR="008F3D45" w:rsidRPr="008F3D45" w:rsidRDefault="008F3D45" w:rsidP="009E1912">
            <w:pPr>
              <w:jc w:val="both"/>
              <w:rPr>
                <w:sz w:val="22"/>
                <w:szCs w:val="22"/>
              </w:rPr>
            </w:pPr>
          </w:p>
          <w:p w:rsidR="008F3D45" w:rsidRPr="008F3D45" w:rsidRDefault="008F3D45" w:rsidP="009E1912">
            <w:pPr>
              <w:spacing w:line="260" w:lineRule="exact"/>
              <w:jc w:val="both"/>
              <w:rPr>
                <w:sz w:val="22"/>
                <w:szCs w:val="22"/>
                <w:u w:val="single"/>
              </w:rPr>
            </w:pPr>
            <w:r w:rsidRPr="008F3D45">
              <w:rPr>
                <w:sz w:val="22"/>
                <w:szCs w:val="22"/>
                <w:u w:val="single"/>
              </w:rPr>
              <w:t xml:space="preserve">Poremećaji krvi i limfnog sistema: </w:t>
            </w:r>
          </w:p>
          <w:p w:rsidR="008F3D45" w:rsidRPr="008F3D45" w:rsidRDefault="008F3D45" w:rsidP="009E1912">
            <w:pPr>
              <w:spacing w:line="260" w:lineRule="exact"/>
              <w:jc w:val="both"/>
              <w:rPr>
                <w:sz w:val="22"/>
                <w:szCs w:val="22"/>
              </w:rPr>
            </w:pPr>
            <w:r w:rsidRPr="008F3D45">
              <w:rPr>
                <w:sz w:val="22"/>
                <w:szCs w:val="22"/>
              </w:rPr>
              <w:t xml:space="preserve">Slučajevi izolovane aplazije eritrocita (PRCA) su prijavljeni kod pacijenata koji su liječeni mikofenolat mofetilom (vidjeti dio 4.4). </w:t>
            </w:r>
          </w:p>
          <w:p w:rsidR="008F3D45" w:rsidRPr="008F3D45" w:rsidRDefault="008F3D45" w:rsidP="009E1912">
            <w:pPr>
              <w:spacing w:line="260" w:lineRule="exact"/>
              <w:jc w:val="both"/>
              <w:rPr>
                <w:sz w:val="22"/>
                <w:szCs w:val="22"/>
              </w:rPr>
            </w:pPr>
            <w:r w:rsidRPr="008F3D45">
              <w:rPr>
                <w:sz w:val="22"/>
                <w:szCs w:val="22"/>
              </w:rPr>
              <w:t>Izolovani slučajevi abnormalne morfologije neutrofila, uključujući stečenu Pelger-Huet anomaliju, su uočeni kod pacijenata liječenih mikofenolat mofetilom. Ove promjene nijesu u vezi sa oštećenom funkcijom neutrofila. Ove promjene mogu sugerisati na “lijevu promjenu” u zrelosti neutrofila u hematološkim testovima što se može greškom protumačiti kao znak infekcije kod imunosuprimiranih pacijenata, kao što su oni koji primaju mikofenolat mofetil.</w:t>
            </w:r>
          </w:p>
          <w:p w:rsidR="008F3D45" w:rsidRPr="008F3D45" w:rsidRDefault="008F3D45" w:rsidP="009E1912">
            <w:pPr>
              <w:jc w:val="both"/>
              <w:rPr>
                <w:sz w:val="22"/>
                <w:szCs w:val="22"/>
                <w:u w:val="single"/>
              </w:rPr>
            </w:pPr>
          </w:p>
          <w:p w:rsidR="008F3D45" w:rsidRPr="008F3D45" w:rsidRDefault="008F3D45" w:rsidP="009E1912">
            <w:pPr>
              <w:jc w:val="both"/>
              <w:rPr>
                <w:sz w:val="22"/>
                <w:szCs w:val="22"/>
              </w:rPr>
            </w:pPr>
            <w:r w:rsidRPr="008F3D45">
              <w:rPr>
                <w:sz w:val="22"/>
                <w:szCs w:val="22"/>
                <w:u w:val="single"/>
              </w:rPr>
              <w:t>Preosjetljivost</w:t>
            </w:r>
            <w:r w:rsidRPr="008F3D45">
              <w:rPr>
                <w:sz w:val="22"/>
                <w:szCs w:val="22"/>
              </w:rPr>
              <w:t xml:space="preserve">: Prijavljene su i reakcije preosjetljivosti, uključujući angioneurotski edem i anafilaktičke reakcije. </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u w:val="single"/>
              </w:rPr>
              <w:t>Kongenitalni poremećaji:</w:t>
            </w:r>
            <w:r w:rsidRPr="008F3D45">
              <w:rPr>
                <w:sz w:val="22"/>
                <w:szCs w:val="22"/>
              </w:rPr>
              <w:t xml:space="preserve"> vidjeti detalje u dijelu 4.6. </w:t>
            </w:r>
          </w:p>
          <w:p w:rsidR="008F3D45" w:rsidRPr="008F3D45" w:rsidRDefault="008F3D45" w:rsidP="009E1912">
            <w:pPr>
              <w:jc w:val="both"/>
              <w:rPr>
                <w:sz w:val="22"/>
                <w:szCs w:val="22"/>
              </w:rPr>
            </w:pPr>
          </w:p>
          <w:p w:rsidR="008F3D45" w:rsidRPr="008F3D45" w:rsidRDefault="008F3D45" w:rsidP="009E1912">
            <w:pPr>
              <w:jc w:val="both"/>
              <w:rPr>
                <w:sz w:val="22"/>
                <w:szCs w:val="22"/>
                <w:u w:val="single"/>
              </w:rPr>
            </w:pPr>
            <w:r w:rsidRPr="008F3D45">
              <w:rPr>
                <w:sz w:val="22"/>
                <w:szCs w:val="22"/>
                <w:u w:val="single"/>
              </w:rPr>
              <w:t>Respiratorni, torakalni i medijastinalni poremećaji:</w:t>
            </w:r>
          </w:p>
          <w:p w:rsidR="008F3D45" w:rsidRPr="008F3D45" w:rsidRDefault="008F3D45" w:rsidP="009E1912">
            <w:pPr>
              <w:jc w:val="both"/>
              <w:rPr>
                <w:sz w:val="22"/>
                <w:szCs w:val="22"/>
              </w:rPr>
            </w:pPr>
            <w:r w:rsidRPr="008F3D45">
              <w:rPr>
                <w:sz w:val="22"/>
                <w:szCs w:val="22"/>
              </w:rPr>
              <w:t>Bilo je pojedinačnih slučajeva intersticijalne plućne bolesti i plućne fibroze kod pacijenata  liječenih mikofenolat mofetilom u kombinaciji sa drugim imunosupresivima, neki od ovih slučajeva su bili fatalni.</w:t>
            </w:r>
            <w:r w:rsidRPr="008F3D45">
              <w:rPr>
                <w:color w:val="FF0000"/>
                <w:sz w:val="22"/>
                <w:szCs w:val="22"/>
              </w:rPr>
              <w:t xml:space="preserve"> </w:t>
            </w:r>
            <w:r w:rsidRPr="008F3D45">
              <w:rPr>
                <w:sz w:val="22"/>
                <w:szCs w:val="22"/>
              </w:rPr>
              <w:t>Takođe, prijavljivani su i slučajevi bronhiektazije kod djece i odraslih (nepoznate učestalosti).</w:t>
            </w:r>
          </w:p>
          <w:p w:rsidR="008F3D45" w:rsidRPr="008F3D45" w:rsidRDefault="008F3D45" w:rsidP="009E1912">
            <w:pPr>
              <w:jc w:val="both"/>
              <w:rPr>
                <w:sz w:val="22"/>
                <w:szCs w:val="22"/>
              </w:rPr>
            </w:pPr>
          </w:p>
          <w:p w:rsidR="008F3D45" w:rsidRPr="008F3D45" w:rsidRDefault="008F3D45" w:rsidP="009E1912">
            <w:pPr>
              <w:jc w:val="both"/>
              <w:rPr>
                <w:sz w:val="22"/>
                <w:szCs w:val="22"/>
                <w:u w:val="single"/>
              </w:rPr>
            </w:pPr>
            <w:r w:rsidRPr="008F3D45">
              <w:rPr>
                <w:sz w:val="22"/>
                <w:szCs w:val="22"/>
                <w:u w:val="single"/>
              </w:rPr>
              <w:t>Poremećaji imunog sistema:</w:t>
            </w:r>
          </w:p>
          <w:p w:rsidR="008F3D45" w:rsidRPr="008F3D45" w:rsidRDefault="008F3D45" w:rsidP="009E1912">
            <w:pPr>
              <w:jc w:val="both"/>
              <w:rPr>
                <w:sz w:val="22"/>
                <w:szCs w:val="22"/>
              </w:rPr>
            </w:pPr>
            <w:r w:rsidRPr="008F3D45">
              <w:rPr>
                <w:sz w:val="22"/>
                <w:szCs w:val="22"/>
              </w:rPr>
              <w:t>Hipogamaglobulinemija je prijavljena kod pacijenata liječenih mikofenolat mofetilom u kombinaciji sa drugim imunosupresivima (učestalost nepoznata).</w:t>
            </w:r>
          </w:p>
          <w:p w:rsidR="008F3D45" w:rsidRPr="008F3D45" w:rsidRDefault="008F3D45" w:rsidP="009E1912">
            <w:pPr>
              <w:jc w:val="both"/>
              <w:rPr>
                <w:sz w:val="22"/>
                <w:szCs w:val="22"/>
              </w:rPr>
            </w:pPr>
          </w:p>
          <w:p w:rsidR="008F3D45" w:rsidRPr="008F3D45" w:rsidRDefault="008F3D45" w:rsidP="009E1912">
            <w:pPr>
              <w:jc w:val="both"/>
              <w:rPr>
                <w:sz w:val="22"/>
                <w:szCs w:val="22"/>
                <w:u w:val="single"/>
                <w:lang w:val="sr-Latn-RS"/>
              </w:rPr>
            </w:pPr>
            <w:r w:rsidRPr="008F3D45">
              <w:rPr>
                <w:sz w:val="22"/>
                <w:szCs w:val="22"/>
                <w:u w:val="single"/>
                <w:lang w:val="sr-Latn-RS"/>
              </w:rPr>
              <w:t>Prijavljivanje sumnji na neželjena dejstva</w:t>
            </w:r>
          </w:p>
          <w:p w:rsidR="008F3D45" w:rsidRPr="008F3D45" w:rsidRDefault="008F3D45" w:rsidP="009E1912">
            <w:pPr>
              <w:jc w:val="both"/>
              <w:rPr>
                <w:sz w:val="22"/>
                <w:szCs w:val="22"/>
                <w:lang w:val="sr-Latn-RS"/>
              </w:rPr>
            </w:pPr>
            <w:r w:rsidRPr="008F3D45">
              <w:rPr>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8F3D45" w:rsidRPr="008F3D45" w:rsidRDefault="008F3D45" w:rsidP="009E1912">
            <w:pPr>
              <w:jc w:val="both"/>
              <w:rPr>
                <w:sz w:val="22"/>
                <w:szCs w:val="22"/>
                <w:lang w:val="sr-Latn-RS"/>
              </w:rPr>
            </w:pPr>
            <w:r w:rsidRPr="008F3D45">
              <w:rPr>
                <w:sz w:val="22"/>
                <w:szCs w:val="22"/>
                <w:lang w:val="sr-Latn-RS"/>
              </w:rPr>
              <w:lastRenderedPageBreak/>
              <w:t>Agencija za ljekove i medicinska sredstva Crne Gore</w:t>
            </w:r>
          </w:p>
          <w:p w:rsidR="008F3D45" w:rsidRPr="008F3D45" w:rsidRDefault="008F3D45" w:rsidP="009E1912">
            <w:pPr>
              <w:jc w:val="both"/>
              <w:rPr>
                <w:sz w:val="22"/>
                <w:szCs w:val="22"/>
                <w:lang w:val="sr-Latn-RS"/>
              </w:rPr>
            </w:pPr>
            <w:r w:rsidRPr="008F3D45">
              <w:rPr>
                <w:sz w:val="22"/>
                <w:szCs w:val="22"/>
                <w:lang w:val="sr-Latn-RS"/>
              </w:rPr>
              <w:t>Odjeljenje za farmakovigilancu</w:t>
            </w:r>
          </w:p>
          <w:p w:rsidR="008F3D45" w:rsidRPr="008F3D45" w:rsidRDefault="008F3D45" w:rsidP="009E1912">
            <w:pPr>
              <w:jc w:val="both"/>
              <w:rPr>
                <w:sz w:val="22"/>
                <w:szCs w:val="22"/>
                <w:lang w:val="sr-Latn-RS"/>
              </w:rPr>
            </w:pPr>
            <w:r w:rsidRPr="008F3D45">
              <w:rPr>
                <w:sz w:val="22"/>
                <w:szCs w:val="22"/>
                <w:lang w:val="sr-Latn-RS"/>
              </w:rPr>
              <w:t>Bulevar Ivana Crnojevića 64a, 81000 Podgorica</w:t>
            </w:r>
          </w:p>
          <w:p w:rsidR="008F3D45" w:rsidRPr="008F3D45" w:rsidRDefault="008F3D45" w:rsidP="009E1912">
            <w:pPr>
              <w:jc w:val="both"/>
              <w:rPr>
                <w:sz w:val="22"/>
                <w:szCs w:val="22"/>
                <w:lang w:val="sr-Latn-RS"/>
              </w:rPr>
            </w:pPr>
          </w:p>
          <w:p w:rsidR="008F3D45" w:rsidRPr="008F3D45" w:rsidRDefault="008F3D45" w:rsidP="009E1912">
            <w:pPr>
              <w:jc w:val="both"/>
              <w:rPr>
                <w:sz w:val="22"/>
                <w:szCs w:val="22"/>
                <w:lang w:val="sr-Latn-RS"/>
              </w:rPr>
            </w:pPr>
            <w:r w:rsidRPr="008F3D45">
              <w:rPr>
                <w:sz w:val="22"/>
                <w:szCs w:val="22"/>
                <w:lang w:val="sr-Latn-RS"/>
              </w:rPr>
              <w:t>tel: +382 (0) 20 310 280</w:t>
            </w:r>
          </w:p>
          <w:p w:rsidR="008F3D45" w:rsidRPr="008F3D45" w:rsidRDefault="008F3D45" w:rsidP="009E1912">
            <w:pPr>
              <w:jc w:val="both"/>
              <w:rPr>
                <w:sz w:val="22"/>
                <w:szCs w:val="22"/>
                <w:lang w:val="sr-Latn-RS"/>
              </w:rPr>
            </w:pPr>
            <w:r w:rsidRPr="008F3D45">
              <w:rPr>
                <w:sz w:val="22"/>
                <w:szCs w:val="22"/>
                <w:lang w:val="sr-Latn-RS"/>
              </w:rPr>
              <w:t>fax: +382 (0) 20 310 581</w:t>
            </w:r>
          </w:p>
          <w:p w:rsidR="008F3D45" w:rsidRPr="008F3D45" w:rsidRDefault="008A0BEB" w:rsidP="009E1912">
            <w:pPr>
              <w:jc w:val="both"/>
              <w:rPr>
                <w:sz w:val="22"/>
                <w:szCs w:val="22"/>
                <w:lang w:val="sr-Latn-RS"/>
              </w:rPr>
            </w:pPr>
            <w:hyperlink r:id="rId7" w:history="1">
              <w:r w:rsidR="008F3D45" w:rsidRPr="008F3D45">
                <w:rPr>
                  <w:rStyle w:val="Hyperlink"/>
                  <w:sz w:val="22"/>
                  <w:szCs w:val="22"/>
                  <w:lang w:val="sr-Latn-RS"/>
                </w:rPr>
                <w:t>www.calims.me</w:t>
              </w:r>
            </w:hyperlink>
          </w:p>
          <w:p w:rsidR="008F3D45" w:rsidRPr="008F3D45" w:rsidRDefault="008A0BEB" w:rsidP="009E1912">
            <w:pPr>
              <w:jc w:val="both"/>
              <w:rPr>
                <w:sz w:val="22"/>
                <w:szCs w:val="22"/>
                <w:u w:val="single"/>
                <w:lang w:val="sr-Latn-RS"/>
              </w:rPr>
            </w:pPr>
            <w:hyperlink r:id="rId8" w:history="1">
              <w:r w:rsidR="008F3D45" w:rsidRPr="008F3D45">
                <w:rPr>
                  <w:rStyle w:val="Hyperlink"/>
                  <w:sz w:val="22"/>
                  <w:szCs w:val="22"/>
                  <w:lang w:val="sr-Latn-RS"/>
                </w:rPr>
                <w:t>nezeljenadejstva@calims.me</w:t>
              </w:r>
            </w:hyperlink>
          </w:p>
          <w:p w:rsidR="008F3D45" w:rsidRPr="008F3D45" w:rsidRDefault="008F3D45" w:rsidP="009E1912">
            <w:pPr>
              <w:jc w:val="both"/>
              <w:rPr>
                <w:sz w:val="22"/>
                <w:szCs w:val="22"/>
                <w:lang w:val="sr-Latn-RS"/>
              </w:rPr>
            </w:pPr>
            <w:r w:rsidRPr="008F3D45">
              <w:rPr>
                <w:sz w:val="22"/>
                <w:szCs w:val="22"/>
                <w:lang w:val="sr-Latn-RS"/>
              </w:rPr>
              <w:t>putem IS zdravstvene zaštite</w:t>
            </w:r>
          </w:p>
          <w:p w:rsidR="008F3D45" w:rsidRPr="008F3D45" w:rsidRDefault="008F3D45" w:rsidP="009E1912">
            <w:pPr>
              <w:jc w:val="both"/>
              <w:rPr>
                <w:color w:val="FF0000"/>
                <w:sz w:val="22"/>
                <w:szCs w:val="22"/>
              </w:rPr>
            </w:pPr>
            <w:r w:rsidRPr="008F3D45">
              <w:rPr>
                <w:color w:val="FF0000"/>
                <w:sz w:val="22"/>
                <w:szCs w:val="22"/>
              </w:rPr>
              <w:t xml:space="preserve">                                                  </w:t>
            </w:r>
          </w:p>
        </w:tc>
      </w:tr>
      <w:tr w:rsidR="008F3D45" w:rsidRPr="008F3D45" w:rsidTr="009E1912">
        <w:tc>
          <w:tcPr>
            <w:tcW w:w="10188" w:type="dxa"/>
            <w:gridSpan w:val="4"/>
            <w:vAlign w:val="center"/>
          </w:tcPr>
          <w:p w:rsidR="008F3D45" w:rsidRPr="008F3D45" w:rsidRDefault="008F3D45" w:rsidP="009E1912">
            <w:pPr>
              <w:pStyle w:val="Header"/>
              <w:tabs>
                <w:tab w:val="left" w:pos="284"/>
              </w:tabs>
              <w:spacing w:before="80" w:after="80"/>
              <w:rPr>
                <w:b/>
                <w:bCs/>
                <w:sz w:val="22"/>
                <w:szCs w:val="22"/>
              </w:rPr>
            </w:pPr>
            <w:r w:rsidRPr="008F3D45">
              <w:rPr>
                <w:b/>
                <w:bCs/>
                <w:sz w:val="22"/>
                <w:szCs w:val="22"/>
              </w:rPr>
              <w:lastRenderedPageBreak/>
              <w:t>4.9. Predoziranje i mjere koje je potrebno preduzeti</w:t>
            </w:r>
          </w:p>
        </w:tc>
      </w:tr>
      <w:tr w:rsidR="008F3D45" w:rsidRPr="008F3D45" w:rsidTr="009E1912">
        <w:trPr>
          <w:trHeight w:val="1145"/>
        </w:trPr>
        <w:tc>
          <w:tcPr>
            <w:tcW w:w="10188" w:type="dxa"/>
            <w:gridSpan w:val="4"/>
            <w:vAlign w:val="center"/>
          </w:tcPr>
          <w:p w:rsidR="008F3D45" w:rsidRPr="008F3D45" w:rsidRDefault="008F3D45" w:rsidP="009E1912">
            <w:pPr>
              <w:jc w:val="both"/>
              <w:rPr>
                <w:sz w:val="22"/>
                <w:szCs w:val="22"/>
              </w:rPr>
            </w:pPr>
            <w:r w:rsidRPr="008F3D45">
              <w:rPr>
                <w:sz w:val="22"/>
                <w:szCs w:val="22"/>
              </w:rPr>
              <w:t xml:space="preserve">Postoje izveštaji o predoziranju sa mikofenolat mofetilom, dobijeni iz kliničkih studija odnosno nakon stavljanja lijeka u promet. U mnogim od ovih slučajeva, nije bilo prijavljenih neželjenih događaja. U onim slučajevima predoziranja u kojima su prijavljeni neželjeni događaji, profil tih događaja odgovara bezbjednosnom profilu lijeka. </w:t>
            </w:r>
          </w:p>
          <w:p w:rsidR="008F3D45" w:rsidRPr="008F3D45" w:rsidRDefault="008F3D45" w:rsidP="009E1912">
            <w:pPr>
              <w:jc w:val="both"/>
              <w:rPr>
                <w:sz w:val="22"/>
                <w:szCs w:val="22"/>
              </w:rPr>
            </w:pPr>
            <w:r w:rsidRPr="008F3D45">
              <w:rPr>
                <w:sz w:val="22"/>
                <w:szCs w:val="22"/>
              </w:rPr>
              <w:t>Može se očekivati da predoziranje mikofenolat mofetilom dovede do prekomjerne supresije imunog sistema i povećane osjetljivosti na infekcije, kao i supresije kostne srži (vidjeti dio 4.4.). Ako se razvije neutropenija, primjenu lijeka Trixin® treba prekinuti ili smanjiti dozu (vidjeti dio 4.4).</w:t>
            </w:r>
          </w:p>
          <w:p w:rsidR="008F3D45" w:rsidRPr="008F3D45" w:rsidRDefault="008F3D45" w:rsidP="009E1912">
            <w:pPr>
              <w:jc w:val="both"/>
              <w:rPr>
                <w:sz w:val="22"/>
                <w:szCs w:val="22"/>
              </w:rPr>
            </w:pPr>
            <w:r w:rsidRPr="008F3D45">
              <w:rPr>
                <w:sz w:val="22"/>
                <w:szCs w:val="22"/>
              </w:rPr>
              <w:t>Ne očekuje se da hemodijaliza ukloni klinički signifikantne količine MPA ili MPAG. Sekvestranti žučne kiseline, kao što je holestiramin, mogu da uklone MPA smanjujući enterohepatičnu recirkulaciju lijeka (vidjeti dio 5.2).</w:t>
            </w:r>
          </w:p>
          <w:p w:rsidR="008F3D45" w:rsidRPr="008F3D45" w:rsidRDefault="008F3D45" w:rsidP="009E1912">
            <w:pPr>
              <w:pStyle w:val="Header"/>
              <w:tabs>
                <w:tab w:val="left" w:pos="284"/>
              </w:tabs>
              <w:rPr>
                <w:sz w:val="22"/>
                <w:szCs w:val="22"/>
              </w:rPr>
            </w:pPr>
          </w:p>
        </w:tc>
      </w:tr>
      <w:tr w:rsidR="008F3D45" w:rsidRPr="008F3D45" w:rsidTr="009E1912">
        <w:tc>
          <w:tcPr>
            <w:tcW w:w="10188" w:type="dxa"/>
            <w:gridSpan w:val="4"/>
            <w:shd w:val="clear" w:color="auto" w:fill="E0E0E0"/>
            <w:vAlign w:val="center"/>
          </w:tcPr>
          <w:p w:rsidR="008F3D45" w:rsidRPr="008F3D45" w:rsidRDefault="008F3D45" w:rsidP="009E1912">
            <w:pPr>
              <w:pStyle w:val="Header"/>
              <w:tabs>
                <w:tab w:val="left" w:pos="284"/>
              </w:tabs>
              <w:rPr>
                <w:b/>
                <w:bCs/>
                <w:sz w:val="22"/>
                <w:szCs w:val="22"/>
              </w:rPr>
            </w:pPr>
            <w:r w:rsidRPr="008F3D45">
              <w:rPr>
                <w:b/>
                <w:bCs/>
                <w:sz w:val="22"/>
                <w:szCs w:val="22"/>
              </w:rPr>
              <w:t>5. FARMAKOLOŠKI PODACI</w:t>
            </w:r>
          </w:p>
        </w:tc>
      </w:tr>
      <w:tr w:rsidR="008F3D45" w:rsidRPr="008F3D45" w:rsidTr="009E1912">
        <w:tc>
          <w:tcPr>
            <w:tcW w:w="10188" w:type="dxa"/>
            <w:gridSpan w:val="4"/>
            <w:vAlign w:val="center"/>
          </w:tcPr>
          <w:p w:rsidR="008F3D45" w:rsidRPr="008F3D45" w:rsidRDefault="008F3D45" w:rsidP="009E1912">
            <w:pPr>
              <w:pStyle w:val="Header"/>
              <w:tabs>
                <w:tab w:val="left" w:pos="284"/>
              </w:tabs>
              <w:spacing w:before="80" w:after="80"/>
              <w:rPr>
                <w:b/>
                <w:bCs/>
                <w:sz w:val="22"/>
                <w:szCs w:val="22"/>
              </w:rPr>
            </w:pPr>
            <w:r w:rsidRPr="008F3D45">
              <w:rPr>
                <w:b/>
                <w:bCs/>
                <w:sz w:val="22"/>
                <w:szCs w:val="22"/>
              </w:rPr>
              <w:t>5.1. Farmakodinamski podaci</w:t>
            </w:r>
          </w:p>
        </w:tc>
      </w:tr>
      <w:tr w:rsidR="008F3D45" w:rsidRPr="008F3D45" w:rsidTr="009E1912">
        <w:trPr>
          <w:trHeight w:val="576"/>
        </w:trPr>
        <w:tc>
          <w:tcPr>
            <w:tcW w:w="2808" w:type="dxa"/>
            <w:gridSpan w:val="3"/>
            <w:vAlign w:val="center"/>
          </w:tcPr>
          <w:p w:rsidR="008F3D45" w:rsidRPr="008F3D45" w:rsidRDefault="008F3D45" w:rsidP="009E1912">
            <w:pPr>
              <w:pStyle w:val="Header"/>
              <w:tabs>
                <w:tab w:val="left" w:pos="284"/>
              </w:tabs>
              <w:rPr>
                <w:b/>
                <w:bCs/>
                <w:sz w:val="22"/>
                <w:szCs w:val="22"/>
              </w:rPr>
            </w:pPr>
            <w:r w:rsidRPr="008F3D45">
              <w:rPr>
                <w:b/>
                <w:bCs/>
                <w:sz w:val="22"/>
                <w:szCs w:val="22"/>
              </w:rPr>
              <w:t>Farmakoterapijska grupa:</w:t>
            </w:r>
          </w:p>
        </w:tc>
        <w:tc>
          <w:tcPr>
            <w:tcW w:w="7380" w:type="dxa"/>
            <w:vAlign w:val="center"/>
          </w:tcPr>
          <w:p w:rsidR="008F3D45" w:rsidRPr="008F3D45" w:rsidRDefault="008F3D45" w:rsidP="009E1912">
            <w:pPr>
              <w:pStyle w:val="Header"/>
              <w:tabs>
                <w:tab w:val="left" w:pos="284"/>
              </w:tabs>
              <w:rPr>
                <w:sz w:val="22"/>
                <w:szCs w:val="22"/>
              </w:rPr>
            </w:pPr>
            <w:r w:rsidRPr="008F3D45">
              <w:rPr>
                <w:sz w:val="22"/>
                <w:szCs w:val="22"/>
              </w:rPr>
              <w:t>imunosupresivi</w:t>
            </w:r>
          </w:p>
        </w:tc>
      </w:tr>
      <w:tr w:rsidR="008F3D45" w:rsidRPr="008F3D45" w:rsidTr="009E1912">
        <w:trPr>
          <w:trHeight w:val="542"/>
        </w:trPr>
        <w:tc>
          <w:tcPr>
            <w:tcW w:w="1188" w:type="dxa"/>
            <w:gridSpan w:val="2"/>
            <w:vAlign w:val="center"/>
          </w:tcPr>
          <w:p w:rsidR="008F3D45" w:rsidRPr="008F3D45" w:rsidRDefault="008F3D45" w:rsidP="009E1912">
            <w:pPr>
              <w:pStyle w:val="Header"/>
              <w:tabs>
                <w:tab w:val="left" w:pos="284"/>
              </w:tabs>
              <w:rPr>
                <w:b/>
                <w:bCs/>
                <w:sz w:val="22"/>
                <w:szCs w:val="22"/>
              </w:rPr>
            </w:pPr>
            <w:r w:rsidRPr="008F3D45">
              <w:rPr>
                <w:b/>
                <w:bCs/>
                <w:sz w:val="22"/>
                <w:szCs w:val="22"/>
              </w:rPr>
              <w:t>ATC kod:</w:t>
            </w:r>
          </w:p>
        </w:tc>
        <w:tc>
          <w:tcPr>
            <w:tcW w:w="9000" w:type="dxa"/>
            <w:gridSpan w:val="2"/>
            <w:vAlign w:val="center"/>
          </w:tcPr>
          <w:p w:rsidR="008F3D45" w:rsidRPr="008F3D45" w:rsidRDefault="008F3D45" w:rsidP="009E1912">
            <w:pPr>
              <w:rPr>
                <w:sz w:val="22"/>
                <w:szCs w:val="22"/>
              </w:rPr>
            </w:pPr>
            <w:r w:rsidRPr="008F3D45">
              <w:rPr>
                <w:sz w:val="22"/>
                <w:szCs w:val="22"/>
              </w:rPr>
              <w:t>L04AA06</w:t>
            </w:r>
          </w:p>
        </w:tc>
      </w:tr>
      <w:tr w:rsidR="008F3D45" w:rsidRPr="008F3D45" w:rsidTr="009E1912">
        <w:trPr>
          <w:trHeight w:val="1145"/>
        </w:trPr>
        <w:tc>
          <w:tcPr>
            <w:tcW w:w="10188" w:type="dxa"/>
            <w:gridSpan w:val="4"/>
            <w:vAlign w:val="center"/>
          </w:tcPr>
          <w:p w:rsidR="008F3D45" w:rsidRPr="008F3D45" w:rsidRDefault="008F3D45" w:rsidP="009E1912">
            <w:pPr>
              <w:jc w:val="both"/>
              <w:rPr>
                <w:sz w:val="22"/>
                <w:szCs w:val="22"/>
              </w:rPr>
            </w:pPr>
            <w:r w:rsidRPr="008F3D45">
              <w:rPr>
                <w:sz w:val="22"/>
                <w:szCs w:val="22"/>
              </w:rPr>
              <w:t xml:space="preserve">Mikofenolat mofetil je 2-morfolinoetil estar MPA. MPA je jak, selektivan, nekompetitivni i reverzibilni inhibitor inozin monofosfat dehidrogenaze i stoga inhibira put </w:t>
            </w:r>
            <w:r w:rsidRPr="008F3D45">
              <w:rPr>
                <w:i/>
                <w:sz w:val="22"/>
                <w:szCs w:val="22"/>
              </w:rPr>
              <w:t>de novo</w:t>
            </w:r>
            <w:r w:rsidRPr="008F3D45">
              <w:rPr>
                <w:sz w:val="22"/>
                <w:szCs w:val="22"/>
              </w:rPr>
              <w:t xml:space="preserve">  sinteze guanozin nukleotida bez inkorporacije u DNK. Budući da su za svoju proliferaciju T- i B- limfociti kritično zavisni od </w:t>
            </w:r>
            <w:r w:rsidRPr="008F3D45">
              <w:rPr>
                <w:i/>
                <w:sz w:val="22"/>
                <w:szCs w:val="22"/>
              </w:rPr>
              <w:t>de novo</w:t>
            </w:r>
            <w:r w:rsidRPr="008F3D45">
              <w:rPr>
                <w:sz w:val="22"/>
                <w:szCs w:val="22"/>
              </w:rPr>
              <w:t xml:space="preserve"> sinteze purina, dok druge vrste ćelija mogu da koriste pomoćne puteve, MPA ima snažnije citostatičko dejstvo na limfocite, nego na druge ćelije. </w:t>
            </w:r>
          </w:p>
          <w:p w:rsidR="008F3D45" w:rsidRPr="008F3D45" w:rsidRDefault="008F3D45" w:rsidP="009E1912">
            <w:pPr>
              <w:pStyle w:val="Header"/>
              <w:tabs>
                <w:tab w:val="left" w:pos="284"/>
              </w:tabs>
              <w:rPr>
                <w:sz w:val="22"/>
                <w:szCs w:val="22"/>
              </w:rPr>
            </w:pPr>
          </w:p>
        </w:tc>
      </w:tr>
      <w:tr w:rsidR="008F3D45" w:rsidRPr="008F3D45" w:rsidTr="009E1912">
        <w:tc>
          <w:tcPr>
            <w:tcW w:w="10188" w:type="dxa"/>
            <w:gridSpan w:val="4"/>
            <w:vAlign w:val="center"/>
          </w:tcPr>
          <w:p w:rsidR="008F3D45" w:rsidRPr="008F3D45" w:rsidRDefault="008F3D45" w:rsidP="009E1912">
            <w:pPr>
              <w:pStyle w:val="Header"/>
              <w:tabs>
                <w:tab w:val="left" w:pos="284"/>
              </w:tabs>
              <w:spacing w:before="80" w:after="80"/>
              <w:rPr>
                <w:b/>
                <w:bCs/>
                <w:sz w:val="22"/>
                <w:szCs w:val="22"/>
              </w:rPr>
            </w:pPr>
            <w:r w:rsidRPr="008F3D45">
              <w:rPr>
                <w:b/>
                <w:bCs/>
                <w:sz w:val="22"/>
                <w:szCs w:val="22"/>
              </w:rPr>
              <w:t>5.2. Farmakokinetički podaci</w:t>
            </w:r>
          </w:p>
          <w:p w:rsidR="008F3D45" w:rsidRPr="008F3D45" w:rsidRDefault="008F3D45" w:rsidP="009E1912">
            <w:pPr>
              <w:pStyle w:val="Header"/>
              <w:tabs>
                <w:tab w:val="left" w:pos="284"/>
              </w:tabs>
              <w:spacing w:before="80" w:after="80"/>
              <w:rPr>
                <w:bCs/>
                <w:sz w:val="22"/>
                <w:szCs w:val="22"/>
              </w:rPr>
            </w:pPr>
            <w:r w:rsidRPr="008F3D45">
              <w:rPr>
                <w:bCs/>
                <w:sz w:val="22"/>
                <w:szCs w:val="22"/>
              </w:rPr>
              <w:t>Resorpcija</w:t>
            </w:r>
          </w:p>
        </w:tc>
      </w:tr>
      <w:tr w:rsidR="008F3D45" w:rsidRPr="008F3D45" w:rsidTr="009E1912">
        <w:trPr>
          <w:trHeight w:val="1145"/>
        </w:trPr>
        <w:tc>
          <w:tcPr>
            <w:tcW w:w="10188" w:type="dxa"/>
            <w:gridSpan w:val="4"/>
            <w:vAlign w:val="center"/>
          </w:tcPr>
          <w:p w:rsidR="008F3D45" w:rsidRPr="008F3D45" w:rsidRDefault="008F3D45" w:rsidP="009E1912">
            <w:pPr>
              <w:jc w:val="both"/>
              <w:rPr>
                <w:sz w:val="22"/>
                <w:szCs w:val="22"/>
              </w:rPr>
            </w:pPr>
            <w:r w:rsidRPr="008F3D45">
              <w:rPr>
                <w:sz w:val="22"/>
                <w:szCs w:val="22"/>
              </w:rPr>
              <w:t xml:space="preserve">Po oralnoj primjeni, mikofenolat mofetil se podvrgava brzoj i ekstenzivnoj resorpciji i prolazi cjelokupni metabolizam sve do  aktivnog  metabolita, MPA. Kao što je dokazano supresijom aktivnog odbacivanja nakon transplantacije bubrega, imunosupresivna aktivnost lijeka Trixin je u korelaciji sa koncentracijom MPA. Srednja biološka raspoloživost oralnog mikofenolat mofetila, na osnovu PIK MPA iznosi 94% u odnosu na  i.v. mikofenolat mofetila. Hrana nema uticaja na obim resorpcije (PIK MPA) mikofenolat mofetila kada se primjenjuje u dozama od 1,5 g dva puta na dan pacijentima sa transplantiranim bubregom. Međutim, Cmax MPA  je u prisustvu hrane  smanjena za 40%.  Mikofenolat mofetil se ne može sistemski mjeriti u plazmi po oralnom davanju. </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rPr>
              <w:t>Distribucija</w:t>
            </w:r>
          </w:p>
          <w:p w:rsidR="008F3D45" w:rsidRPr="008F3D45" w:rsidRDefault="008F3D45" w:rsidP="009E1912">
            <w:pPr>
              <w:jc w:val="both"/>
              <w:rPr>
                <w:sz w:val="22"/>
                <w:szCs w:val="22"/>
              </w:rPr>
            </w:pPr>
            <w:r w:rsidRPr="008F3D45">
              <w:rPr>
                <w:sz w:val="22"/>
                <w:szCs w:val="22"/>
              </w:rPr>
              <w:lastRenderedPageBreak/>
              <w:t xml:space="preserve">Kao rezultat enterohepatične rerkulacije, sekundarno povećanje koncentracije MPA u plazmi obično se primjećuje u periodu od  približno 6-12 časova poslije primjene doze. Smanjenje PIK MPA od približno 40% povezano je sa istovremenom primjenom hlestiramina (4 g tri puta na dan), što ukazuje na značajnu enterohepatičnu recirkulaciju. </w:t>
            </w:r>
          </w:p>
          <w:p w:rsidR="008F3D45" w:rsidRPr="008F3D45" w:rsidRDefault="008F3D45" w:rsidP="009E1912">
            <w:pPr>
              <w:jc w:val="both"/>
              <w:rPr>
                <w:sz w:val="22"/>
                <w:szCs w:val="22"/>
              </w:rPr>
            </w:pPr>
            <w:r w:rsidRPr="008F3D45">
              <w:rPr>
                <w:sz w:val="22"/>
                <w:szCs w:val="22"/>
              </w:rPr>
              <w:t xml:space="preserve">U klinički relevantnim koncentracijama MPA se 97% vezuje za albumin u plazmi. </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rPr>
              <w:t>Metabolizam</w:t>
            </w:r>
          </w:p>
          <w:p w:rsidR="008F3D45" w:rsidRPr="008F3D45" w:rsidRDefault="008F3D45" w:rsidP="009E1912">
            <w:pPr>
              <w:jc w:val="both"/>
              <w:rPr>
                <w:sz w:val="22"/>
                <w:szCs w:val="22"/>
              </w:rPr>
            </w:pPr>
            <w:r w:rsidRPr="008F3D45">
              <w:rPr>
                <w:sz w:val="22"/>
                <w:szCs w:val="22"/>
              </w:rPr>
              <w:t xml:space="preserve">MPA se metaboliše prvenstveno pomoću glukuronil transferaze, stvaralući fenolni glukuronid MPA (MPAG) koji nije farmakološki aktivan. </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rPr>
              <w:t>Eliminacija</w:t>
            </w:r>
          </w:p>
          <w:p w:rsidR="008F3D45" w:rsidRPr="008F3D45" w:rsidRDefault="008F3D45" w:rsidP="009E1912">
            <w:pPr>
              <w:jc w:val="both"/>
              <w:rPr>
                <w:sz w:val="22"/>
                <w:szCs w:val="22"/>
              </w:rPr>
            </w:pPr>
            <w:r w:rsidRPr="008F3D45">
              <w:rPr>
                <w:sz w:val="22"/>
                <w:szCs w:val="22"/>
              </w:rPr>
              <w:t xml:space="preserve">Zanemarljiva količina ove supstance se izlučuje u obliku MPA (&lt;1% doze) u urin. Oralno primijenjen  radioaktivno obilježeni mikofenolat mofetil dovodi do potpune ponovne detekcije  primijenjene  doze, od čega se 93% primijenjene doze ponovo detektuje u urinu, a 6% u fecesu. Najveći dio (oko 87%) primijenjene doze izlučuje se u urin u obliku  MPAG. </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rPr>
              <w:t>U klinički zabilježenim koncentracijama, MPA i MPAG se ne uklanjaju hemodijalizom. Međutim, pri visokim koncentracijama MPAG u plazmi (&gt;100</w:t>
            </w:r>
            <w:r w:rsidRPr="008F3D45">
              <w:rPr>
                <w:sz w:val="22"/>
                <w:szCs w:val="22"/>
              </w:rPr>
              <w:sym w:font="Symbol" w:char="F06D"/>
            </w:r>
            <w:r w:rsidRPr="008F3D45">
              <w:rPr>
                <w:sz w:val="22"/>
                <w:szCs w:val="22"/>
              </w:rPr>
              <w:t xml:space="preserve">g/ml) uklanjene su se male količine MPAG. </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rPr>
              <w:t xml:space="preserve">U ranom posttransplantacionom periodu (&lt; 40 dana poslije transplantacije), pacijenti kojima je presađen bubreg, srce ili jetra imali su srednje vrijednosti PIK MPA približno 30% niže, dok je Cmax bio približno 40% niži u odnosu na kasniji post-transplantacijski period (3-6 mjeseci poslije transplantacije). </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u w:val="single"/>
              </w:rPr>
              <w:t>Bubrežna insuficijencija</w:t>
            </w:r>
            <w:r w:rsidRPr="008F3D45">
              <w:rPr>
                <w:sz w:val="22"/>
                <w:szCs w:val="22"/>
              </w:rPr>
              <w:t xml:space="preserve">: </w:t>
            </w:r>
          </w:p>
          <w:p w:rsidR="008F3D45" w:rsidRPr="008F3D45" w:rsidRDefault="008F3D45" w:rsidP="009E1912">
            <w:pPr>
              <w:jc w:val="both"/>
              <w:rPr>
                <w:sz w:val="22"/>
                <w:szCs w:val="22"/>
              </w:rPr>
            </w:pPr>
            <w:r w:rsidRPr="008F3D45">
              <w:rPr>
                <w:sz w:val="22"/>
                <w:szCs w:val="22"/>
              </w:rPr>
              <w:t>U studiji sa jednom dozom (6 ispitanika po grupi), srednje vrednosti PIK MPA u plazmi zabilježene kod ispitanika sa teškom hroničnom bubrežnom insuficijencijom (brzina glomerularne filtracije &lt;25 ml/min/1,73m</w:t>
            </w:r>
            <w:r w:rsidRPr="008F3D45">
              <w:rPr>
                <w:sz w:val="22"/>
                <w:szCs w:val="22"/>
                <w:vertAlign w:val="superscript"/>
              </w:rPr>
              <w:t>2</w:t>
            </w:r>
            <w:r w:rsidRPr="008F3D45">
              <w:rPr>
                <w:sz w:val="22"/>
                <w:szCs w:val="22"/>
              </w:rPr>
              <w:t>) bile su 28 – 75% veće u odnosu na srednje vrijednosti zabilježene kod normalnih zdravih ispitanika ili ispitanika sa manjim stepenom bubrežne insuficijencije. Međutim, PIK MPAG poslije srednje pojedinačne doze bila je 3-6 puta veća kod ispitanika sa teškom bubrežnom insuficijencijom nego kod onih sa blagom bubrežnom insuficijencijom ili normalnih zdravih ispitanika, što je u skladu sa poznatom bubrežnom eliminacijom MPAG. Višestruko doziranje mikofenolat mofetila kod pacijenata sa teškom hroničnom bubrežnom insuficijencijom nije ispitivano. Nema podataka ni o pacijentima kojima je presađeno srce ili jetra, a koji imaju tešku hroničnu bubrežnu insuficijenciju.</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u w:val="single"/>
              </w:rPr>
              <w:t>Odložena funkcija bubrežnog grafta</w:t>
            </w:r>
            <w:r w:rsidRPr="008F3D45">
              <w:rPr>
                <w:sz w:val="22"/>
                <w:szCs w:val="22"/>
              </w:rPr>
              <w:t xml:space="preserve">: </w:t>
            </w:r>
          </w:p>
          <w:p w:rsidR="008F3D45" w:rsidRPr="008F3D45" w:rsidRDefault="008F3D45" w:rsidP="009E1912">
            <w:pPr>
              <w:jc w:val="both"/>
              <w:rPr>
                <w:sz w:val="22"/>
                <w:szCs w:val="22"/>
              </w:rPr>
            </w:pPr>
            <w:r w:rsidRPr="008F3D45">
              <w:rPr>
                <w:sz w:val="22"/>
                <w:szCs w:val="22"/>
              </w:rPr>
              <w:t xml:space="preserve">Kod pacijenata sa odloženom funkcijom bubrežnog grafta poslije transplantacije, srednja vrijednost PIK (0-12 čas) MPA bila je slična onoj koja se biljleži kod pacijenata poslije transplantacije kod kojih funkcija bubrežnog grafta nije odložena. Srednja vrijednost  PIK (0-12 čas) MPA u plazmi bila je  2-3 puta veća nego kod pacijenata poslije transplantacije kod kojih funkcija bubrežnog grafta nije usporena. Može doći do prolaznog povećanja slobodne frakcije i koncentracije MPA u plazmi pacijenata sa usporenom funkcijom bubrežnog grafta. Podešavanje doze lijeka Trixin nije nužno potrebno. </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u w:val="single"/>
              </w:rPr>
              <w:t>Hepatička insuficijencija</w:t>
            </w:r>
            <w:r w:rsidRPr="008F3D45">
              <w:rPr>
                <w:sz w:val="22"/>
                <w:szCs w:val="22"/>
              </w:rPr>
              <w:t xml:space="preserve">: </w:t>
            </w:r>
          </w:p>
          <w:p w:rsidR="008F3D45" w:rsidRPr="008F3D45" w:rsidRDefault="008F3D45" w:rsidP="009E1912">
            <w:pPr>
              <w:jc w:val="both"/>
              <w:rPr>
                <w:sz w:val="22"/>
                <w:szCs w:val="22"/>
              </w:rPr>
            </w:pPr>
            <w:r w:rsidRPr="008F3D45">
              <w:rPr>
                <w:sz w:val="22"/>
                <w:szCs w:val="22"/>
              </w:rPr>
              <w:t xml:space="preserve">Kod dobrovoljaca sa alkoholnom cirozom, procesi glukuronidacije MPA u jetri bili su  je relativno nezavisani od oboljenja parenhima jetre. Uticaj  oboljenja jetre na ovaj proces vjerovatno zavisi od određene bolesti. Međutim, oboljenje jetre sa predominantno bilijarnim oštećenjem, kao što je primarna bilijarna ciroza, može imati drugačije dejstvo. </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u w:val="single"/>
              </w:rPr>
              <w:t>Djeca i adolescenti (uzrasta 2 do 18 godina)</w:t>
            </w:r>
            <w:r w:rsidRPr="008F3D45">
              <w:rPr>
                <w:sz w:val="22"/>
                <w:szCs w:val="22"/>
              </w:rPr>
              <w:t xml:space="preserve">: </w:t>
            </w:r>
          </w:p>
          <w:p w:rsidR="008F3D45" w:rsidRPr="008F3D45" w:rsidRDefault="008F3D45" w:rsidP="009E1912">
            <w:pPr>
              <w:jc w:val="both"/>
              <w:rPr>
                <w:sz w:val="22"/>
                <w:szCs w:val="22"/>
              </w:rPr>
            </w:pPr>
            <w:r w:rsidRPr="008F3D45">
              <w:rPr>
                <w:sz w:val="22"/>
                <w:szCs w:val="22"/>
              </w:rPr>
              <w:lastRenderedPageBreak/>
              <w:t>Farmakokinetički parametri su procenjivani kod 49 pedijatrijskih bolesnika kojima je presađen bubreg i koji su dva puta dnevno peroralno primali 600 mg/m</w:t>
            </w:r>
            <w:r w:rsidRPr="008F3D45">
              <w:rPr>
                <w:sz w:val="22"/>
                <w:szCs w:val="22"/>
                <w:vertAlign w:val="superscript"/>
              </w:rPr>
              <w:t xml:space="preserve">2 </w:t>
            </w:r>
            <w:r w:rsidRPr="008F3D45">
              <w:rPr>
                <w:sz w:val="22"/>
                <w:szCs w:val="22"/>
              </w:rPr>
              <w:t>mikofenolat mofetila. Ova doza je postizala vrijednosti PIK MPA slične onima koje se postižu kod odraslih pacijenta kojima je transplantiran bubreg i koji su dobijali Trixin u dozi od 1 g dva puta na dan i u ranom i u poznom posttransplantacionom periodu. Vrijednosti PIK MPA u različitim uzrasnim grupama bile su slične i u ranom, i u poznom posttransplantacionom periodu.</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u w:val="single"/>
              </w:rPr>
              <w:t>Stariji pacijenti  (≥ 65 godina)</w:t>
            </w:r>
            <w:r w:rsidRPr="008F3D45">
              <w:rPr>
                <w:sz w:val="22"/>
                <w:szCs w:val="22"/>
              </w:rPr>
              <w:t>:</w:t>
            </w:r>
          </w:p>
          <w:p w:rsidR="008F3D45" w:rsidRPr="008F3D45" w:rsidRDefault="008F3D45" w:rsidP="009E1912">
            <w:pPr>
              <w:jc w:val="both"/>
              <w:rPr>
                <w:sz w:val="22"/>
                <w:szCs w:val="22"/>
              </w:rPr>
            </w:pPr>
            <w:r w:rsidRPr="008F3D45">
              <w:rPr>
                <w:sz w:val="22"/>
                <w:szCs w:val="22"/>
              </w:rPr>
              <w:t xml:space="preserve">Farmakokinetičko ponašanje lijeka Trixin nije formalno procjenjivano u starijih pacijenata.. </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u w:val="single"/>
              </w:rPr>
              <w:t>Oralni kontraceptivi</w:t>
            </w:r>
            <w:r w:rsidRPr="008F3D45">
              <w:rPr>
                <w:sz w:val="22"/>
                <w:szCs w:val="22"/>
              </w:rPr>
              <w:t xml:space="preserve">: </w:t>
            </w:r>
          </w:p>
          <w:p w:rsidR="008F3D45" w:rsidRPr="008F3D45" w:rsidRDefault="008F3D45" w:rsidP="009E1912">
            <w:pPr>
              <w:jc w:val="both"/>
              <w:rPr>
                <w:sz w:val="22"/>
                <w:szCs w:val="22"/>
              </w:rPr>
            </w:pPr>
            <w:r w:rsidRPr="008F3D45">
              <w:rPr>
                <w:sz w:val="22"/>
                <w:szCs w:val="22"/>
              </w:rPr>
              <w:t xml:space="preserve">Farmakokinetika oralnih kontraceptiva nije se izmijenila njihovom istovremenom primjenom sa lijekom  Trixin (vidjeti dio 4.5). Ispitivanje istovremene primjene lijeka Trixin (1 g dva puta dnevno) i kombinovanih oralnih kontraceptiva koji sadrže etinilerstradiol (0,02 mg do 0,04 mg) i levonorgestrel (0,05 mg do 0,15 mg), dezogestrel (0,15 mg) ili gestoden (0,5 mg do 0,10 mg) koje je sprovedeno na 18 žena koje nijesu podvrgavane transplantaciji (niti su uzimale druge imunosupresive) tokom 3 uzastopna menstrualna ciklusa nije pokazalo klinički relevantni uticaj lijeka Trixin na sprečavanje ovulacije izazvano  oralnim kontraceptivima. Istovremena primjena nije značajno uticala na  nivoe LH, FSH i progresterona u serumu. </w:t>
            </w:r>
          </w:p>
          <w:p w:rsidR="008F3D45" w:rsidRPr="008F3D45" w:rsidRDefault="008F3D45" w:rsidP="009E1912">
            <w:pPr>
              <w:pStyle w:val="Header"/>
              <w:tabs>
                <w:tab w:val="left" w:pos="284"/>
              </w:tabs>
              <w:jc w:val="both"/>
              <w:rPr>
                <w:sz w:val="22"/>
                <w:szCs w:val="22"/>
              </w:rPr>
            </w:pPr>
          </w:p>
        </w:tc>
      </w:tr>
      <w:tr w:rsidR="008F3D45" w:rsidRPr="008F3D45" w:rsidTr="009E1912">
        <w:tc>
          <w:tcPr>
            <w:tcW w:w="10188" w:type="dxa"/>
            <w:gridSpan w:val="4"/>
            <w:vAlign w:val="center"/>
          </w:tcPr>
          <w:p w:rsidR="008F3D45" w:rsidRPr="008F3D45" w:rsidRDefault="008F3D45" w:rsidP="009E1912">
            <w:pPr>
              <w:pStyle w:val="Header"/>
              <w:tabs>
                <w:tab w:val="left" w:pos="284"/>
              </w:tabs>
              <w:spacing w:before="80" w:after="80"/>
              <w:jc w:val="both"/>
              <w:rPr>
                <w:b/>
                <w:bCs/>
                <w:sz w:val="22"/>
                <w:szCs w:val="22"/>
              </w:rPr>
            </w:pPr>
            <w:r w:rsidRPr="008F3D45">
              <w:rPr>
                <w:b/>
                <w:bCs/>
                <w:sz w:val="22"/>
                <w:szCs w:val="22"/>
              </w:rPr>
              <w:lastRenderedPageBreak/>
              <w:t xml:space="preserve">5.3. Predklinički podaci o bezbjednosti </w:t>
            </w:r>
          </w:p>
        </w:tc>
      </w:tr>
      <w:tr w:rsidR="008F3D45" w:rsidRPr="008F3D45" w:rsidTr="009E1912">
        <w:trPr>
          <w:trHeight w:val="74"/>
        </w:trPr>
        <w:tc>
          <w:tcPr>
            <w:tcW w:w="10188" w:type="dxa"/>
            <w:gridSpan w:val="4"/>
            <w:vAlign w:val="center"/>
          </w:tcPr>
          <w:p w:rsidR="008F3D45" w:rsidRPr="008F3D45" w:rsidRDefault="008F3D45" w:rsidP="009E1912">
            <w:pPr>
              <w:jc w:val="both"/>
              <w:rPr>
                <w:sz w:val="22"/>
                <w:szCs w:val="22"/>
              </w:rPr>
            </w:pPr>
            <w:r w:rsidRPr="008F3D45">
              <w:rPr>
                <w:sz w:val="22"/>
                <w:szCs w:val="22"/>
              </w:rPr>
              <w:t xml:space="preserve">U eksperimentalnim modelima mikofenolat mofetil nije bio tumorigen. Najveća testirana doza u ispitivanjima kancerogenosti kod životinja rezultirala je 2-3 puta većom sistemskom izloženošću (PIK ili Cmax) od one koja se postiže kod pacijenata sa  transplantiranim bubregom koji primaju preporučenu kliničku dozu od 2 g/dan i 1,3-2 puta većom  sistemskom izloženošću  (PIK ili Cmax) od primjećenog kod pacijenata kojima je presađeno srce pri preporučenoj kliničkoj dozi od 3 g/dan. </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rPr>
              <w:t>Dva testa  genotoksičnosti (</w:t>
            </w:r>
            <w:r w:rsidRPr="008F3D45">
              <w:rPr>
                <w:i/>
                <w:sz w:val="22"/>
                <w:szCs w:val="22"/>
              </w:rPr>
              <w:t>in vitro</w:t>
            </w:r>
            <w:r w:rsidRPr="008F3D45">
              <w:rPr>
                <w:sz w:val="22"/>
                <w:szCs w:val="22"/>
              </w:rPr>
              <w:t xml:space="preserve"> test na limfomu miša i </w:t>
            </w:r>
            <w:r w:rsidRPr="008F3D45">
              <w:rPr>
                <w:i/>
                <w:sz w:val="22"/>
                <w:szCs w:val="22"/>
              </w:rPr>
              <w:t>in vivo</w:t>
            </w:r>
            <w:r w:rsidRPr="008F3D45">
              <w:rPr>
                <w:sz w:val="22"/>
                <w:szCs w:val="22"/>
              </w:rPr>
              <w:t xml:space="preserve"> mikronukleusni test kostne srži miša) pokazali su potencijal mikofenolat mofetila da uzrokuje hromozomske aberacije. Ova dejstva se mogu dovesti u vezu sa farmakodinamičkim načinom djelovanja, t.j. inhibicijom sinteze nukleotida u osjetljivim ćelijama. Ostali </w:t>
            </w:r>
            <w:r w:rsidRPr="008F3D45">
              <w:rPr>
                <w:i/>
                <w:sz w:val="22"/>
                <w:szCs w:val="22"/>
              </w:rPr>
              <w:t>in vitro</w:t>
            </w:r>
            <w:r w:rsidRPr="008F3D45">
              <w:rPr>
                <w:sz w:val="22"/>
                <w:szCs w:val="22"/>
              </w:rPr>
              <w:t xml:space="preserve"> testovi za detekciju genskih mutacija nijesu pokazali genotoksičnu aktivnost. </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rPr>
              <w:t>Mikofenolat mofetil nije imao dejstva na fertilnost mužjaka pacova pri oralnim dozama od maksimalno 20 mg/kg/dan. Sistemska izloženost pri tim dozama je 2-3 puta veće od kliničke izloženosti pri preporučenoj kliničkoj dozi od 2 g/dan kod pacijenata kojima je presađen bubreg i 1,3-2 puta kod pacijenata kojima je presađeno srce pri preporučenoj kliničkoj dozi od 3 g/dan. U studijama fertilnosti i reprodukcije ženki pacova, oralne doze od 4,5 mg/kg/dan dovodile su do malformacija (uključujući anoftalmiju, agnatiju i hidrocefaliuju) u prvoj generaciji potomaka i bez toksičnosti po majku. Sistemska izloženost pri ovoj dozi iznosila je približno 0.5 puta  od kliničke izloženosti pri preporučenoj kliničkoj dozi od 2 g/dan dan kod pacijenata kojima je presađen bubreg i približno 0,3 puta od kliničke izloženosti  kod pacijenata kojima je presađeno srce pri preporučenoj kliničkoj dozi od 3 g/dan. Nije bilo dejstava na parametre fertilnosti ili reprodukcije kod ženki u narednim generacijama.</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rPr>
              <w:t>U ispitivanjima teratogenosti kod pacova i kunića, fetalna resorpcija i malformacija registrovani su kod pacova pri dozama od 6 mg/kg/dan (uključujući anoftalmiju, agnatiju i hidrocefalus ) i kod kunića pri 90 mg/kg/dan</w:t>
            </w:r>
            <w:r w:rsidRPr="008F3D45">
              <w:rPr>
                <w:sz w:val="22"/>
                <w:szCs w:val="22"/>
                <w:vertAlign w:val="superscript"/>
              </w:rPr>
              <w:t xml:space="preserve"> </w:t>
            </w:r>
            <w:r w:rsidRPr="008F3D45">
              <w:rPr>
                <w:sz w:val="22"/>
                <w:szCs w:val="22"/>
              </w:rPr>
              <w:t xml:space="preserve">(uključujući kardiovaskularne i bubrežne anomalije, kao što su ectopia cordis i ektopični bubrezi, kao i dijafragmatska i umbilikalna hernija), u odsustvu toksičnosti po majku. Sistemska  izloženost na tim nivoima približno je ekvivalentna ili manja 0.5 puta od kliničke izloženosti pri preporučenoj kliničkoj dozi od 2 g/dan dan </w:t>
            </w:r>
            <w:r w:rsidRPr="008F3D45">
              <w:rPr>
                <w:sz w:val="22"/>
                <w:szCs w:val="22"/>
              </w:rPr>
              <w:lastRenderedPageBreak/>
              <w:t xml:space="preserve">kod pacijenata kojima je presađen bubreg i približno 0,3 puta kliničke izloženosti kod pacijenata kojima je presađeno srce pri preporučenoj kliničkoj dozi od 3 g/dan. </w:t>
            </w:r>
          </w:p>
          <w:p w:rsidR="008F3D45" w:rsidRPr="008F3D45" w:rsidRDefault="008F3D45" w:rsidP="009E1912">
            <w:pPr>
              <w:jc w:val="both"/>
              <w:rPr>
                <w:sz w:val="22"/>
                <w:szCs w:val="22"/>
              </w:rPr>
            </w:pPr>
          </w:p>
          <w:p w:rsidR="008F3D45" w:rsidRPr="008F3D45" w:rsidRDefault="008F3D45" w:rsidP="009E1912">
            <w:pPr>
              <w:jc w:val="both"/>
              <w:rPr>
                <w:sz w:val="22"/>
                <w:szCs w:val="22"/>
              </w:rPr>
            </w:pPr>
            <w:r w:rsidRPr="008F3D45">
              <w:rPr>
                <w:sz w:val="22"/>
                <w:szCs w:val="22"/>
              </w:rPr>
              <w:t xml:space="preserve">Pogledajte dio 4.6. </w:t>
            </w:r>
          </w:p>
          <w:p w:rsidR="008F3D45" w:rsidRPr="008F3D45" w:rsidRDefault="008F3D45" w:rsidP="009E1912">
            <w:pPr>
              <w:jc w:val="both"/>
              <w:rPr>
                <w:sz w:val="22"/>
                <w:szCs w:val="22"/>
              </w:rPr>
            </w:pPr>
            <w:r w:rsidRPr="008F3D45">
              <w:rPr>
                <w:sz w:val="22"/>
                <w:szCs w:val="22"/>
              </w:rPr>
              <w:t xml:space="preserve">Organi hematopoetskog i limfoidnnog sistema su bili primarno pogođeni organi u toksikološkim studijama koje su sprovedene sa mikofenolat mofetilom kod pacova, miševa, pasa i majmuna. Ovi efekti su se javljali pri nivoima sistemske  izloženosti  ekvivalentnim  ili manjim od kliničke izloženosti  pri preporučenoj kliničkoj dozi od 2 g/dan za pacijente kojima je presađen bubreg. Gastrointestinalna dejstva su zabilježena kod pasa na nivoima sistemske izloženosti ekvivalentnim  ili manjim od kliničke izloženosti pri preporučenoj dozi. Gastrointestinalna i bubrežna dejstva koja su u skladu sa dehidracijom zabilježena su i kod majmuna pri najvećoj dozi (nivoi sistemske  izloženosti ekvivalentne  ili veće od kliničke  izloženosti ). Profil nekliničke toksičnosti mikofenolat mofetila je izgleda u skladu sa neželjenim dejstvima koja su zabilježena u kliničkim studijama na ljudima, koje pacijentima  daju značajne podatke o bezbjednosti primjene. (vidjeti dio 4.8). </w:t>
            </w:r>
          </w:p>
          <w:p w:rsidR="008F3D45" w:rsidRPr="008F3D45" w:rsidRDefault="008F3D45" w:rsidP="009E1912">
            <w:pPr>
              <w:pStyle w:val="Header"/>
              <w:tabs>
                <w:tab w:val="left" w:pos="284"/>
              </w:tabs>
              <w:jc w:val="both"/>
              <w:rPr>
                <w:sz w:val="22"/>
                <w:szCs w:val="22"/>
              </w:rPr>
            </w:pPr>
          </w:p>
        </w:tc>
      </w:tr>
      <w:tr w:rsidR="008F3D45" w:rsidRPr="008F3D45" w:rsidTr="009E1912">
        <w:tc>
          <w:tcPr>
            <w:tcW w:w="10188" w:type="dxa"/>
            <w:gridSpan w:val="4"/>
            <w:shd w:val="clear" w:color="auto" w:fill="E0E0E0"/>
            <w:vAlign w:val="center"/>
          </w:tcPr>
          <w:p w:rsidR="008F3D45" w:rsidRPr="008F3D45" w:rsidRDefault="008F3D45" w:rsidP="009E1912">
            <w:pPr>
              <w:pStyle w:val="Header"/>
              <w:tabs>
                <w:tab w:val="left" w:pos="284"/>
              </w:tabs>
              <w:rPr>
                <w:b/>
                <w:bCs/>
                <w:sz w:val="22"/>
                <w:szCs w:val="22"/>
              </w:rPr>
            </w:pPr>
            <w:r w:rsidRPr="008F3D45">
              <w:rPr>
                <w:b/>
                <w:bCs/>
                <w:sz w:val="22"/>
                <w:szCs w:val="22"/>
              </w:rPr>
              <w:lastRenderedPageBreak/>
              <w:t>6. FARMACEUTSKI PODACI</w:t>
            </w:r>
          </w:p>
        </w:tc>
      </w:tr>
      <w:tr w:rsidR="008F3D45" w:rsidRPr="008F3D45" w:rsidTr="009E1912">
        <w:tc>
          <w:tcPr>
            <w:tcW w:w="10188" w:type="dxa"/>
            <w:gridSpan w:val="4"/>
            <w:vAlign w:val="center"/>
          </w:tcPr>
          <w:p w:rsidR="008F3D45" w:rsidRPr="008F3D45" w:rsidRDefault="008F3D45" w:rsidP="009E1912">
            <w:pPr>
              <w:pStyle w:val="Header"/>
              <w:tabs>
                <w:tab w:val="left" w:pos="284"/>
              </w:tabs>
              <w:spacing w:before="80" w:after="80"/>
              <w:rPr>
                <w:b/>
                <w:bCs/>
                <w:sz w:val="22"/>
                <w:szCs w:val="22"/>
              </w:rPr>
            </w:pPr>
            <w:r w:rsidRPr="008F3D45">
              <w:rPr>
                <w:b/>
                <w:bCs/>
                <w:sz w:val="22"/>
                <w:szCs w:val="22"/>
              </w:rPr>
              <w:t>6.1. Lista pomoćnih supstanci</w:t>
            </w:r>
          </w:p>
        </w:tc>
      </w:tr>
      <w:tr w:rsidR="008F3D45" w:rsidRPr="008F3D45" w:rsidTr="009E1912">
        <w:trPr>
          <w:trHeight w:val="1145"/>
        </w:trPr>
        <w:tc>
          <w:tcPr>
            <w:tcW w:w="10188" w:type="dxa"/>
            <w:gridSpan w:val="4"/>
            <w:vAlign w:val="center"/>
          </w:tcPr>
          <w:p w:rsidR="008F3D45" w:rsidRPr="008F3D45" w:rsidRDefault="008F3D45" w:rsidP="009E1912">
            <w:pPr>
              <w:rPr>
                <w:i/>
                <w:sz w:val="22"/>
                <w:szCs w:val="22"/>
              </w:rPr>
            </w:pPr>
            <w:r w:rsidRPr="008F3D45">
              <w:rPr>
                <w:i/>
                <w:sz w:val="22"/>
                <w:szCs w:val="22"/>
              </w:rPr>
              <w:t>Trixin, jezgro tablete:</w:t>
            </w:r>
          </w:p>
          <w:p w:rsidR="008F3D45" w:rsidRPr="008F3D45" w:rsidRDefault="008F3D45" w:rsidP="009E1912">
            <w:pPr>
              <w:rPr>
                <w:sz w:val="22"/>
                <w:szCs w:val="22"/>
              </w:rPr>
            </w:pPr>
            <w:r w:rsidRPr="008F3D45">
              <w:rPr>
                <w:sz w:val="22"/>
                <w:szCs w:val="22"/>
              </w:rPr>
              <w:t>Celuloza, mikrokristalna</w:t>
            </w:r>
          </w:p>
          <w:p w:rsidR="008F3D45" w:rsidRPr="008F3D45" w:rsidRDefault="008F3D45" w:rsidP="009E1912">
            <w:pPr>
              <w:rPr>
                <w:sz w:val="22"/>
                <w:szCs w:val="22"/>
              </w:rPr>
            </w:pPr>
            <w:r w:rsidRPr="008F3D45">
              <w:rPr>
                <w:sz w:val="22"/>
                <w:szCs w:val="22"/>
              </w:rPr>
              <w:t>Povidon K 30</w:t>
            </w:r>
          </w:p>
          <w:p w:rsidR="008F3D45" w:rsidRPr="008F3D45" w:rsidRDefault="008F3D45" w:rsidP="009E1912">
            <w:pPr>
              <w:rPr>
                <w:sz w:val="22"/>
                <w:szCs w:val="22"/>
              </w:rPr>
            </w:pPr>
            <w:r w:rsidRPr="008F3D45">
              <w:rPr>
                <w:sz w:val="22"/>
                <w:szCs w:val="22"/>
              </w:rPr>
              <w:t>Magnezijum stearat</w:t>
            </w:r>
          </w:p>
          <w:p w:rsidR="008F3D45" w:rsidRPr="008F3D45" w:rsidRDefault="008F3D45" w:rsidP="009E1912">
            <w:pPr>
              <w:rPr>
                <w:sz w:val="22"/>
                <w:szCs w:val="22"/>
              </w:rPr>
            </w:pPr>
            <w:r w:rsidRPr="008F3D45">
              <w:rPr>
                <w:sz w:val="22"/>
                <w:szCs w:val="22"/>
              </w:rPr>
              <w:t xml:space="preserve">Natrijum kroskarmeloza </w:t>
            </w:r>
          </w:p>
          <w:p w:rsidR="008F3D45" w:rsidRPr="008F3D45" w:rsidRDefault="008F3D45" w:rsidP="009E1912">
            <w:pPr>
              <w:rPr>
                <w:sz w:val="22"/>
                <w:szCs w:val="22"/>
              </w:rPr>
            </w:pPr>
            <w:r w:rsidRPr="008F3D45">
              <w:rPr>
                <w:sz w:val="22"/>
                <w:szCs w:val="22"/>
              </w:rPr>
              <w:t xml:space="preserve"> </w:t>
            </w:r>
          </w:p>
          <w:p w:rsidR="008F3D45" w:rsidRPr="008F3D45" w:rsidRDefault="008F3D45" w:rsidP="009E1912">
            <w:pPr>
              <w:rPr>
                <w:i/>
                <w:sz w:val="22"/>
                <w:szCs w:val="22"/>
              </w:rPr>
            </w:pPr>
            <w:r w:rsidRPr="008F3D45">
              <w:rPr>
                <w:i/>
                <w:sz w:val="22"/>
                <w:szCs w:val="22"/>
              </w:rPr>
              <w:t>Omotač tablete:</w:t>
            </w:r>
          </w:p>
          <w:p w:rsidR="008F3D45" w:rsidRPr="008F3D45" w:rsidRDefault="008F3D45" w:rsidP="009E1912">
            <w:pPr>
              <w:rPr>
                <w:sz w:val="22"/>
                <w:szCs w:val="22"/>
              </w:rPr>
            </w:pPr>
            <w:r w:rsidRPr="008F3D45">
              <w:rPr>
                <w:sz w:val="22"/>
                <w:szCs w:val="22"/>
              </w:rPr>
              <w:t>Hipromeloza (HPMC 2910)</w:t>
            </w:r>
          </w:p>
          <w:p w:rsidR="008F3D45" w:rsidRPr="008F3D45" w:rsidRDefault="008F3D45" w:rsidP="009E1912">
            <w:pPr>
              <w:rPr>
                <w:sz w:val="22"/>
                <w:szCs w:val="22"/>
              </w:rPr>
            </w:pPr>
            <w:r w:rsidRPr="008F3D45">
              <w:rPr>
                <w:sz w:val="22"/>
                <w:szCs w:val="22"/>
              </w:rPr>
              <w:t>Titan dioksid (E171)</w:t>
            </w:r>
          </w:p>
          <w:p w:rsidR="008F3D45" w:rsidRPr="008F3D45" w:rsidRDefault="008F3D45" w:rsidP="009E1912">
            <w:pPr>
              <w:rPr>
                <w:sz w:val="22"/>
                <w:szCs w:val="22"/>
              </w:rPr>
            </w:pPr>
            <w:r w:rsidRPr="008F3D45">
              <w:rPr>
                <w:sz w:val="22"/>
                <w:szCs w:val="22"/>
              </w:rPr>
              <w:t>Makrogol (PEG 400)</w:t>
            </w:r>
          </w:p>
          <w:p w:rsidR="008F3D45" w:rsidRPr="008F3D45" w:rsidRDefault="008F3D45" w:rsidP="009E1912">
            <w:pPr>
              <w:rPr>
                <w:sz w:val="22"/>
                <w:szCs w:val="22"/>
              </w:rPr>
            </w:pPr>
            <w:r w:rsidRPr="008F3D45">
              <w:rPr>
                <w:sz w:val="22"/>
                <w:szCs w:val="22"/>
              </w:rPr>
              <w:t>Talk</w:t>
            </w:r>
          </w:p>
          <w:p w:rsidR="008F3D45" w:rsidRPr="008F3D45" w:rsidRDefault="008F3D45" w:rsidP="009E1912">
            <w:pPr>
              <w:rPr>
                <w:sz w:val="22"/>
                <w:szCs w:val="22"/>
              </w:rPr>
            </w:pPr>
            <w:r w:rsidRPr="008F3D45">
              <w:rPr>
                <w:sz w:val="22"/>
                <w:szCs w:val="22"/>
              </w:rPr>
              <w:t>Indigo karmin, aluminijum (E 132)</w:t>
            </w:r>
          </w:p>
          <w:p w:rsidR="008F3D45" w:rsidRPr="008F3D45" w:rsidRDefault="008F3D45" w:rsidP="009E1912">
            <w:pPr>
              <w:rPr>
                <w:sz w:val="22"/>
                <w:szCs w:val="22"/>
              </w:rPr>
            </w:pPr>
            <w:r w:rsidRPr="008F3D45">
              <w:rPr>
                <w:sz w:val="22"/>
                <w:szCs w:val="22"/>
              </w:rPr>
              <w:t>Gvožđe (III) oksid, crni (E 172)</w:t>
            </w:r>
          </w:p>
          <w:p w:rsidR="008F3D45" w:rsidRPr="008F3D45" w:rsidRDefault="008F3D45" w:rsidP="009E1912">
            <w:pPr>
              <w:rPr>
                <w:sz w:val="22"/>
                <w:szCs w:val="22"/>
              </w:rPr>
            </w:pPr>
            <w:r w:rsidRPr="008F3D45">
              <w:rPr>
                <w:sz w:val="22"/>
                <w:szCs w:val="22"/>
              </w:rPr>
              <w:t>Gvožđe (III) oksid, crveni (E 172)</w:t>
            </w:r>
          </w:p>
          <w:p w:rsidR="008F3D45" w:rsidRPr="008F3D45" w:rsidRDefault="008F3D45" w:rsidP="009E1912">
            <w:pPr>
              <w:rPr>
                <w:sz w:val="22"/>
                <w:szCs w:val="22"/>
              </w:rPr>
            </w:pPr>
          </w:p>
        </w:tc>
      </w:tr>
      <w:tr w:rsidR="008F3D45" w:rsidRPr="008F3D45" w:rsidTr="009E1912">
        <w:tc>
          <w:tcPr>
            <w:tcW w:w="10188" w:type="dxa"/>
            <w:gridSpan w:val="4"/>
            <w:vAlign w:val="center"/>
          </w:tcPr>
          <w:p w:rsidR="008F3D45" w:rsidRPr="008F3D45" w:rsidRDefault="008F3D45" w:rsidP="009E1912">
            <w:pPr>
              <w:pStyle w:val="Header"/>
              <w:tabs>
                <w:tab w:val="left" w:pos="284"/>
              </w:tabs>
              <w:spacing w:before="80" w:after="80"/>
              <w:rPr>
                <w:b/>
                <w:bCs/>
                <w:sz w:val="22"/>
                <w:szCs w:val="22"/>
              </w:rPr>
            </w:pPr>
            <w:r w:rsidRPr="008F3D45">
              <w:rPr>
                <w:b/>
                <w:bCs/>
                <w:sz w:val="22"/>
                <w:szCs w:val="22"/>
              </w:rPr>
              <w:t>6.2. Inkompatibilnosti</w:t>
            </w:r>
          </w:p>
        </w:tc>
      </w:tr>
      <w:tr w:rsidR="008F3D45" w:rsidRPr="008F3D45" w:rsidTr="009E1912">
        <w:trPr>
          <w:trHeight w:val="537"/>
        </w:trPr>
        <w:tc>
          <w:tcPr>
            <w:tcW w:w="10188" w:type="dxa"/>
            <w:gridSpan w:val="4"/>
            <w:vAlign w:val="center"/>
          </w:tcPr>
          <w:p w:rsidR="008F3D45" w:rsidRPr="008F3D45" w:rsidRDefault="008F3D45" w:rsidP="009E1912">
            <w:pPr>
              <w:rPr>
                <w:sz w:val="22"/>
                <w:szCs w:val="22"/>
              </w:rPr>
            </w:pPr>
            <w:r w:rsidRPr="008F3D45">
              <w:rPr>
                <w:sz w:val="22"/>
                <w:szCs w:val="22"/>
              </w:rPr>
              <w:t>Nije relevantno.</w:t>
            </w:r>
          </w:p>
          <w:p w:rsidR="008F3D45" w:rsidRPr="008F3D45" w:rsidRDefault="008F3D45" w:rsidP="009E1912">
            <w:pPr>
              <w:pStyle w:val="Header"/>
              <w:tabs>
                <w:tab w:val="left" w:pos="284"/>
              </w:tabs>
              <w:rPr>
                <w:sz w:val="22"/>
                <w:szCs w:val="22"/>
              </w:rPr>
            </w:pPr>
          </w:p>
        </w:tc>
      </w:tr>
      <w:tr w:rsidR="008F3D45" w:rsidRPr="008F3D45" w:rsidTr="009E1912">
        <w:tc>
          <w:tcPr>
            <w:tcW w:w="10188" w:type="dxa"/>
            <w:gridSpan w:val="4"/>
            <w:vAlign w:val="center"/>
          </w:tcPr>
          <w:p w:rsidR="008F3D45" w:rsidRPr="008F3D45" w:rsidRDefault="008F3D45" w:rsidP="009E1912">
            <w:pPr>
              <w:pStyle w:val="Header"/>
              <w:tabs>
                <w:tab w:val="left" w:pos="284"/>
              </w:tabs>
              <w:spacing w:before="80" w:after="80"/>
              <w:rPr>
                <w:b/>
                <w:bCs/>
                <w:sz w:val="22"/>
                <w:szCs w:val="22"/>
              </w:rPr>
            </w:pPr>
            <w:r w:rsidRPr="008F3D45">
              <w:rPr>
                <w:b/>
                <w:bCs/>
                <w:sz w:val="22"/>
                <w:szCs w:val="22"/>
              </w:rPr>
              <w:t>6.3. Rok upotrebe</w:t>
            </w:r>
          </w:p>
        </w:tc>
      </w:tr>
      <w:tr w:rsidR="008F3D45" w:rsidRPr="008F3D45" w:rsidTr="009E1912">
        <w:trPr>
          <w:trHeight w:val="438"/>
        </w:trPr>
        <w:tc>
          <w:tcPr>
            <w:tcW w:w="10188" w:type="dxa"/>
            <w:gridSpan w:val="4"/>
            <w:vAlign w:val="center"/>
          </w:tcPr>
          <w:p w:rsidR="008F3D45" w:rsidRPr="008F3D45" w:rsidRDefault="008F3D45" w:rsidP="009E1912">
            <w:pPr>
              <w:rPr>
                <w:sz w:val="22"/>
                <w:szCs w:val="22"/>
              </w:rPr>
            </w:pPr>
            <w:r w:rsidRPr="008F3D45">
              <w:rPr>
                <w:sz w:val="22"/>
                <w:szCs w:val="22"/>
              </w:rPr>
              <w:t>3 godine.</w:t>
            </w:r>
          </w:p>
          <w:p w:rsidR="008F3D45" w:rsidRPr="008F3D45" w:rsidRDefault="008F3D45" w:rsidP="009E1912">
            <w:pPr>
              <w:pStyle w:val="Header"/>
              <w:tabs>
                <w:tab w:val="left" w:pos="284"/>
              </w:tabs>
              <w:rPr>
                <w:sz w:val="22"/>
                <w:szCs w:val="22"/>
              </w:rPr>
            </w:pPr>
          </w:p>
        </w:tc>
      </w:tr>
      <w:tr w:rsidR="008F3D45" w:rsidRPr="008F3D45" w:rsidTr="009E1912">
        <w:tc>
          <w:tcPr>
            <w:tcW w:w="10188" w:type="dxa"/>
            <w:gridSpan w:val="4"/>
            <w:vAlign w:val="center"/>
          </w:tcPr>
          <w:p w:rsidR="008F3D45" w:rsidRPr="008F3D45" w:rsidRDefault="008F3D45" w:rsidP="009E1912">
            <w:pPr>
              <w:pStyle w:val="Header"/>
              <w:tabs>
                <w:tab w:val="left" w:pos="284"/>
              </w:tabs>
              <w:spacing w:before="80" w:after="80"/>
              <w:rPr>
                <w:b/>
                <w:bCs/>
                <w:sz w:val="22"/>
                <w:szCs w:val="22"/>
              </w:rPr>
            </w:pPr>
            <w:r w:rsidRPr="008F3D45">
              <w:rPr>
                <w:b/>
                <w:bCs/>
                <w:sz w:val="22"/>
                <w:szCs w:val="22"/>
              </w:rPr>
              <w:t>6.4. Posebne mjere upozorenja pri čuvanju lijeka</w:t>
            </w:r>
          </w:p>
        </w:tc>
      </w:tr>
      <w:tr w:rsidR="008F3D45" w:rsidRPr="008F3D45" w:rsidTr="008F3D45">
        <w:trPr>
          <w:trHeight w:val="80"/>
        </w:trPr>
        <w:tc>
          <w:tcPr>
            <w:tcW w:w="10188" w:type="dxa"/>
            <w:gridSpan w:val="4"/>
            <w:vAlign w:val="center"/>
          </w:tcPr>
          <w:p w:rsidR="008F3D45" w:rsidRDefault="008F3D45" w:rsidP="008F3D45">
            <w:pPr>
              <w:rPr>
                <w:sz w:val="22"/>
                <w:szCs w:val="22"/>
              </w:rPr>
            </w:pPr>
            <w:r w:rsidRPr="008F3D45">
              <w:rPr>
                <w:sz w:val="22"/>
                <w:szCs w:val="22"/>
              </w:rPr>
              <w:t>Čuvati van domašaja i vidokruga djece. Čuvati na temperaturi do 30°C. Čuvati u originalnom pakovanju zaštićeno od svjetlosti.</w:t>
            </w:r>
          </w:p>
          <w:p w:rsidR="008F3D45" w:rsidRPr="008F3D45" w:rsidRDefault="008F3D45" w:rsidP="008F3D45">
            <w:pPr>
              <w:rPr>
                <w:sz w:val="22"/>
                <w:szCs w:val="22"/>
              </w:rPr>
            </w:pPr>
          </w:p>
        </w:tc>
      </w:tr>
      <w:tr w:rsidR="008F3D45" w:rsidRPr="008F3D45" w:rsidTr="009E1912">
        <w:tc>
          <w:tcPr>
            <w:tcW w:w="10188" w:type="dxa"/>
            <w:gridSpan w:val="4"/>
            <w:vAlign w:val="center"/>
          </w:tcPr>
          <w:p w:rsidR="008F3D45" w:rsidRPr="008F3D45" w:rsidRDefault="008F3D45" w:rsidP="009E1912">
            <w:pPr>
              <w:pStyle w:val="Header"/>
              <w:tabs>
                <w:tab w:val="left" w:pos="284"/>
              </w:tabs>
              <w:spacing w:before="80" w:after="80"/>
              <w:rPr>
                <w:b/>
                <w:bCs/>
                <w:sz w:val="22"/>
                <w:szCs w:val="22"/>
              </w:rPr>
            </w:pPr>
            <w:r w:rsidRPr="008F3D45">
              <w:rPr>
                <w:b/>
                <w:bCs/>
                <w:sz w:val="22"/>
                <w:szCs w:val="22"/>
              </w:rPr>
              <w:t>6.5.  Vrsta i sadržaj pakovanja</w:t>
            </w:r>
          </w:p>
        </w:tc>
      </w:tr>
      <w:tr w:rsidR="008F3D45" w:rsidRPr="008F3D45" w:rsidTr="009E1912">
        <w:trPr>
          <w:trHeight w:val="343"/>
        </w:trPr>
        <w:tc>
          <w:tcPr>
            <w:tcW w:w="10188" w:type="dxa"/>
            <w:gridSpan w:val="4"/>
            <w:vAlign w:val="center"/>
          </w:tcPr>
          <w:p w:rsidR="008F3D45" w:rsidRPr="008F3D45" w:rsidRDefault="008F3D45" w:rsidP="009E1912">
            <w:pPr>
              <w:rPr>
                <w:sz w:val="22"/>
                <w:szCs w:val="22"/>
              </w:rPr>
            </w:pPr>
            <w:r w:rsidRPr="008F3D45">
              <w:rPr>
                <w:sz w:val="22"/>
                <w:szCs w:val="22"/>
              </w:rPr>
              <w:t xml:space="preserve">Trixin 500mg tablete: 1 kutija sadrži 50 film tableta u PVC/PVdC-Aluminijumskim blisterima, sa po tableta u blisteru (5x10). </w:t>
            </w:r>
          </w:p>
          <w:p w:rsidR="008F3D45" w:rsidRPr="008F3D45" w:rsidRDefault="008F3D45" w:rsidP="009E1912">
            <w:pPr>
              <w:pStyle w:val="Header"/>
              <w:tabs>
                <w:tab w:val="left" w:pos="284"/>
              </w:tabs>
              <w:rPr>
                <w:sz w:val="22"/>
                <w:szCs w:val="22"/>
              </w:rPr>
            </w:pPr>
          </w:p>
        </w:tc>
      </w:tr>
      <w:tr w:rsidR="008F3D45" w:rsidRPr="008F3D45" w:rsidTr="009E1912">
        <w:tc>
          <w:tcPr>
            <w:tcW w:w="10188" w:type="dxa"/>
            <w:gridSpan w:val="4"/>
            <w:vAlign w:val="center"/>
          </w:tcPr>
          <w:p w:rsidR="008F3D45" w:rsidRPr="008F3D45" w:rsidRDefault="008F3D45" w:rsidP="009E1912">
            <w:pPr>
              <w:pStyle w:val="Header"/>
              <w:tabs>
                <w:tab w:val="left" w:pos="284"/>
              </w:tabs>
              <w:spacing w:before="80" w:after="80"/>
              <w:rPr>
                <w:b/>
                <w:bCs/>
                <w:sz w:val="22"/>
                <w:szCs w:val="22"/>
              </w:rPr>
            </w:pPr>
            <w:r w:rsidRPr="008F3D45">
              <w:rPr>
                <w:b/>
                <w:bCs/>
                <w:sz w:val="22"/>
                <w:szCs w:val="22"/>
              </w:rPr>
              <w:lastRenderedPageBreak/>
              <w:t xml:space="preserve">6.6. Posebne mjere opreza pri odlaganju materijala koji treba odbaciti nakon primjene lijeka </w:t>
            </w:r>
          </w:p>
        </w:tc>
      </w:tr>
      <w:tr w:rsidR="008F3D45" w:rsidRPr="008F3D45" w:rsidTr="009E1912">
        <w:trPr>
          <w:trHeight w:val="1145"/>
        </w:trPr>
        <w:tc>
          <w:tcPr>
            <w:tcW w:w="10188" w:type="dxa"/>
            <w:gridSpan w:val="4"/>
            <w:vAlign w:val="center"/>
          </w:tcPr>
          <w:p w:rsidR="008F3D45" w:rsidRPr="008F3D45" w:rsidRDefault="008F3D45" w:rsidP="009E1912">
            <w:pPr>
              <w:rPr>
                <w:sz w:val="22"/>
                <w:szCs w:val="22"/>
              </w:rPr>
            </w:pPr>
            <w:r w:rsidRPr="008F3D45">
              <w:rPr>
                <w:sz w:val="22"/>
                <w:szCs w:val="22"/>
              </w:rPr>
              <w:t xml:space="preserve">Budući da je mikofenolat mofetil pokazao teratogena dejstva kod pacova i zečeva, Trixin tablete se ne smiju mrviti. </w:t>
            </w:r>
          </w:p>
          <w:p w:rsidR="008F3D45" w:rsidRPr="008F3D45" w:rsidRDefault="008F3D45" w:rsidP="009E1912">
            <w:pPr>
              <w:rPr>
                <w:sz w:val="22"/>
                <w:szCs w:val="22"/>
              </w:rPr>
            </w:pPr>
          </w:p>
          <w:p w:rsidR="008F3D45" w:rsidRPr="008F3D45" w:rsidRDefault="008F3D45" w:rsidP="009E1912">
            <w:pPr>
              <w:rPr>
                <w:sz w:val="22"/>
                <w:szCs w:val="22"/>
              </w:rPr>
            </w:pPr>
            <w:r w:rsidRPr="008F3D45">
              <w:rPr>
                <w:sz w:val="22"/>
                <w:szCs w:val="22"/>
              </w:rPr>
              <w:t xml:space="preserve">Neupotrebljeni lijek se uništava u skladu sa važećim propisima. </w:t>
            </w:r>
          </w:p>
          <w:p w:rsidR="008F3D45" w:rsidRPr="008F3D45" w:rsidRDefault="008F3D45" w:rsidP="009E1912">
            <w:pPr>
              <w:rPr>
                <w:sz w:val="22"/>
                <w:szCs w:val="22"/>
              </w:rPr>
            </w:pPr>
          </w:p>
          <w:p w:rsidR="008F3D45" w:rsidRPr="008F3D45" w:rsidRDefault="008F3D45" w:rsidP="009E1912">
            <w:pPr>
              <w:rPr>
                <w:b/>
                <w:sz w:val="22"/>
                <w:szCs w:val="22"/>
              </w:rPr>
            </w:pPr>
            <w:r w:rsidRPr="008F3D45">
              <w:rPr>
                <w:b/>
                <w:sz w:val="22"/>
                <w:szCs w:val="22"/>
              </w:rPr>
              <w:t>6.7. Režim izdavanja lijeka</w:t>
            </w:r>
          </w:p>
          <w:p w:rsidR="008F3D45" w:rsidRPr="008F3D45" w:rsidRDefault="008F3D45" w:rsidP="009E1912">
            <w:pPr>
              <w:rPr>
                <w:sz w:val="22"/>
                <w:szCs w:val="22"/>
              </w:rPr>
            </w:pPr>
            <w:r w:rsidRPr="008F3D45">
              <w:rPr>
                <w:sz w:val="22"/>
                <w:szCs w:val="22"/>
              </w:rPr>
              <w:t>Lijek se može upotrebljavati u stacionarnoj zdravstvenoj ustanovi; Izuzetno na recept.</w:t>
            </w:r>
          </w:p>
          <w:p w:rsidR="008F3D45" w:rsidRPr="008F3D45" w:rsidRDefault="008F3D45" w:rsidP="009E1912">
            <w:pPr>
              <w:pStyle w:val="Header"/>
              <w:tabs>
                <w:tab w:val="left" w:pos="284"/>
              </w:tabs>
              <w:rPr>
                <w:sz w:val="22"/>
                <w:szCs w:val="22"/>
              </w:rPr>
            </w:pPr>
          </w:p>
        </w:tc>
      </w:tr>
      <w:tr w:rsidR="008F3D45" w:rsidRPr="008F3D45" w:rsidTr="009E1912">
        <w:tc>
          <w:tcPr>
            <w:tcW w:w="10188" w:type="dxa"/>
            <w:gridSpan w:val="4"/>
            <w:shd w:val="clear" w:color="auto" w:fill="E0E0E0"/>
            <w:vAlign w:val="center"/>
          </w:tcPr>
          <w:p w:rsidR="008F3D45" w:rsidRPr="008F3D45" w:rsidRDefault="008F3D45" w:rsidP="009E1912">
            <w:pPr>
              <w:pStyle w:val="Header"/>
              <w:tabs>
                <w:tab w:val="left" w:pos="284"/>
              </w:tabs>
              <w:rPr>
                <w:b/>
                <w:bCs/>
                <w:sz w:val="22"/>
                <w:szCs w:val="22"/>
              </w:rPr>
            </w:pPr>
            <w:r w:rsidRPr="008F3D45">
              <w:rPr>
                <w:b/>
                <w:bCs/>
                <w:sz w:val="22"/>
                <w:szCs w:val="22"/>
              </w:rPr>
              <w:t xml:space="preserve">7. NOSILAC DOZVOLE </w:t>
            </w:r>
          </w:p>
        </w:tc>
      </w:tr>
      <w:tr w:rsidR="008F3D45" w:rsidRPr="008F3D45" w:rsidTr="009E1912">
        <w:trPr>
          <w:trHeight w:val="1145"/>
        </w:trPr>
        <w:tc>
          <w:tcPr>
            <w:tcW w:w="10188" w:type="dxa"/>
            <w:gridSpan w:val="4"/>
            <w:vAlign w:val="center"/>
          </w:tcPr>
          <w:p w:rsidR="00FA3963" w:rsidRPr="00FA3963" w:rsidRDefault="00FA3963" w:rsidP="00FA3963">
            <w:pPr>
              <w:widowControl w:val="0"/>
              <w:autoSpaceDE w:val="0"/>
              <w:autoSpaceDN w:val="0"/>
              <w:rPr>
                <w:sz w:val="22"/>
                <w:szCs w:val="22"/>
              </w:rPr>
            </w:pPr>
            <w:r w:rsidRPr="00FA3963">
              <w:rPr>
                <w:sz w:val="22"/>
                <w:szCs w:val="22"/>
              </w:rPr>
              <w:t>Evropa Lek Pharma d.o.o. Podgorica</w:t>
            </w:r>
            <w:r w:rsidRPr="00FA3963">
              <w:rPr>
                <w:sz w:val="22"/>
                <w:szCs w:val="22"/>
              </w:rPr>
              <w:tab/>
              <w:t xml:space="preserve">   </w:t>
            </w:r>
          </w:p>
          <w:p w:rsidR="008F3D45" w:rsidRPr="008F3D45" w:rsidRDefault="00FA3963" w:rsidP="00FA3963">
            <w:pPr>
              <w:widowControl w:val="0"/>
              <w:autoSpaceDE w:val="0"/>
              <w:autoSpaceDN w:val="0"/>
              <w:rPr>
                <w:sz w:val="22"/>
                <w:szCs w:val="22"/>
              </w:rPr>
            </w:pPr>
            <w:r w:rsidRPr="00FA3963">
              <w:rPr>
                <w:sz w:val="22"/>
                <w:szCs w:val="22"/>
              </w:rPr>
              <w:t>Kritskog odreda 4/1, 81000 Podgorica, Crna Gora</w:t>
            </w:r>
            <w:bookmarkStart w:id="0" w:name="_GoBack"/>
            <w:bookmarkEnd w:id="0"/>
          </w:p>
        </w:tc>
      </w:tr>
      <w:tr w:rsidR="008F3D45" w:rsidRPr="008F3D45" w:rsidTr="009E1912">
        <w:tc>
          <w:tcPr>
            <w:tcW w:w="10188" w:type="dxa"/>
            <w:gridSpan w:val="4"/>
            <w:shd w:val="clear" w:color="auto" w:fill="E0E0E0"/>
            <w:vAlign w:val="center"/>
          </w:tcPr>
          <w:p w:rsidR="008F3D45" w:rsidRPr="008F3D45" w:rsidRDefault="008F3D45" w:rsidP="009E1912">
            <w:pPr>
              <w:pStyle w:val="Header"/>
              <w:tabs>
                <w:tab w:val="left" w:pos="284"/>
              </w:tabs>
              <w:rPr>
                <w:b/>
                <w:bCs/>
                <w:sz w:val="22"/>
                <w:szCs w:val="22"/>
              </w:rPr>
            </w:pPr>
            <w:r w:rsidRPr="008F3D45">
              <w:rPr>
                <w:b/>
                <w:bCs/>
                <w:sz w:val="22"/>
                <w:szCs w:val="22"/>
              </w:rPr>
              <w:t>8. BROJ PRVE DOZVOLE / OBNOVE DOZVOLE</w:t>
            </w:r>
          </w:p>
        </w:tc>
      </w:tr>
      <w:tr w:rsidR="008F3D45" w:rsidRPr="008F3D45" w:rsidTr="009E1912">
        <w:trPr>
          <w:trHeight w:val="1145"/>
        </w:trPr>
        <w:tc>
          <w:tcPr>
            <w:tcW w:w="10188" w:type="dxa"/>
            <w:gridSpan w:val="4"/>
            <w:vAlign w:val="center"/>
          </w:tcPr>
          <w:p w:rsidR="008F3D45" w:rsidRPr="008F3D45" w:rsidRDefault="008F3D45" w:rsidP="009E1912">
            <w:pPr>
              <w:pStyle w:val="Header"/>
              <w:tabs>
                <w:tab w:val="left" w:pos="284"/>
              </w:tabs>
              <w:rPr>
                <w:sz w:val="22"/>
                <w:szCs w:val="22"/>
              </w:rPr>
            </w:pPr>
            <w:r w:rsidRPr="007C4F3B">
              <w:rPr>
                <w:sz w:val="22"/>
                <w:szCs w:val="22"/>
              </w:rPr>
              <w:t>Trixin®, film tableta, 500mg, blister, 50 tableta</w:t>
            </w:r>
            <w:r>
              <w:rPr>
                <w:sz w:val="22"/>
                <w:szCs w:val="22"/>
              </w:rPr>
              <w:t xml:space="preserve">: </w:t>
            </w:r>
            <w:r w:rsidRPr="007C4F3B">
              <w:rPr>
                <w:sz w:val="22"/>
                <w:szCs w:val="22"/>
              </w:rPr>
              <w:t xml:space="preserve">2030/15/76 </w:t>
            </w:r>
            <w:r>
              <w:rPr>
                <w:sz w:val="22"/>
                <w:szCs w:val="22"/>
              </w:rPr>
              <w:t>–</w:t>
            </w:r>
            <w:r w:rsidRPr="007C4F3B">
              <w:rPr>
                <w:sz w:val="22"/>
                <w:szCs w:val="22"/>
              </w:rPr>
              <w:t xml:space="preserve"> 466</w:t>
            </w:r>
          </w:p>
        </w:tc>
      </w:tr>
      <w:tr w:rsidR="008F3D45" w:rsidRPr="008F3D45" w:rsidTr="009E1912">
        <w:tc>
          <w:tcPr>
            <w:tcW w:w="10188" w:type="dxa"/>
            <w:gridSpan w:val="4"/>
            <w:shd w:val="clear" w:color="auto" w:fill="E0E0E0"/>
            <w:vAlign w:val="center"/>
          </w:tcPr>
          <w:p w:rsidR="008F3D45" w:rsidRPr="008F3D45" w:rsidRDefault="008F3D45" w:rsidP="009E1912">
            <w:pPr>
              <w:pStyle w:val="Header"/>
              <w:tabs>
                <w:tab w:val="left" w:pos="284"/>
              </w:tabs>
              <w:rPr>
                <w:b/>
                <w:bCs/>
                <w:sz w:val="22"/>
                <w:szCs w:val="22"/>
              </w:rPr>
            </w:pPr>
            <w:r w:rsidRPr="008F3D45">
              <w:rPr>
                <w:b/>
                <w:bCs/>
                <w:sz w:val="22"/>
                <w:szCs w:val="22"/>
              </w:rPr>
              <w:t>9. DATUM PRVE DOZVOLE / DATUM OBNOVE DOZVOLE</w:t>
            </w:r>
          </w:p>
        </w:tc>
      </w:tr>
      <w:tr w:rsidR="008F3D45" w:rsidRPr="008F3D45" w:rsidTr="009E1912">
        <w:trPr>
          <w:trHeight w:val="1145"/>
        </w:trPr>
        <w:tc>
          <w:tcPr>
            <w:tcW w:w="10188" w:type="dxa"/>
            <w:gridSpan w:val="4"/>
            <w:vAlign w:val="center"/>
          </w:tcPr>
          <w:p w:rsidR="008F3D45" w:rsidRPr="008F3D45" w:rsidRDefault="008F3D45" w:rsidP="008F3D45">
            <w:pPr>
              <w:pStyle w:val="Header"/>
              <w:tabs>
                <w:tab w:val="left" w:pos="284"/>
              </w:tabs>
              <w:rPr>
                <w:sz w:val="22"/>
                <w:szCs w:val="22"/>
              </w:rPr>
            </w:pPr>
            <w:r w:rsidRPr="007C4F3B">
              <w:rPr>
                <w:sz w:val="22"/>
                <w:szCs w:val="22"/>
              </w:rPr>
              <w:t>Trixin®, film tableta, 500mg, blister, 50 tableta</w:t>
            </w:r>
            <w:r>
              <w:rPr>
                <w:sz w:val="22"/>
                <w:szCs w:val="22"/>
              </w:rPr>
              <w:t xml:space="preserve">: </w:t>
            </w:r>
            <w:r w:rsidRPr="007C4F3B">
              <w:rPr>
                <w:sz w:val="22"/>
                <w:szCs w:val="22"/>
              </w:rPr>
              <w:t>06.03.2015. godine</w:t>
            </w:r>
          </w:p>
        </w:tc>
      </w:tr>
      <w:tr w:rsidR="008F3D45" w:rsidRPr="008F3D45" w:rsidTr="009E1912">
        <w:tc>
          <w:tcPr>
            <w:tcW w:w="10188" w:type="dxa"/>
            <w:gridSpan w:val="4"/>
            <w:shd w:val="clear" w:color="auto" w:fill="E0E0E0"/>
            <w:vAlign w:val="center"/>
          </w:tcPr>
          <w:p w:rsidR="008F3D45" w:rsidRPr="008F3D45" w:rsidRDefault="008F3D45" w:rsidP="009E1912">
            <w:pPr>
              <w:pStyle w:val="Header"/>
              <w:tabs>
                <w:tab w:val="left" w:pos="284"/>
              </w:tabs>
              <w:rPr>
                <w:b/>
                <w:bCs/>
                <w:sz w:val="22"/>
                <w:szCs w:val="22"/>
              </w:rPr>
            </w:pPr>
            <w:r w:rsidRPr="008F3D45">
              <w:rPr>
                <w:b/>
                <w:bCs/>
                <w:sz w:val="22"/>
                <w:szCs w:val="22"/>
              </w:rPr>
              <w:t>10. DATUM POSLJEDNJE REVIZIJE TEKSTA SAŽETKA OSNOVNIH KARAKTERISTIKA LIJEKA</w:t>
            </w:r>
          </w:p>
        </w:tc>
      </w:tr>
      <w:tr w:rsidR="008F3D45" w:rsidRPr="008F3D45" w:rsidTr="009E1912">
        <w:trPr>
          <w:trHeight w:val="1145"/>
        </w:trPr>
        <w:tc>
          <w:tcPr>
            <w:tcW w:w="10188" w:type="dxa"/>
            <w:gridSpan w:val="4"/>
            <w:vAlign w:val="center"/>
          </w:tcPr>
          <w:p w:rsidR="008F3D45" w:rsidRPr="008F3D45" w:rsidRDefault="008F3D45" w:rsidP="009E1912">
            <w:pPr>
              <w:pStyle w:val="Header"/>
              <w:tabs>
                <w:tab w:val="left" w:pos="284"/>
              </w:tabs>
              <w:rPr>
                <w:sz w:val="22"/>
                <w:szCs w:val="22"/>
              </w:rPr>
            </w:pPr>
            <w:r w:rsidRPr="004C573D">
              <w:rPr>
                <w:sz w:val="22"/>
                <w:szCs w:val="22"/>
              </w:rPr>
              <w:t>Mart, 2015. godine</w:t>
            </w:r>
          </w:p>
        </w:tc>
      </w:tr>
      <w:tr w:rsidR="008F3D45" w:rsidRPr="008F3D45" w:rsidTr="009E1912">
        <w:tc>
          <w:tcPr>
            <w:tcW w:w="10188" w:type="dxa"/>
            <w:gridSpan w:val="4"/>
            <w:vAlign w:val="center"/>
          </w:tcPr>
          <w:p w:rsidR="008F3D45" w:rsidRPr="008F3D45" w:rsidRDefault="008F3D45" w:rsidP="009E1912">
            <w:pPr>
              <w:pStyle w:val="Header"/>
              <w:tabs>
                <w:tab w:val="left" w:pos="284"/>
              </w:tabs>
              <w:rPr>
                <w:b/>
                <w:bCs/>
                <w:sz w:val="22"/>
                <w:szCs w:val="22"/>
              </w:rPr>
            </w:pPr>
          </w:p>
        </w:tc>
      </w:tr>
    </w:tbl>
    <w:p w:rsidR="006768CB" w:rsidRPr="008F3D45" w:rsidRDefault="006768CB" w:rsidP="008A47DC">
      <w:pPr>
        <w:rPr>
          <w:sz w:val="22"/>
          <w:szCs w:val="22"/>
        </w:rPr>
      </w:pPr>
    </w:p>
    <w:sectPr w:rsidR="006768CB" w:rsidRPr="008F3D45" w:rsidSect="00B86396">
      <w:headerReference w:type="default" r:id="rId9"/>
      <w:footerReference w:type="even" r:id="rId10"/>
      <w:footerReference w:type="default" r:id="rId11"/>
      <w:headerReference w:type="first" r:id="rId12"/>
      <w:footerReference w:type="first" r:id="rId13"/>
      <w:pgSz w:w="11907" w:h="16840" w:code="9"/>
      <w:pgMar w:top="2160" w:right="1138" w:bottom="1699" w:left="113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BEB" w:rsidRDefault="008A0BEB">
      <w:r>
        <w:separator/>
      </w:r>
    </w:p>
  </w:endnote>
  <w:endnote w:type="continuationSeparator" w:id="0">
    <w:p w:rsidR="008A0BEB" w:rsidRDefault="008A0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Univers Condensed">
    <w:panose1 w:val="00000000000000000000"/>
    <w:charset w:val="00"/>
    <w:family w:val="swiss"/>
    <w:notTrueType/>
    <w:pitch w:val="variable"/>
    <w:sig w:usb0="00000003" w:usb1="00000000" w:usb2="00000000" w:usb3="00000000" w:csb0="00000001" w:csb1="00000000"/>
  </w:font>
  <w:font w:name="Humanist777">
    <w:altName w:val="Lucida Sans Unicode"/>
    <w:charset w:val="00"/>
    <w:family w:val="swiss"/>
    <w:pitch w:val="variable"/>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Dutch">
    <w:altName w:val="Courier New"/>
    <w:charset w:val="00"/>
    <w:family w:val="roman"/>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DD" w:rsidRDefault="00756FDD"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56FDD" w:rsidRDefault="00756FDD" w:rsidP="00E708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DD" w:rsidRDefault="00756FDD" w:rsidP="00E70869">
    <w:pPr>
      <w:pStyle w:val="Footer"/>
      <w:framePr w:wrap="around" w:vAnchor="text" w:hAnchor="margin" w:xAlign="right" w:y="1"/>
      <w:rPr>
        <w:rStyle w:val="PageNumber"/>
      </w:rPr>
    </w:pPr>
  </w:p>
  <w:p w:rsidR="00756FDD" w:rsidRDefault="00756FDD" w:rsidP="00F96E5A">
    <w:pPr>
      <w:pStyle w:val="Header"/>
      <w:pBdr>
        <w:top w:val="thinThickSmallGap" w:sz="24" w:space="1" w:color="auto"/>
      </w:pBdr>
      <w:jc w:val="center"/>
    </w:pPr>
  </w:p>
  <w:p w:rsidR="00756FDD" w:rsidRPr="00743A79" w:rsidRDefault="00756FDD" w:rsidP="00756FDD">
    <w:pPr>
      <w:pStyle w:val="Footer"/>
      <w:jc w:val="center"/>
      <w:rPr>
        <w:color w:val="E65900"/>
        <w:sz w:val="16"/>
        <w:szCs w:val="18"/>
      </w:rPr>
    </w:pPr>
    <w:r w:rsidRPr="00743A79">
      <w:rPr>
        <w:color w:val="FA0000"/>
        <w:sz w:val="16"/>
        <w:szCs w:val="18"/>
      </w:rPr>
      <w:t>Agencija za ljekove i medicinska sredstva Crne Gore,</w:t>
    </w:r>
    <w:r w:rsidRPr="00743A79">
      <w:rPr>
        <w:sz w:val="16"/>
        <w:szCs w:val="18"/>
      </w:rPr>
      <w:t xml:space="preserve"> </w:t>
    </w:r>
    <w:r w:rsidRPr="00743A79">
      <w:rPr>
        <w:color w:val="E65900"/>
        <w:sz w:val="16"/>
        <w:szCs w:val="18"/>
      </w:rPr>
      <w:t>81000 Podgorica, Bul. Ivana Crnojevića 64a</w:t>
    </w:r>
  </w:p>
  <w:p w:rsidR="00756FDD" w:rsidRDefault="00756FDD" w:rsidP="00756FDD">
    <w:pPr>
      <w:pStyle w:val="Footer"/>
      <w:jc w:val="center"/>
      <w:rPr>
        <w:color w:val="FA0000"/>
        <w:sz w:val="16"/>
        <w:szCs w:val="18"/>
      </w:rPr>
    </w:pPr>
    <w:r w:rsidRPr="00743A79">
      <w:rPr>
        <w:color w:val="E65900"/>
        <w:sz w:val="16"/>
        <w:szCs w:val="18"/>
      </w:rPr>
      <w:t xml:space="preserve">tel: +382 (0) 20 310 280 </w:t>
    </w:r>
    <w:r>
      <w:rPr>
        <w:color w:val="E65900"/>
        <w:sz w:val="16"/>
        <w:szCs w:val="18"/>
      </w:rPr>
      <w:t xml:space="preserve"> </w:t>
    </w:r>
    <w:r w:rsidRPr="00743A79">
      <w:rPr>
        <w:color w:val="FA0000"/>
        <w:sz w:val="16"/>
        <w:szCs w:val="18"/>
      </w:rPr>
      <w:t>fax: +382 (0) 20 310 581,</w:t>
    </w:r>
    <w:r w:rsidRPr="00743A79">
      <w:rPr>
        <w:sz w:val="16"/>
        <w:szCs w:val="18"/>
      </w:rPr>
      <w:t xml:space="preserve"> </w:t>
    </w:r>
    <w:r w:rsidRPr="00743A79">
      <w:rPr>
        <w:color w:val="E65900"/>
        <w:sz w:val="16"/>
        <w:szCs w:val="18"/>
      </w:rPr>
      <w:t>e-mail: info@calims.me,</w:t>
    </w:r>
    <w:r w:rsidRPr="00743A79">
      <w:rPr>
        <w:sz w:val="16"/>
        <w:szCs w:val="18"/>
      </w:rPr>
      <w:t xml:space="preserve"> </w:t>
    </w:r>
    <w:r w:rsidRPr="00743A79">
      <w:rPr>
        <w:color w:val="FA0000"/>
        <w:sz w:val="16"/>
        <w:szCs w:val="18"/>
      </w:rPr>
      <w:t>www.calims.me</w:t>
    </w:r>
    <w:r w:rsidRPr="00743A79">
      <w:rPr>
        <w:sz w:val="16"/>
        <w:szCs w:val="18"/>
      </w:rPr>
      <w:t xml:space="preserve">, </w:t>
    </w:r>
    <w:r w:rsidRPr="00743A79">
      <w:rPr>
        <w:color w:val="E65900"/>
        <w:sz w:val="16"/>
        <w:szCs w:val="18"/>
      </w:rPr>
      <w:t>PIB: 02739658,</w:t>
    </w:r>
    <w:r w:rsidRPr="00743A79">
      <w:rPr>
        <w:sz w:val="16"/>
        <w:szCs w:val="18"/>
      </w:rPr>
      <w:t xml:space="preserve"> </w:t>
    </w:r>
    <w:r w:rsidRPr="00743A79">
      <w:rPr>
        <w:color w:val="FA0000"/>
        <w:sz w:val="16"/>
        <w:szCs w:val="18"/>
      </w:rPr>
      <w:t>žiro račun: 520-3603-33</w:t>
    </w:r>
  </w:p>
  <w:p w:rsidR="002F3E4D" w:rsidRDefault="002F3E4D" w:rsidP="00756FDD">
    <w:pPr>
      <w:pStyle w:val="Footer"/>
      <w:jc w:val="center"/>
      <w:rPr>
        <w:sz w:val="16"/>
        <w:szCs w:val="18"/>
      </w:rPr>
    </w:pPr>
  </w:p>
  <w:p w:rsidR="002F3E4D" w:rsidRDefault="002F3E4D" w:rsidP="002F3E4D">
    <w:pPr>
      <w:pStyle w:val="Header"/>
    </w:pPr>
  </w:p>
  <w:p w:rsidR="00756FDD" w:rsidRPr="00F96E5A" w:rsidRDefault="00756FDD" w:rsidP="002F3E4D">
    <w:pPr>
      <w:pStyle w:val="Header"/>
      <w:jc w:val="center"/>
      <w:rPr>
        <w:sz w:val="22"/>
        <w:szCs w:val="22"/>
      </w:rPr>
    </w:pPr>
    <w:r w:rsidRPr="001F3C63">
      <w:rPr>
        <w:rStyle w:val="PageNumber"/>
      </w:rPr>
      <w:fldChar w:fldCharType="begin"/>
    </w:r>
    <w:r w:rsidRPr="001F3C63">
      <w:rPr>
        <w:rStyle w:val="PageNumber"/>
      </w:rPr>
      <w:instrText xml:space="preserve"> PAGE </w:instrText>
    </w:r>
    <w:r w:rsidRPr="001F3C63">
      <w:rPr>
        <w:rStyle w:val="PageNumber"/>
      </w:rPr>
      <w:fldChar w:fldCharType="separate"/>
    </w:r>
    <w:r w:rsidR="00FA3963">
      <w:rPr>
        <w:rStyle w:val="PageNumber"/>
        <w:noProof/>
      </w:rPr>
      <w:t>6</w:t>
    </w:r>
    <w:r w:rsidRPr="001F3C63">
      <w:rPr>
        <w:rStyle w:val="PageNumber"/>
      </w:rPr>
      <w:fldChar w:fldCharType="end"/>
    </w:r>
    <w:r>
      <w:rPr>
        <w:rStyle w:val="PageNumber"/>
      </w:rPr>
      <w:t xml:space="preserve"> / </w:t>
    </w:r>
    <w:r w:rsidRPr="001F3C63">
      <w:rPr>
        <w:rStyle w:val="PageNumber"/>
      </w:rPr>
      <w:fldChar w:fldCharType="begin"/>
    </w:r>
    <w:r w:rsidRPr="001F3C63">
      <w:rPr>
        <w:rStyle w:val="PageNumber"/>
      </w:rPr>
      <w:instrText xml:space="preserve"> NUMPAGES </w:instrText>
    </w:r>
    <w:r w:rsidRPr="001F3C63">
      <w:rPr>
        <w:rStyle w:val="PageNumber"/>
      </w:rPr>
      <w:fldChar w:fldCharType="separate"/>
    </w:r>
    <w:r w:rsidR="00FA3963">
      <w:rPr>
        <w:rStyle w:val="PageNumber"/>
        <w:noProof/>
      </w:rPr>
      <w:t>15</w:t>
    </w:r>
    <w:r w:rsidRPr="001F3C63">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DD" w:rsidRDefault="00756FDD" w:rsidP="0008350D">
    <w:pPr>
      <w:pStyle w:val="Footer"/>
      <w:pBdr>
        <w:top w:val="thinThickSmallGap" w:sz="2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BEB" w:rsidRDefault="008A0BEB">
      <w:r>
        <w:separator/>
      </w:r>
    </w:p>
  </w:footnote>
  <w:footnote w:type="continuationSeparator" w:id="0">
    <w:p w:rsidR="008A0BEB" w:rsidRDefault="008A0B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DD" w:rsidRDefault="00756FDD" w:rsidP="00615ADD">
    <w:pPr>
      <w:pStyle w:val="Header"/>
      <w:rPr>
        <w:sz w:val="16"/>
        <w:szCs w:val="16"/>
      </w:rPr>
    </w:pPr>
  </w:p>
  <w:p w:rsidR="00756FDD" w:rsidRDefault="005C10C6" w:rsidP="00471E3E">
    <w:pPr>
      <w:pStyle w:val="Header"/>
      <w:pBdr>
        <w:top w:val="thinThickSmallGap" w:sz="24" w:space="2" w:color="auto"/>
      </w:pBdr>
      <w:rPr>
        <w:sz w:val="16"/>
        <w:szCs w:val="16"/>
      </w:rPr>
    </w:pPr>
    <w:r>
      <w:rPr>
        <w:noProof/>
        <w:sz w:val="16"/>
        <w:szCs w:val="16"/>
        <w:lang w:val="en-US"/>
      </w:rPr>
      <w:drawing>
        <wp:inline distT="0" distB="0" distL="0" distR="0">
          <wp:extent cx="1419225" cy="971550"/>
          <wp:effectExtent l="0" t="0" r="9525"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p w:rsidR="0006562A" w:rsidRPr="00615ADD" w:rsidRDefault="0006562A" w:rsidP="00471E3E">
    <w:pPr>
      <w:pStyle w:val="Header"/>
      <w:pBdr>
        <w:top w:val="thinThickSmallGap" w:sz="24" w:space="2"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DD" w:rsidRDefault="005C10C6">
    <w:pPr>
      <w:pStyle w:val="Header"/>
      <w:rPr>
        <w:sz w:val="16"/>
        <w:szCs w:val="16"/>
      </w:rPr>
    </w:pPr>
    <w:r>
      <w:rPr>
        <w:noProof/>
        <w:sz w:val="16"/>
        <w:szCs w:val="16"/>
        <w:lang w:val="en-US"/>
      </w:rPr>
      <w:drawing>
        <wp:inline distT="0" distB="0" distL="0" distR="0">
          <wp:extent cx="1447800"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rsidR="00756FDD" w:rsidRDefault="00756FDD">
    <w:pPr>
      <w:pStyle w:val="Header"/>
      <w:rPr>
        <w:sz w:val="16"/>
        <w:szCs w:val="16"/>
      </w:rPr>
    </w:pPr>
  </w:p>
  <w:p w:rsidR="00756FDD" w:rsidRDefault="00756FDD" w:rsidP="0008350D">
    <w:pPr>
      <w:pStyle w:val="Header"/>
      <w:pBdr>
        <w:top w:val="thinThickSmallGap" w:sz="2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0"/>
      </w:pPr>
      <w:rPr>
        <w:b w:val="0"/>
        <w:i w:val="0"/>
        <w:sz w:val="22"/>
        <w:szCs w:val="22"/>
      </w:rPr>
    </w:lvl>
  </w:abstractNum>
  <w:abstractNum w:abstractNumId="1" w15:restartNumberingAfterBreak="0">
    <w:nsid w:val="00000003"/>
    <w:multiLevelType w:val="singleLevel"/>
    <w:tmpl w:val="00000003"/>
    <w:name w:val="WW8Num4"/>
    <w:lvl w:ilvl="0">
      <w:start w:val="1"/>
      <w:numFmt w:val="bullet"/>
      <w:lvlText w:val=""/>
      <w:lvlJc w:val="left"/>
      <w:pPr>
        <w:tabs>
          <w:tab w:val="num" w:pos="2534"/>
        </w:tabs>
        <w:ind w:left="2534"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7"/>
    <w:lvl w:ilvl="0">
      <w:numFmt w:val="bullet"/>
      <w:lvlText w:val="-"/>
      <w:lvlJc w:val="left"/>
      <w:pPr>
        <w:tabs>
          <w:tab w:val="num" w:pos="0"/>
        </w:tabs>
        <w:ind w:left="0" w:firstLine="0"/>
      </w:pPr>
      <w:rPr>
        <w:rFonts w:ascii="Tahoma" w:hAnsi="Tahoma" w:cs="Symbol"/>
        <w:i/>
        <w:iCs/>
        <w:color w:val="000000"/>
        <w:sz w:val="22"/>
        <w:szCs w:val="22"/>
      </w:rPr>
    </w:lvl>
  </w:abstractNum>
  <w:abstractNum w:abstractNumId="4" w15:restartNumberingAfterBreak="0">
    <w:nsid w:val="00000006"/>
    <w:multiLevelType w:val="singleLevel"/>
    <w:tmpl w:val="00000006"/>
    <w:name w:val="WW8Num12"/>
    <w:lvl w:ilvl="0">
      <w:start w:val="1"/>
      <w:numFmt w:val="bullet"/>
      <w:lvlText w:val=""/>
      <w:lvlJc w:val="left"/>
      <w:pPr>
        <w:tabs>
          <w:tab w:val="num" w:pos="2534"/>
        </w:tabs>
        <w:ind w:left="2534" w:hanging="360"/>
      </w:pPr>
      <w:rPr>
        <w:rFonts w:ascii="Symbol" w:hAnsi="Symbol"/>
      </w:rPr>
    </w:lvl>
  </w:abstractNum>
  <w:abstractNum w:abstractNumId="5" w15:restartNumberingAfterBreak="0">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7"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F6A0DA3"/>
    <w:multiLevelType w:val="hybridMultilevel"/>
    <w:tmpl w:val="4D4A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DA13DA"/>
    <w:multiLevelType w:val="hybridMultilevel"/>
    <w:tmpl w:val="AB1E23E0"/>
    <w:lvl w:ilvl="0" w:tplc="141A0001">
      <w:start w:val="1"/>
      <w:numFmt w:val="bullet"/>
      <w:pStyle w:val="Bullet0dK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180C299A"/>
    <w:multiLevelType w:val="hybridMultilevel"/>
    <w:tmpl w:val="383A8288"/>
    <w:lvl w:ilvl="0" w:tplc="FED84A6A">
      <w:start w:val="1"/>
      <w:numFmt w:val="decimal"/>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1" w15:restartNumberingAfterBreak="0">
    <w:nsid w:val="19B2052A"/>
    <w:multiLevelType w:val="hybridMultilevel"/>
    <w:tmpl w:val="8A3C940A"/>
    <w:lvl w:ilvl="0" w:tplc="0409000F">
      <w:start w:val="1"/>
      <w:numFmt w:val="decimal"/>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2" w15:restartNumberingAfterBreak="0">
    <w:nsid w:val="22BC4382"/>
    <w:multiLevelType w:val="hybridMultilevel"/>
    <w:tmpl w:val="D4626D0E"/>
    <w:lvl w:ilvl="0" w:tplc="04090001">
      <w:start w:val="1"/>
      <w:numFmt w:val="bullet"/>
      <w:lvlText w:val=""/>
      <w:lvlJc w:val="left"/>
      <w:pPr>
        <w:ind w:left="720" w:hanging="360"/>
      </w:pPr>
      <w:rPr>
        <w:rFonts w:ascii="Symbol" w:hAnsi="Symbol" w:hint="default"/>
      </w:rPr>
    </w:lvl>
    <w:lvl w:ilvl="1" w:tplc="11D2F97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BD21B4"/>
    <w:multiLevelType w:val="hybridMultilevel"/>
    <w:tmpl w:val="F0EA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4B6596"/>
    <w:multiLevelType w:val="hybridMultilevel"/>
    <w:tmpl w:val="CD408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2C5623F2"/>
    <w:multiLevelType w:val="hybridMultilevel"/>
    <w:tmpl w:val="798A0F3C"/>
    <w:lvl w:ilvl="0" w:tplc="EA88F52E">
      <w:start w:val="1"/>
      <w:numFmt w:val="bullet"/>
      <w:lvlText w:val=""/>
      <w:lvlJc w:val="left"/>
      <w:pPr>
        <w:tabs>
          <w:tab w:val="num" w:pos="720"/>
        </w:tabs>
        <w:ind w:left="720" w:hanging="363"/>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7953F9"/>
    <w:multiLevelType w:val="hybridMultilevel"/>
    <w:tmpl w:val="7E32C2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FA32F99"/>
    <w:multiLevelType w:val="hybridMultilevel"/>
    <w:tmpl w:val="8D660E0C"/>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DA7C71"/>
    <w:multiLevelType w:val="hybridMultilevel"/>
    <w:tmpl w:val="8B049206"/>
    <w:lvl w:ilvl="0" w:tplc="5858AB44">
      <w:start w:val="1"/>
      <w:numFmt w:val="bullet"/>
      <w:lvlText w:val=""/>
      <w:lvlJc w:val="left"/>
      <w:pPr>
        <w:tabs>
          <w:tab w:val="num" w:pos="720"/>
        </w:tabs>
        <w:ind w:left="720" w:hanging="360"/>
      </w:pPr>
      <w:rPr>
        <w:rFonts w:ascii="Symbol" w:hAnsi="Symbol" w:hint="default"/>
        <w:color w:val="auto"/>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522D6A"/>
    <w:multiLevelType w:val="hybridMultilevel"/>
    <w:tmpl w:val="08A2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10204D"/>
    <w:multiLevelType w:val="hybridMultilevel"/>
    <w:tmpl w:val="9E5820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8B01A8"/>
    <w:multiLevelType w:val="hybridMultilevel"/>
    <w:tmpl w:val="7B5E6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9129F9"/>
    <w:multiLevelType w:val="hybridMultilevel"/>
    <w:tmpl w:val="DF32439E"/>
    <w:lvl w:ilvl="0" w:tplc="0C07000F">
      <w:start w:val="1"/>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3" w15:restartNumberingAfterBreak="0">
    <w:nsid w:val="47E55B64"/>
    <w:multiLevelType w:val="hybridMultilevel"/>
    <w:tmpl w:val="897A7D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394B71"/>
    <w:multiLevelType w:val="hybridMultilevel"/>
    <w:tmpl w:val="71C05A08"/>
    <w:lvl w:ilvl="0" w:tplc="E2EAE46A">
      <w:start w:val="65535"/>
      <w:numFmt w:val="bullet"/>
      <w:lvlText w:val="•"/>
      <w:lvlJc w:val="left"/>
      <w:pPr>
        <w:tabs>
          <w:tab w:val="num" w:pos="0"/>
        </w:tabs>
        <w:ind w:left="0" w:firstLine="0"/>
      </w:pPr>
      <w:rPr>
        <w:rFonts w:ascii="Times New Roman Bold" w:hAnsi="Times New Roman Bold" w:cs="Times New Roman Bold"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F1442B"/>
    <w:multiLevelType w:val="hybridMultilevel"/>
    <w:tmpl w:val="4E86BA18"/>
    <w:lvl w:ilvl="0" w:tplc="B42EFC72">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C75406"/>
    <w:multiLevelType w:val="hybridMultilevel"/>
    <w:tmpl w:val="71B6D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5907F8"/>
    <w:multiLevelType w:val="hybridMultilevel"/>
    <w:tmpl w:val="52B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D84578"/>
    <w:multiLevelType w:val="hybridMultilevel"/>
    <w:tmpl w:val="C0CAC0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C11E83"/>
    <w:multiLevelType w:val="hybridMultilevel"/>
    <w:tmpl w:val="6C161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52F0C7B"/>
    <w:multiLevelType w:val="hybridMultilevel"/>
    <w:tmpl w:val="D9F4120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69326121"/>
    <w:multiLevelType w:val="hybridMultilevel"/>
    <w:tmpl w:val="D8F6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6A1AA4"/>
    <w:multiLevelType w:val="hybridMultilevel"/>
    <w:tmpl w:val="82EC1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B21C95"/>
    <w:multiLevelType w:val="hybridMultilevel"/>
    <w:tmpl w:val="80746C06"/>
    <w:lvl w:ilvl="0" w:tplc="0409000F">
      <w:start w:val="1"/>
      <w:numFmt w:val="decimal"/>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35" w15:restartNumberingAfterBreak="0">
    <w:nsid w:val="705A010F"/>
    <w:multiLevelType w:val="hybridMultilevel"/>
    <w:tmpl w:val="92BA89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E13769"/>
    <w:multiLevelType w:val="hybridMultilevel"/>
    <w:tmpl w:val="108657FA"/>
    <w:lvl w:ilvl="0" w:tplc="5858AB44">
      <w:start w:val="1"/>
      <w:numFmt w:val="bullet"/>
      <w:lvlText w:val=""/>
      <w:lvlJc w:val="left"/>
      <w:pPr>
        <w:tabs>
          <w:tab w:val="num" w:pos="720"/>
        </w:tabs>
        <w:ind w:left="720" w:hanging="360"/>
      </w:pPr>
      <w:rPr>
        <w:rFonts w:ascii="Symbol" w:hAnsi="Symbol" w:hint="default"/>
        <w:color w:val="auto"/>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C936C2"/>
    <w:multiLevelType w:val="hybridMultilevel"/>
    <w:tmpl w:val="F6B8ADA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15:restartNumberingAfterBreak="0">
    <w:nsid w:val="760B59FE"/>
    <w:multiLevelType w:val="hybridMultilevel"/>
    <w:tmpl w:val="9F585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2A6BBA"/>
    <w:multiLevelType w:val="hybridMultilevel"/>
    <w:tmpl w:val="06786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1623B3"/>
    <w:multiLevelType w:val="hybridMultilevel"/>
    <w:tmpl w:val="6804EA1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1" w15:restartNumberingAfterBreak="0">
    <w:nsid w:val="796A2667"/>
    <w:multiLevelType w:val="hybridMultilevel"/>
    <w:tmpl w:val="C3308676"/>
    <w:lvl w:ilvl="0" w:tplc="040C0001">
      <w:start w:val="1"/>
      <w:numFmt w:val="bullet"/>
      <w:lvlText w:val=""/>
      <w:lvlJc w:val="left"/>
      <w:pPr>
        <w:tabs>
          <w:tab w:val="num" w:pos="720"/>
        </w:tabs>
        <w:ind w:left="720" w:hanging="360"/>
      </w:pPr>
      <w:rPr>
        <w:rFonts w:ascii="Symbol" w:hAnsi="Symbol" w:hint="default"/>
      </w:rPr>
    </w:lvl>
    <w:lvl w:ilvl="1" w:tplc="989E6BAA">
      <w:numFmt w:val="bullet"/>
      <w:lvlText w:val="-"/>
      <w:lvlJc w:val="left"/>
      <w:pPr>
        <w:tabs>
          <w:tab w:val="num" w:pos="3540"/>
        </w:tabs>
        <w:ind w:left="3540" w:hanging="2460"/>
      </w:pPr>
      <w:rPr>
        <w:rFonts w:ascii="Arial" w:eastAsia="Times New Roman" w:hAnsi="Arial"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21"/>
  </w:num>
  <w:num w:numId="4">
    <w:abstractNumId w:val="16"/>
  </w:num>
  <w:num w:numId="5">
    <w:abstractNumId w:val="30"/>
  </w:num>
  <w:num w:numId="6">
    <w:abstractNumId w:val="33"/>
  </w:num>
  <w:num w:numId="7">
    <w:abstractNumId w:val="27"/>
  </w:num>
  <w:num w:numId="8">
    <w:abstractNumId w:val="13"/>
  </w:num>
  <w:num w:numId="9">
    <w:abstractNumId w:val="38"/>
  </w:num>
  <w:num w:numId="10">
    <w:abstractNumId w:val="12"/>
  </w:num>
  <w:num w:numId="11">
    <w:abstractNumId w:val="8"/>
  </w:num>
  <w:num w:numId="12">
    <w:abstractNumId w:val="14"/>
  </w:num>
  <w:num w:numId="13">
    <w:abstractNumId w:val="19"/>
  </w:num>
  <w:num w:numId="14">
    <w:abstractNumId w:val="37"/>
  </w:num>
  <w:num w:numId="15">
    <w:abstractNumId w:val="31"/>
  </w:num>
  <w:num w:numId="16">
    <w:abstractNumId w:val="40"/>
  </w:num>
  <w:num w:numId="17">
    <w:abstractNumId w:val="32"/>
  </w:num>
  <w:num w:numId="18">
    <w:abstractNumId w:val="39"/>
  </w:num>
  <w:num w:numId="19">
    <w:abstractNumId w:val="29"/>
  </w:num>
  <w:num w:numId="20">
    <w:abstractNumId w:val="28"/>
  </w:num>
  <w:num w:numId="21">
    <w:abstractNumId w:val="24"/>
  </w:num>
  <w:num w:numId="22">
    <w:abstractNumId w:val="26"/>
  </w:num>
  <w:num w:numId="23">
    <w:abstractNumId w:val="23"/>
  </w:num>
  <w:num w:numId="24">
    <w:abstractNumId w:val="35"/>
  </w:num>
  <w:num w:numId="25">
    <w:abstractNumId w:val="34"/>
  </w:num>
  <w:num w:numId="26">
    <w:abstractNumId w:val="11"/>
  </w:num>
  <w:num w:numId="27">
    <w:abstractNumId w:val="10"/>
  </w:num>
  <w:num w:numId="28">
    <w:abstractNumId w:val="6"/>
    <w:lvlOverride w:ilvl="0">
      <w:startOverride w:val="1"/>
    </w:lvlOverride>
  </w:num>
  <w:num w:numId="29">
    <w:abstractNumId w:val="25"/>
  </w:num>
  <w:num w:numId="30">
    <w:abstractNumId w:val="18"/>
  </w:num>
  <w:num w:numId="31">
    <w:abstractNumId w:val="36"/>
  </w:num>
  <w:num w:numId="32">
    <w:abstractNumId w:val="17"/>
  </w:num>
  <w:num w:numId="33">
    <w:abstractNumId w:val="41"/>
  </w:num>
  <w:num w:numId="34">
    <w:abstractNumId w:val="15"/>
  </w:num>
  <w:num w:numId="35">
    <w:abstractNumId w:val="20"/>
  </w:num>
  <w:num w:numId="36">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F40"/>
    <w:rsid w:val="00004B28"/>
    <w:rsid w:val="00005D7D"/>
    <w:rsid w:val="00006E5C"/>
    <w:rsid w:val="00007DC9"/>
    <w:rsid w:val="000119D9"/>
    <w:rsid w:val="00012793"/>
    <w:rsid w:val="000144AC"/>
    <w:rsid w:val="00015B8A"/>
    <w:rsid w:val="00016159"/>
    <w:rsid w:val="00016262"/>
    <w:rsid w:val="0002193F"/>
    <w:rsid w:val="000241E3"/>
    <w:rsid w:val="00024245"/>
    <w:rsid w:val="000250EC"/>
    <w:rsid w:val="0002593D"/>
    <w:rsid w:val="00025F37"/>
    <w:rsid w:val="00027069"/>
    <w:rsid w:val="0002778B"/>
    <w:rsid w:val="0002783F"/>
    <w:rsid w:val="00031CFD"/>
    <w:rsid w:val="000341C6"/>
    <w:rsid w:val="00035AB0"/>
    <w:rsid w:val="00035F09"/>
    <w:rsid w:val="0004033B"/>
    <w:rsid w:val="000431EF"/>
    <w:rsid w:val="00045553"/>
    <w:rsid w:val="00047229"/>
    <w:rsid w:val="000534C0"/>
    <w:rsid w:val="000537EA"/>
    <w:rsid w:val="00063BF3"/>
    <w:rsid w:val="0006414A"/>
    <w:rsid w:val="0006562A"/>
    <w:rsid w:val="0006657B"/>
    <w:rsid w:val="00071B1A"/>
    <w:rsid w:val="00072EFD"/>
    <w:rsid w:val="00074871"/>
    <w:rsid w:val="000757CF"/>
    <w:rsid w:val="000771E2"/>
    <w:rsid w:val="0008016C"/>
    <w:rsid w:val="00081747"/>
    <w:rsid w:val="0008350D"/>
    <w:rsid w:val="000855A9"/>
    <w:rsid w:val="00086A28"/>
    <w:rsid w:val="00086AB9"/>
    <w:rsid w:val="00094BE7"/>
    <w:rsid w:val="000975AB"/>
    <w:rsid w:val="00097935"/>
    <w:rsid w:val="00097CFB"/>
    <w:rsid w:val="000A137E"/>
    <w:rsid w:val="000A2EA1"/>
    <w:rsid w:val="000A3DA4"/>
    <w:rsid w:val="000A4786"/>
    <w:rsid w:val="000A47D0"/>
    <w:rsid w:val="000A738C"/>
    <w:rsid w:val="000B06E9"/>
    <w:rsid w:val="000B0ADC"/>
    <w:rsid w:val="000B0D38"/>
    <w:rsid w:val="000B2A18"/>
    <w:rsid w:val="000B5AFB"/>
    <w:rsid w:val="000C3B84"/>
    <w:rsid w:val="000C63CA"/>
    <w:rsid w:val="000C7728"/>
    <w:rsid w:val="000D03EF"/>
    <w:rsid w:val="000D3C8E"/>
    <w:rsid w:val="000D6526"/>
    <w:rsid w:val="000D70FD"/>
    <w:rsid w:val="000E0FEE"/>
    <w:rsid w:val="000E1847"/>
    <w:rsid w:val="000E251A"/>
    <w:rsid w:val="000E30D4"/>
    <w:rsid w:val="000E376D"/>
    <w:rsid w:val="000E4A11"/>
    <w:rsid w:val="000E62B7"/>
    <w:rsid w:val="000F1C30"/>
    <w:rsid w:val="000F5734"/>
    <w:rsid w:val="000F5E16"/>
    <w:rsid w:val="000F7222"/>
    <w:rsid w:val="0010177B"/>
    <w:rsid w:val="0010271F"/>
    <w:rsid w:val="001060EC"/>
    <w:rsid w:val="0012331A"/>
    <w:rsid w:val="00123901"/>
    <w:rsid w:val="00125032"/>
    <w:rsid w:val="00130E5B"/>
    <w:rsid w:val="001327A9"/>
    <w:rsid w:val="001346AA"/>
    <w:rsid w:val="00134B56"/>
    <w:rsid w:val="001379A3"/>
    <w:rsid w:val="00140DDE"/>
    <w:rsid w:val="00141295"/>
    <w:rsid w:val="00141C6D"/>
    <w:rsid w:val="00142921"/>
    <w:rsid w:val="001450CA"/>
    <w:rsid w:val="00145182"/>
    <w:rsid w:val="00150A79"/>
    <w:rsid w:val="00152225"/>
    <w:rsid w:val="0015284E"/>
    <w:rsid w:val="00155276"/>
    <w:rsid w:val="001567D1"/>
    <w:rsid w:val="00160067"/>
    <w:rsid w:val="001601CE"/>
    <w:rsid w:val="001616AF"/>
    <w:rsid w:val="00161ECF"/>
    <w:rsid w:val="00163984"/>
    <w:rsid w:val="00164550"/>
    <w:rsid w:val="00164B6A"/>
    <w:rsid w:val="00164D81"/>
    <w:rsid w:val="00166BB8"/>
    <w:rsid w:val="0017032A"/>
    <w:rsid w:val="001717BF"/>
    <w:rsid w:val="00173831"/>
    <w:rsid w:val="0017417F"/>
    <w:rsid w:val="001750FF"/>
    <w:rsid w:val="00175740"/>
    <w:rsid w:val="001763CC"/>
    <w:rsid w:val="001770B3"/>
    <w:rsid w:val="00185B9B"/>
    <w:rsid w:val="001917D6"/>
    <w:rsid w:val="001971F1"/>
    <w:rsid w:val="001A70F6"/>
    <w:rsid w:val="001B3424"/>
    <w:rsid w:val="001B602C"/>
    <w:rsid w:val="001B61E4"/>
    <w:rsid w:val="001B731A"/>
    <w:rsid w:val="001C0FD7"/>
    <w:rsid w:val="001C691D"/>
    <w:rsid w:val="001C711D"/>
    <w:rsid w:val="001D2183"/>
    <w:rsid w:val="001D25D9"/>
    <w:rsid w:val="001D301F"/>
    <w:rsid w:val="001D31CB"/>
    <w:rsid w:val="001D7370"/>
    <w:rsid w:val="001E195D"/>
    <w:rsid w:val="001E2E3C"/>
    <w:rsid w:val="001F02DE"/>
    <w:rsid w:val="001F3C63"/>
    <w:rsid w:val="001F6994"/>
    <w:rsid w:val="001F7B65"/>
    <w:rsid w:val="00203D65"/>
    <w:rsid w:val="0020566A"/>
    <w:rsid w:val="0020647A"/>
    <w:rsid w:val="002109DD"/>
    <w:rsid w:val="00210EFE"/>
    <w:rsid w:val="0021208F"/>
    <w:rsid w:val="002125D6"/>
    <w:rsid w:val="002139ED"/>
    <w:rsid w:val="002168F5"/>
    <w:rsid w:val="00222321"/>
    <w:rsid w:val="00226477"/>
    <w:rsid w:val="0023310B"/>
    <w:rsid w:val="00235129"/>
    <w:rsid w:val="00240C6B"/>
    <w:rsid w:val="002426EA"/>
    <w:rsid w:val="00243CA4"/>
    <w:rsid w:val="00245A64"/>
    <w:rsid w:val="00246606"/>
    <w:rsid w:val="002470D6"/>
    <w:rsid w:val="0025222F"/>
    <w:rsid w:val="00256BAA"/>
    <w:rsid w:val="002570F6"/>
    <w:rsid w:val="0026475C"/>
    <w:rsid w:val="00265752"/>
    <w:rsid w:val="00267FB1"/>
    <w:rsid w:val="00273A51"/>
    <w:rsid w:val="002769B2"/>
    <w:rsid w:val="00280AF3"/>
    <w:rsid w:val="00281972"/>
    <w:rsid w:val="002860CA"/>
    <w:rsid w:val="002905A8"/>
    <w:rsid w:val="00291DB3"/>
    <w:rsid w:val="00293D8E"/>
    <w:rsid w:val="002A25F6"/>
    <w:rsid w:val="002A66BF"/>
    <w:rsid w:val="002B1B18"/>
    <w:rsid w:val="002B21F6"/>
    <w:rsid w:val="002B2EDD"/>
    <w:rsid w:val="002B3EBC"/>
    <w:rsid w:val="002B4447"/>
    <w:rsid w:val="002B4ADA"/>
    <w:rsid w:val="002B5DE3"/>
    <w:rsid w:val="002B6650"/>
    <w:rsid w:val="002B6EA3"/>
    <w:rsid w:val="002C5920"/>
    <w:rsid w:val="002C6682"/>
    <w:rsid w:val="002C6C4A"/>
    <w:rsid w:val="002D4B25"/>
    <w:rsid w:val="002D7DF8"/>
    <w:rsid w:val="002E0261"/>
    <w:rsid w:val="002E15EE"/>
    <w:rsid w:val="002E5013"/>
    <w:rsid w:val="002F1791"/>
    <w:rsid w:val="002F3E4D"/>
    <w:rsid w:val="002F727F"/>
    <w:rsid w:val="00300DA5"/>
    <w:rsid w:val="0031366D"/>
    <w:rsid w:val="0031466D"/>
    <w:rsid w:val="00314D92"/>
    <w:rsid w:val="003161E2"/>
    <w:rsid w:val="0031692B"/>
    <w:rsid w:val="003208CF"/>
    <w:rsid w:val="0032648C"/>
    <w:rsid w:val="00326D07"/>
    <w:rsid w:val="00327CA0"/>
    <w:rsid w:val="00327F66"/>
    <w:rsid w:val="003348A5"/>
    <w:rsid w:val="00337741"/>
    <w:rsid w:val="003417D5"/>
    <w:rsid w:val="0034181A"/>
    <w:rsid w:val="00341DEF"/>
    <w:rsid w:val="003437A3"/>
    <w:rsid w:val="00345134"/>
    <w:rsid w:val="00351634"/>
    <w:rsid w:val="0035469B"/>
    <w:rsid w:val="00366527"/>
    <w:rsid w:val="00370E09"/>
    <w:rsid w:val="00371CCC"/>
    <w:rsid w:val="003731D0"/>
    <w:rsid w:val="00377385"/>
    <w:rsid w:val="00383CAA"/>
    <w:rsid w:val="00384EA9"/>
    <w:rsid w:val="00385042"/>
    <w:rsid w:val="003851FE"/>
    <w:rsid w:val="003853A7"/>
    <w:rsid w:val="00387233"/>
    <w:rsid w:val="003920A5"/>
    <w:rsid w:val="003A1525"/>
    <w:rsid w:val="003A321E"/>
    <w:rsid w:val="003A4AAF"/>
    <w:rsid w:val="003A5E51"/>
    <w:rsid w:val="003A611F"/>
    <w:rsid w:val="003B5243"/>
    <w:rsid w:val="003B609E"/>
    <w:rsid w:val="003B698E"/>
    <w:rsid w:val="003C0C63"/>
    <w:rsid w:val="003C255F"/>
    <w:rsid w:val="003C3390"/>
    <w:rsid w:val="003C640B"/>
    <w:rsid w:val="003D195D"/>
    <w:rsid w:val="003D4D9E"/>
    <w:rsid w:val="003D5592"/>
    <w:rsid w:val="003E03A3"/>
    <w:rsid w:val="003E1E0B"/>
    <w:rsid w:val="003E26F5"/>
    <w:rsid w:val="003E4328"/>
    <w:rsid w:val="003E4634"/>
    <w:rsid w:val="003E70F7"/>
    <w:rsid w:val="003F1984"/>
    <w:rsid w:val="003F2DBF"/>
    <w:rsid w:val="003F43B4"/>
    <w:rsid w:val="004000CF"/>
    <w:rsid w:val="00405585"/>
    <w:rsid w:val="004064CB"/>
    <w:rsid w:val="004068E7"/>
    <w:rsid w:val="00411293"/>
    <w:rsid w:val="00411C49"/>
    <w:rsid w:val="0041299B"/>
    <w:rsid w:val="00413E18"/>
    <w:rsid w:val="00416AF0"/>
    <w:rsid w:val="00417A42"/>
    <w:rsid w:val="004205CC"/>
    <w:rsid w:val="00424645"/>
    <w:rsid w:val="00426B3B"/>
    <w:rsid w:val="00431E9C"/>
    <w:rsid w:val="004338B8"/>
    <w:rsid w:val="00437280"/>
    <w:rsid w:val="00440169"/>
    <w:rsid w:val="00441762"/>
    <w:rsid w:val="00443B2A"/>
    <w:rsid w:val="00444560"/>
    <w:rsid w:val="00454A9F"/>
    <w:rsid w:val="00457C0D"/>
    <w:rsid w:val="00463C95"/>
    <w:rsid w:val="00465608"/>
    <w:rsid w:val="00465C8B"/>
    <w:rsid w:val="00471E3E"/>
    <w:rsid w:val="0047280F"/>
    <w:rsid w:val="0047297A"/>
    <w:rsid w:val="00482641"/>
    <w:rsid w:val="00484DDA"/>
    <w:rsid w:val="00485B8C"/>
    <w:rsid w:val="00485C29"/>
    <w:rsid w:val="0048792E"/>
    <w:rsid w:val="00493D45"/>
    <w:rsid w:val="00494AD0"/>
    <w:rsid w:val="00495295"/>
    <w:rsid w:val="004A0078"/>
    <w:rsid w:val="004A5D30"/>
    <w:rsid w:val="004A6C86"/>
    <w:rsid w:val="004A7514"/>
    <w:rsid w:val="004B0963"/>
    <w:rsid w:val="004B21A2"/>
    <w:rsid w:val="004B2780"/>
    <w:rsid w:val="004B2AD3"/>
    <w:rsid w:val="004B5046"/>
    <w:rsid w:val="004B5EE2"/>
    <w:rsid w:val="004B6BB6"/>
    <w:rsid w:val="004B714D"/>
    <w:rsid w:val="004B7805"/>
    <w:rsid w:val="004C19EC"/>
    <w:rsid w:val="004C2D24"/>
    <w:rsid w:val="004C4CA2"/>
    <w:rsid w:val="004C4FB4"/>
    <w:rsid w:val="004D2F3A"/>
    <w:rsid w:val="004D368C"/>
    <w:rsid w:val="004D3A81"/>
    <w:rsid w:val="004D60D6"/>
    <w:rsid w:val="004D7094"/>
    <w:rsid w:val="004E3B3E"/>
    <w:rsid w:val="004E4900"/>
    <w:rsid w:val="004E7B0F"/>
    <w:rsid w:val="004F0A67"/>
    <w:rsid w:val="004F2DB9"/>
    <w:rsid w:val="004F35C1"/>
    <w:rsid w:val="004F47A6"/>
    <w:rsid w:val="004F7854"/>
    <w:rsid w:val="00510FAA"/>
    <w:rsid w:val="00514F76"/>
    <w:rsid w:val="00516122"/>
    <w:rsid w:val="00520BF0"/>
    <w:rsid w:val="005212E8"/>
    <w:rsid w:val="005215DC"/>
    <w:rsid w:val="005304DE"/>
    <w:rsid w:val="00531BAF"/>
    <w:rsid w:val="00531C42"/>
    <w:rsid w:val="00532E46"/>
    <w:rsid w:val="00546CB3"/>
    <w:rsid w:val="00550607"/>
    <w:rsid w:val="0055626B"/>
    <w:rsid w:val="005564E3"/>
    <w:rsid w:val="00556971"/>
    <w:rsid w:val="00556ABD"/>
    <w:rsid w:val="0056093F"/>
    <w:rsid w:val="00562D34"/>
    <w:rsid w:val="005635E1"/>
    <w:rsid w:val="00564B7F"/>
    <w:rsid w:val="00565A3A"/>
    <w:rsid w:val="005720FC"/>
    <w:rsid w:val="00573D9C"/>
    <w:rsid w:val="00576237"/>
    <w:rsid w:val="00581B3F"/>
    <w:rsid w:val="005854ED"/>
    <w:rsid w:val="00585E11"/>
    <w:rsid w:val="00587765"/>
    <w:rsid w:val="00596B06"/>
    <w:rsid w:val="005A2368"/>
    <w:rsid w:val="005A244B"/>
    <w:rsid w:val="005A2E76"/>
    <w:rsid w:val="005A2EAF"/>
    <w:rsid w:val="005A6E7B"/>
    <w:rsid w:val="005A76F0"/>
    <w:rsid w:val="005B5A33"/>
    <w:rsid w:val="005B72A8"/>
    <w:rsid w:val="005C10C6"/>
    <w:rsid w:val="005C22BB"/>
    <w:rsid w:val="005C5709"/>
    <w:rsid w:val="005C6F39"/>
    <w:rsid w:val="005C704B"/>
    <w:rsid w:val="005D0EEE"/>
    <w:rsid w:val="005E5E28"/>
    <w:rsid w:val="005E6DD4"/>
    <w:rsid w:val="005F1526"/>
    <w:rsid w:val="005F2208"/>
    <w:rsid w:val="005F5E7A"/>
    <w:rsid w:val="006010CA"/>
    <w:rsid w:val="00605C78"/>
    <w:rsid w:val="00606874"/>
    <w:rsid w:val="00607C1C"/>
    <w:rsid w:val="0061054A"/>
    <w:rsid w:val="00611CBC"/>
    <w:rsid w:val="0061344F"/>
    <w:rsid w:val="00614428"/>
    <w:rsid w:val="00615817"/>
    <w:rsid w:val="00615ADD"/>
    <w:rsid w:val="00624CB8"/>
    <w:rsid w:val="00625F07"/>
    <w:rsid w:val="00627D20"/>
    <w:rsid w:val="00627E89"/>
    <w:rsid w:val="00633042"/>
    <w:rsid w:val="00633A7F"/>
    <w:rsid w:val="00635F30"/>
    <w:rsid w:val="00636E7D"/>
    <w:rsid w:val="00637C1C"/>
    <w:rsid w:val="00640267"/>
    <w:rsid w:val="006454B8"/>
    <w:rsid w:val="0064728E"/>
    <w:rsid w:val="00651794"/>
    <w:rsid w:val="0065194B"/>
    <w:rsid w:val="0065786F"/>
    <w:rsid w:val="00662494"/>
    <w:rsid w:val="0066660C"/>
    <w:rsid w:val="00670D40"/>
    <w:rsid w:val="0067132D"/>
    <w:rsid w:val="00673DB6"/>
    <w:rsid w:val="006768CB"/>
    <w:rsid w:val="006827B6"/>
    <w:rsid w:val="00695EC2"/>
    <w:rsid w:val="00697801"/>
    <w:rsid w:val="006A1550"/>
    <w:rsid w:val="006A1AC8"/>
    <w:rsid w:val="006A1C21"/>
    <w:rsid w:val="006A207D"/>
    <w:rsid w:val="006A7DAC"/>
    <w:rsid w:val="006B03F6"/>
    <w:rsid w:val="006B2095"/>
    <w:rsid w:val="006B379B"/>
    <w:rsid w:val="006B39EF"/>
    <w:rsid w:val="006B4924"/>
    <w:rsid w:val="006C1781"/>
    <w:rsid w:val="006C3244"/>
    <w:rsid w:val="006C569D"/>
    <w:rsid w:val="006D1644"/>
    <w:rsid w:val="006D48E5"/>
    <w:rsid w:val="006E1694"/>
    <w:rsid w:val="006E386F"/>
    <w:rsid w:val="006E3B43"/>
    <w:rsid w:val="006E443D"/>
    <w:rsid w:val="006E46C4"/>
    <w:rsid w:val="006F0991"/>
    <w:rsid w:val="006F1BB1"/>
    <w:rsid w:val="006F5777"/>
    <w:rsid w:val="006F6894"/>
    <w:rsid w:val="007024CD"/>
    <w:rsid w:val="00705316"/>
    <w:rsid w:val="007100BC"/>
    <w:rsid w:val="007131F1"/>
    <w:rsid w:val="0071373B"/>
    <w:rsid w:val="00721DDE"/>
    <w:rsid w:val="00722D64"/>
    <w:rsid w:val="007231C5"/>
    <w:rsid w:val="0072320D"/>
    <w:rsid w:val="00724FAA"/>
    <w:rsid w:val="00727399"/>
    <w:rsid w:val="00730279"/>
    <w:rsid w:val="00731FD1"/>
    <w:rsid w:val="0073334A"/>
    <w:rsid w:val="007337F6"/>
    <w:rsid w:val="00734A01"/>
    <w:rsid w:val="00736561"/>
    <w:rsid w:val="007404A9"/>
    <w:rsid w:val="007445FA"/>
    <w:rsid w:val="00744BE7"/>
    <w:rsid w:val="007467D4"/>
    <w:rsid w:val="007508A2"/>
    <w:rsid w:val="007524D0"/>
    <w:rsid w:val="00755FC3"/>
    <w:rsid w:val="0075621B"/>
    <w:rsid w:val="00756B6F"/>
    <w:rsid w:val="00756FDD"/>
    <w:rsid w:val="00762662"/>
    <w:rsid w:val="00763206"/>
    <w:rsid w:val="007632B9"/>
    <w:rsid w:val="007633E3"/>
    <w:rsid w:val="00765261"/>
    <w:rsid w:val="0076565F"/>
    <w:rsid w:val="00766906"/>
    <w:rsid w:val="00771121"/>
    <w:rsid w:val="007724BB"/>
    <w:rsid w:val="0078489F"/>
    <w:rsid w:val="00784958"/>
    <w:rsid w:val="00786E51"/>
    <w:rsid w:val="00791ECA"/>
    <w:rsid w:val="0079225E"/>
    <w:rsid w:val="00797074"/>
    <w:rsid w:val="007970D9"/>
    <w:rsid w:val="007A2347"/>
    <w:rsid w:val="007C024B"/>
    <w:rsid w:val="007C0F3A"/>
    <w:rsid w:val="007C4173"/>
    <w:rsid w:val="007C5293"/>
    <w:rsid w:val="007C78FA"/>
    <w:rsid w:val="007D10A3"/>
    <w:rsid w:val="007E1051"/>
    <w:rsid w:val="007F0CD9"/>
    <w:rsid w:val="007F1790"/>
    <w:rsid w:val="007F269F"/>
    <w:rsid w:val="00800BB3"/>
    <w:rsid w:val="008015C1"/>
    <w:rsid w:val="00801CAC"/>
    <w:rsid w:val="0080431D"/>
    <w:rsid w:val="008046BA"/>
    <w:rsid w:val="00807089"/>
    <w:rsid w:val="00807887"/>
    <w:rsid w:val="00810728"/>
    <w:rsid w:val="00812969"/>
    <w:rsid w:val="00814949"/>
    <w:rsid w:val="008171E4"/>
    <w:rsid w:val="00822795"/>
    <w:rsid w:val="008235B9"/>
    <w:rsid w:val="00825D08"/>
    <w:rsid w:val="00830353"/>
    <w:rsid w:val="00833525"/>
    <w:rsid w:val="00835CF6"/>
    <w:rsid w:val="0084036D"/>
    <w:rsid w:val="00840A50"/>
    <w:rsid w:val="00840DBC"/>
    <w:rsid w:val="00841A08"/>
    <w:rsid w:val="00842F83"/>
    <w:rsid w:val="008437AF"/>
    <w:rsid w:val="008475F6"/>
    <w:rsid w:val="00850977"/>
    <w:rsid w:val="00855687"/>
    <w:rsid w:val="00856F31"/>
    <w:rsid w:val="008613FD"/>
    <w:rsid w:val="0086367B"/>
    <w:rsid w:val="008642BD"/>
    <w:rsid w:val="00866DE2"/>
    <w:rsid w:val="0086712D"/>
    <w:rsid w:val="00870297"/>
    <w:rsid w:val="0087395E"/>
    <w:rsid w:val="0087404B"/>
    <w:rsid w:val="00882974"/>
    <w:rsid w:val="00883815"/>
    <w:rsid w:val="00883AF1"/>
    <w:rsid w:val="00886613"/>
    <w:rsid w:val="0089072D"/>
    <w:rsid w:val="0089204B"/>
    <w:rsid w:val="00892205"/>
    <w:rsid w:val="00895960"/>
    <w:rsid w:val="008A0BEB"/>
    <w:rsid w:val="008A132B"/>
    <w:rsid w:val="008A47DC"/>
    <w:rsid w:val="008A49E3"/>
    <w:rsid w:val="008A6474"/>
    <w:rsid w:val="008A7F54"/>
    <w:rsid w:val="008B1957"/>
    <w:rsid w:val="008B36A5"/>
    <w:rsid w:val="008B6223"/>
    <w:rsid w:val="008C01CD"/>
    <w:rsid w:val="008C17A3"/>
    <w:rsid w:val="008C54B2"/>
    <w:rsid w:val="008C6130"/>
    <w:rsid w:val="008D2F97"/>
    <w:rsid w:val="008D7ED7"/>
    <w:rsid w:val="008E2B0B"/>
    <w:rsid w:val="008E3485"/>
    <w:rsid w:val="008E7128"/>
    <w:rsid w:val="008F3D45"/>
    <w:rsid w:val="008F4CFF"/>
    <w:rsid w:val="008F55C9"/>
    <w:rsid w:val="00900028"/>
    <w:rsid w:val="00901880"/>
    <w:rsid w:val="00902A3E"/>
    <w:rsid w:val="00907BF3"/>
    <w:rsid w:val="00911701"/>
    <w:rsid w:val="00914FD1"/>
    <w:rsid w:val="00915911"/>
    <w:rsid w:val="0091730D"/>
    <w:rsid w:val="00924C4A"/>
    <w:rsid w:val="00925001"/>
    <w:rsid w:val="00927223"/>
    <w:rsid w:val="00930D88"/>
    <w:rsid w:val="0093504B"/>
    <w:rsid w:val="00935E5B"/>
    <w:rsid w:val="00936D52"/>
    <w:rsid w:val="0094055C"/>
    <w:rsid w:val="00942167"/>
    <w:rsid w:val="00945F9C"/>
    <w:rsid w:val="009507FA"/>
    <w:rsid w:val="009510DA"/>
    <w:rsid w:val="00952CF7"/>
    <w:rsid w:val="009550DA"/>
    <w:rsid w:val="00963573"/>
    <w:rsid w:val="0096506F"/>
    <w:rsid w:val="00982DB1"/>
    <w:rsid w:val="0098590D"/>
    <w:rsid w:val="00985C83"/>
    <w:rsid w:val="00986B3F"/>
    <w:rsid w:val="00987AEE"/>
    <w:rsid w:val="009907A2"/>
    <w:rsid w:val="00990BA9"/>
    <w:rsid w:val="00991D9E"/>
    <w:rsid w:val="009971B0"/>
    <w:rsid w:val="009A1129"/>
    <w:rsid w:val="009A1960"/>
    <w:rsid w:val="009A548F"/>
    <w:rsid w:val="009B3EAE"/>
    <w:rsid w:val="009C0389"/>
    <w:rsid w:val="009C33E7"/>
    <w:rsid w:val="009C4818"/>
    <w:rsid w:val="009D13B3"/>
    <w:rsid w:val="009D535F"/>
    <w:rsid w:val="009D78D5"/>
    <w:rsid w:val="009E257E"/>
    <w:rsid w:val="009E3730"/>
    <w:rsid w:val="009E4453"/>
    <w:rsid w:val="009F276F"/>
    <w:rsid w:val="009F7CBF"/>
    <w:rsid w:val="00A03AC8"/>
    <w:rsid w:val="00A05297"/>
    <w:rsid w:val="00A05D7F"/>
    <w:rsid w:val="00A05DB0"/>
    <w:rsid w:val="00A0674D"/>
    <w:rsid w:val="00A06A2F"/>
    <w:rsid w:val="00A06F35"/>
    <w:rsid w:val="00A074DA"/>
    <w:rsid w:val="00A12788"/>
    <w:rsid w:val="00A15A28"/>
    <w:rsid w:val="00A15F28"/>
    <w:rsid w:val="00A206EC"/>
    <w:rsid w:val="00A207E3"/>
    <w:rsid w:val="00A223DD"/>
    <w:rsid w:val="00A24879"/>
    <w:rsid w:val="00A24FE3"/>
    <w:rsid w:val="00A26072"/>
    <w:rsid w:val="00A27591"/>
    <w:rsid w:val="00A27A7A"/>
    <w:rsid w:val="00A316A0"/>
    <w:rsid w:val="00A32C16"/>
    <w:rsid w:val="00A341F2"/>
    <w:rsid w:val="00A34BBF"/>
    <w:rsid w:val="00A34F7E"/>
    <w:rsid w:val="00A406EA"/>
    <w:rsid w:val="00A43B24"/>
    <w:rsid w:val="00A55D07"/>
    <w:rsid w:val="00A6179A"/>
    <w:rsid w:val="00A618E0"/>
    <w:rsid w:val="00A63CD3"/>
    <w:rsid w:val="00A6457A"/>
    <w:rsid w:val="00A6561C"/>
    <w:rsid w:val="00A677D4"/>
    <w:rsid w:val="00A721BC"/>
    <w:rsid w:val="00A73B77"/>
    <w:rsid w:val="00A74A50"/>
    <w:rsid w:val="00A75187"/>
    <w:rsid w:val="00A7626D"/>
    <w:rsid w:val="00A76618"/>
    <w:rsid w:val="00A802C9"/>
    <w:rsid w:val="00A82A98"/>
    <w:rsid w:val="00A86A67"/>
    <w:rsid w:val="00A87ACB"/>
    <w:rsid w:val="00A900D5"/>
    <w:rsid w:val="00A91DFB"/>
    <w:rsid w:val="00A922B3"/>
    <w:rsid w:val="00A94974"/>
    <w:rsid w:val="00A970F2"/>
    <w:rsid w:val="00AA169E"/>
    <w:rsid w:val="00AA42E5"/>
    <w:rsid w:val="00AA4A58"/>
    <w:rsid w:val="00AA52C2"/>
    <w:rsid w:val="00AB00BF"/>
    <w:rsid w:val="00AB4731"/>
    <w:rsid w:val="00AB488A"/>
    <w:rsid w:val="00AB5137"/>
    <w:rsid w:val="00AB5291"/>
    <w:rsid w:val="00AB5584"/>
    <w:rsid w:val="00AC158D"/>
    <w:rsid w:val="00AC435A"/>
    <w:rsid w:val="00AC57D3"/>
    <w:rsid w:val="00AD2C0B"/>
    <w:rsid w:val="00AD4357"/>
    <w:rsid w:val="00AD694D"/>
    <w:rsid w:val="00AE55B7"/>
    <w:rsid w:val="00AE68FA"/>
    <w:rsid w:val="00AE6FDF"/>
    <w:rsid w:val="00AF2C5D"/>
    <w:rsid w:val="00AF2E1A"/>
    <w:rsid w:val="00AF5AF1"/>
    <w:rsid w:val="00AF718B"/>
    <w:rsid w:val="00B01AF0"/>
    <w:rsid w:val="00B02EE1"/>
    <w:rsid w:val="00B034D4"/>
    <w:rsid w:val="00B04A09"/>
    <w:rsid w:val="00B0620F"/>
    <w:rsid w:val="00B07EAD"/>
    <w:rsid w:val="00B12AAE"/>
    <w:rsid w:val="00B23A38"/>
    <w:rsid w:val="00B26FFA"/>
    <w:rsid w:val="00B46B55"/>
    <w:rsid w:val="00B46BE5"/>
    <w:rsid w:val="00B46C91"/>
    <w:rsid w:val="00B47308"/>
    <w:rsid w:val="00B50519"/>
    <w:rsid w:val="00B54E17"/>
    <w:rsid w:val="00B55717"/>
    <w:rsid w:val="00B5690F"/>
    <w:rsid w:val="00B60222"/>
    <w:rsid w:val="00B60676"/>
    <w:rsid w:val="00B6504C"/>
    <w:rsid w:val="00B72426"/>
    <w:rsid w:val="00B727DC"/>
    <w:rsid w:val="00B72FDA"/>
    <w:rsid w:val="00B75094"/>
    <w:rsid w:val="00B7529A"/>
    <w:rsid w:val="00B756F1"/>
    <w:rsid w:val="00B772E1"/>
    <w:rsid w:val="00B82353"/>
    <w:rsid w:val="00B832D1"/>
    <w:rsid w:val="00B8407F"/>
    <w:rsid w:val="00B86396"/>
    <w:rsid w:val="00B91092"/>
    <w:rsid w:val="00B926C2"/>
    <w:rsid w:val="00BA05C9"/>
    <w:rsid w:val="00BA0C98"/>
    <w:rsid w:val="00BA3E38"/>
    <w:rsid w:val="00BA5672"/>
    <w:rsid w:val="00BA5929"/>
    <w:rsid w:val="00BA65C4"/>
    <w:rsid w:val="00BB261C"/>
    <w:rsid w:val="00BB7050"/>
    <w:rsid w:val="00BC1513"/>
    <w:rsid w:val="00BC4DE2"/>
    <w:rsid w:val="00BC7C22"/>
    <w:rsid w:val="00BD58C5"/>
    <w:rsid w:val="00BD5E3D"/>
    <w:rsid w:val="00BD76CB"/>
    <w:rsid w:val="00BD7805"/>
    <w:rsid w:val="00BE1CFA"/>
    <w:rsid w:val="00BE3FAC"/>
    <w:rsid w:val="00BF1A10"/>
    <w:rsid w:val="00BF353B"/>
    <w:rsid w:val="00BF6CC8"/>
    <w:rsid w:val="00C016C0"/>
    <w:rsid w:val="00C04194"/>
    <w:rsid w:val="00C04C5F"/>
    <w:rsid w:val="00C13630"/>
    <w:rsid w:val="00C16E22"/>
    <w:rsid w:val="00C17082"/>
    <w:rsid w:val="00C17F0F"/>
    <w:rsid w:val="00C23B01"/>
    <w:rsid w:val="00C24932"/>
    <w:rsid w:val="00C26EC0"/>
    <w:rsid w:val="00C325D1"/>
    <w:rsid w:val="00C3274A"/>
    <w:rsid w:val="00C33B38"/>
    <w:rsid w:val="00C347B0"/>
    <w:rsid w:val="00C42008"/>
    <w:rsid w:val="00C45B7C"/>
    <w:rsid w:val="00C466E1"/>
    <w:rsid w:val="00C527B5"/>
    <w:rsid w:val="00C5558E"/>
    <w:rsid w:val="00C5764A"/>
    <w:rsid w:val="00C64BFF"/>
    <w:rsid w:val="00C70F39"/>
    <w:rsid w:val="00C74F9D"/>
    <w:rsid w:val="00C82701"/>
    <w:rsid w:val="00C859EE"/>
    <w:rsid w:val="00C85E52"/>
    <w:rsid w:val="00C86BA0"/>
    <w:rsid w:val="00C87EDE"/>
    <w:rsid w:val="00C93081"/>
    <w:rsid w:val="00CA06DD"/>
    <w:rsid w:val="00CA1646"/>
    <w:rsid w:val="00CA4860"/>
    <w:rsid w:val="00CB0F56"/>
    <w:rsid w:val="00CB100E"/>
    <w:rsid w:val="00CB2CB2"/>
    <w:rsid w:val="00CB51CA"/>
    <w:rsid w:val="00CB70DD"/>
    <w:rsid w:val="00CC16C4"/>
    <w:rsid w:val="00CC7315"/>
    <w:rsid w:val="00CD0B60"/>
    <w:rsid w:val="00CD1037"/>
    <w:rsid w:val="00CD1757"/>
    <w:rsid w:val="00CD25CB"/>
    <w:rsid w:val="00CD3612"/>
    <w:rsid w:val="00CD4383"/>
    <w:rsid w:val="00CD5312"/>
    <w:rsid w:val="00CE402B"/>
    <w:rsid w:val="00CE6BB2"/>
    <w:rsid w:val="00CE74A5"/>
    <w:rsid w:val="00CF11B7"/>
    <w:rsid w:val="00CF6FD4"/>
    <w:rsid w:val="00D00E59"/>
    <w:rsid w:val="00D03C24"/>
    <w:rsid w:val="00D10F18"/>
    <w:rsid w:val="00D125C2"/>
    <w:rsid w:val="00D14EBE"/>
    <w:rsid w:val="00D159E9"/>
    <w:rsid w:val="00D178E2"/>
    <w:rsid w:val="00D17CBD"/>
    <w:rsid w:val="00D2167F"/>
    <w:rsid w:val="00D23391"/>
    <w:rsid w:val="00D2354D"/>
    <w:rsid w:val="00D24AAA"/>
    <w:rsid w:val="00D25CE6"/>
    <w:rsid w:val="00D26BDF"/>
    <w:rsid w:val="00D32257"/>
    <w:rsid w:val="00D32FA5"/>
    <w:rsid w:val="00D33E11"/>
    <w:rsid w:val="00D358A5"/>
    <w:rsid w:val="00D35E5C"/>
    <w:rsid w:val="00D44586"/>
    <w:rsid w:val="00D45A18"/>
    <w:rsid w:val="00D52461"/>
    <w:rsid w:val="00D5482E"/>
    <w:rsid w:val="00D57CE1"/>
    <w:rsid w:val="00D622B6"/>
    <w:rsid w:val="00D660BC"/>
    <w:rsid w:val="00D678EE"/>
    <w:rsid w:val="00D707D4"/>
    <w:rsid w:val="00D74226"/>
    <w:rsid w:val="00D74590"/>
    <w:rsid w:val="00D749DE"/>
    <w:rsid w:val="00D74E93"/>
    <w:rsid w:val="00D760ED"/>
    <w:rsid w:val="00D7637D"/>
    <w:rsid w:val="00D7686D"/>
    <w:rsid w:val="00D774C1"/>
    <w:rsid w:val="00D80DCB"/>
    <w:rsid w:val="00D82C5E"/>
    <w:rsid w:val="00D93365"/>
    <w:rsid w:val="00D945E1"/>
    <w:rsid w:val="00D94615"/>
    <w:rsid w:val="00DA05A4"/>
    <w:rsid w:val="00DA0A24"/>
    <w:rsid w:val="00DA0A93"/>
    <w:rsid w:val="00DA43D3"/>
    <w:rsid w:val="00DA4FA9"/>
    <w:rsid w:val="00DA56B8"/>
    <w:rsid w:val="00DA7663"/>
    <w:rsid w:val="00DA7D72"/>
    <w:rsid w:val="00DB019A"/>
    <w:rsid w:val="00DB1EB2"/>
    <w:rsid w:val="00DB4456"/>
    <w:rsid w:val="00DB7880"/>
    <w:rsid w:val="00DC2BAC"/>
    <w:rsid w:val="00DC3CB9"/>
    <w:rsid w:val="00DC730A"/>
    <w:rsid w:val="00DD12E9"/>
    <w:rsid w:val="00DD40A8"/>
    <w:rsid w:val="00DD61A0"/>
    <w:rsid w:val="00DD6586"/>
    <w:rsid w:val="00DE14CB"/>
    <w:rsid w:val="00DE44D4"/>
    <w:rsid w:val="00DF7182"/>
    <w:rsid w:val="00DF71E5"/>
    <w:rsid w:val="00E05616"/>
    <w:rsid w:val="00E11BA6"/>
    <w:rsid w:val="00E16BCB"/>
    <w:rsid w:val="00E229D3"/>
    <w:rsid w:val="00E23142"/>
    <w:rsid w:val="00E23201"/>
    <w:rsid w:val="00E271CE"/>
    <w:rsid w:val="00E33254"/>
    <w:rsid w:val="00E33CD4"/>
    <w:rsid w:val="00E358F5"/>
    <w:rsid w:val="00E35C3E"/>
    <w:rsid w:val="00E42153"/>
    <w:rsid w:val="00E46202"/>
    <w:rsid w:val="00E51AE4"/>
    <w:rsid w:val="00E520B8"/>
    <w:rsid w:val="00E529D9"/>
    <w:rsid w:val="00E622AB"/>
    <w:rsid w:val="00E62DDA"/>
    <w:rsid w:val="00E67261"/>
    <w:rsid w:val="00E677D1"/>
    <w:rsid w:val="00E70869"/>
    <w:rsid w:val="00E746AC"/>
    <w:rsid w:val="00E753AE"/>
    <w:rsid w:val="00E757F2"/>
    <w:rsid w:val="00E77D2B"/>
    <w:rsid w:val="00E82627"/>
    <w:rsid w:val="00E92007"/>
    <w:rsid w:val="00E94F8B"/>
    <w:rsid w:val="00E95517"/>
    <w:rsid w:val="00EA1C88"/>
    <w:rsid w:val="00EA28A1"/>
    <w:rsid w:val="00EA4EB6"/>
    <w:rsid w:val="00EA6096"/>
    <w:rsid w:val="00EB04F1"/>
    <w:rsid w:val="00EB1B12"/>
    <w:rsid w:val="00EB23DC"/>
    <w:rsid w:val="00EB26CF"/>
    <w:rsid w:val="00EB581D"/>
    <w:rsid w:val="00EB606E"/>
    <w:rsid w:val="00EB676D"/>
    <w:rsid w:val="00EB74D4"/>
    <w:rsid w:val="00EB7613"/>
    <w:rsid w:val="00EB76A6"/>
    <w:rsid w:val="00EC12CC"/>
    <w:rsid w:val="00EC299D"/>
    <w:rsid w:val="00EC3180"/>
    <w:rsid w:val="00EC3D7E"/>
    <w:rsid w:val="00EC4575"/>
    <w:rsid w:val="00EC6798"/>
    <w:rsid w:val="00EC7E83"/>
    <w:rsid w:val="00ED3781"/>
    <w:rsid w:val="00ED7528"/>
    <w:rsid w:val="00EE12C5"/>
    <w:rsid w:val="00EE17D0"/>
    <w:rsid w:val="00EE2DC2"/>
    <w:rsid w:val="00EE7BD3"/>
    <w:rsid w:val="00EF2BAF"/>
    <w:rsid w:val="00EF4DFC"/>
    <w:rsid w:val="00F01E3B"/>
    <w:rsid w:val="00F02314"/>
    <w:rsid w:val="00F0521F"/>
    <w:rsid w:val="00F07897"/>
    <w:rsid w:val="00F1575B"/>
    <w:rsid w:val="00F20BD2"/>
    <w:rsid w:val="00F2562D"/>
    <w:rsid w:val="00F26CE1"/>
    <w:rsid w:val="00F27BDF"/>
    <w:rsid w:val="00F32B75"/>
    <w:rsid w:val="00F35626"/>
    <w:rsid w:val="00F362D5"/>
    <w:rsid w:val="00F3792F"/>
    <w:rsid w:val="00F40E2D"/>
    <w:rsid w:val="00F41717"/>
    <w:rsid w:val="00F472DD"/>
    <w:rsid w:val="00F47951"/>
    <w:rsid w:val="00F51887"/>
    <w:rsid w:val="00F51A4B"/>
    <w:rsid w:val="00F53A0F"/>
    <w:rsid w:val="00F5580C"/>
    <w:rsid w:val="00F5643B"/>
    <w:rsid w:val="00F570AD"/>
    <w:rsid w:val="00F57CDA"/>
    <w:rsid w:val="00F6158D"/>
    <w:rsid w:val="00F65572"/>
    <w:rsid w:val="00F6620F"/>
    <w:rsid w:val="00F80BA0"/>
    <w:rsid w:val="00F8166A"/>
    <w:rsid w:val="00F81E1F"/>
    <w:rsid w:val="00F850ED"/>
    <w:rsid w:val="00F8537B"/>
    <w:rsid w:val="00F92454"/>
    <w:rsid w:val="00F92A2F"/>
    <w:rsid w:val="00F92EC2"/>
    <w:rsid w:val="00F93716"/>
    <w:rsid w:val="00F96E5A"/>
    <w:rsid w:val="00FA151C"/>
    <w:rsid w:val="00FA22AD"/>
    <w:rsid w:val="00FA2A7B"/>
    <w:rsid w:val="00FA3963"/>
    <w:rsid w:val="00FA4B59"/>
    <w:rsid w:val="00FA5394"/>
    <w:rsid w:val="00FB0AF5"/>
    <w:rsid w:val="00FB2077"/>
    <w:rsid w:val="00FB2B8A"/>
    <w:rsid w:val="00FC205D"/>
    <w:rsid w:val="00FC2367"/>
    <w:rsid w:val="00FC2728"/>
    <w:rsid w:val="00FC440B"/>
    <w:rsid w:val="00FC4CDB"/>
    <w:rsid w:val="00FC4E98"/>
    <w:rsid w:val="00FC5FFD"/>
    <w:rsid w:val="00FC7107"/>
    <w:rsid w:val="00FD12E9"/>
    <w:rsid w:val="00FD30D9"/>
    <w:rsid w:val="00FD36A2"/>
    <w:rsid w:val="00FD6083"/>
    <w:rsid w:val="00FD73BD"/>
    <w:rsid w:val="00FD767F"/>
    <w:rsid w:val="00FE013C"/>
    <w:rsid w:val="00FE193F"/>
    <w:rsid w:val="00FE1ADB"/>
    <w:rsid w:val="00FE22A7"/>
    <w:rsid w:val="00FE690F"/>
    <w:rsid w:val="00FE7003"/>
    <w:rsid w:val="00FF0642"/>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E02548E-DCD3-4307-8699-FA94CC258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eastAsia="en-US"/>
    </w:rPr>
  </w:style>
  <w:style w:type="paragraph" w:styleId="Heading1">
    <w:name w:val="heading 1"/>
    <w:basedOn w:val="Normal"/>
    <w:next w:val="Normal"/>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qFormat/>
    <w:rsid w:val="001D25D9"/>
    <w:pPr>
      <w:keepNext/>
      <w:tabs>
        <w:tab w:val="num" w:pos="1008"/>
      </w:tabs>
      <w:ind w:left="1008" w:hanging="1008"/>
      <w:outlineLvl w:val="4"/>
    </w:pPr>
    <w:rPr>
      <w:b/>
      <w:sz w:val="24"/>
      <w:lang w:val="en-GB"/>
    </w:rPr>
  </w:style>
  <w:style w:type="paragraph" w:styleId="Heading6">
    <w:name w:val="heading 6"/>
    <w:basedOn w:val="Normal"/>
    <w:next w:val="Normal"/>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32257"/>
    <w:rPr>
      <w:rFonts w:ascii="Arial" w:hAnsi="Arial" w:cs="Arial"/>
      <w:b/>
      <w:bCs/>
      <w:i/>
      <w:iCs/>
      <w:sz w:val="28"/>
      <w:szCs w:val="28"/>
      <w:lang w:val="en-US"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32257"/>
    <w:rPr>
      <w:lang w:val="en-US" w:eastAsia="en-US" w:bidi="ar-SA"/>
    </w:r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qFormat/>
    <w:rsid w:val="00000F40"/>
    <w:rPr>
      <w:rFonts w:ascii="Arial" w:hAnsi="Arial"/>
      <w:sz w:val="22"/>
      <w:szCs w:val="22"/>
      <w:lang w:val="en-US" w:eastAsia="en-US"/>
    </w:rPr>
  </w:style>
  <w:style w:type="character" w:styleId="Emphasis">
    <w:name w:val="Emphasis"/>
    <w:qFormat/>
    <w:rsid w:val="00D32257"/>
    <w:rPr>
      <w:b/>
      <w:bCs/>
      <w:i w:val="0"/>
      <w:iCs w:val="0"/>
    </w:rPr>
  </w:style>
  <w:style w:type="paragraph" w:customStyle="1" w:styleId="Default">
    <w:name w:val="Default"/>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rsid w:val="004C4CA2"/>
    <w:pPr>
      <w:tabs>
        <w:tab w:val="left" w:pos="284"/>
      </w:tabs>
      <w:jc w:val="both"/>
    </w:pPr>
    <w:rPr>
      <w:rFonts w:ascii="Tahoma" w:hAnsi="Tahoma" w:cs="Tahoma"/>
      <w:sz w:val="16"/>
      <w:szCs w:val="16"/>
    </w:rPr>
  </w:style>
  <w:style w:type="character" w:customStyle="1" w:styleId="BalloonTextChar">
    <w:name w:val="Balloon Text Char"/>
    <w:link w:val="BalloonText"/>
    <w:rsid w:val="004C4CA2"/>
    <w:rPr>
      <w:rFonts w:ascii="Tahoma" w:hAnsi="Tahoma" w:cs="Tahoma"/>
      <w:sz w:val="16"/>
      <w:szCs w:val="16"/>
      <w:lang w:val="en-US" w:eastAsia="en-US" w:bidi="ar-SA"/>
    </w:rPr>
  </w:style>
  <w:style w:type="character" w:customStyle="1" w:styleId="CharChar4">
    <w:name w:val="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lang w:val="en-US" w:eastAsia="en-US"/>
    </w:rPr>
  </w:style>
  <w:style w:type="character" w:customStyle="1" w:styleId="st1">
    <w:name w:val="st1"/>
    <w:basedOn w:val="DefaultParagraphFont"/>
    <w:rsid w:val="00724FAA"/>
  </w:style>
  <w:style w:type="character" w:customStyle="1" w:styleId="CharCharChar">
    <w:name w:val="Char Char Char"/>
    <w:rsid w:val="00EE12C5"/>
    <w:rPr>
      <w:rFonts w:ascii="Humanist777" w:hAnsi="Humanist777"/>
      <w:sz w:val="24"/>
      <w:szCs w:val="24"/>
      <w:lang w:val="en-US" w:eastAsia="en-US" w:bidi="ar-SA"/>
    </w:rPr>
  </w:style>
  <w:style w:type="character" w:customStyle="1" w:styleId="CharCharCharCharCharCharChar">
    <w:name w:val="Char Char Char Char Char Char Char"/>
    <w:aliases w:val=" Char Char1 Char Char Char Char, Char Char Char Char Char, Char Char1 Char Char"/>
    <w:rsid w:val="00D2167F"/>
    <w:rPr>
      <w:rFonts w:ascii="Humanist777" w:hAnsi="Humanist777"/>
      <w:sz w:val="24"/>
      <w:szCs w:val="24"/>
      <w:lang w:val="en-US" w:eastAsia="en-US" w:bidi="ar-SA"/>
    </w:rPr>
  </w:style>
  <w:style w:type="character" w:customStyle="1" w:styleId="CharCharChar1">
    <w:name w:val="Char Char Char1"/>
    <w:rsid w:val="00D2167F"/>
    <w:rPr>
      <w:rFonts w:ascii="Humanist777" w:hAnsi="Humanist777"/>
      <w:sz w:val="24"/>
      <w:szCs w:val="24"/>
      <w:lang w:val="en-US" w:eastAsia="en-US" w:bidi="ar-SA"/>
    </w:rPr>
  </w:style>
  <w:style w:type="paragraph" w:customStyle="1" w:styleId="Style">
    <w:name w:val="Style"/>
    <w:rsid w:val="001750FF"/>
    <w:pPr>
      <w:widowControl w:val="0"/>
      <w:autoSpaceDE w:val="0"/>
      <w:autoSpaceDN w:val="0"/>
      <w:adjustRightInd w:val="0"/>
    </w:pPr>
    <w:rPr>
      <w:sz w:val="24"/>
      <w:szCs w:val="24"/>
      <w:lang w:val="en-US" w:eastAsia="en-US"/>
    </w:rPr>
  </w:style>
  <w:style w:type="paragraph" w:customStyle="1" w:styleId="Bullet0dKT">
    <w:name w:val="Bullet:0:d:KT"/>
    <w:basedOn w:val="Normal"/>
    <w:rsid w:val="001750FF"/>
    <w:pPr>
      <w:keepNext/>
      <w:keepLines/>
      <w:numPr>
        <w:numId w:val="1"/>
      </w:numPr>
      <w:spacing w:before="40" w:after="220"/>
      <w:ind w:left="357" w:hanging="357"/>
    </w:pPr>
    <w:rPr>
      <w:rFonts w:ascii="Helvetica" w:hAnsi="Helvetica"/>
      <w:sz w:val="22"/>
      <w:lang w:eastAsia="de-DE"/>
    </w:rPr>
  </w:style>
  <w:style w:type="paragraph" w:customStyle="1" w:styleId="Text">
    <w:name w:val="Text"/>
    <w:basedOn w:val="Normal"/>
    <w:rsid w:val="007E1051"/>
    <w:pPr>
      <w:spacing w:before="14" w:after="144" w:line="300" w:lineRule="atLeast"/>
      <w:ind w:left="720" w:right="360" w:hanging="720"/>
    </w:pPr>
    <w:rPr>
      <w:color w:val="000000"/>
      <w:sz w:val="24"/>
      <w:lang w:val="en-GB"/>
    </w:rPr>
  </w:style>
  <w:style w:type="character" w:customStyle="1" w:styleId="apple-converted-space">
    <w:name w:val="apple-converted-space"/>
    <w:basedOn w:val="DefaultParagraphFont"/>
    <w:rsid w:val="00DA56B8"/>
  </w:style>
  <w:style w:type="numbering" w:styleId="111111">
    <w:name w:val="Outline List 2"/>
    <w:basedOn w:val="NoList"/>
    <w:rsid w:val="00825D08"/>
    <w:pPr>
      <w:numPr>
        <w:numId w:val="2"/>
      </w:numPr>
    </w:pPr>
  </w:style>
  <w:style w:type="character" w:styleId="CommentReference">
    <w:name w:val="annotation reference"/>
    <w:rsid w:val="00825D08"/>
    <w:rPr>
      <w:sz w:val="16"/>
      <w:szCs w:val="16"/>
    </w:rPr>
  </w:style>
  <w:style w:type="paragraph" w:styleId="CommentText">
    <w:name w:val="annotation text"/>
    <w:basedOn w:val="Normal"/>
    <w:link w:val="CommentTextChar"/>
    <w:rsid w:val="00825D08"/>
  </w:style>
  <w:style w:type="character" w:customStyle="1" w:styleId="CommentTextChar">
    <w:name w:val="Comment Text Char"/>
    <w:link w:val="CommentText"/>
    <w:rsid w:val="00825D08"/>
    <w:rPr>
      <w:lang w:val="en-US" w:eastAsia="en-US"/>
    </w:rPr>
  </w:style>
  <w:style w:type="paragraph" w:styleId="CommentSubject">
    <w:name w:val="annotation subject"/>
    <w:basedOn w:val="CommentText"/>
    <w:next w:val="CommentText"/>
    <w:link w:val="CommentSubjectChar"/>
    <w:rsid w:val="00825D08"/>
    <w:rPr>
      <w:b/>
      <w:bCs/>
    </w:rPr>
  </w:style>
  <w:style w:type="character" w:customStyle="1" w:styleId="CommentSubjectChar">
    <w:name w:val="Comment Subject Char"/>
    <w:link w:val="CommentSubject"/>
    <w:rsid w:val="00825D08"/>
    <w:rPr>
      <w:b/>
      <w:bCs/>
      <w:lang w:val="en-US" w:eastAsia="en-US"/>
    </w:rPr>
  </w:style>
  <w:style w:type="paragraph" w:customStyle="1" w:styleId="ammcorpstexte">
    <w:name w:val="ammcorpstexte"/>
    <w:basedOn w:val="Normal"/>
    <w:rsid w:val="00825D08"/>
    <w:rPr>
      <w:rFonts w:ascii="Arial" w:hAnsi="Arial" w:cs="Arial"/>
      <w:color w:val="000000"/>
      <w:sz w:val="24"/>
      <w:szCs w:val="24"/>
      <w:lang w:val="hr-HR" w:eastAsia="fr-FR"/>
    </w:rPr>
  </w:style>
  <w:style w:type="paragraph" w:styleId="DocumentMap">
    <w:name w:val="Document Map"/>
    <w:basedOn w:val="Normal"/>
    <w:link w:val="DocumentMapChar"/>
    <w:rsid w:val="00900028"/>
    <w:pPr>
      <w:shd w:val="clear" w:color="auto" w:fill="000080"/>
    </w:pPr>
    <w:rPr>
      <w:rFonts w:ascii="Tahoma" w:hAnsi="Tahoma" w:cs="Tahoma"/>
    </w:rPr>
  </w:style>
  <w:style w:type="character" w:customStyle="1" w:styleId="DocumentMapChar">
    <w:name w:val="Document Map Char"/>
    <w:link w:val="DocumentMap"/>
    <w:rsid w:val="00900028"/>
    <w:rPr>
      <w:rFonts w:ascii="Tahoma" w:hAnsi="Tahoma" w:cs="Tahoma"/>
      <w:shd w:val="clear" w:color="auto" w:fill="000080"/>
      <w:lang w:eastAsia="en-US"/>
    </w:rPr>
  </w:style>
  <w:style w:type="paragraph" w:customStyle="1" w:styleId="Blok">
    <w:name w:val="Blok"/>
    <w:basedOn w:val="Normal"/>
    <w:rsid w:val="00900028"/>
    <w:pPr>
      <w:keepNext/>
      <w:tabs>
        <w:tab w:val="left" w:pos="1276"/>
      </w:tabs>
      <w:spacing w:after="240" w:line="360" w:lineRule="atLeast"/>
      <w:jc w:val="both"/>
    </w:pPr>
    <w:rPr>
      <w:rFonts w:ascii="Dutch" w:hAnsi="Dutch"/>
      <w:sz w:val="24"/>
    </w:rPr>
  </w:style>
  <w:style w:type="paragraph" w:customStyle="1" w:styleId="Regular">
    <w:name w:val="Regular"/>
    <w:basedOn w:val="Normal"/>
    <w:link w:val="RegularChar"/>
    <w:rsid w:val="00900028"/>
    <w:pPr>
      <w:jc w:val="both"/>
    </w:pPr>
    <w:rPr>
      <w:b/>
      <w:sz w:val="24"/>
      <w:szCs w:val="24"/>
      <w:lang w:val="sr-Latn-CS"/>
    </w:rPr>
  </w:style>
  <w:style w:type="character" w:customStyle="1" w:styleId="RegularChar">
    <w:name w:val="Regular Char"/>
    <w:link w:val="Regular"/>
    <w:rsid w:val="00900028"/>
    <w:rPr>
      <w:b/>
      <w:sz w:val="24"/>
      <w:szCs w:val="24"/>
      <w:lang w:val="sr-Latn-CS" w:eastAsia="en-US"/>
    </w:rPr>
  </w:style>
  <w:style w:type="character" w:customStyle="1" w:styleId="a">
    <w:name w:val="_"/>
    <w:rsid w:val="002A25F6"/>
    <w:rPr>
      <w:noProof w:val="0"/>
      <w:lang w:val="x-none"/>
    </w:rPr>
  </w:style>
  <w:style w:type="character" w:customStyle="1" w:styleId="FooterChar">
    <w:name w:val="Footer Char"/>
    <w:link w:val="Footer"/>
    <w:rsid w:val="00756FDD"/>
    <w:rPr>
      <w:lang w:eastAsia="en-US"/>
    </w:rPr>
  </w:style>
  <w:style w:type="character" w:styleId="Hyperlink">
    <w:name w:val="Hyperlink"/>
    <w:rsid w:val="00471E3E"/>
    <w:rPr>
      <w:color w:val="0000FF"/>
      <w:u w:val="single"/>
    </w:rPr>
  </w:style>
  <w:style w:type="paragraph" w:styleId="List">
    <w:name w:val="List"/>
    <w:basedOn w:val="Normal"/>
    <w:rsid w:val="00437280"/>
    <w:pPr>
      <w:ind w:left="283" w:hanging="283"/>
      <w:contextualSpacing/>
    </w:pPr>
  </w:style>
  <w:style w:type="paragraph" w:customStyle="1" w:styleId="Listepuces2">
    <w:name w:val="Liste à puces2"/>
    <w:basedOn w:val="Normal"/>
    <w:rsid w:val="00437280"/>
    <w:pPr>
      <w:keepLines/>
      <w:tabs>
        <w:tab w:val="num" w:pos="360"/>
      </w:tabs>
      <w:spacing w:before="240" w:line="280" w:lineRule="exact"/>
      <w:ind w:left="360" w:hanging="360"/>
      <w:jc w:val="both"/>
    </w:pPr>
    <w:rPr>
      <w:rFonts w:ascii="Arial" w:hAnsi="Arial"/>
      <w:sz w:val="22"/>
      <w:lang w:val="fr-FR"/>
    </w:rPr>
  </w:style>
  <w:style w:type="paragraph" w:customStyle="1" w:styleId="ABold">
    <w:name w:val="A_Bold"/>
    <w:basedOn w:val="BodyText"/>
    <w:next w:val="BodyText"/>
    <w:rsid w:val="00437280"/>
    <w:pPr>
      <w:spacing w:before="240" w:after="0"/>
      <w:jc w:val="both"/>
    </w:pPr>
    <w:rPr>
      <w:b/>
      <w:sz w:val="24"/>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712736137">
      <w:bodyDiv w:val="1"/>
      <w:marLeft w:val="0"/>
      <w:marRight w:val="0"/>
      <w:marTop w:val="0"/>
      <w:marBottom w:val="0"/>
      <w:divBdr>
        <w:top w:val="none" w:sz="0" w:space="0" w:color="auto"/>
        <w:left w:val="none" w:sz="0" w:space="0" w:color="auto"/>
        <w:bottom w:val="none" w:sz="0" w:space="0" w:color="auto"/>
        <w:right w:val="none" w:sz="0" w:space="0" w:color="auto"/>
      </w:divBdr>
    </w:div>
    <w:div w:id="1023556366">
      <w:bodyDiv w:val="1"/>
      <w:marLeft w:val="0"/>
      <w:marRight w:val="0"/>
      <w:marTop w:val="0"/>
      <w:marBottom w:val="0"/>
      <w:divBdr>
        <w:top w:val="none" w:sz="0" w:space="0" w:color="auto"/>
        <w:left w:val="none" w:sz="0" w:space="0" w:color="auto"/>
        <w:bottom w:val="none" w:sz="0" w:space="0" w:color="auto"/>
        <w:right w:val="none" w:sz="0" w:space="0" w:color="auto"/>
      </w:divBdr>
    </w:div>
    <w:div w:id="1203129038">
      <w:bodyDiv w:val="1"/>
      <w:marLeft w:val="0"/>
      <w:marRight w:val="0"/>
      <w:marTop w:val="0"/>
      <w:marBottom w:val="0"/>
      <w:divBdr>
        <w:top w:val="none" w:sz="0" w:space="0" w:color="auto"/>
        <w:left w:val="none" w:sz="0" w:space="0" w:color="auto"/>
        <w:bottom w:val="none" w:sz="0" w:space="0" w:color="auto"/>
        <w:right w:val="none" w:sz="0" w:space="0" w:color="auto"/>
      </w:divBdr>
    </w:div>
    <w:div w:id="128715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alims.me"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alims.m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6130</Words>
  <Characters>34942</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40991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Gordana Boljević</cp:lastModifiedBy>
  <cp:revision>4</cp:revision>
  <cp:lastPrinted>2012-05-18T12:57:00Z</cp:lastPrinted>
  <dcterms:created xsi:type="dcterms:W3CDTF">2018-01-24T06:44:00Z</dcterms:created>
  <dcterms:modified xsi:type="dcterms:W3CDTF">2018-01-24T08:52:00Z</dcterms:modified>
</cp:coreProperties>
</file>