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7C" w:rsidRPr="0065067C" w:rsidRDefault="0065067C" w:rsidP="0065067C">
      <w:pPr>
        <w:tabs>
          <w:tab w:val="left" w:pos="360"/>
        </w:tabs>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65067C" w:rsidRPr="0065067C" w:rsidTr="0091433F">
        <w:tblPrEx>
          <w:tblCellMar>
            <w:top w:w="0" w:type="dxa"/>
            <w:bottom w:w="0" w:type="dxa"/>
          </w:tblCellMar>
        </w:tblPrEx>
        <w:trPr>
          <w:trHeight w:val="530"/>
          <w:jc w:val="center"/>
        </w:trPr>
        <w:tc>
          <w:tcPr>
            <w:tcW w:w="9360" w:type="dxa"/>
            <w:gridSpan w:val="2"/>
            <w:vAlign w:val="center"/>
          </w:tcPr>
          <w:p w:rsidR="0065067C" w:rsidRPr="0065067C" w:rsidRDefault="0065067C" w:rsidP="0065067C">
            <w:pPr>
              <w:spacing w:after="0" w:line="240" w:lineRule="auto"/>
              <w:jc w:val="center"/>
              <w:rPr>
                <w:rFonts w:ascii="Times New Roman" w:eastAsia="Times New Roman" w:hAnsi="Times New Roman" w:cs="Times New Roman"/>
                <w:b/>
                <w:bCs/>
                <w:iCs/>
                <w:u w:val="single"/>
                <w:lang w:val="sr-Latn-ME"/>
              </w:rPr>
            </w:pPr>
            <w:r w:rsidRPr="0065067C">
              <w:rPr>
                <w:rFonts w:ascii="Times New Roman" w:eastAsia="Times New Roman" w:hAnsi="Times New Roman" w:cs="Times New Roman"/>
                <w:b/>
                <w:bCs/>
                <w:iCs/>
                <w:u w:val="single"/>
                <w:lang w:val="sr-Latn-ME"/>
              </w:rPr>
              <w:t>SAŽETAK KARAKTERISTIKA LIJEKA</w:t>
            </w:r>
          </w:p>
        </w:tc>
      </w:tr>
      <w:tr w:rsidR="0065067C" w:rsidRPr="0065067C" w:rsidTr="0091433F">
        <w:tblPrEx>
          <w:tblCellMar>
            <w:top w:w="0" w:type="dxa"/>
            <w:bottom w:w="0" w:type="dxa"/>
          </w:tblCellMar>
        </w:tblPrEx>
        <w:trPr>
          <w:trHeight w:val="1969"/>
          <w:jc w:val="center"/>
        </w:trPr>
        <w:tc>
          <w:tcPr>
            <w:tcW w:w="9360" w:type="dxa"/>
            <w:gridSpan w:val="2"/>
            <w:vAlign w:val="bottom"/>
          </w:tcPr>
          <w:p w:rsidR="0065067C" w:rsidRPr="0065067C" w:rsidRDefault="0065067C" w:rsidP="0065067C">
            <w:pPr>
              <w:spacing w:after="40" w:line="240" w:lineRule="auto"/>
              <w:jc w:val="center"/>
              <w:rPr>
                <w:rFonts w:ascii="Times New Roman" w:eastAsia="Times New Roman" w:hAnsi="Times New Roman" w:cs="Times New Roman"/>
                <w:b/>
                <w:bCs/>
                <w:u w:val="single"/>
                <w:lang w:val="sr-Latn-ME"/>
              </w:rPr>
            </w:pPr>
            <w:bookmarkStart w:id="0" w:name="OLE_LINK1"/>
            <w:bookmarkStart w:id="1" w:name="OLE_LINK2"/>
            <w:bookmarkStart w:id="2" w:name="OLE_LINK3"/>
            <w:r w:rsidRPr="0065067C">
              <w:rPr>
                <w:rFonts w:ascii="Times New Roman" w:eastAsia="Times New Roman" w:hAnsi="Times New Roman" w:cs="Times New Roman"/>
                <w:b/>
                <w:bCs/>
                <w:u w:val="single"/>
                <w:lang w:val="sr-Latn-ME"/>
              </w:rPr>
              <w:t>Rinofluimucil</w:t>
            </w:r>
            <w:r w:rsidRPr="0065067C">
              <w:rPr>
                <w:rFonts w:ascii="Times New Roman" w:eastAsia="Times New Roman" w:hAnsi="Times New Roman" w:cs="Times New Roman"/>
                <w:b/>
                <w:bCs/>
                <w:u w:val="single"/>
                <w:vertAlign w:val="superscript"/>
                <w:lang w:val="sr-Latn-ME"/>
              </w:rPr>
              <w:t>®</w:t>
            </w:r>
            <w:r w:rsidRPr="0065067C">
              <w:rPr>
                <w:rFonts w:ascii="Times New Roman" w:eastAsia="Times New Roman" w:hAnsi="Times New Roman" w:cs="Times New Roman"/>
                <w:b/>
                <w:bCs/>
                <w:u w:val="single"/>
                <w:lang w:val="sr-Latn-ME"/>
              </w:rPr>
              <w:t xml:space="preserve">, sprej za nos, rastvor, 1% + 0,5% </w:t>
            </w:r>
          </w:p>
          <w:p w:rsidR="0065067C" w:rsidRPr="0065067C" w:rsidRDefault="0065067C" w:rsidP="0065067C">
            <w:pPr>
              <w:spacing w:after="40" w:line="240" w:lineRule="auto"/>
              <w:jc w:val="center"/>
              <w:rPr>
                <w:rFonts w:ascii="Times New Roman" w:eastAsia="Times New Roman" w:hAnsi="Times New Roman" w:cs="Times New Roman"/>
                <w:b/>
                <w:bCs/>
                <w:u w:val="single"/>
                <w:lang w:val="sr-Latn-ME"/>
              </w:rPr>
            </w:pPr>
            <w:r w:rsidRPr="0065067C">
              <w:rPr>
                <w:rFonts w:ascii="Times New Roman" w:eastAsia="Times New Roman" w:hAnsi="Times New Roman" w:cs="Times New Roman"/>
                <w:b/>
                <w:bCs/>
                <w:u w:val="single"/>
                <w:lang w:val="sr-Latn-ME"/>
              </w:rPr>
              <w:t>bočica, staklena, 1 x 10 ml</w:t>
            </w:r>
            <w:bookmarkEnd w:id="0"/>
            <w:bookmarkEnd w:id="1"/>
            <w:bookmarkEnd w:id="2"/>
          </w:p>
        </w:tc>
      </w:tr>
      <w:tr w:rsidR="0065067C" w:rsidRPr="0065067C" w:rsidTr="0091433F">
        <w:tblPrEx>
          <w:tblCellMar>
            <w:top w:w="0" w:type="dxa"/>
            <w:bottom w:w="0" w:type="dxa"/>
          </w:tblCellMar>
        </w:tblPrEx>
        <w:trPr>
          <w:trHeight w:val="1225"/>
          <w:jc w:val="center"/>
        </w:trPr>
        <w:tc>
          <w:tcPr>
            <w:tcW w:w="9360" w:type="dxa"/>
            <w:gridSpan w:val="2"/>
          </w:tcPr>
          <w:p w:rsidR="0065067C" w:rsidRPr="0065067C" w:rsidRDefault="0065067C" w:rsidP="0065067C">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65067C" w:rsidRPr="0065067C" w:rsidTr="0091433F">
        <w:tblPrEx>
          <w:tblCellMar>
            <w:top w:w="0" w:type="dxa"/>
            <w:bottom w:w="0" w:type="dxa"/>
          </w:tblCellMar>
        </w:tblPrEx>
        <w:trPr>
          <w:jc w:val="center"/>
        </w:trPr>
        <w:tc>
          <w:tcPr>
            <w:tcW w:w="2160" w:type="dxa"/>
            <w:vAlign w:val="bottom"/>
          </w:tcPr>
          <w:p w:rsidR="0065067C" w:rsidRPr="0065067C" w:rsidRDefault="0065067C" w:rsidP="0065067C">
            <w:pPr>
              <w:spacing w:before="200" w:after="0" w:line="240" w:lineRule="auto"/>
              <w:jc w:val="right"/>
              <w:rPr>
                <w:rFonts w:ascii="Times New Roman" w:eastAsia="Times New Roman" w:hAnsi="Times New Roman" w:cs="Times New Roman"/>
                <w:lang w:val="sr-Latn-ME"/>
              </w:rPr>
            </w:pPr>
            <w:bookmarkStart w:id="3" w:name="_Hlk503488499"/>
            <w:r w:rsidRPr="0065067C">
              <w:rPr>
                <w:rFonts w:ascii="Times New Roman" w:eastAsia="Times New Roman" w:hAnsi="Times New Roman" w:cs="Times New Roman"/>
                <w:lang w:val="sr-Latn-ME"/>
              </w:rPr>
              <w:t>Proizvođač:</w:t>
            </w:r>
          </w:p>
        </w:tc>
        <w:tc>
          <w:tcPr>
            <w:tcW w:w="7200" w:type="dxa"/>
            <w:vAlign w:val="bottom"/>
          </w:tcPr>
          <w:p w:rsidR="0065067C" w:rsidRPr="0065067C" w:rsidRDefault="0065067C" w:rsidP="0065067C">
            <w:pPr>
              <w:spacing w:after="0" w:line="240" w:lineRule="auto"/>
              <w:ind w:left="72" w:hanging="72"/>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Zambon S.p.A.</w:t>
            </w:r>
          </w:p>
        </w:tc>
      </w:tr>
      <w:tr w:rsidR="0065067C" w:rsidRPr="0065067C" w:rsidTr="0091433F">
        <w:tblPrEx>
          <w:tblCellMar>
            <w:top w:w="0" w:type="dxa"/>
            <w:bottom w:w="0" w:type="dxa"/>
          </w:tblCellMar>
        </w:tblPrEx>
        <w:trPr>
          <w:jc w:val="center"/>
        </w:trPr>
        <w:tc>
          <w:tcPr>
            <w:tcW w:w="2160" w:type="dxa"/>
            <w:vAlign w:val="bottom"/>
          </w:tcPr>
          <w:p w:rsidR="0065067C" w:rsidRPr="0065067C" w:rsidRDefault="0065067C" w:rsidP="0065067C">
            <w:pPr>
              <w:spacing w:before="200" w:after="0" w:line="240" w:lineRule="auto"/>
              <w:jc w:val="right"/>
              <w:rPr>
                <w:rFonts w:ascii="Times New Roman" w:eastAsia="Times New Roman" w:hAnsi="Times New Roman" w:cs="Times New Roman"/>
                <w:lang w:val="sr-Latn-ME"/>
              </w:rPr>
            </w:pPr>
            <w:r w:rsidRPr="0065067C">
              <w:rPr>
                <w:rFonts w:ascii="Times New Roman" w:eastAsia="Times New Roman" w:hAnsi="Times New Roman" w:cs="Times New Roman"/>
                <w:lang w:val="sr-Latn-ME"/>
              </w:rPr>
              <w:t>Adresa:</w:t>
            </w:r>
          </w:p>
        </w:tc>
        <w:tc>
          <w:tcPr>
            <w:tcW w:w="7200" w:type="dxa"/>
            <w:vAlign w:val="bottom"/>
          </w:tcPr>
          <w:p w:rsidR="0065067C" w:rsidRPr="0065067C" w:rsidRDefault="0065067C" w:rsidP="0065067C">
            <w:pPr>
              <w:spacing w:after="0" w:line="240" w:lineRule="auto"/>
              <w:ind w:left="72" w:hanging="72"/>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Via Della Chimica, 9, 36100 Vicenza (VI), Italija</w:t>
            </w:r>
          </w:p>
        </w:tc>
      </w:tr>
      <w:tr w:rsidR="0065067C" w:rsidRPr="0065067C" w:rsidTr="0091433F">
        <w:tblPrEx>
          <w:tblCellMar>
            <w:top w:w="0" w:type="dxa"/>
            <w:bottom w:w="0" w:type="dxa"/>
          </w:tblCellMar>
        </w:tblPrEx>
        <w:trPr>
          <w:jc w:val="center"/>
        </w:trPr>
        <w:tc>
          <w:tcPr>
            <w:tcW w:w="2160" w:type="dxa"/>
            <w:vAlign w:val="bottom"/>
          </w:tcPr>
          <w:p w:rsidR="0065067C" w:rsidRPr="0065067C" w:rsidRDefault="0065067C" w:rsidP="0065067C">
            <w:pPr>
              <w:spacing w:before="200" w:after="0" w:line="240" w:lineRule="auto"/>
              <w:jc w:val="right"/>
              <w:rPr>
                <w:rFonts w:ascii="Times New Roman" w:eastAsia="Times New Roman" w:hAnsi="Times New Roman" w:cs="Times New Roman"/>
                <w:lang w:val="sr-Latn-ME"/>
              </w:rPr>
            </w:pPr>
            <w:r w:rsidRPr="0065067C">
              <w:rPr>
                <w:rFonts w:ascii="Times New Roman" w:eastAsia="Times New Roman" w:hAnsi="Times New Roman" w:cs="Times New Roman"/>
                <w:lang w:val="sr-Latn-ME"/>
              </w:rPr>
              <w:t>Podnosilac zahtjeva:</w:t>
            </w:r>
          </w:p>
        </w:tc>
        <w:tc>
          <w:tcPr>
            <w:tcW w:w="7200" w:type="dxa"/>
            <w:vAlign w:val="bottom"/>
          </w:tcPr>
          <w:p w:rsidR="0065067C" w:rsidRPr="0065067C" w:rsidRDefault="0065067C" w:rsidP="0065067C">
            <w:pPr>
              <w:spacing w:before="200" w:after="0" w:line="240" w:lineRule="auto"/>
              <w:ind w:left="72" w:hanging="72"/>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Farmont M.P. d.o.o.</w:t>
            </w:r>
          </w:p>
        </w:tc>
      </w:tr>
      <w:tr w:rsidR="0065067C" w:rsidRPr="0065067C" w:rsidTr="0091433F">
        <w:tblPrEx>
          <w:tblCellMar>
            <w:top w:w="0" w:type="dxa"/>
            <w:bottom w:w="0" w:type="dxa"/>
          </w:tblCellMar>
        </w:tblPrEx>
        <w:trPr>
          <w:jc w:val="center"/>
        </w:trPr>
        <w:tc>
          <w:tcPr>
            <w:tcW w:w="2160" w:type="dxa"/>
            <w:vAlign w:val="bottom"/>
          </w:tcPr>
          <w:p w:rsidR="0065067C" w:rsidRPr="0065067C" w:rsidRDefault="0065067C" w:rsidP="0065067C">
            <w:pPr>
              <w:spacing w:before="200" w:after="0" w:line="240" w:lineRule="auto"/>
              <w:jc w:val="right"/>
              <w:rPr>
                <w:rFonts w:ascii="Times New Roman" w:eastAsia="Times New Roman" w:hAnsi="Times New Roman" w:cs="Times New Roman"/>
                <w:lang w:val="sr-Latn-ME"/>
              </w:rPr>
            </w:pPr>
            <w:r w:rsidRPr="0065067C">
              <w:rPr>
                <w:rFonts w:ascii="Times New Roman" w:eastAsia="Times New Roman" w:hAnsi="Times New Roman" w:cs="Times New Roman"/>
                <w:lang w:val="sr-Latn-ME"/>
              </w:rPr>
              <w:t>Adresa:</w:t>
            </w:r>
          </w:p>
        </w:tc>
        <w:tc>
          <w:tcPr>
            <w:tcW w:w="7200" w:type="dxa"/>
            <w:vAlign w:val="bottom"/>
          </w:tcPr>
          <w:p w:rsidR="0065067C" w:rsidRPr="0065067C" w:rsidRDefault="0065067C" w:rsidP="0065067C">
            <w:pPr>
              <w:spacing w:before="200" w:after="0" w:line="240" w:lineRule="auto"/>
              <w:ind w:left="72" w:hanging="72"/>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Kosić, Stari put bb, Danilovgrad, Crna Gora</w:t>
            </w:r>
          </w:p>
        </w:tc>
      </w:tr>
      <w:bookmarkEnd w:id="3"/>
    </w:tbl>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b/>
          <w:bCs/>
          <w:i/>
          <w:iCs/>
          <w:u w:val="single"/>
          <w:lang w:val="sr-Latn-ME"/>
        </w:rPr>
      </w:pPr>
    </w:p>
    <w:p w:rsidR="0065067C" w:rsidRPr="0065067C" w:rsidRDefault="0065067C" w:rsidP="0065067C">
      <w:pPr>
        <w:spacing w:after="0" w:line="240" w:lineRule="auto"/>
        <w:rPr>
          <w:rFonts w:ascii="Times New Roman" w:eastAsia="Times New Roman" w:hAnsi="Times New Roman" w:cs="Times New Roman"/>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i/>
          <w:color w:val="808080"/>
          <w:lang w:val="sr-Latn-ME"/>
        </w:rPr>
      </w:pPr>
    </w:p>
    <w:p w:rsidR="0065067C" w:rsidRPr="0065067C" w:rsidRDefault="0065067C" w:rsidP="0065067C">
      <w:pPr>
        <w:spacing w:after="0" w:line="240" w:lineRule="auto"/>
        <w:rPr>
          <w:rFonts w:ascii="Times New Roman" w:eastAsia="Times New Roman" w:hAnsi="Times New Roman" w:cs="Times New Roman"/>
          <w:color w:val="808080"/>
          <w:lang w:val="sr-Latn-ME"/>
        </w:rPr>
      </w:pPr>
    </w:p>
    <w:p w:rsidR="0065067C" w:rsidRPr="0065067C" w:rsidRDefault="0065067C" w:rsidP="0065067C">
      <w:pPr>
        <w:spacing w:after="0" w:line="240" w:lineRule="auto"/>
        <w:rPr>
          <w:rFonts w:ascii="Times New Roman" w:eastAsia="Times New Roman" w:hAnsi="Times New Roman" w:cs="Times New Roman"/>
          <w:lang w:val="sr-Latn-ME"/>
        </w:rPr>
      </w:pPr>
    </w:p>
    <w:p w:rsidR="0065067C" w:rsidRPr="0065067C" w:rsidRDefault="0065067C" w:rsidP="0065067C">
      <w:pPr>
        <w:tabs>
          <w:tab w:val="left" w:pos="540"/>
          <w:tab w:val="left" w:pos="569"/>
        </w:tabs>
        <w:spacing w:after="0" w:line="240" w:lineRule="auto"/>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lastRenderedPageBreak/>
        <w:t>1.</w:t>
      </w:r>
      <w:r w:rsidRPr="0065067C">
        <w:rPr>
          <w:rFonts w:ascii="Times New Roman" w:eastAsia="Times New Roman" w:hAnsi="Times New Roman" w:cs="Times New Roman"/>
          <w:b/>
          <w:bCs/>
          <w:lang w:val="sr-Latn-ME"/>
        </w:rPr>
        <w:tab/>
        <w:t>NAZIV LIJEKA</w:t>
      </w:r>
    </w:p>
    <w:p w:rsidR="0065067C" w:rsidRPr="0065067C" w:rsidRDefault="0065067C" w:rsidP="0065067C">
      <w:pPr>
        <w:spacing w:after="0" w:line="240" w:lineRule="auto"/>
        <w:rPr>
          <w:rFonts w:ascii="Times New Roman" w:eastAsia="Times New Roman" w:hAnsi="Times New Roman" w:cs="Times New Roman"/>
          <w:lang w:val="sr-Latn-ME"/>
        </w:rPr>
      </w:pPr>
    </w:p>
    <w:p w:rsidR="0065067C" w:rsidRPr="0065067C" w:rsidRDefault="0065067C" w:rsidP="00C7162D">
      <w:pPr>
        <w:spacing w:after="0" w:line="240" w:lineRule="auto"/>
        <w:jc w:val="both"/>
        <w:rPr>
          <w:rFonts w:ascii="Times New Roman" w:eastAsia="Times New Roman" w:hAnsi="Times New Roman" w:cs="Times New Roman"/>
          <w:lang w:val="sr-Latn-ME"/>
        </w:rPr>
      </w:pPr>
      <w:bookmarkStart w:id="4" w:name="OLE_LINK20"/>
      <w:bookmarkStart w:id="5" w:name="OLE_LINK21"/>
      <w:bookmarkStart w:id="6" w:name="OLE_LINK26"/>
      <w:bookmarkStart w:id="7" w:name="OLE_LINK27"/>
      <w:bookmarkStart w:id="8" w:name="OLE_LINK28"/>
      <w:bookmarkStart w:id="9" w:name="OLE_LINK33"/>
      <w:bookmarkStart w:id="10" w:name="OLE_LINK34"/>
      <w:bookmarkStart w:id="11" w:name="OLE_LINK35"/>
      <w:bookmarkStart w:id="12" w:name="OLE_LINK36"/>
      <w:bookmarkStart w:id="13" w:name="OLE_LINK37"/>
      <w:bookmarkStart w:id="14" w:name="OLE_LINK38"/>
      <w:bookmarkStart w:id="15" w:name="OLE_LINK39"/>
      <w:bookmarkStart w:id="16" w:name="OLE_LINK40"/>
      <w:bookmarkStart w:id="17" w:name="OLE_LINK41"/>
      <w:bookmarkStart w:id="18" w:name="OLE_LINK42"/>
      <w:bookmarkStart w:id="19" w:name="OLE_LINK43"/>
      <w:bookmarkStart w:id="20" w:name="OLE_LINK44"/>
      <w:bookmarkStart w:id="21" w:name="OLE_LINK45"/>
      <w:bookmarkStart w:id="22" w:name="OLE_LINK46"/>
      <w:bookmarkStart w:id="23" w:name="OLE_LINK47"/>
      <w:bookmarkStart w:id="24" w:name="OLE_LINK48"/>
      <w:bookmarkStart w:id="25" w:name="OLE_LINK49"/>
      <w:bookmarkStart w:id="26" w:name="OLE_LINK50"/>
      <w:bookmarkStart w:id="27" w:name="OLE_LINK51"/>
      <w:bookmarkStart w:id="28" w:name="OLE_LINK52"/>
      <w:r w:rsidRPr="0065067C">
        <w:rPr>
          <w:rFonts w:ascii="Times New Roman" w:eastAsia="Times New Roman" w:hAnsi="Times New Roman" w:cs="Times New Roman"/>
          <w:lang w:val="sr-Latn-ME"/>
        </w:rPr>
        <w:t>Rinofluimucil</w:t>
      </w:r>
      <w:r w:rsidRPr="0065067C">
        <w:rPr>
          <w:rFonts w:ascii="Times New Roman" w:eastAsia="Times New Roman" w:hAnsi="Times New Roman" w:cs="Times New Roman"/>
          <w:vertAlign w:val="superscript"/>
          <w:lang w:val="sr-Latn-ME"/>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65067C">
        <w:rPr>
          <w:rFonts w:ascii="Times New Roman" w:eastAsia="Times New Roman" w:hAnsi="Times New Roman" w:cs="Times New Roman"/>
          <w:lang w:val="sr-Latn-ME"/>
        </w:rPr>
        <w:t xml:space="preserve">, </w:t>
      </w:r>
      <w:bookmarkStart w:id="29" w:name="OLE_LINK22"/>
      <w:bookmarkStart w:id="30" w:name="OLE_LINK23"/>
      <w:bookmarkStart w:id="31" w:name="OLE_LINK24"/>
      <w:bookmarkStart w:id="32" w:name="OLE_LINK25"/>
      <w:bookmarkEnd w:id="4"/>
      <w:bookmarkEnd w:id="5"/>
      <w:r w:rsidRPr="0065067C">
        <w:rPr>
          <w:rFonts w:ascii="Times New Roman" w:eastAsia="Times New Roman" w:hAnsi="Times New Roman" w:cs="Times New Roman"/>
          <w:lang w:val="sr-Latn-ME"/>
        </w:rPr>
        <w:t>1% + 0,5%, sprej za nos, rastvor</w:t>
      </w:r>
      <w:bookmarkEnd w:id="6"/>
      <w:bookmarkEnd w:id="7"/>
      <w:bookmarkEnd w:id="8"/>
      <w:bookmarkEnd w:id="29"/>
      <w:bookmarkEnd w:id="30"/>
      <w:bookmarkEnd w:id="31"/>
      <w:bookmarkEnd w:id="32"/>
    </w:p>
    <w:p w:rsidR="0065067C" w:rsidRDefault="0065067C" w:rsidP="00C7162D">
      <w:pPr>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 xml:space="preserve">INN: </w:t>
      </w:r>
      <w:bookmarkStart w:id="33" w:name="OLE_LINK29"/>
      <w:bookmarkStart w:id="34" w:name="OLE_LINK30"/>
      <w:bookmarkStart w:id="35" w:name="OLE_LINK31"/>
      <w:bookmarkStart w:id="36" w:name="OLE_LINK32"/>
      <w:r w:rsidRPr="0065067C">
        <w:rPr>
          <w:rFonts w:ascii="Times New Roman" w:eastAsia="Times New Roman" w:hAnsi="Times New Roman" w:cs="Times New Roman"/>
          <w:lang w:val="sr-Latn-ME"/>
        </w:rPr>
        <w:t>acetilcistein, tuaminoheptan</w:t>
      </w:r>
      <w:bookmarkEnd w:id="33"/>
      <w:bookmarkEnd w:id="34"/>
      <w:bookmarkEnd w:id="35"/>
      <w:bookmarkEnd w:id="36"/>
    </w:p>
    <w:p w:rsidR="00535415" w:rsidRPr="0065067C" w:rsidRDefault="00535415" w:rsidP="00C7162D">
      <w:pPr>
        <w:spacing w:after="0" w:line="240" w:lineRule="auto"/>
        <w:jc w:val="both"/>
        <w:rPr>
          <w:rFonts w:ascii="Times New Roman" w:eastAsia="Times New Roman" w:hAnsi="Times New Roman" w:cs="Times New Roman"/>
          <w:bCs/>
          <w:lang w:val="sr-Latn-ME"/>
        </w:rPr>
      </w:pPr>
    </w:p>
    <w:p w:rsidR="0065067C" w:rsidRPr="0065067C" w:rsidRDefault="0065067C" w:rsidP="00C7162D">
      <w:pPr>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2. </w:t>
      </w:r>
      <w:r w:rsidRPr="0065067C">
        <w:rPr>
          <w:rFonts w:ascii="Times New Roman" w:eastAsia="Times New Roman" w:hAnsi="Times New Roman" w:cs="Times New Roman"/>
          <w:b/>
          <w:bCs/>
          <w:lang w:val="sr-Latn-ME"/>
        </w:rPr>
        <w:tab/>
        <w:t>KVALITATIVNI I KVANTITATIVNI SASTAV</w:t>
      </w:r>
    </w:p>
    <w:p w:rsidR="0065067C" w:rsidRPr="0065067C" w:rsidRDefault="0065067C" w:rsidP="00C7162D">
      <w:pPr>
        <w:spacing w:after="0" w:line="240" w:lineRule="auto"/>
        <w:jc w:val="both"/>
        <w:rPr>
          <w:rFonts w:ascii="Times New Roman" w:eastAsia="Times New Roman" w:hAnsi="Times New Roman" w:cs="Times New Roman"/>
          <w:lang w:val="sr-Latn-ME"/>
        </w:rPr>
      </w:pPr>
    </w:p>
    <w:p w:rsidR="0065067C" w:rsidRPr="0065067C" w:rsidRDefault="0065067C" w:rsidP="00C7162D">
      <w:pPr>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100 ml spreja za nos sadrži 1 g acetilcisteina i 0,5 g tuaminoheptana u obliku tuaminoheptan sulfata.</w:t>
      </w:r>
    </w:p>
    <w:p w:rsidR="0065067C" w:rsidRPr="0065067C" w:rsidRDefault="0065067C" w:rsidP="00C7162D">
      <w:pPr>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Lijek sadrži konzervans benzalkonijum hlorid.</w:t>
      </w:r>
    </w:p>
    <w:p w:rsidR="0065067C" w:rsidRPr="0065067C" w:rsidRDefault="0065067C" w:rsidP="00C7162D">
      <w:pPr>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Za listu svih pomoćnih supstanci, vidjeti odjeljak 6.1.</w:t>
      </w:r>
    </w:p>
    <w:p w:rsidR="0065067C" w:rsidRDefault="0065067C" w:rsidP="00C7162D">
      <w:pPr>
        <w:spacing w:after="0" w:line="240" w:lineRule="auto"/>
        <w:jc w:val="both"/>
        <w:rPr>
          <w:rFonts w:ascii="Times New Roman" w:eastAsia="Times New Roman" w:hAnsi="Times New Roman" w:cs="Times New Roman"/>
          <w:lang w:val="sr-Latn-ME"/>
        </w:rPr>
      </w:pPr>
    </w:p>
    <w:p w:rsidR="00535415" w:rsidRPr="0065067C" w:rsidRDefault="00535415" w:rsidP="00C7162D">
      <w:pPr>
        <w:spacing w:after="0" w:line="240" w:lineRule="auto"/>
        <w:jc w:val="both"/>
        <w:rPr>
          <w:rFonts w:ascii="Times New Roman" w:eastAsia="Times New Roman" w:hAnsi="Times New Roman" w:cs="Times New Roman"/>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3. </w:t>
      </w:r>
      <w:r w:rsidRPr="0065067C">
        <w:rPr>
          <w:rFonts w:ascii="Times New Roman" w:eastAsia="Times New Roman" w:hAnsi="Times New Roman" w:cs="Times New Roman"/>
          <w:b/>
          <w:bCs/>
          <w:lang w:val="sr-Latn-ME"/>
        </w:rPr>
        <w:tab/>
        <w:t>FARMACEUTSKI OBLIK</w:t>
      </w:r>
    </w:p>
    <w:p w:rsidR="0065067C" w:rsidRPr="0065067C" w:rsidRDefault="0065067C" w:rsidP="00C7162D">
      <w:pPr>
        <w:spacing w:after="0" w:line="240" w:lineRule="auto"/>
        <w:jc w:val="both"/>
        <w:rPr>
          <w:rFonts w:ascii="Times New Roman" w:eastAsia="Times New Roman" w:hAnsi="Times New Roman" w:cs="Times New Roman"/>
          <w:bCs/>
          <w:lang w:val="sr-Latn-ME"/>
        </w:rPr>
      </w:pPr>
    </w:p>
    <w:p w:rsidR="0065067C" w:rsidRPr="0065067C" w:rsidRDefault="0065067C" w:rsidP="00C7162D">
      <w:pPr>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Sprej za nos, rastvor.</w:t>
      </w:r>
    </w:p>
    <w:p w:rsidR="0065067C" w:rsidRDefault="0065067C" w:rsidP="00C7162D">
      <w:pPr>
        <w:spacing w:after="0" w:line="240" w:lineRule="auto"/>
        <w:jc w:val="both"/>
        <w:rPr>
          <w:rFonts w:ascii="Times New Roman" w:eastAsia="Times New Roman" w:hAnsi="Times New Roman" w:cs="Times New Roman"/>
          <w:bCs/>
          <w:lang w:val="sr-Latn-ME"/>
        </w:rPr>
      </w:pPr>
    </w:p>
    <w:p w:rsidR="00535415" w:rsidRPr="0065067C" w:rsidRDefault="00535415" w:rsidP="00C7162D">
      <w:pPr>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 </w:t>
      </w:r>
      <w:r w:rsidRPr="0065067C">
        <w:rPr>
          <w:rFonts w:ascii="Times New Roman" w:eastAsia="Times New Roman" w:hAnsi="Times New Roman" w:cs="Times New Roman"/>
          <w:b/>
          <w:bCs/>
          <w:lang w:val="sr-Latn-ME"/>
        </w:rPr>
        <w:tab/>
        <w:t>KLINIČKI PODACI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4.1. </w:t>
      </w:r>
      <w:r w:rsidRPr="0065067C">
        <w:rPr>
          <w:rFonts w:ascii="Times New Roman" w:eastAsia="Times New Roman" w:hAnsi="Times New Roman" w:cs="Times New Roman"/>
          <w:b/>
          <w:bCs/>
          <w:lang w:val="sr-Latn-ME"/>
        </w:rPr>
        <w:tab/>
        <w:t>Terapijske indikacije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numPr>
          <w:ilvl w:val="0"/>
          <w:numId w:val="1"/>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Akutni i subakutni rinitis sa muko-purulentnim eksudatima koji se sporo liječe</w:t>
      </w:r>
    </w:p>
    <w:p w:rsidR="0065067C" w:rsidRPr="0065067C" w:rsidRDefault="0065067C" w:rsidP="00C7162D">
      <w:pPr>
        <w:numPr>
          <w:ilvl w:val="0"/>
          <w:numId w:val="1"/>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Hronični rinitis i rinitis praćen krustama na nosnoj sluzokoži</w:t>
      </w:r>
    </w:p>
    <w:p w:rsidR="0065067C" w:rsidRPr="0065067C" w:rsidRDefault="0065067C" w:rsidP="00C7162D">
      <w:pPr>
        <w:numPr>
          <w:ilvl w:val="0"/>
          <w:numId w:val="1"/>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Vazomotorni rinitis</w:t>
      </w:r>
    </w:p>
    <w:p w:rsidR="0065067C" w:rsidRPr="0065067C" w:rsidRDefault="0065067C" w:rsidP="00C7162D">
      <w:pPr>
        <w:numPr>
          <w:ilvl w:val="0"/>
          <w:numId w:val="1"/>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Sinuzitis</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4.2. </w:t>
      </w:r>
      <w:r w:rsidRPr="0065067C">
        <w:rPr>
          <w:rFonts w:ascii="Times New Roman" w:eastAsia="Times New Roman" w:hAnsi="Times New Roman" w:cs="Times New Roman"/>
          <w:b/>
          <w:bCs/>
          <w:lang w:val="sr-Latn-ME"/>
        </w:rPr>
        <w:tab/>
        <w:t>Doziranje i način primjene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Raspršivačem za doziranje uprskati Rinofluimucil u svaku nozdrvu ponaosob.</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
          <w:bCs/>
          <w:lang w:val="sr-Latn-ME"/>
        </w:rPr>
        <w:t>Odrasli:</w:t>
      </w:r>
      <w:r w:rsidRPr="0065067C">
        <w:rPr>
          <w:rFonts w:ascii="Times New Roman" w:eastAsia="Times New Roman" w:hAnsi="Times New Roman" w:cs="Times New Roman"/>
          <w:bCs/>
          <w:lang w:val="sr-Latn-ME"/>
        </w:rPr>
        <w:t xml:space="preserve"> 3-4 puta dnevno po 2 doze uprskati u svaku nozdrvu.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
          <w:bCs/>
          <w:lang w:val="sr-Latn-ME"/>
        </w:rPr>
        <w:t>Djeca preko 12 godina:</w:t>
      </w:r>
      <w:r w:rsidRPr="0065067C">
        <w:rPr>
          <w:rFonts w:ascii="Times New Roman" w:eastAsia="Times New Roman" w:hAnsi="Times New Roman" w:cs="Times New Roman"/>
          <w:bCs/>
          <w:lang w:val="sr-Latn-ME"/>
        </w:rPr>
        <w:t xml:space="preserve"> 3-4 puta dnevno po 1 dozu uprskati u svaku nozdrvu.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Pridržavati se preporučenog doziranja.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Jedanput otvorena bočica se može upotrebljavati narednih 20 dana.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Primjena lijeka Rinofluimucil kod djece mlađe od 12 godina je kontraindikovana (vidjeti odjeljak 4.3).</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7C4012">
        <w:rPr>
          <w:rFonts w:ascii="Times New Roman" w:eastAsia="Times New Roman" w:hAnsi="Times New Roman" w:cs="Times New Roman"/>
          <w:bCs/>
          <w:noProof/>
        </w:rPr>
        <w:drawing>
          <wp:inline distT="0" distB="0" distL="0" distR="0">
            <wp:extent cx="15113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1600200"/>
                    </a:xfrm>
                    <a:prstGeom prst="rect">
                      <a:avLst/>
                    </a:prstGeom>
                    <a:noFill/>
                    <a:ln>
                      <a:noFill/>
                    </a:ln>
                  </pic:spPr>
                </pic:pic>
              </a:graphicData>
            </a:graphic>
          </wp:inline>
        </w:drawing>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lastRenderedPageBreak/>
        <w:t>UPUTSTVO ZA OTVARANJE BOČICE I KORIŠĆENJE RASPRŠIVAČA: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1. Odvrnuti sigurnosni zatvarač na bočici (istovremenim pritiskom na dolje i odvrtanjem).</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2. Otkloniti zaštitni omotač sa sprej pumpe, i zavrnuti pumpu sa raspršivačem na bočicu.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3. Skinuti zaštitni poklopac sa raspršivača.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4. Nekoliko puta pritisnuti raspršivač da bi se aktivirala pumpa.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4.3. </w:t>
      </w:r>
      <w:r w:rsidRPr="0065067C">
        <w:rPr>
          <w:rFonts w:ascii="Times New Roman" w:eastAsia="Times New Roman" w:hAnsi="Times New Roman" w:cs="Times New Roman"/>
          <w:b/>
          <w:bCs/>
          <w:lang w:val="sr-Latn-ME"/>
        </w:rPr>
        <w:tab/>
        <w:t>Kontraindikacije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Preosjetljivosti na aktivne ili bilo koje pomoćne komponente lijeka (listu pomoćnih supstanci vidjeti u odjeljku 6.1)</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Glaukom zatvorenog ugla</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Hipertireoidizam</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Primjena lijeka za vrijeme i dve nedjelje nakon prestanka terapije inhibitorima monoaminooksidaza (MAO inhibitori)</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Primjena lijeka je kontraindikovana kod djece mlađe od 12 godina</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Feohromocitom</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primjena drugih simpatomimetika, uključujući i druge nazalne dekongestive</w:t>
      </w:r>
    </w:p>
    <w:p w:rsidR="0065067C" w:rsidRPr="0065067C" w:rsidRDefault="0065067C" w:rsidP="00C7162D">
      <w:pPr>
        <w:numPr>
          <w:ilvl w:val="0"/>
          <w:numId w:val="2"/>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Hipofizektomija ili hirurška intervencija sa izlaganjem tvrde moždane opne (dura mater).</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4.4. </w:t>
      </w:r>
      <w:r w:rsidRPr="0065067C">
        <w:rPr>
          <w:rFonts w:ascii="Times New Roman" w:eastAsia="Times New Roman" w:hAnsi="Times New Roman" w:cs="Times New Roman"/>
          <w:b/>
          <w:bCs/>
          <w:lang w:val="sr-Latn-ME"/>
        </w:rPr>
        <w:tab/>
        <w:t>Posebna upozorenja i mjere opreza pri upotrebi lijeka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535415">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Rinofluimucil, kao i druga dekongestivna sredstva za liječenje sluzokože nosa, kod osoba sa</w:t>
      </w:r>
      <w:r w:rsidR="00535415">
        <w:rPr>
          <w:rFonts w:ascii="Times New Roman" w:eastAsia="Times New Roman" w:hAnsi="Times New Roman" w:cs="Times New Roman"/>
          <w:bCs/>
          <w:lang w:val="sr-Latn-ME"/>
        </w:rPr>
        <w:t xml:space="preserve"> </w:t>
      </w:r>
      <w:r w:rsidRPr="0065067C">
        <w:rPr>
          <w:rFonts w:ascii="Times New Roman" w:eastAsia="Times New Roman" w:hAnsi="Times New Roman" w:cs="Times New Roman"/>
          <w:bCs/>
          <w:lang w:val="sr-Latn-ME"/>
        </w:rPr>
        <w:t>kardiovaskularnim oboljenjima, naročito onih sa hipertenzijom, primjenjivati samo pod nadzorom ljekara</w:t>
      </w:r>
    </w:p>
    <w:p w:rsidR="0065067C" w:rsidRPr="0065067C" w:rsidRDefault="0065067C" w:rsidP="00C7162D">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Oprezno primjenjivati Rinofluimucil kod osoba oboljelih od bronhijalne astme</w:t>
      </w:r>
    </w:p>
    <w:p w:rsidR="0065067C" w:rsidRPr="0065067C" w:rsidRDefault="0065067C" w:rsidP="00C7162D">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Rinofluimucil primjenjivati sa posebnim oprezom kod djece. Upotreba lijeka Rinofluimucil je kontraindikovana kod djece do 12 godina starosti</w:t>
      </w:r>
    </w:p>
    <w:p w:rsidR="0065067C" w:rsidRPr="0065067C" w:rsidRDefault="0065067C" w:rsidP="00C7162D">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Dugotrajna upotreba vazokonstriktornih preparata za nos može dovesti do poremećaja normalne funkcije sluzokože nosa i paranazalnog sinusa kao i do zavisnosti na lijek. Dugotrajna i učestala upotreba lijeka Rinofluimucil može biti štetna</w:t>
      </w:r>
    </w:p>
    <w:p w:rsidR="0065067C" w:rsidRPr="0065067C" w:rsidRDefault="0065067C" w:rsidP="00C7162D">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Oprezno primjenjivati Rinofluimucil kod starijih osoba i kod osoba sa hipertrofijom prostate zbog opasnosti od zadržavanja mokraće</w:t>
      </w:r>
    </w:p>
    <w:p w:rsidR="0065067C" w:rsidRPr="0065067C" w:rsidRDefault="0065067C" w:rsidP="00C7162D">
      <w:pPr>
        <w:numPr>
          <w:ilvl w:val="0"/>
          <w:numId w:val="3"/>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Dugotrajna lokalna upotreba preparata za nos može dovesti do senzibilizacije: u tom slučaju prekinuti upotrebu lijeka i, ukoliko je potrebno, primijeniti odgovarajuću terapiju. Ukoliko kratkotrajno liječenje lijekom Rinofluimucil ne pokaže nikakve rezultate, potražiti savjet ljekara.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i/>
          <w:lang w:val="sr-Latn-ME"/>
        </w:rPr>
      </w:pPr>
      <w:r w:rsidRPr="0065067C">
        <w:rPr>
          <w:rFonts w:ascii="Times New Roman" w:eastAsia="Times New Roman" w:hAnsi="Times New Roman" w:cs="Times New Roman"/>
          <w:bCs/>
          <w:i/>
          <w:lang w:val="sr-Latn-ME"/>
        </w:rPr>
        <w:t>Rinofluimucil sprej za nos, rastvor upotrebljavati najduže 7 dana u kontinuitetu.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i/>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Ljekar može propisati odgovarajuću antibakterijsku terapiju uz Rinofluimucil.</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Tuaminoheptan sulfat može dati pozitivne rezultate na anti-doping testu.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Rinofluimucil nije namijenjen za okularnu upotrebu.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Lijek sadrži konzervans benzalkonijum hlorid koji je iritant i može izazvati reakcije na koži ili bronhospazam.</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4.5. </w:t>
      </w:r>
      <w:r w:rsidRPr="0065067C">
        <w:rPr>
          <w:rFonts w:ascii="Times New Roman" w:eastAsia="Times New Roman" w:hAnsi="Times New Roman" w:cs="Times New Roman"/>
          <w:b/>
          <w:bCs/>
          <w:lang w:val="sr-Latn-ME"/>
        </w:rPr>
        <w:tab/>
        <w:t>Interakcije sa drugim ljekovima i druge vrste interakcija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Bez obzira na nisku sistemsku resorpciju nazalno primijenjenog tuaminoheptana, treba imati u vidu potencijalnu mogućnost interakcije u sljedećim slučajevima:</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lastRenderedPageBreak/>
        <w:t>istovremena upotreba sa MAO inhibitorima, uključujući i reverzibilne inhibitore monoaminooksidaza: povećava rizik od hipertenzivne krize;</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upotreba sa antihipertenzivima (uključujući adrenergičke blokatore – naročito beta-blokatore): može blokirati hipotenzivno dejstvo;</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upotreba sa srčanim glikozidima: može povećati rizik od aritmije;</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upotreba sa ergot alkaloidima: može povećati rizik od ergotizma;</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upotreba sa antiparksonicima: može povećati rizik od kardiovaskularne toksičnosti;</w:t>
      </w:r>
    </w:p>
    <w:p w:rsidR="0065067C" w:rsidRPr="0065067C" w:rsidRDefault="0065067C" w:rsidP="00C7162D">
      <w:pPr>
        <w:numPr>
          <w:ilvl w:val="0"/>
          <w:numId w:val="4"/>
        </w:num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istovremena upotreba sa oksitocinom: može povećati rizik od hipertenzije.</w:t>
      </w:r>
    </w:p>
    <w:p w:rsidR="0065067C" w:rsidRPr="0065067C" w:rsidRDefault="0065067C" w:rsidP="00C7162D">
      <w:pPr>
        <w:tabs>
          <w:tab w:val="left" w:pos="540"/>
          <w:tab w:val="left" w:pos="569"/>
        </w:tabs>
        <w:spacing w:after="0" w:line="240" w:lineRule="auto"/>
        <w:ind w:left="540"/>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4.6. </w:t>
      </w:r>
      <w:r w:rsidRPr="0065067C">
        <w:rPr>
          <w:rFonts w:ascii="Times New Roman" w:eastAsia="Times New Roman" w:hAnsi="Times New Roman" w:cs="Times New Roman"/>
          <w:b/>
          <w:bCs/>
          <w:lang w:val="sr-Latn-ME"/>
        </w:rPr>
        <w:tab/>
        <w:t>Primjena u periodu trudnoće i dojenja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Trudnoća</w:t>
      </w:r>
    </w:p>
    <w:p w:rsidR="00535415" w:rsidRPr="0065067C" w:rsidRDefault="00535415"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Podaci dobijeni ispitivanjem na ograničenom broju trudnica koje su uzimale N-acetilcistein ne ukazuju na negativne efekte ovog lijeka na trudnoću ili zdravlje fetusa/novorođenčeta. Do sada, nisu dostupni drugi značajni epidemiološki podaci. Ispitivanja na životinjama ne ukazuju na direktne ili indirektne štetne efekte lijeka na reproduktivnu toksičnost.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Nema odgovarajućih podataka o upotrebi tuaminoheptana kod trudnica, niti su dostupni podaci o ispitivanjima na životinjama sa tuaminoheptanom.</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Primjena lijeka Rinofluimucil se ne preporučuje tokom trudnoće.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Dojenje</w:t>
      </w:r>
    </w:p>
    <w:p w:rsidR="00535415" w:rsidRPr="0065067C" w:rsidRDefault="00535415"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Nije poznato da li se N-acetilcistein ili tuaminoheptan izlučuju u majčino mlijeko, zato lijek Rinofluimucil ne treba koristiti u periodu dojenja.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Default="0065067C" w:rsidP="00C7162D">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4.7. </w:t>
      </w:r>
      <w:r w:rsidRPr="0065067C">
        <w:rPr>
          <w:rFonts w:ascii="Times New Roman" w:eastAsia="Times New Roman" w:hAnsi="Times New Roman" w:cs="Times New Roman"/>
          <w:b/>
          <w:bCs/>
          <w:lang w:val="sr-Latn-ME"/>
        </w:rPr>
        <w:tab/>
        <w:t>Uticaj na psihofizičke sposobnosti prilikom upravljanja motornim vozilima i rukovanja mašinama</w:t>
      </w:r>
    </w:p>
    <w:p w:rsidR="00535415" w:rsidRPr="0065067C" w:rsidRDefault="00535415" w:rsidP="00C7162D">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Nema ni pretpostavki, ni dokaza da ovaj lijek može uticati na pažnju i vrijeme reagovanja.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4.8. </w:t>
      </w:r>
      <w:r w:rsidRPr="0065067C">
        <w:rPr>
          <w:rFonts w:ascii="Times New Roman" w:eastAsia="Times New Roman" w:hAnsi="Times New Roman" w:cs="Times New Roman"/>
          <w:b/>
          <w:bCs/>
          <w:lang w:val="sr-Latn-ME"/>
        </w:rPr>
        <w:tab/>
        <w:t>Neželjena dejstva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Dugotrajna primjena lijeka u visokim dozama može imati za posljedicu simpatomimetske efekte (kao što su: povećana uznemirenost, lupanje srca, tremor, itd). Ponekad se javlja suvoća sluznica nosa i grla, a može doći i do pojave akni. Ovi efekti nestaju prestankom upotrebe lijeka.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Sljedeća neželjena dejstva se mogu povezati sa upotrebom lijeka Rinofluimucil; njihova učestalost nije poznata (ne može se procijeniti na osnovu raspoloživih podataka).</w:t>
      </w:r>
    </w:p>
    <w:p w:rsidR="00535415"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535415"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535415"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535415"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535415" w:rsidRPr="0065067C"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3793"/>
      </w:tblGrid>
      <w:tr w:rsidR="0065067C" w:rsidRPr="0065067C" w:rsidTr="0091433F">
        <w:tc>
          <w:tcPr>
            <w:tcW w:w="5508" w:type="dxa"/>
          </w:tcPr>
          <w:p w:rsidR="0065067C" w:rsidRPr="0065067C" w:rsidRDefault="0065067C" w:rsidP="00C7162D">
            <w:pPr>
              <w:spacing w:after="0" w:line="240" w:lineRule="auto"/>
              <w:jc w:val="both"/>
              <w:rPr>
                <w:rFonts w:ascii="Times New Roman" w:eastAsia="Times New Roman" w:hAnsi="Times New Roman" w:cs="Times New Roman"/>
                <w:lang w:val="sr-Latn-ME"/>
              </w:rPr>
            </w:pPr>
            <w:bookmarkStart w:id="37" w:name="OLE_LINK68"/>
            <w:bookmarkStart w:id="38" w:name="OLE_LINK69"/>
            <w:bookmarkStart w:id="39" w:name="OLE_LINK70"/>
            <w:r w:rsidRPr="0065067C">
              <w:rPr>
                <w:rFonts w:ascii="Times New Roman" w:eastAsia="TimesNewRoman,Bold" w:hAnsi="Times New Roman" w:cs="Times New Roman"/>
                <w:b/>
                <w:bCs/>
                <w:lang w:val="sr-Latn-ME"/>
              </w:rPr>
              <w:lastRenderedPageBreak/>
              <w:t>Klasa sistema organa</w:t>
            </w:r>
          </w:p>
        </w:tc>
        <w:tc>
          <w:tcPr>
            <w:tcW w:w="3793" w:type="dxa"/>
          </w:tcPr>
          <w:p w:rsidR="0065067C" w:rsidRPr="0065067C" w:rsidRDefault="0065067C" w:rsidP="00C7162D">
            <w:pPr>
              <w:spacing w:after="0" w:line="240" w:lineRule="auto"/>
              <w:jc w:val="both"/>
              <w:rPr>
                <w:rFonts w:ascii="Times New Roman" w:eastAsia="Times New Roman" w:hAnsi="Times New Roman" w:cs="Times New Roman"/>
                <w:lang w:val="sr-Latn-ME"/>
              </w:rPr>
            </w:pPr>
            <w:r w:rsidRPr="0065067C">
              <w:rPr>
                <w:rFonts w:ascii="Times New Roman" w:eastAsia="TimesNewRoman,Bold" w:hAnsi="Times New Roman" w:cs="Times New Roman"/>
                <w:b/>
                <w:bCs/>
                <w:lang w:val="sr-Latn-ME"/>
              </w:rPr>
              <w:t>Neželjena reakcija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Imunološki poremećaji</w:t>
            </w:r>
          </w:p>
        </w:tc>
        <w:tc>
          <w:tcPr>
            <w:tcW w:w="3793"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Preosjetljivost</w:t>
            </w:r>
          </w:p>
        </w:tc>
      </w:tr>
      <w:tr w:rsidR="0065067C" w:rsidRPr="0065067C" w:rsidTr="0091433F">
        <w:tc>
          <w:tcPr>
            <w:tcW w:w="5508" w:type="dxa"/>
          </w:tcPr>
          <w:p w:rsidR="0065067C" w:rsidRPr="0065067C" w:rsidRDefault="0065067C" w:rsidP="00C7162D">
            <w:pPr>
              <w:tabs>
                <w:tab w:val="left" w:pos="1155"/>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Psihijatrijski poremećaji</w:t>
            </w:r>
          </w:p>
        </w:tc>
        <w:tc>
          <w:tcPr>
            <w:tcW w:w="3793" w:type="dxa"/>
          </w:tcPr>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Naročito prilikom produžene i/ili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prekomjerne primjene: anksioznost,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halucinacije, delirijum</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Poremećaji nervnog sistema</w:t>
            </w:r>
          </w:p>
        </w:tc>
        <w:tc>
          <w:tcPr>
            <w:tcW w:w="3793" w:type="dxa"/>
          </w:tcPr>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Naročito prilikom produžene i/ili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prekomjerne primjene: glavobolja,</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uznemirenost, agitacija, insomnia,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tremor</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Kardiološki poremećaji</w:t>
            </w:r>
          </w:p>
        </w:tc>
        <w:tc>
          <w:tcPr>
            <w:tcW w:w="3793" w:type="dxa"/>
          </w:tcPr>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Naročito prilikom produžene i/ili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prekomjerne primjene: palpitacije,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tahikardija, aritmija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Vaskularni poremećaji</w:t>
            </w:r>
          </w:p>
        </w:tc>
        <w:tc>
          <w:tcPr>
            <w:tcW w:w="3793"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Hipertenzija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Respiratorni, torakalni i medijastinalni poremećaji</w:t>
            </w:r>
          </w:p>
        </w:tc>
        <w:tc>
          <w:tcPr>
            <w:tcW w:w="3793" w:type="dxa"/>
          </w:tcPr>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Naročito prilikom produžene i/ili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prekomjerne primjene: suvi nos 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grlo, osjećaj neprijatnosti u nosu,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nazalna kongestija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Gastrointestinalni poremećaji</w:t>
            </w:r>
          </w:p>
        </w:tc>
        <w:tc>
          <w:tcPr>
            <w:tcW w:w="3793"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Mučnina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Poremećaji na nivou kože i potkožnog tkiva</w:t>
            </w:r>
          </w:p>
        </w:tc>
        <w:tc>
          <w:tcPr>
            <w:tcW w:w="3793"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Urtikarija, raš</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bookmarkStart w:id="40" w:name="_Hlk503491664"/>
            <w:bookmarkEnd w:id="37"/>
            <w:bookmarkEnd w:id="38"/>
            <w:bookmarkEnd w:id="39"/>
            <w:r w:rsidRPr="0065067C">
              <w:rPr>
                <w:rFonts w:ascii="Times New Roman" w:eastAsia="Times New Roman" w:hAnsi="Times New Roman" w:cs="Times New Roman"/>
                <w:lang w:val="sr-Latn-ME"/>
              </w:rPr>
              <w:t>Poremećaji na nivou bubrega i urinarnog sistema</w:t>
            </w:r>
          </w:p>
        </w:tc>
        <w:tc>
          <w:tcPr>
            <w:tcW w:w="3793"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Urinarna retencija</w:t>
            </w:r>
          </w:p>
        </w:tc>
      </w:tr>
      <w:tr w:rsidR="0065067C" w:rsidRPr="0065067C" w:rsidTr="0091433F">
        <w:tc>
          <w:tcPr>
            <w:tcW w:w="5508" w:type="dxa"/>
          </w:tcPr>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Opšti poremećaji i reakcije na mjestu primjene</w:t>
            </w:r>
          </w:p>
        </w:tc>
        <w:tc>
          <w:tcPr>
            <w:tcW w:w="3793" w:type="dxa"/>
          </w:tcPr>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Naročito prilikom produžene i/ili</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prekomjerne primjene: razdražljivost,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lang w:val="sr-Latn-ME"/>
              </w:rPr>
              <w:t>zavisnost od lijeka</w:t>
            </w:r>
          </w:p>
        </w:tc>
      </w:tr>
      <w:bookmarkEnd w:id="40"/>
    </w:tbl>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spacing w:after="200" w:line="240" w:lineRule="auto"/>
        <w:jc w:val="both"/>
        <w:rPr>
          <w:rFonts w:ascii="Times New Roman" w:eastAsia="Calibri" w:hAnsi="Times New Roman" w:cs="Times New Roman"/>
          <w:u w:val="single"/>
          <w:lang w:val="sr-Latn-ME"/>
        </w:rPr>
      </w:pPr>
      <w:r w:rsidRPr="0065067C">
        <w:rPr>
          <w:rFonts w:ascii="Times New Roman" w:eastAsia="Calibri" w:hAnsi="Times New Roman" w:cs="Times New Roman"/>
          <w:u w:val="single"/>
          <w:lang w:val="sr-Latn-ME"/>
        </w:rPr>
        <w:t>Prijavljivanje sumnji na neželjena dejstva</w:t>
      </w:r>
    </w:p>
    <w:p w:rsidR="0065067C" w:rsidRPr="0065067C" w:rsidRDefault="0065067C" w:rsidP="00C7162D">
      <w:pPr>
        <w:spacing w:after="20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Agencija za ljekove i medicinska sredstva Crne Gore</w:t>
      </w:r>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Odjeljenje za farmakovigilancu</w:t>
      </w:r>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Bulevar Ivana Crnojevića 64a, 81000 Podgorica</w:t>
      </w:r>
    </w:p>
    <w:p w:rsidR="0065067C" w:rsidRPr="0065067C" w:rsidRDefault="0065067C" w:rsidP="00C7162D">
      <w:pPr>
        <w:spacing w:after="0" w:line="240" w:lineRule="auto"/>
        <w:jc w:val="both"/>
        <w:rPr>
          <w:rFonts w:ascii="Times New Roman" w:eastAsia="Calibri" w:hAnsi="Times New Roman" w:cs="Times New Roman"/>
          <w:lang w:val="sr-Latn-ME"/>
        </w:rPr>
      </w:pPr>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tel: +382 (0) 20 310 280</w:t>
      </w:r>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fax: +382 (0) 20 310 581</w:t>
      </w:r>
    </w:p>
    <w:p w:rsidR="0065067C" w:rsidRPr="0065067C" w:rsidRDefault="0065067C" w:rsidP="00C7162D">
      <w:pPr>
        <w:spacing w:after="0" w:line="240" w:lineRule="auto"/>
        <w:jc w:val="both"/>
        <w:rPr>
          <w:rFonts w:ascii="Times New Roman" w:eastAsia="Calibri" w:hAnsi="Times New Roman" w:cs="Times New Roman"/>
          <w:lang w:val="sr-Latn-ME"/>
        </w:rPr>
      </w:pPr>
      <w:hyperlink r:id="rId9" w:history="1">
        <w:r w:rsidRPr="0065067C">
          <w:rPr>
            <w:rFonts w:ascii="Times New Roman" w:eastAsia="Calibri" w:hAnsi="Times New Roman" w:cs="Times New Roman"/>
            <w:color w:val="0000FF"/>
            <w:u w:val="single"/>
            <w:lang w:val="sr-Latn-ME"/>
          </w:rPr>
          <w:t>www.calims.me</w:t>
        </w:r>
      </w:hyperlink>
    </w:p>
    <w:p w:rsidR="0065067C" w:rsidRPr="0065067C" w:rsidRDefault="0065067C" w:rsidP="00C7162D">
      <w:pPr>
        <w:spacing w:after="0" w:line="240" w:lineRule="auto"/>
        <w:jc w:val="both"/>
        <w:rPr>
          <w:rFonts w:ascii="Times New Roman" w:eastAsia="Calibri" w:hAnsi="Times New Roman" w:cs="Times New Roman"/>
          <w:color w:val="0000FF"/>
          <w:u w:val="single"/>
          <w:lang w:val="sr-Latn-ME"/>
        </w:rPr>
      </w:pPr>
      <w:hyperlink r:id="rId10" w:history="1">
        <w:r w:rsidRPr="0065067C">
          <w:rPr>
            <w:rFonts w:ascii="Times New Roman" w:eastAsia="Calibri" w:hAnsi="Times New Roman" w:cs="Times New Roman"/>
            <w:color w:val="0000FF"/>
            <w:u w:val="single"/>
            <w:lang w:val="sr-Latn-ME"/>
          </w:rPr>
          <w:t>nezeljenadejstva@calims.me</w:t>
        </w:r>
      </w:hyperlink>
    </w:p>
    <w:p w:rsidR="0065067C" w:rsidRPr="0065067C" w:rsidRDefault="0065067C" w:rsidP="00C7162D">
      <w:pPr>
        <w:spacing w:after="0" w:line="240" w:lineRule="auto"/>
        <w:jc w:val="both"/>
        <w:rPr>
          <w:rFonts w:ascii="Times New Roman" w:eastAsia="Calibri" w:hAnsi="Times New Roman" w:cs="Times New Roman"/>
          <w:lang w:val="sr-Latn-ME"/>
        </w:rPr>
      </w:pPr>
      <w:r w:rsidRPr="0065067C">
        <w:rPr>
          <w:rFonts w:ascii="Times New Roman" w:eastAsia="Calibri" w:hAnsi="Times New Roman" w:cs="Times New Roman"/>
          <w:lang w:val="sr-Latn-ME"/>
        </w:rPr>
        <w:t>putem IS zdravstvene zaštite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4.9. </w:t>
      </w:r>
      <w:r w:rsidRPr="0065067C">
        <w:rPr>
          <w:rFonts w:ascii="Times New Roman" w:eastAsia="Times New Roman" w:hAnsi="Times New Roman" w:cs="Times New Roman"/>
          <w:b/>
          <w:bCs/>
          <w:lang w:val="sr-Latn-ME"/>
        </w:rPr>
        <w:tab/>
        <w:t>Predoziranje i mjere koje je potrebno preduzeti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U slučaju predoziranja, može doći do arterijske hipertenzije, osjetljivosti na svjetlost, intenzivne glavobolje, stezanja u grudima, a kod djece do hipotermije sa značajnom sedacijom. Sva ova stanja zahtijevaju neposrednu i odgovarajuću hitnu medicinsku pomoć.</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lastRenderedPageBreak/>
        <w:t xml:space="preserve">5. </w:t>
      </w:r>
      <w:r w:rsidRPr="0065067C">
        <w:rPr>
          <w:rFonts w:ascii="Times New Roman" w:eastAsia="Times New Roman" w:hAnsi="Times New Roman" w:cs="Times New Roman"/>
          <w:b/>
          <w:bCs/>
          <w:lang w:val="sr-Latn-ME"/>
        </w:rPr>
        <w:tab/>
        <w:t>FARMAKOLOŠKI PODACI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5.1. </w:t>
      </w:r>
      <w:r w:rsidRPr="0065067C">
        <w:rPr>
          <w:rFonts w:ascii="Times New Roman" w:eastAsia="Times New Roman" w:hAnsi="Times New Roman" w:cs="Times New Roman"/>
          <w:b/>
          <w:bCs/>
          <w:lang w:val="sr-Latn-ME"/>
        </w:rPr>
        <w:tab/>
        <w:t>Farmakodinamski podaci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 xml:space="preserve">Farmakoterapijska grupa: </w:t>
      </w:r>
      <w:r w:rsidRPr="0065067C">
        <w:rPr>
          <w:rFonts w:ascii="Times New Roman" w:eastAsia="Times New Roman" w:hAnsi="Times New Roman" w:cs="Times New Roman"/>
          <w:bCs/>
          <w:lang w:val="sr-Latn-ME"/>
        </w:rPr>
        <w:tab/>
        <w:t xml:space="preserve">Nazalni preparati - dekongestivi i ostali preparati za lokalnu primjenu </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ab/>
      </w:r>
      <w:r w:rsidRPr="0065067C">
        <w:rPr>
          <w:rFonts w:ascii="Times New Roman" w:eastAsia="Times New Roman" w:hAnsi="Times New Roman" w:cs="Times New Roman"/>
          <w:bCs/>
          <w:lang w:val="sr-Latn-ME"/>
        </w:rPr>
        <w:tab/>
      </w:r>
      <w:r w:rsidRPr="0065067C">
        <w:rPr>
          <w:rFonts w:ascii="Times New Roman" w:eastAsia="Times New Roman" w:hAnsi="Times New Roman" w:cs="Times New Roman"/>
          <w:bCs/>
          <w:lang w:val="sr-Latn-ME"/>
        </w:rPr>
        <w:tab/>
      </w:r>
      <w:r w:rsidRPr="0065067C">
        <w:rPr>
          <w:rFonts w:ascii="Times New Roman" w:eastAsia="Times New Roman" w:hAnsi="Times New Roman" w:cs="Times New Roman"/>
          <w:bCs/>
          <w:lang w:val="sr-Latn-ME"/>
        </w:rPr>
        <w:tab/>
      </w:r>
      <w:r w:rsidRPr="0065067C">
        <w:rPr>
          <w:rFonts w:ascii="Times New Roman" w:eastAsia="Times New Roman" w:hAnsi="Times New Roman" w:cs="Times New Roman"/>
          <w:bCs/>
          <w:lang w:val="sr-Latn-ME"/>
        </w:rPr>
        <w:tab/>
      </w:r>
      <w:r w:rsidRPr="0065067C">
        <w:rPr>
          <w:rFonts w:ascii="Times New Roman" w:eastAsia="Times New Roman" w:hAnsi="Times New Roman" w:cs="Times New Roman"/>
          <w:bCs/>
          <w:lang w:val="sr-Latn-ME"/>
        </w:rPr>
        <w:tab/>
        <w:t>adrenomimetici, kombinacije bez kortikosteroida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ATC kod: R01AB08</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Osnovno dejstvo preparata je mukolitičko i vazokonstriktorno i predstavlja odraz farmakoloških aktivnosti pojedinih komponenata.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
          <w:bCs/>
          <w:u w:val="single"/>
          <w:lang w:val="sr-Latn-ME"/>
        </w:rPr>
        <w:t>N-acetilcistein</w:t>
      </w:r>
      <w:r w:rsidRPr="0065067C">
        <w:rPr>
          <w:rFonts w:ascii="Times New Roman" w:eastAsia="Times New Roman" w:hAnsi="Times New Roman" w:cs="Times New Roman"/>
          <w:bCs/>
          <w:lang w:val="sr-Latn-ME"/>
        </w:rPr>
        <w:t xml:space="preserve"> posjeduje mukolitičko dejstvo koje nastaje prekidanjem disulfidnih veza muko-proteina zahvaljujući djelovanju slobodnih disulfidnih grupa i omogućava fluidizirajuće dejstvo na sluzokožu i mukopurulentne sekrete.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
          <w:bCs/>
          <w:u w:val="single"/>
          <w:lang w:val="sr-Latn-ME"/>
        </w:rPr>
        <w:t>Tuaminoheptan</w:t>
      </w:r>
      <w:r w:rsidRPr="0065067C">
        <w:rPr>
          <w:rFonts w:ascii="Times New Roman" w:eastAsia="Times New Roman" w:hAnsi="Times New Roman" w:cs="Times New Roman"/>
          <w:bCs/>
          <w:lang w:val="sr-Latn-ME"/>
        </w:rPr>
        <w:t xml:space="preserve"> je simpatomimetski amin koji pri lokalnoj upotrebi ispoljava vazokonstriktorno dejstvo bez sistemskih efekata.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5.2. </w:t>
      </w:r>
      <w:r w:rsidRPr="0065067C">
        <w:rPr>
          <w:rFonts w:ascii="Times New Roman" w:eastAsia="Times New Roman" w:hAnsi="Times New Roman" w:cs="Times New Roman"/>
          <w:b/>
          <w:bCs/>
          <w:lang w:val="sr-Latn-ME"/>
        </w:rPr>
        <w:tab/>
        <w:t>Farmakokinetički podaci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Pojedinačne komponente preparata se resorbuju u niskim dozama koje nisu dovoljne za izazivanje sistemskog djelovanja.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5.3. </w:t>
      </w:r>
      <w:r w:rsidRPr="0065067C">
        <w:rPr>
          <w:rFonts w:ascii="Times New Roman" w:eastAsia="Times New Roman" w:hAnsi="Times New Roman" w:cs="Times New Roman"/>
          <w:b/>
          <w:bCs/>
          <w:lang w:val="sr-Latn-ME"/>
        </w:rPr>
        <w:tab/>
        <w:t xml:space="preserve">Pretklinički podaci o bezbjednosti </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Studije toksičnosti ukazuju na dobru lokalnu podnošljivost preparata.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 </w:t>
      </w:r>
      <w:r w:rsidRPr="0065067C">
        <w:rPr>
          <w:rFonts w:ascii="Times New Roman" w:eastAsia="Times New Roman" w:hAnsi="Times New Roman" w:cs="Times New Roman"/>
          <w:b/>
          <w:bCs/>
          <w:lang w:val="sr-Latn-ME"/>
        </w:rPr>
        <w:tab/>
        <w:t>FARMACEUTSKI PODACI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6.1. </w:t>
      </w:r>
      <w:r w:rsidRPr="0065067C">
        <w:rPr>
          <w:rFonts w:ascii="Times New Roman" w:eastAsia="Times New Roman" w:hAnsi="Times New Roman" w:cs="Times New Roman"/>
          <w:b/>
          <w:bCs/>
          <w:lang w:val="sr-Latn-ME"/>
        </w:rPr>
        <w:tab/>
        <w:t>Lista pomoćnih supstanci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 xml:space="preserve">benzalkonijum hlorid, rastvor </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hipromeloza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dinatrijum edetat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natrijum dihidrogenfosfat, monohidrat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dinatrijum fosfat, dodekahidrat</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ditiotreitol</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sorbitol tečni, nekristališući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aroma peperminta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etanol (96%)</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natrijum hidroksid</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voda, prečišćena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6.2. </w:t>
      </w:r>
      <w:r w:rsidRPr="0065067C">
        <w:rPr>
          <w:rFonts w:ascii="Times New Roman" w:eastAsia="Times New Roman" w:hAnsi="Times New Roman" w:cs="Times New Roman"/>
          <w:b/>
          <w:bCs/>
          <w:lang w:val="sr-Latn-ME"/>
        </w:rPr>
        <w:tab/>
        <w:t>Inkompatibilnosti</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Nije poznata.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lastRenderedPageBreak/>
        <w:t>6.3.</w:t>
      </w:r>
      <w:r w:rsidRPr="0065067C">
        <w:rPr>
          <w:rFonts w:ascii="Times New Roman" w:eastAsia="Times New Roman" w:hAnsi="Times New Roman" w:cs="Times New Roman"/>
          <w:b/>
          <w:bCs/>
          <w:lang w:val="sr-Latn-ME"/>
        </w:rPr>
        <w:tab/>
        <w:t>Rok upotrebe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Rok upotrebe prije otvaranja: 24 mjeseca.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Rok upotrebe se odnosi na ispravno uskladišten proizvod u originalnom, neoštećenom pakovanju.</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Jedanput otvorenu bočicu upotrebljavati najduže 20 dana.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6.4. </w:t>
      </w:r>
      <w:r w:rsidRPr="0065067C">
        <w:rPr>
          <w:rFonts w:ascii="Times New Roman" w:eastAsia="Times New Roman" w:hAnsi="Times New Roman" w:cs="Times New Roman"/>
          <w:b/>
          <w:bCs/>
          <w:lang w:val="sr-Latn-ME"/>
        </w:rPr>
        <w:tab/>
        <w:t>Posebne mjere upozorenja pri čuvanju lijeka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Lijek čuvati van domašaja djece.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Otvoreni lijek čuvati na temperaturi do 25°C.</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6.5. </w:t>
      </w:r>
      <w:r w:rsidRPr="0065067C">
        <w:rPr>
          <w:rFonts w:ascii="Times New Roman" w:eastAsia="Times New Roman" w:hAnsi="Times New Roman" w:cs="Times New Roman"/>
          <w:b/>
          <w:bCs/>
          <w:lang w:val="sr-Latn-ME"/>
        </w:rPr>
        <w:tab/>
        <w:t>Vrsta i sadržaj pakovanja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 xml:space="preserve">Boca od tamnog stakla (tip III), sa 10 ml rastvora, zatvorena aluminijumskim sigurnosnim zatvaračem sa troslojnim dihtungom. </w:t>
      </w:r>
    </w:p>
    <w:p w:rsidR="0065067C" w:rsidRPr="0065067C" w:rsidRDefault="0065067C" w:rsidP="00C7162D">
      <w:pPr>
        <w:autoSpaceDE w:val="0"/>
        <w:autoSpaceDN w:val="0"/>
        <w:adjustRightInd w:val="0"/>
        <w:spacing w:after="0" w:line="240" w:lineRule="auto"/>
        <w:jc w:val="both"/>
        <w:rPr>
          <w:rFonts w:ascii="Times New Roman" w:eastAsia="Times New Roman" w:hAnsi="Times New Roman" w:cs="Times New Roman"/>
          <w:lang w:val="sr-Latn-ME"/>
        </w:rPr>
      </w:pPr>
      <w:r w:rsidRPr="0065067C">
        <w:rPr>
          <w:rFonts w:ascii="Times New Roman" w:eastAsia="Times New Roman" w:hAnsi="Times New Roman" w:cs="Times New Roman"/>
          <w:lang w:val="sr-Latn-ME"/>
        </w:rPr>
        <w:t>Pakovanje je složiva kutija sa jednom bocom rastvora, sprej pumpom sa raspršivačem i Uputstvom za pacijenta.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6.6. </w:t>
      </w:r>
      <w:r w:rsidRPr="0065067C">
        <w:rPr>
          <w:rFonts w:ascii="Times New Roman" w:eastAsia="Times New Roman" w:hAnsi="Times New Roman" w:cs="Times New Roman"/>
          <w:b/>
          <w:bCs/>
          <w:lang w:val="sr-Latn-ME"/>
        </w:rPr>
        <w:tab/>
        <w:t xml:space="preserve">Posebne mjere opreza pri odlaganju materijala koji treba odbaciti nakon primjene lijeka </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Ne postoje posebni zahtjevi. Primijeniti uobičajene zakonom određene mjere.</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6.7. </w:t>
      </w:r>
      <w:r w:rsidRPr="0065067C">
        <w:rPr>
          <w:rFonts w:ascii="Times New Roman" w:eastAsia="Times New Roman" w:hAnsi="Times New Roman" w:cs="Times New Roman"/>
          <w:b/>
          <w:bCs/>
          <w:lang w:val="sr-Latn-ME"/>
        </w:rPr>
        <w:tab/>
        <w:t>Režim izdavanja lijeka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bookmarkStart w:id="41" w:name="OLE_LINK8"/>
      <w:bookmarkStart w:id="42" w:name="OLE_LINK9"/>
      <w:bookmarkStart w:id="43" w:name="OLE_LINK10"/>
      <w:r w:rsidRPr="0065067C">
        <w:rPr>
          <w:rFonts w:ascii="Times New Roman" w:eastAsia="Times New Roman" w:hAnsi="Times New Roman" w:cs="Times New Roman"/>
          <w:bCs/>
          <w:lang w:val="sr-Latn-ME"/>
        </w:rPr>
        <w:t>Lijek se može izdavati bez ljekarskog recepta.</w:t>
      </w:r>
      <w:bookmarkEnd w:id="41"/>
      <w:bookmarkEnd w:id="42"/>
      <w:bookmarkEnd w:id="43"/>
    </w:p>
    <w:p w:rsidR="00535415" w:rsidRPr="0065067C" w:rsidRDefault="00535415"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7. </w:t>
      </w:r>
      <w:r w:rsidRPr="0065067C">
        <w:rPr>
          <w:rFonts w:ascii="Times New Roman" w:eastAsia="Times New Roman" w:hAnsi="Times New Roman" w:cs="Times New Roman"/>
          <w:b/>
          <w:bCs/>
          <w:lang w:val="sr-Latn-ME"/>
        </w:rPr>
        <w:tab/>
        <w:t xml:space="preserve">NOSILAC DOZVOLE </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ab/>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bookmarkStart w:id="44" w:name="OLE_LINK11"/>
      <w:bookmarkStart w:id="45" w:name="OLE_LINK12"/>
      <w:r w:rsidRPr="0065067C">
        <w:rPr>
          <w:rFonts w:ascii="Times New Roman" w:eastAsia="Times New Roman" w:hAnsi="Times New Roman" w:cs="Times New Roman"/>
          <w:bCs/>
          <w:lang w:val="sr-Latn-ME"/>
        </w:rPr>
        <w:t>Farmont M.P. d.o.o.</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r w:rsidRPr="0065067C">
        <w:rPr>
          <w:rFonts w:ascii="Times New Roman" w:eastAsia="Times New Roman" w:hAnsi="Times New Roman" w:cs="Times New Roman"/>
          <w:bCs/>
          <w:lang w:val="sr-Latn-ME"/>
        </w:rPr>
        <w:t>Kosić, Stari put bb, Danilovgrad, Crna Gora</w:t>
      </w:r>
    </w:p>
    <w:bookmarkEnd w:id="44"/>
    <w:bookmarkEnd w:id="45"/>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8. </w:t>
      </w:r>
      <w:r w:rsidRPr="0065067C">
        <w:rPr>
          <w:rFonts w:ascii="Times New Roman" w:eastAsia="Times New Roman" w:hAnsi="Times New Roman" w:cs="Times New Roman"/>
          <w:b/>
          <w:bCs/>
          <w:lang w:val="sr-Latn-ME"/>
        </w:rPr>
        <w:tab/>
        <w:t>BROJ PRVE DOZVOLE/ OBNOVE DOZVOLE</w:t>
      </w:r>
    </w:p>
    <w:p w:rsid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8714D6" w:rsidRPr="0065067C" w:rsidRDefault="008714D6" w:rsidP="008714D6">
      <w:pPr>
        <w:tabs>
          <w:tab w:val="left" w:pos="540"/>
          <w:tab w:val="left" w:pos="569"/>
        </w:tabs>
        <w:spacing w:after="0" w:line="240" w:lineRule="auto"/>
        <w:jc w:val="both"/>
        <w:rPr>
          <w:rFonts w:ascii="Times New Roman" w:eastAsia="Times New Roman" w:hAnsi="Times New Roman" w:cs="Times New Roman"/>
          <w:bCs/>
          <w:lang w:val="sr-Latn-ME"/>
        </w:rPr>
      </w:pPr>
      <w:r w:rsidRPr="008714D6">
        <w:rPr>
          <w:rFonts w:ascii="Times New Roman" w:eastAsia="Times New Roman" w:hAnsi="Times New Roman" w:cs="Times New Roman"/>
          <w:bCs/>
          <w:lang w:val="sr-Latn-ME"/>
        </w:rPr>
        <w:t>Rinofluimucil®, sprej za nos, rastvor, 1% + 0,5%</w:t>
      </w:r>
      <w:r>
        <w:rPr>
          <w:rFonts w:ascii="Times New Roman" w:eastAsia="Times New Roman" w:hAnsi="Times New Roman" w:cs="Times New Roman"/>
          <w:bCs/>
          <w:lang w:val="sr-Latn-ME"/>
        </w:rPr>
        <w:t xml:space="preserve">, </w:t>
      </w:r>
      <w:r w:rsidRPr="008714D6">
        <w:rPr>
          <w:rFonts w:ascii="Times New Roman" w:eastAsia="Times New Roman" w:hAnsi="Times New Roman" w:cs="Times New Roman"/>
          <w:bCs/>
          <w:lang w:val="sr-Latn-ME"/>
        </w:rPr>
        <w:t>bočica, staklena, 1 x 10 ml</w:t>
      </w:r>
      <w:r>
        <w:rPr>
          <w:rFonts w:ascii="Times New Roman" w:eastAsia="Times New Roman" w:hAnsi="Times New Roman" w:cs="Times New Roman"/>
          <w:bCs/>
          <w:lang w:val="sr-Latn-ME"/>
        </w:rPr>
        <w:t xml:space="preserve">: </w:t>
      </w:r>
      <w:r w:rsidRPr="008714D6">
        <w:rPr>
          <w:rFonts w:ascii="Times New Roman" w:eastAsia="Times New Roman" w:hAnsi="Times New Roman" w:cs="Times New Roman"/>
          <w:bCs/>
          <w:lang w:val="sr-Latn-ME"/>
        </w:rPr>
        <w:t>2030/17/403 - 7103</w:t>
      </w:r>
    </w:p>
    <w:p w:rsid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8714D6" w:rsidRPr="0065067C" w:rsidRDefault="008714D6"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9. </w:t>
      </w:r>
      <w:r w:rsidRPr="0065067C">
        <w:rPr>
          <w:rFonts w:ascii="Times New Roman" w:eastAsia="Times New Roman" w:hAnsi="Times New Roman" w:cs="Times New Roman"/>
          <w:b/>
          <w:bCs/>
          <w:lang w:val="sr-Latn-ME"/>
        </w:rPr>
        <w:tab/>
        <w:t>DATUM PRVE DOZVOLE/ DATUM OBNOVE DOZVOLE</w:t>
      </w:r>
    </w:p>
    <w:p w:rsid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8714D6" w:rsidRPr="0065067C" w:rsidRDefault="008714D6" w:rsidP="008714D6">
      <w:pPr>
        <w:tabs>
          <w:tab w:val="left" w:pos="540"/>
          <w:tab w:val="left" w:pos="569"/>
        </w:tabs>
        <w:spacing w:after="0" w:line="240" w:lineRule="auto"/>
        <w:jc w:val="both"/>
        <w:rPr>
          <w:rFonts w:ascii="Times New Roman" w:eastAsia="Times New Roman" w:hAnsi="Times New Roman" w:cs="Times New Roman"/>
          <w:bCs/>
          <w:lang w:val="sr-Latn-ME"/>
        </w:rPr>
      </w:pPr>
      <w:r w:rsidRPr="008714D6">
        <w:rPr>
          <w:rFonts w:ascii="Times New Roman" w:eastAsia="Times New Roman" w:hAnsi="Times New Roman" w:cs="Times New Roman"/>
          <w:bCs/>
          <w:lang w:val="sr-Latn-ME"/>
        </w:rPr>
        <w:t>Rinofluimucil®, sprej za nos, rastvor, 1% + 0,5%</w:t>
      </w:r>
      <w:r>
        <w:rPr>
          <w:rFonts w:ascii="Times New Roman" w:eastAsia="Times New Roman" w:hAnsi="Times New Roman" w:cs="Times New Roman"/>
          <w:bCs/>
          <w:lang w:val="sr-Latn-ME"/>
        </w:rPr>
        <w:t xml:space="preserve">, </w:t>
      </w:r>
      <w:r w:rsidRPr="008714D6">
        <w:rPr>
          <w:rFonts w:ascii="Times New Roman" w:eastAsia="Times New Roman" w:hAnsi="Times New Roman" w:cs="Times New Roman"/>
          <w:bCs/>
          <w:lang w:val="sr-Latn-ME"/>
        </w:rPr>
        <w:t>bočica, staklena, 1 x 10 ml</w:t>
      </w:r>
      <w:r>
        <w:rPr>
          <w:rFonts w:ascii="Times New Roman" w:eastAsia="Times New Roman" w:hAnsi="Times New Roman" w:cs="Times New Roman"/>
          <w:bCs/>
          <w:lang w:val="sr-Latn-ME"/>
        </w:rPr>
        <w:t xml:space="preserve">: </w:t>
      </w:r>
      <w:r w:rsidRPr="008714D6">
        <w:rPr>
          <w:rFonts w:ascii="Times New Roman" w:eastAsia="Times New Roman" w:hAnsi="Times New Roman" w:cs="Times New Roman"/>
          <w:bCs/>
          <w:lang w:val="sr-Latn-ME"/>
        </w:rPr>
        <w:t>06.12.2017. godine</w:t>
      </w:r>
    </w:p>
    <w:p w:rsidR="008714D6" w:rsidRPr="0065067C" w:rsidRDefault="008714D6"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65067C" w:rsidRPr="0065067C" w:rsidRDefault="0065067C" w:rsidP="00C7162D">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65067C">
        <w:rPr>
          <w:rFonts w:ascii="Times New Roman" w:eastAsia="Times New Roman" w:hAnsi="Times New Roman" w:cs="Times New Roman"/>
          <w:b/>
          <w:bCs/>
          <w:lang w:val="sr-Latn-ME"/>
        </w:rPr>
        <w:t xml:space="preserve">10. </w:t>
      </w:r>
      <w:r w:rsidRPr="0065067C">
        <w:rPr>
          <w:rFonts w:ascii="Times New Roman" w:eastAsia="Times New Roman" w:hAnsi="Times New Roman" w:cs="Times New Roman"/>
          <w:b/>
          <w:bCs/>
          <w:lang w:val="sr-Latn-ME"/>
        </w:rPr>
        <w:tab/>
        <w:t>DATUM POSLEDNJE REVIZIJE TEKSTA SAŽETKA OSNOVNIH KARAKTERISTIKA LIJEKA</w:t>
      </w:r>
    </w:p>
    <w:p w:rsidR="0065067C" w:rsidRPr="0065067C" w:rsidRDefault="0065067C" w:rsidP="00C7162D">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7C4012" w:rsidRDefault="008714D6" w:rsidP="008714D6">
      <w:pPr>
        <w:tabs>
          <w:tab w:val="left" w:pos="540"/>
          <w:tab w:val="left" w:pos="569"/>
        </w:tabs>
        <w:spacing w:after="0" w:line="240" w:lineRule="auto"/>
        <w:jc w:val="both"/>
        <w:rPr>
          <w:rFonts w:ascii="Times New Roman" w:hAnsi="Times New Roman" w:cs="Times New Roman"/>
        </w:rPr>
      </w:pPr>
      <w:r>
        <w:rPr>
          <w:rFonts w:ascii="Times New Roman" w:eastAsia="Times New Roman" w:hAnsi="Times New Roman" w:cs="Times New Roman"/>
          <w:bCs/>
          <w:lang w:val="sr-Latn-ME"/>
        </w:rPr>
        <w:t>Decembar, 2017. godine</w:t>
      </w:r>
      <w:bookmarkStart w:id="46" w:name="_GoBack"/>
      <w:bookmarkEnd w:id="46"/>
      <w:r w:rsidR="00F1527C" w:rsidRPr="007C4012">
        <w:rPr>
          <w:rFonts w:ascii="Times New Roman" w:hAnsi="Times New Roman" w:cs="Times New Roman"/>
        </w:rPr>
        <w:tab/>
      </w:r>
    </w:p>
    <w:sectPr w:rsidR="009318B4" w:rsidRPr="007C4012" w:rsidSect="007C401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B4" w:rsidRDefault="00631BB4" w:rsidP="00FF2B5A">
      <w:pPr>
        <w:spacing w:after="0" w:line="240" w:lineRule="auto"/>
      </w:pPr>
      <w:r>
        <w:separator/>
      </w:r>
    </w:p>
  </w:endnote>
  <w:endnote w:type="continuationSeparator" w:id="0">
    <w:p w:rsidR="00631BB4" w:rsidRDefault="00631BB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714D6">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714D6">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C4012">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C4012">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B4" w:rsidRDefault="00631BB4" w:rsidP="00FF2B5A">
      <w:pPr>
        <w:spacing w:after="0" w:line="240" w:lineRule="auto"/>
      </w:pPr>
      <w:r>
        <w:separator/>
      </w:r>
    </w:p>
  </w:footnote>
  <w:footnote w:type="continuationSeparator" w:id="0">
    <w:p w:rsidR="00631BB4" w:rsidRDefault="00631BB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7C401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C4012" w:rsidRPr="007C4012" w:rsidRDefault="007C4012" w:rsidP="007C401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06A6"/>
    <w:multiLevelType w:val="hybridMultilevel"/>
    <w:tmpl w:val="7B6C592A"/>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0AFB"/>
    <w:multiLevelType w:val="hybridMultilevel"/>
    <w:tmpl w:val="DAACB98A"/>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F2DD0"/>
    <w:multiLevelType w:val="hybridMultilevel"/>
    <w:tmpl w:val="66F0A188"/>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A62A9"/>
    <w:multiLevelType w:val="hybridMultilevel"/>
    <w:tmpl w:val="8C68092A"/>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1146A"/>
    <w:rsid w:val="00461135"/>
    <w:rsid w:val="00535415"/>
    <w:rsid w:val="00631BB4"/>
    <w:rsid w:val="0065067C"/>
    <w:rsid w:val="00747C4B"/>
    <w:rsid w:val="007C4012"/>
    <w:rsid w:val="00805838"/>
    <w:rsid w:val="008714D6"/>
    <w:rsid w:val="00883AF2"/>
    <w:rsid w:val="009318B4"/>
    <w:rsid w:val="00934541"/>
    <w:rsid w:val="00A06058"/>
    <w:rsid w:val="00B234CE"/>
    <w:rsid w:val="00B34AF2"/>
    <w:rsid w:val="00C4240B"/>
    <w:rsid w:val="00C7162D"/>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0A54-B50D-463D-B2FD-FFEC8951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2017-06-23T09:30:00Z</dcterms:created>
  <dcterms:modified xsi:type="dcterms:W3CDTF">2018-01-25T14:36:00Z</dcterms:modified>
</cp:coreProperties>
</file>