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8B4" w:rsidRPr="006F1B3F" w:rsidRDefault="009318B4" w:rsidP="006F1B3F">
      <w:pPr>
        <w:rPr>
          <w:rFonts w:ascii="Times New Roman" w:hAnsi="Times New Roman" w:cs="Times New Roman"/>
        </w:rPr>
      </w:pPr>
    </w:p>
    <w:p w:rsidR="009318B4" w:rsidRPr="006F1B3F" w:rsidRDefault="009318B4" w:rsidP="006F1B3F">
      <w:pPr>
        <w:tabs>
          <w:tab w:val="left" w:pos="6150"/>
        </w:tabs>
        <w:rPr>
          <w:rFonts w:ascii="Times New Roman" w:hAnsi="Times New Roman" w:cs="Times New Roman"/>
        </w:rPr>
      </w:pPr>
    </w:p>
    <w:p w:rsidR="009318B4" w:rsidRPr="006F1B3F" w:rsidRDefault="009318B4" w:rsidP="006F1B3F">
      <w:pPr>
        <w:rPr>
          <w:rFonts w:ascii="Times New Roman" w:hAnsi="Times New Roman" w:cs="Times New Roman"/>
        </w:rPr>
      </w:pPr>
    </w:p>
    <w:p w:rsidR="00F1527C" w:rsidRPr="006F1B3F" w:rsidRDefault="00F1527C" w:rsidP="006F1B3F">
      <w:pPr>
        <w:rPr>
          <w:rFonts w:ascii="Times New Roman" w:hAnsi="Times New Roman" w:cs="Times New Roman"/>
        </w:rPr>
      </w:pPr>
    </w:p>
    <w:p w:rsidR="00F1527C" w:rsidRPr="006F1B3F" w:rsidRDefault="00F1527C" w:rsidP="006F1B3F">
      <w:pPr>
        <w:rPr>
          <w:rFonts w:ascii="Times New Roman" w:hAnsi="Times New Roman" w:cs="Times New Roman"/>
        </w:rPr>
      </w:pPr>
    </w:p>
    <w:p w:rsidR="00E02C92" w:rsidRPr="006F1B3F" w:rsidRDefault="00E02C92" w:rsidP="006F1B3F">
      <w:pPr>
        <w:spacing w:after="0" w:line="240" w:lineRule="auto"/>
        <w:contextualSpacing/>
        <w:jc w:val="center"/>
        <w:rPr>
          <w:rFonts w:ascii="Times New Roman" w:hAnsi="Times New Roman" w:cs="Times New Roman"/>
          <w:b/>
          <w:bCs/>
          <w:iCs/>
          <w:u w:val="single"/>
          <w:lang w:val="sr-Latn-CS"/>
        </w:rPr>
      </w:pPr>
    </w:p>
    <w:p w:rsidR="00E02C92" w:rsidRPr="006F1B3F" w:rsidRDefault="00E02C92" w:rsidP="006F1B3F">
      <w:pPr>
        <w:spacing w:after="0" w:line="240" w:lineRule="auto"/>
        <w:contextualSpacing/>
        <w:jc w:val="center"/>
        <w:rPr>
          <w:rFonts w:ascii="Times New Roman" w:hAnsi="Times New Roman" w:cs="Times New Roman"/>
          <w:b/>
          <w:bCs/>
          <w:iCs/>
          <w:u w:val="single"/>
          <w:lang w:val="sr-Latn-CS"/>
        </w:rPr>
      </w:pPr>
    </w:p>
    <w:p w:rsidR="00E02C92" w:rsidRPr="006F1B3F" w:rsidRDefault="00E02C92" w:rsidP="006F1B3F">
      <w:pPr>
        <w:spacing w:after="0" w:line="240" w:lineRule="auto"/>
        <w:contextualSpacing/>
        <w:jc w:val="center"/>
        <w:rPr>
          <w:rFonts w:ascii="Times New Roman" w:hAnsi="Times New Roman" w:cs="Times New Roman"/>
          <w:b/>
          <w:bCs/>
          <w:iCs/>
          <w:u w:val="single"/>
          <w:lang w:val="sr-Latn-CS"/>
        </w:rPr>
      </w:pPr>
    </w:p>
    <w:p w:rsidR="00E02C92" w:rsidRPr="006F1B3F" w:rsidRDefault="00E02C92" w:rsidP="006F1B3F">
      <w:pPr>
        <w:spacing w:after="0" w:line="240" w:lineRule="auto"/>
        <w:contextualSpacing/>
        <w:jc w:val="center"/>
        <w:rPr>
          <w:rFonts w:ascii="Times New Roman" w:hAnsi="Times New Roman" w:cs="Times New Roman"/>
          <w:b/>
          <w:bCs/>
          <w:iCs/>
          <w:u w:val="single"/>
          <w:lang w:val="sr-Latn-CS"/>
        </w:rPr>
      </w:pPr>
      <w:r w:rsidRPr="006F1B3F">
        <w:rPr>
          <w:rFonts w:ascii="Times New Roman" w:hAnsi="Times New Roman" w:cs="Times New Roman"/>
          <w:b/>
          <w:bCs/>
          <w:iCs/>
          <w:u w:val="single"/>
          <w:lang w:val="sr-Latn-CS"/>
        </w:rPr>
        <w:t>SAŽETAK KARAKTERISTIKA LIJEKA</w:t>
      </w:r>
    </w:p>
    <w:p w:rsidR="00E02C92" w:rsidRPr="006F1B3F" w:rsidRDefault="00E02C92" w:rsidP="006F1B3F">
      <w:pPr>
        <w:spacing w:after="0" w:line="240" w:lineRule="auto"/>
        <w:contextualSpacing/>
        <w:jc w:val="center"/>
        <w:rPr>
          <w:rFonts w:ascii="Times New Roman" w:hAnsi="Times New Roman" w:cs="Times New Roman"/>
          <w:b/>
          <w:bCs/>
          <w:i/>
          <w:iCs/>
          <w:u w:val="single"/>
          <w:lang w:val="sr-Latn-CS"/>
        </w:rPr>
      </w:pPr>
    </w:p>
    <w:p w:rsidR="00E02C92" w:rsidRPr="006F1B3F" w:rsidRDefault="00E02C92" w:rsidP="006F1B3F">
      <w:pPr>
        <w:spacing w:after="0" w:line="240" w:lineRule="auto"/>
        <w:contextualSpacing/>
        <w:jc w:val="center"/>
        <w:rPr>
          <w:rFonts w:ascii="Times New Roman" w:hAnsi="Times New Roman" w:cs="Times New Roman"/>
          <w:b/>
          <w:lang w:val="sr-Latn-CS"/>
        </w:rPr>
      </w:pPr>
      <w:r w:rsidRPr="006F1B3F">
        <w:rPr>
          <w:rFonts w:ascii="Times New Roman" w:hAnsi="Times New Roman" w:cs="Times New Roman"/>
          <w:b/>
          <w:lang w:val="sr-Latn-CS"/>
        </w:rPr>
        <w:t xml:space="preserve">Copaxone, rastvor za injekciju u napunjenom injekcionom špricu, 20 mg/ml, </w:t>
      </w:r>
    </w:p>
    <w:p w:rsidR="00E02C92" w:rsidRPr="006F1B3F" w:rsidRDefault="00E02C92" w:rsidP="006F1B3F">
      <w:pPr>
        <w:spacing w:after="0" w:line="240" w:lineRule="auto"/>
        <w:contextualSpacing/>
        <w:jc w:val="center"/>
        <w:rPr>
          <w:rFonts w:ascii="Times New Roman" w:hAnsi="Times New Roman" w:cs="Times New Roman"/>
          <w:b/>
          <w:lang w:val="sr-Latn-CS"/>
        </w:rPr>
      </w:pPr>
      <w:r w:rsidRPr="006F1B3F">
        <w:rPr>
          <w:rFonts w:ascii="Times New Roman" w:hAnsi="Times New Roman" w:cs="Times New Roman"/>
          <w:b/>
          <w:lang w:val="sr-Latn-CS"/>
        </w:rPr>
        <w:t>napunjeni injekcioni špric, 28x1ml</w:t>
      </w: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rPr>
      </w:pPr>
      <w:r w:rsidRPr="006F1B3F">
        <w:rPr>
          <w:rFonts w:ascii="Times New Roman" w:hAnsi="Times New Roman" w:cs="Times New Roman"/>
          <w:i/>
        </w:rPr>
        <w:tab/>
      </w:r>
      <w:r w:rsidRPr="006F1B3F">
        <w:rPr>
          <w:rFonts w:ascii="Times New Roman" w:hAnsi="Times New Roman" w:cs="Times New Roman"/>
          <w:i/>
        </w:rPr>
        <w:tab/>
      </w: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left" w:pos="2850"/>
        </w:tabs>
        <w:spacing w:after="0" w:line="240" w:lineRule="auto"/>
        <w:contextualSpacing/>
        <w:rPr>
          <w:rFonts w:ascii="Times New Roman" w:hAnsi="Times New Roman" w:cs="Times New Roman"/>
          <w:i/>
          <w:color w:val="FF0000"/>
        </w:rPr>
      </w:pPr>
      <w:r w:rsidRPr="006F1B3F">
        <w:rPr>
          <w:rFonts w:ascii="Times New Roman" w:hAnsi="Times New Roman" w:cs="Times New Roman"/>
          <w:i/>
          <w:color w:val="FF0000"/>
        </w:rPr>
        <w:tab/>
      </w:r>
    </w:p>
    <w:p w:rsidR="00E02C92" w:rsidRPr="006F1B3F" w:rsidRDefault="00E02C92" w:rsidP="006F1B3F">
      <w:pPr>
        <w:tabs>
          <w:tab w:val="left" w:pos="2850"/>
        </w:tabs>
        <w:spacing w:after="0" w:line="240" w:lineRule="auto"/>
        <w:contextualSpacing/>
        <w:rPr>
          <w:rFonts w:ascii="Times New Roman" w:hAnsi="Times New Roman" w:cs="Times New Roman"/>
          <w:i/>
          <w:color w:val="FF0000"/>
        </w:rPr>
      </w:pPr>
    </w:p>
    <w:p w:rsidR="00E02C92" w:rsidRPr="006F1B3F" w:rsidRDefault="00E02C92" w:rsidP="006F1B3F">
      <w:pPr>
        <w:tabs>
          <w:tab w:val="left" w:pos="2850"/>
        </w:tabs>
        <w:spacing w:after="0" w:line="240" w:lineRule="auto"/>
        <w:contextualSpacing/>
        <w:rPr>
          <w:rFonts w:ascii="Times New Roman" w:hAnsi="Times New Roman" w:cs="Times New Roman"/>
          <w:i/>
          <w:color w:val="FF0000"/>
        </w:rPr>
      </w:pPr>
    </w:p>
    <w:p w:rsidR="00E02C92" w:rsidRPr="006F1B3F" w:rsidRDefault="00E02C92" w:rsidP="006F1B3F">
      <w:pPr>
        <w:tabs>
          <w:tab w:val="left" w:pos="2850"/>
        </w:tabs>
        <w:spacing w:after="0" w:line="240" w:lineRule="auto"/>
        <w:contextualSpacing/>
        <w:rPr>
          <w:rFonts w:ascii="Times New Roman" w:hAnsi="Times New Roman" w:cs="Times New Roman"/>
          <w:i/>
          <w:color w:val="FF0000"/>
        </w:rPr>
      </w:pPr>
    </w:p>
    <w:p w:rsidR="00E02C92" w:rsidRPr="006F1B3F" w:rsidRDefault="00E02C92" w:rsidP="006F1B3F">
      <w:pPr>
        <w:tabs>
          <w:tab w:val="left" w:pos="2850"/>
        </w:tabs>
        <w:spacing w:after="0" w:line="240" w:lineRule="auto"/>
        <w:contextualSpacing/>
        <w:rPr>
          <w:rFonts w:ascii="Times New Roman" w:hAnsi="Times New Roman" w:cs="Times New Roman"/>
          <w:i/>
          <w:color w:val="FF0000"/>
        </w:rPr>
      </w:pPr>
    </w:p>
    <w:tbl>
      <w:tblPr>
        <w:tblW w:w="9360" w:type="dxa"/>
        <w:jc w:val="center"/>
        <w:tblLayout w:type="fixed"/>
        <w:tblLook w:val="0000" w:firstRow="0" w:lastRow="0" w:firstColumn="0" w:lastColumn="0" w:noHBand="0" w:noVBand="0"/>
      </w:tblPr>
      <w:tblGrid>
        <w:gridCol w:w="2160"/>
        <w:gridCol w:w="7200"/>
      </w:tblGrid>
      <w:tr w:rsidR="006F1B3F" w:rsidRPr="006F1B3F" w:rsidTr="00FB2B71">
        <w:trPr>
          <w:jc w:val="center"/>
        </w:trPr>
        <w:tc>
          <w:tcPr>
            <w:tcW w:w="2160" w:type="dxa"/>
            <w:vAlign w:val="bottom"/>
          </w:tcPr>
          <w:p w:rsidR="006F1B3F" w:rsidRPr="006F1B3F" w:rsidRDefault="006F1B3F" w:rsidP="00BE52CD">
            <w:pPr>
              <w:jc w:val="right"/>
              <w:rPr>
                <w:rFonts w:ascii="Times New Roman" w:hAnsi="Times New Roman" w:cs="Times New Roman"/>
              </w:rPr>
            </w:pPr>
            <w:r w:rsidRPr="006F1B3F">
              <w:rPr>
                <w:rFonts w:ascii="Times New Roman" w:hAnsi="Times New Roman" w:cs="Times New Roman"/>
                <w:lang w:val="sr-Latn-CS"/>
              </w:rPr>
              <w:t>Proizvođač:</w:t>
            </w:r>
          </w:p>
        </w:tc>
        <w:tc>
          <w:tcPr>
            <w:tcW w:w="7200" w:type="dxa"/>
            <w:vAlign w:val="bottom"/>
          </w:tcPr>
          <w:p w:rsidR="006F1B3F" w:rsidRPr="006F1B3F" w:rsidRDefault="006F1B3F" w:rsidP="00BE52CD">
            <w:pPr>
              <w:rPr>
                <w:rFonts w:ascii="Times New Roman" w:hAnsi="Times New Roman" w:cs="Times New Roman"/>
                <w:b/>
                <w:bCs/>
              </w:rPr>
            </w:pPr>
            <w:r w:rsidRPr="006F1B3F">
              <w:rPr>
                <w:rFonts w:ascii="Times New Roman" w:eastAsia="Times New Roman" w:hAnsi="Times New Roman" w:cs="Times New Roman"/>
                <w:b/>
                <w:iCs/>
              </w:rPr>
              <w:t>Teva Pharmaceuticals Europe B.V</w:t>
            </w:r>
            <w:r w:rsidRPr="006F1B3F">
              <w:rPr>
                <w:rFonts w:ascii="Times New Roman" w:hAnsi="Times New Roman" w:cs="Times New Roman"/>
                <w:b/>
                <w:iCs/>
              </w:rPr>
              <w:t>.</w:t>
            </w:r>
          </w:p>
        </w:tc>
      </w:tr>
      <w:tr w:rsidR="006F1B3F" w:rsidRPr="006F1B3F" w:rsidTr="00FB2B71">
        <w:trPr>
          <w:jc w:val="center"/>
        </w:trPr>
        <w:tc>
          <w:tcPr>
            <w:tcW w:w="2160" w:type="dxa"/>
            <w:vAlign w:val="bottom"/>
          </w:tcPr>
          <w:p w:rsidR="006F1B3F" w:rsidRPr="006F1B3F" w:rsidRDefault="006F1B3F" w:rsidP="00BE52CD">
            <w:pPr>
              <w:jc w:val="right"/>
              <w:rPr>
                <w:rFonts w:ascii="Times New Roman" w:hAnsi="Times New Roman" w:cs="Times New Roman"/>
              </w:rPr>
            </w:pPr>
            <w:r w:rsidRPr="006F1B3F">
              <w:rPr>
                <w:rFonts w:ascii="Times New Roman" w:hAnsi="Times New Roman" w:cs="Times New Roman"/>
              </w:rPr>
              <w:t>Adresa:</w:t>
            </w:r>
          </w:p>
        </w:tc>
        <w:tc>
          <w:tcPr>
            <w:tcW w:w="7200" w:type="dxa"/>
            <w:vAlign w:val="bottom"/>
          </w:tcPr>
          <w:p w:rsidR="006F1B3F" w:rsidRPr="006F1B3F" w:rsidRDefault="006F1B3F" w:rsidP="00BE52CD">
            <w:pPr>
              <w:rPr>
                <w:rFonts w:ascii="Times New Roman" w:hAnsi="Times New Roman" w:cs="Times New Roman"/>
                <w:b/>
                <w:bCs/>
              </w:rPr>
            </w:pPr>
            <w:r w:rsidRPr="006F1B3F">
              <w:rPr>
                <w:rFonts w:ascii="Times New Roman" w:eastAsia="Times New Roman" w:hAnsi="Times New Roman" w:cs="Times New Roman"/>
                <w:b/>
                <w:iCs/>
              </w:rPr>
              <w:t>Swensweg 5, 2031 GA Haarlem, Holandij</w:t>
            </w:r>
            <w:r w:rsidRPr="006F1B3F">
              <w:rPr>
                <w:rFonts w:ascii="Times New Roman" w:hAnsi="Times New Roman" w:cs="Times New Roman"/>
                <w:b/>
                <w:iCs/>
              </w:rPr>
              <w:t>a</w:t>
            </w:r>
          </w:p>
        </w:tc>
      </w:tr>
      <w:tr w:rsidR="006F1B3F" w:rsidRPr="006F1B3F" w:rsidTr="00FB2B71">
        <w:trPr>
          <w:jc w:val="center"/>
        </w:trPr>
        <w:tc>
          <w:tcPr>
            <w:tcW w:w="2160" w:type="dxa"/>
            <w:vAlign w:val="bottom"/>
          </w:tcPr>
          <w:p w:rsidR="006F1B3F" w:rsidRPr="006F1B3F" w:rsidRDefault="006F1B3F" w:rsidP="00BE52CD">
            <w:pPr>
              <w:jc w:val="right"/>
              <w:rPr>
                <w:rFonts w:ascii="Times New Roman" w:hAnsi="Times New Roman" w:cs="Times New Roman"/>
              </w:rPr>
            </w:pPr>
            <w:r w:rsidRPr="006F1B3F">
              <w:rPr>
                <w:rFonts w:ascii="Times New Roman" w:hAnsi="Times New Roman" w:cs="Times New Roman"/>
                <w:lang w:val="sr-Latn-CS"/>
              </w:rPr>
              <w:t>Podnosilac zahtjeva</w:t>
            </w:r>
            <w:r w:rsidRPr="006F1B3F">
              <w:rPr>
                <w:rFonts w:ascii="Times New Roman" w:hAnsi="Times New Roman" w:cs="Times New Roman"/>
              </w:rPr>
              <w:t>:</w:t>
            </w:r>
          </w:p>
        </w:tc>
        <w:tc>
          <w:tcPr>
            <w:tcW w:w="7200" w:type="dxa"/>
            <w:vAlign w:val="bottom"/>
          </w:tcPr>
          <w:p w:rsidR="006F1B3F" w:rsidRPr="006F1B3F" w:rsidRDefault="00A01FF0" w:rsidP="00BE52CD">
            <w:pPr>
              <w:rPr>
                <w:rFonts w:ascii="Times New Roman" w:hAnsi="Times New Roman" w:cs="Times New Roman"/>
                <w:b/>
                <w:bCs/>
              </w:rPr>
            </w:pPr>
            <w:r w:rsidRPr="00A01FF0">
              <w:rPr>
                <w:rFonts w:ascii="Times New Roman" w:eastAsia="Times New Roman" w:hAnsi="Times New Roman" w:cs="Times New Roman"/>
                <w:b/>
                <w:bCs/>
              </w:rPr>
              <w:t>Evropa Lek Pharma d.o.o. Podgorica</w:t>
            </w:r>
          </w:p>
        </w:tc>
      </w:tr>
      <w:tr w:rsidR="006F1B3F" w:rsidRPr="006F1B3F" w:rsidTr="00FB2B71">
        <w:trPr>
          <w:jc w:val="center"/>
        </w:trPr>
        <w:tc>
          <w:tcPr>
            <w:tcW w:w="2160" w:type="dxa"/>
            <w:vAlign w:val="bottom"/>
          </w:tcPr>
          <w:p w:rsidR="006F1B3F" w:rsidRPr="006F1B3F" w:rsidRDefault="006F1B3F" w:rsidP="00BE52CD">
            <w:pPr>
              <w:jc w:val="right"/>
              <w:rPr>
                <w:rFonts w:ascii="Times New Roman" w:hAnsi="Times New Roman" w:cs="Times New Roman"/>
              </w:rPr>
            </w:pPr>
            <w:r w:rsidRPr="006F1B3F">
              <w:rPr>
                <w:rFonts w:ascii="Times New Roman" w:hAnsi="Times New Roman" w:cs="Times New Roman"/>
                <w:lang w:val="sr-Latn-CS"/>
              </w:rPr>
              <w:t>Adresa:</w:t>
            </w:r>
          </w:p>
        </w:tc>
        <w:tc>
          <w:tcPr>
            <w:tcW w:w="7200" w:type="dxa"/>
            <w:vAlign w:val="bottom"/>
          </w:tcPr>
          <w:p w:rsidR="006F1B3F" w:rsidRPr="006F1B3F" w:rsidRDefault="00A01FF0" w:rsidP="00BE52CD">
            <w:pPr>
              <w:rPr>
                <w:rFonts w:ascii="Times New Roman" w:hAnsi="Times New Roman" w:cs="Times New Roman"/>
                <w:b/>
                <w:bCs/>
              </w:rPr>
            </w:pPr>
            <w:r w:rsidRPr="00A01FF0">
              <w:rPr>
                <w:rFonts w:ascii="Times New Roman" w:eastAsia="Times New Roman" w:hAnsi="Times New Roman" w:cs="Times New Roman"/>
                <w:b/>
                <w:lang w:val="sr-Latn-CS"/>
              </w:rPr>
              <w:t>Kritskog odreda 4/1, 81000 Podgorica, Crna Gora</w:t>
            </w:r>
          </w:p>
        </w:tc>
      </w:tr>
    </w:tbl>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BE52CD" w:rsidRDefault="00BE52CD" w:rsidP="006F1B3F">
      <w:pPr>
        <w:tabs>
          <w:tab w:val="center" w:pos="4677"/>
          <w:tab w:val="left" w:pos="5910"/>
        </w:tabs>
        <w:spacing w:after="0" w:line="240" w:lineRule="auto"/>
        <w:contextualSpacing/>
        <w:rPr>
          <w:rFonts w:ascii="Times New Roman" w:hAnsi="Times New Roman" w:cs="Times New Roman"/>
          <w:i/>
          <w:color w:val="FF0000"/>
        </w:rPr>
      </w:pPr>
    </w:p>
    <w:p w:rsidR="00BE52CD" w:rsidRDefault="00BE52CD" w:rsidP="006F1B3F">
      <w:pPr>
        <w:tabs>
          <w:tab w:val="center" w:pos="4677"/>
          <w:tab w:val="left" w:pos="5910"/>
        </w:tabs>
        <w:spacing w:after="0" w:line="240" w:lineRule="auto"/>
        <w:contextualSpacing/>
        <w:rPr>
          <w:rFonts w:ascii="Times New Roman" w:hAnsi="Times New Roman" w:cs="Times New Roman"/>
          <w:i/>
          <w:color w:val="FF0000"/>
        </w:rPr>
      </w:pPr>
    </w:p>
    <w:p w:rsidR="00BE52CD" w:rsidRPr="006F1B3F" w:rsidRDefault="00BE52CD"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tabs>
          <w:tab w:val="center" w:pos="4677"/>
          <w:tab w:val="left" w:pos="5910"/>
        </w:tabs>
        <w:spacing w:after="0" w:line="240" w:lineRule="auto"/>
        <w:contextualSpacing/>
        <w:rPr>
          <w:rFonts w:ascii="Times New Roman" w:hAnsi="Times New Roman" w:cs="Times New Roman"/>
          <w:i/>
          <w:color w:val="FF0000"/>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lastRenderedPageBreak/>
        <w:t>NAZIV LIJEKA</w:t>
      </w:r>
    </w:p>
    <w:p w:rsidR="00E02C92" w:rsidRPr="006F1B3F" w:rsidRDefault="00E02C92" w:rsidP="006F1B3F">
      <w:pPr>
        <w:tabs>
          <w:tab w:val="left" w:pos="5985"/>
        </w:tabs>
        <w:spacing w:after="0" w:line="240" w:lineRule="auto"/>
        <w:contextualSpacing/>
        <w:jc w:val="both"/>
        <w:rPr>
          <w:rFonts w:ascii="Times New Roman" w:hAnsi="Times New Roman" w:cs="Times New Roman"/>
          <w:color w:val="FF0000"/>
        </w:rPr>
      </w:pPr>
    </w:p>
    <w:p w:rsidR="00E02C92" w:rsidRPr="006F1B3F" w:rsidRDefault="00E02C92" w:rsidP="006F1B3F">
      <w:pPr>
        <w:tabs>
          <w:tab w:val="left" w:pos="5985"/>
        </w:tabs>
        <w:spacing w:after="0" w:line="240" w:lineRule="auto"/>
        <w:contextualSpacing/>
        <w:jc w:val="both"/>
        <w:rPr>
          <w:rFonts w:ascii="Times New Roman" w:hAnsi="Times New Roman" w:cs="Times New Roman"/>
        </w:rPr>
      </w:pPr>
      <w:r w:rsidRPr="006F1B3F">
        <w:rPr>
          <w:rFonts w:ascii="Times New Roman" w:hAnsi="Times New Roman" w:cs="Times New Roman"/>
        </w:rPr>
        <w:t>Copaxone 20 mg/ml rastvor za injekciju u napunjenom injekcionom špricu</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INN: glatiramer acetat</w:t>
      </w:r>
    </w:p>
    <w:p w:rsidR="00E02C92" w:rsidRPr="006F1B3F" w:rsidRDefault="00E02C92" w:rsidP="006F1B3F">
      <w:pPr>
        <w:spacing w:after="0" w:line="240" w:lineRule="auto"/>
        <w:contextualSpacing/>
        <w:jc w:val="both"/>
        <w:rPr>
          <w:rFonts w:ascii="Times New Roman" w:hAnsi="Times New Roman" w:cs="Times New Roman"/>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KVALITATIVNI I KVANTITATIVNI SASTAV</w:t>
      </w:r>
    </w:p>
    <w:p w:rsidR="00E02C92" w:rsidRPr="006F1B3F" w:rsidRDefault="00E02C92" w:rsidP="006F1B3F">
      <w:pPr>
        <w:spacing w:after="0" w:line="240" w:lineRule="auto"/>
        <w:contextualSpacing/>
        <w:jc w:val="both"/>
        <w:rPr>
          <w:rFonts w:ascii="Times New Roman" w:hAnsi="Times New Roman" w:cs="Times New Roman"/>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Jedan ml rastvora za injekciju sadrži 20 mg glatiramer acetata*, što odgovara 18 mg glatiramer baze po napunjenom injekcionom špricu.</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*Prosječna molekulska masa smješe glatiramer acetata je u rasponu od 5000-9000 daltona. Zbog njenog kompleksnog sastava, pojedini se polipeptidi ne mogu u potpunosti okarakterisati u smislu sekvenci aminokiselina, iako konačni sastav glatiramer acetatata nije sasvim nasumičan.</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Za cjelokupan popis pomoćnih supstanci, vidjeti dio 6.1.</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FARMACEUTSKI OBLIK</w:t>
      </w:r>
    </w:p>
    <w:p w:rsidR="00E02C92" w:rsidRPr="006F1B3F" w:rsidRDefault="00E02C92" w:rsidP="006F1B3F">
      <w:pPr>
        <w:spacing w:after="0" w:line="240" w:lineRule="auto"/>
        <w:contextualSpacing/>
        <w:jc w:val="both"/>
        <w:rPr>
          <w:rFonts w:ascii="Times New Roman" w:hAnsi="Times New Roman" w:cs="Times New Roman"/>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 xml:space="preserve">Rastvor za injekciju u napunjenom injekcionom špricu. </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Bistar rastvor bez vidljivih čestica.</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pH vrijednost rastvora za injekciju je 5.5-7.0 a osmolarnost oko 265 mOsmol/l.</w:t>
      </w:r>
    </w:p>
    <w:p w:rsidR="00E02C92" w:rsidRPr="006F1B3F" w:rsidRDefault="00E02C92" w:rsidP="006F1B3F">
      <w:pPr>
        <w:spacing w:after="0" w:line="240" w:lineRule="auto"/>
        <w:rPr>
          <w:rFonts w:ascii="Times New Roman" w:eastAsia="Times New Roman" w:hAnsi="Times New Roman" w:cs="Times New Roman"/>
          <w:color w:val="FF0000"/>
          <w:lang w:val="en-GB"/>
        </w:rPr>
      </w:pPr>
      <w:r w:rsidRPr="006F1B3F">
        <w:rPr>
          <w:rFonts w:ascii="Times New Roman" w:eastAsia="Times New Roman" w:hAnsi="Times New Roman" w:cs="Times New Roman"/>
          <w:color w:val="FF0000"/>
          <w:lang w:val="en-GB"/>
        </w:rPr>
        <w:t xml:space="preserve">      </w:t>
      </w: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KLINIČKI PODACI</w:t>
      </w:r>
    </w:p>
    <w:p w:rsidR="00E02C92" w:rsidRPr="006F1B3F" w:rsidRDefault="00E02C92" w:rsidP="006F1B3F">
      <w:pPr>
        <w:pStyle w:val="ListParagraph"/>
        <w:spacing w:after="0" w:line="240" w:lineRule="auto"/>
        <w:ind w:left="0"/>
        <w:jc w:val="both"/>
        <w:rPr>
          <w:rFonts w:ascii="Times New Roman" w:hAnsi="Times New Roman"/>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Terapijske indikacije</w:t>
      </w:r>
    </w:p>
    <w:p w:rsidR="00E02C92" w:rsidRPr="006F1B3F" w:rsidRDefault="00E02C92" w:rsidP="006F1B3F">
      <w:pPr>
        <w:spacing w:after="0" w:line="240" w:lineRule="auto"/>
        <w:contextualSpacing/>
        <w:jc w:val="both"/>
        <w:rPr>
          <w:rFonts w:ascii="Times New Roman" w:hAnsi="Times New Roman" w:cs="Times New Roman"/>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Lijek Copaxone</w:t>
      </w:r>
      <w:r w:rsidRPr="006F1B3F">
        <w:rPr>
          <w:rFonts w:ascii="Times New Roman" w:hAnsi="Times New Roman" w:cs="Times New Roman"/>
          <w:vertAlign w:val="superscript"/>
        </w:rPr>
        <w:t xml:space="preserve"> </w:t>
      </w:r>
      <w:r w:rsidRPr="006F1B3F">
        <w:rPr>
          <w:rFonts w:ascii="Times New Roman" w:hAnsi="Times New Roman" w:cs="Times New Roman"/>
        </w:rPr>
        <w:t>je indikovan u liječenju relapsnih oblika multiple skleroze (MS)</w:t>
      </w:r>
      <w:r w:rsidRPr="006F1B3F">
        <w:rPr>
          <w:rFonts w:ascii="Times New Roman" w:hAnsi="Times New Roman" w:cs="Times New Roman"/>
          <w:color w:val="FF0000"/>
        </w:rPr>
        <w:t xml:space="preserve"> </w:t>
      </w:r>
      <w:r w:rsidRPr="006F1B3F">
        <w:rPr>
          <w:rFonts w:ascii="Times New Roman" w:hAnsi="Times New Roman" w:cs="Times New Roman"/>
        </w:rPr>
        <w:t>(vidjeti odjeljak 5.1 za važne informacije o populaciji pacijenata kod koje je ustanovljena njegova efikasnost).</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Lijek Copaxone nije indikovan u primarnoj ili sekundarnoj progresivnoj multiploj sklerozi.</w:t>
      </w:r>
    </w:p>
    <w:p w:rsidR="00E02C92" w:rsidRPr="006F1B3F" w:rsidRDefault="00E02C92" w:rsidP="006F1B3F">
      <w:pPr>
        <w:pStyle w:val="ListParagraph"/>
        <w:spacing w:after="0" w:line="240" w:lineRule="auto"/>
        <w:ind w:left="0"/>
        <w:jc w:val="both"/>
        <w:rPr>
          <w:rFonts w:ascii="Times New Roman" w:hAnsi="Times New Roman"/>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Doziranje i način primjene</w:t>
      </w:r>
    </w:p>
    <w:p w:rsidR="00E02C92" w:rsidRPr="006F1B3F" w:rsidRDefault="00E02C92" w:rsidP="006F1B3F">
      <w:pPr>
        <w:spacing w:after="0" w:line="240" w:lineRule="auto"/>
        <w:contextualSpacing/>
        <w:jc w:val="both"/>
        <w:rPr>
          <w:rFonts w:ascii="Times New Roman" w:hAnsi="Times New Roman" w:cs="Times New Roman"/>
          <w:b/>
          <w:bCs/>
        </w:rPr>
      </w:pPr>
    </w:p>
    <w:p w:rsidR="00E02C92" w:rsidRPr="006F1B3F" w:rsidRDefault="00E02C92" w:rsidP="006F1B3F">
      <w:pPr>
        <w:spacing w:after="0" w:line="240" w:lineRule="auto"/>
        <w:contextualSpacing/>
        <w:jc w:val="both"/>
        <w:rPr>
          <w:rFonts w:ascii="Times New Roman" w:hAnsi="Times New Roman" w:cs="Times New Roman"/>
          <w:b/>
          <w:bCs/>
        </w:rPr>
      </w:pPr>
      <w:r w:rsidRPr="006F1B3F">
        <w:rPr>
          <w:rFonts w:ascii="Times New Roman" w:hAnsi="Times New Roman" w:cs="Times New Roman"/>
          <w:b/>
          <w:bCs/>
        </w:rPr>
        <w:t>Doziranje</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Preporučena doza kod odraslih je 20 mg glatiramer acetata (jedan napunjen injekcioni špric) koju treba primijeniti jednom dnevno supkutanom injekcijom.</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Za sada nije poznato koliko dugo liječenje treba da traje.</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Odluku o dugotrajnom liječenju mora donijeti ljekar prema statusu svakog pacijenta pojedinačno.</w:t>
      </w:r>
    </w:p>
    <w:p w:rsidR="00E02C92" w:rsidRPr="006F1B3F" w:rsidRDefault="00E02C92" w:rsidP="006F1B3F">
      <w:pPr>
        <w:spacing w:after="0" w:line="240" w:lineRule="auto"/>
        <w:contextualSpacing/>
        <w:jc w:val="both"/>
        <w:rPr>
          <w:rFonts w:ascii="Times New Roman" w:hAnsi="Times New Roman" w:cs="Times New Roman"/>
          <w:b/>
          <w:color w:val="FF0000"/>
        </w:rPr>
      </w:pPr>
    </w:p>
    <w:p w:rsidR="00E02C92" w:rsidRPr="006F1B3F" w:rsidRDefault="00E02C92" w:rsidP="006F1B3F">
      <w:pPr>
        <w:spacing w:after="0" w:line="240" w:lineRule="auto"/>
        <w:contextualSpacing/>
        <w:jc w:val="both"/>
        <w:rPr>
          <w:rFonts w:ascii="Times New Roman" w:hAnsi="Times New Roman" w:cs="Times New Roman"/>
          <w:i/>
        </w:rPr>
      </w:pPr>
      <w:r w:rsidRPr="006F1B3F">
        <w:rPr>
          <w:rFonts w:ascii="Times New Roman" w:hAnsi="Times New Roman" w:cs="Times New Roman"/>
          <w:i/>
        </w:rPr>
        <w:t xml:space="preserve">Pedijatrijska populacija </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Djeca i adolescenti:</w:t>
      </w:r>
      <w:r w:rsidRPr="006F1B3F">
        <w:rPr>
          <w:rFonts w:ascii="Times New Roman" w:hAnsi="Times New Roman" w:cs="Times New Roman"/>
          <w:color w:val="FF0000"/>
        </w:rPr>
        <w:t xml:space="preserve"> </w:t>
      </w:r>
      <w:r w:rsidRPr="006F1B3F">
        <w:rPr>
          <w:rFonts w:ascii="Times New Roman" w:hAnsi="Times New Roman" w:cs="Times New Roman"/>
        </w:rPr>
        <w:t xml:space="preserve">kod djece ili adolescenata nisu vršena prospektivna, randomizovana, kontrolisana klinička ispitivanja ili farmakokinetičke studije. Međutim, ograničeni objavljeni podaci sugerišu da je bezbjednosni profil kod svakodnevne supkutane primjene lijeka Copaxone 20 mg kod adolescenata uzrasta od 12 do 18 godina sličan onom kod odraslih. Nema dovoljno dostupnih podataka o primjeni lijeka Copaxone kod djece mlađe od 12 godina da bi se mogla preporučiti primjena lijeka. Zbog toga, lijek Copaxone se ne smije koristiti kod djece mlađe od 12 godina. </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i/>
        </w:rPr>
        <w:lastRenderedPageBreak/>
        <w:t>Stariji pacijenti</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Primjena lijeka Copaxone nije posebno ispitivana kod osoba starije životne dobi.</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color w:val="FF0000"/>
        </w:rPr>
      </w:pPr>
      <w:r w:rsidRPr="006F1B3F">
        <w:rPr>
          <w:rFonts w:ascii="Times New Roman" w:hAnsi="Times New Roman" w:cs="Times New Roman"/>
          <w:i/>
        </w:rPr>
        <w:t>Pacijenti sa oštećenjem funkcije bubrega:</w:t>
      </w:r>
      <w:r w:rsidRPr="006F1B3F">
        <w:rPr>
          <w:rFonts w:ascii="Times New Roman" w:hAnsi="Times New Roman" w:cs="Times New Roman"/>
          <w:color w:val="FF0000"/>
        </w:rPr>
        <w:t xml:space="preserve"> </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Lijek Copaxone nije posebno ispitivan kod pacijenata sa oštećenom bubrežnom funkcijom (vidjeti odjeljak 4.4.).</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spacing w:after="0" w:line="240" w:lineRule="auto"/>
        <w:contextualSpacing/>
        <w:jc w:val="both"/>
        <w:rPr>
          <w:rFonts w:ascii="Times New Roman" w:hAnsi="Times New Roman" w:cs="Times New Roman"/>
          <w:b/>
          <w:bCs/>
        </w:rPr>
      </w:pPr>
      <w:r w:rsidRPr="006F1B3F">
        <w:rPr>
          <w:rFonts w:ascii="Times New Roman" w:hAnsi="Times New Roman" w:cs="Times New Roman"/>
          <w:b/>
          <w:bCs/>
        </w:rPr>
        <w:t>Način primjene</w:t>
      </w: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Pacijente je potrebno uputiti u tehniku samostalnog davanja injekcije, a medicinski nadzor potreban je pri samostalnom davanju injekcije prvog puta, kao i 30 minuta nakon prve primjene.</w:t>
      </w:r>
    </w:p>
    <w:p w:rsidR="00E02C92" w:rsidRPr="006F1B3F" w:rsidRDefault="00E02C92" w:rsidP="006F1B3F">
      <w:pPr>
        <w:spacing w:after="0" w:line="240" w:lineRule="auto"/>
        <w:contextualSpacing/>
        <w:jc w:val="both"/>
        <w:rPr>
          <w:rFonts w:ascii="Times New Roman" w:hAnsi="Times New Roman" w:cs="Times New Roman"/>
        </w:rPr>
      </w:pPr>
    </w:p>
    <w:p w:rsidR="00E02C92" w:rsidRPr="006F1B3F" w:rsidRDefault="00E02C92" w:rsidP="006F1B3F">
      <w:pPr>
        <w:spacing w:after="0" w:line="240" w:lineRule="auto"/>
        <w:contextualSpacing/>
        <w:jc w:val="both"/>
        <w:rPr>
          <w:rFonts w:ascii="Times New Roman" w:hAnsi="Times New Roman" w:cs="Times New Roman"/>
        </w:rPr>
      </w:pPr>
      <w:r w:rsidRPr="006F1B3F">
        <w:rPr>
          <w:rFonts w:ascii="Times New Roman" w:hAnsi="Times New Roman" w:cs="Times New Roman"/>
        </w:rPr>
        <w:t>Svaki dan potrebno je injekciju davati u drugo mjesto kako bi se smanjila mogućnost bilo kakve iritacije ili bola na mjestu davanja injekcije. Injekcije se obično daju u stomak, ruke, bokove i bedra.</w:t>
      </w:r>
    </w:p>
    <w:p w:rsidR="00E02C92" w:rsidRPr="006F1B3F" w:rsidRDefault="00E02C92" w:rsidP="006F1B3F">
      <w:pPr>
        <w:spacing w:after="0" w:line="240" w:lineRule="auto"/>
        <w:contextualSpacing/>
        <w:jc w:val="both"/>
        <w:rPr>
          <w:rFonts w:ascii="Times New Roman" w:hAnsi="Times New Roman" w:cs="Times New Roman"/>
          <w:color w:val="FF0000"/>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 xml:space="preserve"> Kontraindikacije</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Lijek Copaxone je kontraindikovan kod sljedećih stanja:</w:t>
      </w:r>
    </w:p>
    <w:p w:rsidR="00E02C92" w:rsidRPr="006F1B3F" w:rsidRDefault="00E02C92" w:rsidP="00BB0BCA">
      <w:pPr>
        <w:pStyle w:val="ListParagraph"/>
        <w:numPr>
          <w:ilvl w:val="0"/>
          <w:numId w:val="4"/>
        </w:numPr>
        <w:spacing w:after="0" w:line="240" w:lineRule="auto"/>
        <w:ind w:left="426" w:hanging="284"/>
        <w:jc w:val="both"/>
        <w:rPr>
          <w:rFonts w:ascii="Times New Roman" w:hAnsi="Times New Roman"/>
        </w:rPr>
      </w:pPr>
      <w:r w:rsidRPr="006F1B3F">
        <w:rPr>
          <w:rFonts w:ascii="Times New Roman" w:hAnsi="Times New Roman"/>
        </w:rPr>
        <w:t>preosjetljivost na glatiramer acetat ili manitol.</w:t>
      </w:r>
    </w:p>
    <w:p w:rsidR="00E02C92" w:rsidRPr="006F1B3F" w:rsidRDefault="00E02C92" w:rsidP="006F1B3F">
      <w:pPr>
        <w:pStyle w:val="ListParagraph"/>
        <w:spacing w:after="0" w:line="240" w:lineRule="auto"/>
        <w:ind w:left="0"/>
        <w:jc w:val="both"/>
        <w:rPr>
          <w:rFonts w:ascii="Times New Roman" w:hAnsi="Times New Roman"/>
          <w:color w:val="FF0000"/>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 xml:space="preserve"> Posebna upozorenja i mjere opreza pri upotrebi lijeka</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Lijek Copaxone se smije davati jedino supkutanom injekcijom. Ne smije se davati intravenski ili intramuskularno.</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Uvođenje lijeka Copaxone mora nadzirati neurolog ili ljekar sa iskustvom u liječenju multiple skleroze.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Zaduženi ljekar mora objasniti pacijentu da se unutar nekoliko minuta nakon primjene injekcije lijeka Copaxone može javiti reakcija povezana sa najmanje jednim od sljedećih simptoma: vazodilatacija (crvenilo praćeno osjećajem vrućine), bol u grudima, dispneja, palpitacije ili tahikardija. Većina tih simptoma je kratkotrajna i povlači se spontano bez posljedica. U slučaju pojave teških neželjenih dejstava, pacijent mora odmah prekinuti liječenje lijekom Copaxone i kontaktirati svog ljekara ili hitnu pomoć. Po procjeni ljekara, može se započeti simptomatsko liječenje.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Nema dokaza koji bi upućivali da bi bilo koja određena grupa pacijenata bila pod posebnim rizikom za te reakcije. Svejedno je potreban oprez pri primjeni lijeka Copaxone kod pacijenata sa postojećim srčanim poremećajima. Ti pacijenti se moraju redovno nadzirati tokom liječenja.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Rijetko su zabilježene konvulzije i/ili anafilaktoidne ili alergijske reakcije.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Rijetko se mogu dogoditi ozbiljne reakcije preosjetljivosti (na primjer bronhospazam, anafilaksija ili urtikarija). Ako su reakcije teške, mora se prekinuti primjena lijeka Copaxone i primijeniti odgovarajuće liječenje.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Reaktivna antitijela na glatiramer acetat otkrivena su u serumu pacijenata tokom dugotrajne svakodnevne primjene lijeka Copaxone. Maksimalan nivo postignut je nakon prosječnog trajanja liječenja od 3 do 4 mjeseca, nakon čega se smanjivao i stabilizovao na nivou malo višem od osnovnog.</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Nema podataka koji bi ukazivali da reaktivna antitijela na glatiramer acetat imaju neutralizirajuće djelovanje ili da njihovo stvaranje utiče na kliničku efikasnost lijeka Copaxone.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Kod pacijenata sa oštećenom bubrežnom funkcijom, tokom liječenja lijekom Copaxone potrebno je nadzirati funkciju bubrega. Iako nema dokaza o glomerularnom taloženju imunih kompleksa kod pacijenata, ta se mogućnost ne može isključiti.</w:t>
      </w:r>
    </w:p>
    <w:p w:rsidR="00E02C92" w:rsidRDefault="00E02C92" w:rsidP="006F1B3F">
      <w:pPr>
        <w:spacing w:after="0" w:line="240" w:lineRule="auto"/>
        <w:jc w:val="both"/>
        <w:rPr>
          <w:rFonts w:ascii="Times New Roman" w:hAnsi="Times New Roman" w:cs="Times New Roman"/>
          <w:color w:val="FF0000"/>
        </w:rPr>
      </w:pPr>
    </w:p>
    <w:p w:rsidR="006F1B3F" w:rsidRPr="006F1B3F" w:rsidRDefault="006F1B3F" w:rsidP="006F1B3F">
      <w:pPr>
        <w:spacing w:after="0" w:line="240" w:lineRule="auto"/>
        <w:jc w:val="both"/>
        <w:rPr>
          <w:rFonts w:ascii="Times New Roman" w:hAnsi="Times New Roman" w:cs="Times New Roman"/>
          <w:color w:val="FF0000"/>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lastRenderedPageBreak/>
        <w:t>Interakcije sa drugim ljekovima i druge vrste interakcija</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Nisu u potpunosti ocijenjene interakcije između lijeka Copaxone</w:t>
      </w:r>
      <w:r w:rsidRPr="006F1B3F">
        <w:rPr>
          <w:rFonts w:ascii="Times New Roman" w:hAnsi="Times New Roman" w:cs="Times New Roman"/>
          <w:vertAlign w:val="superscript"/>
        </w:rPr>
        <w:t xml:space="preserve"> </w:t>
      </w:r>
      <w:r w:rsidRPr="006F1B3F">
        <w:rPr>
          <w:rFonts w:ascii="Times New Roman" w:hAnsi="Times New Roman" w:cs="Times New Roman"/>
        </w:rPr>
        <w:t>i ostalih ljekova.</w:t>
      </w:r>
    </w:p>
    <w:p w:rsid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Zapažanja iz postojećih kliničkih ispitivanja i iskustva nakon stavljanja lijeka u promet ne ukazuju na bilo koje značajne interakcije lijeka Copaxone sa terapijama koje se uobičajeno koriste kod pacijenata sa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MS-om, uključujući i istovremenu primjenu kortikosteroida u trajanju do 28 dana.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Istraživanja </w:t>
      </w:r>
      <w:r w:rsidRPr="006F1B3F">
        <w:rPr>
          <w:rFonts w:ascii="Times New Roman" w:hAnsi="Times New Roman" w:cs="Times New Roman"/>
          <w:i/>
        </w:rPr>
        <w:t>in vitro</w:t>
      </w:r>
      <w:r w:rsidRPr="006F1B3F">
        <w:rPr>
          <w:rFonts w:ascii="Times New Roman" w:hAnsi="Times New Roman" w:cs="Times New Roman"/>
        </w:rPr>
        <w:t xml:space="preserve"> pokazuju da se glatiramer acetat u krvi snažno veže za proteine plazme i da ga iz te veze ne istiskuju fenitoin ili karbamazepin, niti glatiramer acetat istiskuje njih. Uprkos tome, teorijski, zbog potencijala lijeka Copaxone</w:t>
      </w:r>
      <w:r w:rsidRPr="006F1B3F">
        <w:rPr>
          <w:rFonts w:ascii="Times New Roman" w:hAnsi="Times New Roman" w:cs="Times New Roman"/>
          <w:vertAlign w:val="superscript"/>
        </w:rPr>
        <w:t xml:space="preserve"> </w:t>
      </w:r>
      <w:r w:rsidRPr="006F1B3F">
        <w:rPr>
          <w:rFonts w:ascii="Times New Roman" w:hAnsi="Times New Roman" w:cs="Times New Roman"/>
        </w:rPr>
        <w:t>da utiče na distribuciju supstanci vezanih za proteine, istovremeno uzimanje tih ljekova se mora pažljivo nadzirati.</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Primjena u periodu trudnoće i dojenja</w:t>
      </w:r>
    </w:p>
    <w:p w:rsidR="00E02C92" w:rsidRPr="006F1B3F" w:rsidRDefault="00E02C92" w:rsidP="006F1B3F">
      <w:pPr>
        <w:pStyle w:val="ListParagraph"/>
        <w:spacing w:after="0" w:line="240" w:lineRule="auto"/>
        <w:ind w:left="0"/>
        <w:jc w:val="both"/>
        <w:rPr>
          <w:rFonts w:ascii="Times New Roman" w:hAnsi="Times New Roman"/>
          <w:b/>
          <w:color w:val="FF0000"/>
        </w:rPr>
      </w:pPr>
    </w:p>
    <w:p w:rsidR="00E02C92" w:rsidRPr="006F1B3F" w:rsidRDefault="00E02C92" w:rsidP="006F1B3F">
      <w:pPr>
        <w:spacing w:after="0" w:line="240" w:lineRule="auto"/>
        <w:jc w:val="both"/>
        <w:rPr>
          <w:rFonts w:ascii="Times New Roman" w:hAnsi="Times New Roman" w:cs="Times New Roman"/>
          <w:i/>
        </w:rPr>
      </w:pPr>
      <w:r w:rsidRPr="006F1B3F">
        <w:rPr>
          <w:rFonts w:ascii="Times New Roman" w:hAnsi="Times New Roman" w:cs="Times New Roman"/>
          <w:i/>
        </w:rPr>
        <w:t>Trudnoća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Ispitivanja na životinjama ne ukazuju na reproduktivnu toksičnost (vidjeti odjeljak 5.3). </w:t>
      </w:r>
    </w:p>
    <w:p w:rsidR="00E02C92" w:rsidRPr="006F1B3F" w:rsidRDefault="00E02C92" w:rsidP="006F1B3F">
      <w:pPr>
        <w:spacing w:after="0" w:line="240" w:lineRule="auto"/>
        <w:jc w:val="both"/>
        <w:rPr>
          <w:rFonts w:ascii="Times New Roman" w:hAnsi="Times New Roman" w:cs="Times New Roman"/>
          <w:i/>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Trenutni podaci o trudnicama ne ukazuju na malformativnu ili feto/neonatalnu toksičnost lijeka Copaxone. Do danas nisu dostupni relevantni epidemiološki podaci. Kao mjera predostrožnosti, savjetuje se da se izbjegava primjena lijeka Copaxone u trudnoći, osim ako korist za majku opravdava rizik za plod. </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i/>
        </w:rPr>
      </w:pPr>
      <w:r w:rsidRPr="006F1B3F">
        <w:rPr>
          <w:rFonts w:ascii="Times New Roman" w:hAnsi="Times New Roman" w:cs="Times New Roman"/>
          <w:i/>
        </w:rPr>
        <w:t>Dojenje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Nema dostupnih podataka o izlučivanju glatiramer acetata, njegovih metabolita ili antitijela u ljudsko mlijeko. Potreban je oprez pri davanju lijeka Copaxone dojiljama. Mora se razmotriti relativni rizik i korist za majku i dijete.</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Uticaj na psihofizičke sposobnosti prilikom upravljanja motornim vozilom i rukovanja mašinama</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Nisu ispitivani efekti na sposobnost upravljanja vozilima i rada na mašinama.</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b/>
        </w:rPr>
        <w:t xml:space="preserve"> Neželjena dejstva</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U svim kliničkim ispitivanjima, reakcije na mjestu davanja injekcije bile su najčešća neželjena dejstva i prijavila ih je većina pacijenata koji su primali Copaxone. U kontrolisanim studijama, procenat pacijenata koji su barem jednom prijavili te reakcije bio je veći kod onih koji su primali Copaxone (70%), nego kod onih koji su primali injekcije placeba (37%). Najčešće prijavljene reakcije, u kliničkim ispitivanjima i nakon stavljanja lijeka u promet, na mjestu primjene injekcije bile su eritem, bol, otok, svrab, edem, upala, preosjetljivost i rijetko slučajevi lipoatrofije i nekroze kože.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Reakcija povezana sa barem jednim ili više sljedećih simptoma: vazodilatacija (crvenilo uz osjećaj vrućine), bol u grudima, dispneja, palpitacije ili tahikardija, opisana je kao </w:t>
      </w:r>
      <w:r w:rsidRPr="006F1B3F">
        <w:rPr>
          <w:rFonts w:ascii="Times New Roman" w:hAnsi="Times New Roman" w:cs="Times New Roman"/>
          <w:i/>
        </w:rPr>
        <w:t>neposredna postinjekciona reakcija.</w:t>
      </w:r>
      <w:r w:rsidRPr="006F1B3F">
        <w:rPr>
          <w:rFonts w:ascii="Times New Roman" w:hAnsi="Times New Roman" w:cs="Times New Roman"/>
        </w:rPr>
        <w:t xml:space="preserve"> Do te reakcije može doći unutar nekoliko minuta nakon primjene injekcije lijeka Copaxone. Barem jedan od simptoma takve </w:t>
      </w:r>
      <w:r w:rsidRPr="006F1B3F">
        <w:rPr>
          <w:rFonts w:ascii="Times New Roman" w:hAnsi="Times New Roman" w:cs="Times New Roman"/>
          <w:i/>
        </w:rPr>
        <w:t>neposredne postinjekcione reakcije</w:t>
      </w:r>
      <w:r w:rsidRPr="006F1B3F">
        <w:rPr>
          <w:rFonts w:ascii="Times New Roman" w:hAnsi="Times New Roman" w:cs="Times New Roman"/>
        </w:rPr>
        <w:t xml:space="preserve"> prijavilo je barem jednom 31% pacijenata koji su primali lijek Copaxone, u poređenju s 13% pacijenata koji su primali placebo.</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color w:val="FF0000"/>
        </w:rPr>
      </w:pPr>
      <w:r w:rsidRPr="006F1B3F">
        <w:rPr>
          <w:rFonts w:ascii="Times New Roman" w:hAnsi="Times New Roman" w:cs="Times New Roman"/>
        </w:rPr>
        <w:t>Sva neželjena dejstva, koja su češće zabilježena kod pacijenata sa Copaxone vs. placebo, nalaze se u donjoj tablici. Ti podaci potiču iz 4 pivotalna, dvostruko slijepa, placebom kontrolisana klinička ispitivanja u kojima je učestvovalo 512 pacijenata koji su primali lijek Copaxone</w:t>
      </w:r>
      <w:r w:rsidRPr="006F1B3F">
        <w:rPr>
          <w:rFonts w:ascii="Times New Roman" w:hAnsi="Times New Roman" w:cs="Times New Roman"/>
          <w:b/>
        </w:rPr>
        <w:t xml:space="preserve"> </w:t>
      </w:r>
      <w:r w:rsidRPr="006F1B3F">
        <w:rPr>
          <w:rFonts w:ascii="Times New Roman" w:hAnsi="Times New Roman" w:cs="Times New Roman"/>
        </w:rPr>
        <w:t>i 509 pacijenata</w:t>
      </w:r>
      <w:r w:rsidRPr="006F1B3F">
        <w:rPr>
          <w:rFonts w:ascii="Times New Roman" w:hAnsi="Times New Roman" w:cs="Times New Roman"/>
          <w:b/>
        </w:rPr>
        <w:t xml:space="preserve"> </w:t>
      </w:r>
      <w:r w:rsidRPr="006F1B3F">
        <w:rPr>
          <w:rFonts w:ascii="Times New Roman" w:hAnsi="Times New Roman" w:cs="Times New Roman"/>
        </w:rPr>
        <w:t xml:space="preserve">na placebu, u periodu do 36 mjeseci. Tri ispitivanja relapsno-remitirajuće MS (RRMS) uključila su 269 pacijanata koji su primali lijek </w:t>
      </w:r>
      <w:r w:rsidRPr="006F1B3F">
        <w:rPr>
          <w:rFonts w:ascii="Times New Roman" w:hAnsi="Times New Roman" w:cs="Times New Roman"/>
        </w:rPr>
        <w:lastRenderedPageBreak/>
        <w:t>Copaxone i 271 pacijenta koji su primali placebo, u periodu do 35 mjeseci. Četvrto ispitivanje na pacijentima koji su imali prvu kliničku epizodu i koji su visokorizični za razvoj klinički jasne multiple skleroze uključivalo je 243 pacijenta koji su dobijali lijek Copaxone i 238 pacijenta na placebu, u periodu do 36 mjeseci.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42"/>
        <w:gridCol w:w="2073"/>
        <w:gridCol w:w="2329"/>
        <w:gridCol w:w="2978"/>
      </w:tblGrid>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Klasifikacija organskih sistema (SOC)</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Vrlo često</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(≥1/10)</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Često</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(≥1/100 i &lt;1/10)</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Povremeno</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(≥1/1000 i &lt;1/100)</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Infekcije i infestacije</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infekcija, grip</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bronhitis, gastroenteritis, herpes simplex, otitis media, rinitis, zubni apscesi, vaginalna kandidijaza*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apsces, celulitis, furunkuli, herpes zoster, pijelonefritis</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Neoplazme, benigne,</w:t>
            </w:r>
            <w:r w:rsidR="00BB0BCA">
              <w:rPr>
                <w:rFonts w:ascii="Times New Roman" w:hAnsi="Times New Roman" w:cs="Times New Roman"/>
              </w:rPr>
              <w:t xml:space="preserve"> </w:t>
            </w:r>
            <w:r w:rsidRPr="006F1B3F">
              <w:rPr>
                <w:rFonts w:ascii="Times New Roman" w:hAnsi="Times New Roman" w:cs="Times New Roman"/>
              </w:rPr>
              <w:t>maligne i nespecifične (uključujući ciste i polipe)</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benigne neoplazme kože, neoplazme</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karcinom kože</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krvi i limfnog sistema</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 limfadenopatija*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leukocitoza, leukopenija, splenomegalija, trombocitopenija, abnormalna morfologija limfocita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imunološkog sistema</w:t>
            </w:r>
          </w:p>
        </w:tc>
        <w:tc>
          <w:tcPr>
            <w:tcW w:w="2073" w:type="dxa"/>
          </w:tcPr>
          <w:p w:rsidR="00E02C92" w:rsidRPr="006F1B3F" w:rsidDel="00D90CF2"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p>
          <w:p w:rsidR="00E02C92" w:rsidRPr="006F1B3F" w:rsidDel="001937DF" w:rsidRDefault="00E02C92" w:rsidP="006F1B3F">
            <w:pPr>
              <w:spacing w:after="0" w:line="240" w:lineRule="auto"/>
              <w:rPr>
                <w:rFonts w:ascii="Times New Roman" w:hAnsi="Times New Roman" w:cs="Times New Roman"/>
              </w:rPr>
            </w:pPr>
            <w:r w:rsidRPr="006F1B3F">
              <w:rPr>
                <w:rFonts w:ascii="Times New Roman" w:hAnsi="Times New Roman" w:cs="Times New Roman"/>
              </w:rPr>
              <w:t>preosjetljivost</w:t>
            </w:r>
          </w:p>
        </w:tc>
        <w:tc>
          <w:tcPr>
            <w:tcW w:w="2978" w:type="dxa"/>
          </w:tcPr>
          <w:p w:rsidR="00E02C92" w:rsidRPr="006F1B3F" w:rsidDel="00D90CF2" w:rsidRDefault="00E02C92" w:rsidP="006F1B3F">
            <w:pPr>
              <w:spacing w:after="0" w:line="240" w:lineRule="auto"/>
              <w:rPr>
                <w:rFonts w:ascii="Times New Roman" w:hAnsi="Times New Roman" w:cs="Times New Roman"/>
              </w:rPr>
            </w:pP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Endokrini poremećaji</w:t>
            </w:r>
            <w:r w:rsidRPr="006F1B3F" w:rsidDel="006F1766">
              <w:rPr>
                <w:rFonts w:ascii="Times New Roman" w:hAnsi="Times New Roman" w:cs="Times New Roman"/>
              </w:rPr>
              <w:t xml:space="preserve"> </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guša, hipertireoidizam</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metabolizma i ishrane</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anoreksija, porast tjelesne težine*</w:t>
            </w:r>
          </w:p>
        </w:tc>
        <w:tc>
          <w:tcPr>
            <w:tcW w:w="2978" w:type="dxa"/>
          </w:tcPr>
          <w:p w:rsidR="00E02C92" w:rsidRPr="006F1B3F" w:rsidRDefault="00E02C92" w:rsidP="00BB0BCA">
            <w:pPr>
              <w:spacing w:after="0" w:line="240" w:lineRule="auto"/>
              <w:rPr>
                <w:rFonts w:ascii="Times New Roman" w:hAnsi="Times New Roman" w:cs="Times New Roman"/>
              </w:rPr>
            </w:pPr>
            <w:r w:rsidRPr="006F1B3F">
              <w:rPr>
                <w:rFonts w:ascii="Times New Roman" w:hAnsi="Times New Roman" w:cs="Times New Roman"/>
              </w:rPr>
              <w:t>intolerancija alkohola, giht, hiperlipidemija, povišene vrijednosti natrijima u krvi, snižene vrijednosti feritina u serumu</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Psihijatrijski poremećaji</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anksioznost*, depresija</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nervoza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abnormalni snovi, konfuzno stanje, euforično raspoloženje, halucinacije, neprijateljsko raspoloženje, manija, poremećaj ličnosti, pokušaj suicida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nervnog sistema</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glavobolja</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disgeuzija, hipertonija, migrena, poremećaj govora, sinkopa,</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tremor*</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sindrom karpalnog tunela, kognitivni poremećaji, konvulzije, disgrafija, disleksija, distonija, motorna disfunkcija, mioklonus, neuritis, neuromuskularna blokada, nistagmus, paraliza, paraliza nerva peroneusa, stupor, defekt vidnog polja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oka</w:t>
            </w:r>
            <w:r w:rsidRPr="006F1B3F" w:rsidDel="004D4E92">
              <w:rPr>
                <w:rFonts w:ascii="Times New Roman" w:hAnsi="Times New Roman" w:cs="Times New Roman"/>
              </w:rPr>
              <w:t xml:space="preserve"> </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diplopija, </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 oka*</w:t>
            </w:r>
          </w:p>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katarakta, lezije rožnjače, suvo oko, krvarenje u oku, ptoza kapka, midrijaza, optička atrofija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lastRenderedPageBreak/>
              <w:t>Poremećaji uha i labirinta</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 uha</w:t>
            </w:r>
          </w:p>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color w:val="FF0000"/>
              </w:rPr>
            </w:pP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Srčani poremećaji</w:t>
            </w:r>
            <w:r w:rsidRPr="006F1B3F" w:rsidDel="006F1766">
              <w:rPr>
                <w:rFonts w:ascii="Times New Roman" w:hAnsi="Times New Roman" w:cs="Times New Roman"/>
              </w:rPr>
              <w:t xml:space="preserve"> </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 </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 palpitacije*, tahikardija*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ekstrasistole, sinus bradikardija, paroksizmalna tahikardija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Vaskularni poremećaji</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vazodilatacija*</w:t>
            </w:r>
          </w:p>
        </w:tc>
        <w:tc>
          <w:tcPr>
            <w:tcW w:w="2329" w:type="dxa"/>
          </w:tcPr>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varikozne vene</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respiratornog sistema, toraksa i medijastinuma</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dispneja*</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kašalj, sezonski rinitis</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apneja, epistaksa, hiperventilacija,laringospazam, plućni poremećaj, osjećaj gušenja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probavnog sistema</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mučnina*</w:t>
            </w:r>
          </w:p>
        </w:tc>
        <w:tc>
          <w:tcPr>
            <w:tcW w:w="2329" w:type="dxa"/>
          </w:tcPr>
          <w:p w:rsidR="00E02C92" w:rsidRPr="006F1B3F" w:rsidRDefault="00E02C92" w:rsidP="00BB0BCA">
            <w:pPr>
              <w:spacing w:after="0" w:line="240" w:lineRule="auto"/>
              <w:rPr>
                <w:rFonts w:ascii="Times New Roman" w:hAnsi="Times New Roman" w:cs="Times New Roman"/>
              </w:rPr>
            </w:pPr>
            <w:r w:rsidRPr="006F1B3F">
              <w:rPr>
                <w:rFonts w:ascii="Times New Roman" w:hAnsi="Times New Roman" w:cs="Times New Roman"/>
              </w:rPr>
              <w:t>anorektalni poremećaj, konstipacija, dentalni karijes, dispepsija, disfagija, fekalna inkontinencija, povraćanje*</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kolitis, polip kolona, enterokolitis, eruktacija, ezofagealni ulcer, periodontitis, rektalno krvarenje, povećanje pljuvačnih žlijezda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jetre i žuči</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abnormalne vrijednosti testova jetrene funkcije</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kolelitijaza, hepatomegalija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kože i potkožnog tkiva</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osip*</w:t>
            </w:r>
          </w:p>
        </w:tc>
        <w:tc>
          <w:tcPr>
            <w:tcW w:w="2329" w:type="dxa"/>
          </w:tcPr>
          <w:p w:rsidR="00E02C92" w:rsidRPr="006F1B3F" w:rsidRDefault="00E02C92" w:rsidP="00BB0BCA">
            <w:pPr>
              <w:spacing w:after="0" w:line="240" w:lineRule="auto"/>
              <w:rPr>
                <w:rFonts w:ascii="Times New Roman" w:hAnsi="Times New Roman" w:cs="Times New Roman"/>
              </w:rPr>
            </w:pPr>
            <w:r w:rsidRPr="006F1B3F">
              <w:rPr>
                <w:rFonts w:ascii="Times New Roman" w:hAnsi="Times New Roman" w:cs="Times New Roman"/>
              </w:rPr>
              <w:t>ekhimoza, pojačano znojenje (hiperhidroza), svrab, poremećaj kože*, urtikarija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angioedem, kontaktni dermatitis, erythema</w:t>
            </w:r>
          </w:p>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nodozum, čvor na koži</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Poremećaji mišićno – koštanog  sistema i vezivnog tkiva </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artralgija, bol u leđima*</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bol u vratu </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 xml:space="preserve">artritis, burzitis, bol u kuku, mišićna atrofija, osteoartritis </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bubrega i urinarnog sistema</w:t>
            </w:r>
            <w:r w:rsidRPr="006F1B3F" w:rsidDel="004D4E92">
              <w:rPr>
                <w:rFonts w:ascii="Times New Roman" w:hAnsi="Times New Roman" w:cs="Times New Roman"/>
              </w:rPr>
              <w:t xml:space="preserve"> </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urgencija mokrenja, retencija urina, učestalo mokrenje</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hematurija, nefrolitijaza, poremećaj urinarnog trakta, abnormalnosti mokraće</w:t>
            </w:r>
            <w:r w:rsidRPr="006F1B3F" w:rsidDel="00D90CF2">
              <w:rPr>
                <w:rFonts w:ascii="Times New Roman" w:hAnsi="Times New Roman" w:cs="Times New Roman"/>
              </w:rPr>
              <w:t xml:space="preserve"> </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Stanja vezana uz trudnoću, puerperijum i perinatalni period</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abortus</w:t>
            </w:r>
          </w:p>
          <w:p w:rsidR="00E02C92" w:rsidRPr="006F1B3F" w:rsidRDefault="00E02C92" w:rsidP="006F1B3F">
            <w:pPr>
              <w:spacing w:after="0" w:line="240" w:lineRule="auto"/>
              <w:rPr>
                <w:rFonts w:ascii="Times New Roman" w:hAnsi="Times New Roman" w:cs="Times New Roman"/>
              </w:rPr>
            </w:pP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Poremećaji reproduktivnog sistema i dojki</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povećanje dojki, erektilna disfunkcija, karlični prolaps, prijapizam, poremećaj prostate, abnormalni nalaz brisa cerviksa, vaginalno krvarenje, vulovaginalni poremećaj</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Opšti poremećaji i reakcije na mjestu primjene</w:t>
            </w:r>
            <w:r w:rsidRPr="006F1B3F" w:rsidDel="006F1766">
              <w:rPr>
                <w:rFonts w:ascii="Times New Roman" w:hAnsi="Times New Roman" w:cs="Times New Roman"/>
              </w:rPr>
              <w:t xml:space="preserve"> </w:t>
            </w:r>
          </w:p>
        </w:tc>
        <w:tc>
          <w:tcPr>
            <w:tcW w:w="2073"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astenija, bol u grudima, reakcije na mjestu primjene injekcije*§, bol*</w:t>
            </w:r>
          </w:p>
        </w:tc>
        <w:tc>
          <w:tcPr>
            <w:tcW w:w="2329"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groznica*, edem lica*, atrofija na mjestu primjene injekcije</w:t>
            </w:r>
            <w:r w:rsidRPr="006F1B3F">
              <w:rPr>
                <w:rFonts w:ascii="Times New Roman" w:hAnsi="Times New Roman" w:cs="Times New Roman"/>
                <w:vertAlign w:val="superscript"/>
              </w:rPr>
              <w:t>♣</w:t>
            </w:r>
            <w:r w:rsidRPr="006F1B3F">
              <w:rPr>
                <w:rFonts w:ascii="Times New Roman" w:hAnsi="Times New Roman" w:cs="Times New Roman"/>
              </w:rPr>
              <w:t>, lokalna reakcija*, periferni edem, edem, pireksija</w:t>
            </w: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ciste, mamurnost, hipotermija, trenutna reakcija nakon primjene injekcije, upala, nekroza na mjestu primjene injekcije, poremećaji mukoznih membrana</w:t>
            </w:r>
          </w:p>
        </w:tc>
      </w:tr>
      <w:tr w:rsidR="00BB7A96" w:rsidRPr="006F1B3F" w:rsidTr="00BB7A96">
        <w:tc>
          <w:tcPr>
            <w:tcW w:w="2242"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lastRenderedPageBreak/>
              <w:t>Povrede, trovanja i proceduralne komplikacije</w:t>
            </w:r>
          </w:p>
        </w:tc>
        <w:tc>
          <w:tcPr>
            <w:tcW w:w="2073" w:type="dxa"/>
          </w:tcPr>
          <w:p w:rsidR="00E02C92" w:rsidRPr="006F1B3F" w:rsidRDefault="00E02C92" w:rsidP="006F1B3F">
            <w:pPr>
              <w:spacing w:after="0" w:line="240" w:lineRule="auto"/>
              <w:rPr>
                <w:rFonts w:ascii="Times New Roman" w:hAnsi="Times New Roman" w:cs="Times New Roman"/>
              </w:rPr>
            </w:pPr>
          </w:p>
        </w:tc>
        <w:tc>
          <w:tcPr>
            <w:tcW w:w="2329" w:type="dxa"/>
          </w:tcPr>
          <w:p w:rsidR="00E02C92" w:rsidRPr="006F1B3F" w:rsidRDefault="00E02C92" w:rsidP="006F1B3F">
            <w:pPr>
              <w:spacing w:after="0" w:line="240" w:lineRule="auto"/>
              <w:rPr>
                <w:rFonts w:ascii="Times New Roman" w:hAnsi="Times New Roman" w:cs="Times New Roman"/>
              </w:rPr>
            </w:pPr>
          </w:p>
        </w:tc>
        <w:tc>
          <w:tcPr>
            <w:tcW w:w="2978" w:type="dxa"/>
          </w:tcPr>
          <w:p w:rsidR="00E02C92" w:rsidRPr="006F1B3F" w:rsidRDefault="00E02C92" w:rsidP="006F1B3F">
            <w:pPr>
              <w:spacing w:after="0" w:line="240" w:lineRule="auto"/>
              <w:rPr>
                <w:rFonts w:ascii="Times New Roman" w:hAnsi="Times New Roman" w:cs="Times New Roman"/>
              </w:rPr>
            </w:pPr>
            <w:r w:rsidRPr="006F1B3F">
              <w:rPr>
                <w:rFonts w:ascii="Times New Roman" w:hAnsi="Times New Roman" w:cs="Times New Roman"/>
              </w:rPr>
              <w:t>postvakcinalni sindrom</w:t>
            </w:r>
          </w:p>
        </w:tc>
      </w:tr>
    </w:tbl>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BB0BCA">
      <w:pPr>
        <w:spacing w:before="80" w:after="0" w:line="240" w:lineRule="auto"/>
        <w:jc w:val="both"/>
        <w:rPr>
          <w:rFonts w:ascii="Times New Roman" w:hAnsi="Times New Roman" w:cs="Times New Roman"/>
        </w:rPr>
      </w:pPr>
      <w:r w:rsidRPr="006F1B3F">
        <w:rPr>
          <w:rFonts w:ascii="Times New Roman" w:hAnsi="Times New Roman" w:cs="Times New Roman"/>
        </w:rPr>
        <w:t>*Za više od 2% (&gt;2/100) veća incidencija je u grupi koja je primala Copaxone, nego u grupi koja je primala placebo. Neželjena dejstva bez oznake * predstavljaju razliku manju ili jednaku 2%.</w:t>
      </w:r>
    </w:p>
    <w:p w:rsidR="00E02C92" w:rsidRPr="006F1B3F" w:rsidRDefault="00E02C92" w:rsidP="00BB0BCA">
      <w:pPr>
        <w:spacing w:before="80" w:after="0" w:line="240" w:lineRule="auto"/>
        <w:jc w:val="both"/>
        <w:rPr>
          <w:rFonts w:ascii="Times New Roman" w:hAnsi="Times New Roman" w:cs="Times New Roman"/>
        </w:rPr>
      </w:pPr>
      <w:r w:rsidRPr="006F1B3F">
        <w:rPr>
          <w:rFonts w:ascii="Times New Roman" w:hAnsi="Times New Roman" w:cs="Times New Roman"/>
        </w:rPr>
        <w:t>§ Izraz reakcije na mjestu primjene injekcije (različite vrste) obuhvata sve štetne događaje na mjestu primjene injekcije, osim atrofije i nekroze na mjestu primjene injekcije koje su navedene odvojeno u tablici.</w:t>
      </w:r>
    </w:p>
    <w:p w:rsidR="00E02C92" w:rsidRPr="006F1B3F" w:rsidRDefault="00E02C92" w:rsidP="00BB0BCA">
      <w:pPr>
        <w:spacing w:before="80" w:after="0" w:line="240" w:lineRule="auto"/>
        <w:jc w:val="both"/>
        <w:rPr>
          <w:rFonts w:ascii="Times New Roman" w:hAnsi="Times New Roman" w:cs="Times New Roman"/>
        </w:rPr>
      </w:pPr>
      <w:r w:rsidRPr="006F1B3F">
        <w:rPr>
          <w:rFonts w:ascii="Times New Roman" w:hAnsi="Times New Roman" w:cs="Times New Roman"/>
          <w:vertAlign w:val="superscript"/>
        </w:rPr>
        <w:t xml:space="preserve">♣ </w:t>
      </w:r>
      <w:r w:rsidRPr="006F1B3F">
        <w:rPr>
          <w:rFonts w:ascii="Times New Roman" w:hAnsi="Times New Roman" w:cs="Times New Roman"/>
        </w:rPr>
        <w:t>Uključuje pojmove koji se odnose na lokalizovanu lipoatrofiju na mjestima primjene injekcije.</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numPr>
          <w:ilvl w:val="12"/>
          <w:numId w:val="0"/>
        </w:numPr>
        <w:spacing w:after="0" w:line="240" w:lineRule="auto"/>
        <w:jc w:val="both"/>
        <w:rPr>
          <w:rFonts w:ascii="Times New Roman" w:hAnsi="Times New Roman" w:cs="Times New Roman"/>
        </w:rPr>
      </w:pPr>
      <w:r w:rsidRPr="006F1B3F">
        <w:rPr>
          <w:rFonts w:ascii="Times New Roman" w:hAnsi="Times New Roman" w:cs="Times New Roman"/>
        </w:rPr>
        <w:t xml:space="preserve">U četvrtom ispitivanju navedenom gore, otvorena faza liječenja uslijedila je nakon perioda kontrolisanog placebom (vidjeti odjeljak 5.1). Nisu zapažene promjene u poznatom profilu rizika lijeka Copaxone tokom praćenja otvorene faze u periodu do 5 godina. </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u w:val="single"/>
        </w:rPr>
      </w:pPr>
      <w:r w:rsidRPr="006F1B3F">
        <w:rPr>
          <w:rFonts w:ascii="Times New Roman" w:hAnsi="Times New Roman" w:cs="Times New Roman"/>
          <w:u w:val="single"/>
        </w:rPr>
        <w:t xml:space="preserve">Sljedeća neželjena desjtva su prikupljena od oboljelih od MS-a liječenih lijekom Copaxone tokom nekontrolisanih kliničkih ispitivanja i nakon stavljanja lijeka u promet: preakcije preosjetljivosti  (uključujući rijetke slučajeve anafilaksije, &gt;1/10000, &lt; 1/1000). </w:t>
      </w:r>
    </w:p>
    <w:p w:rsidR="00E02C92" w:rsidRPr="006F1B3F" w:rsidRDefault="00E02C92" w:rsidP="006F1B3F">
      <w:pPr>
        <w:spacing w:after="0" w:line="240" w:lineRule="auto"/>
        <w:jc w:val="both"/>
        <w:rPr>
          <w:rFonts w:ascii="Times New Roman" w:hAnsi="Times New Roman" w:cs="Times New Roman"/>
          <w:u w:val="single"/>
        </w:rPr>
      </w:pPr>
    </w:p>
    <w:p w:rsidR="00E02C92" w:rsidRPr="006F1B3F" w:rsidRDefault="00E02C92" w:rsidP="006F1B3F">
      <w:pPr>
        <w:rPr>
          <w:rFonts w:ascii="Times New Roman" w:hAnsi="Times New Roman" w:cs="Times New Roman"/>
          <w:u w:val="single"/>
          <w:lang w:val="sr-Latn-RS"/>
        </w:rPr>
      </w:pPr>
      <w:r w:rsidRPr="006F1B3F">
        <w:rPr>
          <w:rFonts w:ascii="Times New Roman" w:hAnsi="Times New Roman" w:cs="Times New Roman"/>
          <w:u w:val="single"/>
          <w:lang w:val="sr-Latn-RS"/>
        </w:rPr>
        <w:t>Prijavljivanje sumnji na neželjena dejstva</w:t>
      </w:r>
    </w:p>
    <w:p w:rsidR="00E02C92" w:rsidRPr="006F1B3F" w:rsidRDefault="00E02C92" w:rsidP="006F1B3F">
      <w:pPr>
        <w:spacing w:line="240" w:lineRule="auto"/>
        <w:jc w:val="both"/>
        <w:rPr>
          <w:rFonts w:ascii="Times New Roman" w:hAnsi="Times New Roman" w:cs="Times New Roman"/>
        </w:rPr>
      </w:pPr>
      <w:r w:rsidRPr="006F1B3F">
        <w:rPr>
          <w:rFonts w:ascii="Times New Roman" w:hAnsi="Times New Roman" w:cs="Times New Roman"/>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E02C92" w:rsidRPr="006F1B3F" w:rsidRDefault="00E02C92" w:rsidP="006F1B3F">
      <w:pPr>
        <w:spacing w:after="0" w:line="240" w:lineRule="auto"/>
        <w:jc w:val="both"/>
        <w:rPr>
          <w:rFonts w:ascii="Times New Roman" w:hAnsi="Times New Roman" w:cs="Times New Roman"/>
          <w:lang w:val="sr-Latn-RS"/>
        </w:rPr>
      </w:pPr>
      <w:r w:rsidRPr="006F1B3F">
        <w:rPr>
          <w:rFonts w:ascii="Times New Roman" w:hAnsi="Times New Roman" w:cs="Times New Roman"/>
          <w:lang w:val="sr-Latn-RS"/>
        </w:rPr>
        <w:t>Agencija za ljekove i medicinska sredstva Crne Gore</w:t>
      </w:r>
    </w:p>
    <w:p w:rsidR="00E02C92" w:rsidRPr="006F1B3F" w:rsidRDefault="00E02C92" w:rsidP="006F1B3F">
      <w:pPr>
        <w:spacing w:after="0" w:line="240" w:lineRule="auto"/>
        <w:jc w:val="both"/>
        <w:rPr>
          <w:rFonts w:ascii="Times New Roman" w:hAnsi="Times New Roman" w:cs="Times New Roman"/>
          <w:lang w:val="sr-Latn-RS"/>
        </w:rPr>
      </w:pPr>
      <w:r w:rsidRPr="006F1B3F">
        <w:rPr>
          <w:rFonts w:ascii="Times New Roman" w:hAnsi="Times New Roman" w:cs="Times New Roman"/>
          <w:lang w:val="sr-Latn-RS"/>
        </w:rPr>
        <w:t>Odjeljenje za farmakovigilancu</w:t>
      </w:r>
    </w:p>
    <w:p w:rsidR="00E02C92" w:rsidRPr="006F1B3F" w:rsidRDefault="00E02C92" w:rsidP="006F1B3F">
      <w:pPr>
        <w:spacing w:after="0" w:line="240" w:lineRule="auto"/>
        <w:jc w:val="both"/>
        <w:rPr>
          <w:rFonts w:ascii="Times New Roman" w:hAnsi="Times New Roman" w:cs="Times New Roman"/>
          <w:lang w:val="sr-Latn-RS"/>
        </w:rPr>
      </w:pPr>
      <w:r w:rsidRPr="006F1B3F">
        <w:rPr>
          <w:rFonts w:ascii="Times New Roman" w:hAnsi="Times New Roman" w:cs="Times New Roman"/>
          <w:lang w:val="sr-Latn-RS"/>
        </w:rPr>
        <w:t>Bulevar Ivana Crnojevića 64a, 81000 Podgorica</w:t>
      </w:r>
    </w:p>
    <w:p w:rsidR="00E02C92" w:rsidRPr="006F1B3F" w:rsidRDefault="00E02C92" w:rsidP="006F1B3F">
      <w:pPr>
        <w:spacing w:after="0" w:line="240" w:lineRule="auto"/>
        <w:jc w:val="both"/>
        <w:rPr>
          <w:rFonts w:ascii="Times New Roman" w:hAnsi="Times New Roman" w:cs="Times New Roman"/>
          <w:lang w:val="sr-Latn-RS"/>
        </w:rPr>
      </w:pPr>
    </w:p>
    <w:p w:rsidR="00E02C92" w:rsidRPr="006F1B3F" w:rsidRDefault="00E02C92" w:rsidP="006F1B3F">
      <w:pPr>
        <w:spacing w:after="0" w:line="240" w:lineRule="auto"/>
        <w:jc w:val="both"/>
        <w:rPr>
          <w:rFonts w:ascii="Times New Roman" w:hAnsi="Times New Roman" w:cs="Times New Roman"/>
          <w:lang w:val="sr-Latn-RS"/>
        </w:rPr>
      </w:pPr>
      <w:r w:rsidRPr="006F1B3F">
        <w:rPr>
          <w:rFonts w:ascii="Times New Roman" w:hAnsi="Times New Roman" w:cs="Times New Roman"/>
          <w:lang w:val="sr-Latn-RS"/>
        </w:rPr>
        <w:t>tel: +382 (0) 20 310 280</w:t>
      </w:r>
    </w:p>
    <w:p w:rsidR="00E02C92" w:rsidRPr="006F1B3F" w:rsidRDefault="00E02C92" w:rsidP="006F1B3F">
      <w:pPr>
        <w:spacing w:after="0" w:line="240" w:lineRule="auto"/>
        <w:jc w:val="both"/>
        <w:rPr>
          <w:rFonts w:ascii="Times New Roman" w:hAnsi="Times New Roman" w:cs="Times New Roman"/>
          <w:lang w:val="sr-Latn-RS"/>
        </w:rPr>
      </w:pPr>
      <w:r w:rsidRPr="006F1B3F">
        <w:rPr>
          <w:rFonts w:ascii="Times New Roman" w:hAnsi="Times New Roman" w:cs="Times New Roman"/>
          <w:lang w:val="sr-Latn-RS"/>
        </w:rPr>
        <w:t>fax: +382 (0) 20 310 581</w:t>
      </w:r>
    </w:p>
    <w:p w:rsidR="00E02C92" w:rsidRPr="006F1B3F" w:rsidRDefault="006143A3" w:rsidP="006F1B3F">
      <w:pPr>
        <w:spacing w:after="0" w:line="240" w:lineRule="auto"/>
        <w:jc w:val="both"/>
        <w:rPr>
          <w:rFonts w:ascii="Times New Roman" w:hAnsi="Times New Roman" w:cs="Times New Roman"/>
          <w:lang w:val="sr-Latn-RS"/>
        </w:rPr>
      </w:pPr>
      <w:hyperlink r:id="rId8" w:history="1">
        <w:r w:rsidR="00E02C92" w:rsidRPr="006F1B3F">
          <w:rPr>
            <w:rFonts w:ascii="Times New Roman" w:hAnsi="Times New Roman" w:cs="Times New Roman"/>
            <w:color w:val="0000FF"/>
            <w:u w:val="single"/>
            <w:lang w:val="sr-Latn-RS"/>
          </w:rPr>
          <w:t>www.calims.me</w:t>
        </w:r>
      </w:hyperlink>
    </w:p>
    <w:p w:rsidR="00E02C92" w:rsidRPr="006F1B3F" w:rsidRDefault="006143A3" w:rsidP="006F1B3F">
      <w:pPr>
        <w:spacing w:after="0" w:line="240" w:lineRule="auto"/>
        <w:jc w:val="both"/>
        <w:rPr>
          <w:rFonts w:ascii="Times New Roman" w:hAnsi="Times New Roman" w:cs="Times New Roman"/>
          <w:color w:val="0000FF"/>
          <w:u w:val="single"/>
          <w:lang w:val="sr-Latn-RS"/>
        </w:rPr>
      </w:pPr>
      <w:hyperlink r:id="rId9" w:history="1">
        <w:r w:rsidR="00E02C92" w:rsidRPr="006F1B3F">
          <w:rPr>
            <w:rFonts w:ascii="Times New Roman" w:hAnsi="Times New Roman" w:cs="Times New Roman"/>
            <w:color w:val="0000FF"/>
            <w:u w:val="single"/>
            <w:lang w:val="sr-Latn-RS"/>
          </w:rPr>
          <w:t>nezeljenadejstva@calims.me</w:t>
        </w:r>
      </w:hyperlink>
    </w:p>
    <w:p w:rsidR="00E02C92" w:rsidRPr="006F1B3F" w:rsidRDefault="00E02C92" w:rsidP="006F1B3F">
      <w:pPr>
        <w:suppressAutoHyphens/>
        <w:autoSpaceDE w:val="0"/>
        <w:spacing w:after="0" w:line="240" w:lineRule="auto"/>
        <w:rPr>
          <w:rFonts w:ascii="Times New Roman" w:hAnsi="Times New Roman" w:cs="Times New Roman"/>
          <w:lang w:val="sr-Latn-RS"/>
        </w:rPr>
      </w:pPr>
      <w:r w:rsidRPr="006F1B3F">
        <w:rPr>
          <w:rFonts w:ascii="Times New Roman" w:hAnsi="Times New Roman" w:cs="Times New Roman"/>
          <w:lang w:val="sr-Latn-RS"/>
        </w:rPr>
        <w:t>putem IS zdravstvene zaštite</w:t>
      </w:r>
    </w:p>
    <w:p w:rsidR="00E02C92" w:rsidRPr="006F1B3F" w:rsidRDefault="00E02C92" w:rsidP="006F1B3F">
      <w:pPr>
        <w:spacing w:after="0" w:line="240" w:lineRule="auto"/>
        <w:jc w:val="both"/>
        <w:rPr>
          <w:rFonts w:ascii="Times New Roman" w:hAnsi="Times New Roman" w:cs="Times New Roman"/>
          <w:u w:val="single"/>
        </w:rPr>
      </w:pPr>
    </w:p>
    <w:p w:rsidR="00E02C92" w:rsidRPr="006F1B3F" w:rsidRDefault="00E02C92" w:rsidP="006F1B3F">
      <w:pPr>
        <w:pStyle w:val="ListParagraph"/>
        <w:numPr>
          <w:ilvl w:val="1"/>
          <w:numId w:val="1"/>
        </w:numPr>
        <w:spacing w:after="0" w:line="240" w:lineRule="auto"/>
        <w:ind w:left="426" w:hanging="426"/>
        <w:jc w:val="both"/>
        <w:rPr>
          <w:rFonts w:ascii="Times New Roman" w:hAnsi="Times New Roman"/>
          <w:b/>
        </w:rPr>
      </w:pPr>
      <w:r w:rsidRPr="006F1B3F">
        <w:rPr>
          <w:rFonts w:ascii="Times New Roman" w:hAnsi="Times New Roman"/>
        </w:rPr>
        <w:t xml:space="preserve"> </w:t>
      </w:r>
      <w:r w:rsidRPr="006F1B3F">
        <w:rPr>
          <w:rFonts w:ascii="Times New Roman" w:hAnsi="Times New Roman"/>
          <w:b/>
        </w:rPr>
        <w:t>Predoziranje i  mjere koje je potrebno preduzeti</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Zabilježeno je nekoliko slučajeva predoziranja lijekom Copaxone (do 300 mg glatiramer acetata). Ti slučajevi nisu bili povezani sa bilo kojim drugim neželjenim dejstvima koja već nisu spomenuta u odjeljku 4.8.</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U slučaju predoziranja, pacijenti se moraju nadzirati i primijeniti primjerenu simptomatsku i potpornu  terapiju.</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rPr>
      </w:pPr>
      <w:r w:rsidRPr="006F1B3F">
        <w:rPr>
          <w:rFonts w:ascii="Times New Roman" w:hAnsi="Times New Roman"/>
          <w:b/>
        </w:rPr>
        <w:t>FARMAKOLOŠKI PODACI</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Farmakodinamski podaci</w:t>
      </w:r>
    </w:p>
    <w:p w:rsidR="00E02C92" w:rsidRPr="006F1B3F" w:rsidRDefault="00E02C92" w:rsidP="006F1B3F">
      <w:pPr>
        <w:spacing w:after="0" w:line="240" w:lineRule="auto"/>
        <w:jc w:val="both"/>
        <w:rPr>
          <w:rFonts w:ascii="Times New Roman" w:hAnsi="Times New Roman" w:cs="Times New Roman"/>
          <w:i/>
        </w:rPr>
      </w:pPr>
      <w:r w:rsidRPr="006F1B3F">
        <w:rPr>
          <w:rFonts w:ascii="Times New Roman" w:hAnsi="Times New Roman" w:cs="Times New Roman"/>
          <w:i/>
        </w:rPr>
        <w:t xml:space="preserve">Farmakoterapijska grupa: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Ostali citokini i imunomodulatori; Imunostimulansi; </w:t>
      </w:r>
    </w:p>
    <w:p w:rsidR="00E02C92" w:rsidRPr="006F1B3F" w:rsidRDefault="00E02C92" w:rsidP="006F1B3F">
      <w:pPr>
        <w:spacing w:after="0" w:line="240" w:lineRule="auto"/>
        <w:jc w:val="both"/>
        <w:rPr>
          <w:rFonts w:ascii="Times New Roman" w:hAnsi="Times New Roman" w:cs="Times New Roman"/>
          <w:b/>
        </w:rPr>
      </w:pPr>
      <w:r w:rsidRPr="006F1B3F">
        <w:rPr>
          <w:rFonts w:ascii="Times New Roman" w:hAnsi="Times New Roman" w:cs="Times New Roman"/>
          <w:b/>
        </w:rPr>
        <w:t>ATC kod: L03AX13</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lastRenderedPageBreak/>
        <w:t>Mehanizam(i) kojim glatiramer acetat djeluje na pacijente sa multiplom sklerozom nije (nisu) potpuno rasvijetljen(i). Ipak, misli se da svojim djelovanjem modifikuje imunološke procese za koje se vjeruje da su odgovorni za patogenezu multiple skleroze.</w:t>
      </w:r>
      <w:r w:rsidRPr="006F1B3F">
        <w:rPr>
          <w:rFonts w:ascii="Times New Roman" w:hAnsi="Times New Roman" w:cs="Times New Roman"/>
          <w:color w:val="FF0000"/>
        </w:rPr>
        <w:t xml:space="preserve"> </w:t>
      </w:r>
      <w:r w:rsidRPr="006F1B3F">
        <w:rPr>
          <w:rFonts w:ascii="Times New Roman" w:hAnsi="Times New Roman" w:cs="Times New Roman"/>
        </w:rPr>
        <w:t>Tu hipotezu podupiru nalazi vršenih istraživanja tokom kojih se ispitivala patogeneza eksperimentalnog alergijskog encefalomijelitisa (EAE). To je stanje indukovano kod nekoliko životinjskih vrsta pomoću imunizacije protiv materijala koji je sadržavao mijelin dobijen iz centralnog nervnog sistema. To se često koristi kao eksperimentalni životinjski model multiple skleroze. Studije na životinjama i pacijentima sa multiplom sklerozom ukazuju da se nakon primjene glatiramer acetat-specifične supresorske T ćelije indukuju i aktiviraju na periferiji.</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i/>
        </w:rPr>
      </w:pPr>
      <w:r w:rsidRPr="006F1B3F">
        <w:rPr>
          <w:rFonts w:ascii="Times New Roman" w:hAnsi="Times New Roman" w:cs="Times New Roman"/>
          <w:i/>
        </w:rPr>
        <w:t>RRMS:</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U tri kontrolisana klinička ispitivanja učestvovalo je ukupno 269 pacijenata koji su primali lijek Copaxone. Prvo ispitivanje trajalo je dvije godine i u njemu je učestvovalo 50 pacijenata (Copaxone n=25, placebo n=25) sa dijagnostikovanim relapsno-remitirajućim oblikom multiple skleroze prema tada primjenjivim standardnim kriterijumima i koji su imali najmanje dva napada neurološke disfunkcije (egzarcebacije) tokom proteklog dvogodišnjeg perioda.</w:t>
      </w:r>
      <w:r w:rsidRPr="006F1B3F">
        <w:rPr>
          <w:rFonts w:ascii="Times New Roman" w:hAnsi="Times New Roman" w:cs="Times New Roman"/>
          <w:color w:val="FF0000"/>
        </w:rPr>
        <w:t xml:space="preserve"> </w:t>
      </w:r>
      <w:r w:rsidRPr="006F1B3F">
        <w:rPr>
          <w:rFonts w:ascii="Times New Roman" w:hAnsi="Times New Roman" w:cs="Times New Roman"/>
        </w:rPr>
        <w:t>U drugom ispitivanju, učestvovao je 251 pacijent po istim kriterijumima uključivanja, kao u prvom ispitivanju, liječenih do najviše 35 mjeseci (Copaxone n=125, placebo n=126). U trećem ispitivanju koje je trajalo 9 mjeseci učestvovalo je 239 pacijenata (Copaxone n=119, placebo n=120), po sličnim uključnim kriterijumima kao u prva dva ispitivanja, uz dodatni kriterijum – pacijenti su morali imati najmanje jednu leziju pojačanu gadolinijumom na MRI.</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Kod pacijenata sa multiplom sklerozom koji su tokom kliničkih ispitivanja primali lijek Copaxone, primijećeno je značajno smanjenje broja relapsa u poređenju sa placebom.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U najvećoj kontrolisanoj studiji, stopa relapsa smanjena je za 32%, s 1,98 u grupi koja je primala placebo na 1,34 u grupi koja je primala glatiramer acetat.</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Podaci o izloženosti lijeku dostupni su za period do 12 godina za 103 pacijenta koji su primjenjivali lijek Copaxone.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Lijek Copaxone je takođe pokazao korisnije efekte od placeba na MRI pokazatelje relevantne za relapsno-remitirajući oblik multiple skleroze.</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Lijek Copaxone nije, međutim, imao korisniji efekat na progresiju nesposobnosti kod pacijenata sa relapsno-remitirajućom multiplom sklerozom.</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Nema dokaza da liječenje lijekom Copaxone ima efekat na trajanje ili težinu relapsa bolesti.</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Za sada nema dokaza za primjenu lijeka Copaxone kod pacijenata sa primarnom ili sekundarnom progresivnom bolešću.</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i/>
        </w:rPr>
      </w:pPr>
      <w:r w:rsidRPr="006F1B3F">
        <w:rPr>
          <w:rFonts w:ascii="Times New Roman" w:hAnsi="Times New Roman" w:cs="Times New Roman"/>
          <w:i/>
        </w:rPr>
        <w:t>Pojedinačni klinički događaj koji sugeriše na MS:</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Placebom kontrolisana studija je sprovedena kod 481 pacijenta (Copaxone n=243, placebo n=238) sa jasno utvrđenom, pojedinačnom, unifokalnom neurološkom manifestacijom i MRI pokazateljima koji značajno ukazuju na MS (najmanje dvije cerebralne lezije na T2 MRI preko 6 mm u prečniku).</w:t>
      </w:r>
      <w:r w:rsidRPr="006F1B3F">
        <w:rPr>
          <w:rFonts w:ascii="Times New Roman" w:hAnsi="Times New Roman" w:cs="Times New Roman"/>
          <w:color w:val="FF0000"/>
        </w:rPr>
        <w:t xml:space="preserve"> </w:t>
      </w:r>
      <w:r w:rsidRPr="006F1B3F">
        <w:rPr>
          <w:rFonts w:ascii="Times New Roman" w:hAnsi="Times New Roman" w:cs="Times New Roman"/>
        </w:rPr>
        <w:t>Pritom su isključene sve druge bolesti, osim MS, koje bi se mogle povezati sa znakovima i simptomima kod tih pacijenata. Nakon perioda kontrolisanog placebom, uslijedila je otvorena faza liječenja.</w:t>
      </w:r>
      <w:r w:rsidRPr="006F1B3F">
        <w:rPr>
          <w:rFonts w:ascii="Times New Roman" w:hAnsi="Times New Roman" w:cs="Times New Roman"/>
          <w:color w:val="FF0000"/>
        </w:rPr>
        <w:t xml:space="preserve"> </w:t>
      </w:r>
      <w:r w:rsidRPr="006F1B3F">
        <w:rPr>
          <w:rFonts w:ascii="Times New Roman" w:hAnsi="Times New Roman" w:cs="Times New Roman"/>
        </w:rPr>
        <w:t>Pacijenti koji su ili imali simptome MS-a ili su bili asimptomatični tokom tri godine, što god je bilo prije, stavljeni su u grupu koja je dobijala aktivni lijek tokom otvorene faze liječenja u dodatnom periodu od dvije godine, ali liječenje nije ukupno trajalo više od 5 godina. Od 243 pacijenta koji su početno randomizovani u grupu koja je primala lijek Copaxone, 198 nastavilo se liječiti lijekom Copaxone u otvorenoj fazi. Od 238 pacijenata koji su početno randomizovani u grupu koja je primala placebo, 211 prešlo je na liječenje lijekom Copaxone u otvorenoj fazi.</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Tokom placebom kontrolisanog perioda do 3 godine, lijek Copaxone je odložio progresiju od prvog kliničkog događaja do klinički jasne multiple skleroze (CDMS) prema Poser kriterijumima, što je bilo statistički i </w:t>
      </w:r>
      <w:r w:rsidRPr="006F1B3F">
        <w:rPr>
          <w:rFonts w:ascii="Times New Roman" w:hAnsi="Times New Roman" w:cs="Times New Roman"/>
        </w:rPr>
        <w:lastRenderedPageBreak/>
        <w:t>klinički značajno, sa smanjenjem rizika od 45% (odnos rizika = 0,55; 95% CI [0,40; 0,77], p-vrijednost = 0,0005). Procenat pacijenata kod kojih je nastupila CDMS je bio 43% u placebo grupi i 25% u Copaxone grupi.</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Povoljan efekat liječenja lijekom Copaxone u odnosu na placebo potvrđen je i u 2 sekundarna MRI ishoda tj. broju novih T2 lezija i volumenu T2 lezija.</w:t>
      </w:r>
    </w:p>
    <w:p w:rsidR="00E02C92" w:rsidRPr="006F1B3F" w:rsidRDefault="00E02C92" w:rsidP="006F1B3F">
      <w:pPr>
        <w:spacing w:after="0" w:line="240" w:lineRule="auto"/>
        <w:jc w:val="both"/>
        <w:rPr>
          <w:rFonts w:ascii="Times New Roman" w:hAnsi="Times New Roman" w:cs="Times New Roman"/>
          <w:i/>
          <w:color w:val="FF0000"/>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i/>
        </w:rPr>
        <w:t>Post-hoc</w:t>
      </w:r>
      <w:r w:rsidRPr="006F1B3F">
        <w:rPr>
          <w:rFonts w:ascii="Times New Roman" w:hAnsi="Times New Roman" w:cs="Times New Roman"/>
        </w:rPr>
        <w:t xml:space="preserve"> analize podgrupa vršene su kod pacijenata različitih osnovnih karakteristika da bi se utvrdila populacija visokog rizika za razvoj drugog napada. Kod ispitanika koji su na početnom MRI imali najmanje jednu T1 Gd pojačanu leziju i 9 ili više T2 lezija, konverzija u CDMS se dogodila kod 50% ispitanika u placebo grupi </w:t>
      </w:r>
      <w:r w:rsidRPr="006F1B3F">
        <w:rPr>
          <w:rFonts w:ascii="Times New Roman" w:hAnsi="Times New Roman" w:cs="Times New Roman"/>
          <w:i/>
        </w:rPr>
        <w:t>vs.</w:t>
      </w:r>
      <w:r w:rsidRPr="006F1B3F">
        <w:rPr>
          <w:rFonts w:ascii="Times New Roman" w:hAnsi="Times New Roman" w:cs="Times New Roman"/>
        </w:rPr>
        <w:t xml:space="preserve"> 28% ispitanika u Copaxone</w:t>
      </w:r>
      <w:r w:rsidRPr="006F1B3F">
        <w:rPr>
          <w:rFonts w:ascii="Times New Roman" w:hAnsi="Times New Roman" w:cs="Times New Roman"/>
          <w:b/>
        </w:rPr>
        <w:t xml:space="preserve"> </w:t>
      </w:r>
      <w:r w:rsidRPr="006F1B3F">
        <w:rPr>
          <w:rFonts w:ascii="Times New Roman" w:hAnsi="Times New Roman" w:cs="Times New Roman"/>
        </w:rPr>
        <w:t xml:space="preserve">grupi, tokom 2,4 godine. Kod ispitanika sa 9 ili više T2 lezija prije početka ispitivanja, konverzija u CDMS dogodila se kod 45% ispitanika u placebo grupi </w:t>
      </w:r>
      <w:r w:rsidRPr="006F1B3F">
        <w:rPr>
          <w:rFonts w:ascii="Times New Roman" w:hAnsi="Times New Roman" w:cs="Times New Roman"/>
          <w:i/>
        </w:rPr>
        <w:t>vs.</w:t>
      </w:r>
      <w:r w:rsidRPr="006F1B3F">
        <w:rPr>
          <w:rFonts w:ascii="Times New Roman" w:hAnsi="Times New Roman" w:cs="Times New Roman"/>
        </w:rPr>
        <w:t xml:space="preserve"> 26% ispitanika u Copaxone</w:t>
      </w:r>
      <w:r w:rsidRPr="006F1B3F">
        <w:rPr>
          <w:rFonts w:ascii="Times New Roman" w:hAnsi="Times New Roman" w:cs="Times New Roman"/>
          <w:b/>
        </w:rPr>
        <w:t xml:space="preserve"> </w:t>
      </w:r>
      <w:r w:rsidRPr="006F1B3F">
        <w:rPr>
          <w:rFonts w:ascii="Times New Roman" w:hAnsi="Times New Roman" w:cs="Times New Roman"/>
        </w:rPr>
        <w:t>grupi, tokom 2,4 godina. Međutim, efekat ranog liječenja lijekom Copaxone na dugoročni razvoj bolesti nije poznat, čak i u visokorizičnim podgrupama ispitanika, budući da je studija bila dizajnirana da odredi vrijeme do drugog događaja. U svakom slučaju, liječenje se smije razmotriti  samo kod visokorizičnih pacijenata.</w:t>
      </w:r>
    </w:p>
    <w:p w:rsidR="00E02C92" w:rsidRPr="006F1B3F" w:rsidRDefault="00E02C92" w:rsidP="006F1B3F">
      <w:pPr>
        <w:spacing w:after="0" w:line="240" w:lineRule="auto"/>
        <w:rPr>
          <w:rFonts w:ascii="Times New Roman" w:hAnsi="Times New Roman" w:cs="Times New Roman"/>
          <w:color w:val="FF0000"/>
        </w:rPr>
      </w:pPr>
    </w:p>
    <w:p w:rsidR="00E02C92" w:rsidRPr="006F1B3F" w:rsidRDefault="00E02C92" w:rsidP="006F1B3F">
      <w:pPr>
        <w:spacing w:after="0" w:line="240" w:lineRule="auto"/>
        <w:jc w:val="both"/>
        <w:rPr>
          <w:rFonts w:ascii="Times New Roman" w:hAnsi="Times New Roman" w:cs="Times New Roman"/>
          <w:highlight w:val="yellow"/>
        </w:rPr>
      </w:pPr>
      <w:r w:rsidRPr="006F1B3F">
        <w:rPr>
          <w:rFonts w:ascii="Times New Roman" w:hAnsi="Times New Roman" w:cs="Times New Roman"/>
        </w:rPr>
        <w:t>Efekat zabilježen u fazi kontrolisanoj placebom održan je u dugoročnom periodu praćenja do 5 godina.</w:t>
      </w:r>
      <w:r w:rsidRPr="006F1B3F">
        <w:rPr>
          <w:rFonts w:ascii="Times New Roman" w:hAnsi="Times New Roman" w:cs="Times New Roman"/>
          <w:color w:val="FF0000"/>
        </w:rPr>
        <w:t xml:space="preserve"> </w:t>
      </w:r>
      <w:r w:rsidRPr="006F1B3F">
        <w:rPr>
          <w:rFonts w:ascii="Times New Roman" w:hAnsi="Times New Roman" w:cs="Times New Roman"/>
        </w:rPr>
        <w:t xml:space="preserve">Vrijeme progresije od prvog kliničkog događaja do klinički jasne multiple skleroze produženo je kod pacijenata kod kojih je liječenje lijekom Copaxone započeto ranije u odnosu na one kod kojih je početak liječenja odložen, a rizik je pri ranom u odnosu na odloženi početak liječenja smanjen za 41% </w:t>
      </w:r>
      <w:r w:rsidRPr="006F1B3F">
        <w:rPr>
          <w:rFonts w:ascii="Times New Roman" w:hAnsi="Times New Roman" w:cs="Times New Roman"/>
          <w:snapToGrid w:val="0"/>
        </w:rPr>
        <w:t xml:space="preserve">(odnos rizika = 0,59; 95% CI [0,44; 0,80], p-vrijednost=0,0005). </w:t>
      </w:r>
      <w:r w:rsidRPr="006F1B3F">
        <w:rPr>
          <w:rFonts w:ascii="Times New Roman" w:hAnsi="Times New Roman" w:cs="Times New Roman"/>
        </w:rPr>
        <w:t xml:space="preserve">Procenat ispitanika u grupi u kojoj je odložen početak liječenja i kod kojih je došlo do progresije bio je viši (49,6%) u odnosu na grupu u kojoj je rano započeto liječenje (32,9%) </w:t>
      </w:r>
    </w:p>
    <w:p w:rsidR="00E02C92" w:rsidRPr="006F1B3F" w:rsidRDefault="00E02C92" w:rsidP="006F1B3F">
      <w:pPr>
        <w:pStyle w:val="Bullet1"/>
        <w:numPr>
          <w:ilvl w:val="0"/>
          <w:numId w:val="0"/>
        </w:numPr>
        <w:tabs>
          <w:tab w:val="left" w:pos="720"/>
        </w:tabs>
        <w:spacing w:after="0"/>
        <w:ind w:right="0"/>
        <w:jc w:val="both"/>
        <w:rPr>
          <w:color w:val="FF0000"/>
          <w:sz w:val="22"/>
          <w:szCs w:val="22"/>
          <w:highlight w:val="yellow"/>
          <w:lang w:val="hr-HR"/>
        </w:rPr>
      </w:pPr>
    </w:p>
    <w:p w:rsidR="00E02C92" w:rsidRPr="006F1B3F" w:rsidRDefault="00E02C92" w:rsidP="006F1B3F">
      <w:pPr>
        <w:pStyle w:val="Bullet1"/>
        <w:numPr>
          <w:ilvl w:val="0"/>
          <w:numId w:val="0"/>
        </w:numPr>
        <w:tabs>
          <w:tab w:val="left" w:pos="720"/>
        </w:tabs>
        <w:spacing w:after="0"/>
        <w:ind w:right="0"/>
        <w:jc w:val="both"/>
        <w:rPr>
          <w:color w:val="FF0000"/>
          <w:sz w:val="22"/>
          <w:szCs w:val="22"/>
          <w:lang w:val="hr-HR"/>
        </w:rPr>
      </w:pPr>
      <w:r w:rsidRPr="006F1B3F">
        <w:rPr>
          <w:sz w:val="22"/>
          <w:szCs w:val="22"/>
          <w:lang w:val="hr-HR"/>
        </w:rPr>
        <w:t>Dosljedan efekat u korist ranog početka u odnosu na odloženi početak liječenja manifestuje se u godišnjem broju lezija tokom cijelog trajanja ispitivanja, odnosno novih T1 lezija pojačanih primjenom gadolinijuma (broj smanjen za 54%; p&lt;0,0001), novih T2 lezija (broj smanjen za 42%; p&lt;0,0001) i novih T1 hipointenzivnih lezija (broj smanjen za 52%; p&lt;0,0001). Efekat smanjenja u korist ranog u odnosu na odložen početak liječenja zabilježen je i u ukupnom broju novih T1 lezija pojačanih primjenom gadolinijuma (broj smanjen za 46%; p=0,001), volumenu T1 lezija pojačanih primjenom gadolinijuma (srednja razlika od -0,06 ml; p&lt;0,001), kao i ukupnom broju novih T1 hipointenzivnih lezija (broj smanjen za 46%; p&lt;0,001) mjerenih tokom cijelog perioda ispitivanja.</w:t>
      </w:r>
      <w:r w:rsidRPr="006F1B3F">
        <w:rPr>
          <w:color w:val="FF0000"/>
          <w:sz w:val="22"/>
          <w:szCs w:val="22"/>
          <w:lang w:val="hr-HR"/>
        </w:rPr>
        <w:t xml:space="preserve"> </w:t>
      </w:r>
    </w:p>
    <w:p w:rsidR="00E02C92" w:rsidRPr="006F1B3F" w:rsidRDefault="00E02C92" w:rsidP="006F1B3F">
      <w:pPr>
        <w:pStyle w:val="Bullet1"/>
        <w:numPr>
          <w:ilvl w:val="0"/>
          <w:numId w:val="0"/>
        </w:numPr>
        <w:tabs>
          <w:tab w:val="left" w:pos="720"/>
        </w:tabs>
        <w:spacing w:after="0"/>
        <w:ind w:right="0"/>
        <w:jc w:val="both"/>
        <w:rPr>
          <w:color w:val="FF0000"/>
          <w:sz w:val="22"/>
          <w:szCs w:val="22"/>
          <w:lang w:val="hr-HR"/>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Nisu zabilježene značajne razlike ni u volumenu hipointenzivnih T1 lezija ni u atrofiji mozga u periodu od 5 godina između kohortnih grupa u kojih je liječenje započeto rano i onih kod kojih je početak liječenja odložen. Međutim, analiza atrofije mozga pri zadnjoj zabilježenoj vrijednosti (prilagođeno prema izloženosti liječenju) pokazala je smanjenje u korist ranog početka liječenja glatiramer acetatom (srednja razlika u postotnoj promjeni volumena mozga bila je 0,28%; p=0,0209). </w:t>
      </w:r>
    </w:p>
    <w:p w:rsidR="00E02C92" w:rsidRPr="006F1B3F" w:rsidRDefault="00E02C92" w:rsidP="006F1B3F">
      <w:pPr>
        <w:spacing w:after="0" w:line="240" w:lineRule="auto"/>
        <w:jc w:val="both"/>
        <w:rPr>
          <w:rFonts w:ascii="Times New Roman" w:hAnsi="Times New Roman" w:cs="Times New Roman"/>
          <w:color w:val="FF0000"/>
        </w:rPr>
      </w:pPr>
      <w:r w:rsidRPr="006F1B3F">
        <w:rPr>
          <w:rFonts w:ascii="Times New Roman" w:hAnsi="Times New Roman" w:cs="Times New Roman"/>
          <w:color w:val="FF0000"/>
        </w:rPr>
        <w:t xml:space="preserve"> </w:t>
      </w: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Farmakokinetički podaci</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Farmakokinetičke studije nisu vršene na pacijentima. </w:t>
      </w:r>
      <w:r w:rsidRPr="006F1B3F">
        <w:rPr>
          <w:rFonts w:ascii="Times New Roman" w:hAnsi="Times New Roman" w:cs="Times New Roman"/>
          <w:i/>
        </w:rPr>
        <w:t>In vitro</w:t>
      </w:r>
      <w:r w:rsidRPr="006F1B3F">
        <w:rPr>
          <w:rFonts w:ascii="Times New Roman" w:hAnsi="Times New Roman" w:cs="Times New Roman"/>
        </w:rPr>
        <w:t xml:space="preserve"> dobijeni podaci i ograničeni podaci dobijeni na zdravim dobrovoljcima ukazuju da se supkutanom primjenom glatiramer acetata, aktivna supstanca brzo resorbuje i da se veliki dio doze brzo degradira u manje fragmente već u potkožnom tkivu. </w:t>
      </w:r>
    </w:p>
    <w:p w:rsidR="00E02C92" w:rsidRDefault="00E02C92" w:rsidP="006F1B3F">
      <w:pPr>
        <w:spacing w:after="0" w:line="240" w:lineRule="auto"/>
        <w:jc w:val="both"/>
        <w:rPr>
          <w:rFonts w:ascii="Times New Roman" w:hAnsi="Times New Roman" w:cs="Times New Roman"/>
          <w:color w:val="FF0000"/>
        </w:rPr>
      </w:pPr>
    </w:p>
    <w:p w:rsidR="00BB0BCA" w:rsidRDefault="00BB0BCA" w:rsidP="006F1B3F">
      <w:pPr>
        <w:spacing w:after="0" w:line="240" w:lineRule="auto"/>
        <w:jc w:val="both"/>
        <w:rPr>
          <w:rFonts w:ascii="Times New Roman" w:hAnsi="Times New Roman" w:cs="Times New Roman"/>
          <w:color w:val="FF0000"/>
        </w:rPr>
      </w:pPr>
    </w:p>
    <w:p w:rsidR="00BB0BCA" w:rsidRPr="006F1B3F" w:rsidRDefault="00BB0BCA" w:rsidP="006F1B3F">
      <w:pPr>
        <w:spacing w:after="0" w:line="240" w:lineRule="auto"/>
        <w:jc w:val="both"/>
        <w:rPr>
          <w:rFonts w:ascii="Times New Roman" w:hAnsi="Times New Roman" w:cs="Times New Roman"/>
          <w:color w:val="FF0000"/>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rPr>
      </w:pPr>
      <w:r w:rsidRPr="006F1B3F">
        <w:rPr>
          <w:rFonts w:ascii="Times New Roman" w:hAnsi="Times New Roman" w:cs="Times New Roman"/>
          <w:b/>
        </w:rPr>
        <w:lastRenderedPageBreak/>
        <w:t>Pretklinički podaci o bezbjednosti</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Pretklinički podaci ne ukazuju na poseban rizik za ljude na osnovu ispitivanja bezbjednosne farmakologije, toksičnosti ponovljenih doza, reproduktivne toksičnosti, genotoksičnosti ili kancerogenosti, osim upozorenja koja su navedena u drugim djelovima </w:t>
      </w:r>
      <w:r w:rsidRPr="006F1B3F">
        <w:rPr>
          <w:rFonts w:ascii="Times New Roman" w:hAnsi="Times New Roman" w:cs="Times New Roman"/>
          <w:i/>
        </w:rPr>
        <w:t>Sažetka karakteristika lijeka</w:t>
      </w:r>
      <w:r w:rsidRPr="006F1B3F">
        <w:rPr>
          <w:rFonts w:ascii="Times New Roman" w:hAnsi="Times New Roman" w:cs="Times New Roman"/>
        </w:rPr>
        <w:t>. Zbog nedostatka farmakokinetičkih podataka kod ljudi, ne mogu se utvrditi granice izloženosti kod ljudi i životinja.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Odlaganje imunih kompleksa u bubrežnim glomerulima zabilježeno je kod malog broja pacova i majmuna koji su lijek primali najmanje 6 mjeseci. U dvogodišnjoj studiji na pacovima, nije primijećeno odlaganje imunog kompleksa u bubrežnim glomerulima.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Pojava anafilaksije zabilježena je nakon davanja lijeka senzibilisanim životinjama (zamorci ili miševi). Važnost tih podataka za ljude nije poznata.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Toksičnost na mjestu davanja injekcije često je uočena na životinjama nakon ponovljene primjene.</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FARMACEUTSKI PODACI</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 xml:space="preserve"> Lista pomoćnih supstanci</w:t>
      </w:r>
    </w:p>
    <w:p w:rsidR="00BB0BCA" w:rsidRDefault="00BB0BCA"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manitol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voda za injekcije.</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 xml:space="preserve"> Inkompatibilnosti</w:t>
      </w:r>
    </w:p>
    <w:p w:rsidR="00BB0BCA" w:rsidRDefault="00BB0BCA"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Zbog nedostatka ispitivanja kompatibilnosti, ovaj lijek se ne smije miješati sa drugim ljekovima.</w:t>
      </w:r>
    </w:p>
    <w:p w:rsidR="00E02C92" w:rsidRPr="006F1B3F" w:rsidRDefault="00E02C92" w:rsidP="006F1B3F">
      <w:pPr>
        <w:spacing w:after="0" w:line="240" w:lineRule="auto"/>
        <w:jc w:val="both"/>
        <w:rPr>
          <w:rFonts w:ascii="Times New Roman" w:hAnsi="Times New Roman" w:cs="Times New Roman"/>
          <w:i/>
          <w:color w:val="FF0000"/>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 xml:space="preserve"> Rok upotrebe</w:t>
      </w:r>
    </w:p>
    <w:p w:rsidR="00BB0BCA" w:rsidRDefault="00BB0BCA"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2 godine.</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 xml:space="preserve"> Posebne mjere upozorenja pri čuvanju lijeka</w:t>
      </w:r>
    </w:p>
    <w:p w:rsidR="00BB0BCA" w:rsidRDefault="00BB0BCA"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Napunjene injekcione špriceve čuvati u spoljašnjem pakovanju radi zaštite od svjetlosti.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 xml:space="preserve">Čuvati u frižideru (2ºC - 8ºC). </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Ne zamrzavati.</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Ako se špricevi ne mogu čuvati u frižideru, mogu se čuvati na temperaturi između 15ºC do 25ºC, jednom najviše do mjesec dana.</w:t>
      </w: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Nakon tih mjesec dana, ako se Copaxone</w:t>
      </w:r>
      <w:r w:rsidRPr="006F1B3F">
        <w:rPr>
          <w:rFonts w:ascii="Times New Roman" w:hAnsi="Times New Roman" w:cs="Times New Roman"/>
          <w:vertAlign w:val="superscript"/>
        </w:rPr>
        <w:t xml:space="preserve"> </w:t>
      </w:r>
      <w:r w:rsidRPr="006F1B3F">
        <w:rPr>
          <w:rFonts w:ascii="Times New Roman" w:hAnsi="Times New Roman" w:cs="Times New Roman"/>
        </w:rPr>
        <w:t>špricevi ne iskoriste i još su uvijek u originalnom pakovanju, moraju se ponovo čuvati u frižideru (2ºC - 8ºC).</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t xml:space="preserve"> Vrsta i sadržaj pakovanja</w:t>
      </w:r>
    </w:p>
    <w:p w:rsidR="00BB0BCA" w:rsidRDefault="00BB0BCA"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Napunjeni injekcioni špric koji sadrži Copaxone rastvor za injekciju sastoji se od cijevi od bezbojnog stakla od 1 ml (staklo tip I) sa iglom, polipropilenskog (moguće i polistirenskog) potisnika klipa, gumenog čepa klipa i zaštitne kapice igle.</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Pakovanje sadrži 28 napunjenih injekcionih špriceva sa 1 ml rastvora za injekciju.</w:t>
      </w:r>
    </w:p>
    <w:p w:rsidR="00E02C92" w:rsidRDefault="00E02C92" w:rsidP="006F1B3F">
      <w:pPr>
        <w:spacing w:after="0" w:line="240" w:lineRule="auto"/>
        <w:jc w:val="both"/>
        <w:rPr>
          <w:rFonts w:ascii="Times New Roman" w:hAnsi="Times New Roman" w:cs="Times New Roman"/>
          <w:color w:val="FF0000"/>
        </w:rPr>
      </w:pPr>
    </w:p>
    <w:p w:rsidR="00BB0BCA" w:rsidRPr="006F1B3F" w:rsidRDefault="00BB0BCA" w:rsidP="006F1B3F">
      <w:pPr>
        <w:spacing w:after="0" w:line="240" w:lineRule="auto"/>
        <w:jc w:val="both"/>
        <w:rPr>
          <w:rFonts w:ascii="Times New Roman" w:hAnsi="Times New Roman" w:cs="Times New Roman"/>
          <w:color w:val="FF0000"/>
        </w:rPr>
      </w:pPr>
    </w:p>
    <w:p w:rsidR="00E02C92" w:rsidRPr="006F1B3F" w:rsidRDefault="00E02C92" w:rsidP="006F1B3F">
      <w:pPr>
        <w:numPr>
          <w:ilvl w:val="1"/>
          <w:numId w:val="1"/>
        </w:numPr>
        <w:spacing w:after="0" w:line="240" w:lineRule="auto"/>
        <w:ind w:left="426" w:hanging="426"/>
        <w:jc w:val="both"/>
        <w:rPr>
          <w:rFonts w:ascii="Times New Roman" w:hAnsi="Times New Roman" w:cs="Times New Roman"/>
          <w:b/>
        </w:rPr>
      </w:pPr>
      <w:r w:rsidRPr="006F1B3F">
        <w:rPr>
          <w:rFonts w:ascii="Times New Roman" w:hAnsi="Times New Roman" w:cs="Times New Roman"/>
          <w:b/>
        </w:rPr>
        <w:lastRenderedPageBreak/>
        <w:t xml:space="preserve"> Posebne mjere </w:t>
      </w:r>
      <w:r w:rsidRPr="006F1B3F">
        <w:rPr>
          <w:rFonts w:ascii="Times New Roman" w:hAnsi="Times New Roman" w:cs="Times New Roman"/>
          <w:b/>
          <w:bCs/>
          <w:lang w:val="sv-SE"/>
        </w:rPr>
        <w:t>opreza pri odlaganju materijala koji treba odbaciti nakon primjene lijeka</w:t>
      </w:r>
    </w:p>
    <w:p w:rsidR="00E02C92" w:rsidRPr="006F1B3F" w:rsidRDefault="00E02C92" w:rsidP="006F1B3F">
      <w:pPr>
        <w:spacing w:after="0" w:line="240" w:lineRule="auto"/>
        <w:jc w:val="both"/>
        <w:rPr>
          <w:rFonts w:ascii="Times New Roman" w:hAnsi="Times New Roman" w:cs="Times New Roman"/>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Samo za jednokratnu upotrebu. Neiskorišteni lijek ili otpadni materijal treba odložiti u skladu sa lokalnim propisima.</w:t>
      </w:r>
    </w:p>
    <w:p w:rsidR="00E02C92" w:rsidRPr="006F1B3F" w:rsidRDefault="00E02C92" w:rsidP="006F1B3F">
      <w:pPr>
        <w:spacing w:after="0" w:line="240" w:lineRule="auto"/>
        <w:jc w:val="both"/>
        <w:rPr>
          <w:rFonts w:ascii="Times New Roman" w:hAnsi="Times New Roman" w:cs="Times New Roman"/>
        </w:rPr>
      </w:pPr>
    </w:p>
    <w:p w:rsidR="006F1B3F" w:rsidRPr="006F1B3F" w:rsidRDefault="00E02C92" w:rsidP="006F1B3F">
      <w:pPr>
        <w:numPr>
          <w:ilvl w:val="1"/>
          <w:numId w:val="1"/>
        </w:numPr>
        <w:spacing w:after="0" w:line="240" w:lineRule="auto"/>
        <w:ind w:left="426" w:hanging="426"/>
        <w:jc w:val="both"/>
        <w:rPr>
          <w:rFonts w:ascii="Times New Roman" w:hAnsi="Times New Roman" w:cs="Times New Roman"/>
        </w:rPr>
      </w:pPr>
      <w:r w:rsidRPr="006F1B3F">
        <w:rPr>
          <w:rFonts w:ascii="Times New Roman" w:hAnsi="Times New Roman" w:cs="Times New Roman"/>
          <w:b/>
        </w:rPr>
        <w:t>Režim  izdavanja lijeka</w:t>
      </w:r>
    </w:p>
    <w:p w:rsidR="006F1B3F" w:rsidRDefault="006F1B3F" w:rsidP="006F1B3F">
      <w:pPr>
        <w:spacing w:after="0" w:line="240" w:lineRule="auto"/>
        <w:jc w:val="both"/>
        <w:rPr>
          <w:rFonts w:ascii="Times New Roman" w:hAnsi="Times New Roman" w:cs="Times New Roman"/>
          <w:b/>
        </w:rPr>
      </w:pPr>
    </w:p>
    <w:p w:rsidR="00E02C92" w:rsidRPr="006F1B3F" w:rsidRDefault="00E02C92" w:rsidP="006F1B3F">
      <w:pPr>
        <w:spacing w:after="0" w:line="240" w:lineRule="auto"/>
        <w:jc w:val="both"/>
        <w:rPr>
          <w:rFonts w:ascii="Times New Roman" w:hAnsi="Times New Roman" w:cs="Times New Roman"/>
        </w:rPr>
      </w:pPr>
      <w:r w:rsidRPr="006F1B3F">
        <w:rPr>
          <w:rFonts w:ascii="Times New Roman" w:hAnsi="Times New Roman" w:cs="Times New Roman"/>
        </w:rPr>
        <w:t>Ograničen recept.</w:t>
      </w:r>
    </w:p>
    <w:p w:rsidR="00E02C92" w:rsidRPr="006F1B3F" w:rsidRDefault="00E02C92" w:rsidP="006F1B3F">
      <w:pPr>
        <w:spacing w:after="0" w:line="240" w:lineRule="auto"/>
        <w:jc w:val="both"/>
        <w:rPr>
          <w:rFonts w:ascii="Times New Roman" w:hAnsi="Times New Roman" w:cs="Times New Roman"/>
          <w:color w:val="FF0000"/>
        </w:rPr>
      </w:pP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NOSILAC DOZVOLE</w:t>
      </w:r>
    </w:p>
    <w:p w:rsidR="00E02C92" w:rsidRPr="006F1B3F" w:rsidRDefault="00E02C92" w:rsidP="006F1B3F">
      <w:pPr>
        <w:spacing w:after="0" w:line="240" w:lineRule="auto"/>
        <w:jc w:val="both"/>
        <w:rPr>
          <w:rFonts w:ascii="Times New Roman" w:hAnsi="Times New Roman" w:cs="Times New Roman"/>
          <w:b/>
          <w:color w:val="FF0000"/>
        </w:rPr>
      </w:pPr>
    </w:p>
    <w:p w:rsidR="00A01FF0" w:rsidRPr="00A01FF0" w:rsidRDefault="00A01FF0" w:rsidP="00A01FF0">
      <w:pPr>
        <w:spacing w:after="0" w:line="240" w:lineRule="auto"/>
        <w:jc w:val="both"/>
        <w:rPr>
          <w:rFonts w:ascii="Times New Roman" w:hAnsi="Times New Roman" w:cs="Times New Roman"/>
        </w:rPr>
      </w:pPr>
      <w:r w:rsidRPr="00A01FF0">
        <w:rPr>
          <w:rFonts w:ascii="Times New Roman" w:hAnsi="Times New Roman" w:cs="Times New Roman"/>
        </w:rPr>
        <w:t>Evropa Lek Pharma d.o.o. Podgorica</w:t>
      </w:r>
    </w:p>
    <w:p w:rsidR="00E02C92" w:rsidRDefault="00A01FF0" w:rsidP="00A01FF0">
      <w:pPr>
        <w:spacing w:after="0" w:line="240" w:lineRule="auto"/>
        <w:jc w:val="both"/>
        <w:rPr>
          <w:rFonts w:ascii="Times New Roman" w:hAnsi="Times New Roman" w:cs="Times New Roman"/>
        </w:rPr>
      </w:pPr>
      <w:r w:rsidRPr="00A01FF0">
        <w:rPr>
          <w:rFonts w:ascii="Times New Roman" w:hAnsi="Times New Roman" w:cs="Times New Roman"/>
        </w:rPr>
        <w:t>Kritskog odreda 4/1, 81000 Podgorica, Crna Gora</w:t>
      </w:r>
    </w:p>
    <w:p w:rsidR="00A01FF0" w:rsidRPr="006F1B3F" w:rsidRDefault="00A01FF0" w:rsidP="00A01FF0">
      <w:pPr>
        <w:spacing w:after="0" w:line="240" w:lineRule="auto"/>
        <w:jc w:val="both"/>
        <w:rPr>
          <w:rFonts w:ascii="Times New Roman" w:hAnsi="Times New Roman" w:cs="Times New Roman"/>
          <w:color w:val="FF0000"/>
        </w:rPr>
      </w:pPr>
      <w:bookmarkStart w:id="0" w:name="_GoBack"/>
      <w:bookmarkEnd w:id="0"/>
    </w:p>
    <w:p w:rsidR="00E02C92"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BROJ PRVE DOZVOLE / OBNOVE DOZVOLE</w:t>
      </w:r>
    </w:p>
    <w:p w:rsidR="00EA1703" w:rsidRDefault="00EA1703" w:rsidP="00EA1703">
      <w:pPr>
        <w:spacing w:after="0" w:line="240" w:lineRule="auto"/>
        <w:jc w:val="both"/>
        <w:rPr>
          <w:rFonts w:ascii="Times New Roman" w:hAnsi="Times New Roman"/>
          <w:b/>
        </w:rPr>
      </w:pPr>
    </w:p>
    <w:p w:rsidR="00EA1703" w:rsidRPr="00EA1703" w:rsidRDefault="00EA1703" w:rsidP="00EA1703">
      <w:pPr>
        <w:spacing w:after="0" w:line="240" w:lineRule="auto"/>
        <w:contextualSpacing/>
        <w:rPr>
          <w:rFonts w:ascii="Times New Roman" w:hAnsi="Times New Roman" w:cs="Times New Roman"/>
          <w:lang w:val="sr-Latn-CS"/>
        </w:rPr>
      </w:pPr>
      <w:r w:rsidRPr="00EA1703">
        <w:rPr>
          <w:rFonts w:ascii="Times New Roman" w:hAnsi="Times New Roman" w:cs="Times New Roman"/>
          <w:lang w:val="sr-Latn-CS"/>
        </w:rPr>
        <w:t>Copaxone, rastvor za injekciju u napunjenom injekcionom špricu, 20 mg/ml, napunjeni injekcioni špric, 28x1ml</w:t>
      </w:r>
      <w:r>
        <w:rPr>
          <w:rFonts w:ascii="Times New Roman" w:hAnsi="Times New Roman" w:cs="Times New Roman"/>
          <w:lang w:val="sr-Latn-CS"/>
        </w:rPr>
        <w:t xml:space="preserve">: </w:t>
      </w:r>
      <w:r w:rsidRPr="00EA1703">
        <w:rPr>
          <w:rFonts w:ascii="Times New Roman" w:hAnsi="Times New Roman" w:cs="Times New Roman"/>
          <w:lang w:val="sr-Latn-CS"/>
        </w:rPr>
        <w:t>2030/17/223 - 2358</w:t>
      </w:r>
    </w:p>
    <w:p w:rsidR="00E02C92" w:rsidRPr="006F1B3F" w:rsidRDefault="00E02C92" w:rsidP="006F1B3F">
      <w:pPr>
        <w:spacing w:after="0" w:line="240" w:lineRule="auto"/>
        <w:jc w:val="both"/>
        <w:rPr>
          <w:rFonts w:ascii="Times New Roman" w:hAnsi="Times New Roman" w:cs="Times New Roman"/>
          <w:b/>
        </w:rPr>
      </w:pPr>
    </w:p>
    <w:p w:rsidR="00E02C92"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DATUM PRVE DOZVOLE / OBNOVE DOZVOLE</w:t>
      </w:r>
    </w:p>
    <w:p w:rsidR="00EA1703" w:rsidRDefault="00EA1703" w:rsidP="00EA1703">
      <w:pPr>
        <w:spacing w:after="0" w:line="240" w:lineRule="auto"/>
        <w:jc w:val="both"/>
        <w:rPr>
          <w:rFonts w:ascii="Times New Roman" w:hAnsi="Times New Roman"/>
          <w:b/>
        </w:rPr>
      </w:pPr>
    </w:p>
    <w:p w:rsidR="00EA1703" w:rsidRPr="00EA1703" w:rsidRDefault="00EA1703" w:rsidP="00EA1703">
      <w:pPr>
        <w:spacing w:after="0" w:line="240" w:lineRule="auto"/>
        <w:contextualSpacing/>
        <w:rPr>
          <w:rFonts w:ascii="Times New Roman" w:hAnsi="Times New Roman" w:cs="Times New Roman"/>
          <w:lang w:val="sr-Latn-CS"/>
        </w:rPr>
      </w:pPr>
      <w:r w:rsidRPr="00EA1703">
        <w:rPr>
          <w:rFonts w:ascii="Times New Roman" w:hAnsi="Times New Roman" w:cs="Times New Roman"/>
          <w:lang w:val="sr-Latn-CS"/>
        </w:rPr>
        <w:t>Copaxone, rastvor za injekciju u napunjenom injekcionom špricu, 20 mg/ml, napunjeni injekcioni špric, 28x1ml</w:t>
      </w:r>
      <w:r>
        <w:rPr>
          <w:rFonts w:ascii="Times New Roman" w:hAnsi="Times New Roman" w:cs="Times New Roman"/>
          <w:lang w:val="sr-Latn-CS"/>
        </w:rPr>
        <w:t xml:space="preserve">: </w:t>
      </w:r>
      <w:r>
        <w:rPr>
          <w:rFonts w:ascii="TimesNewRoman" w:hAnsi="TimesNewRoman" w:cs="TimesNewRoman"/>
        </w:rPr>
        <w:t>02.06.2017. godine</w:t>
      </w:r>
    </w:p>
    <w:p w:rsidR="00E02C92" w:rsidRPr="006F1B3F" w:rsidRDefault="00E02C92" w:rsidP="006F1B3F">
      <w:pPr>
        <w:spacing w:after="0" w:line="240" w:lineRule="auto"/>
        <w:jc w:val="both"/>
        <w:rPr>
          <w:rFonts w:ascii="Times New Roman" w:hAnsi="Times New Roman" w:cs="Times New Roman"/>
          <w:b/>
        </w:rPr>
      </w:pPr>
      <w:r w:rsidRPr="006F1B3F">
        <w:rPr>
          <w:rFonts w:ascii="Times New Roman" w:hAnsi="Times New Roman" w:cs="Times New Roman"/>
          <w:b/>
        </w:rPr>
        <w:t xml:space="preserve">      </w:t>
      </w:r>
    </w:p>
    <w:p w:rsidR="00E02C92" w:rsidRPr="006F1B3F" w:rsidRDefault="00E02C92" w:rsidP="006F1B3F">
      <w:pPr>
        <w:pStyle w:val="ListParagraph"/>
        <w:numPr>
          <w:ilvl w:val="0"/>
          <w:numId w:val="1"/>
        </w:numPr>
        <w:spacing w:after="0" w:line="240" w:lineRule="auto"/>
        <w:ind w:left="426" w:hanging="426"/>
        <w:jc w:val="both"/>
        <w:rPr>
          <w:rFonts w:ascii="Times New Roman" w:hAnsi="Times New Roman"/>
          <w:b/>
        </w:rPr>
      </w:pPr>
      <w:r w:rsidRPr="006F1B3F">
        <w:rPr>
          <w:rFonts w:ascii="Times New Roman" w:hAnsi="Times New Roman"/>
          <w:b/>
        </w:rPr>
        <w:t>DATUM POSLJEDNJE REVIZIJE TEKSTA SAŽETKA OSNOVNIH KARAKTERISTIKA LIJEKA</w:t>
      </w:r>
    </w:p>
    <w:p w:rsidR="00E02C92" w:rsidRDefault="00E02C92" w:rsidP="006F1B3F">
      <w:pPr>
        <w:spacing w:after="0" w:line="240" w:lineRule="auto"/>
        <w:jc w:val="both"/>
        <w:rPr>
          <w:rFonts w:ascii="Times New Roman" w:hAnsi="Times New Roman" w:cs="Times New Roman"/>
          <w:color w:val="FF0000"/>
        </w:rPr>
      </w:pPr>
    </w:p>
    <w:p w:rsidR="00EA1703" w:rsidRPr="00EA1703" w:rsidRDefault="00EA1703" w:rsidP="006F1B3F">
      <w:pPr>
        <w:spacing w:after="0" w:line="240" w:lineRule="auto"/>
        <w:jc w:val="both"/>
        <w:rPr>
          <w:rFonts w:ascii="Times New Roman" w:hAnsi="Times New Roman" w:cs="Times New Roman"/>
        </w:rPr>
      </w:pPr>
      <w:r w:rsidRPr="00EA1703">
        <w:rPr>
          <w:rFonts w:ascii="Times New Roman" w:hAnsi="Times New Roman" w:cs="Times New Roman"/>
        </w:rPr>
        <w:t>Ju</w:t>
      </w:r>
      <w:r>
        <w:rPr>
          <w:rFonts w:ascii="Times New Roman" w:hAnsi="Times New Roman" w:cs="Times New Roman"/>
        </w:rPr>
        <w:t>n</w:t>
      </w:r>
      <w:r w:rsidRPr="00EA1703">
        <w:rPr>
          <w:rFonts w:ascii="Times New Roman" w:hAnsi="Times New Roman" w:cs="Times New Roman"/>
        </w:rPr>
        <w:t>, 2017. godine</w:t>
      </w:r>
    </w:p>
    <w:p w:rsidR="00F1527C" w:rsidRPr="006F1B3F" w:rsidRDefault="00F1527C" w:rsidP="006F1B3F">
      <w:pPr>
        <w:tabs>
          <w:tab w:val="left" w:pos="2751"/>
        </w:tabs>
        <w:rPr>
          <w:rFonts w:ascii="Times New Roman" w:hAnsi="Times New Roman" w:cs="Times New Roman"/>
        </w:rPr>
      </w:pPr>
    </w:p>
    <w:p w:rsidR="00F1527C" w:rsidRPr="006F1B3F" w:rsidRDefault="00F1527C" w:rsidP="006F1B3F">
      <w:pPr>
        <w:tabs>
          <w:tab w:val="left" w:pos="2751"/>
        </w:tabs>
        <w:rPr>
          <w:rFonts w:ascii="Times New Roman" w:hAnsi="Times New Roman" w:cs="Times New Roman"/>
        </w:rPr>
      </w:pPr>
    </w:p>
    <w:p w:rsidR="009318B4" w:rsidRPr="006F1B3F" w:rsidRDefault="00F1527C" w:rsidP="006F1B3F">
      <w:pPr>
        <w:tabs>
          <w:tab w:val="left" w:pos="2751"/>
        </w:tabs>
        <w:rPr>
          <w:rFonts w:ascii="Times New Roman" w:hAnsi="Times New Roman" w:cs="Times New Roman"/>
        </w:rPr>
      </w:pPr>
      <w:r w:rsidRPr="006F1B3F">
        <w:rPr>
          <w:rFonts w:ascii="Times New Roman" w:hAnsi="Times New Roman" w:cs="Times New Roman"/>
        </w:rPr>
        <w:tab/>
      </w:r>
    </w:p>
    <w:sectPr w:rsidR="009318B4" w:rsidRPr="006F1B3F"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3A3" w:rsidRDefault="006143A3" w:rsidP="00FF2B5A">
      <w:pPr>
        <w:spacing w:after="0" w:line="240" w:lineRule="auto"/>
      </w:pPr>
      <w:r>
        <w:separator/>
      </w:r>
    </w:p>
  </w:endnote>
  <w:endnote w:type="continuationSeparator" w:id="0">
    <w:p w:rsidR="006143A3" w:rsidRDefault="006143A3"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01FF0">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01FF0">
      <w:rPr>
        <w:rFonts w:ascii="Times New Roman" w:eastAsia="Times New Roman" w:hAnsi="Times New Roman" w:cs="Times New Roman"/>
        <w:noProof/>
        <w:sz w:val="20"/>
        <w:szCs w:val="20"/>
        <w:lang w:val="sr-Latn-ME"/>
      </w:rPr>
      <w:t>11</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3A3" w:rsidRDefault="006143A3" w:rsidP="00FF2B5A">
      <w:pPr>
        <w:spacing w:after="0" w:line="240" w:lineRule="auto"/>
      </w:pPr>
      <w:r>
        <w:separator/>
      </w:r>
    </w:p>
  </w:footnote>
  <w:footnote w:type="continuationSeparator" w:id="0">
    <w:p w:rsidR="006143A3" w:rsidRDefault="006143A3"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C5E60"/>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AC628C"/>
    <w:multiLevelType w:val="hybridMultilevel"/>
    <w:tmpl w:val="C200FD2C"/>
    <w:lvl w:ilvl="0" w:tplc="3F2E2BC0">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43920145"/>
    <w:multiLevelType w:val="hybridMultilevel"/>
    <w:tmpl w:val="E88CFAD2"/>
    <w:lvl w:ilvl="0" w:tplc="7D386974">
      <w:start w:val="4"/>
      <w:numFmt w:val="bullet"/>
      <w:lvlText w:val=""/>
      <w:lvlJc w:val="left"/>
      <w:pPr>
        <w:ind w:left="1068" w:hanging="360"/>
      </w:pPr>
      <w:rPr>
        <w:rFonts w:ascii="Symbol" w:eastAsia="Calibri"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 w15:restartNumberingAfterBreak="0">
    <w:nsid w:val="544221B7"/>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A566E9F"/>
    <w:multiLevelType w:val="multilevel"/>
    <w:tmpl w:val="A9360164"/>
    <w:lvl w:ilvl="0">
      <w:start w:val="1"/>
      <w:numFmt w:val="decimal"/>
      <w:lvlText w:val="%1."/>
      <w:lvlJc w:val="left"/>
      <w:pPr>
        <w:ind w:left="2771" w:hanging="360"/>
      </w:pPr>
      <w:rPr>
        <w:rFonts w:hint="default"/>
        <w:b/>
      </w:rPr>
    </w:lvl>
    <w:lvl w:ilvl="1">
      <w:start w:val="1"/>
      <w:numFmt w:val="decimal"/>
      <w:isLgl/>
      <w:lvlText w:val="%1.%2."/>
      <w:lvlJc w:val="left"/>
      <w:pPr>
        <w:ind w:left="333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253F55"/>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FC6F80"/>
    <w:multiLevelType w:val="hybridMultilevel"/>
    <w:tmpl w:val="D9D0A4C4"/>
    <w:lvl w:ilvl="0" w:tplc="FD9A8034">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B9B574D"/>
    <w:multiLevelType w:val="hybridMultilevel"/>
    <w:tmpl w:val="FCE0CCBA"/>
    <w:lvl w:ilvl="0" w:tplc="041A000F">
      <w:start w:val="8"/>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8" w15:restartNumberingAfterBreak="0">
    <w:nsid w:val="7FA64854"/>
    <w:multiLevelType w:val="singleLevel"/>
    <w:tmpl w:val="984E6A06"/>
    <w:lvl w:ilvl="0">
      <w:start w:val="1"/>
      <w:numFmt w:val="bullet"/>
      <w:pStyle w:val="Bullet1"/>
      <w:lvlText w:val=""/>
      <w:lvlJc w:val="left"/>
      <w:pPr>
        <w:tabs>
          <w:tab w:val="num" w:pos="1352"/>
        </w:tabs>
        <w:ind w:left="1276" w:right="1276" w:hanging="284"/>
      </w:pPr>
      <w:rPr>
        <w:rFonts w:ascii="Wingdings" w:hAnsi="Wingdings" w:hint="default"/>
        <w:color w:val="auto"/>
        <w:sz w:val="24"/>
      </w:rPr>
    </w:lvl>
  </w:abstractNum>
  <w:num w:numId="1">
    <w:abstractNumId w:val="4"/>
  </w:num>
  <w:num w:numId="2">
    <w:abstractNumId w:val="6"/>
  </w:num>
  <w:num w:numId="3">
    <w:abstractNumId w:val="1"/>
  </w:num>
  <w:num w:numId="4">
    <w:abstractNumId w:val="2"/>
  </w:num>
  <w:num w:numId="5">
    <w:abstractNumId w:val="3"/>
  </w:num>
  <w:num w:numId="6">
    <w:abstractNumId w:val="0"/>
  </w:num>
  <w:num w:numId="7">
    <w:abstractNumId w:val="5"/>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22309"/>
    <w:rsid w:val="00461135"/>
    <w:rsid w:val="006143A3"/>
    <w:rsid w:val="006F1B3F"/>
    <w:rsid w:val="006F66EF"/>
    <w:rsid w:val="00747C4B"/>
    <w:rsid w:val="00857F85"/>
    <w:rsid w:val="00883AF2"/>
    <w:rsid w:val="009318B4"/>
    <w:rsid w:val="00934541"/>
    <w:rsid w:val="00A01FF0"/>
    <w:rsid w:val="00A06058"/>
    <w:rsid w:val="00B234CE"/>
    <w:rsid w:val="00B34AF2"/>
    <w:rsid w:val="00BB0BCA"/>
    <w:rsid w:val="00BB7A96"/>
    <w:rsid w:val="00BE52CD"/>
    <w:rsid w:val="00C4240B"/>
    <w:rsid w:val="00D45AFE"/>
    <w:rsid w:val="00DA091A"/>
    <w:rsid w:val="00E02C92"/>
    <w:rsid w:val="00E0627A"/>
    <w:rsid w:val="00EA1703"/>
    <w:rsid w:val="00EB2A93"/>
    <w:rsid w:val="00F1527C"/>
    <w:rsid w:val="00FA4C74"/>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E02C92"/>
    <w:pPr>
      <w:spacing w:after="200" w:line="276" w:lineRule="auto"/>
      <w:ind w:left="720"/>
      <w:contextualSpacing/>
    </w:pPr>
    <w:rPr>
      <w:rFonts w:ascii="Calibri" w:eastAsia="Calibri" w:hAnsi="Calibri" w:cs="Times New Roman"/>
      <w:lang w:val="hr-HR"/>
    </w:rPr>
  </w:style>
  <w:style w:type="paragraph" w:styleId="Revision">
    <w:name w:val="Revision"/>
    <w:hidden/>
    <w:uiPriority w:val="99"/>
    <w:semiHidden/>
    <w:rsid w:val="00E02C92"/>
    <w:pPr>
      <w:spacing w:after="0" w:line="240" w:lineRule="auto"/>
    </w:pPr>
    <w:rPr>
      <w:rFonts w:ascii="Calibri" w:eastAsia="Calibri" w:hAnsi="Calibri" w:cs="Times New Roman"/>
      <w:lang w:val="hr-HR"/>
    </w:rPr>
  </w:style>
  <w:style w:type="paragraph" w:styleId="BalloonText">
    <w:name w:val="Balloon Text"/>
    <w:basedOn w:val="Normal"/>
    <w:link w:val="BalloonTextChar"/>
    <w:uiPriority w:val="99"/>
    <w:semiHidden/>
    <w:unhideWhenUsed/>
    <w:rsid w:val="00E02C92"/>
    <w:pPr>
      <w:spacing w:after="0" w:line="240" w:lineRule="auto"/>
    </w:pPr>
    <w:rPr>
      <w:rFonts w:ascii="Tahoma" w:eastAsia="Calibri" w:hAnsi="Tahoma" w:cs="Tahoma"/>
      <w:sz w:val="16"/>
      <w:szCs w:val="16"/>
      <w:lang w:val="hr-HR"/>
    </w:rPr>
  </w:style>
  <w:style w:type="character" w:customStyle="1" w:styleId="BalloonTextChar">
    <w:name w:val="Balloon Text Char"/>
    <w:basedOn w:val="DefaultParagraphFont"/>
    <w:link w:val="BalloonText"/>
    <w:uiPriority w:val="99"/>
    <w:semiHidden/>
    <w:rsid w:val="00E02C92"/>
    <w:rPr>
      <w:rFonts w:ascii="Tahoma" w:eastAsia="Calibri" w:hAnsi="Tahoma" w:cs="Tahoma"/>
      <w:sz w:val="16"/>
      <w:szCs w:val="16"/>
      <w:lang w:val="hr-HR"/>
    </w:rPr>
  </w:style>
  <w:style w:type="table" w:styleId="TableGrid">
    <w:name w:val="Table Grid"/>
    <w:basedOn w:val="TableNormal"/>
    <w:uiPriority w:val="59"/>
    <w:rsid w:val="00E02C9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02C92"/>
  </w:style>
  <w:style w:type="character" w:styleId="CommentReference">
    <w:name w:val="annotation reference"/>
    <w:rsid w:val="00E02C92"/>
    <w:rPr>
      <w:sz w:val="16"/>
      <w:szCs w:val="16"/>
    </w:rPr>
  </w:style>
  <w:style w:type="paragraph" w:styleId="CommentText">
    <w:name w:val="annotation text"/>
    <w:basedOn w:val="Normal"/>
    <w:link w:val="CommentTextChar"/>
    <w:rsid w:val="00E02C92"/>
    <w:pPr>
      <w:spacing w:after="200" w:line="276" w:lineRule="auto"/>
    </w:pPr>
    <w:rPr>
      <w:rFonts w:ascii="Calibri" w:eastAsia="Calibri" w:hAnsi="Calibri" w:cs="Times New Roman"/>
      <w:sz w:val="20"/>
      <w:szCs w:val="20"/>
      <w:lang w:val="hr-HR"/>
    </w:rPr>
  </w:style>
  <w:style w:type="character" w:customStyle="1" w:styleId="CommentTextChar">
    <w:name w:val="Comment Text Char"/>
    <w:basedOn w:val="DefaultParagraphFont"/>
    <w:link w:val="CommentText"/>
    <w:rsid w:val="00E02C92"/>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rsid w:val="00E02C92"/>
    <w:rPr>
      <w:b/>
      <w:bCs/>
    </w:rPr>
  </w:style>
  <w:style w:type="character" w:customStyle="1" w:styleId="CommentSubjectChar">
    <w:name w:val="Comment Subject Char"/>
    <w:basedOn w:val="CommentTextChar"/>
    <w:link w:val="CommentSubject"/>
    <w:rsid w:val="00E02C92"/>
    <w:rPr>
      <w:rFonts w:ascii="Calibri" w:eastAsia="Calibri" w:hAnsi="Calibri" w:cs="Times New Roman"/>
      <w:b/>
      <w:bCs/>
      <w:sz w:val="20"/>
      <w:szCs w:val="20"/>
      <w:lang w:val="hr-HR"/>
    </w:rPr>
  </w:style>
  <w:style w:type="paragraph" w:customStyle="1" w:styleId="Bullet1">
    <w:name w:val="Bullet1"/>
    <w:basedOn w:val="Normal"/>
    <w:rsid w:val="00E02C92"/>
    <w:pPr>
      <w:numPr>
        <w:numId w:val="9"/>
      </w:numPr>
      <w:spacing w:after="120" w:line="240" w:lineRule="auto"/>
      <w:ind w:right="0"/>
    </w:pPr>
    <w:rPr>
      <w:rFonts w:ascii="Times New Roman" w:eastAsia="Calibri"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BE676D-8D09-4F11-9F21-03D93C86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3723</Words>
  <Characters>21227</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24901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3</cp:revision>
  <dcterms:created xsi:type="dcterms:W3CDTF">2018-01-31T11:52:00Z</dcterms:created>
  <dcterms:modified xsi:type="dcterms:W3CDTF">2018-01-31T12:03:00Z</dcterms:modified>
</cp:coreProperties>
</file>