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A4" w:rsidRPr="005D3ADF" w:rsidRDefault="00222EA4">
      <w:pPr>
        <w:rPr>
          <w:rFonts w:ascii="Times New Roman" w:hAnsi="Times New Roman" w:cs="Times New Roman"/>
        </w:rPr>
      </w:pPr>
    </w:p>
    <w:p w:rsidR="00222EA4" w:rsidRPr="005D3ADF" w:rsidRDefault="00222EA4">
      <w:pPr>
        <w:rPr>
          <w:rFonts w:ascii="Times New Roman" w:hAnsi="Times New Roman" w:cs="Times New Roman"/>
        </w:rPr>
      </w:pPr>
    </w:p>
    <w:p w:rsidR="00222EA4" w:rsidRPr="005D3ADF" w:rsidRDefault="00222EA4">
      <w:pPr>
        <w:rPr>
          <w:rFonts w:ascii="Times New Roman" w:hAnsi="Times New Roman" w:cs="Times New Roman"/>
        </w:rPr>
      </w:pPr>
    </w:p>
    <w:p w:rsidR="00222EA4" w:rsidRPr="005D3ADF" w:rsidRDefault="00222EA4">
      <w:pPr>
        <w:rPr>
          <w:rFonts w:ascii="Times New Roman" w:hAnsi="Times New Roman" w:cs="Times New Roman"/>
        </w:rPr>
      </w:pPr>
    </w:p>
    <w:p w:rsidR="00222EA4" w:rsidRPr="005D3ADF" w:rsidRDefault="00222EA4">
      <w:pPr>
        <w:rPr>
          <w:rFonts w:ascii="Times New Roman" w:hAnsi="Times New Roman" w:cs="Times New Roman"/>
        </w:rPr>
      </w:pPr>
    </w:p>
    <w:p w:rsidR="00222EA4" w:rsidRPr="005D3ADF" w:rsidRDefault="00222EA4">
      <w:pPr>
        <w:rPr>
          <w:rFonts w:ascii="Times New Roman" w:hAnsi="Times New Roman" w:cs="Times New Roman"/>
        </w:rPr>
      </w:pPr>
    </w:p>
    <w:p w:rsidR="00222EA4" w:rsidRPr="005D3ADF" w:rsidRDefault="00222EA4">
      <w:pPr>
        <w:rPr>
          <w:rFonts w:ascii="Times New Roman" w:hAnsi="Times New Roman" w:cs="Times New Roman"/>
        </w:rPr>
      </w:pPr>
    </w:p>
    <w:tbl>
      <w:tblPr>
        <w:tblW w:w="9360" w:type="dxa"/>
        <w:jc w:val="center"/>
        <w:tblLayout w:type="fixed"/>
        <w:tblLook w:val="00A0" w:firstRow="1" w:lastRow="0" w:firstColumn="1" w:lastColumn="0" w:noHBand="0" w:noVBand="0"/>
      </w:tblPr>
      <w:tblGrid>
        <w:gridCol w:w="2160"/>
        <w:gridCol w:w="7200"/>
      </w:tblGrid>
      <w:tr w:rsidR="00222EA4" w:rsidRPr="005D3ADF">
        <w:trPr>
          <w:trHeight w:val="530"/>
          <w:jc w:val="center"/>
        </w:trPr>
        <w:tc>
          <w:tcPr>
            <w:tcW w:w="9360" w:type="dxa"/>
            <w:gridSpan w:val="2"/>
            <w:vAlign w:val="center"/>
          </w:tcPr>
          <w:p w:rsidR="00222EA4" w:rsidRPr="004D4022" w:rsidRDefault="00222EA4" w:rsidP="00B44A3A">
            <w:pPr>
              <w:tabs>
                <w:tab w:val="left" w:pos="284"/>
              </w:tabs>
              <w:spacing w:after="0" w:line="240" w:lineRule="auto"/>
              <w:jc w:val="center"/>
              <w:rPr>
                <w:rFonts w:ascii="Times New Roman" w:hAnsi="Times New Roman" w:cs="Times New Roman"/>
                <w:b/>
                <w:bCs/>
                <w:iCs/>
                <w:u w:val="single"/>
              </w:rPr>
            </w:pPr>
            <w:r w:rsidRPr="004D4022">
              <w:rPr>
                <w:rFonts w:ascii="Times New Roman" w:hAnsi="Times New Roman" w:cs="Times New Roman"/>
                <w:b/>
                <w:bCs/>
                <w:iCs/>
                <w:u w:val="single"/>
              </w:rPr>
              <w:t>SAŽETAK KARAKTERISTIKA L</w:t>
            </w:r>
            <w:r w:rsidR="00CE0076" w:rsidRPr="004D4022">
              <w:rPr>
                <w:rFonts w:ascii="Times New Roman" w:hAnsi="Times New Roman" w:cs="Times New Roman"/>
                <w:b/>
                <w:bCs/>
                <w:iCs/>
                <w:u w:val="single"/>
              </w:rPr>
              <w:t>IJ</w:t>
            </w:r>
            <w:r w:rsidRPr="004D4022">
              <w:rPr>
                <w:rFonts w:ascii="Times New Roman" w:hAnsi="Times New Roman" w:cs="Times New Roman"/>
                <w:b/>
                <w:bCs/>
                <w:iCs/>
                <w:u w:val="single"/>
              </w:rPr>
              <w:t>EKA</w:t>
            </w:r>
          </w:p>
        </w:tc>
      </w:tr>
      <w:tr w:rsidR="00222EA4" w:rsidRPr="005D3ADF">
        <w:trPr>
          <w:trHeight w:val="1969"/>
          <w:jc w:val="center"/>
        </w:trPr>
        <w:tc>
          <w:tcPr>
            <w:tcW w:w="9360" w:type="dxa"/>
            <w:gridSpan w:val="2"/>
            <w:vAlign w:val="bottom"/>
          </w:tcPr>
          <w:p w:rsidR="009F6F95" w:rsidRPr="00C7646D" w:rsidRDefault="009F6F95" w:rsidP="009F6F95">
            <w:pPr>
              <w:keepNext/>
              <w:tabs>
                <w:tab w:val="left" w:pos="284"/>
              </w:tabs>
              <w:spacing w:after="0" w:line="240" w:lineRule="auto"/>
              <w:jc w:val="center"/>
              <w:outlineLvl w:val="1"/>
              <w:rPr>
                <w:rFonts w:ascii="Times New Roman" w:hAnsi="Times New Roman" w:cs="Times New Roman"/>
                <w:b/>
                <w:bCs/>
              </w:rPr>
            </w:pPr>
            <w:r w:rsidRPr="00C7646D">
              <w:rPr>
                <w:rFonts w:ascii="Times New Roman" w:hAnsi="Times New Roman" w:cs="Times New Roman"/>
                <w:b/>
                <w:bCs/>
                <w:lang w:val="ru-RU"/>
              </w:rPr>
              <w:t>Eylea</w:t>
            </w:r>
            <w:r w:rsidRPr="00C7646D">
              <w:rPr>
                <w:rFonts w:ascii="Times New Roman" w:hAnsi="Times New Roman" w:cs="Times New Roman"/>
                <w:b/>
                <w:bCs/>
                <w:vertAlign w:val="superscript"/>
                <w:lang w:val="ru-RU"/>
              </w:rPr>
              <w:t>®</w:t>
            </w:r>
            <w:r w:rsidRPr="00C7646D">
              <w:rPr>
                <w:rFonts w:ascii="Times New Roman" w:hAnsi="Times New Roman" w:cs="Times New Roman"/>
                <w:b/>
                <w:bCs/>
                <w:lang w:val="ru-RU"/>
              </w:rPr>
              <w:t>, rastvor za injekciju, 40 mg/m</w:t>
            </w:r>
            <w:r w:rsidRPr="00C7646D">
              <w:rPr>
                <w:rFonts w:ascii="Times New Roman" w:hAnsi="Times New Roman" w:cs="Times New Roman"/>
                <w:b/>
                <w:bCs/>
                <w:lang w:val="sr-Latn-ME"/>
              </w:rPr>
              <w:t>l</w:t>
            </w:r>
            <w:r w:rsidRPr="00C7646D">
              <w:rPr>
                <w:rFonts w:ascii="Times New Roman" w:hAnsi="Times New Roman" w:cs="Times New Roman"/>
                <w:b/>
                <w:bCs/>
                <w:lang w:val="ru-RU"/>
              </w:rPr>
              <w:t xml:space="preserve">, </w:t>
            </w:r>
          </w:p>
          <w:p w:rsidR="00222EA4" w:rsidRPr="005D3ADF" w:rsidRDefault="009F6F95" w:rsidP="009F6F95">
            <w:pPr>
              <w:tabs>
                <w:tab w:val="left" w:pos="284"/>
              </w:tabs>
              <w:spacing w:after="40" w:line="240" w:lineRule="auto"/>
              <w:jc w:val="center"/>
              <w:rPr>
                <w:rFonts w:ascii="Times New Roman" w:hAnsi="Times New Roman" w:cs="Times New Roman"/>
                <w:b/>
                <w:bCs/>
                <w:u w:val="single"/>
              </w:rPr>
            </w:pPr>
            <w:r w:rsidRPr="00C7646D">
              <w:rPr>
                <w:rFonts w:ascii="Times New Roman" w:hAnsi="Times New Roman" w:cs="Times New Roman"/>
                <w:b/>
                <w:bCs/>
              </w:rPr>
              <w:t>napunjeni injekcioni špric</w:t>
            </w:r>
            <w:r w:rsidRPr="00C7646D">
              <w:rPr>
                <w:rFonts w:ascii="Times New Roman" w:hAnsi="Times New Roman" w:cs="Times New Roman"/>
                <w:b/>
                <w:bCs/>
                <w:lang w:val="ru-RU"/>
              </w:rPr>
              <w:t>, 1</w:t>
            </w:r>
            <w:r w:rsidRPr="00C7646D">
              <w:rPr>
                <w:rFonts w:ascii="Times New Roman" w:hAnsi="Times New Roman" w:cs="Times New Roman"/>
                <w:b/>
                <w:bCs/>
              </w:rPr>
              <w:t>x</w:t>
            </w:r>
            <w:r w:rsidRPr="00C7646D">
              <w:rPr>
                <w:rFonts w:ascii="Times New Roman" w:hAnsi="Times New Roman" w:cs="Times New Roman"/>
                <w:b/>
                <w:bCs/>
                <w:lang w:val="ru-RU"/>
              </w:rPr>
              <w:t>0,</w:t>
            </w:r>
            <w:r w:rsidRPr="00C7646D">
              <w:rPr>
                <w:rFonts w:ascii="Times New Roman" w:hAnsi="Times New Roman" w:cs="Times New Roman"/>
                <w:b/>
                <w:bCs/>
              </w:rPr>
              <w:t>09ml</w:t>
            </w:r>
          </w:p>
        </w:tc>
      </w:tr>
      <w:tr w:rsidR="00222EA4" w:rsidRPr="005D3ADF">
        <w:trPr>
          <w:trHeight w:val="1225"/>
          <w:jc w:val="center"/>
        </w:trPr>
        <w:tc>
          <w:tcPr>
            <w:tcW w:w="9360" w:type="dxa"/>
            <w:gridSpan w:val="2"/>
          </w:tcPr>
          <w:p w:rsidR="00222EA4" w:rsidRPr="005D3ADF" w:rsidRDefault="00222EA4" w:rsidP="001041F9">
            <w:pPr>
              <w:keepNext/>
              <w:tabs>
                <w:tab w:val="left" w:pos="284"/>
              </w:tabs>
              <w:spacing w:after="0" w:line="240" w:lineRule="auto"/>
              <w:jc w:val="center"/>
              <w:outlineLvl w:val="1"/>
              <w:rPr>
                <w:rFonts w:ascii="Times New Roman" w:hAnsi="Times New Roman" w:cs="Times New Roman"/>
                <w:color w:val="808080"/>
                <w:lang w:val="ru-RU"/>
              </w:rPr>
            </w:pPr>
          </w:p>
        </w:tc>
      </w:tr>
      <w:tr w:rsidR="00587A75" w:rsidRPr="00542149" w:rsidTr="004E34F3">
        <w:trPr>
          <w:trHeight w:val="435"/>
          <w:jc w:val="center"/>
        </w:trPr>
        <w:tc>
          <w:tcPr>
            <w:tcW w:w="2160" w:type="dxa"/>
            <w:vAlign w:val="bottom"/>
          </w:tcPr>
          <w:p w:rsidR="00587A75" w:rsidRPr="00542149" w:rsidRDefault="00587A75" w:rsidP="004E34F3">
            <w:pPr>
              <w:tabs>
                <w:tab w:val="left" w:pos="284"/>
              </w:tabs>
              <w:spacing w:after="0" w:line="240" w:lineRule="auto"/>
              <w:jc w:val="right"/>
              <w:rPr>
                <w:rFonts w:ascii="Times New Roman" w:hAnsi="Times New Roman" w:cs="Times New Roman"/>
                <w:sz w:val="24"/>
                <w:szCs w:val="24"/>
                <w:lang w:eastAsia="sr-Latn-CS"/>
              </w:rPr>
            </w:pPr>
            <w:r w:rsidRPr="00542149">
              <w:rPr>
                <w:rFonts w:ascii="Times New Roman" w:hAnsi="Times New Roman" w:cs="Times New Roman"/>
                <w:lang w:eastAsia="sr-Latn-CS"/>
              </w:rPr>
              <w:t>Proizvođač:</w:t>
            </w:r>
          </w:p>
        </w:tc>
        <w:tc>
          <w:tcPr>
            <w:tcW w:w="7200" w:type="dxa"/>
            <w:vAlign w:val="bottom"/>
          </w:tcPr>
          <w:p w:rsidR="00587A75" w:rsidRPr="00542149" w:rsidRDefault="00587A75" w:rsidP="004E34F3">
            <w:pPr>
              <w:tabs>
                <w:tab w:val="left" w:pos="720"/>
              </w:tabs>
              <w:spacing w:before="200" w:after="0" w:line="240" w:lineRule="auto"/>
              <w:rPr>
                <w:rFonts w:ascii="Times New Roman" w:hAnsi="Times New Roman" w:cs="Times New Roman"/>
                <w:b/>
                <w:bCs/>
                <w:sz w:val="24"/>
                <w:szCs w:val="24"/>
                <w:lang w:eastAsia="sr-Latn-CS"/>
              </w:rPr>
            </w:pPr>
          </w:p>
          <w:p w:rsidR="00587A75" w:rsidRPr="00542149" w:rsidRDefault="00587A75" w:rsidP="004E34F3">
            <w:pPr>
              <w:tabs>
                <w:tab w:val="left" w:pos="720"/>
              </w:tabs>
              <w:spacing w:before="200" w:after="0" w:line="240" w:lineRule="auto"/>
              <w:rPr>
                <w:rFonts w:ascii="Times New Roman" w:hAnsi="Times New Roman" w:cs="Times New Roman"/>
                <w:b/>
                <w:bCs/>
                <w:sz w:val="24"/>
                <w:szCs w:val="24"/>
                <w:lang w:eastAsia="sr-Latn-CS"/>
              </w:rPr>
            </w:pPr>
            <w:r w:rsidRPr="00542149">
              <w:rPr>
                <w:rFonts w:ascii="Times New Roman" w:hAnsi="Times New Roman" w:cs="Times New Roman"/>
                <w:b/>
                <w:bCs/>
                <w:lang w:eastAsia="sr-Latn-CS"/>
              </w:rPr>
              <w:t>GP Grenzach Produktions GmbH</w:t>
            </w:r>
          </w:p>
        </w:tc>
      </w:tr>
      <w:tr w:rsidR="00587A75" w:rsidRPr="00542149" w:rsidTr="004E34F3">
        <w:trPr>
          <w:trHeight w:val="360"/>
          <w:jc w:val="center"/>
        </w:trPr>
        <w:tc>
          <w:tcPr>
            <w:tcW w:w="2160" w:type="dxa"/>
            <w:vAlign w:val="bottom"/>
          </w:tcPr>
          <w:p w:rsidR="00587A75" w:rsidRPr="00542149" w:rsidRDefault="00587A75" w:rsidP="004E34F3">
            <w:pPr>
              <w:tabs>
                <w:tab w:val="left" w:pos="284"/>
              </w:tabs>
              <w:spacing w:after="0" w:line="240" w:lineRule="auto"/>
              <w:jc w:val="right"/>
              <w:rPr>
                <w:rFonts w:ascii="Times New Roman" w:hAnsi="Times New Roman" w:cs="Times New Roman"/>
                <w:sz w:val="24"/>
                <w:szCs w:val="24"/>
                <w:lang w:eastAsia="sr-Latn-CS"/>
              </w:rPr>
            </w:pPr>
            <w:r w:rsidRPr="00542149">
              <w:rPr>
                <w:rFonts w:ascii="Times New Roman" w:hAnsi="Times New Roman" w:cs="Times New Roman"/>
                <w:lang w:eastAsia="sr-Latn-CS"/>
              </w:rPr>
              <w:t>Adresa:</w:t>
            </w:r>
          </w:p>
        </w:tc>
        <w:tc>
          <w:tcPr>
            <w:tcW w:w="7200" w:type="dxa"/>
            <w:vAlign w:val="bottom"/>
          </w:tcPr>
          <w:p w:rsidR="00587A75" w:rsidRPr="00542149" w:rsidRDefault="00587A75" w:rsidP="004E34F3">
            <w:pPr>
              <w:tabs>
                <w:tab w:val="left" w:pos="720"/>
              </w:tabs>
              <w:spacing w:before="200" w:after="0" w:line="240" w:lineRule="auto"/>
              <w:rPr>
                <w:rFonts w:ascii="Times New Roman" w:hAnsi="Times New Roman" w:cs="Times New Roman"/>
                <w:b/>
                <w:bCs/>
                <w:sz w:val="24"/>
                <w:szCs w:val="24"/>
                <w:lang w:eastAsia="sr-Latn-CS"/>
              </w:rPr>
            </w:pPr>
            <w:r w:rsidRPr="00542149">
              <w:rPr>
                <w:rFonts w:ascii="Times New Roman" w:hAnsi="Times New Roman" w:cs="Times New Roman"/>
                <w:b/>
                <w:bCs/>
                <w:lang w:eastAsia="sr-Latn-CS"/>
              </w:rPr>
              <w:t>Emil-Barell-Strasse 7, Grenzach-Wyhlen, Njemačka</w:t>
            </w:r>
          </w:p>
        </w:tc>
      </w:tr>
      <w:tr w:rsidR="00587A75" w:rsidRPr="00542149" w:rsidTr="004E34F3">
        <w:trPr>
          <w:trHeight w:val="356"/>
          <w:jc w:val="center"/>
        </w:trPr>
        <w:tc>
          <w:tcPr>
            <w:tcW w:w="2160" w:type="dxa"/>
            <w:vAlign w:val="bottom"/>
          </w:tcPr>
          <w:p w:rsidR="00587A75" w:rsidRPr="00542149" w:rsidRDefault="00587A75" w:rsidP="004E34F3">
            <w:pPr>
              <w:tabs>
                <w:tab w:val="left" w:pos="284"/>
              </w:tabs>
              <w:spacing w:after="0" w:line="240" w:lineRule="auto"/>
              <w:jc w:val="right"/>
              <w:rPr>
                <w:rFonts w:ascii="Times New Roman" w:hAnsi="Times New Roman" w:cs="Times New Roman"/>
                <w:sz w:val="24"/>
                <w:szCs w:val="24"/>
                <w:lang w:eastAsia="sr-Latn-CS"/>
              </w:rPr>
            </w:pPr>
            <w:r w:rsidRPr="00542149">
              <w:rPr>
                <w:rFonts w:ascii="Times New Roman" w:hAnsi="Times New Roman" w:cs="Times New Roman"/>
                <w:lang w:eastAsia="sr-Latn-CS"/>
              </w:rPr>
              <w:t>Podnosilac zahtjeva:</w:t>
            </w:r>
          </w:p>
        </w:tc>
        <w:tc>
          <w:tcPr>
            <w:tcW w:w="7200" w:type="dxa"/>
            <w:vAlign w:val="bottom"/>
          </w:tcPr>
          <w:p w:rsidR="00587A75" w:rsidRPr="00542149" w:rsidRDefault="00926744" w:rsidP="004E34F3">
            <w:pPr>
              <w:tabs>
                <w:tab w:val="left" w:pos="720"/>
              </w:tabs>
              <w:spacing w:after="0" w:line="240" w:lineRule="auto"/>
              <w:ind w:left="72" w:hanging="72"/>
              <w:rPr>
                <w:rFonts w:ascii="Times New Roman" w:hAnsi="Times New Roman" w:cs="Times New Roman"/>
                <w:b/>
                <w:bCs/>
                <w:sz w:val="24"/>
                <w:szCs w:val="24"/>
                <w:lang w:eastAsia="sr-Latn-CS"/>
              </w:rPr>
            </w:pPr>
            <w:r>
              <w:rPr>
                <w:rFonts w:ascii="Times New Roman" w:hAnsi="Times New Roman" w:cs="Times New Roman"/>
                <w:b/>
                <w:bCs/>
              </w:rPr>
              <w:t>Evropa Lek Pharma d.o.o. Podgorica</w:t>
            </w:r>
          </w:p>
        </w:tc>
      </w:tr>
      <w:tr w:rsidR="00587A75" w:rsidRPr="00542149" w:rsidTr="004E34F3">
        <w:trPr>
          <w:trHeight w:val="353"/>
          <w:jc w:val="center"/>
        </w:trPr>
        <w:tc>
          <w:tcPr>
            <w:tcW w:w="2160" w:type="dxa"/>
            <w:vAlign w:val="bottom"/>
          </w:tcPr>
          <w:p w:rsidR="00587A75" w:rsidRPr="00542149" w:rsidRDefault="00587A75" w:rsidP="004E34F3">
            <w:pPr>
              <w:tabs>
                <w:tab w:val="left" w:pos="284"/>
              </w:tabs>
              <w:spacing w:after="0" w:line="240" w:lineRule="auto"/>
              <w:jc w:val="right"/>
              <w:rPr>
                <w:rFonts w:ascii="Times New Roman" w:hAnsi="Times New Roman" w:cs="Times New Roman"/>
                <w:sz w:val="24"/>
                <w:szCs w:val="24"/>
                <w:lang w:eastAsia="sr-Latn-CS"/>
              </w:rPr>
            </w:pPr>
            <w:r w:rsidRPr="00542149">
              <w:rPr>
                <w:rFonts w:ascii="Times New Roman" w:hAnsi="Times New Roman" w:cs="Times New Roman"/>
                <w:lang w:eastAsia="sr-Latn-CS"/>
              </w:rPr>
              <w:t>Adresa:</w:t>
            </w:r>
          </w:p>
        </w:tc>
        <w:tc>
          <w:tcPr>
            <w:tcW w:w="7200" w:type="dxa"/>
            <w:vAlign w:val="bottom"/>
          </w:tcPr>
          <w:p w:rsidR="00587A75" w:rsidRPr="00542149" w:rsidRDefault="00587A75" w:rsidP="004E34F3">
            <w:pPr>
              <w:tabs>
                <w:tab w:val="left" w:pos="720"/>
              </w:tabs>
              <w:spacing w:after="0" w:line="240" w:lineRule="auto"/>
              <w:ind w:left="72" w:hanging="72"/>
              <w:rPr>
                <w:rFonts w:ascii="Times New Roman" w:hAnsi="Times New Roman" w:cs="Times New Roman"/>
                <w:b/>
                <w:bCs/>
                <w:sz w:val="24"/>
                <w:szCs w:val="24"/>
                <w:lang w:eastAsia="sr-Latn-CS"/>
              </w:rPr>
            </w:pPr>
            <w:r w:rsidRPr="00542149">
              <w:rPr>
                <w:rFonts w:ascii="Times New Roman" w:hAnsi="Times New Roman" w:cs="Times New Roman"/>
                <w:b/>
                <w:bCs/>
                <w:lang w:eastAsia="sr-Latn-CS"/>
              </w:rPr>
              <w:t>Kritskog odreda 4/1, 81000 Podgorica</w:t>
            </w:r>
            <w:r w:rsidR="00926744">
              <w:rPr>
                <w:rFonts w:ascii="Times New Roman" w:hAnsi="Times New Roman" w:cs="Times New Roman"/>
                <w:b/>
                <w:bCs/>
                <w:lang w:eastAsia="sr-Latn-CS"/>
              </w:rPr>
              <w:t>, Crna Gora</w:t>
            </w:r>
            <w:r w:rsidRPr="00542149">
              <w:rPr>
                <w:rFonts w:ascii="Times New Roman" w:hAnsi="Times New Roman" w:cs="Times New Roman"/>
                <w:b/>
                <w:bCs/>
                <w:lang w:eastAsia="sr-Latn-CS"/>
              </w:rPr>
              <w:t xml:space="preserve"> </w:t>
            </w:r>
          </w:p>
        </w:tc>
      </w:tr>
    </w:tbl>
    <w:p w:rsidR="00222EA4" w:rsidRPr="005D3ADF" w:rsidRDefault="00222EA4" w:rsidP="00B44A3A">
      <w:pPr>
        <w:tabs>
          <w:tab w:val="left" w:pos="284"/>
          <w:tab w:val="center" w:pos="4536"/>
          <w:tab w:val="right" w:pos="9072"/>
        </w:tabs>
        <w:spacing w:before="400" w:after="0" w:line="240" w:lineRule="auto"/>
        <w:jc w:val="both"/>
        <w:rPr>
          <w:rFonts w:ascii="Times New Roman" w:hAnsi="Times New Roman" w:cs="Times New Roman"/>
        </w:rPr>
      </w:pPr>
      <w:r w:rsidRPr="005D3ADF">
        <w:rPr>
          <w:rFonts w:ascii="Times New Roman" w:hAnsi="Times New Roman" w:cs="Times New Roman"/>
        </w:rPr>
        <w:br w:type="page"/>
      </w:r>
    </w:p>
    <w:p w:rsidR="005D61D3" w:rsidRPr="00EF5613" w:rsidRDefault="00EF5613" w:rsidP="00EF5613">
      <w:pPr>
        <w:jc w:val="both"/>
        <w:rPr>
          <w:rFonts w:ascii="Times New Roman" w:hAnsi="Times New Roman" w:cs="Times New Roman"/>
        </w:rPr>
      </w:pPr>
      <w:r>
        <w:rPr>
          <w:noProof/>
        </w:rPr>
        <w:lastRenderedPageBreak/>
        <w:drawing>
          <wp:inline distT="0" distB="0" distL="0" distR="0" wp14:anchorId="2CC1C5A5" wp14:editId="20C80670">
            <wp:extent cx="196215" cy="184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5C5302">
        <w:rPr>
          <w:rFonts w:ascii="Times New Roman" w:hAnsi="Times New Roman" w:cs="Times New Roman"/>
          <w:lang w:val="pl-PL"/>
        </w:rPr>
        <w:t>Ovaj l</w:t>
      </w:r>
      <w:r>
        <w:rPr>
          <w:rFonts w:ascii="Times New Roman" w:hAnsi="Times New Roman" w:cs="Times New Roman"/>
          <w:lang w:val="pl-PL"/>
        </w:rPr>
        <w:t>ij</w:t>
      </w:r>
      <w:r w:rsidRPr="005C5302">
        <w:rPr>
          <w:rFonts w:ascii="Times New Roman" w:hAnsi="Times New Roman" w:cs="Times New Roman"/>
          <w:lang w:val="pl-PL"/>
        </w:rPr>
        <w:t>ek je pod dodatnim pra</w:t>
      </w:r>
      <w:r w:rsidRPr="00594B10">
        <w:rPr>
          <w:rFonts w:ascii="Times New Roman" w:hAnsi="Times New Roman" w:cs="Times New Roman"/>
          <w:lang w:val="de-DE"/>
        </w:rPr>
        <w:t>ćenjem. Time se omogućava brzo otkrivanje novih bezb</w:t>
      </w:r>
      <w:r>
        <w:rPr>
          <w:rFonts w:ascii="Times New Roman" w:hAnsi="Times New Roman" w:cs="Times New Roman"/>
          <w:lang w:val="de-DE"/>
        </w:rPr>
        <w:t>j</w:t>
      </w:r>
      <w:r w:rsidRPr="00594B10">
        <w:rPr>
          <w:rFonts w:ascii="Times New Roman" w:hAnsi="Times New Roman" w:cs="Times New Roman"/>
          <w:lang w:val="de-DE"/>
        </w:rPr>
        <w:t>ednosnih informacija. Zdravstveni radnici treba da prijave svaku sumnju na neželjen</w:t>
      </w:r>
      <w:r>
        <w:rPr>
          <w:rFonts w:ascii="Times New Roman" w:hAnsi="Times New Roman" w:cs="Times New Roman"/>
          <w:lang w:val="de-DE"/>
        </w:rPr>
        <w:t>o</w:t>
      </w:r>
      <w:r w:rsidRPr="00594B10">
        <w:rPr>
          <w:rFonts w:ascii="Times New Roman" w:hAnsi="Times New Roman" w:cs="Times New Roman"/>
          <w:lang w:val="de-DE"/>
        </w:rPr>
        <w:t xml:space="preserve"> </w:t>
      </w:r>
      <w:r>
        <w:rPr>
          <w:rFonts w:ascii="Times New Roman" w:hAnsi="Times New Roman" w:cs="Times New Roman"/>
          <w:lang w:val="de-DE"/>
        </w:rPr>
        <w:t>dejstvo</w:t>
      </w:r>
      <w:r w:rsidRPr="00594B10">
        <w:rPr>
          <w:rFonts w:ascii="Times New Roman" w:hAnsi="Times New Roman" w:cs="Times New Roman"/>
          <w:lang w:val="de-DE"/>
        </w:rPr>
        <w:t xml:space="preserve"> ov</w:t>
      </w:r>
      <w:r>
        <w:rPr>
          <w:rFonts w:ascii="Times New Roman" w:hAnsi="Times New Roman" w:cs="Times New Roman"/>
          <w:lang w:val="de-DE"/>
        </w:rPr>
        <w:t>og</w:t>
      </w:r>
      <w:r w:rsidRPr="00594B10">
        <w:rPr>
          <w:rFonts w:ascii="Times New Roman" w:hAnsi="Times New Roman" w:cs="Times New Roman"/>
          <w:lang w:val="de-DE"/>
        </w:rPr>
        <w:t xml:space="preserve"> l</w:t>
      </w:r>
      <w:r>
        <w:rPr>
          <w:rFonts w:ascii="Times New Roman" w:hAnsi="Times New Roman" w:cs="Times New Roman"/>
          <w:lang w:val="de-DE"/>
        </w:rPr>
        <w:t>ij</w:t>
      </w:r>
      <w:r w:rsidRPr="00594B10">
        <w:rPr>
          <w:rFonts w:ascii="Times New Roman" w:hAnsi="Times New Roman" w:cs="Times New Roman"/>
          <w:lang w:val="de-DE"/>
        </w:rPr>
        <w:t>ek</w:t>
      </w:r>
      <w:r>
        <w:rPr>
          <w:rFonts w:ascii="Times New Roman" w:hAnsi="Times New Roman" w:cs="Times New Roman"/>
          <w:lang w:val="de-DE"/>
        </w:rPr>
        <w:t>a</w:t>
      </w:r>
      <w:r w:rsidRPr="00594B10">
        <w:rPr>
          <w:rFonts w:ascii="Times New Roman" w:hAnsi="Times New Roman" w:cs="Times New Roman"/>
          <w:lang w:val="de-DE"/>
        </w:rPr>
        <w:t xml:space="preserve">. </w:t>
      </w:r>
      <w:r>
        <w:rPr>
          <w:rFonts w:ascii="Times New Roman" w:hAnsi="Times New Roman" w:cs="Times New Roman"/>
        </w:rPr>
        <w:t>Za način prijavljivanja neželjenih dejstava vidjeti odjeljak 4.8.</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b/>
          <w:bCs/>
        </w:rPr>
      </w:pPr>
    </w:p>
    <w:p w:rsidR="00C7646D" w:rsidRPr="005D3ADF" w:rsidRDefault="00C7646D" w:rsidP="00C7646D">
      <w:pPr>
        <w:tabs>
          <w:tab w:val="left" w:pos="284"/>
          <w:tab w:val="center" w:pos="4536"/>
          <w:tab w:val="right" w:pos="9072"/>
        </w:tabs>
        <w:spacing w:after="0" w:line="240" w:lineRule="auto"/>
        <w:jc w:val="both"/>
        <w:rPr>
          <w:rFonts w:ascii="Times New Roman" w:hAnsi="Times New Roman" w:cs="Times New Roman"/>
          <w:b/>
          <w:bCs/>
          <w:lang w:val="sr-Latn-CS"/>
        </w:rPr>
      </w:pPr>
      <w:r>
        <w:rPr>
          <w:rFonts w:ascii="Times New Roman" w:hAnsi="Times New Roman" w:cs="Times New Roman"/>
          <w:b/>
          <w:bCs/>
        </w:rPr>
        <w:t>1. NAZIV</w:t>
      </w:r>
      <w:r w:rsidRPr="005D3ADF">
        <w:rPr>
          <w:rFonts w:ascii="Times New Roman" w:hAnsi="Times New Roman" w:cs="Times New Roman"/>
          <w:b/>
          <w:bCs/>
        </w:rPr>
        <w:t xml:space="preserve"> L</w:t>
      </w:r>
      <w:r>
        <w:rPr>
          <w:rFonts w:ascii="Times New Roman" w:hAnsi="Times New Roman" w:cs="Times New Roman"/>
          <w:b/>
          <w:bCs/>
        </w:rPr>
        <w:t>IJ</w:t>
      </w:r>
      <w:r w:rsidRPr="005D3ADF">
        <w:rPr>
          <w:rFonts w:ascii="Times New Roman" w:hAnsi="Times New Roman" w:cs="Times New Roman"/>
          <w:b/>
          <w:bCs/>
        </w:rPr>
        <w:t>EKA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b/>
          <w:bCs/>
          <w:lang w:val="pl-PL"/>
        </w:rPr>
      </w:pPr>
    </w:p>
    <w:p w:rsidR="00C7646D" w:rsidRPr="005D3ADF"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r w:rsidRPr="005D3ADF">
        <w:rPr>
          <w:rFonts w:ascii="Times New Roman" w:hAnsi="Times New Roman" w:cs="Times New Roman"/>
          <w:b/>
          <w:bCs/>
          <w:lang w:val="pl-PL"/>
        </w:rPr>
        <w:t>Eylea</w:t>
      </w:r>
      <w:r w:rsidRPr="005D3ADF">
        <w:rPr>
          <w:rFonts w:ascii="Times New Roman" w:hAnsi="Times New Roman" w:cs="Times New Roman"/>
          <w:b/>
          <w:bCs/>
          <w:vertAlign w:val="superscript"/>
          <w:lang w:val="pl-PL"/>
        </w:rPr>
        <w:t>®</w:t>
      </w:r>
      <w:r w:rsidRPr="005D3ADF">
        <w:rPr>
          <w:rFonts w:ascii="Times New Roman" w:hAnsi="Times New Roman" w:cs="Times New Roman"/>
          <w:lang w:val="pl-PL"/>
        </w:rPr>
        <w:t>, rastvor za injekciju</w:t>
      </w:r>
      <w:r>
        <w:rPr>
          <w:rFonts w:ascii="Times New Roman" w:hAnsi="Times New Roman" w:cs="Times New Roman"/>
          <w:lang w:val="pl-PL"/>
        </w:rPr>
        <w:t>,</w:t>
      </w:r>
      <w:r w:rsidRPr="005D3ADF">
        <w:rPr>
          <w:rFonts w:ascii="Times New Roman" w:hAnsi="Times New Roman" w:cs="Times New Roman"/>
          <w:lang w:val="pl-PL"/>
        </w:rPr>
        <w:t xml:space="preserve"> </w:t>
      </w:r>
      <w:r>
        <w:rPr>
          <w:rFonts w:ascii="Times New Roman" w:hAnsi="Times New Roman" w:cs="Times New Roman"/>
          <w:lang w:val="pl-PL"/>
        </w:rPr>
        <w:t>40 mg/ml,</w:t>
      </w:r>
      <w:r w:rsidRPr="005D3ADF">
        <w:rPr>
          <w:rFonts w:ascii="Times New Roman" w:hAnsi="Times New Roman" w:cs="Times New Roman"/>
          <w:lang w:val="pl-PL"/>
        </w:rPr>
        <w:t xml:space="preserve"> </w:t>
      </w:r>
      <w:r w:rsidRPr="00C15CAE">
        <w:rPr>
          <w:rFonts w:ascii="Times New Roman" w:hAnsi="Times New Roman" w:cs="Times New Roman"/>
        </w:rPr>
        <w:t>napunjen</w:t>
      </w:r>
      <w:r>
        <w:rPr>
          <w:rFonts w:ascii="Times New Roman" w:hAnsi="Times New Roman" w:cs="Times New Roman"/>
        </w:rPr>
        <w:t>i</w:t>
      </w:r>
      <w:r w:rsidRPr="00C15CAE">
        <w:rPr>
          <w:rFonts w:ascii="Times New Roman" w:hAnsi="Times New Roman" w:cs="Times New Roman"/>
        </w:rPr>
        <w:t xml:space="preserve"> injekcion</w:t>
      </w:r>
      <w:r>
        <w:rPr>
          <w:rFonts w:ascii="Times New Roman" w:hAnsi="Times New Roman" w:cs="Times New Roman"/>
        </w:rPr>
        <w:t>i</w:t>
      </w:r>
      <w:r w:rsidRPr="00C15CAE">
        <w:rPr>
          <w:rFonts w:ascii="Times New Roman" w:hAnsi="Times New Roman" w:cs="Times New Roman"/>
        </w:rPr>
        <w:t xml:space="preserve"> špric</w:t>
      </w:r>
    </w:p>
    <w:p w:rsidR="00C7646D" w:rsidRPr="005D3ADF" w:rsidRDefault="00C7646D" w:rsidP="00C7646D">
      <w:pPr>
        <w:tabs>
          <w:tab w:val="left" w:pos="284"/>
          <w:tab w:val="center" w:pos="4536"/>
          <w:tab w:val="right" w:pos="9072"/>
        </w:tabs>
        <w:spacing w:after="0" w:line="240" w:lineRule="auto"/>
        <w:jc w:val="both"/>
        <w:rPr>
          <w:rFonts w:ascii="Times New Roman" w:hAnsi="Times New Roman" w:cs="Times New Roman"/>
        </w:rPr>
      </w:pPr>
      <w:r w:rsidRPr="005D3ADF">
        <w:rPr>
          <w:rFonts w:ascii="Times New Roman" w:hAnsi="Times New Roman" w:cs="Times New Roman"/>
        </w:rPr>
        <w:t>INN:</w:t>
      </w:r>
      <w:r>
        <w:rPr>
          <w:rFonts w:ascii="Times New Roman" w:hAnsi="Times New Roman" w:cs="Times New Roman"/>
        </w:rPr>
        <w:t xml:space="preserve"> </w:t>
      </w:r>
      <w:r w:rsidRPr="005D3ADF">
        <w:rPr>
          <w:rFonts w:ascii="Times New Roman" w:hAnsi="Times New Roman" w:cs="Times New Roman"/>
        </w:rPr>
        <w:t>aflibercept</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b/>
          <w:bCs/>
        </w:rPr>
      </w:pPr>
    </w:p>
    <w:p w:rsidR="00C7646D" w:rsidRDefault="00C7646D" w:rsidP="00C7646D">
      <w:pPr>
        <w:tabs>
          <w:tab w:val="left" w:pos="284"/>
          <w:tab w:val="center" w:pos="4536"/>
          <w:tab w:val="right" w:pos="9072"/>
        </w:tabs>
        <w:spacing w:after="0" w:line="240" w:lineRule="auto"/>
        <w:jc w:val="both"/>
        <w:rPr>
          <w:rFonts w:ascii="Times New Roman" w:hAnsi="Times New Roman" w:cs="Times New Roman"/>
          <w:b/>
          <w:bCs/>
        </w:rPr>
      </w:pPr>
    </w:p>
    <w:p w:rsidR="00C7646D" w:rsidRPr="005D3ADF" w:rsidRDefault="00C7646D" w:rsidP="00C7646D">
      <w:pPr>
        <w:tabs>
          <w:tab w:val="left" w:pos="284"/>
          <w:tab w:val="center" w:pos="4536"/>
          <w:tab w:val="right" w:pos="9072"/>
        </w:tabs>
        <w:spacing w:after="0" w:line="240" w:lineRule="auto"/>
        <w:jc w:val="both"/>
        <w:rPr>
          <w:rFonts w:ascii="Times New Roman" w:hAnsi="Times New Roman" w:cs="Times New Roman"/>
          <w:b/>
          <w:bCs/>
        </w:rPr>
      </w:pPr>
      <w:r w:rsidRPr="005D3ADF">
        <w:rPr>
          <w:rFonts w:ascii="Times New Roman" w:hAnsi="Times New Roman" w:cs="Times New Roman"/>
          <w:b/>
          <w:bCs/>
        </w:rPr>
        <w:t>2. KVALITATIVNI I KVANTITATIVNI SASTAV</w:t>
      </w:r>
    </w:p>
    <w:p w:rsidR="00C7646D" w:rsidRPr="004D4022"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p>
    <w:p w:rsidR="00C7646D" w:rsidRPr="004D4022"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r w:rsidRPr="004D4022">
        <w:rPr>
          <w:rFonts w:ascii="Times New Roman" w:hAnsi="Times New Roman" w:cs="Times New Roman"/>
          <w:lang w:val="pl-PL"/>
        </w:rPr>
        <w:t>1 m</w:t>
      </w:r>
      <w:r>
        <w:rPr>
          <w:rFonts w:ascii="Times New Roman" w:hAnsi="Times New Roman" w:cs="Times New Roman"/>
          <w:lang w:val="pl-PL"/>
        </w:rPr>
        <w:t>l</w:t>
      </w:r>
      <w:r w:rsidRPr="004D4022">
        <w:rPr>
          <w:rFonts w:ascii="Times New Roman" w:hAnsi="Times New Roman" w:cs="Times New Roman"/>
          <w:lang w:val="pl-PL"/>
        </w:rPr>
        <w:t xml:space="preserve"> rastvora za injekciju sadrži 40 mg aflibercepta*.</w:t>
      </w:r>
    </w:p>
    <w:p w:rsidR="00C7646D" w:rsidRPr="004D4022"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p>
    <w:p w:rsidR="00C7646D" w:rsidRPr="00C15CAE" w:rsidRDefault="00C7646D"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Jedan napunjeni injekcioni špric sadrži 90 mikrolitara, što odgovara 3,6 mg aflibercepta. Ovo omogućava da se dobije upotrebljiva količina za prim</w:t>
      </w:r>
      <w:r>
        <w:rPr>
          <w:rFonts w:ascii="Times New Roman" w:hAnsi="Times New Roman" w:cs="Times New Roman"/>
        </w:rPr>
        <w:t>j</w:t>
      </w:r>
      <w:r w:rsidRPr="00C15CAE">
        <w:rPr>
          <w:rFonts w:ascii="Times New Roman" w:hAnsi="Times New Roman" w:cs="Times New Roman"/>
        </w:rPr>
        <w:t xml:space="preserve">enu pojedinačne doze od 50 mikrolitara koja sadrži 2 mg aflibercepta. </w:t>
      </w:r>
    </w:p>
    <w:p w:rsidR="00C7646D" w:rsidRPr="00C15CAE" w:rsidRDefault="00C7646D" w:rsidP="00C7646D">
      <w:pPr>
        <w:tabs>
          <w:tab w:val="left" w:pos="284"/>
          <w:tab w:val="center" w:pos="4536"/>
          <w:tab w:val="right" w:pos="9072"/>
        </w:tabs>
        <w:spacing w:after="0" w:line="240" w:lineRule="auto"/>
        <w:jc w:val="both"/>
        <w:rPr>
          <w:rFonts w:ascii="Times New Roman" w:hAnsi="Times New Roman" w:cs="Times New Roman"/>
        </w:rPr>
      </w:pPr>
    </w:p>
    <w:p w:rsidR="00C7646D" w:rsidRPr="009F6F95" w:rsidRDefault="00C7646D"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*Fuzioni protein, koji se sastoji od ekstracelularnih d</w:t>
      </w:r>
      <w:r>
        <w:rPr>
          <w:rFonts w:ascii="Times New Roman" w:hAnsi="Times New Roman" w:cs="Times New Roman"/>
        </w:rPr>
        <w:t>j</w:t>
      </w:r>
      <w:r w:rsidRPr="00C15CAE">
        <w:rPr>
          <w:rFonts w:ascii="Times New Roman" w:hAnsi="Times New Roman" w:cs="Times New Roman"/>
        </w:rPr>
        <w:t>elova humanih VEGF (faktor rasta vaskularnog endotela) receptora 1 i 2 koji su stopljeni u Fc segment humanog IgG1, a koji je proizveden u K1 ćelijama ovarijuma kineskog hrčka (CHO-</w:t>
      </w:r>
      <w:r w:rsidRPr="003A3B49">
        <w:rPr>
          <w:rFonts w:ascii="Times New Roman" w:hAnsi="Times New Roman" w:cs="Times New Roman"/>
          <w:i/>
        </w:rPr>
        <w:t>Chinese hamster ovary</w:t>
      </w:r>
      <w:r w:rsidRPr="00C15CAE">
        <w:rPr>
          <w:rFonts w:ascii="Times New Roman" w:hAnsi="Times New Roman" w:cs="Times New Roman"/>
        </w:rPr>
        <w:t xml:space="preserve">) </w:t>
      </w:r>
      <w:r>
        <w:rPr>
          <w:rFonts w:ascii="Times New Roman" w:hAnsi="Times New Roman" w:cs="Times New Roman"/>
        </w:rPr>
        <w:t>tehnologijom rekombinantne DNK.</w:t>
      </w:r>
    </w:p>
    <w:p w:rsidR="00C7646D" w:rsidRPr="004D4022"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p>
    <w:p w:rsidR="00C7646D" w:rsidRPr="005D3ADF" w:rsidRDefault="00C7646D" w:rsidP="00C7646D">
      <w:pPr>
        <w:tabs>
          <w:tab w:val="left" w:pos="284"/>
          <w:tab w:val="center" w:pos="4536"/>
          <w:tab w:val="right" w:pos="9072"/>
        </w:tabs>
        <w:spacing w:after="0" w:line="240" w:lineRule="auto"/>
        <w:jc w:val="both"/>
        <w:rPr>
          <w:rFonts w:ascii="Times New Roman" w:hAnsi="Times New Roman" w:cs="Times New Roman"/>
          <w:lang w:val="sr-Latn-CS"/>
        </w:rPr>
      </w:pPr>
      <w:r w:rsidRPr="005D3ADF">
        <w:rPr>
          <w:rFonts w:ascii="Times New Roman" w:hAnsi="Times New Roman" w:cs="Times New Roman"/>
          <w:lang w:val="sr-Latn-CS"/>
        </w:rPr>
        <w:t>Za listu svih pomoćnih supstanci, vid</w:t>
      </w:r>
      <w:r>
        <w:rPr>
          <w:rFonts w:ascii="Times New Roman" w:hAnsi="Times New Roman" w:cs="Times New Roman"/>
          <w:lang w:val="sr-Latn-CS"/>
        </w:rPr>
        <w:t>j</w:t>
      </w:r>
      <w:r w:rsidRPr="005D3ADF">
        <w:rPr>
          <w:rFonts w:ascii="Times New Roman" w:hAnsi="Times New Roman" w:cs="Times New Roman"/>
          <w:lang w:val="sr-Latn-CS"/>
        </w:rPr>
        <w:t xml:space="preserve">eti </w:t>
      </w:r>
      <w:r>
        <w:rPr>
          <w:rFonts w:ascii="Times New Roman" w:hAnsi="Times New Roman" w:cs="Times New Roman"/>
          <w:lang w:val="sr-Latn-CS"/>
        </w:rPr>
        <w:t>odjeljak</w:t>
      </w:r>
      <w:r w:rsidRPr="005D3ADF">
        <w:rPr>
          <w:rFonts w:ascii="Times New Roman" w:hAnsi="Times New Roman" w:cs="Times New Roman"/>
          <w:lang w:val="sr-Latn-CS"/>
        </w:rPr>
        <w:t xml:space="preserve"> 6.1.</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p>
    <w:p w:rsidR="00C7646D" w:rsidRPr="005D3ADF" w:rsidRDefault="00C7646D" w:rsidP="00C7646D">
      <w:pPr>
        <w:tabs>
          <w:tab w:val="left" w:pos="284"/>
          <w:tab w:val="center" w:pos="4536"/>
          <w:tab w:val="right" w:pos="9072"/>
        </w:tabs>
        <w:spacing w:after="0" w:line="240" w:lineRule="auto"/>
        <w:jc w:val="both"/>
        <w:rPr>
          <w:rFonts w:ascii="Times New Roman" w:hAnsi="Times New Roman" w:cs="Times New Roman"/>
          <w:lang w:val="pl-PL"/>
        </w:rPr>
      </w:pPr>
    </w:p>
    <w:p w:rsidR="009F6F95" w:rsidRPr="009F6F95" w:rsidRDefault="009F6F95" w:rsidP="00C7646D">
      <w:pPr>
        <w:spacing w:after="0"/>
        <w:rPr>
          <w:rFonts w:ascii="Times New Roman" w:hAnsi="Times New Roman" w:cs="Times New Roman"/>
          <w:b/>
          <w:lang w:val="de-DE"/>
        </w:rPr>
      </w:pPr>
      <w:r w:rsidRPr="009F6F95">
        <w:rPr>
          <w:rFonts w:ascii="Times New Roman" w:hAnsi="Times New Roman" w:cs="Times New Roman"/>
          <w:b/>
          <w:lang w:val="de-DE"/>
        </w:rPr>
        <w:t>3. FARMACEUTSKI OBLIK</w:t>
      </w:r>
    </w:p>
    <w:p w:rsidR="00C7646D" w:rsidRDefault="00C7646D" w:rsidP="00C7646D">
      <w:pPr>
        <w:spacing w:after="0"/>
        <w:rPr>
          <w:rFonts w:ascii="Times New Roman" w:hAnsi="Times New Roman" w:cs="Times New Roman"/>
          <w:lang w:val="de-DE"/>
        </w:rPr>
      </w:pPr>
    </w:p>
    <w:p w:rsidR="009F6F95" w:rsidRDefault="009F6F95" w:rsidP="00C7646D">
      <w:pPr>
        <w:spacing w:after="0"/>
        <w:rPr>
          <w:rFonts w:ascii="Times New Roman" w:hAnsi="Times New Roman" w:cs="Times New Roman"/>
          <w:lang w:val="de-DE"/>
        </w:rPr>
      </w:pPr>
      <w:r w:rsidRPr="009F6F95">
        <w:rPr>
          <w:rFonts w:ascii="Times New Roman" w:hAnsi="Times New Roman" w:cs="Times New Roman"/>
          <w:lang w:val="de-DE"/>
        </w:rPr>
        <w:t>Ra</w:t>
      </w:r>
      <w:r>
        <w:rPr>
          <w:rFonts w:ascii="Times New Roman" w:hAnsi="Times New Roman" w:cs="Times New Roman"/>
          <w:lang w:val="de-DE"/>
        </w:rPr>
        <w:t>stvor za injekciju (injekcija).</w:t>
      </w:r>
    </w:p>
    <w:p w:rsidR="00222EA4" w:rsidRDefault="009F6F95" w:rsidP="00C7646D">
      <w:pPr>
        <w:spacing w:after="0"/>
        <w:rPr>
          <w:rFonts w:ascii="Times New Roman" w:hAnsi="Times New Roman" w:cs="Times New Roman"/>
          <w:lang w:val="de-DE"/>
        </w:rPr>
      </w:pPr>
      <w:r w:rsidRPr="009F6F95">
        <w:rPr>
          <w:rFonts w:ascii="Times New Roman" w:hAnsi="Times New Roman" w:cs="Times New Roman"/>
          <w:lang w:val="de-DE"/>
        </w:rPr>
        <w:t>Eylea je bistar, bezbojan do blijedožut, izoosmotski rastvor.</w:t>
      </w:r>
    </w:p>
    <w:p w:rsidR="00C7646D" w:rsidRDefault="00C7646D" w:rsidP="00C7646D">
      <w:pPr>
        <w:spacing w:after="0"/>
        <w:rPr>
          <w:rFonts w:ascii="Times New Roman" w:hAnsi="Times New Roman" w:cs="Times New Roman"/>
          <w:b/>
          <w:lang w:val="de-DE"/>
        </w:rPr>
      </w:pPr>
    </w:p>
    <w:p w:rsidR="00C7646D" w:rsidRDefault="00C7646D" w:rsidP="00C7646D">
      <w:pPr>
        <w:spacing w:after="0"/>
        <w:rPr>
          <w:rFonts w:ascii="Times New Roman" w:hAnsi="Times New Roman" w:cs="Times New Roman"/>
          <w:b/>
          <w:lang w:val="de-DE"/>
        </w:rPr>
      </w:pPr>
    </w:p>
    <w:p w:rsidR="009F6F95" w:rsidRPr="009F6F95" w:rsidRDefault="009F6F95" w:rsidP="00C7646D">
      <w:pPr>
        <w:spacing w:after="0"/>
        <w:rPr>
          <w:rFonts w:ascii="Times New Roman" w:hAnsi="Times New Roman" w:cs="Times New Roman"/>
          <w:b/>
          <w:lang w:val="de-DE"/>
        </w:rPr>
      </w:pPr>
      <w:r w:rsidRPr="009F6F95">
        <w:rPr>
          <w:rFonts w:ascii="Times New Roman" w:hAnsi="Times New Roman" w:cs="Times New Roman"/>
          <w:b/>
          <w:lang w:val="de-DE"/>
        </w:rPr>
        <w:t>4. KLINIČKI PODACI</w:t>
      </w:r>
    </w:p>
    <w:p w:rsidR="00C7646D" w:rsidRDefault="00C7646D" w:rsidP="00C7646D">
      <w:pPr>
        <w:spacing w:after="0"/>
        <w:rPr>
          <w:rFonts w:ascii="Times New Roman" w:hAnsi="Times New Roman" w:cs="Times New Roman"/>
          <w:b/>
          <w:lang w:val="de-DE"/>
        </w:rPr>
      </w:pPr>
    </w:p>
    <w:p w:rsidR="009F6F95" w:rsidRPr="009F6F95" w:rsidRDefault="009F6F95" w:rsidP="00C7646D">
      <w:pPr>
        <w:spacing w:after="0"/>
        <w:rPr>
          <w:rFonts w:ascii="Times New Roman" w:hAnsi="Times New Roman" w:cs="Times New Roman"/>
          <w:b/>
          <w:lang w:val="de-DE"/>
        </w:rPr>
      </w:pPr>
      <w:r w:rsidRPr="009F6F95">
        <w:rPr>
          <w:rFonts w:ascii="Times New Roman" w:hAnsi="Times New Roman" w:cs="Times New Roman"/>
          <w:b/>
          <w:lang w:val="de-DE"/>
        </w:rPr>
        <w:t>4.1. Terapijske indikacije</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9F6F95" w:rsidRPr="009F6F95" w:rsidRDefault="009F6F9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L</w:t>
      </w:r>
      <w:r>
        <w:rPr>
          <w:rFonts w:ascii="Times New Roman" w:hAnsi="Times New Roman" w:cs="Times New Roman"/>
        </w:rPr>
        <w:t>ij</w:t>
      </w:r>
      <w:r w:rsidRPr="00C15CAE">
        <w:rPr>
          <w:rFonts w:ascii="Times New Roman" w:hAnsi="Times New Roman" w:cs="Times New Roman"/>
        </w:rPr>
        <w:t xml:space="preserve">ek Eylea je indikovan </w:t>
      </w:r>
      <w:r>
        <w:rPr>
          <w:rFonts w:ascii="Times New Roman" w:hAnsi="Times New Roman" w:cs="Times New Roman"/>
        </w:rPr>
        <w:t>kod odraslih</w:t>
      </w:r>
      <w:r w:rsidRPr="00C15CAE">
        <w:rPr>
          <w:rFonts w:ascii="Times New Roman" w:hAnsi="Times New Roman" w:cs="Times New Roman"/>
        </w:rPr>
        <w:t xml:space="preserve"> </w:t>
      </w:r>
      <w:r>
        <w:rPr>
          <w:rFonts w:ascii="Times New Roman" w:hAnsi="Times New Roman" w:cs="Times New Roman"/>
        </w:rPr>
        <w:t xml:space="preserve">u terapiji </w:t>
      </w:r>
    </w:p>
    <w:p w:rsidR="009F6F95" w:rsidRPr="009F6F95" w:rsidRDefault="009F6F95" w:rsidP="00C7646D">
      <w:pPr>
        <w:numPr>
          <w:ilvl w:val="0"/>
          <w:numId w:val="21"/>
        </w:numPr>
        <w:spacing w:after="0"/>
        <w:rPr>
          <w:rFonts w:ascii="Times New Roman" w:hAnsi="Times New Roman" w:cs="Times New Roman"/>
          <w:lang w:val="sr-Latn-CS"/>
        </w:rPr>
      </w:pPr>
      <w:r w:rsidRPr="009F6F95">
        <w:rPr>
          <w:rFonts w:ascii="Times New Roman" w:hAnsi="Times New Roman" w:cs="Times New Roman"/>
          <w:lang w:val="sr-Latn-CS"/>
        </w:rPr>
        <w:t>neovaskularne (vlažne) senilne degeneracije makule (AMD) (vidjeti odjeljak 5.1).</w:t>
      </w:r>
    </w:p>
    <w:p w:rsidR="009F6F95" w:rsidRPr="009F6F95" w:rsidRDefault="009F6F95" w:rsidP="00C7646D">
      <w:pPr>
        <w:numPr>
          <w:ilvl w:val="0"/>
          <w:numId w:val="21"/>
        </w:numPr>
        <w:spacing w:after="0"/>
        <w:rPr>
          <w:rFonts w:ascii="Times New Roman" w:hAnsi="Times New Roman" w:cs="Times New Roman"/>
          <w:lang w:val="sr-Latn-CS"/>
        </w:rPr>
      </w:pPr>
      <w:r w:rsidRPr="009F6F95">
        <w:rPr>
          <w:rFonts w:ascii="Times New Roman" w:hAnsi="Times New Roman" w:cs="Times New Roman"/>
          <w:lang w:val="sr-Latn-CS"/>
        </w:rPr>
        <w:t xml:space="preserve">oštećenja vida nastalog usljed makularnog edema koji se javlja kao posljedica </w:t>
      </w:r>
      <w:r>
        <w:rPr>
          <w:rFonts w:ascii="Times New Roman" w:hAnsi="Times New Roman" w:cs="Times New Roman"/>
          <w:lang w:val="sr-Latn-RS"/>
        </w:rPr>
        <w:t xml:space="preserve">okluzije </w:t>
      </w:r>
      <w:r w:rsidRPr="009F6F95">
        <w:rPr>
          <w:rFonts w:ascii="Times New Roman" w:hAnsi="Times New Roman" w:cs="Times New Roman"/>
          <w:lang w:val="sr-Latn-RS"/>
        </w:rPr>
        <w:t>retinalne vene (okluzije grane retinalne vene ili centralne retinalne vene) (vidjeti odjeljak 5.1).</w:t>
      </w:r>
    </w:p>
    <w:p w:rsidR="009F6F95" w:rsidRDefault="009F6F95" w:rsidP="00C7646D">
      <w:pPr>
        <w:numPr>
          <w:ilvl w:val="0"/>
          <w:numId w:val="21"/>
        </w:numPr>
        <w:spacing w:after="0"/>
        <w:rPr>
          <w:rFonts w:ascii="Times New Roman" w:hAnsi="Times New Roman" w:cs="Times New Roman"/>
          <w:lang w:val="sr-Latn-CS"/>
        </w:rPr>
      </w:pPr>
      <w:r w:rsidRPr="009F6F95">
        <w:rPr>
          <w:rFonts w:ascii="Times New Roman" w:hAnsi="Times New Roman" w:cs="Times New Roman"/>
          <w:lang w:val="sr-Latn-RS"/>
        </w:rPr>
        <w:t>oštećenja vida nastalog zbog dijabetičkog makularnog edema (DME) (vidjeti odjeljak 5.1)</w:t>
      </w:r>
    </w:p>
    <w:p w:rsidR="009F6F95" w:rsidRDefault="009F6F95" w:rsidP="00C7646D">
      <w:pPr>
        <w:spacing w:after="0"/>
        <w:rPr>
          <w:rFonts w:ascii="Times New Roman" w:hAnsi="Times New Roman" w:cs="Times New Roman"/>
          <w:b/>
          <w:bCs/>
        </w:rPr>
      </w:pPr>
    </w:p>
    <w:p w:rsidR="00C7646D" w:rsidRDefault="00C7646D" w:rsidP="00C7646D">
      <w:pPr>
        <w:spacing w:after="0"/>
        <w:rPr>
          <w:rFonts w:ascii="Times New Roman" w:hAnsi="Times New Roman" w:cs="Times New Roman"/>
          <w:b/>
          <w:bCs/>
        </w:rPr>
      </w:pPr>
    </w:p>
    <w:p w:rsidR="00C7646D" w:rsidRDefault="00C7646D" w:rsidP="00C7646D">
      <w:pPr>
        <w:spacing w:after="0"/>
        <w:rPr>
          <w:rFonts w:ascii="Times New Roman" w:hAnsi="Times New Roman" w:cs="Times New Roman"/>
          <w:b/>
          <w:bCs/>
        </w:rPr>
      </w:pPr>
    </w:p>
    <w:p w:rsidR="00C7646D" w:rsidRDefault="00C7646D" w:rsidP="00C7646D">
      <w:pPr>
        <w:spacing w:after="0"/>
        <w:rPr>
          <w:rFonts w:ascii="Times New Roman" w:hAnsi="Times New Roman" w:cs="Times New Roman"/>
          <w:b/>
          <w:bCs/>
        </w:rPr>
      </w:pPr>
    </w:p>
    <w:p w:rsidR="009F6F95" w:rsidRDefault="009F6F95" w:rsidP="00C7646D">
      <w:pPr>
        <w:spacing w:after="0"/>
        <w:rPr>
          <w:rFonts w:ascii="Times New Roman" w:hAnsi="Times New Roman" w:cs="Times New Roman"/>
          <w:lang w:val="sr-Latn-CS"/>
        </w:rPr>
      </w:pPr>
      <w:r w:rsidRPr="00C15CAE">
        <w:rPr>
          <w:rFonts w:ascii="Times New Roman" w:hAnsi="Times New Roman" w:cs="Times New Roman"/>
          <w:b/>
          <w:bCs/>
        </w:rPr>
        <w:t>4.2. Doziranje i način prim</w:t>
      </w:r>
      <w:r>
        <w:rPr>
          <w:rFonts w:ascii="Times New Roman" w:hAnsi="Times New Roman" w:cs="Times New Roman"/>
          <w:b/>
          <w:bCs/>
        </w:rPr>
        <w:t>j</w:t>
      </w:r>
      <w:r w:rsidRPr="00C15CAE">
        <w:rPr>
          <w:rFonts w:ascii="Times New Roman" w:hAnsi="Times New Roman" w:cs="Times New Roman"/>
          <w:b/>
          <w:bCs/>
        </w:rPr>
        <w:t>ene</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L</w:t>
      </w:r>
      <w:r>
        <w:rPr>
          <w:rFonts w:ascii="Times New Roman" w:hAnsi="Times New Roman" w:cs="Times New Roman"/>
        </w:rPr>
        <w:t>ij</w:t>
      </w:r>
      <w:r w:rsidRPr="00C15CAE">
        <w:rPr>
          <w:rFonts w:ascii="Times New Roman" w:hAnsi="Times New Roman" w:cs="Times New Roman"/>
        </w:rPr>
        <w:t>ek Eylea se isključivo prim</w:t>
      </w:r>
      <w:r>
        <w:rPr>
          <w:rFonts w:ascii="Times New Roman" w:hAnsi="Times New Roman" w:cs="Times New Roman"/>
        </w:rPr>
        <w:t>j</w:t>
      </w:r>
      <w:r w:rsidRPr="00C15CAE">
        <w:rPr>
          <w:rFonts w:ascii="Times New Roman" w:hAnsi="Times New Roman" w:cs="Times New Roman"/>
        </w:rPr>
        <w:t>enjuje putem intravitrealne injekcije.</w:t>
      </w: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L</w:t>
      </w:r>
      <w:r>
        <w:rPr>
          <w:rFonts w:ascii="Times New Roman" w:hAnsi="Times New Roman" w:cs="Times New Roman"/>
        </w:rPr>
        <w:t>ij</w:t>
      </w:r>
      <w:r w:rsidRPr="00C15CAE">
        <w:rPr>
          <w:rFonts w:ascii="Times New Roman" w:hAnsi="Times New Roman" w:cs="Times New Roman"/>
        </w:rPr>
        <w:t>ek Ey</w:t>
      </w:r>
      <w:r>
        <w:rPr>
          <w:rFonts w:ascii="Times New Roman" w:hAnsi="Times New Roman" w:cs="Times New Roman"/>
        </w:rPr>
        <w:t>l</w:t>
      </w:r>
      <w:r w:rsidRPr="00C15CAE">
        <w:rPr>
          <w:rFonts w:ascii="Times New Roman" w:hAnsi="Times New Roman" w:cs="Times New Roman"/>
        </w:rPr>
        <w:t>ea sm</w:t>
      </w:r>
      <w:r>
        <w:rPr>
          <w:rFonts w:ascii="Times New Roman" w:hAnsi="Times New Roman" w:cs="Times New Roman"/>
        </w:rPr>
        <w:t>ij</w:t>
      </w:r>
      <w:r w:rsidRPr="00C15CAE">
        <w:rPr>
          <w:rFonts w:ascii="Times New Roman" w:hAnsi="Times New Roman" w:cs="Times New Roman"/>
        </w:rPr>
        <w:t>e da prim</w:t>
      </w:r>
      <w:r>
        <w:rPr>
          <w:rFonts w:ascii="Times New Roman" w:hAnsi="Times New Roman" w:cs="Times New Roman"/>
        </w:rPr>
        <w:t>j</w:t>
      </w:r>
      <w:r w:rsidRPr="00C15CAE">
        <w:rPr>
          <w:rFonts w:ascii="Times New Roman" w:hAnsi="Times New Roman" w:cs="Times New Roman"/>
        </w:rPr>
        <w:t>enjuje isključivo kvalifikovan l</w:t>
      </w:r>
      <w:r>
        <w:rPr>
          <w:rFonts w:ascii="Times New Roman" w:hAnsi="Times New Roman" w:cs="Times New Roman"/>
        </w:rPr>
        <w:t>j</w:t>
      </w:r>
      <w:r w:rsidRPr="00C15CAE">
        <w:rPr>
          <w:rFonts w:ascii="Times New Roman" w:hAnsi="Times New Roman" w:cs="Times New Roman"/>
        </w:rPr>
        <w:t>ekar sa iskustvom u prim</w:t>
      </w:r>
      <w:r>
        <w:rPr>
          <w:rFonts w:ascii="Times New Roman" w:hAnsi="Times New Roman" w:cs="Times New Roman"/>
        </w:rPr>
        <w:t>j</w:t>
      </w:r>
      <w:r w:rsidRPr="00C15CAE">
        <w:rPr>
          <w:rFonts w:ascii="Times New Roman" w:hAnsi="Times New Roman" w:cs="Times New Roman"/>
        </w:rPr>
        <w:t>eni intravitrealnih injekcija.</w:t>
      </w:r>
    </w:p>
    <w:p w:rsidR="00C14012" w:rsidRPr="00C15CAE" w:rsidRDefault="00C14012"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i/>
          <w:iCs/>
          <w:u w:val="single"/>
        </w:rPr>
      </w:pPr>
      <w:r w:rsidRPr="00C15CAE">
        <w:rPr>
          <w:rFonts w:ascii="Times New Roman" w:hAnsi="Times New Roman" w:cs="Times New Roman"/>
          <w:i/>
          <w:iCs/>
          <w:u w:val="single"/>
        </w:rPr>
        <w:t>Doziranje</w:t>
      </w: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i/>
          <w:iCs/>
        </w:rPr>
      </w:pPr>
      <w:r w:rsidRPr="00C15CAE">
        <w:rPr>
          <w:rFonts w:ascii="Times New Roman" w:hAnsi="Times New Roman" w:cs="Times New Roman"/>
          <w:i/>
          <w:iCs/>
        </w:rPr>
        <w:t xml:space="preserve">Vlažna senilna degeneracija makule </w:t>
      </w:r>
      <w:r w:rsidRPr="00C15CAE">
        <w:rPr>
          <w:rFonts w:ascii="Times New Roman" w:hAnsi="Times New Roman" w:cs="Times New Roman"/>
        </w:rPr>
        <w:t>(AMD)</w:t>
      </w: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Preporučena doza l</w:t>
      </w:r>
      <w:r>
        <w:rPr>
          <w:rFonts w:ascii="Times New Roman" w:hAnsi="Times New Roman" w:cs="Times New Roman"/>
        </w:rPr>
        <w:t>ij</w:t>
      </w:r>
      <w:r w:rsidRPr="00C15CAE">
        <w:rPr>
          <w:rFonts w:ascii="Times New Roman" w:hAnsi="Times New Roman" w:cs="Times New Roman"/>
        </w:rPr>
        <w:t>eka Eylea je 2 mg aflibercepta, što odgovara količini od 50 mikrolitara l</w:t>
      </w:r>
      <w:r>
        <w:rPr>
          <w:rFonts w:ascii="Times New Roman" w:hAnsi="Times New Roman" w:cs="Times New Roman"/>
        </w:rPr>
        <w:t>ij</w:t>
      </w:r>
      <w:r w:rsidRPr="00C15CAE">
        <w:rPr>
          <w:rFonts w:ascii="Times New Roman" w:hAnsi="Times New Roman" w:cs="Times New Roman"/>
        </w:rPr>
        <w:t>eka.</w:t>
      </w: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Terapija l</w:t>
      </w:r>
      <w:r>
        <w:rPr>
          <w:rFonts w:ascii="Times New Roman" w:hAnsi="Times New Roman" w:cs="Times New Roman"/>
        </w:rPr>
        <w:t>ij</w:t>
      </w:r>
      <w:r w:rsidRPr="00C15CAE">
        <w:rPr>
          <w:rFonts w:ascii="Times New Roman" w:hAnsi="Times New Roman" w:cs="Times New Roman"/>
        </w:rPr>
        <w:t>ekom Eylea započinje jednom injekcijom m</w:t>
      </w:r>
      <w:r>
        <w:rPr>
          <w:rFonts w:ascii="Times New Roman" w:hAnsi="Times New Roman" w:cs="Times New Roman"/>
        </w:rPr>
        <w:t>j</w:t>
      </w:r>
      <w:r w:rsidRPr="00C15CAE">
        <w:rPr>
          <w:rFonts w:ascii="Times New Roman" w:hAnsi="Times New Roman" w:cs="Times New Roman"/>
        </w:rPr>
        <w:t>esečno tokom prva tri m</w:t>
      </w:r>
      <w:r>
        <w:rPr>
          <w:rFonts w:ascii="Times New Roman" w:hAnsi="Times New Roman" w:cs="Times New Roman"/>
        </w:rPr>
        <w:t>j</w:t>
      </w:r>
      <w:r w:rsidRPr="00C15CAE">
        <w:rPr>
          <w:rFonts w:ascii="Times New Roman" w:hAnsi="Times New Roman" w:cs="Times New Roman"/>
        </w:rPr>
        <w:t>eseca, nakon čega sl</w:t>
      </w:r>
      <w:r>
        <w:rPr>
          <w:rFonts w:ascii="Times New Roman" w:hAnsi="Times New Roman" w:cs="Times New Roman"/>
        </w:rPr>
        <w:t>ij</w:t>
      </w:r>
      <w:r w:rsidRPr="00C15CAE">
        <w:rPr>
          <w:rFonts w:ascii="Times New Roman" w:hAnsi="Times New Roman" w:cs="Times New Roman"/>
        </w:rPr>
        <w:t>edi prim</w:t>
      </w:r>
      <w:r>
        <w:rPr>
          <w:rFonts w:ascii="Times New Roman" w:hAnsi="Times New Roman" w:cs="Times New Roman"/>
        </w:rPr>
        <w:t>j</w:t>
      </w:r>
      <w:r w:rsidRPr="00C15CAE">
        <w:rPr>
          <w:rFonts w:ascii="Times New Roman" w:hAnsi="Times New Roman" w:cs="Times New Roman"/>
        </w:rPr>
        <w:t>ena jedne injekcije na svaka dva m</w:t>
      </w:r>
      <w:r>
        <w:rPr>
          <w:rFonts w:ascii="Times New Roman" w:hAnsi="Times New Roman" w:cs="Times New Roman"/>
        </w:rPr>
        <w:t>j</w:t>
      </w:r>
      <w:r w:rsidRPr="00C15CAE">
        <w:rPr>
          <w:rFonts w:ascii="Times New Roman" w:hAnsi="Times New Roman" w:cs="Times New Roman"/>
        </w:rPr>
        <w:t>eseca. Između prim</w:t>
      </w:r>
      <w:r>
        <w:rPr>
          <w:rFonts w:ascii="Times New Roman" w:hAnsi="Times New Roman" w:cs="Times New Roman"/>
        </w:rPr>
        <w:t>ij</w:t>
      </w:r>
      <w:r w:rsidRPr="00C15CAE">
        <w:rPr>
          <w:rFonts w:ascii="Times New Roman" w:hAnsi="Times New Roman" w:cs="Times New Roman"/>
        </w:rPr>
        <w:t>enjenih injekcija nema potrebe za praćenjem pacijenata.</w:t>
      </w: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Nakon prvih 12 m</w:t>
      </w:r>
      <w:r>
        <w:rPr>
          <w:rFonts w:ascii="Times New Roman" w:hAnsi="Times New Roman" w:cs="Times New Roman"/>
        </w:rPr>
        <w:t>j</w:t>
      </w:r>
      <w:r w:rsidRPr="00C15CAE">
        <w:rPr>
          <w:rFonts w:ascii="Times New Roman" w:hAnsi="Times New Roman" w:cs="Times New Roman"/>
        </w:rPr>
        <w:t>eseci terapije l</w:t>
      </w:r>
      <w:r>
        <w:rPr>
          <w:rFonts w:ascii="Times New Roman" w:hAnsi="Times New Roman" w:cs="Times New Roman"/>
        </w:rPr>
        <w:t>ij</w:t>
      </w:r>
      <w:r w:rsidRPr="00C15CAE">
        <w:rPr>
          <w:rFonts w:ascii="Times New Roman" w:hAnsi="Times New Roman" w:cs="Times New Roman"/>
        </w:rPr>
        <w:t>ekom Eylea, terapijski interval može biti produžen na osnovu rezultata pregleda oštrine vida i pregleda očnog dna. Dalji raspored kontrolnih pregleda treba da odredi l</w:t>
      </w:r>
      <w:r>
        <w:rPr>
          <w:rFonts w:ascii="Times New Roman" w:hAnsi="Times New Roman" w:cs="Times New Roman"/>
        </w:rPr>
        <w:t>j</w:t>
      </w:r>
      <w:r w:rsidRPr="00C15CAE">
        <w:rPr>
          <w:rFonts w:ascii="Times New Roman" w:hAnsi="Times New Roman" w:cs="Times New Roman"/>
        </w:rPr>
        <w:t>ekar koji l</w:t>
      </w:r>
      <w:r>
        <w:rPr>
          <w:rFonts w:ascii="Times New Roman" w:hAnsi="Times New Roman" w:cs="Times New Roman"/>
        </w:rPr>
        <w:t>ij</w:t>
      </w:r>
      <w:r w:rsidRPr="00C15CAE">
        <w:rPr>
          <w:rFonts w:ascii="Times New Roman" w:hAnsi="Times New Roman" w:cs="Times New Roman"/>
        </w:rPr>
        <w:t>eči pacijenta, i tada raspored kontrolnih pregleda može biti češći nego raspored dolazaka za injekcije.</w:t>
      </w: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rPr>
      </w:pPr>
    </w:p>
    <w:p w:rsidR="009F6F95" w:rsidRPr="00C15CAE" w:rsidRDefault="009F6F95" w:rsidP="00C7646D">
      <w:pPr>
        <w:tabs>
          <w:tab w:val="left" w:pos="284"/>
          <w:tab w:val="center" w:pos="4536"/>
          <w:tab w:val="right" w:pos="9072"/>
        </w:tabs>
        <w:spacing w:after="0" w:line="240" w:lineRule="auto"/>
        <w:jc w:val="both"/>
        <w:rPr>
          <w:rFonts w:ascii="Times New Roman" w:hAnsi="Times New Roman" w:cs="Times New Roman"/>
          <w:i/>
          <w:iCs/>
        </w:rPr>
      </w:pPr>
      <w:r w:rsidRPr="00C15CAE">
        <w:rPr>
          <w:rFonts w:ascii="Times New Roman" w:hAnsi="Times New Roman" w:cs="Times New Roman"/>
          <w:i/>
          <w:iCs/>
        </w:rPr>
        <w:t>Makularni edem usl</w:t>
      </w:r>
      <w:r>
        <w:rPr>
          <w:rFonts w:ascii="Times New Roman" w:hAnsi="Times New Roman" w:cs="Times New Roman"/>
          <w:i/>
          <w:iCs/>
        </w:rPr>
        <w:t>j</w:t>
      </w:r>
      <w:r w:rsidRPr="00C15CAE">
        <w:rPr>
          <w:rFonts w:ascii="Times New Roman" w:hAnsi="Times New Roman" w:cs="Times New Roman"/>
          <w:i/>
          <w:iCs/>
        </w:rPr>
        <w:t xml:space="preserve">ed okluzije retinalne vene RVO </w:t>
      </w:r>
      <w:r w:rsidRPr="00C15CAE">
        <w:rPr>
          <w:rFonts w:ascii="Times New Roman" w:hAnsi="Times New Roman" w:cs="Times New Roman"/>
        </w:rPr>
        <w:t>(</w:t>
      </w:r>
      <w:r w:rsidRPr="00C15CAE">
        <w:rPr>
          <w:rFonts w:ascii="Times New Roman" w:hAnsi="Times New Roman" w:cs="Times New Roman"/>
          <w:i/>
        </w:rPr>
        <w:t>grane retinalne vene (BRVO) ili centralne retinalne vene</w:t>
      </w:r>
      <w:r w:rsidRPr="00C15CAE">
        <w:rPr>
          <w:rFonts w:ascii="Times New Roman" w:hAnsi="Times New Roman" w:cs="Times New Roman"/>
        </w:rPr>
        <w:t xml:space="preserve"> (CRVO))</w:t>
      </w:r>
    </w:p>
    <w:p w:rsidR="00EF5613" w:rsidRDefault="00EF5613" w:rsidP="00C7646D">
      <w:pPr>
        <w:spacing w:after="0"/>
        <w:ind w:firstLine="709"/>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Preporučena doza lijeka Eylea je 2 mg aflibercepta, što odgovara količini od 50 mikrolitara lijeka.</w:t>
      </w: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Nakon prve injekcije, lijek se primjenjuje jednom mjesečno. Interval između dvije doze ne bi trebalo biti kraći od jednog mjeseca.</w:t>
      </w:r>
    </w:p>
    <w:p w:rsidR="009F6F95" w:rsidRPr="009F6F95" w:rsidRDefault="009F6F95" w:rsidP="00C7646D">
      <w:pPr>
        <w:spacing w:after="0"/>
        <w:ind w:firstLine="709"/>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 xml:space="preserve">Ukoliko nema poboljšanja u oštrini vida kod pregleda očnog dna u periodu kontinuirane primjene, ne preporučuje se nastavak liječenja. </w:t>
      </w:r>
    </w:p>
    <w:p w:rsidR="009F6F95" w:rsidRPr="009F6F95" w:rsidRDefault="009F6F95" w:rsidP="00C7646D">
      <w:pPr>
        <w:spacing w:after="0"/>
        <w:ind w:firstLine="709"/>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 xml:space="preserve">Liječenje se nastavlja u mjesečnim intervalima sve dok rezultati pregleda oštrine vida i pregleda očnog dna ne budu stabilni. Tri ili više mjesečne injekcije mogu biti potrebne. </w:t>
      </w: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Ako je potrebno, liječenje se može nastaviti uz postepeno produžavanje intervala između doza kako bi se oštrina vida i rezultati pregleda očnog dna održali stabilnim; međutim, nema dovoljno podataka na osnovu kojih bi se zaključilo o tačnoj dužini tih intervala. Ukoliko se oštrina vida i rezultati pregleda očnog dna pogoršaju, intervale između terapije treba skratiti u skladu sa tim.</w:t>
      </w: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Raspored kontrolnih pregleda i terapije određuje nadležni ljekar na osnovu individualnog odgovora pacijenta.</w:t>
      </w:r>
    </w:p>
    <w:p w:rsidR="009F6F95" w:rsidRPr="009F6F95" w:rsidRDefault="009F6F95" w:rsidP="00C7646D">
      <w:pPr>
        <w:spacing w:after="0"/>
        <w:ind w:firstLine="709"/>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Kontrolni pregledi mogu uključiti kliničko ispitivanje, funkcionalne testove vida ili druge metode (kao što su optička koherentna tomografija ili angiografija fluoresceinom).</w:t>
      </w:r>
    </w:p>
    <w:p w:rsidR="009F6F95" w:rsidRPr="009F6F95" w:rsidRDefault="009F6F95" w:rsidP="00C7646D">
      <w:pPr>
        <w:spacing w:after="0"/>
        <w:ind w:firstLine="709"/>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i/>
          <w:lang w:val="sr-Latn-RS"/>
        </w:rPr>
      </w:pPr>
      <w:r w:rsidRPr="009F6F95">
        <w:rPr>
          <w:rFonts w:ascii="Times New Roman" w:hAnsi="Times New Roman" w:cs="Times New Roman"/>
          <w:i/>
          <w:lang w:val="sr-Latn-RS"/>
        </w:rPr>
        <w:t>Dijabetički makularni edem</w:t>
      </w:r>
    </w:p>
    <w:p w:rsidR="009F6F95" w:rsidRPr="009F6F95" w:rsidRDefault="009F6F95" w:rsidP="00C7646D">
      <w:pPr>
        <w:spacing w:after="0"/>
        <w:ind w:firstLine="709"/>
        <w:jc w:val="both"/>
        <w:rPr>
          <w:rFonts w:ascii="Times New Roman" w:hAnsi="Times New Roman" w:cs="Times New Roman"/>
          <w:i/>
          <w:lang w:val="sr-Latn-RS"/>
        </w:rPr>
      </w:pPr>
    </w:p>
    <w:p w:rsidR="009F6F95" w:rsidRPr="009F6F95" w:rsidRDefault="009F6F95" w:rsidP="00C7646D">
      <w:pPr>
        <w:spacing w:after="0"/>
        <w:jc w:val="both"/>
        <w:rPr>
          <w:rFonts w:ascii="Times New Roman" w:hAnsi="Times New Roman" w:cs="Times New Roman"/>
          <w:lang w:val="sr-Latn-RS"/>
        </w:rPr>
      </w:pPr>
      <w:r w:rsidRPr="009F6F95">
        <w:rPr>
          <w:rFonts w:ascii="Times New Roman" w:hAnsi="Times New Roman" w:cs="Times New Roman"/>
          <w:lang w:val="sr-Latn-RS"/>
        </w:rPr>
        <w:t>Preporučena doza lijeka Eylea je 2 mg aflibercepta, što odgovara količini od 50 mikrolitara lijeka.</w:t>
      </w:r>
    </w:p>
    <w:p w:rsidR="00C7646D" w:rsidRDefault="00C7646D" w:rsidP="00C7646D">
      <w:pPr>
        <w:spacing w:after="0"/>
        <w:jc w:val="both"/>
        <w:rPr>
          <w:rFonts w:ascii="Times New Roman" w:hAnsi="Times New Roman" w:cs="Times New Roman"/>
          <w:lang w:val="sr-Latn-RS"/>
        </w:rPr>
      </w:pPr>
    </w:p>
    <w:p w:rsidR="009F6F95" w:rsidRPr="009F6F95" w:rsidRDefault="009F6F95" w:rsidP="00C7646D">
      <w:pPr>
        <w:spacing w:after="0"/>
        <w:jc w:val="both"/>
        <w:rPr>
          <w:rFonts w:ascii="Times New Roman" w:hAnsi="Times New Roman" w:cs="Times New Roman"/>
          <w:lang w:val="sr-Latn-RS"/>
        </w:rPr>
      </w:pPr>
      <w:r w:rsidRPr="009F6F95">
        <w:rPr>
          <w:rFonts w:ascii="Times New Roman" w:hAnsi="Times New Roman" w:cs="Times New Roman"/>
          <w:lang w:val="sr-Latn-RS"/>
        </w:rPr>
        <w:t>Terapija lijekom Eylea započinje jednom injekcijom mjesečno tokom prvih pet mjeseci, nakon čega slijedi primjena jedne injekcije na svaka dva mjeseca. Između primijenjenih injekcija nema potrebe za praćenjem pacijenata.</w:t>
      </w:r>
    </w:p>
    <w:p w:rsidR="009F6F95" w:rsidRPr="009F6F95" w:rsidRDefault="009F6F95" w:rsidP="00C7646D">
      <w:pPr>
        <w:spacing w:after="0"/>
        <w:ind w:firstLine="709"/>
        <w:jc w:val="both"/>
        <w:rPr>
          <w:rFonts w:ascii="Times New Roman" w:hAnsi="Times New Roman" w:cs="Times New Roman"/>
          <w:lang w:val="sr-Latn-RS"/>
        </w:rPr>
      </w:pPr>
    </w:p>
    <w:p w:rsidR="009F6F95" w:rsidRPr="009F6F95" w:rsidRDefault="009F6F95" w:rsidP="00C7646D">
      <w:pPr>
        <w:spacing w:after="0"/>
        <w:jc w:val="both"/>
        <w:rPr>
          <w:rFonts w:ascii="Times New Roman" w:hAnsi="Times New Roman" w:cs="Times New Roman"/>
          <w:lang w:val="sr-Latn-RS"/>
        </w:rPr>
      </w:pPr>
      <w:r w:rsidRPr="009F6F95">
        <w:rPr>
          <w:rFonts w:ascii="Times New Roman" w:hAnsi="Times New Roman" w:cs="Times New Roman"/>
          <w:lang w:val="sr-Latn-RS"/>
        </w:rPr>
        <w:t>Nakon prvih 12 mjeseci terapije lijekom Eylea, terapijski interval može biti produžen na osnovu rezultata pregleda oštrine vida i pregleda očnog dna. Dalji raspored kontrolnih pregleda treba da odredi ljekar koji liječi pacijenta.</w:t>
      </w:r>
    </w:p>
    <w:p w:rsidR="009F6F95" w:rsidRPr="009F6F95" w:rsidRDefault="009F6F95" w:rsidP="00C7646D">
      <w:pPr>
        <w:spacing w:after="0"/>
        <w:ind w:firstLine="709"/>
        <w:jc w:val="both"/>
        <w:rPr>
          <w:rFonts w:ascii="Times New Roman" w:hAnsi="Times New Roman" w:cs="Times New Roman"/>
          <w:lang w:val="sr-Latn-RS"/>
        </w:rPr>
      </w:pPr>
    </w:p>
    <w:p w:rsidR="009F6F95" w:rsidRPr="009F6F95" w:rsidRDefault="009F6F95" w:rsidP="00C7646D">
      <w:pPr>
        <w:spacing w:after="0"/>
        <w:jc w:val="both"/>
        <w:rPr>
          <w:rFonts w:ascii="Times New Roman" w:hAnsi="Times New Roman" w:cs="Times New Roman"/>
          <w:lang w:val="sr-Latn-RS"/>
        </w:rPr>
      </w:pPr>
      <w:r w:rsidRPr="009F6F95">
        <w:rPr>
          <w:rFonts w:ascii="Times New Roman" w:hAnsi="Times New Roman" w:cs="Times New Roman"/>
          <w:lang w:val="sr-Latn-RS"/>
        </w:rPr>
        <w:t xml:space="preserve">Ukoliko nema poboljšanja u oštrini vida i kod pregleda očnog dna, terapiju lijekom Eylea treba prekinuti. </w:t>
      </w:r>
    </w:p>
    <w:p w:rsidR="009F6F95" w:rsidRPr="009F6F95" w:rsidRDefault="009F6F95" w:rsidP="00C7646D">
      <w:pPr>
        <w:spacing w:after="0"/>
        <w:ind w:firstLine="709"/>
        <w:jc w:val="both"/>
        <w:rPr>
          <w:rFonts w:ascii="Times New Roman" w:hAnsi="Times New Roman" w:cs="Times New Roman"/>
          <w:lang w:val="sr-Latn-RS"/>
        </w:rPr>
      </w:pPr>
    </w:p>
    <w:p w:rsidR="009F6F95" w:rsidRPr="009F6F95" w:rsidRDefault="009F6F95" w:rsidP="00C7646D">
      <w:pPr>
        <w:spacing w:after="0"/>
        <w:jc w:val="both"/>
        <w:rPr>
          <w:rFonts w:ascii="Times New Roman" w:hAnsi="Times New Roman" w:cs="Times New Roman"/>
          <w:i/>
          <w:iCs/>
          <w:u w:val="single"/>
          <w:lang w:val="sr-Latn-CS"/>
        </w:rPr>
      </w:pPr>
      <w:r w:rsidRPr="009F6F95">
        <w:rPr>
          <w:rFonts w:ascii="Times New Roman" w:hAnsi="Times New Roman" w:cs="Times New Roman"/>
          <w:i/>
          <w:iCs/>
          <w:u w:val="single"/>
          <w:lang w:val="sr-Latn-CS"/>
        </w:rPr>
        <w:t>Posebne populacije</w:t>
      </w:r>
    </w:p>
    <w:p w:rsidR="009F6F95" w:rsidRPr="009F6F95" w:rsidRDefault="009F6F95" w:rsidP="00C7646D">
      <w:pPr>
        <w:spacing w:after="0"/>
        <w:ind w:firstLine="709"/>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i/>
          <w:iCs/>
          <w:lang w:val="sr-Latn-CS"/>
        </w:rPr>
      </w:pPr>
      <w:r w:rsidRPr="009F6F95">
        <w:rPr>
          <w:rFonts w:ascii="Times New Roman" w:hAnsi="Times New Roman" w:cs="Times New Roman"/>
          <w:i/>
          <w:iCs/>
          <w:lang w:val="sr-Latn-CS"/>
        </w:rPr>
        <w:t>Oštećenje jetre i/ili bubrega</w:t>
      </w: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 xml:space="preserve">Nisu sprovedene specifične studije za primjenu lijeka Eylea kod pacijenata sa oštećenjem jetre i/ili bubrega. </w:t>
      </w:r>
    </w:p>
    <w:p w:rsid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Dostupni podaci ne ukazuju na potrebu prilagođavanja doze lijeka Eylea kod ovih pacijenata (vidjeti odjeljak 5.2).</w:t>
      </w:r>
    </w:p>
    <w:p w:rsidR="004E34F3" w:rsidRPr="009F6F95" w:rsidRDefault="004E34F3" w:rsidP="00C7646D">
      <w:pPr>
        <w:spacing w:after="0"/>
        <w:jc w:val="both"/>
        <w:rPr>
          <w:rFonts w:ascii="Times New Roman" w:hAnsi="Times New Roman" w:cs="Times New Roman"/>
          <w:lang w:val="sr-Latn-CS"/>
        </w:rPr>
      </w:pPr>
    </w:p>
    <w:p w:rsidR="009F6F95" w:rsidRPr="009F6F95" w:rsidRDefault="009F6F95" w:rsidP="00C7646D">
      <w:pPr>
        <w:spacing w:after="0"/>
        <w:jc w:val="both"/>
        <w:rPr>
          <w:rFonts w:ascii="Times New Roman" w:hAnsi="Times New Roman" w:cs="Times New Roman"/>
          <w:i/>
          <w:iCs/>
          <w:lang w:val="sr-Latn-CS"/>
        </w:rPr>
      </w:pPr>
      <w:r w:rsidRPr="009F6F95">
        <w:rPr>
          <w:rFonts w:ascii="Times New Roman" w:hAnsi="Times New Roman" w:cs="Times New Roman"/>
          <w:i/>
          <w:iCs/>
          <w:lang w:val="sr-Latn-CS"/>
        </w:rPr>
        <w:t>Stariji pacijenti</w:t>
      </w:r>
    </w:p>
    <w:p w:rsidR="009F6F95" w:rsidRPr="009F6F95" w:rsidRDefault="009F6F95" w:rsidP="00C7646D">
      <w:pPr>
        <w:spacing w:after="0"/>
        <w:jc w:val="both"/>
        <w:rPr>
          <w:rFonts w:ascii="Times New Roman" w:hAnsi="Times New Roman" w:cs="Times New Roman"/>
          <w:lang w:val="pl-PL"/>
        </w:rPr>
      </w:pPr>
      <w:r w:rsidRPr="009F6F95">
        <w:rPr>
          <w:rFonts w:ascii="Times New Roman" w:hAnsi="Times New Roman" w:cs="Times New Roman"/>
          <w:lang w:val="sr-Latn-CS"/>
        </w:rPr>
        <w:t xml:space="preserve">Nije potreban poseban oprez. </w:t>
      </w:r>
      <w:r w:rsidRPr="009F6F95">
        <w:rPr>
          <w:rFonts w:ascii="Times New Roman" w:hAnsi="Times New Roman" w:cs="Times New Roman"/>
          <w:lang w:val="pl-PL"/>
        </w:rPr>
        <w:t>Postoji ograničeno iskustvo u primjeni lijeka Eylea kod pacijenata sa DME starijih od 75 godina.</w:t>
      </w:r>
    </w:p>
    <w:p w:rsidR="009F6F95" w:rsidRPr="009F6F95" w:rsidRDefault="009F6F95" w:rsidP="00C7646D">
      <w:pPr>
        <w:spacing w:after="0"/>
        <w:ind w:firstLine="709"/>
        <w:jc w:val="both"/>
        <w:rPr>
          <w:rFonts w:ascii="Times New Roman" w:hAnsi="Times New Roman" w:cs="Times New Roman"/>
          <w:lang w:val="pl-PL"/>
        </w:rPr>
      </w:pPr>
    </w:p>
    <w:p w:rsidR="009F6F95" w:rsidRPr="009F6F95" w:rsidRDefault="009F6F95" w:rsidP="00C7646D">
      <w:pPr>
        <w:spacing w:after="0"/>
        <w:jc w:val="both"/>
        <w:rPr>
          <w:rFonts w:ascii="Times New Roman" w:hAnsi="Times New Roman" w:cs="Times New Roman"/>
          <w:i/>
          <w:iCs/>
          <w:lang w:val="sr-Latn-CS"/>
        </w:rPr>
      </w:pPr>
      <w:r w:rsidRPr="009F6F95">
        <w:rPr>
          <w:rFonts w:ascii="Times New Roman" w:hAnsi="Times New Roman" w:cs="Times New Roman"/>
          <w:i/>
          <w:iCs/>
          <w:lang w:val="sr-Latn-CS"/>
        </w:rPr>
        <w:t>Pedijatrijska populacija pacijenata</w:t>
      </w:r>
    </w:p>
    <w:p w:rsidR="009F6F95" w:rsidRPr="009F6F95" w:rsidRDefault="009F6F95" w:rsidP="00C7646D">
      <w:pPr>
        <w:spacing w:after="0"/>
        <w:jc w:val="both"/>
        <w:rPr>
          <w:rFonts w:ascii="Times New Roman" w:hAnsi="Times New Roman" w:cs="Times New Roman"/>
          <w:lang w:val="sr-Latn-CS"/>
        </w:rPr>
      </w:pPr>
      <w:r w:rsidRPr="009F6F95">
        <w:rPr>
          <w:rFonts w:ascii="Times New Roman" w:hAnsi="Times New Roman" w:cs="Times New Roman"/>
          <w:lang w:val="sr-Latn-CS"/>
        </w:rPr>
        <w:t>Bezbjednost i efikasnost primjene lijeka kod djece i adolescenata nije ustanovljena. Ne postoji odgovarajuća primjena lijeka Eylea kod pedijatrijske populacije u indikacijama AMD (</w:t>
      </w:r>
      <w:r w:rsidRPr="009F6F95">
        <w:rPr>
          <w:rFonts w:ascii="Times New Roman" w:hAnsi="Times New Roman" w:cs="Times New Roman"/>
          <w:lang w:val="pl-PL"/>
        </w:rPr>
        <w:t>vla</w:t>
      </w:r>
      <w:r w:rsidRPr="009F6F95">
        <w:rPr>
          <w:rFonts w:ascii="Times New Roman" w:hAnsi="Times New Roman" w:cs="Times New Roman"/>
          <w:lang w:val="sr-Latn-CS"/>
        </w:rPr>
        <w:t>ž</w:t>
      </w:r>
      <w:r w:rsidRPr="009F6F95">
        <w:rPr>
          <w:rFonts w:ascii="Times New Roman" w:hAnsi="Times New Roman" w:cs="Times New Roman"/>
          <w:lang w:val="pl-PL"/>
        </w:rPr>
        <w:t>na</w:t>
      </w:r>
      <w:r w:rsidRPr="009F6F95">
        <w:rPr>
          <w:rFonts w:ascii="Times New Roman" w:hAnsi="Times New Roman" w:cs="Times New Roman"/>
          <w:lang w:val="sr-Latn-CS"/>
        </w:rPr>
        <w:t xml:space="preserve"> </w:t>
      </w:r>
      <w:r w:rsidRPr="009F6F95">
        <w:rPr>
          <w:rFonts w:ascii="Times New Roman" w:hAnsi="Times New Roman" w:cs="Times New Roman"/>
          <w:lang w:val="pl-PL"/>
        </w:rPr>
        <w:t>senilna</w:t>
      </w:r>
      <w:r w:rsidRPr="009F6F95">
        <w:rPr>
          <w:rFonts w:ascii="Times New Roman" w:hAnsi="Times New Roman" w:cs="Times New Roman"/>
          <w:lang w:val="sr-Latn-CS"/>
        </w:rPr>
        <w:t xml:space="preserve"> </w:t>
      </w:r>
      <w:r w:rsidRPr="009F6F95">
        <w:rPr>
          <w:rFonts w:ascii="Times New Roman" w:hAnsi="Times New Roman" w:cs="Times New Roman"/>
          <w:lang w:val="pl-PL"/>
        </w:rPr>
        <w:t>degeneracija</w:t>
      </w:r>
      <w:r w:rsidRPr="009F6F95">
        <w:rPr>
          <w:rFonts w:ascii="Times New Roman" w:hAnsi="Times New Roman" w:cs="Times New Roman"/>
          <w:lang w:val="sr-Latn-CS"/>
        </w:rPr>
        <w:t xml:space="preserve"> </w:t>
      </w:r>
      <w:r w:rsidRPr="009F6F95">
        <w:rPr>
          <w:rFonts w:ascii="Times New Roman" w:hAnsi="Times New Roman" w:cs="Times New Roman"/>
          <w:lang w:val="pl-PL"/>
        </w:rPr>
        <w:t>makule</w:t>
      </w:r>
      <w:r w:rsidRPr="009F6F95">
        <w:rPr>
          <w:rFonts w:ascii="Times New Roman" w:hAnsi="Times New Roman" w:cs="Times New Roman"/>
          <w:lang w:val="sr-Latn-CS"/>
        </w:rPr>
        <w:t xml:space="preserve"> – </w:t>
      </w:r>
      <w:r w:rsidRPr="009F6F95">
        <w:rPr>
          <w:rFonts w:ascii="Times New Roman" w:hAnsi="Times New Roman" w:cs="Times New Roman"/>
          <w:lang w:val="pl-PL"/>
        </w:rPr>
        <w:t>engl</w:t>
      </w:r>
      <w:r w:rsidRPr="009F6F95">
        <w:rPr>
          <w:rFonts w:ascii="Times New Roman" w:hAnsi="Times New Roman" w:cs="Times New Roman"/>
          <w:lang w:val="sr-Latn-CS"/>
        </w:rPr>
        <w:t xml:space="preserve">. </w:t>
      </w:r>
      <w:r w:rsidRPr="009F6F95">
        <w:rPr>
          <w:rFonts w:ascii="Times New Roman" w:hAnsi="Times New Roman" w:cs="Times New Roman"/>
          <w:i/>
          <w:lang w:val="pl-PL"/>
        </w:rPr>
        <w:t>age</w:t>
      </w:r>
      <w:r w:rsidRPr="009F6F95">
        <w:rPr>
          <w:rFonts w:ascii="Times New Roman" w:hAnsi="Times New Roman" w:cs="Times New Roman"/>
          <w:i/>
          <w:lang w:val="sr-Latn-CS"/>
        </w:rPr>
        <w:t>-</w:t>
      </w:r>
      <w:r w:rsidRPr="009F6F95">
        <w:rPr>
          <w:rFonts w:ascii="Times New Roman" w:hAnsi="Times New Roman" w:cs="Times New Roman"/>
          <w:i/>
          <w:lang w:val="pl-PL"/>
        </w:rPr>
        <w:t>related</w:t>
      </w:r>
      <w:r w:rsidRPr="009F6F95">
        <w:rPr>
          <w:rFonts w:ascii="Times New Roman" w:hAnsi="Times New Roman" w:cs="Times New Roman"/>
          <w:i/>
          <w:lang w:val="sr-Latn-CS"/>
        </w:rPr>
        <w:t xml:space="preserve"> </w:t>
      </w:r>
      <w:r w:rsidRPr="009F6F95">
        <w:rPr>
          <w:rFonts w:ascii="Times New Roman" w:hAnsi="Times New Roman" w:cs="Times New Roman"/>
          <w:i/>
          <w:lang w:val="pl-PL"/>
        </w:rPr>
        <w:t>macular</w:t>
      </w:r>
      <w:r w:rsidRPr="009F6F95">
        <w:rPr>
          <w:rFonts w:ascii="Times New Roman" w:hAnsi="Times New Roman" w:cs="Times New Roman"/>
          <w:i/>
          <w:lang w:val="sr-Latn-CS"/>
        </w:rPr>
        <w:t xml:space="preserve"> </w:t>
      </w:r>
      <w:r w:rsidRPr="009F6F95">
        <w:rPr>
          <w:rFonts w:ascii="Times New Roman" w:hAnsi="Times New Roman" w:cs="Times New Roman"/>
          <w:i/>
          <w:lang w:val="pl-PL"/>
        </w:rPr>
        <w:t>degeneration</w:t>
      </w:r>
      <w:r w:rsidRPr="009F6F95">
        <w:rPr>
          <w:rFonts w:ascii="Times New Roman" w:hAnsi="Times New Roman" w:cs="Times New Roman"/>
          <w:lang w:val="sr-Latn-CS"/>
        </w:rPr>
        <w:t xml:space="preserve">), CRVO ( </w:t>
      </w:r>
      <w:r w:rsidRPr="009F6F95">
        <w:rPr>
          <w:rFonts w:ascii="Times New Roman" w:hAnsi="Times New Roman" w:cs="Times New Roman"/>
          <w:lang w:val="pl-PL"/>
        </w:rPr>
        <w:t>okluzija</w:t>
      </w:r>
      <w:r w:rsidRPr="009F6F95">
        <w:rPr>
          <w:rFonts w:ascii="Times New Roman" w:hAnsi="Times New Roman" w:cs="Times New Roman"/>
          <w:lang w:val="sr-Latn-CS"/>
        </w:rPr>
        <w:t xml:space="preserve"> </w:t>
      </w:r>
      <w:r w:rsidRPr="009F6F95">
        <w:rPr>
          <w:rFonts w:ascii="Times New Roman" w:hAnsi="Times New Roman" w:cs="Times New Roman"/>
          <w:lang w:val="pl-PL"/>
        </w:rPr>
        <w:t>centralne</w:t>
      </w:r>
      <w:r w:rsidRPr="009F6F95">
        <w:rPr>
          <w:rFonts w:ascii="Times New Roman" w:hAnsi="Times New Roman" w:cs="Times New Roman"/>
          <w:lang w:val="sr-Latn-CS"/>
        </w:rPr>
        <w:t xml:space="preserve"> </w:t>
      </w:r>
      <w:r w:rsidRPr="009F6F95">
        <w:rPr>
          <w:rFonts w:ascii="Times New Roman" w:hAnsi="Times New Roman" w:cs="Times New Roman"/>
          <w:lang w:val="pl-PL"/>
        </w:rPr>
        <w:t>retinalne</w:t>
      </w:r>
      <w:r w:rsidRPr="009F6F95">
        <w:rPr>
          <w:rFonts w:ascii="Times New Roman" w:hAnsi="Times New Roman" w:cs="Times New Roman"/>
          <w:lang w:val="sr-Latn-CS"/>
        </w:rPr>
        <w:t xml:space="preserve"> </w:t>
      </w:r>
      <w:r w:rsidRPr="009F6F95">
        <w:rPr>
          <w:rFonts w:ascii="Times New Roman" w:hAnsi="Times New Roman" w:cs="Times New Roman"/>
          <w:lang w:val="pl-PL"/>
        </w:rPr>
        <w:t>vene</w:t>
      </w:r>
      <w:r w:rsidRPr="009F6F95">
        <w:rPr>
          <w:rFonts w:ascii="Times New Roman" w:hAnsi="Times New Roman" w:cs="Times New Roman"/>
          <w:lang w:val="sr-Latn-CS"/>
        </w:rPr>
        <w:t xml:space="preserve"> – </w:t>
      </w:r>
      <w:r w:rsidRPr="009F6F95">
        <w:rPr>
          <w:rFonts w:ascii="Times New Roman" w:hAnsi="Times New Roman" w:cs="Times New Roman"/>
          <w:lang w:val="pl-PL"/>
        </w:rPr>
        <w:t>engl</w:t>
      </w:r>
      <w:r w:rsidRPr="009F6F95">
        <w:rPr>
          <w:rFonts w:ascii="Times New Roman" w:hAnsi="Times New Roman" w:cs="Times New Roman"/>
          <w:lang w:val="sr-Latn-CS"/>
        </w:rPr>
        <w:t xml:space="preserve">. </w:t>
      </w:r>
      <w:r w:rsidRPr="009F6F95">
        <w:rPr>
          <w:rFonts w:ascii="Times New Roman" w:hAnsi="Times New Roman" w:cs="Times New Roman"/>
          <w:i/>
          <w:lang w:val="pl-PL"/>
        </w:rPr>
        <w:t>central</w:t>
      </w:r>
      <w:r w:rsidRPr="009F6F95">
        <w:rPr>
          <w:rFonts w:ascii="Times New Roman" w:hAnsi="Times New Roman" w:cs="Times New Roman"/>
          <w:i/>
          <w:lang w:val="sr-Latn-CS"/>
        </w:rPr>
        <w:t xml:space="preserve"> </w:t>
      </w:r>
      <w:r w:rsidRPr="009F6F95">
        <w:rPr>
          <w:rFonts w:ascii="Times New Roman" w:hAnsi="Times New Roman" w:cs="Times New Roman"/>
          <w:i/>
          <w:lang w:val="pl-PL"/>
        </w:rPr>
        <w:t>retinal</w:t>
      </w:r>
      <w:r w:rsidRPr="009F6F95">
        <w:rPr>
          <w:rFonts w:ascii="Times New Roman" w:hAnsi="Times New Roman" w:cs="Times New Roman"/>
          <w:i/>
          <w:lang w:val="sr-Latn-CS"/>
        </w:rPr>
        <w:t xml:space="preserve"> </w:t>
      </w:r>
      <w:r w:rsidRPr="009F6F95">
        <w:rPr>
          <w:rFonts w:ascii="Times New Roman" w:hAnsi="Times New Roman" w:cs="Times New Roman"/>
          <w:i/>
          <w:lang w:val="pl-PL"/>
        </w:rPr>
        <w:t>vein</w:t>
      </w:r>
      <w:r w:rsidRPr="009F6F95">
        <w:rPr>
          <w:rFonts w:ascii="Times New Roman" w:hAnsi="Times New Roman" w:cs="Times New Roman"/>
          <w:i/>
          <w:lang w:val="sr-Latn-CS"/>
        </w:rPr>
        <w:t xml:space="preserve"> </w:t>
      </w:r>
      <w:r w:rsidRPr="009F6F95">
        <w:rPr>
          <w:rFonts w:ascii="Times New Roman" w:hAnsi="Times New Roman" w:cs="Times New Roman"/>
          <w:i/>
          <w:lang w:val="pl-PL"/>
        </w:rPr>
        <w:t>occlusion</w:t>
      </w:r>
      <w:r w:rsidRPr="009F6F95">
        <w:rPr>
          <w:rFonts w:ascii="Times New Roman" w:hAnsi="Times New Roman" w:cs="Times New Roman"/>
          <w:lang w:val="sr-Latn-CS"/>
        </w:rPr>
        <w:t xml:space="preserve">), </w:t>
      </w:r>
      <w:r w:rsidRPr="009F6F95">
        <w:rPr>
          <w:rFonts w:ascii="Times New Roman" w:hAnsi="Times New Roman" w:cs="Times New Roman"/>
          <w:lang w:val="pl-PL"/>
        </w:rPr>
        <w:t>BRVO</w:t>
      </w:r>
      <w:r w:rsidRPr="009F6F95">
        <w:rPr>
          <w:rFonts w:ascii="Times New Roman" w:hAnsi="Times New Roman" w:cs="Times New Roman"/>
          <w:lang w:val="sr-Latn-CS"/>
        </w:rPr>
        <w:t xml:space="preserve"> (</w:t>
      </w:r>
      <w:r w:rsidRPr="009F6F95">
        <w:rPr>
          <w:rFonts w:ascii="Times New Roman" w:hAnsi="Times New Roman" w:cs="Times New Roman"/>
          <w:lang w:val="pl-PL"/>
        </w:rPr>
        <w:t>okluzija</w:t>
      </w:r>
      <w:r w:rsidRPr="009F6F95">
        <w:rPr>
          <w:rFonts w:ascii="Times New Roman" w:hAnsi="Times New Roman" w:cs="Times New Roman"/>
          <w:lang w:val="sr-Latn-CS"/>
        </w:rPr>
        <w:t xml:space="preserve"> </w:t>
      </w:r>
      <w:r w:rsidRPr="009F6F95">
        <w:rPr>
          <w:rFonts w:ascii="Times New Roman" w:hAnsi="Times New Roman" w:cs="Times New Roman"/>
          <w:lang w:val="pl-PL"/>
        </w:rPr>
        <w:t>grane</w:t>
      </w:r>
      <w:r w:rsidRPr="009F6F95">
        <w:rPr>
          <w:rFonts w:ascii="Times New Roman" w:hAnsi="Times New Roman" w:cs="Times New Roman"/>
          <w:lang w:val="sr-Latn-CS"/>
        </w:rPr>
        <w:t xml:space="preserve"> </w:t>
      </w:r>
      <w:r w:rsidRPr="009F6F95">
        <w:rPr>
          <w:rFonts w:ascii="Times New Roman" w:hAnsi="Times New Roman" w:cs="Times New Roman"/>
          <w:lang w:val="pl-PL"/>
        </w:rPr>
        <w:t>retinalne</w:t>
      </w:r>
      <w:r w:rsidRPr="009F6F95">
        <w:rPr>
          <w:rFonts w:ascii="Times New Roman" w:hAnsi="Times New Roman" w:cs="Times New Roman"/>
          <w:lang w:val="sr-Latn-CS"/>
        </w:rPr>
        <w:t xml:space="preserve"> </w:t>
      </w:r>
      <w:r w:rsidRPr="009F6F95">
        <w:rPr>
          <w:rFonts w:ascii="Times New Roman" w:hAnsi="Times New Roman" w:cs="Times New Roman"/>
          <w:lang w:val="pl-PL"/>
        </w:rPr>
        <w:t>vene</w:t>
      </w:r>
      <w:r w:rsidRPr="009F6F95">
        <w:rPr>
          <w:rFonts w:ascii="Times New Roman" w:hAnsi="Times New Roman" w:cs="Times New Roman"/>
          <w:lang w:val="sr-Latn-CS"/>
        </w:rPr>
        <w:t xml:space="preserve">- </w:t>
      </w:r>
      <w:r w:rsidRPr="009F6F95">
        <w:rPr>
          <w:rFonts w:ascii="Times New Roman" w:hAnsi="Times New Roman" w:cs="Times New Roman"/>
          <w:lang w:val="pl-PL"/>
        </w:rPr>
        <w:t>engl</w:t>
      </w:r>
      <w:r w:rsidRPr="009F6F95">
        <w:rPr>
          <w:rFonts w:ascii="Times New Roman" w:hAnsi="Times New Roman" w:cs="Times New Roman"/>
          <w:lang w:val="sr-Latn-CS"/>
        </w:rPr>
        <w:t xml:space="preserve">. </w:t>
      </w:r>
      <w:r w:rsidRPr="009F6F95">
        <w:rPr>
          <w:rFonts w:ascii="Times New Roman" w:hAnsi="Times New Roman" w:cs="Times New Roman"/>
          <w:i/>
          <w:lang w:val="pl-PL"/>
        </w:rPr>
        <w:t>branch</w:t>
      </w:r>
      <w:r w:rsidRPr="009F6F95">
        <w:rPr>
          <w:rFonts w:ascii="Times New Roman" w:hAnsi="Times New Roman" w:cs="Times New Roman"/>
          <w:i/>
          <w:lang w:val="sr-Latn-CS"/>
        </w:rPr>
        <w:t xml:space="preserve"> </w:t>
      </w:r>
      <w:r w:rsidRPr="009F6F95">
        <w:rPr>
          <w:rFonts w:ascii="Times New Roman" w:hAnsi="Times New Roman" w:cs="Times New Roman"/>
          <w:i/>
          <w:lang w:val="pl-PL"/>
        </w:rPr>
        <w:t>retinal</w:t>
      </w:r>
      <w:r w:rsidRPr="009F6F95">
        <w:rPr>
          <w:rFonts w:ascii="Times New Roman" w:hAnsi="Times New Roman" w:cs="Times New Roman"/>
          <w:i/>
          <w:lang w:val="sr-Latn-CS"/>
        </w:rPr>
        <w:t xml:space="preserve"> </w:t>
      </w:r>
      <w:r w:rsidRPr="009F6F95">
        <w:rPr>
          <w:rFonts w:ascii="Times New Roman" w:hAnsi="Times New Roman" w:cs="Times New Roman"/>
          <w:i/>
          <w:lang w:val="pl-PL"/>
        </w:rPr>
        <w:t>vein</w:t>
      </w:r>
      <w:r w:rsidRPr="009F6F95">
        <w:rPr>
          <w:rFonts w:ascii="Times New Roman" w:hAnsi="Times New Roman" w:cs="Times New Roman"/>
          <w:i/>
          <w:lang w:val="sr-Latn-CS"/>
        </w:rPr>
        <w:t xml:space="preserve"> </w:t>
      </w:r>
      <w:r w:rsidRPr="009F6F95">
        <w:rPr>
          <w:rFonts w:ascii="Times New Roman" w:hAnsi="Times New Roman" w:cs="Times New Roman"/>
          <w:i/>
          <w:lang w:val="pl-PL"/>
        </w:rPr>
        <w:t>occlusion</w:t>
      </w:r>
      <w:r w:rsidRPr="009F6F95">
        <w:rPr>
          <w:rFonts w:ascii="Times New Roman" w:hAnsi="Times New Roman" w:cs="Times New Roman"/>
          <w:lang w:val="sr-Latn-CS"/>
        </w:rPr>
        <w:t>) i DME (</w:t>
      </w:r>
      <w:r w:rsidRPr="009F6F95">
        <w:rPr>
          <w:rFonts w:ascii="Times New Roman" w:hAnsi="Times New Roman" w:cs="Times New Roman"/>
          <w:lang w:val="pl-PL"/>
        </w:rPr>
        <w:t>dijabeti</w:t>
      </w:r>
      <w:r w:rsidRPr="009F6F95">
        <w:rPr>
          <w:rFonts w:ascii="Times New Roman" w:hAnsi="Times New Roman" w:cs="Times New Roman"/>
          <w:lang w:val="sr-Latn-CS"/>
        </w:rPr>
        <w:t>č</w:t>
      </w:r>
      <w:r w:rsidRPr="009F6F95">
        <w:rPr>
          <w:rFonts w:ascii="Times New Roman" w:hAnsi="Times New Roman" w:cs="Times New Roman"/>
          <w:lang w:val="pl-PL"/>
        </w:rPr>
        <w:t>ki</w:t>
      </w:r>
      <w:r w:rsidRPr="009F6F95">
        <w:rPr>
          <w:rFonts w:ascii="Times New Roman" w:hAnsi="Times New Roman" w:cs="Times New Roman"/>
          <w:lang w:val="sr-Latn-CS"/>
        </w:rPr>
        <w:t xml:space="preserve"> </w:t>
      </w:r>
      <w:r w:rsidRPr="009F6F95">
        <w:rPr>
          <w:rFonts w:ascii="Times New Roman" w:hAnsi="Times New Roman" w:cs="Times New Roman"/>
          <w:lang w:val="pl-PL"/>
        </w:rPr>
        <w:t>makularni</w:t>
      </w:r>
      <w:r w:rsidRPr="009F6F95">
        <w:rPr>
          <w:rFonts w:ascii="Times New Roman" w:hAnsi="Times New Roman" w:cs="Times New Roman"/>
          <w:lang w:val="sr-Latn-CS"/>
        </w:rPr>
        <w:t xml:space="preserve"> </w:t>
      </w:r>
      <w:r w:rsidRPr="009F6F95">
        <w:rPr>
          <w:rFonts w:ascii="Times New Roman" w:hAnsi="Times New Roman" w:cs="Times New Roman"/>
          <w:lang w:val="pl-PL"/>
        </w:rPr>
        <w:t>edem</w:t>
      </w:r>
      <w:r w:rsidRPr="009F6F95">
        <w:rPr>
          <w:rFonts w:ascii="Times New Roman" w:hAnsi="Times New Roman" w:cs="Times New Roman"/>
          <w:lang w:val="sr-Latn-CS"/>
        </w:rPr>
        <w:t xml:space="preserve"> –</w:t>
      </w:r>
      <w:r w:rsidRPr="009F6F95">
        <w:rPr>
          <w:rFonts w:ascii="Times New Roman" w:hAnsi="Times New Roman" w:cs="Times New Roman"/>
          <w:lang w:val="pl-PL"/>
        </w:rPr>
        <w:t>engl</w:t>
      </w:r>
      <w:r w:rsidRPr="009F6F95">
        <w:rPr>
          <w:rFonts w:ascii="Times New Roman" w:hAnsi="Times New Roman" w:cs="Times New Roman"/>
          <w:lang w:val="sr-Latn-CS"/>
        </w:rPr>
        <w:t xml:space="preserve">. </w:t>
      </w:r>
      <w:r w:rsidRPr="009F6F95">
        <w:rPr>
          <w:rFonts w:ascii="Times New Roman" w:hAnsi="Times New Roman" w:cs="Times New Roman"/>
          <w:i/>
          <w:lang w:val="pl-PL"/>
        </w:rPr>
        <w:t>diabetic</w:t>
      </w:r>
      <w:r w:rsidRPr="009F6F95">
        <w:rPr>
          <w:rFonts w:ascii="Times New Roman" w:hAnsi="Times New Roman" w:cs="Times New Roman"/>
          <w:i/>
          <w:lang w:val="sr-Latn-CS"/>
        </w:rPr>
        <w:t xml:space="preserve"> </w:t>
      </w:r>
      <w:r w:rsidRPr="009F6F95">
        <w:rPr>
          <w:rFonts w:ascii="Times New Roman" w:hAnsi="Times New Roman" w:cs="Times New Roman"/>
          <w:i/>
          <w:lang w:val="pl-PL"/>
        </w:rPr>
        <w:t>macular</w:t>
      </w:r>
      <w:r w:rsidRPr="009F6F95">
        <w:rPr>
          <w:rFonts w:ascii="Times New Roman" w:hAnsi="Times New Roman" w:cs="Times New Roman"/>
          <w:i/>
          <w:lang w:val="sr-Latn-CS"/>
        </w:rPr>
        <w:t xml:space="preserve"> </w:t>
      </w:r>
      <w:r w:rsidRPr="009F6F95">
        <w:rPr>
          <w:rFonts w:ascii="Times New Roman" w:hAnsi="Times New Roman" w:cs="Times New Roman"/>
          <w:i/>
          <w:lang w:val="pl-PL"/>
        </w:rPr>
        <w:t>oedema</w:t>
      </w:r>
      <w:r w:rsidRPr="009F6F95">
        <w:rPr>
          <w:rFonts w:ascii="Times New Roman" w:hAnsi="Times New Roman" w:cs="Times New Roman"/>
          <w:lang w:val="sr-Latn-CS"/>
        </w:rPr>
        <w:t>).</w:t>
      </w:r>
    </w:p>
    <w:p w:rsidR="004E34F3" w:rsidRDefault="004E34F3" w:rsidP="00C7646D">
      <w:pPr>
        <w:spacing w:after="0"/>
        <w:jc w:val="both"/>
        <w:rPr>
          <w:rFonts w:ascii="Times New Roman" w:hAnsi="Times New Roman" w:cs="Times New Roman"/>
          <w:u w:val="single"/>
          <w:lang w:val="sr-Latn-CS"/>
        </w:rPr>
      </w:pPr>
    </w:p>
    <w:p w:rsidR="00D047BB" w:rsidRPr="00D047BB" w:rsidRDefault="00D047BB" w:rsidP="00C7646D">
      <w:pPr>
        <w:spacing w:after="0"/>
        <w:jc w:val="both"/>
        <w:rPr>
          <w:rFonts w:ascii="Times New Roman" w:hAnsi="Times New Roman" w:cs="Times New Roman"/>
          <w:u w:val="single"/>
          <w:lang w:val="sr-Latn-CS"/>
        </w:rPr>
      </w:pPr>
      <w:r w:rsidRPr="00D047BB">
        <w:rPr>
          <w:rFonts w:ascii="Times New Roman" w:hAnsi="Times New Roman" w:cs="Times New Roman"/>
          <w:u w:val="single"/>
          <w:lang w:val="sr-Latn-CS"/>
        </w:rPr>
        <w:t>Način primjene</w:t>
      </w:r>
    </w:p>
    <w:p w:rsidR="00D047BB" w:rsidRPr="00D047BB" w:rsidRDefault="00D047BB" w:rsidP="00C7646D">
      <w:pPr>
        <w:spacing w:after="0"/>
        <w:ind w:firstLine="709"/>
        <w:jc w:val="both"/>
        <w:rPr>
          <w:rFonts w:ascii="Times New Roman" w:hAnsi="Times New Roman" w:cs="Times New Roman"/>
          <w:lang w:val="sr-Latn-CS"/>
        </w:rPr>
      </w:pPr>
    </w:p>
    <w:p w:rsidR="00D047BB" w:rsidRP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Primjena intravitrealne injekcije mora se sprovesti u skladu sa medicinskim standardima i važećim smjernicama, od strane kvalifikovanog ljekara koji ima iskustva u davanju intravitrealnih injekcija. U principu, treba obezbijediti adekvatnu anesteziju i mjere asepse, uključujući topikalnu primjenu mikrobicida širokog spektra (na primjer, primjena povidon joda na kožu periokularne regije, kapka i površinu oka). Preporučuje se hirurška dezinfekcija ruku, upotreba sterilnih rukavica, sterilne komprese i sterilnog spekuluma za očne kapke (ili ekvivalentnog instrumenta).</w:t>
      </w:r>
    </w:p>
    <w:p w:rsidR="00D047BB" w:rsidRPr="00D047BB" w:rsidRDefault="00D047BB" w:rsidP="00C7646D">
      <w:pPr>
        <w:spacing w:after="0"/>
        <w:ind w:firstLine="709"/>
        <w:jc w:val="both"/>
        <w:rPr>
          <w:rFonts w:ascii="Times New Roman" w:hAnsi="Times New Roman" w:cs="Times New Roman"/>
          <w:lang w:val="sr-Latn-CS"/>
        </w:rPr>
      </w:pPr>
    </w:p>
    <w:p w:rsidR="00C7646D" w:rsidRDefault="00C7646D" w:rsidP="00C7646D">
      <w:pPr>
        <w:spacing w:after="0"/>
        <w:jc w:val="both"/>
        <w:rPr>
          <w:rFonts w:ascii="Times New Roman" w:hAnsi="Times New Roman" w:cs="Times New Roman"/>
          <w:lang w:val="sr-Latn-CS"/>
        </w:rPr>
      </w:pPr>
    </w:p>
    <w:p w:rsidR="00D047BB" w:rsidRP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Iglu injekcije treba uvesti u vitrealnu šupljinu 3,5-4,0 mm posteriorno od limbusa, izbjegavajući horizontalni meridijan i usmjeravajući je u pravcu centra očne jabučice. Potom se ubrizgava 0,05 mL rastvora za injekciju; za sljedeću injekciju treba koristiti drugo mjesto na beonjači.</w:t>
      </w:r>
    </w:p>
    <w:p w:rsidR="00D047BB" w:rsidRPr="00D047BB" w:rsidRDefault="00D047BB" w:rsidP="00C7646D">
      <w:pPr>
        <w:spacing w:after="0"/>
        <w:ind w:firstLine="709"/>
        <w:jc w:val="both"/>
        <w:rPr>
          <w:rFonts w:ascii="Times New Roman" w:hAnsi="Times New Roman" w:cs="Times New Roman"/>
          <w:lang w:val="sr-Latn-CS"/>
        </w:rPr>
      </w:pPr>
    </w:p>
    <w:p w:rsidR="00D047BB" w:rsidRP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Neposredno nakon intravitrealne injekcije treba provjeriti da li je kod pacijenta došlo do povećanja vrijednosti intraokularnog pritiska. Odgovarajuća kontrola može se sastojati i od provjere perfuzije papile optičkog nerva ili tonometrije. Ako je potrebno, treba da bude dostupna sterilna oprema za paracentezu.Nakon intravitrealne injekcije, pacijente treba uputiti da bez odlaganja prijave simptome koji ukazuju na endoftalmitis (na primjer bol u očima, crvenilo oka, fotofobija, zamućenje vida).</w:t>
      </w:r>
    </w:p>
    <w:p w:rsidR="00D047BB" w:rsidRPr="00D047BB" w:rsidRDefault="00D047BB" w:rsidP="00C7646D">
      <w:pPr>
        <w:spacing w:after="0"/>
        <w:ind w:firstLine="709"/>
        <w:jc w:val="both"/>
        <w:rPr>
          <w:rFonts w:ascii="Times New Roman" w:hAnsi="Times New Roman" w:cs="Times New Roman"/>
          <w:lang w:val="sr-Latn-CS"/>
        </w:rPr>
      </w:pPr>
    </w:p>
    <w:p w:rsidR="00D047BB" w:rsidRPr="00D047BB" w:rsidRDefault="00D047BB" w:rsidP="00C7646D">
      <w:pPr>
        <w:spacing w:after="0"/>
        <w:jc w:val="both"/>
        <w:rPr>
          <w:rFonts w:ascii="Times New Roman" w:hAnsi="Times New Roman" w:cs="Times New Roman"/>
          <w:lang w:val="sr-Latn-RS"/>
        </w:rPr>
      </w:pPr>
      <w:r w:rsidRPr="00D047BB">
        <w:rPr>
          <w:rFonts w:ascii="Times New Roman" w:hAnsi="Times New Roman" w:cs="Times New Roman"/>
          <w:lang w:val="sr-Latn-CS"/>
        </w:rPr>
        <w:t>Jedan napunjeni injekcioni špric treba koristiti samo za terapiju jednog oka.</w:t>
      </w:r>
    </w:p>
    <w:p w:rsidR="00D047BB" w:rsidRPr="00D047BB" w:rsidRDefault="00D047BB" w:rsidP="00C7646D">
      <w:pPr>
        <w:spacing w:after="0"/>
        <w:ind w:firstLine="709"/>
        <w:jc w:val="both"/>
        <w:rPr>
          <w:rFonts w:ascii="Times New Roman" w:hAnsi="Times New Roman" w:cs="Times New Roman"/>
          <w:lang w:val="sr-Latn-CS"/>
        </w:rPr>
      </w:pPr>
    </w:p>
    <w:p w:rsidR="00D047BB" w:rsidRP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 xml:space="preserve">Napunjeni injekcioni špric sadrži više od preporučene doze od 2 mg aflibercepta. Ukupna zapremina šprica (90 mikrolitara) ne treba da se iskoristi u cjelosti. Višak tečnosti treba izbaciti prije davanja injekcije.  </w:t>
      </w:r>
    </w:p>
    <w:p w:rsidR="00D047BB" w:rsidRP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Injektovanje cjelokupne zapremine šprica moglo bi da dovede do predoziranja. Da bi se vazdušni mjehur izbacio zajedno sa viškom lijeka, polako pritiskati klip dok se ne izravnaju cilindrična baza kupole klipa i crna linija na špricu koja označava dozu (što odgovara 50 mikrolitara, odnosno 2 mg aflibercepta).</w:t>
      </w:r>
    </w:p>
    <w:p w:rsidR="00D047BB" w:rsidRPr="00D047BB" w:rsidRDefault="00D047BB" w:rsidP="00C7646D">
      <w:pPr>
        <w:spacing w:after="0"/>
        <w:ind w:firstLine="709"/>
        <w:jc w:val="both"/>
        <w:rPr>
          <w:rFonts w:ascii="Times New Roman" w:hAnsi="Times New Roman" w:cs="Times New Roman"/>
          <w:lang w:val="sr-Latn-CS"/>
        </w:rPr>
      </w:pPr>
    </w:p>
    <w:p w:rsidR="00D047BB" w:rsidRP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Nakon injekcije, neiskorišćeni ostatak lijeka treba baciti.</w:t>
      </w:r>
    </w:p>
    <w:p w:rsidR="00D047BB" w:rsidRDefault="00D047BB" w:rsidP="00C7646D">
      <w:pPr>
        <w:spacing w:after="0"/>
        <w:jc w:val="both"/>
        <w:rPr>
          <w:rFonts w:ascii="Times New Roman" w:hAnsi="Times New Roman" w:cs="Times New Roman"/>
          <w:lang w:val="sr-Latn-CS"/>
        </w:rPr>
      </w:pPr>
    </w:p>
    <w:p w:rsidR="00D047BB" w:rsidRDefault="00D047BB" w:rsidP="00C7646D">
      <w:pPr>
        <w:spacing w:after="0"/>
        <w:jc w:val="both"/>
        <w:rPr>
          <w:rFonts w:ascii="Times New Roman" w:hAnsi="Times New Roman" w:cs="Times New Roman"/>
          <w:lang w:val="sr-Latn-CS"/>
        </w:rPr>
      </w:pPr>
      <w:r w:rsidRPr="00D047BB">
        <w:rPr>
          <w:rFonts w:ascii="Times New Roman" w:hAnsi="Times New Roman" w:cs="Times New Roman"/>
          <w:lang w:val="sr-Latn-CS"/>
        </w:rPr>
        <w:t>Za odlaganje lijeka vidjeti odjeljak 6.6.</w:t>
      </w:r>
    </w:p>
    <w:p w:rsidR="00A40427" w:rsidRDefault="00A40427" w:rsidP="00C7646D">
      <w:pPr>
        <w:spacing w:after="0"/>
        <w:jc w:val="both"/>
        <w:rPr>
          <w:rFonts w:ascii="Times New Roman" w:hAnsi="Times New Roman" w:cs="Times New Roman"/>
          <w:lang w:val="sr-Latn-CS"/>
        </w:rPr>
      </w:pPr>
    </w:p>
    <w:p w:rsidR="00F264DC" w:rsidRPr="00C15CAE" w:rsidRDefault="00F264DC" w:rsidP="00C7646D">
      <w:pPr>
        <w:tabs>
          <w:tab w:val="left" w:pos="284"/>
          <w:tab w:val="center" w:pos="4536"/>
          <w:tab w:val="right" w:pos="9072"/>
        </w:tabs>
        <w:spacing w:after="0" w:line="240" w:lineRule="auto"/>
        <w:jc w:val="both"/>
        <w:rPr>
          <w:rFonts w:ascii="Times New Roman" w:hAnsi="Times New Roman" w:cs="Times New Roman"/>
          <w:b/>
          <w:bCs/>
        </w:rPr>
      </w:pPr>
      <w:r w:rsidRPr="00C15CAE">
        <w:rPr>
          <w:rFonts w:ascii="Times New Roman" w:hAnsi="Times New Roman" w:cs="Times New Roman"/>
          <w:b/>
          <w:bCs/>
        </w:rPr>
        <w:t>4.3. Kontraindikacije</w:t>
      </w:r>
    </w:p>
    <w:p w:rsidR="00F264DC" w:rsidRDefault="00F264DC" w:rsidP="00C7646D">
      <w:pPr>
        <w:tabs>
          <w:tab w:val="left" w:pos="284"/>
          <w:tab w:val="center" w:pos="4536"/>
          <w:tab w:val="right" w:pos="9072"/>
        </w:tabs>
        <w:spacing w:after="0" w:line="240" w:lineRule="auto"/>
        <w:jc w:val="both"/>
        <w:rPr>
          <w:rFonts w:ascii="Times New Roman" w:hAnsi="Times New Roman" w:cs="Times New Roman"/>
        </w:rPr>
      </w:pPr>
    </w:p>
    <w:p w:rsidR="00F264DC" w:rsidRPr="00C15CAE" w:rsidRDefault="00F264D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Preos</w:t>
      </w:r>
      <w:r>
        <w:rPr>
          <w:rFonts w:ascii="Times New Roman" w:hAnsi="Times New Roman" w:cs="Times New Roman"/>
        </w:rPr>
        <w:t>j</w:t>
      </w:r>
      <w:r w:rsidRPr="00C15CAE">
        <w:rPr>
          <w:rFonts w:ascii="Times New Roman" w:hAnsi="Times New Roman" w:cs="Times New Roman"/>
        </w:rPr>
        <w:t>etljivost na aktivnu supstancu aflibercept ili na neku od pomoćnih supstanci navedenih u od</w:t>
      </w:r>
      <w:r>
        <w:rPr>
          <w:rFonts w:ascii="Times New Roman" w:hAnsi="Times New Roman" w:cs="Times New Roman"/>
        </w:rPr>
        <w:t>j</w:t>
      </w:r>
      <w:r w:rsidRPr="00C15CAE">
        <w:rPr>
          <w:rFonts w:ascii="Times New Roman" w:hAnsi="Times New Roman" w:cs="Times New Roman"/>
        </w:rPr>
        <w:t xml:space="preserve">eljku 6.1. </w:t>
      </w:r>
    </w:p>
    <w:p w:rsidR="00F264DC" w:rsidRPr="00C15CAE" w:rsidRDefault="00F264D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Postojanje akutne ili suspektne infekcije oka ili periokularne regije.</w:t>
      </w:r>
    </w:p>
    <w:p w:rsidR="00F264DC" w:rsidRDefault="00F264D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Akutna teška intraokularna inflamacija.</w:t>
      </w:r>
    </w:p>
    <w:p w:rsidR="00F264DC" w:rsidRPr="00C15CAE" w:rsidRDefault="00F264DC" w:rsidP="00C7646D">
      <w:pPr>
        <w:tabs>
          <w:tab w:val="left" w:pos="284"/>
          <w:tab w:val="center" w:pos="4536"/>
          <w:tab w:val="right" w:pos="9072"/>
        </w:tabs>
        <w:spacing w:after="0" w:line="240" w:lineRule="auto"/>
        <w:jc w:val="both"/>
        <w:rPr>
          <w:rFonts w:ascii="Times New Roman" w:hAnsi="Times New Roman" w:cs="Times New Roman"/>
        </w:rPr>
      </w:pPr>
    </w:p>
    <w:p w:rsidR="00F264DC" w:rsidRDefault="00F264DC" w:rsidP="00C7646D">
      <w:pPr>
        <w:tabs>
          <w:tab w:val="left" w:pos="284"/>
          <w:tab w:val="center" w:pos="4536"/>
          <w:tab w:val="right" w:pos="9072"/>
        </w:tabs>
        <w:spacing w:after="0" w:line="240" w:lineRule="auto"/>
        <w:jc w:val="both"/>
        <w:rPr>
          <w:rFonts w:ascii="Times New Roman" w:hAnsi="Times New Roman" w:cs="Times New Roman"/>
          <w:b/>
          <w:bCs/>
          <w:lang w:val="sr-Latn-ME"/>
        </w:rPr>
      </w:pPr>
      <w:r w:rsidRPr="00C15CAE">
        <w:rPr>
          <w:rFonts w:ascii="Times New Roman" w:hAnsi="Times New Roman" w:cs="Times New Roman"/>
          <w:b/>
          <w:bCs/>
          <w:lang w:val="ru-RU"/>
        </w:rPr>
        <w:t>4.4. Posebna upozorenja i m</w:t>
      </w:r>
      <w:r w:rsidRPr="003A3B49">
        <w:rPr>
          <w:rFonts w:ascii="Times New Roman" w:hAnsi="Times New Roman" w:cs="Times New Roman"/>
          <w:b/>
          <w:bCs/>
          <w:lang w:val="pl-PL"/>
        </w:rPr>
        <w:t>j</w:t>
      </w:r>
      <w:r w:rsidRPr="00C15CAE">
        <w:rPr>
          <w:rFonts w:ascii="Times New Roman" w:hAnsi="Times New Roman" w:cs="Times New Roman"/>
          <w:b/>
          <w:bCs/>
          <w:lang w:val="ru-RU"/>
        </w:rPr>
        <w:t>ere opreza pri upotrebi l</w:t>
      </w:r>
      <w:r w:rsidRPr="003A3B49">
        <w:rPr>
          <w:rFonts w:ascii="Times New Roman" w:hAnsi="Times New Roman" w:cs="Times New Roman"/>
          <w:b/>
          <w:bCs/>
          <w:lang w:val="pl-PL"/>
        </w:rPr>
        <w:t>ij</w:t>
      </w:r>
      <w:r w:rsidRPr="00C15CAE">
        <w:rPr>
          <w:rFonts w:ascii="Times New Roman" w:hAnsi="Times New Roman" w:cs="Times New Roman"/>
          <w:b/>
          <w:bCs/>
          <w:lang w:val="ru-RU"/>
        </w:rPr>
        <w:t>eka</w:t>
      </w:r>
    </w:p>
    <w:p w:rsidR="00E3064E" w:rsidRDefault="00E3064E" w:rsidP="00C7646D">
      <w:pPr>
        <w:tabs>
          <w:tab w:val="left" w:pos="284"/>
          <w:tab w:val="center" w:pos="4536"/>
          <w:tab w:val="right" w:pos="9072"/>
        </w:tabs>
        <w:spacing w:after="0" w:line="240" w:lineRule="auto"/>
        <w:jc w:val="both"/>
        <w:rPr>
          <w:rFonts w:ascii="Times New Roman" w:hAnsi="Times New Roman" w:cs="Times New Roman"/>
          <w:highlight w:val="yellow"/>
          <w:u w:val="single"/>
        </w:rPr>
      </w:pPr>
    </w:p>
    <w:p w:rsidR="00E3064E" w:rsidRPr="00E3064E" w:rsidRDefault="00E3064E" w:rsidP="00C7646D">
      <w:pPr>
        <w:tabs>
          <w:tab w:val="left" w:pos="284"/>
          <w:tab w:val="center" w:pos="4536"/>
          <w:tab w:val="right" w:pos="9072"/>
        </w:tabs>
        <w:spacing w:after="0" w:line="240" w:lineRule="auto"/>
        <w:jc w:val="both"/>
        <w:rPr>
          <w:rFonts w:ascii="Times New Roman" w:hAnsi="Times New Roman" w:cs="Times New Roman"/>
          <w:u w:val="single"/>
          <w:lang w:val="sr-Latn-RS"/>
        </w:rPr>
      </w:pPr>
      <w:r w:rsidRPr="00E3064E">
        <w:rPr>
          <w:rFonts w:ascii="Times New Roman" w:hAnsi="Times New Roman" w:cs="Times New Roman"/>
          <w:u w:val="single"/>
        </w:rPr>
        <w:t>Reakcije</w:t>
      </w:r>
      <w:r w:rsidRPr="00E3064E">
        <w:rPr>
          <w:rFonts w:ascii="Times New Roman" w:hAnsi="Times New Roman" w:cs="Times New Roman"/>
          <w:u w:val="single"/>
          <w:lang w:val="sr-Latn-RS"/>
        </w:rPr>
        <w:t xml:space="preserve"> povezane sa intravitrealnom upotrebom</w:t>
      </w:r>
    </w:p>
    <w:p w:rsidR="00E3064E" w:rsidRPr="00E3064E" w:rsidRDefault="00E3064E" w:rsidP="00C7646D">
      <w:pPr>
        <w:tabs>
          <w:tab w:val="left" w:pos="284"/>
          <w:tab w:val="center" w:pos="4536"/>
          <w:tab w:val="right" w:pos="9072"/>
        </w:tabs>
        <w:spacing w:after="0" w:line="240" w:lineRule="auto"/>
        <w:jc w:val="both"/>
        <w:rPr>
          <w:rFonts w:ascii="Times New Roman" w:hAnsi="Times New Roman" w:cs="Times New Roman"/>
          <w:u w:val="single"/>
          <w:lang w:val="sr-Latn-RS"/>
        </w:rPr>
      </w:pPr>
    </w:p>
    <w:p w:rsidR="00F264DC" w:rsidRPr="00E3064E" w:rsidRDefault="00E3064E" w:rsidP="00C7646D">
      <w:pPr>
        <w:tabs>
          <w:tab w:val="left" w:pos="284"/>
          <w:tab w:val="center" w:pos="4536"/>
          <w:tab w:val="right" w:pos="9072"/>
        </w:tabs>
        <w:spacing w:after="0" w:line="240" w:lineRule="auto"/>
        <w:jc w:val="both"/>
        <w:rPr>
          <w:rFonts w:ascii="Times New Roman" w:hAnsi="Times New Roman" w:cs="Times New Roman"/>
          <w:lang w:val="sr-Latn-RS"/>
        </w:rPr>
      </w:pPr>
      <w:r w:rsidRPr="00E3064E">
        <w:rPr>
          <w:rFonts w:ascii="Times New Roman" w:hAnsi="Times New Roman" w:cs="Times New Roman"/>
          <w:lang w:val="sr-Latn-RS"/>
        </w:rPr>
        <w:t xml:space="preserve">Intravitrealne injekcije, uključujući i one sa lijekom Eylea, povezane su sa nastankom endoftalmitisa, intraokularne inflamacije, regmatogenom ablacijom retine, rascjepom retine i jatrogenom traumatskom kataraktom (vidjeti odjeljak 4.8). Prilikom davanja lijeka Eylea, uvijek mora biti korišćena odgovarajuća aseptična tehnika. Dodatno, pacijente treba posmatrati nedjelju dana nakon primanja injekcije da bi se moglo brzo reagovati u slučaju nastanka infekcije. Pacijente treba savjetovati da bez </w:t>
      </w:r>
    </w:p>
    <w:p w:rsidR="002D4774" w:rsidRPr="00C15CAE" w:rsidRDefault="002D4774" w:rsidP="00C7646D">
      <w:pPr>
        <w:tabs>
          <w:tab w:val="left" w:pos="284"/>
          <w:tab w:val="center" w:pos="4536"/>
          <w:tab w:val="right" w:pos="9072"/>
        </w:tabs>
        <w:spacing w:after="0" w:line="240" w:lineRule="auto"/>
        <w:jc w:val="both"/>
        <w:rPr>
          <w:rFonts w:ascii="Times New Roman" w:hAnsi="Times New Roman" w:cs="Times New Roman"/>
          <w:lang w:val="sr-Latn-RS"/>
        </w:rPr>
      </w:pPr>
      <w:r w:rsidRPr="00E3064E">
        <w:rPr>
          <w:rFonts w:ascii="Times New Roman" w:hAnsi="Times New Roman" w:cs="Times New Roman"/>
          <w:lang w:val="sr-Latn-RS"/>
        </w:rPr>
        <w:t>odlaganja prijave svaki simptom koji ukazuje na endoftalmitis ili bilo koju od gore navedenih pojava.</w:t>
      </w:r>
    </w:p>
    <w:p w:rsidR="002D4774" w:rsidRPr="00C15CAE" w:rsidRDefault="002D4774" w:rsidP="00C7646D">
      <w:pPr>
        <w:tabs>
          <w:tab w:val="left" w:pos="284"/>
          <w:tab w:val="center" w:pos="4536"/>
          <w:tab w:val="right" w:pos="9072"/>
        </w:tabs>
        <w:spacing w:after="0" w:line="240" w:lineRule="auto"/>
        <w:jc w:val="both"/>
        <w:rPr>
          <w:rFonts w:ascii="Times New Roman" w:hAnsi="Times New Roman" w:cs="Times New Roman"/>
          <w:u w:val="single"/>
          <w:lang w:val="sr-Latn-RS"/>
        </w:rPr>
      </w:pPr>
    </w:p>
    <w:p w:rsidR="00C7646D" w:rsidRDefault="002D4774"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Povećanje intraokularnog pritiska zapaženo je u periodu od 60 minuta nakon davanja intravitrealne injekcije, uključujući i one sa l</w:t>
      </w:r>
      <w:r>
        <w:rPr>
          <w:rFonts w:ascii="Times New Roman" w:hAnsi="Times New Roman" w:cs="Times New Roman"/>
        </w:rPr>
        <w:t>ij</w:t>
      </w:r>
      <w:r w:rsidRPr="00C15CAE">
        <w:rPr>
          <w:rFonts w:ascii="Times New Roman" w:hAnsi="Times New Roman" w:cs="Times New Roman"/>
        </w:rPr>
        <w:t>ekom Eylea (</w:t>
      </w:r>
      <w:r>
        <w:rPr>
          <w:rFonts w:ascii="Times New Roman" w:hAnsi="Times New Roman" w:cs="Times New Roman"/>
        </w:rPr>
        <w:t xml:space="preserve">vidjeti odjeljak </w:t>
      </w:r>
      <w:r w:rsidRPr="00C15CAE">
        <w:rPr>
          <w:rFonts w:ascii="Times New Roman" w:hAnsi="Times New Roman" w:cs="Times New Roman"/>
        </w:rPr>
        <w:t xml:space="preserve">4.8). Poseban oprez je potreban kod </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2D4774" w:rsidRPr="00C15CAE" w:rsidRDefault="002D4774"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lastRenderedPageBreak/>
        <w:t>pacijenata sa slabo kontrolisanim glaukomom (ne ubrizgavati l</w:t>
      </w:r>
      <w:r>
        <w:rPr>
          <w:rFonts w:ascii="Times New Roman" w:hAnsi="Times New Roman" w:cs="Times New Roman"/>
        </w:rPr>
        <w:t>ij</w:t>
      </w:r>
      <w:r w:rsidRPr="00C15CAE">
        <w:rPr>
          <w:rFonts w:ascii="Times New Roman" w:hAnsi="Times New Roman" w:cs="Times New Roman"/>
        </w:rPr>
        <w:t>ek Eylea ako je intraokularni pritisak ≥ 30 mmHg). U takvim slučajevima intraokularni pritisak, kao i perfuziju papile optičkog nerva, moraju se kontrolisati i tretirati na odgovarajući način.</w:t>
      </w:r>
    </w:p>
    <w:p w:rsidR="002D4774" w:rsidRDefault="002D4774" w:rsidP="00C7646D">
      <w:pPr>
        <w:tabs>
          <w:tab w:val="left" w:pos="284"/>
          <w:tab w:val="center" w:pos="4536"/>
          <w:tab w:val="right" w:pos="9072"/>
        </w:tabs>
        <w:spacing w:after="0" w:line="240" w:lineRule="auto"/>
        <w:jc w:val="both"/>
        <w:rPr>
          <w:rFonts w:ascii="Times New Roman" w:hAnsi="Times New Roman" w:cs="Times New Roman"/>
          <w:u w:val="single"/>
        </w:rPr>
      </w:pPr>
    </w:p>
    <w:p w:rsidR="002D4774" w:rsidRPr="00C15CAE" w:rsidRDefault="002D4774"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Imunogenost</w:t>
      </w:r>
    </w:p>
    <w:p w:rsidR="002D4774" w:rsidRPr="00C15CAE" w:rsidRDefault="002D4774"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Kako je ovo protein koji se terapijski prim</w:t>
      </w:r>
      <w:r>
        <w:rPr>
          <w:rFonts w:ascii="Times New Roman" w:hAnsi="Times New Roman" w:cs="Times New Roman"/>
        </w:rPr>
        <w:t>j</w:t>
      </w:r>
      <w:r w:rsidRPr="00C15CAE">
        <w:rPr>
          <w:rFonts w:ascii="Times New Roman" w:hAnsi="Times New Roman" w:cs="Times New Roman"/>
        </w:rPr>
        <w:t>enjuje, postoji potencijal za imunogenost kod l</w:t>
      </w:r>
      <w:r>
        <w:rPr>
          <w:rFonts w:ascii="Times New Roman" w:hAnsi="Times New Roman" w:cs="Times New Roman"/>
        </w:rPr>
        <w:t>ij</w:t>
      </w:r>
      <w:r w:rsidRPr="00C15CAE">
        <w:rPr>
          <w:rFonts w:ascii="Times New Roman" w:hAnsi="Times New Roman" w:cs="Times New Roman"/>
        </w:rPr>
        <w:t>eka Eylea (</w:t>
      </w:r>
      <w:r>
        <w:rPr>
          <w:rFonts w:ascii="Times New Roman" w:hAnsi="Times New Roman" w:cs="Times New Roman"/>
        </w:rPr>
        <w:t xml:space="preserve">vidjeti odjeljak </w:t>
      </w:r>
      <w:r w:rsidRPr="00C15CAE">
        <w:rPr>
          <w:rFonts w:ascii="Times New Roman" w:hAnsi="Times New Roman" w:cs="Times New Roman"/>
        </w:rPr>
        <w:t>4.8). Pacijente treba uputiti da prijave znake i simptome intraokularne inflamacije, na prim</w:t>
      </w:r>
      <w:r>
        <w:rPr>
          <w:rFonts w:ascii="Times New Roman" w:hAnsi="Times New Roman" w:cs="Times New Roman"/>
        </w:rPr>
        <w:t>j</w:t>
      </w:r>
      <w:r w:rsidRPr="00C15CAE">
        <w:rPr>
          <w:rFonts w:ascii="Times New Roman" w:hAnsi="Times New Roman" w:cs="Times New Roman"/>
        </w:rPr>
        <w:t>er bol, fotofobiju ili crvenilo</w:t>
      </w:r>
      <w:r>
        <w:rPr>
          <w:rFonts w:ascii="Times New Roman" w:hAnsi="Times New Roman" w:cs="Times New Roman"/>
        </w:rPr>
        <w:t>,</w:t>
      </w:r>
      <w:r w:rsidRPr="00C15CAE">
        <w:rPr>
          <w:rFonts w:ascii="Times New Roman" w:hAnsi="Times New Roman" w:cs="Times New Roman"/>
        </w:rPr>
        <w:t xml:space="preserve"> što mogu biti klinički znaci koji se mogu pripisati hipersenzitivnosti. </w:t>
      </w:r>
    </w:p>
    <w:p w:rsidR="006B686C"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Sistemska dejstva</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lang w:val="sv-SE"/>
        </w:rPr>
      </w:pPr>
      <w:r w:rsidRPr="00C15CAE">
        <w:rPr>
          <w:rFonts w:ascii="Times New Roman" w:hAnsi="Times New Roman" w:cs="Times New Roman"/>
        </w:rPr>
        <w:t xml:space="preserve">Sistemski neželjeni događaji, uključujući i krvarenja izvan oka i arterijsku tromboemboliju, bili su prijavljeni nakon intravitrealne injekcije VEGF inhibitora, i teorijski postoji rizik da se to može odnositi na VEGF inhibiciju. </w:t>
      </w:r>
      <w:r w:rsidRPr="00C15CAE">
        <w:rPr>
          <w:rFonts w:ascii="Times New Roman" w:hAnsi="Times New Roman" w:cs="Times New Roman"/>
          <w:lang w:val="sv-SE"/>
        </w:rPr>
        <w:t>Postoje ograničeni podaci o bezb</w:t>
      </w:r>
      <w:r>
        <w:rPr>
          <w:rFonts w:ascii="Times New Roman" w:hAnsi="Times New Roman" w:cs="Times New Roman"/>
          <w:lang w:val="sv-SE"/>
        </w:rPr>
        <w:t>j</w:t>
      </w:r>
      <w:r w:rsidRPr="00C15CAE">
        <w:rPr>
          <w:rFonts w:ascii="Times New Roman" w:hAnsi="Times New Roman" w:cs="Times New Roman"/>
          <w:lang w:val="sv-SE"/>
        </w:rPr>
        <w:t>ednosti prim</w:t>
      </w:r>
      <w:r>
        <w:rPr>
          <w:rFonts w:ascii="Times New Roman" w:hAnsi="Times New Roman" w:cs="Times New Roman"/>
          <w:lang w:val="sv-SE"/>
        </w:rPr>
        <w:t>j</w:t>
      </w:r>
      <w:r w:rsidRPr="00C15CAE">
        <w:rPr>
          <w:rFonts w:ascii="Times New Roman" w:hAnsi="Times New Roman" w:cs="Times New Roman"/>
          <w:lang w:val="sv-SE"/>
        </w:rPr>
        <w:t>ene kod pacijenata sa CRVO, BRVO i DME koji u anamnezi imaju moždani udar ili tranzitorni ishemijski atak ili infarkt miokarda tokom posl</w:t>
      </w:r>
      <w:r>
        <w:rPr>
          <w:rFonts w:ascii="Times New Roman" w:hAnsi="Times New Roman" w:cs="Times New Roman"/>
          <w:lang w:val="sv-SE"/>
        </w:rPr>
        <w:t>j</w:t>
      </w:r>
      <w:r w:rsidRPr="00C15CAE">
        <w:rPr>
          <w:rFonts w:ascii="Times New Roman" w:hAnsi="Times New Roman" w:cs="Times New Roman"/>
          <w:lang w:val="sv-SE"/>
        </w:rPr>
        <w:t>ednjih 6 m</w:t>
      </w:r>
      <w:r>
        <w:rPr>
          <w:rFonts w:ascii="Times New Roman" w:hAnsi="Times New Roman" w:cs="Times New Roman"/>
          <w:lang w:val="sv-SE"/>
        </w:rPr>
        <w:t>j</w:t>
      </w:r>
      <w:r w:rsidRPr="00C15CAE">
        <w:rPr>
          <w:rFonts w:ascii="Times New Roman" w:hAnsi="Times New Roman" w:cs="Times New Roman"/>
          <w:lang w:val="sv-SE"/>
        </w:rPr>
        <w:t>eseci. Ove pacijente treba l</w:t>
      </w:r>
      <w:r>
        <w:rPr>
          <w:rFonts w:ascii="Times New Roman" w:hAnsi="Times New Roman" w:cs="Times New Roman"/>
          <w:lang w:val="sv-SE"/>
        </w:rPr>
        <w:t>ij</w:t>
      </w:r>
      <w:r w:rsidRPr="00C15CAE">
        <w:rPr>
          <w:rFonts w:ascii="Times New Roman" w:hAnsi="Times New Roman" w:cs="Times New Roman"/>
          <w:lang w:val="sv-SE"/>
        </w:rPr>
        <w:t>ečiti sa oprezom.</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Ostalo</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Kao i za druge intravitrealne anti-VEGF l</w:t>
      </w:r>
      <w:r>
        <w:rPr>
          <w:rFonts w:ascii="Times New Roman" w:hAnsi="Times New Roman" w:cs="Times New Roman"/>
        </w:rPr>
        <w:t>j</w:t>
      </w:r>
      <w:r w:rsidRPr="00C15CAE">
        <w:rPr>
          <w:rFonts w:ascii="Times New Roman" w:hAnsi="Times New Roman" w:cs="Times New Roman"/>
        </w:rPr>
        <w:t>ekove nam</w:t>
      </w:r>
      <w:r>
        <w:rPr>
          <w:rFonts w:ascii="Times New Roman" w:hAnsi="Times New Roman" w:cs="Times New Roman"/>
        </w:rPr>
        <w:t>ij</w:t>
      </w:r>
      <w:r w:rsidRPr="00C15CAE">
        <w:rPr>
          <w:rFonts w:ascii="Times New Roman" w:hAnsi="Times New Roman" w:cs="Times New Roman"/>
        </w:rPr>
        <w:t>enjene vlažnoj AMD,CRVO, BRVO i DME</w:t>
      </w:r>
      <w:r>
        <w:rPr>
          <w:rFonts w:ascii="Times New Roman" w:hAnsi="Times New Roman" w:cs="Times New Roman"/>
        </w:rPr>
        <w:t>, i</w:t>
      </w:r>
      <w:r w:rsidRPr="00C15CAE">
        <w:rPr>
          <w:rFonts w:ascii="Times New Roman" w:hAnsi="Times New Roman" w:cs="Times New Roman"/>
        </w:rPr>
        <w:t xml:space="preserve"> ovd</w:t>
      </w:r>
      <w:r>
        <w:rPr>
          <w:rFonts w:ascii="Times New Roman" w:hAnsi="Times New Roman" w:cs="Times New Roman"/>
        </w:rPr>
        <w:t>j</w:t>
      </w:r>
      <w:r w:rsidRPr="00C15CAE">
        <w:rPr>
          <w:rFonts w:ascii="Times New Roman" w:hAnsi="Times New Roman" w:cs="Times New Roman"/>
        </w:rPr>
        <w:t>e važi sl</w:t>
      </w:r>
      <w:r>
        <w:rPr>
          <w:rFonts w:ascii="Times New Roman" w:hAnsi="Times New Roman" w:cs="Times New Roman"/>
        </w:rPr>
        <w:t>j</w:t>
      </w:r>
      <w:r w:rsidRPr="00C15CAE">
        <w:rPr>
          <w:rFonts w:ascii="Times New Roman" w:hAnsi="Times New Roman" w:cs="Times New Roman"/>
        </w:rPr>
        <w:t>edeće:</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Bezb</w:t>
      </w:r>
      <w:r>
        <w:rPr>
          <w:rFonts w:ascii="Times New Roman" w:hAnsi="Times New Roman" w:cs="Times New Roman"/>
        </w:rPr>
        <w:t>j</w:t>
      </w:r>
      <w:r w:rsidRPr="00C15CAE">
        <w:rPr>
          <w:rFonts w:ascii="Times New Roman" w:hAnsi="Times New Roman" w:cs="Times New Roman"/>
        </w:rPr>
        <w:t>ednost i efikasnost terapije l</w:t>
      </w:r>
      <w:r>
        <w:rPr>
          <w:rFonts w:ascii="Times New Roman" w:hAnsi="Times New Roman" w:cs="Times New Roman"/>
        </w:rPr>
        <w:t>ij</w:t>
      </w:r>
      <w:r w:rsidRPr="00C15CAE">
        <w:rPr>
          <w:rFonts w:ascii="Times New Roman" w:hAnsi="Times New Roman" w:cs="Times New Roman"/>
        </w:rPr>
        <w:t>ekom Eylea pri istovremenoj prim</w:t>
      </w:r>
      <w:r>
        <w:rPr>
          <w:rFonts w:ascii="Times New Roman" w:hAnsi="Times New Roman" w:cs="Times New Roman"/>
        </w:rPr>
        <w:t>j</w:t>
      </w:r>
      <w:r w:rsidRPr="00C15CAE">
        <w:rPr>
          <w:rFonts w:ascii="Times New Roman" w:hAnsi="Times New Roman" w:cs="Times New Roman"/>
        </w:rPr>
        <w:t>eni u oba oka nije sistematski proučavana (vid</w:t>
      </w:r>
      <w:r>
        <w:rPr>
          <w:rFonts w:ascii="Times New Roman" w:hAnsi="Times New Roman" w:cs="Times New Roman"/>
        </w:rPr>
        <w:t>jeti odjeljak</w:t>
      </w:r>
      <w:r w:rsidRPr="00C15CAE">
        <w:rPr>
          <w:rFonts w:ascii="Times New Roman" w:hAnsi="Times New Roman" w:cs="Times New Roman"/>
        </w:rPr>
        <w:t xml:space="preserve"> 5.1). Ukoliko se terapija prim</w:t>
      </w:r>
      <w:r>
        <w:rPr>
          <w:rFonts w:ascii="Times New Roman" w:hAnsi="Times New Roman" w:cs="Times New Roman"/>
        </w:rPr>
        <w:t>j</w:t>
      </w:r>
      <w:r w:rsidRPr="00C15CAE">
        <w:rPr>
          <w:rFonts w:ascii="Times New Roman" w:hAnsi="Times New Roman" w:cs="Times New Roman"/>
        </w:rPr>
        <w:t>enjuje istovremeno u oba oka, mo</w:t>
      </w:r>
      <w:r w:rsidRPr="00C15CAE">
        <w:rPr>
          <w:rFonts w:ascii="Times New Roman" w:hAnsi="Times New Roman" w:cs="Times New Roman"/>
          <w:lang w:val="sr-Latn-RS"/>
        </w:rPr>
        <w:t>že dovesti do veće sistemske izloženosti, koja može da poveća rizik od pojave sistemskih neželj</w:t>
      </w:r>
      <w:r>
        <w:rPr>
          <w:rFonts w:ascii="Times New Roman" w:hAnsi="Times New Roman" w:cs="Times New Roman"/>
          <w:lang w:val="sr-Latn-RS"/>
        </w:rPr>
        <w:t>e</w:t>
      </w:r>
      <w:r w:rsidRPr="00C15CAE">
        <w:rPr>
          <w:rFonts w:ascii="Times New Roman" w:hAnsi="Times New Roman" w:cs="Times New Roman"/>
          <w:lang w:val="sr-Latn-RS"/>
        </w:rPr>
        <w:t>nih efekata.</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Pr>
          <w:rFonts w:ascii="Times New Roman" w:hAnsi="Times New Roman" w:cs="Times New Roman"/>
          <w:lang w:val="sr-Latn-RS"/>
        </w:rPr>
        <w:t>Istovremena u</w:t>
      </w:r>
      <w:r w:rsidRPr="00C15CAE">
        <w:rPr>
          <w:rFonts w:ascii="Times New Roman" w:hAnsi="Times New Roman" w:cs="Times New Roman"/>
          <w:lang w:val="sr-Latn-RS"/>
        </w:rPr>
        <w:t>p</w:t>
      </w:r>
      <w:r>
        <w:rPr>
          <w:rFonts w:ascii="Times New Roman" w:hAnsi="Times New Roman" w:cs="Times New Roman"/>
          <w:lang w:val="sr-Latn-RS"/>
        </w:rPr>
        <w:t>o</w:t>
      </w:r>
      <w:r w:rsidRPr="00C15CAE">
        <w:rPr>
          <w:rFonts w:ascii="Times New Roman" w:hAnsi="Times New Roman" w:cs="Times New Roman"/>
          <w:lang w:val="sr-Latn-RS"/>
        </w:rPr>
        <w:t>treba druge anti-VEGF terapije (vaskularni endotelni faktor rasta)</w:t>
      </w:r>
    </w:p>
    <w:p w:rsidR="006B686C" w:rsidRPr="00C15CAE" w:rsidRDefault="006B686C" w:rsidP="00C7646D">
      <w:pPr>
        <w:pStyle w:val="ListParagraph"/>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Nema raspoloživih podataka o istovremenoj upotrebi l</w:t>
      </w:r>
      <w:r>
        <w:rPr>
          <w:rFonts w:ascii="Times New Roman" w:hAnsi="Times New Roman" w:cs="Times New Roman"/>
        </w:rPr>
        <w:t>ij</w:t>
      </w:r>
      <w:r w:rsidRPr="00C15CAE">
        <w:rPr>
          <w:rFonts w:ascii="Times New Roman" w:hAnsi="Times New Roman" w:cs="Times New Roman"/>
        </w:rPr>
        <w:t>eka Eylea sa drugim anti-VEGF l</w:t>
      </w:r>
      <w:r>
        <w:rPr>
          <w:rFonts w:ascii="Times New Roman" w:hAnsi="Times New Roman" w:cs="Times New Roman"/>
        </w:rPr>
        <w:t>j</w:t>
      </w:r>
      <w:r w:rsidRPr="00C15CAE">
        <w:rPr>
          <w:rFonts w:ascii="Times New Roman" w:hAnsi="Times New Roman" w:cs="Times New Roman"/>
        </w:rPr>
        <w:t>ekovima (sistemskim ili okularnim)</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Faktori rizika povezani sa razvojem rasc</w:t>
      </w:r>
      <w:r>
        <w:rPr>
          <w:rFonts w:ascii="Times New Roman" w:hAnsi="Times New Roman" w:cs="Times New Roman"/>
        </w:rPr>
        <w:t>j</w:t>
      </w:r>
      <w:r w:rsidRPr="00C15CAE">
        <w:rPr>
          <w:rFonts w:ascii="Times New Roman" w:hAnsi="Times New Roman" w:cs="Times New Roman"/>
        </w:rPr>
        <w:t>epa pigmentnog epitela retine posl</w:t>
      </w:r>
      <w:r>
        <w:rPr>
          <w:rFonts w:ascii="Times New Roman" w:hAnsi="Times New Roman" w:cs="Times New Roman"/>
        </w:rPr>
        <w:t>ij</w:t>
      </w:r>
      <w:r w:rsidRPr="00C15CAE">
        <w:rPr>
          <w:rFonts w:ascii="Times New Roman" w:hAnsi="Times New Roman" w:cs="Times New Roman"/>
        </w:rPr>
        <w:t>e anti-VEGF terapije vlažne AMD, uključuju veliku i/ili visoku ablaciju retine. Kada se započinje terapija l</w:t>
      </w:r>
      <w:r>
        <w:rPr>
          <w:rFonts w:ascii="Times New Roman" w:hAnsi="Times New Roman" w:cs="Times New Roman"/>
        </w:rPr>
        <w:t>ij</w:t>
      </w:r>
      <w:r w:rsidRPr="00C15CAE">
        <w:rPr>
          <w:rFonts w:ascii="Times New Roman" w:hAnsi="Times New Roman" w:cs="Times New Roman"/>
        </w:rPr>
        <w:t>ekom Eylea, treba preduzeti m</w:t>
      </w:r>
      <w:r>
        <w:rPr>
          <w:rFonts w:ascii="Times New Roman" w:hAnsi="Times New Roman" w:cs="Times New Roman"/>
        </w:rPr>
        <w:t>j</w:t>
      </w:r>
      <w:r w:rsidRPr="00C15CAE">
        <w:rPr>
          <w:rFonts w:ascii="Times New Roman" w:hAnsi="Times New Roman" w:cs="Times New Roman"/>
        </w:rPr>
        <w:t>ere opreza kod pacijenata sa faktorima rizika za razvoj rasc</w:t>
      </w:r>
      <w:r>
        <w:rPr>
          <w:rFonts w:ascii="Times New Roman" w:hAnsi="Times New Roman" w:cs="Times New Roman"/>
        </w:rPr>
        <w:t>j</w:t>
      </w:r>
      <w:r w:rsidRPr="00C15CAE">
        <w:rPr>
          <w:rFonts w:ascii="Times New Roman" w:hAnsi="Times New Roman" w:cs="Times New Roman"/>
        </w:rPr>
        <w:t>epa pigmentnog epitela retine.</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Terapiju treba odložiti pacijentima sa regmatogenom ablacijom retine ili stepenom 3 odnosno 4 rupe u makuli.</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U slučaju retinalnog rasc</w:t>
      </w:r>
      <w:r>
        <w:rPr>
          <w:rFonts w:ascii="Times New Roman" w:hAnsi="Times New Roman" w:cs="Times New Roman"/>
        </w:rPr>
        <w:t>j</w:t>
      </w:r>
      <w:r w:rsidRPr="00C15CAE">
        <w:rPr>
          <w:rFonts w:ascii="Times New Roman" w:hAnsi="Times New Roman" w:cs="Times New Roman"/>
        </w:rPr>
        <w:t>epa dozu treba odložiti, a terapiju ne treba nastavljati dok se rasc</w:t>
      </w:r>
      <w:r>
        <w:rPr>
          <w:rFonts w:ascii="Times New Roman" w:hAnsi="Times New Roman" w:cs="Times New Roman"/>
        </w:rPr>
        <w:t>j</w:t>
      </w:r>
      <w:r w:rsidRPr="00C15CAE">
        <w:rPr>
          <w:rFonts w:ascii="Times New Roman" w:hAnsi="Times New Roman" w:cs="Times New Roman"/>
        </w:rPr>
        <w:t>ep adekvatno ne sanira.</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Dozu treba odložiti, a terapiju ne treba nastavljati pr</w:t>
      </w:r>
      <w:r>
        <w:rPr>
          <w:rFonts w:ascii="Times New Roman" w:hAnsi="Times New Roman" w:cs="Times New Roman"/>
        </w:rPr>
        <w:t>ij</w:t>
      </w:r>
      <w:r w:rsidRPr="00C15CAE">
        <w:rPr>
          <w:rFonts w:ascii="Times New Roman" w:hAnsi="Times New Roman" w:cs="Times New Roman"/>
        </w:rPr>
        <w:t>e sl</w:t>
      </w:r>
      <w:r>
        <w:rPr>
          <w:rFonts w:ascii="Times New Roman" w:hAnsi="Times New Roman" w:cs="Times New Roman"/>
        </w:rPr>
        <w:t>j</w:t>
      </w:r>
      <w:r w:rsidRPr="00C15CAE">
        <w:rPr>
          <w:rFonts w:ascii="Times New Roman" w:hAnsi="Times New Roman" w:cs="Times New Roman"/>
        </w:rPr>
        <w:t>edećeg zakazanog termina terapije u slučaju:</w:t>
      </w:r>
    </w:p>
    <w:p w:rsidR="006B686C" w:rsidRPr="00C15CAE" w:rsidRDefault="006B686C" w:rsidP="00C7646D">
      <w:pPr>
        <w:pStyle w:val="ListParagraph"/>
        <w:numPr>
          <w:ilvl w:val="0"/>
          <w:numId w:val="1"/>
        </w:numPr>
        <w:tabs>
          <w:tab w:val="left" w:pos="284"/>
          <w:tab w:val="left" w:pos="1276"/>
          <w:tab w:val="right" w:pos="9072"/>
        </w:tabs>
        <w:spacing w:after="0" w:line="240" w:lineRule="auto"/>
        <w:ind w:left="1210"/>
        <w:jc w:val="both"/>
        <w:rPr>
          <w:rFonts w:ascii="Times New Roman" w:hAnsi="Times New Roman" w:cs="Times New Roman"/>
        </w:rPr>
      </w:pPr>
      <w:r w:rsidRPr="00C15CAE">
        <w:rPr>
          <w:rFonts w:ascii="Times New Roman" w:hAnsi="Times New Roman" w:cs="Times New Roman"/>
        </w:rPr>
        <w:t>smanjene najbolje korigovane oštrine vida (BCVA) od ≥ 30 slova, u poređenju sa posl</w:t>
      </w:r>
      <w:r>
        <w:rPr>
          <w:rFonts w:ascii="Times New Roman" w:hAnsi="Times New Roman" w:cs="Times New Roman"/>
        </w:rPr>
        <w:t>j</w:t>
      </w:r>
      <w:r w:rsidRPr="00C15CAE">
        <w:rPr>
          <w:rFonts w:ascii="Times New Roman" w:hAnsi="Times New Roman" w:cs="Times New Roman"/>
        </w:rPr>
        <w:t>ednjom proc</w:t>
      </w:r>
      <w:r>
        <w:rPr>
          <w:rFonts w:ascii="Times New Roman" w:hAnsi="Times New Roman" w:cs="Times New Roman"/>
        </w:rPr>
        <w:t>j</w:t>
      </w:r>
      <w:r w:rsidRPr="00C15CAE">
        <w:rPr>
          <w:rFonts w:ascii="Times New Roman" w:hAnsi="Times New Roman" w:cs="Times New Roman"/>
        </w:rPr>
        <w:t>enom oštrine vida;</w:t>
      </w:r>
    </w:p>
    <w:p w:rsidR="006B686C" w:rsidRPr="00C15CAE" w:rsidRDefault="006B686C" w:rsidP="00C7646D">
      <w:pPr>
        <w:pStyle w:val="ListParagraph"/>
        <w:numPr>
          <w:ilvl w:val="0"/>
          <w:numId w:val="1"/>
        </w:numPr>
        <w:tabs>
          <w:tab w:val="left" w:pos="284"/>
          <w:tab w:val="left" w:pos="1276"/>
          <w:tab w:val="right" w:pos="9072"/>
        </w:tabs>
        <w:spacing w:after="0" w:line="240" w:lineRule="auto"/>
        <w:ind w:left="1210"/>
        <w:jc w:val="both"/>
        <w:rPr>
          <w:rFonts w:ascii="Times New Roman" w:hAnsi="Times New Roman" w:cs="Times New Roman"/>
        </w:rPr>
      </w:pPr>
      <w:r w:rsidRPr="00C15CAE">
        <w:rPr>
          <w:rFonts w:ascii="Times New Roman" w:hAnsi="Times New Roman" w:cs="Times New Roman"/>
        </w:rPr>
        <w:t>subretinalne hemoragije koja zahvata centar fovee, ili ako je veličina hemoragije ≥ 50% ukupne površine lezije.</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Dozu ne treba prim</w:t>
      </w:r>
      <w:r>
        <w:rPr>
          <w:rFonts w:ascii="Times New Roman" w:hAnsi="Times New Roman" w:cs="Times New Roman"/>
        </w:rPr>
        <w:t>j</w:t>
      </w:r>
      <w:r w:rsidRPr="00C15CAE">
        <w:rPr>
          <w:rFonts w:ascii="Times New Roman" w:hAnsi="Times New Roman" w:cs="Times New Roman"/>
        </w:rPr>
        <w:t>enjivati u periodu od 28 dana pr</w:t>
      </w:r>
      <w:r>
        <w:rPr>
          <w:rFonts w:ascii="Times New Roman" w:hAnsi="Times New Roman" w:cs="Times New Roman"/>
        </w:rPr>
        <w:t>ij</w:t>
      </w:r>
      <w:r w:rsidRPr="00C15CAE">
        <w:rPr>
          <w:rFonts w:ascii="Times New Roman" w:hAnsi="Times New Roman" w:cs="Times New Roman"/>
        </w:rPr>
        <w:t>e planirane ili nakon izvršene intraokularne hirurške intervencije.</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L</w:t>
      </w:r>
      <w:r>
        <w:rPr>
          <w:rFonts w:ascii="Times New Roman" w:hAnsi="Times New Roman" w:cs="Times New Roman"/>
        </w:rPr>
        <w:t>ij</w:t>
      </w:r>
      <w:r w:rsidRPr="00C15CAE">
        <w:rPr>
          <w:rFonts w:ascii="Times New Roman" w:hAnsi="Times New Roman" w:cs="Times New Roman"/>
        </w:rPr>
        <w:t>ek Eylea ne treba prim</w:t>
      </w:r>
      <w:r>
        <w:rPr>
          <w:rFonts w:ascii="Times New Roman" w:hAnsi="Times New Roman" w:cs="Times New Roman"/>
        </w:rPr>
        <w:t>j</w:t>
      </w:r>
      <w:r w:rsidRPr="00C15CAE">
        <w:rPr>
          <w:rFonts w:ascii="Times New Roman" w:hAnsi="Times New Roman" w:cs="Times New Roman"/>
        </w:rPr>
        <w:t>enjivati tokom trudnoće</w:t>
      </w:r>
      <w:r>
        <w:rPr>
          <w:rFonts w:ascii="Times New Roman" w:hAnsi="Times New Roman" w:cs="Times New Roman"/>
        </w:rPr>
        <w:t>,</w:t>
      </w:r>
      <w:r w:rsidRPr="00C15CAE">
        <w:rPr>
          <w:rFonts w:ascii="Times New Roman" w:hAnsi="Times New Roman" w:cs="Times New Roman"/>
        </w:rPr>
        <w:t xml:space="preserve"> sem ako potencijalna korist od terapije nadmašuje potencijalni rizik za fetus (</w:t>
      </w:r>
      <w:r>
        <w:rPr>
          <w:rFonts w:ascii="Times New Roman" w:hAnsi="Times New Roman" w:cs="Times New Roman"/>
        </w:rPr>
        <w:t xml:space="preserve">vidjeti odjeljak </w:t>
      </w:r>
      <w:r w:rsidRPr="00C15CAE">
        <w:rPr>
          <w:rFonts w:ascii="Times New Roman" w:hAnsi="Times New Roman" w:cs="Times New Roman"/>
        </w:rPr>
        <w:t xml:space="preserve">4.6). </w:t>
      </w:r>
    </w:p>
    <w:p w:rsidR="00C7646D" w:rsidRDefault="00C7646D" w:rsidP="00C7646D">
      <w:pPr>
        <w:pStyle w:val="ListParagraph"/>
        <w:tabs>
          <w:tab w:val="left" w:pos="284"/>
          <w:tab w:val="center" w:pos="720"/>
          <w:tab w:val="right" w:pos="9072"/>
        </w:tabs>
        <w:spacing w:after="0" w:line="240" w:lineRule="auto"/>
        <w:jc w:val="both"/>
        <w:rPr>
          <w:rFonts w:ascii="Times New Roman" w:hAnsi="Times New Roman" w:cs="Times New Roman"/>
        </w:rPr>
      </w:pPr>
    </w:p>
    <w:p w:rsidR="00C7646D" w:rsidRDefault="00C7646D" w:rsidP="00C7646D">
      <w:pPr>
        <w:pStyle w:val="ListParagraph"/>
        <w:tabs>
          <w:tab w:val="left" w:pos="284"/>
          <w:tab w:val="center" w:pos="720"/>
          <w:tab w:val="right" w:pos="9072"/>
        </w:tabs>
        <w:spacing w:after="0" w:line="240" w:lineRule="auto"/>
        <w:jc w:val="both"/>
        <w:rPr>
          <w:rFonts w:ascii="Times New Roman" w:hAnsi="Times New Roman" w:cs="Times New Roman"/>
        </w:rPr>
      </w:pPr>
    </w:p>
    <w:p w:rsidR="00C7646D" w:rsidRDefault="00C7646D" w:rsidP="00C7646D">
      <w:pPr>
        <w:pStyle w:val="ListParagraph"/>
        <w:tabs>
          <w:tab w:val="left" w:pos="284"/>
          <w:tab w:val="center" w:pos="720"/>
          <w:tab w:val="right" w:pos="9072"/>
        </w:tabs>
        <w:spacing w:after="0" w:line="240" w:lineRule="auto"/>
        <w:jc w:val="both"/>
        <w:rPr>
          <w:rFonts w:ascii="Times New Roman" w:hAnsi="Times New Roman" w:cs="Times New Roman"/>
        </w:rPr>
      </w:pP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lastRenderedPageBreak/>
        <w:t>Žene u reproduktivnom periodu moraju koristiti efikasnu metodu kontracepcije tokom terapije i još najmanje 3 m</w:t>
      </w:r>
      <w:r>
        <w:rPr>
          <w:rFonts w:ascii="Times New Roman" w:hAnsi="Times New Roman" w:cs="Times New Roman"/>
        </w:rPr>
        <w:t>j</w:t>
      </w:r>
      <w:r w:rsidRPr="00C15CAE">
        <w:rPr>
          <w:rFonts w:ascii="Times New Roman" w:hAnsi="Times New Roman" w:cs="Times New Roman"/>
        </w:rPr>
        <w:t>eseca nakon posl</w:t>
      </w:r>
      <w:r>
        <w:rPr>
          <w:rFonts w:ascii="Times New Roman" w:hAnsi="Times New Roman" w:cs="Times New Roman"/>
        </w:rPr>
        <w:t>j</w:t>
      </w:r>
      <w:r w:rsidRPr="00C15CAE">
        <w:rPr>
          <w:rFonts w:ascii="Times New Roman" w:hAnsi="Times New Roman" w:cs="Times New Roman"/>
        </w:rPr>
        <w:t>ednje intravitrealne injekcije aflibercepta (</w:t>
      </w:r>
      <w:r>
        <w:rPr>
          <w:rFonts w:ascii="Times New Roman" w:hAnsi="Times New Roman" w:cs="Times New Roman"/>
        </w:rPr>
        <w:t xml:space="preserve">vidjeti odjeljak </w:t>
      </w:r>
      <w:r w:rsidRPr="00C15CAE">
        <w:rPr>
          <w:rFonts w:ascii="Times New Roman" w:hAnsi="Times New Roman" w:cs="Times New Roman"/>
        </w:rPr>
        <w:t>4.6).</w:t>
      </w:r>
    </w:p>
    <w:p w:rsidR="006B686C" w:rsidRPr="00C15CAE" w:rsidRDefault="006B686C" w:rsidP="00C7646D">
      <w:pPr>
        <w:pStyle w:val="ListParagraph"/>
        <w:numPr>
          <w:ilvl w:val="0"/>
          <w:numId w:val="1"/>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Iskustva u terapij</w:t>
      </w:r>
      <w:r>
        <w:rPr>
          <w:rFonts w:ascii="Times New Roman" w:hAnsi="Times New Roman" w:cs="Times New Roman"/>
        </w:rPr>
        <w:t>i</w:t>
      </w:r>
      <w:r w:rsidRPr="00C15CAE">
        <w:rPr>
          <w:rFonts w:ascii="Times New Roman" w:hAnsi="Times New Roman" w:cs="Times New Roman"/>
        </w:rPr>
        <w:t xml:space="preserve"> pacijenata sa ishemijskim, hroničnim CRVO i BRVO su ograničena. Kod pacijenata koji pokazuju kliničke znake ireverzibilnog ishemijskog gubitka funkcije vida</w:t>
      </w:r>
      <w:r>
        <w:rPr>
          <w:rFonts w:ascii="Times New Roman" w:hAnsi="Times New Roman" w:cs="Times New Roman"/>
        </w:rPr>
        <w:t>,</w:t>
      </w:r>
      <w:r w:rsidRPr="00C15CAE">
        <w:rPr>
          <w:rFonts w:ascii="Times New Roman" w:hAnsi="Times New Roman" w:cs="Times New Roman"/>
        </w:rPr>
        <w:t xml:space="preserve"> l</w:t>
      </w:r>
      <w:r>
        <w:rPr>
          <w:rFonts w:ascii="Times New Roman" w:hAnsi="Times New Roman" w:cs="Times New Roman"/>
        </w:rPr>
        <w:t>ij</w:t>
      </w:r>
      <w:r w:rsidRPr="00C15CAE">
        <w:rPr>
          <w:rFonts w:ascii="Times New Roman" w:hAnsi="Times New Roman" w:cs="Times New Roman"/>
        </w:rPr>
        <w:t>ečenje se ne preporučuje.</w:t>
      </w:r>
    </w:p>
    <w:p w:rsidR="006B686C" w:rsidRPr="00C15CAE" w:rsidRDefault="006B686C" w:rsidP="00C7646D">
      <w:pPr>
        <w:pStyle w:val="ListParagraph"/>
        <w:tabs>
          <w:tab w:val="left" w:pos="284"/>
          <w:tab w:val="center" w:pos="720"/>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contextualSpacing/>
        <w:jc w:val="both"/>
        <w:rPr>
          <w:rFonts w:ascii="Times New Roman" w:hAnsi="Times New Roman" w:cs="Times New Roman"/>
          <w:u w:val="single"/>
          <w:lang w:val="pl-PL" w:eastAsia="sr-Latn-RS"/>
        </w:rPr>
      </w:pPr>
      <w:r w:rsidRPr="00C15CAE">
        <w:rPr>
          <w:rFonts w:ascii="Times New Roman" w:hAnsi="Times New Roman" w:cs="Times New Roman"/>
          <w:u w:val="single"/>
          <w:lang w:val="pl-PL" w:eastAsia="sr-Latn-RS"/>
        </w:rPr>
        <w:t>Populacije sa ograničenim podacima</w:t>
      </w:r>
    </w:p>
    <w:p w:rsidR="006B686C" w:rsidRDefault="006B686C" w:rsidP="00C7646D">
      <w:pPr>
        <w:tabs>
          <w:tab w:val="left" w:pos="284"/>
          <w:tab w:val="center" w:pos="4536"/>
          <w:tab w:val="right" w:pos="9072"/>
        </w:tabs>
        <w:spacing w:after="0" w:line="240" w:lineRule="auto"/>
        <w:contextualSpacing/>
        <w:jc w:val="both"/>
        <w:rPr>
          <w:rFonts w:ascii="Times New Roman" w:hAnsi="Times New Roman" w:cs="Times New Roman"/>
          <w:lang w:val="pl-PL" w:eastAsia="sr-Latn-RS"/>
        </w:rPr>
      </w:pPr>
      <w:r w:rsidRPr="00C15CAE">
        <w:rPr>
          <w:rFonts w:ascii="Times New Roman" w:hAnsi="Times New Roman" w:cs="Times New Roman"/>
          <w:lang w:val="pl-PL" w:eastAsia="sr-Latn-RS"/>
        </w:rPr>
        <w:t>Postoje samo ograničeni podaci o terapiji DME kod osoba sa dijabetesom tipa I ili kod pacijenata sa    dijabetesom i HbA1c preko 12% ili sa proliferativnom dijabetičkom retinopatijom.</w:t>
      </w:r>
    </w:p>
    <w:p w:rsidR="006B686C" w:rsidRPr="00C15CAE" w:rsidRDefault="006B686C" w:rsidP="00C7646D">
      <w:pPr>
        <w:tabs>
          <w:tab w:val="left" w:pos="284"/>
          <w:tab w:val="center" w:pos="4536"/>
          <w:tab w:val="right" w:pos="9072"/>
        </w:tabs>
        <w:spacing w:after="0" w:line="240" w:lineRule="auto"/>
        <w:contextualSpacing/>
        <w:jc w:val="both"/>
        <w:rPr>
          <w:rFonts w:ascii="Times New Roman" w:hAnsi="Times New Roman" w:cs="Times New Roman"/>
          <w:lang w:val="pl-PL" w:eastAsia="sr-Latn-RS"/>
        </w:rPr>
      </w:pPr>
      <w:r w:rsidRPr="00C15CAE">
        <w:rPr>
          <w:rFonts w:ascii="Times New Roman" w:hAnsi="Times New Roman" w:cs="Times New Roman"/>
          <w:lang w:val="pl-PL" w:eastAsia="sr-Latn-RS"/>
        </w:rPr>
        <w:t>Ne postoje studije o prim</w:t>
      </w:r>
      <w:r>
        <w:rPr>
          <w:rFonts w:ascii="Times New Roman" w:hAnsi="Times New Roman" w:cs="Times New Roman"/>
          <w:lang w:val="pl-PL" w:eastAsia="sr-Latn-RS"/>
        </w:rPr>
        <w:t>j</w:t>
      </w:r>
      <w:r w:rsidRPr="00C15CAE">
        <w:rPr>
          <w:rFonts w:ascii="Times New Roman" w:hAnsi="Times New Roman" w:cs="Times New Roman"/>
          <w:lang w:val="pl-PL" w:eastAsia="sr-Latn-RS"/>
        </w:rPr>
        <w:t>eni l</w:t>
      </w:r>
      <w:r>
        <w:rPr>
          <w:rFonts w:ascii="Times New Roman" w:hAnsi="Times New Roman" w:cs="Times New Roman"/>
          <w:lang w:val="pl-PL" w:eastAsia="sr-Latn-RS"/>
        </w:rPr>
        <w:t>ij</w:t>
      </w:r>
      <w:r w:rsidRPr="00C15CAE">
        <w:rPr>
          <w:rFonts w:ascii="Times New Roman" w:hAnsi="Times New Roman" w:cs="Times New Roman"/>
          <w:lang w:val="pl-PL" w:eastAsia="sr-Latn-RS"/>
        </w:rPr>
        <w:t>eka Eylea kod pacijenata sa akutnim sistemskim infekcijama ili kod pacijenta sa već postojećim drugim oboljenjima oka, kao što je ablacija retine ili ruptura makule. Takođe, ne postoje podaci o prim</w:t>
      </w:r>
      <w:r>
        <w:rPr>
          <w:rFonts w:ascii="Times New Roman" w:hAnsi="Times New Roman" w:cs="Times New Roman"/>
          <w:lang w:val="pl-PL" w:eastAsia="sr-Latn-RS"/>
        </w:rPr>
        <w:t>j</w:t>
      </w:r>
      <w:r w:rsidRPr="00C15CAE">
        <w:rPr>
          <w:rFonts w:ascii="Times New Roman" w:hAnsi="Times New Roman" w:cs="Times New Roman"/>
          <w:lang w:val="pl-PL" w:eastAsia="sr-Latn-RS"/>
        </w:rPr>
        <w:t>eni l</w:t>
      </w:r>
      <w:r>
        <w:rPr>
          <w:rFonts w:ascii="Times New Roman" w:hAnsi="Times New Roman" w:cs="Times New Roman"/>
          <w:lang w:val="pl-PL" w:eastAsia="sr-Latn-RS"/>
        </w:rPr>
        <w:t>ij</w:t>
      </w:r>
      <w:r w:rsidRPr="00C15CAE">
        <w:rPr>
          <w:rFonts w:ascii="Times New Roman" w:hAnsi="Times New Roman" w:cs="Times New Roman"/>
          <w:lang w:val="pl-PL" w:eastAsia="sr-Latn-RS"/>
        </w:rPr>
        <w:t>eka Eylea kod pacijenata sa dijabetesom koji imaju nekontrolisanu hipertenziju. L</w:t>
      </w:r>
      <w:r>
        <w:rPr>
          <w:rFonts w:ascii="Times New Roman" w:hAnsi="Times New Roman" w:cs="Times New Roman"/>
          <w:lang w:val="pl-PL" w:eastAsia="sr-Latn-RS"/>
        </w:rPr>
        <w:t>j</w:t>
      </w:r>
      <w:r w:rsidRPr="00C15CAE">
        <w:rPr>
          <w:rFonts w:ascii="Times New Roman" w:hAnsi="Times New Roman" w:cs="Times New Roman"/>
          <w:lang w:val="pl-PL" w:eastAsia="sr-Latn-RS"/>
        </w:rPr>
        <w:t>ekar treba da uzme u obzir nedostatak podataka pri l</w:t>
      </w:r>
      <w:r>
        <w:rPr>
          <w:rFonts w:ascii="Times New Roman" w:hAnsi="Times New Roman" w:cs="Times New Roman"/>
          <w:lang w:val="pl-PL" w:eastAsia="sr-Latn-RS"/>
        </w:rPr>
        <w:t>ij</w:t>
      </w:r>
      <w:r w:rsidRPr="00C15CAE">
        <w:rPr>
          <w:rFonts w:ascii="Times New Roman" w:hAnsi="Times New Roman" w:cs="Times New Roman"/>
          <w:lang w:val="pl-PL" w:eastAsia="sr-Latn-RS"/>
        </w:rPr>
        <w:t>ečenju ovih pacijenata.</w:t>
      </w:r>
    </w:p>
    <w:p w:rsidR="006B686C" w:rsidRDefault="006B686C" w:rsidP="00C7646D">
      <w:pPr>
        <w:tabs>
          <w:tab w:val="left" w:pos="284"/>
          <w:tab w:val="center" w:pos="4536"/>
          <w:tab w:val="right" w:pos="9072"/>
        </w:tabs>
        <w:spacing w:after="0" w:line="240" w:lineRule="auto"/>
        <w:jc w:val="both"/>
        <w:rPr>
          <w:rFonts w:ascii="Times New Roman" w:hAnsi="Times New Roman" w:cs="Times New Roman"/>
          <w:b/>
          <w:bCs/>
          <w:lang w:val="ru-RU"/>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b/>
          <w:bCs/>
        </w:rPr>
      </w:pPr>
      <w:r w:rsidRPr="00C15CAE">
        <w:rPr>
          <w:rFonts w:ascii="Times New Roman" w:hAnsi="Times New Roman" w:cs="Times New Roman"/>
          <w:b/>
          <w:bCs/>
          <w:lang w:val="ru-RU"/>
        </w:rPr>
        <w:t>4.5. Interakcije sa drugim l</w:t>
      </w:r>
      <w:r w:rsidRPr="003A3B49">
        <w:rPr>
          <w:rFonts w:ascii="Times New Roman" w:hAnsi="Times New Roman" w:cs="Times New Roman"/>
          <w:b/>
          <w:bCs/>
          <w:lang w:val="pl-PL"/>
        </w:rPr>
        <w:t>j</w:t>
      </w:r>
      <w:r w:rsidRPr="00C15CAE">
        <w:rPr>
          <w:rFonts w:ascii="Times New Roman" w:hAnsi="Times New Roman" w:cs="Times New Roman"/>
          <w:b/>
          <w:bCs/>
          <w:lang w:val="ru-RU"/>
        </w:rPr>
        <w:t>ekovima i druge vrste interakcija</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b/>
          <w:bCs/>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Nisu sprovedena ispitivanja interakcija sa drugim l</w:t>
      </w:r>
      <w:r>
        <w:rPr>
          <w:rFonts w:ascii="Times New Roman" w:hAnsi="Times New Roman" w:cs="Times New Roman"/>
        </w:rPr>
        <w:t>j</w:t>
      </w:r>
      <w:r w:rsidRPr="00C15CAE">
        <w:rPr>
          <w:rFonts w:ascii="Times New Roman" w:hAnsi="Times New Roman" w:cs="Times New Roman"/>
        </w:rPr>
        <w:t>ekovima.</w:t>
      </w:r>
    </w:p>
    <w:p w:rsidR="006B686C"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Dopunska prim</w:t>
      </w:r>
      <w:r>
        <w:rPr>
          <w:rFonts w:ascii="Times New Roman" w:hAnsi="Times New Roman" w:cs="Times New Roman"/>
        </w:rPr>
        <w:t>j</w:t>
      </w:r>
      <w:r w:rsidRPr="00C15CAE">
        <w:rPr>
          <w:rFonts w:ascii="Times New Roman" w:hAnsi="Times New Roman" w:cs="Times New Roman"/>
        </w:rPr>
        <w:t>ena fotodinamske terapije (PDT) verteporfinom i l</w:t>
      </w:r>
      <w:r>
        <w:rPr>
          <w:rFonts w:ascii="Times New Roman" w:hAnsi="Times New Roman" w:cs="Times New Roman"/>
        </w:rPr>
        <w:t>ij</w:t>
      </w:r>
      <w:r w:rsidRPr="00C15CAE">
        <w:rPr>
          <w:rFonts w:ascii="Times New Roman" w:hAnsi="Times New Roman" w:cs="Times New Roman"/>
        </w:rPr>
        <w:t>ek Eylea nisu ispitivani, stoga bezb</w:t>
      </w:r>
      <w:r>
        <w:rPr>
          <w:rFonts w:ascii="Times New Roman" w:hAnsi="Times New Roman" w:cs="Times New Roman"/>
        </w:rPr>
        <w:t>j</w:t>
      </w:r>
      <w:r w:rsidRPr="00C15CAE">
        <w:rPr>
          <w:rFonts w:ascii="Times New Roman" w:hAnsi="Times New Roman" w:cs="Times New Roman"/>
        </w:rPr>
        <w:t>ednosni profil nije ustanovljen.</w:t>
      </w:r>
    </w:p>
    <w:p w:rsidR="006B686C"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Default="006B686C" w:rsidP="00C7646D">
      <w:pPr>
        <w:spacing w:after="0"/>
        <w:rPr>
          <w:rFonts w:ascii="Times New Roman" w:hAnsi="Times New Roman" w:cs="Times New Roman"/>
          <w:b/>
          <w:lang w:val="sr-Latn-CS"/>
        </w:rPr>
      </w:pPr>
      <w:r w:rsidRPr="006B686C">
        <w:rPr>
          <w:rFonts w:ascii="Times New Roman" w:hAnsi="Times New Roman" w:cs="Times New Roman"/>
          <w:b/>
          <w:lang w:val="sr-Latn-CS"/>
        </w:rPr>
        <w:t>4.6. Primjena u periodu trudnoće i dojenja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u w:val="single"/>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Žene u reproduktivnom periodu</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Žene u reproduktivnom periodu treba da koriste efikasnu metodu kontracepcije tokom terapije i još najmanje 3 m</w:t>
      </w:r>
      <w:r>
        <w:rPr>
          <w:rFonts w:ascii="Times New Roman" w:hAnsi="Times New Roman" w:cs="Times New Roman"/>
        </w:rPr>
        <w:t>j</w:t>
      </w:r>
      <w:r w:rsidRPr="00C15CAE">
        <w:rPr>
          <w:rFonts w:ascii="Times New Roman" w:hAnsi="Times New Roman" w:cs="Times New Roman"/>
        </w:rPr>
        <w:t>eseca nakon posl</w:t>
      </w:r>
      <w:r>
        <w:rPr>
          <w:rFonts w:ascii="Times New Roman" w:hAnsi="Times New Roman" w:cs="Times New Roman"/>
        </w:rPr>
        <w:t>j</w:t>
      </w:r>
      <w:r w:rsidRPr="00C15CAE">
        <w:rPr>
          <w:rFonts w:ascii="Times New Roman" w:hAnsi="Times New Roman" w:cs="Times New Roman"/>
        </w:rPr>
        <w:t>ednje intravitrealne injekcije aflibercepta (</w:t>
      </w:r>
      <w:r>
        <w:rPr>
          <w:rFonts w:ascii="Times New Roman" w:hAnsi="Times New Roman" w:cs="Times New Roman"/>
        </w:rPr>
        <w:t xml:space="preserve">vidjeti odjeljak </w:t>
      </w:r>
      <w:r w:rsidRPr="00C15CAE">
        <w:rPr>
          <w:rFonts w:ascii="Times New Roman" w:hAnsi="Times New Roman" w:cs="Times New Roman"/>
        </w:rPr>
        <w:t>4.4)</w:t>
      </w:r>
      <w:r>
        <w:rPr>
          <w:rFonts w:ascii="Times New Roman" w:hAnsi="Times New Roman" w:cs="Times New Roman"/>
        </w:rPr>
        <w:t>.</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Trudnoća</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Nema podataka o prim</w:t>
      </w:r>
      <w:r>
        <w:rPr>
          <w:rFonts w:ascii="Times New Roman" w:hAnsi="Times New Roman" w:cs="Times New Roman"/>
        </w:rPr>
        <w:t>j</w:t>
      </w:r>
      <w:r w:rsidRPr="00C15CAE">
        <w:rPr>
          <w:rFonts w:ascii="Times New Roman" w:hAnsi="Times New Roman" w:cs="Times New Roman"/>
        </w:rPr>
        <w:t>eni aflibercepta kod trudnica.</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Ispitivanja na životinjama su pokazala embrio-fetalnu toksičnost (</w:t>
      </w:r>
      <w:r>
        <w:rPr>
          <w:rFonts w:ascii="Times New Roman" w:hAnsi="Times New Roman" w:cs="Times New Roman"/>
        </w:rPr>
        <w:t xml:space="preserve">vidjeti odjeljak </w:t>
      </w:r>
      <w:r w:rsidRPr="00C15CAE">
        <w:rPr>
          <w:rFonts w:ascii="Times New Roman" w:hAnsi="Times New Roman" w:cs="Times New Roman"/>
        </w:rPr>
        <w:t>5.3).</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Iako je sistemska izloženost nakon okularne prim</w:t>
      </w:r>
      <w:r>
        <w:rPr>
          <w:rFonts w:ascii="Times New Roman" w:hAnsi="Times New Roman" w:cs="Times New Roman"/>
        </w:rPr>
        <w:t>j</w:t>
      </w:r>
      <w:r w:rsidRPr="00C15CAE">
        <w:rPr>
          <w:rFonts w:ascii="Times New Roman" w:hAnsi="Times New Roman" w:cs="Times New Roman"/>
        </w:rPr>
        <w:t>ene vrlo niska, l</w:t>
      </w:r>
      <w:r>
        <w:rPr>
          <w:rFonts w:ascii="Times New Roman" w:hAnsi="Times New Roman" w:cs="Times New Roman"/>
        </w:rPr>
        <w:t>ij</w:t>
      </w:r>
      <w:r w:rsidRPr="00C15CAE">
        <w:rPr>
          <w:rFonts w:ascii="Times New Roman" w:hAnsi="Times New Roman" w:cs="Times New Roman"/>
        </w:rPr>
        <w:t>ek Eylea ne treba prim</w:t>
      </w:r>
      <w:r>
        <w:rPr>
          <w:rFonts w:ascii="Times New Roman" w:hAnsi="Times New Roman" w:cs="Times New Roman"/>
        </w:rPr>
        <w:t>j</w:t>
      </w:r>
      <w:r w:rsidRPr="00C15CAE">
        <w:rPr>
          <w:rFonts w:ascii="Times New Roman" w:hAnsi="Times New Roman" w:cs="Times New Roman"/>
        </w:rPr>
        <w:t>enjivati tokom trudnoće, osim ako potencijalna korist od terapije prevazilazi potencijalni rizik za fetus.</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Dojenje</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Nije poznato da li se aflibercept izlučuje u humano ml</w:t>
      </w:r>
      <w:r>
        <w:rPr>
          <w:rFonts w:ascii="Times New Roman" w:hAnsi="Times New Roman" w:cs="Times New Roman"/>
        </w:rPr>
        <w:t>ij</w:t>
      </w:r>
      <w:r w:rsidRPr="00C15CAE">
        <w:rPr>
          <w:rFonts w:ascii="Times New Roman" w:hAnsi="Times New Roman" w:cs="Times New Roman"/>
        </w:rPr>
        <w:t>ek</w:t>
      </w:r>
      <w:r>
        <w:rPr>
          <w:rFonts w:ascii="Times New Roman" w:hAnsi="Times New Roman" w:cs="Times New Roman"/>
        </w:rPr>
        <w:t>o</w:t>
      </w:r>
      <w:r w:rsidRPr="00C15CAE">
        <w:rPr>
          <w:rFonts w:ascii="Times New Roman" w:hAnsi="Times New Roman" w:cs="Times New Roman"/>
        </w:rPr>
        <w:t>. Rizik za d</w:t>
      </w:r>
      <w:r>
        <w:rPr>
          <w:rFonts w:ascii="Times New Roman" w:hAnsi="Times New Roman" w:cs="Times New Roman"/>
        </w:rPr>
        <w:t>ij</w:t>
      </w:r>
      <w:r w:rsidRPr="00C15CAE">
        <w:rPr>
          <w:rFonts w:ascii="Times New Roman" w:hAnsi="Times New Roman" w:cs="Times New Roman"/>
        </w:rPr>
        <w:t>ete koje se doji ne može biti isključen.</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L</w:t>
      </w:r>
      <w:r>
        <w:rPr>
          <w:rFonts w:ascii="Times New Roman" w:hAnsi="Times New Roman" w:cs="Times New Roman"/>
        </w:rPr>
        <w:t>ij</w:t>
      </w:r>
      <w:r w:rsidRPr="00C15CAE">
        <w:rPr>
          <w:rFonts w:ascii="Times New Roman" w:hAnsi="Times New Roman" w:cs="Times New Roman"/>
        </w:rPr>
        <w:t>ek Eylea se ne preporučuje tokom dojenja. Treba don</w:t>
      </w:r>
      <w:r>
        <w:rPr>
          <w:rFonts w:ascii="Times New Roman" w:hAnsi="Times New Roman" w:cs="Times New Roman"/>
        </w:rPr>
        <w:t>ij</w:t>
      </w:r>
      <w:r w:rsidRPr="00C15CAE">
        <w:rPr>
          <w:rFonts w:ascii="Times New Roman" w:hAnsi="Times New Roman" w:cs="Times New Roman"/>
        </w:rPr>
        <w:t>eti odluku da li da se prekine dojenje ili se uzdržati od terapije l</w:t>
      </w:r>
      <w:r>
        <w:rPr>
          <w:rFonts w:ascii="Times New Roman" w:hAnsi="Times New Roman" w:cs="Times New Roman"/>
        </w:rPr>
        <w:t>ij</w:t>
      </w:r>
      <w:r w:rsidRPr="00C15CAE">
        <w:rPr>
          <w:rFonts w:ascii="Times New Roman" w:hAnsi="Times New Roman" w:cs="Times New Roman"/>
        </w:rPr>
        <w:t>ekom Eylea, uzimajući u obzir korist od dojenja za d</w:t>
      </w:r>
      <w:r>
        <w:rPr>
          <w:rFonts w:ascii="Times New Roman" w:hAnsi="Times New Roman" w:cs="Times New Roman"/>
        </w:rPr>
        <w:t>ij</w:t>
      </w:r>
      <w:r w:rsidRPr="00C15CAE">
        <w:rPr>
          <w:rFonts w:ascii="Times New Roman" w:hAnsi="Times New Roman" w:cs="Times New Roman"/>
        </w:rPr>
        <w:t>ete i korist od terapije za ženu.</w:t>
      </w: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rPr>
      </w:pPr>
    </w:p>
    <w:p w:rsidR="006B686C" w:rsidRPr="00C15CAE" w:rsidRDefault="006B686C"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Fertilnost</w:t>
      </w:r>
    </w:p>
    <w:p w:rsidR="006B686C" w:rsidRDefault="006B686C"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Rezultati ispitivanja sprovedenih na životinjama uz visoku sistemsku izloženost ukazuju da aflibercept može da ošteti mušku i žensku fertilnost (</w:t>
      </w:r>
      <w:r>
        <w:rPr>
          <w:rFonts w:ascii="Times New Roman" w:hAnsi="Times New Roman" w:cs="Times New Roman"/>
        </w:rPr>
        <w:t xml:space="preserve">vidjeti odjeljak </w:t>
      </w:r>
      <w:r w:rsidRPr="00C15CAE">
        <w:rPr>
          <w:rFonts w:ascii="Times New Roman" w:hAnsi="Times New Roman" w:cs="Times New Roman"/>
        </w:rPr>
        <w:t>5.3). Ovakva dejstva se ne očekuju nakon okularne prim</w:t>
      </w:r>
      <w:r>
        <w:rPr>
          <w:rFonts w:ascii="Times New Roman" w:hAnsi="Times New Roman" w:cs="Times New Roman"/>
        </w:rPr>
        <w:t>j</w:t>
      </w:r>
      <w:r w:rsidRPr="00C15CAE">
        <w:rPr>
          <w:rFonts w:ascii="Times New Roman" w:hAnsi="Times New Roman" w:cs="Times New Roman"/>
        </w:rPr>
        <w:t>ene uz vrlo nisku sistemsku izloženost.</w:t>
      </w:r>
    </w:p>
    <w:p w:rsidR="001A715B" w:rsidRDefault="001A715B" w:rsidP="00C7646D">
      <w:pPr>
        <w:spacing w:after="0"/>
        <w:rPr>
          <w:rFonts w:ascii="Times New Roman" w:hAnsi="Times New Roman" w:cs="Times New Roman"/>
          <w:b/>
          <w:lang w:val="sr-Latn-CS"/>
        </w:rPr>
      </w:pPr>
    </w:p>
    <w:p w:rsidR="006B686C" w:rsidRPr="006B686C" w:rsidRDefault="006B686C" w:rsidP="00C7646D">
      <w:pPr>
        <w:spacing w:after="0"/>
        <w:rPr>
          <w:rFonts w:ascii="Times New Roman" w:hAnsi="Times New Roman" w:cs="Times New Roman"/>
          <w:b/>
          <w:lang w:val="sr-Latn-CS"/>
        </w:rPr>
      </w:pPr>
      <w:r w:rsidRPr="006B686C">
        <w:rPr>
          <w:rFonts w:ascii="Times New Roman" w:hAnsi="Times New Roman" w:cs="Times New Roman"/>
          <w:b/>
          <w:lang w:val="sr-Latn-CS"/>
        </w:rPr>
        <w:lastRenderedPageBreak/>
        <w:t xml:space="preserve">4.7. </w:t>
      </w:r>
      <w:r w:rsidRPr="002D114C">
        <w:rPr>
          <w:rFonts w:ascii="Times New Roman" w:hAnsi="Times New Roman" w:cs="Times New Roman"/>
          <w:b/>
          <w:bCs/>
        </w:rPr>
        <w:t>Uticaj na psihofizičke sposobnosti prilikom upravljanja motornim vozilom i rukovanja mašinama</w:t>
      </w:r>
    </w:p>
    <w:p w:rsidR="00C7646D" w:rsidRDefault="00C7646D" w:rsidP="00C7646D">
      <w:pPr>
        <w:spacing w:after="0"/>
        <w:rPr>
          <w:rFonts w:ascii="Times New Roman" w:hAnsi="Times New Roman" w:cs="Times New Roman"/>
          <w:lang w:val="sr-Latn-CS"/>
        </w:rPr>
      </w:pPr>
    </w:p>
    <w:p w:rsidR="006B686C" w:rsidRDefault="006B686C" w:rsidP="00C7646D">
      <w:pPr>
        <w:spacing w:after="0"/>
        <w:jc w:val="both"/>
        <w:rPr>
          <w:rFonts w:ascii="Times New Roman" w:hAnsi="Times New Roman" w:cs="Times New Roman"/>
          <w:lang w:val="sr-Latn-CS"/>
        </w:rPr>
      </w:pPr>
      <w:r w:rsidRPr="006B686C">
        <w:rPr>
          <w:rFonts w:ascii="Times New Roman" w:hAnsi="Times New Roman" w:cs="Times New Roman"/>
          <w:lang w:val="sr-Latn-CS"/>
        </w:rPr>
        <w:t>Injekcija lijeka Eylea ima manji uticaj na sposobnost upravljanja motornjim vozilom ili rukovanje mašinama zbog mogućih privremenih poremećaja vida udruženih bilo sa davanjem injekcije ili sa pregledom oka. Pacijenti ne treba da voze ili da rukuju mašinama dok se funkcija njihovog vida ne oporavi dovoljno.</w:t>
      </w:r>
    </w:p>
    <w:p w:rsidR="00C7646D" w:rsidRDefault="00C7646D" w:rsidP="00C7646D">
      <w:pPr>
        <w:spacing w:after="0"/>
        <w:jc w:val="both"/>
        <w:rPr>
          <w:rFonts w:ascii="Times New Roman" w:hAnsi="Times New Roman" w:cs="Times New Roman"/>
          <w:b/>
          <w:bCs/>
        </w:rPr>
      </w:pPr>
    </w:p>
    <w:p w:rsidR="00A17A31" w:rsidRDefault="00A17A31" w:rsidP="00C7646D">
      <w:pPr>
        <w:spacing w:after="0"/>
        <w:jc w:val="both"/>
        <w:rPr>
          <w:rFonts w:ascii="Times New Roman" w:hAnsi="Times New Roman" w:cs="Times New Roman"/>
          <w:b/>
          <w:bCs/>
        </w:rPr>
      </w:pPr>
      <w:r w:rsidRPr="00C15CAE">
        <w:rPr>
          <w:rFonts w:ascii="Times New Roman" w:hAnsi="Times New Roman" w:cs="Times New Roman"/>
          <w:b/>
          <w:bCs/>
        </w:rPr>
        <w:t>4.8. Neželjena dejstva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u w:val="single"/>
        </w:rPr>
      </w:pPr>
    </w:p>
    <w:p w:rsidR="00283D07" w:rsidRPr="00C15CAE" w:rsidRDefault="00283D07" w:rsidP="00C7646D">
      <w:pPr>
        <w:tabs>
          <w:tab w:val="left" w:pos="284"/>
          <w:tab w:val="center" w:pos="4536"/>
          <w:tab w:val="right" w:pos="9072"/>
        </w:tabs>
        <w:spacing w:after="0" w:line="240" w:lineRule="auto"/>
        <w:jc w:val="both"/>
        <w:rPr>
          <w:rFonts w:ascii="Times New Roman" w:hAnsi="Times New Roman" w:cs="Times New Roman"/>
          <w:u w:val="single"/>
        </w:rPr>
      </w:pPr>
      <w:r w:rsidRPr="00C15CAE">
        <w:rPr>
          <w:rFonts w:ascii="Times New Roman" w:hAnsi="Times New Roman" w:cs="Times New Roman"/>
          <w:u w:val="single"/>
        </w:rPr>
        <w:t>Sažetak bezb</w:t>
      </w:r>
      <w:r>
        <w:rPr>
          <w:rFonts w:ascii="Times New Roman" w:hAnsi="Times New Roman" w:cs="Times New Roman"/>
          <w:u w:val="single"/>
        </w:rPr>
        <w:t>j</w:t>
      </w:r>
      <w:r w:rsidRPr="00C15CAE">
        <w:rPr>
          <w:rFonts w:ascii="Times New Roman" w:hAnsi="Times New Roman" w:cs="Times New Roman"/>
          <w:u w:val="single"/>
        </w:rPr>
        <w:t>ednosnog profila</w:t>
      </w:r>
    </w:p>
    <w:p w:rsidR="00EB2F24" w:rsidRDefault="00EB2F24" w:rsidP="00C7646D">
      <w:pPr>
        <w:tabs>
          <w:tab w:val="left" w:pos="284"/>
          <w:tab w:val="center" w:pos="4536"/>
          <w:tab w:val="right" w:pos="9072"/>
        </w:tabs>
        <w:spacing w:after="0" w:line="240" w:lineRule="auto"/>
        <w:jc w:val="both"/>
        <w:rPr>
          <w:rFonts w:ascii="Times New Roman" w:hAnsi="Times New Roman" w:cs="Times New Roman"/>
        </w:rPr>
      </w:pPr>
    </w:p>
    <w:p w:rsidR="00EB2F24" w:rsidRPr="00C15CAE" w:rsidRDefault="00EB2F24"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Ukupno 2957  pacijenata je činilo populaciju za ispitivanje bezb</w:t>
      </w:r>
      <w:r>
        <w:rPr>
          <w:rFonts w:ascii="Times New Roman" w:hAnsi="Times New Roman" w:cs="Times New Roman"/>
        </w:rPr>
        <w:t>j</w:t>
      </w:r>
      <w:r w:rsidRPr="00C15CAE">
        <w:rPr>
          <w:rFonts w:ascii="Times New Roman" w:hAnsi="Times New Roman" w:cs="Times New Roman"/>
        </w:rPr>
        <w:t>ednosti , koja  je praćena u 7  studija faze III. Od</w:t>
      </w:r>
      <w:r w:rsidR="00B01520">
        <w:rPr>
          <w:rFonts w:ascii="Times New Roman" w:hAnsi="Times New Roman" w:cs="Times New Roman"/>
        </w:rPr>
        <w:t xml:space="preserve"> ukupnog broja pacijenata, 2356</w:t>
      </w:r>
      <w:r w:rsidRPr="00C15CAE">
        <w:rPr>
          <w:rFonts w:ascii="Times New Roman" w:hAnsi="Times New Roman" w:cs="Times New Roman"/>
        </w:rPr>
        <w:t xml:space="preserve"> pacijenata je l</w:t>
      </w:r>
      <w:r>
        <w:rPr>
          <w:rFonts w:ascii="Times New Roman" w:hAnsi="Times New Roman" w:cs="Times New Roman"/>
        </w:rPr>
        <w:t>ij</w:t>
      </w:r>
      <w:r w:rsidRPr="00C15CAE">
        <w:rPr>
          <w:rFonts w:ascii="Times New Roman" w:hAnsi="Times New Roman" w:cs="Times New Roman"/>
        </w:rPr>
        <w:t xml:space="preserve">ečeno </w:t>
      </w:r>
      <w:r>
        <w:rPr>
          <w:rFonts w:ascii="Times New Roman" w:hAnsi="Times New Roman" w:cs="Times New Roman"/>
        </w:rPr>
        <w:t>p</w:t>
      </w:r>
      <w:r w:rsidRPr="00C15CAE">
        <w:rPr>
          <w:rFonts w:ascii="Times New Roman" w:hAnsi="Times New Roman" w:cs="Times New Roman"/>
        </w:rPr>
        <w:t>reporučenom dozom od 2 mg.</w:t>
      </w:r>
    </w:p>
    <w:p w:rsidR="00EB2F24" w:rsidRDefault="00EB2F24" w:rsidP="00C7646D">
      <w:pPr>
        <w:tabs>
          <w:tab w:val="left" w:pos="284"/>
          <w:tab w:val="center" w:pos="4536"/>
          <w:tab w:val="right" w:pos="9072"/>
        </w:tabs>
        <w:spacing w:after="0" w:line="240" w:lineRule="auto"/>
        <w:jc w:val="both"/>
        <w:rPr>
          <w:rFonts w:ascii="Times New Roman" w:hAnsi="Times New Roman" w:cs="Times New Roman"/>
        </w:rPr>
      </w:pPr>
    </w:p>
    <w:p w:rsidR="00EB2F24" w:rsidRPr="00C15CAE" w:rsidRDefault="00EB2F24"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 xml:space="preserve">Ozbiljne neželjene reakcije </w:t>
      </w:r>
      <w:r>
        <w:rPr>
          <w:rFonts w:ascii="Times New Roman" w:hAnsi="Times New Roman" w:cs="Times New Roman"/>
        </w:rPr>
        <w:t xml:space="preserve">u vezi sa </w:t>
      </w:r>
      <w:r w:rsidRPr="00C15CAE">
        <w:rPr>
          <w:rFonts w:ascii="Times New Roman" w:hAnsi="Times New Roman" w:cs="Times New Roman"/>
        </w:rPr>
        <w:t>procedur</w:t>
      </w:r>
      <w:r>
        <w:rPr>
          <w:rFonts w:ascii="Times New Roman" w:hAnsi="Times New Roman" w:cs="Times New Roman"/>
        </w:rPr>
        <w:t>om</w:t>
      </w:r>
      <w:r w:rsidRPr="00C15CAE">
        <w:rPr>
          <w:rFonts w:ascii="Times New Roman" w:hAnsi="Times New Roman" w:cs="Times New Roman"/>
        </w:rPr>
        <w:t xml:space="preserve"> davanja injekcije bile su uočene </w:t>
      </w:r>
      <w:r>
        <w:rPr>
          <w:rFonts w:ascii="Times New Roman" w:hAnsi="Times New Roman" w:cs="Times New Roman"/>
        </w:rPr>
        <w:t xml:space="preserve">kod </w:t>
      </w:r>
      <w:r w:rsidRPr="00C15CAE">
        <w:rPr>
          <w:rFonts w:ascii="Times New Roman" w:hAnsi="Times New Roman" w:cs="Times New Roman"/>
        </w:rPr>
        <w:t>manje od 1 na 2200 intravitrealnih injekcija l</w:t>
      </w:r>
      <w:r>
        <w:rPr>
          <w:rFonts w:ascii="Times New Roman" w:hAnsi="Times New Roman" w:cs="Times New Roman"/>
        </w:rPr>
        <w:t>ij</w:t>
      </w:r>
      <w:r w:rsidRPr="00C15CAE">
        <w:rPr>
          <w:rFonts w:ascii="Times New Roman" w:hAnsi="Times New Roman" w:cs="Times New Roman"/>
        </w:rPr>
        <w:t>eka Eylea, a uključivale su sl</w:t>
      </w:r>
      <w:r>
        <w:rPr>
          <w:rFonts w:ascii="Times New Roman" w:hAnsi="Times New Roman" w:cs="Times New Roman"/>
        </w:rPr>
        <w:t>j</w:t>
      </w:r>
      <w:r w:rsidR="00B01520">
        <w:rPr>
          <w:rFonts w:ascii="Times New Roman" w:hAnsi="Times New Roman" w:cs="Times New Roman"/>
        </w:rPr>
        <w:t>epilo, endoftalmitis, ablaciju</w:t>
      </w:r>
      <w:r>
        <w:rPr>
          <w:rFonts w:ascii="Times New Roman" w:hAnsi="Times New Roman" w:cs="Times New Roman"/>
        </w:rPr>
        <w:t xml:space="preserve"> retine, </w:t>
      </w:r>
      <w:r w:rsidRPr="00C15CAE">
        <w:rPr>
          <w:rFonts w:ascii="Times New Roman" w:hAnsi="Times New Roman" w:cs="Times New Roman"/>
        </w:rPr>
        <w:t xml:space="preserve"> traumatsku kataraktu, vitrealno krvarenje, kataraktu, ablaciju staklastog t</w:t>
      </w:r>
      <w:r>
        <w:rPr>
          <w:rFonts w:ascii="Times New Roman" w:hAnsi="Times New Roman" w:cs="Times New Roman"/>
        </w:rPr>
        <w:t>ij</w:t>
      </w:r>
      <w:r w:rsidR="00B01520">
        <w:rPr>
          <w:rFonts w:ascii="Times New Roman" w:hAnsi="Times New Roman" w:cs="Times New Roman"/>
        </w:rPr>
        <w:t xml:space="preserve">ela i </w:t>
      </w:r>
      <w:r w:rsidRPr="00C15CAE">
        <w:rPr>
          <w:rFonts w:ascii="Times New Roman" w:hAnsi="Times New Roman" w:cs="Times New Roman"/>
        </w:rPr>
        <w:t>povećanje intraokularnog pritiska (</w:t>
      </w:r>
      <w:r>
        <w:rPr>
          <w:rFonts w:ascii="Times New Roman" w:hAnsi="Times New Roman" w:cs="Times New Roman"/>
        </w:rPr>
        <w:t xml:space="preserve">vidjeti odjeljak </w:t>
      </w:r>
      <w:r w:rsidRPr="00C15CAE">
        <w:rPr>
          <w:rFonts w:ascii="Times New Roman" w:hAnsi="Times New Roman" w:cs="Times New Roman"/>
        </w:rPr>
        <w:t>4.4).</w:t>
      </w:r>
    </w:p>
    <w:p w:rsidR="00EB2F24" w:rsidRPr="00C15CAE" w:rsidRDefault="00EB2F24" w:rsidP="00C7646D">
      <w:pPr>
        <w:tabs>
          <w:tab w:val="left" w:pos="284"/>
          <w:tab w:val="center" w:pos="4536"/>
          <w:tab w:val="right" w:pos="9072"/>
        </w:tabs>
        <w:spacing w:after="0" w:line="240" w:lineRule="auto"/>
        <w:jc w:val="both"/>
        <w:rPr>
          <w:rFonts w:ascii="Times New Roman" w:hAnsi="Times New Roman" w:cs="Times New Roman"/>
        </w:rPr>
      </w:pPr>
    </w:p>
    <w:p w:rsidR="00EB2F24" w:rsidRPr="00C15CAE" w:rsidRDefault="00EB2F24"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Najčešće neželjene reakcije (kod najmanje 5% pacijenata kojima je prim</w:t>
      </w:r>
      <w:r>
        <w:rPr>
          <w:rFonts w:ascii="Times New Roman" w:hAnsi="Times New Roman" w:cs="Times New Roman"/>
        </w:rPr>
        <w:t>ij</w:t>
      </w:r>
      <w:r w:rsidRPr="00C15CAE">
        <w:rPr>
          <w:rFonts w:ascii="Times New Roman" w:hAnsi="Times New Roman" w:cs="Times New Roman"/>
        </w:rPr>
        <w:t>enjen l</w:t>
      </w:r>
      <w:r>
        <w:rPr>
          <w:rFonts w:ascii="Times New Roman" w:hAnsi="Times New Roman" w:cs="Times New Roman"/>
        </w:rPr>
        <w:t>ij</w:t>
      </w:r>
      <w:r w:rsidRPr="00C15CAE">
        <w:rPr>
          <w:rFonts w:ascii="Times New Roman" w:hAnsi="Times New Roman" w:cs="Times New Roman"/>
        </w:rPr>
        <w:t>ek Eylea) bile s</w:t>
      </w:r>
      <w:r w:rsidR="00B01520">
        <w:rPr>
          <w:rFonts w:ascii="Times New Roman" w:hAnsi="Times New Roman" w:cs="Times New Roman"/>
        </w:rPr>
        <w:t>u konjunktivalna hemoragija (24,</w:t>
      </w:r>
      <w:r w:rsidRPr="00C15CAE">
        <w:rPr>
          <w:rFonts w:ascii="Times New Roman" w:hAnsi="Times New Roman" w:cs="Times New Roman"/>
        </w:rPr>
        <w:t xml:space="preserve">9 %), </w:t>
      </w:r>
      <w:r>
        <w:rPr>
          <w:rFonts w:ascii="Times New Roman" w:hAnsi="Times New Roman" w:cs="Times New Roman"/>
        </w:rPr>
        <w:t>smanjenje o</w:t>
      </w:r>
      <w:r w:rsidRPr="00C15CAE">
        <w:rPr>
          <w:rFonts w:ascii="Times New Roman" w:hAnsi="Times New Roman" w:cs="Times New Roman"/>
        </w:rPr>
        <w:t>štrine vida (10</w:t>
      </w:r>
      <w:r w:rsidR="00B01520">
        <w:rPr>
          <w:rFonts w:ascii="Times New Roman" w:hAnsi="Times New Roman" w:cs="Times New Roman"/>
        </w:rPr>
        <w:t>,</w:t>
      </w:r>
      <w:r w:rsidRPr="00C15CAE">
        <w:rPr>
          <w:rFonts w:ascii="Times New Roman" w:hAnsi="Times New Roman" w:cs="Times New Roman"/>
        </w:rPr>
        <w:t>7%),</w:t>
      </w:r>
      <w:r w:rsidR="00B01520">
        <w:rPr>
          <w:rFonts w:ascii="Times New Roman" w:hAnsi="Times New Roman" w:cs="Times New Roman"/>
        </w:rPr>
        <w:t xml:space="preserve"> </w:t>
      </w:r>
      <w:r w:rsidRPr="00C15CAE">
        <w:rPr>
          <w:rFonts w:ascii="Times New Roman" w:hAnsi="Times New Roman" w:cs="Times New Roman"/>
        </w:rPr>
        <w:t>bol u očima (9,9 %), povećanje intraokularnog pritiska (7,1</w:t>
      </w:r>
      <w:r w:rsidRPr="00C15CAE" w:rsidDel="0015326E">
        <w:rPr>
          <w:rFonts w:ascii="Times New Roman" w:hAnsi="Times New Roman" w:cs="Times New Roman"/>
        </w:rPr>
        <w:t xml:space="preserve"> </w:t>
      </w:r>
      <w:r w:rsidRPr="00C15CAE">
        <w:rPr>
          <w:rFonts w:ascii="Times New Roman" w:hAnsi="Times New Roman" w:cs="Times New Roman"/>
        </w:rPr>
        <w:t>%), ablacija staklastog t</w:t>
      </w:r>
      <w:r>
        <w:rPr>
          <w:rFonts w:ascii="Times New Roman" w:hAnsi="Times New Roman" w:cs="Times New Roman"/>
        </w:rPr>
        <w:t>ij</w:t>
      </w:r>
      <w:r w:rsidRPr="00C15CAE">
        <w:rPr>
          <w:rFonts w:ascii="Times New Roman" w:hAnsi="Times New Roman" w:cs="Times New Roman"/>
        </w:rPr>
        <w:t>ela (6,8 %),</w:t>
      </w:r>
      <w:r>
        <w:rPr>
          <w:rFonts w:ascii="Times New Roman" w:hAnsi="Times New Roman" w:cs="Times New Roman"/>
        </w:rPr>
        <w:t xml:space="preserve"> </w:t>
      </w:r>
      <w:r w:rsidRPr="00C15CAE">
        <w:rPr>
          <w:rFonts w:ascii="Times New Roman" w:hAnsi="Times New Roman" w:cs="Times New Roman"/>
        </w:rPr>
        <w:t>plutajuće mrlje u staklastom t</w:t>
      </w:r>
      <w:r>
        <w:rPr>
          <w:rFonts w:ascii="Times New Roman" w:hAnsi="Times New Roman" w:cs="Times New Roman"/>
        </w:rPr>
        <w:t>ij</w:t>
      </w:r>
      <w:r w:rsidRPr="00C15CAE">
        <w:rPr>
          <w:rFonts w:ascii="Times New Roman" w:hAnsi="Times New Roman" w:cs="Times New Roman"/>
        </w:rPr>
        <w:t>elu (6,6%) i katarakta (6,6%)</w:t>
      </w:r>
    </w:p>
    <w:p w:rsidR="00B01520" w:rsidRDefault="00B01520" w:rsidP="00C7646D">
      <w:pPr>
        <w:spacing w:after="0"/>
        <w:jc w:val="both"/>
        <w:rPr>
          <w:rFonts w:ascii="Times New Roman" w:hAnsi="Times New Roman" w:cs="Times New Roman"/>
          <w:u w:val="single"/>
          <w:lang w:val="sr-Latn-CS"/>
        </w:rPr>
      </w:pPr>
    </w:p>
    <w:p w:rsidR="00DE6D4B" w:rsidRPr="00DE6D4B" w:rsidRDefault="00DE6D4B" w:rsidP="00C7646D">
      <w:pPr>
        <w:spacing w:after="0"/>
        <w:jc w:val="both"/>
        <w:rPr>
          <w:rFonts w:ascii="Times New Roman" w:hAnsi="Times New Roman" w:cs="Times New Roman"/>
          <w:u w:val="single"/>
          <w:lang w:val="sr-Latn-CS"/>
        </w:rPr>
      </w:pPr>
      <w:r w:rsidRPr="00DE6D4B">
        <w:rPr>
          <w:rFonts w:ascii="Times New Roman" w:hAnsi="Times New Roman" w:cs="Times New Roman"/>
          <w:u w:val="single"/>
          <w:lang w:val="sr-Latn-CS"/>
        </w:rPr>
        <w:t>Tabelarni prikaz neželjenih reakcija</w:t>
      </w:r>
    </w:p>
    <w:p w:rsidR="00DE6D4B" w:rsidRPr="00DE6D4B" w:rsidRDefault="00DE6D4B" w:rsidP="00C7646D">
      <w:pPr>
        <w:spacing w:after="0"/>
        <w:jc w:val="both"/>
        <w:rPr>
          <w:rFonts w:ascii="Times New Roman" w:hAnsi="Times New Roman" w:cs="Times New Roman"/>
          <w:lang w:val="sr-Latn-CS"/>
        </w:rPr>
      </w:pPr>
      <w:r w:rsidRPr="00DE6D4B">
        <w:rPr>
          <w:rFonts w:ascii="Times New Roman" w:hAnsi="Times New Roman" w:cs="Times New Roman"/>
          <w:lang w:val="sr-Latn-CS"/>
        </w:rPr>
        <w:t xml:space="preserve">Bezbjednosni podaci, čiji opis slijedi, uključuju </w:t>
      </w:r>
      <w:r w:rsidR="00B01520">
        <w:rPr>
          <w:rFonts w:ascii="Times New Roman" w:hAnsi="Times New Roman" w:cs="Times New Roman"/>
          <w:lang w:val="sr-Latn-CS"/>
        </w:rPr>
        <w:t xml:space="preserve">sve neželjene reakcije iz </w:t>
      </w:r>
      <w:r w:rsidRPr="00DE6D4B">
        <w:rPr>
          <w:rFonts w:ascii="Times New Roman" w:hAnsi="Times New Roman" w:cs="Times New Roman"/>
          <w:lang w:val="sr-Latn-CS"/>
        </w:rPr>
        <w:t xml:space="preserve">7 studija faze III za vlažnu AMD, CRVO, BRVO i DME uz logičnu mogućnost uzročne povezanosti sa procedurom davanja injekcije ili sa samim  lijekom. </w:t>
      </w:r>
    </w:p>
    <w:p w:rsidR="00234379" w:rsidRDefault="00234379" w:rsidP="00C7646D">
      <w:pPr>
        <w:spacing w:after="0"/>
        <w:jc w:val="both"/>
        <w:rPr>
          <w:rFonts w:ascii="Times New Roman" w:hAnsi="Times New Roman" w:cs="Times New Roman"/>
          <w:lang w:val="sr-Latn-CS"/>
        </w:rPr>
      </w:pPr>
      <w:r w:rsidRPr="00234379">
        <w:rPr>
          <w:rFonts w:ascii="Times New Roman" w:hAnsi="Times New Roman" w:cs="Times New Roman"/>
          <w:lang w:val="sr-Latn-CS"/>
        </w:rPr>
        <w:t>Neželjena dejstva  su navedena po klasama sistema organa i učestalosti korišćenjem sljedeće klasifikacije: veoma česta (≥1/10), česta (≥1/100 do &lt;1/10), povremena (≥/1,000 do &lt;1/100), rijetka (≥1/10,000 do &lt; 1/1,000 pacijenata).</w:t>
      </w:r>
    </w:p>
    <w:p w:rsidR="00234379" w:rsidRDefault="00234379" w:rsidP="00C7646D">
      <w:pPr>
        <w:spacing w:after="0"/>
        <w:jc w:val="both"/>
        <w:rPr>
          <w:rFonts w:ascii="Times New Roman" w:hAnsi="Times New Roman" w:cs="Times New Roman"/>
          <w:lang w:val="sr-Latn-CS"/>
        </w:rPr>
      </w:pPr>
      <w:r w:rsidRPr="00234379">
        <w:rPr>
          <w:rFonts w:ascii="Times New Roman" w:hAnsi="Times New Roman" w:cs="Times New Roman"/>
          <w:lang w:val="sr-Latn-RS"/>
        </w:rPr>
        <w:t>U okviru svake grupe učestalosti, neželjena dejstva su prikazana po opadajućoj ozbiljnosti.</w:t>
      </w:r>
    </w:p>
    <w:p w:rsidR="00234379" w:rsidRPr="00234379" w:rsidRDefault="00234379" w:rsidP="00C7646D">
      <w:pPr>
        <w:spacing w:after="0"/>
        <w:jc w:val="both"/>
        <w:rPr>
          <w:rFonts w:ascii="Times New Roman" w:hAnsi="Times New Roman" w:cs="Times New Roman"/>
          <w:lang w:val="sr-Latn-CS"/>
        </w:rPr>
      </w:pPr>
    </w:p>
    <w:p w:rsidR="00234379" w:rsidRDefault="00234379" w:rsidP="00C7646D">
      <w:pPr>
        <w:spacing w:after="0"/>
        <w:jc w:val="both"/>
        <w:rPr>
          <w:rFonts w:ascii="Times New Roman" w:hAnsi="Times New Roman" w:cs="Times New Roman"/>
          <w:lang w:val="sr-Latn-CS"/>
        </w:rPr>
      </w:pPr>
      <w:r w:rsidRPr="00234379">
        <w:rPr>
          <w:rFonts w:ascii="Times New Roman" w:hAnsi="Times New Roman" w:cs="Times New Roman"/>
          <w:b/>
          <w:lang w:val="sr-Latn-CS"/>
        </w:rPr>
        <w:t>Tabela 1:</w:t>
      </w:r>
      <w:r w:rsidRPr="00234379">
        <w:rPr>
          <w:rFonts w:ascii="Times New Roman" w:hAnsi="Times New Roman" w:cs="Times New Roman"/>
          <w:lang w:val="sr-Latn-CS"/>
        </w:rPr>
        <w:t xml:space="preserve">  </w:t>
      </w:r>
      <w:r w:rsidRPr="00234379">
        <w:rPr>
          <w:rFonts w:ascii="Times New Roman" w:hAnsi="Times New Roman" w:cs="Times New Roman"/>
          <w:lang w:val="sr-Latn-RS"/>
        </w:rPr>
        <w:t xml:space="preserve"> Sva neželjena dejstva povezana sa terapijom prijavljena tokom studija faze III (podaci dobijeni iz studije faze III za indikacije, vlažna AMD, CRVO, BRVO i DME).</w:t>
      </w:r>
      <w:r w:rsidRPr="00234379" w:rsidDel="00AB5495">
        <w:rPr>
          <w:rFonts w:ascii="Times New Roman" w:hAnsi="Times New Roman" w:cs="Times New Roman"/>
          <w:lang w:val="sr-Latn-CS"/>
        </w:rPr>
        <w:t xml:space="preserve"> </w:t>
      </w:r>
    </w:p>
    <w:tbl>
      <w:tblPr>
        <w:tblW w:w="99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0"/>
        <w:gridCol w:w="1991"/>
        <w:gridCol w:w="1991"/>
        <w:gridCol w:w="1991"/>
        <w:gridCol w:w="1991"/>
      </w:tblGrid>
      <w:tr w:rsidR="00234379" w:rsidRPr="00C15CAE" w:rsidTr="00FC72B0">
        <w:tc>
          <w:tcPr>
            <w:tcW w:w="1990"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line="240" w:lineRule="auto"/>
              <w:jc w:val="both"/>
              <w:rPr>
                <w:rFonts w:ascii="Times New Roman" w:hAnsi="Times New Roman" w:cs="Times New Roman"/>
                <w:b/>
                <w:bCs/>
              </w:rPr>
            </w:pPr>
            <w:r w:rsidRPr="00C15CAE">
              <w:rPr>
                <w:rFonts w:ascii="Times New Roman" w:hAnsi="Times New Roman" w:cs="Times New Roman"/>
                <w:b/>
                <w:bCs/>
              </w:rPr>
              <w:t>Klasa sistema organa</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r w:rsidRPr="00C15CAE">
              <w:rPr>
                <w:rFonts w:ascii="Times New Roman" w:hAnsi="Times New Roman" w:cs="Times New Roman"/>
                <w:b/>
                <w:bCs/>
              </w:rPr>
              <w:t>Veoma česta</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r w:rsidRPr="00C15CAE">
              <w:rPr>
                <w:rFonts w:ascii="Times New Roman" w:hAnsi="Times New Roman" w:cs="Times New Roman"/>
                <w:b/>
                <w:bCs/>
              </w:rPr>
              <w:t>Česta</w:t>
            </w:r>
          </w:p>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r w:rsidRPr="00C15CAE">
              <w:rPr>
                <w:rFonts w:ascii="Times New Roman" w:hAnsi="Times New Roman" w:cs="Times New Roman"/>
                <w:b/>
                <w:bCs/>
              </w:rPr>
              <w:t xml:space="preserve">Povremena </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r w:rsidRPr="00C15CAE">
              <w:rPr>
                <w:rFonts w:ascii="Times New Roman" w:hAnsi="Times New Roman" w:cs="Times New Roman"/>
                <w:b/>
                <w:bCs/>
              </w:rPr>
              <w:t>R</w:t>
            </w:r>
            <w:r>
              <w:rPr>
                <w:rFonts w:ascii="Times New Roman" w:hAnsi="Times New Roman" w:cs="Times New Roman"/>
                <w:b/>
                <w:bCs/>
              </w:rPr>
              <w:t>ij</w:t>
            </w:r>
            <w:r w:rsidRPr="00C15CAE">
              <w:rPr>
                <w:rFonts w:ascii="Times New Roman" w:hAnsi="Times New Roman" w:cs="Times New Roman"/>
                <w:b/>
                <w:bCs/>
              </w:rPr>
              <w:t>etka</w:t>
            </w:r>
          </w:p>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p>
        </w:tc>
      </w:tr>
      <w:tr w:rsidR="00234379" w:rsidRPr="00C15CAE" w:rsidTr="00FC72B0">
        <w:tc>
          <w:tcPr>
            <w:tcW w:w="1990"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r w:rsidRPr="00C15CAE">
              <w:rPr>
                <w:rFonts w:ascii="Times New Roman" w:hAnsi="Times New Roman" w:cs="Times New Roman"/>
                <w:b/>
                <w:bCs/>
              </w:rPr>
              <w:t>Poremećaji imunog sistema</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r w:rsidRPr="00C15CAE">
              <w:rPr>
                <w:rFonts w:ascii="Times New Roman" w:hAnsi="Times New Roman" w:cs="Times New Roman"/>
              </w:rPr>
              <w:t>Preos</w:t>
            </w:r>
            <w:r>
              <w:rPr>
                <w:rFonts w:ascii="Times New Roman" w:hAnsi="Times New Roman" w:cs="Times New Roman"/>
              </w:rPr>
              <w:t>j</w:t>
            </w:r>
            <w:r w:rsidRPr="00C15CAE">
              <w:rPr>
                <w:rFonts w:ascii="Times New Roman" w:hAnsi="Times New Roman" w:cs="Times New Roman"/>
              </w:rPr>
              <w:t>etljivost***</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p>
        </w:tc>
      </w:tr>
      <w:tr w:rsidR="00234379" w:rsidRPr="00C15CAE" w:rsidTr="00FC72B0">
        <w:tc>
          <w:tcPr>
            <w:tcW w:w="1990"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b/>
                <w:bCs/>
              </w:rPr>
            </w:pPr>
            <w:r w:rsidRPr="00C15CAE">
              <w:rPr>
                <w:rFonts w:ascii="Times New Roman" w:hAnsi="Times New Roman" w:cs="Times New Roman"/>
                <w:b/>
                <w:bCs/>
              </w:rPr>
              <w:t>Poremećaji oka</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Smanjena oštrina vida,</w:t>
            </w:r>
          </w:p>
          <w:p w:rsidR="00234379" w:rsidRPr="00C15CAE" w:rsidRDefault="00234379"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 xml:space="preserve">Konjunktivalna hemoragija, </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r w:rsidRPr="00C15CAE">
              <w:rPr>
                <w:rFonts w:ascii="Times New Roman" w:hAnsi="Times New Roman" w:cs="Times New Roman"/>
              </w:rPr>
              <w:t xml:space="preserve">Rascep pigmentnog epitela retine*, ablacija pigmentnog epitela </w:t>
            </w:r>
            <w:r w:rsidRPr="00C15CAE">
              <w:rPr>
                <w:rFonts w:ascii="Times New Roman" w:hAnsi="Times New Roman" w:cs="Times New Roman"/>
              </w:rPr>
              <w:lastRenderedPageBreak/>
              <w:t>retine, degeneracija retine, krvarenje u staklastom t</w:t>
            </w:r>
            <w:r>
              <w:rPr>
                <w:rFonts w:ascii="Times New Roman" w:hAnsi="Times New Roman" w:cs="Times New Roman"/>
              </w:rPr>
              <w:t>ij</w:t>
            </w:r>
            <w:r w:rsidRPr="00C15CAE">
              <w:rPr>
                <w:rFonts w:ascii="Times New Roman" w:hAnsi="Times New Roman" w:cs="Times New Roman"/>
              </w:rPr>
              <w:t>elu,  katarakta, nuklearna katarakta, supkapsularna katarakta,  kortikalna katarakta  erozija rožnjače, abrazija rožnjače, povećanje intraokularnog pritiska, zamućenje vida, plutajuće mrlje u staklastom t</w:t>
            </w:r>
            <w:r>
              <w:rPr>
                <w:rFonts w:ascii="Times New Roman" w:hAnsi="Times New Roman" w:cs="Times New Roman"/>
              </w:rPr>
              <w:t>ij</w:t>
            </w:r>
            <w:r w:rsidRPr="00C15CAE">
              <w:rPr>
                <w:rFonts w:ascii="Times New Roman" w:hAnsi="Times New Roman" w:cs="Times New Roman"/>
              </w:rPr>
              <w:t>elu, edem rožnjače, ablacija staklastog t</w:t>
            </w:r>
            <w:r>
              <w:rPr>
                <w:rFonts w:ascii="Times New Roman" w:hAnsi="Times New Roman" w:cs="Times New Roman"/>
              </w:rPr>
              <w:t>ij</w:t>
            </w:r>
            <w:r w:rsidRPr="00C15CAE">
              <w:rPr>
                <w:rFonts w:ascii="Times New Roman" w:hAnsi="Times New Roman" w:cs="Times New Roman"/>
              </w:rPr>
              <w:t>ela, bol na m</w:t>
            </w:r>
            <w:r>
              <w:rPr>
                <w:rFonts w:ascii="Times New Roman" w:hAnsi="Times New Roman" w:cs="Times New Roman"/>
              </w:rPr>
              <w:t>j</w:t>
            </w:r>
            <w:r w:rsidRPr="00C15CAE">
              <w:rPr>
                <w:rFonts w:ascii="Times New Roman" w:hAnsi="Times New Roman" w:cs="Times New Roman"/>
              </w:rPr>
              <w:t>estu injekcije, bol u oku, os</w:t>
            </w:r>
            <w:r>
              <w:rPr>
                <w:rFonts w:ascii="Times New Roman" w:hAnsi="Times New Roman" w:cs="Times New Roman"/>
              </w:rPr>
              <w:t>j</w:t>
            </w:r>
            <w:r w:rsidRPr="00C15CAE">
              <w:rPr>
                <w:rFonts w:ascii="Times New Roman" w:hAnsi="Times New Roman" w:cs="Times New Roman"/>
              </w:rPr>
              <w:t>ećaj prisustva stranog t</w:t>
            </w:r>
            <w:r>
              <w:rPr>
                <w:rFonts w:ascii="Times New Roman" w:hAnsi="Times New Roman" w:cs="Times New Roman"/>
              </w:rPr>
              <w:t>ij</w:t>
            </w:r>
            <w:r w:rsidRPr="00C15CAE">
              <w:rPr>
                <w:rFonts w:ascii="Times New Roman" w:hAnsi="Times New Roman" w:cs="Times New Roman"/>
              </w:rPr>
              <w:t>ela u oku, pojačano suzenje, edem očnih kapaka, krvarenje na m</w:t>
            </w:r>
            <w:r>
              <w:rPr>
                <w:rFonts w:ascii="Times New Roman" w:hAnsi="Times New Roman" w:cs="Times New Roman"/>
              </w:rPr>
              <w:t>j</w:t>
            </w:r>
            <w:r w:rsidRPr="00C15CAE">
              <w:rPr>
                <w:rFonts w:ascii="Times New Roman" w:hAnsi="Times New Roman" w:cs="Times New Roman"/>
              </w:rPr>
              <w:t>estu injekcije, punkcijski keratitis, konjunktivalna hiperemija, okularna hiperemija</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r w:rsidRPr="00C15CAE">
              <w:rPr>
                <w:rFonts w:ascii="Times New Roman" w:hAnsi="Times New Roman" w:cs="Times New Roman"/>
              </w:rPr>
              <w:lastRenderedPageBreak/>
              <w:t>Sl</w:t>
            </w:r>
            <w:r>
              <w:rPr>
                <w:rFonts w:ascii="Times New Roman" w:hAnsi="Times New Roman" w:cs="Times New Roman"/>
              </w:rPr>
              <w:t>j</w:t>
            </w:r>
            <w:r w:rsidRPr="00C15CAE">
              <w:rPr>
                <w:rFonts w:ascii="Times New Roman" w:hAnsi="Times New Roman" w:cs="Times New Roman"/>
              </w:rPr>
              <w:t>epilo, Endoftalmitis**, ablacija retine,  rasc</w:t>
            </w:r>
            <w:r>
              <w:rPr>
                <w:rFonts w:ascii="Times New Roman" w:hAnsi="Times New Roman" w:cs="Times New Roman"/>
              </w:rPr>
              <w:t>j</w:t>
            </w:r>
            <w:r w:rsidRPr="00C15CAE">
              <w:rPr>
                <w:rFonts w:ascii="Times New Roman" w:hAnsi="Times New Roman" w:cs="Times New Roman"/>
              </w:rPr>
              <w:t xml:space="preserve">ep retine,  iritis, </w:t>
            </w:r>
            <w:r w:rsidRPr="00C15CAE">
              <w:rPr>
                <w:rFonts w:ascii="Times New Roman" w:hAnsi="Times New Roman" w:cs="Times New Roman"/>
              </w:rPr>
              <w:lastRenderedPageBreak/>
              <w:t>uveitis, iridociklitis, , zamućenje očnog sočiva, defekt epitela rožnjače, iritacija na m</w:t>
            </w:r>
            <w:r>
              <w:rPr>
                <w:rFonts w:ascii="Times New Roman" w:hAnsi="Times New Roman" w:cs="Times New Roman"/>
              </w:rPr>
              <w:t>j</w:t>
            </w:r>
            <w:r w:rsidRPr="00C15CAE">
              <w:rPr>
                <w:rFonts w:ascii="Times New Roman" w:hAnsi="Times New Roman" w:cs="Times New Roman"/>
              </w:rPr>
              <w:t xml:space="preserve">estu injekcije, </w:t>
            </w:r>
            <w:r>
              <w:rPr>
                <w:rFonts w:ascii="Times New Roman" w:hAnsi="Times New Roman" w:cs="Times New Roman"/>
              </w:rPr>
              <w:t>ne</w:t>
            </w:r>
            <w:r w:rsidRPr="00C15CAE">
              <w:rPr>
                <w:rFonts w:ascii="Times New Roman" w:hAnsi="Times New Roman" w:cs="Times New Roman"/>
              </w:rPr>
              <w:t>normalan os</w:t>
            </w:r>
            <w:r>
              <w:rPr>
                <w:rFonts w:ascii="Times New Roman" w:hAnsi="Times New Roman" w:cs="Times New Roman"/>
              </w:rPr>
              <w:t>j</w:t>
            </w:r>
            <w:r w:rsidRPr="00C15CAE">
              <w:rPr>
                <w:rFonts w:ascii="Times New Roman" w:hAnsi="Times New Roman" w:cs="Times New Roman"/>
              </w:rPr>
              <w:t>ećaj u oku, iritacija očnih kapaka,  upala prednje komore</w:t>
            </w:r>
          </w:p>
        </w:tc>
        <w:tc>
          <w:tcPr>
            <w:tcW w:w="1991" w:type="dxa"/>
            <w:tcBorders>
              <w:top w:val="single" w:sz="4" w:space="0" w:color="auto"/>
              <w:left w:val="single" w:sz="4" w:space="0" w:color="auto"/>
              <w:bottom w:val="single" w:sz="4" w:space="0" w:color="auto"/>
              <w:right w:val="single" w:sz="4" w:space="0" w:color="auto"/>
            </w:tcBorders>
          </w:tcPr>
          <w:p w:rsidR="00234379" w:rsidRPr="00C15CAE" w:rsidRDefault="00234379" w:rsidP="00C7646D">
            <w:pPr>
              <w:tabs>
                <w:tab w:val="left" w:pos="284"/>
                <w:tab w:val="center" w:pos="4536"/>
                <w:tab w:val="right" w:pos="9072"/>
              </w:tabs>
              <w:spacing w:after="0"/>
              <w:jc w:val="both"/>
              <w:rPr>
                <w:rFonts w:ascii="Times New Roman" w:hAnsi="Times New Roman" w:cs="Times New Roman"/>
              </w:rPr>
            </w:pPr>
            <w:r w:rsidRPr="00C15CAE">
              <w:rPr>
                <w:rFonts w:ascii="Times New Roman" w:hAnsi="Times New Roman" w:cs="Times New Roman"/>
              </w:rPr>
              <w:lastRenderedPageBreak/>
              <w:t>Traumatska katarakta,vitritis,  hipopion</w:t>
            </w:r>
          </w:p>
        </w:tc>
      </w:tr>
    </w:tbl>
    <w:p w:rsidR="00234379" w:rsidRPr="00C15CAE" w:rsidRDefault="00234379"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w:t>
      </w:r>
      <w:r w:rsidR="00B01520">
        <w:rPr>
          <w:rFonts w:ascii="Times New Roman" w:hAnsi="Times New Roman" w:cs="Times New Roman"/>
        </w:rPr>
        <w:t xml:space="preserve"> </w:t>
      </w:r>
      <w:r w:rsidRPr="00C15CAE">
        <w:rPr>
          <w:rFonts w:ascii="Times New Roman" w:hAnsi="Times New Roman" w:cs="Times New Roman"/>
        </w:rPr>
        <w:t>Stanja za koja se zna da su povezana sa vlažnom AMD. Prim</w:t>
      </w:r>
      <w:r>
        <w:rPr>
          <w:rFonts w:ascii="Times New Roman" w:hAnsi="Times New Roman" w:cs="Times New Roman"/>
        </w:rPr>
        <w:t>ij</w:t>
      </w:r>
      <w:r w:rsidRPr="00C15CAE">
        <w:rPr>
          <w:rFonts w:ascii="Times New Roman" w:hAnsi="Times New Roman" w:cs="Times New Roman"/>
        </w:rPr>
        <w:t>ećeno samo u ispitivanjima vlažne AMD.</w:t>
      </w:r>
    </w:p>
    <w:p w:rsidR="00234379" w:rsidRPr="00C15CAE" w:rsidRDefault="00234379"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w:t>
      </w:r>
      <w:r w:rsidR="00B01520">
        <w:rPr>
          <w:rFonts w:ascii="Times New Roman" w:hAnsi="Times New Roman" w:cs="Times New Roman"/>
        </w:rPr>
        <w:t xml:space="preserve"> </w:t>
      </w:r>
      <w:r w:rsidRPr="00C15CAE">
        <w:rPr>
          <w:rFonts w:ascii="Times New Roman" w:hAnsi="Times New Roman" w:cs="Times New Roman"/>
        </w:rPr>
        <w:t>Endoftalmitis sa pozitivnom kulturom kao i sa negativnom kulturom mikroorganizama</w:t>
      </w:r>
    </w:p>
    <w:p w:rsidR="00234379" w:rsidRPr="00C15CAE" w:rsidRDefault="00234379"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w:t>
      </w:r>
      <w:r w:rsidR="00B01520">
        <w:rPr>
          <w:rFonts w:ascii="Times New Roman" w:hAnsi="Times New Roman" w:cs="Times New Roman"/>
          <w:vertAlign w:val="superscript"/>
        </w:rPr>
        <w:t xml:space="preserve"> </w:t>
      </w:r>
      <w:r w:rsidRPr="00C15CAE">
        <w:rPr>
          <w:rFonts w:ascii="Times New Roman" w:hAnsi="Times New Roman" w:cs="Times New Roman"/>
        </w:rPr>
        <w:t>Uključujući alergijske reakcije</w:t>
      </w:r>
    </w:p>
    <w:p w:rsidR="00D65FA6" w:rsidRDefault="00D65FA6" w:rsidP="00C7646D">
      <w:pPr>
        <w:spacing w:after="0"/>
        <w:jc w:val="both"/>
        <w:rPr>
          <w:rFonts w:ascii="Times New Roman" w:hAnsi="Times New Roman" w:cs="Times New Roman"/>
          <w:i/>
          <w:iCs/>
          <w:lang w:val="sr-Latn-CS"/>
        </w:rPr>
      </w:pPr>
    </w:p>
    <w:p w:rsidR="00D65FA6" w:rsidRPr="00D65FA6" w:rsidRDefault="00D65FA6" w:rsidP="00C7646D">
      <w:pPr>
        <w:spacing w:after="0"/>
        <w:jc w:val="both"/>
        <w:rPr>
          <w:rFonts w:ascii="Times New Roman" w:hAnsi="Times New Roman" w:cs="Times New Roman"/>
          <w:i/>
          <w:iCs/>
          <w:lang w:val="sr-Latn-CS"/>
        </w:rPr>
      </w:pPr>
      <w:r w:rsidRPr="00D65FA6">
        <w:rPr>
          <w:rFonts w:ascii="Times New Roman" w:hAnsi="Times New Roman" w:cs="Times New Roman"/>
          <w:i/>
          <w:iCs/>
          <w:lang w:val="sr-Latn-CS"/>
        </w:rPr>
        <w:t>Opis izabranih neželjenih reakcija</w:t>
      </w:r>
    </w:p>
    <w:p w:rsidR="00D65FA6" w:rsidRPr="00D65FA6" w:rsidRDefault="00D65FA6" w:rsidP="00C7646D">
      <w:pPr>
        <w:spacing w:after="0"/>
        <w:jc w:val="both"/>
        <w:rPr>
          <w:rFonts w:ascii="Times New Roman" w:hAnsi="Times New Roman" w:cs="Times New Roman"/>
          <w:lang w:val="sr-Latn-CS"/>
        </w:rPr>
      </w:pPr>
      <w:r w:rsidRPr="00D65FA6">
        <w:rPr>
          <w:rFonts w:ascii="Times New Roman" w:hAnsi="Times New Roman" w:cs="Times New Roman"/>
          <w:lang w:val="sr-Latn-CS"/>
        </w:rPr>
        <w:t>U studijama faze III za vlažnu AMD, postojala je povećana incidenca za konjunktivalnu hemoragiju kod pacijenata koji su primali antitrombotičnu terapiju. Ova povećana incidenca bila je slična između pacijenata liječenih ranibizumabom i lijekom Eylea.</w:t>
      </w:r>
    </w:p>
    <w:p w:rsidR="00C7646D" w:rsidRDefault="00C7646D" w:rsidP="00C7646D">
      <w:pPr>
        <w:spacing w:after="0"/>
        <w:jc w:val="both"/>
        <w:rPr>
          <w:rFonts w:ascii="Times New Roman" w:hAnsi="Times New Roman" w:cs="Times New Roman"/>
          <w:lang w:val="sr-Latn-CS"/>
        </w:rPr>
      </w:pPr>
    </w:p>
    <w:p w:rsidR="00C7646D" w:rsidRDefault="00C7646D" w:rsidP="00C7646D">
      <w:pPr>
        <w:spacing w:after="0"/>
        <w:jc w:val="both"/>
        <w:rPr>
          <w:rFonts w:ascii="Times New Roman" w:hAnsi="Times New Roman" w:cs="Times New Roman"/>
          <w:lang w:val="sr-Latn-CS"/>
        </w:rPr>
      </w:pPr>
    </w:p>
    <w:p w:rsidR="00C7646D" w:rsidRDefault="00C7646D" w:rsidP="00C7646D">
      <w:pPr>
        <w:spacing w:after="0"/>
        <w:jc w:val="both"/>
        <w:rPr>
          <w:rFonts w:ascii="Times New Roman" w:hAnsi="Times New Roman" w:cs="Times New Roman"/>
          <w:lang w:val="sr-Latn-CS"/>
        </w:rPr>
      </w:pPr>
    </w:p>
    <w:p w:rsidR="00D65FA6" w:rsidRPr="00D65FA6" w:rsidRDefault="00D65FA6" w:rsidP="00C7646D">
      <w:pPr>
        <w:spacing w:after="0"/>
        <w:jc w:val="both"/>
        <w:rPr>
          <w:rFonts w:ascii="Times New Roman" w:hAnsi="Times New Roman" w:cs="Times New Roman"/>
          <w:lang w:val="sr-Latn-CS"/>
        </w:rPr>
      </w:pPr>
      <w:r w:rsidRPr="00D65FA6">
        <w:rPr>
          <w:rFonts w:ascii="Times New Roman" w:hAnsi="Times New Roman" w:cs="Times New Roman"/>
          <w:lang w:val="sr-Latn-CS"/>
        </w:rPr>
        <w:lastRenderedPageBreak/>
        <w:t>Arterijski tromboembolijski događaji (ATE) su neželjeni događaji koji potencijalno mogu biti povezani sa sistemskom VEGF inhibicijom. Postoji teorijski rizik za razvoj arterijskih tromboembolijskih događaja nakon intravitrealne primjene VEGF inhibitora.</w:t>
      </w:r>
    </w:p>
    <w:p w:rsidR="00D65FA6" w:rsidRPr="00D65FA6" w:rsidRDefault="00D65FA6" w:rsidP="00C7646D">
      <w:pPr>
        <w:spacing w:after="0"/>
        <w:jc w:val="both"/>
        <w:rPr>
          <w:rFonts w:ascii="Times New Roman" w:hAnsi="Times New Roman" w:cs="Times New Roman"/>
          <w:lang w:val="sr-Latn-CS"/>
        </w:rPr>
      </w:pPr>
      <w:r w:rsidRPr="00D65FA6">
        <w:rPr>
          <w:rFonts w:ascii="Times New Roman" w:hAnsi="Times New Roman" w:cs="Times New Roman"/>
          <w:lang w:val="sr-Latn-CS"/>
        </w:rPr>
        <w:t xml:space="preserve">Arterijski tromboembolijski događaji, kako su definisani  prema  kriterijumima </w:t>
      </w:r>
      <w:r w:rsidRPr="00D65FA6">
        <w:rPr>
          <w:rFonts w:ascii="Times New Roman" w:hAnsi="Times New Roman" w:cs="Times New Roman"/>
          <w:i/>
          <w:iCs/>
          <w:lang w:val="sr-Latn-CS"/>
        </w:rPr>
        <w:t>Antiplatelet Trialists’ Collaboration</w:t>
      </w:r>
      <w:r w:rsidRPr="00D65FA6">
        <w:rPr>
          <w:rFonts w:ascii="Times New Roman" w:hAnsi="Times New Roman" w:cs="Times New Roman"/>
          <w:lang w:val="sr-Latn-CS"/>
        </w:rPr>
        <w:t xml:space="preserve"> (APTC) kriterijumima, uključuju infarkt miokarda bez smrtnog ishoda, moždani udar bez smrtnog ishoda, ili vaskularnu smrt (uključujući i smrtne slučajeve za koje uzrok smrti nije poznat). Incidenca arterijskih tromboembolijskih događaja u studijama faze III za vlažnu AMD tokom 96 nedelja trajanja ispitivanja, bila je 3,3% (60 od ukupno 1.824) u kombinovanoj grupi pacijenata koji su primali lijek Eylea u poređenju sa 3,2% (19 od ukupno 595) u grupi pacijenata liječenih ranibizumabom (vidjeti odjeljak 5.1). Odgovarajući podaci iz DME studije tokom prve 52 nedelje su 3,3% (19 od 578) (Eylea) i 2,8% (8 od 287) (kontrolna grupa) (vidjeti odjeljak 5.1)</w:t>
      </w:r>
    </w:p>
    <w:p w:rsidR="00D65FA6" w:rsidRPr="00D65FA6" w:rsidRDefault="00D65FA6" w:rsidP="00C7646D">
      <w:pPr>
        <w:spacing w:after="0"/>
        <w:jc w:val="both"/>
        <w:rPr>
          <w:rFonts w:ascii="Times New Roman" w:hAnsi="Times New Roman" w:cs="Times New Roman"/>
          <w:lang w:val="sr-Latn-CS"/>
        </w:rPr>
      </w:pPr>
      <w:r w:rsidRPr="00D65FA6">
        <w:rPr>
          <w:rFonts w:ascii="Times New Roman" w:hAnsi="Times New Roman" w:cs="Times New Roman"/>
          <w:lang w:val="sr-Latn-CS"/>
        </w:rPr>
        <w:t>Incidenca arterijskih tromboembolijskih događaja u istudijama faze III kod CRVO u trajanju od 76/100 nedelja iznosila je 0,6% (2 od 317) kod pacijenata koji su primili barem jednu dozu lijeka Eylea u poređenju sa 1,4% (2 od 142) koji su primali samo lažnu terapiju. (vidjeti odjeljak 5.1) dok je u okviru faze III BRVO studije ,tokom 52 nedelje trajanja studije iznosila 0% (0 od 91) kod pacijenata liječenih Eylea-om u poređenju sa 2.2% (2 od 92) u kontrolnoj grupi (vidjeti dio 5.1). Jedan od ovih pacijenata iz kontrolne grupe je primio dodatnu terapiju lijekom Eylea.</w:t>
      </w:r>
    </w:p>
    <w:p w:rsidR="00D65FA6" w:rsidRPr="00D65FA6" w:rsidRDefault="00D65FA6" w:rsidP="00C7646D">
      <w:pPr>
        <w:spacing w:after="0"/>
        <w:jc w:val="both"/>
        <w:rPr>
          <w:rFonts w:ascii="Times New Roman" w:hAnsi="Times New Roman" w:cs="Times New Roman"/>
          <w:lang w:val="sr-Latn-CS"/>
        </w:rPr>
      </w:pPr>
      <w:r w:rsidRPr="00D65FA6">
        <w:rPr>
          <w:rFonts w:ascii="Times New Roman" w:hAnsi="Times New Roman" w:cs="Times New Roman"/>
          <w:lang w:val="sr-Latn-CS"/>
        </w:rPr>
        <w:t>Kao i svi drugi proteini koji se koriste u terapijske svrhe i lijek Eylea ima imunogeni potencijal.</w:t>
      </w:r>
    </w:p>
    <w:p w:rsidR="00C7646D" w:rsidRDefault="00C7646D" w:rsidP="00C7646D">
      <w:pPr>
        <w:spacing w:after="0"/>
        <w:jc w:val="both"/>
        <w:rPr>
          <w:rFonts w:ascii="Times New Roman" w:hAnsi="Times New Roman" w:cs="Times New Roman"/>
          <w:u w:val="single"/>
          <w:lang w:val="sr-Latn-RS"/>
        </w:rPr>
      </w:pPr>
    </w:p>
    <w:p w:rsidR="00D65FA6" w:rsidRPr="00D65FA6" w:rsidRDefault="00D65FA6" w:rsidP="00C7646D">
      <w:pPr>
        <w:spacing w:after="0"/>
        <w:jc w:val="both"/>
        <w:rPr>
          <w:rFonts w:ascii="Times New Roman" w:hAnsi="Times New Roman" w:cs="Times New Roman"/>
          <w:u w:val="single"/>
          <w:lang w:val="sr-Latn-RS"/>
        </w:rPr>
      </w:pPr>
      <w:r w:rsidRPr="00D65FA6">
        <w:rPr>
          <w:rFonts w:ascii="Times New Roman" w:hAnsi="Times New Roman" w:cs="Times New Roman"/>
          <w:u w:val="single"/>
          <w:lang w:val="sr-Latn-RS"/>
        </w:rPr>
        <w:t>Prijavljivanje sumnji na neželjena dejstva</w:t>
      </w:r>
    </w:p>
    <w:p w:rsidR="00D65FA6" w:rsidRPr="00D65FA6" w:rsidRDefault="00D65FA6" w:rsidP="00C7646D">
      <w:pPr>
        <w:spacing w:after="0"/>
        <w:jc w:val="both"/>
        <w:rPr>
          <w:rFonts w:ascii="Times New Roman" w:hAnsi="Times New Roman" w:cs="Times New Roman"/>
          <w:lang w:val="sr-Latn-RS"/>
        </w:rPr>
      </w:pPr>
      <w:r w:rsidRPr="00D65FA6">
        <w:rPr>
          <w:rFonts w:ascii="Times New Roman"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65FA6" w:rsidRPr="00D65FA6" w:rsidRDefault="00D65FA6" w:rsidP="00C7646D">
      <w:pPr>
        <w:spacing w:after="0"/>
        <w:jc w:val="both"/>
        <w:rPr>
          <w:rFonts w:ascii="Times New Roman" w:hAnsi="Times New Roman" w:cs="Times New Roman"/>
          <w:lang w:val="sr-Latn-RS"/>
        </w:rPr>
      </w:pPr>
      <w:r w:rsidRPr="00D65FA6">
        <w:rPr>
          <w:rFonts w:ascii="Times New Roman" w:hAnsi="Times New Roman" w:cs="Times New Roman"/>
          <w:lang w:val="sr-Latn-RS"/>
        </w:rPr>
        <w:t>Agencija za ljekove i medicinska sredstva Crne Gore</w:t>
      </w:r>
    </w:p>
    <w:p w:rsidR="00D65FA6" w:rsidRPr="00D65FA6" w:rsidRDefault="00D65FA6" w:rsidP="00C7646D">
      <w:pPr>
        <w:spacing w:after="0"/>
        <w:jc w:val="both"/>
        <w:rPr>
          <w:rFonts w:ascii="Times New Roman" w:hAnsi="Times New Roman" w:cs="Times New Roman"/>
          <w:lang w:val="sr-Latn-RS"/>
        </w:rPr>
      </w:pPr>
      <w:r w:rsidRPr="00D65FA6">
        <w:rPr>
          <w:rFonts w:ascii="Times New Roman" w:hAnsi="Times New Roman" w:cs="Times New Roman"/>
          <w:lang w:val="sr-Latn-RS"/>
        </w:rPr>
        <w:t>Odjeljenje za farmakovigilancu</w:t>
      </w:r>
    </w:p>
    <w:p w:rsidR="00D65FA6" w:rsidRPr="00D65FA6" w:rsidRDefault="00D65FA6" w:rsidP="00C7646D">
      <w:pPr>
        <w:spacing w:after="0"/>
        <w:jc w:val="both"/>
        <w:rPr>
          <w:rFonts w:ascii="Times New Roman" w:hAnsi="Times New Roman" w:cs="Times New Roman"/>
          <w:lang w:val="sr-Latn-RS"/>
        </w:rPr>
      </w:pPr>
      <w:r w:rsidRPr="00D65FA6">
        <w:rPr>
          <w:rFonts w:ascii="Times New Roman" w:hAnsi="Times New Roman" w:cs="Times New Roman"/>
          <w:lang w:val="sr-Latn-RS"/>
        </w:rPr>
        <w:t>Bulevar Ivana Crnojevića 64a, 81000 Podgorica</w:t>
      </w:r>
    </w:p>
    <w:p w:rsidR="00D65FA6" w:rsidRPr="00D65FA6" w:rsidRDefault="00D65FA6" w:rsidP="00C7646D">
      <w:pPr>
        <w:spacing w:after="0"/>
        <w:jc w:val="both"/>
        <w:rPr>
          <w:rFonts w:ascii="Times New Roman" w:hAnsi="Times New Roman" w:cs="Times New Roman"/>
          <w:lang w:val="sr-Latn-RS"/>
        </w:rPr>
      </w:pPr>
    </w:p>
    <w:p w:rsidR="00D65FA6" w:rsidRPr="00D65FA6" w:rsidRDefault="00D65FA6" w:rsidP="00C7646D">
      <w:pPr>
        <w:spacing w:after="0"/>
        <w:jc w:val="both"/>
        <w:rPr>
          <w:rFonts w:ascii="Times New Roman" w:hAnsi="Times New Roman" w:cs="Times New Roman"/>
          <w:lang w:val="sr-Latn-RS"/>
        </w:rPr>
      </w:pPr>
      <w:r w:rsidRPr="00D65FA6">
        <w:rPr>
          <w:rFonts w:ascii="Times New Roman" w:hAnsi="Times New Roman" w:cs="Times New Roman"/>
          <w:lang w:val="sr-Latn-RS"/>
        </w:rPr>
        <w:t>tel: +382 (0) 20 310 280</w:t>
      </w:r>
    </w:p>
    <w:p w:rsidR="00D65FA6" w:rsidRPr="00D65FA6" w:rsidRDefault="00D65FA6" w:rsidP="00C7646D">
      <w:pPr>
        <w:spacing w:after="0"/>
        <w:jc w:val="both"/>
        <w:rPr>
          <w:rFonts w:ascii="Times New Roman" w:hAnsi="Times New Roman" w:cs="Times New Roman"/>
          <w:lang w:val="sr-Latn-RS"/>
        </w:rPr>
      </w:pPr>
      <w:r w:rsidRPr="00D65FA6">
        <w:rPr>
          <w:rFonts w:ascii="Times New Roman" w:hAnsi="Times New Roman" w:cs="Times New Roman"/>
          <w:lang w:val="sr-Latn-RS"/>
        </w:rPr>
        <w:t>fax: +382 (0) 20 310 581</w:t>
      </w:r>
    </w:p>
    <w:p w:rsidR="00D65FA6" w:rsidRPr="00D65FA6" w:rsidRDefault="0073390A" w:rsidP="00C7646D">
      <w:pPr>
        <w:spacing w:after="0"/>
        <w:jc w:val="both"/>
        <w:rPr>
          <w:rFonts w:ascii="Times New Roman" w:hAnsi="Times New Roman" w:cs="Times New Roman"/>
          <w:lang w:val="sr-Latn-RS"/>
        </w:rPr>
      </w:pPr>
      <w:hyperlink r:id="rId9" w:history="1">
        <w:r w:rsidR="00D65FA6" w:rsidRPr="00D65FA6">
          <w:rPr>
            <w:rStyle w:val="Hyperlink"/>
            <w:rFonts w:ascii="Times New Roman" w:hAnsi="Times New Roman" w:cs="Times New Roman"/>
            <w:lang w:val="sr-Latn-RS"/>
          </w:rPr>
          <w:t>www.calims.me</w:t>
        </w:r>
      </w:hyperlink>
    </w:p>
    <w:p w:rsidR="00D65FA6" w:rsidRPr="00D65FA6" w:rsidRDefault="0073390A" w:rsidP="00C7646D">
      <w:pPr>
        <w:spacing w:after="0"/>
        <w:jc w:val="both"/>
        <w:rPr>
          <w:rFonts w:ascii="Times New Roman" w:hAnsi="Times New Roman" w:cs="Times New Roman"/>
          <w:u w:val="single"/>
          <w:lang w:val="sr-Latn-RS"/>
        </w:rPr>
      </w:pPr>
      <w:hyperlink r:id="rId10" w:history="1">
        <w:r w:rsidR="00D65FA6" w:rsidRPr="00D65FA6">
          <w:rPr>
            <w:rStyle w:val="Hyperlink"/>
            <w:rFonts w:ascii="Times New Roman" w:hAnsi="Times New Roman" w:cs="Times New Roman"/>
            <w:lang w:val="sr-Latn-RS"/>
          </w:rPr>
          <w:t>nezeljenadejstva@calims.me</w:t>
        </w:r>
      </w:hyperlink>
    </w:p>
    <w:p w:rsidR="00D65FA6" w:rsidRPr="00D65FA6" w:rsidRDefault="00D65FA6" w:rsidP="00C7646D">
      <w:pPr>
        <w:spacing w:after="0"/>
        <w:jc w:val="both"/>
        <w:rPr>
          <w:rFonts w:ascii="Times New Roman" w:hAnsi="Times New Roman" w:cs="Times New Roman"/>
          <w:lang w:val="sr-Latn-CS"/>
        </w:rPr>
      </w:pPr>
      <w:r w:rsidRPr="00D65FA6">
        <w:rPr>
          <w:rFonts w:ascii="Times New Roman" w:hAnsi="Times New Roman" w:cs="Times New Roman"/>
          <w:lang w:val="sr-Latn-RS"/>
        </w:rPr>
        <w:t>putem IS zdravstvene zaštite</w:t>
      </w:r>
    </w:p>
    <w:p w:rsidR="009008C4" w:rsidRPr="00B01520" w:rsidRDefault="009008C4" w:rsidP="00C7646D">
      <w:pPr>
        <w:spacing w:after="0"/>
        <w:jc w:val="both"/>
        <w:rPr>
          <w:rFonts w:ascii="Times New Roman" w:hAnsi="Times New Roman" w:cs="Times New Roman"/>
          <w:b/>
          <w:bCs/>
          <w:lang w:val="sr-Latn-CS"/>
        </w:rPr>
      </w:pPr>
    </w:p>
    <w:p w:rsidR="00D65FA6" w:rsidRPr="00B01520" w:rsidRDefault="009008C4" w:rsidP="00C7646D">
      <w:pPr>
        <w:spacing w:after="0"/>
        <w:jc w:val="both"/>
        <w:rPr>
          <w:rFonts w:ascii="Times New Roman" w:hAnsi="Times New Roman" w:cs="Times New Roman"/>
          <w:lang w:val="sr-Latn-RS"/>
        </w:rPr>
      </w:pPr>
      <w:r w:rsidRPr="00B01520">
        <w:rPr>
          <w:rFonts w:ascii="Times New Roman" w:hAnsi="Times New Roman" w:cs="Times New Roman"/>
          <w:b/>
          <w:bCs/>
          <w:lang w:val="sr-Latn-CS"/>
        </w:rPr>
        <w:t>4.9. Predoziranje i mjere koje je potrebno preduzeti</w:t>
      </w:r>
    </w:p>
    <w:p w:rsidR="00C7646D" w:rsidRDefault="00C7646D" w:rsidP="00C7646D">
      <w:pPr>
        <w:spacing w:after="0"/>
        <w:jc w:val="both"/>
        <w:rPr>
          <w:rFonts w:ascii="Times New Roman" w:hAnsi="Times New Roman" w:cs="Times New Roman"/>
          <w:lang w:val="sr-Latn-CS"/>
        </w:rPr>
      </w:pPr>
    </w:p>
    <w:p w:rsidR="009008C4" w:rsidRPr="009008C4" w:rsidRDefault="009008C4" w:rsidP="00C7646D">
      <w:pPr>
        <w:spacing w:after="0"/>
        <w:jc w:val="both"/>
        <w:rPr>
          <w:rFonts w:ascii="Times New Roman" w:hAnsi="Times New Roman" w:cs="Times New Roman"/>
          <w:lang w:val="sr-Latn-CS"/>
        </w:rPr>
      </w:pPr>
      <w:r w:rsidRPr="009008C4">
        <w:rPr>
          <w:rFonts w:ascii="Times New Roman" w:hAnsi="Times New Roman" w:cs="Times New Roman"/>
          <w:lang w:val="sr-Latn-CS"/>
        </w:rPr>
        <w:t>U kliničkim ispitivanjima bile su primijenjene doze do 4 mg u mjesečnim intervalima, a izolovani slučajevi predoziranja pojavili su se sa 8 mg.</w:t>
      </w:r>
    </w:p>
    <w:p w:rsidR="009008C4" w:rsidRPr="009008C4" w:rsidRDefault="009008C4" w:rsidP="00C7646D">
      <w:pPr>
        <w:spacing w:after="0"/>
        <w:jc w:val="both"/>
        <w:rPr>
          <w:rFonts w:ascii="Times New Roman" w:hAnsi="Times New Roman" w:cs="Times New Roman"/>
          <w:lang w:val="sr-Latn-CS"/>
        </w:rPr>
      </w:pPr>
      <w:r w:rsidRPr="009008C4">
        <w:rPr>
          <w:rFonts w:ascii="Times New Roman" w:hAnsi="Times New Roman" w:cs="Times New Roman"/>
          <w:lang w:val="sr-Latn-CS"/>
        </w:rPr>
        <w:t>Predoziranje sa povećanom zapreminom injekcije može povećati intraokularni pritisak. Stoga, u slučajevima predoziranja treba pratiti intraokularni pritisak, i ukoliko ordinirajući ljekar smatra neophodnim, treba započeti odgovarajuće liječenje.</w:t>
      </w:r>
    </w:p>
    <w:p w:rsidR="00C7646D" w:rsidRDefault="00C7646D" w:rsidP="00C7646D">
      <w:pPr>
        <w:spacing w:after="0"/>
        <w:rPr>
          <w:rFonts w:ascii="Times New Roman" w:eastAsia="Times New Roman" w:hAnsi="Times New Roman" w:cs="Times New Roman"/>
          <w:b/>
          <w:bCs/>
          <w:lang w:val="sr-Latn-CS"/>
        </w:rPr>
      </w:pPr>
    </w:p>
    <w:p w:rsidR="009008C4" w:rsidRDefault="009008C4" w:rsidP="00C7646D">
      <w:pPr>
        <w:spacing w:after="0"/>
        <w:rPr>
          <w:rFonts w:ascii="Times New Roman" w:hAnsi="Times New Roman" w:cs="Times New Roman"/>
          <w:lang w:val="sr-Latn-CS"/>
        </w:rPr>
      </w:pPr>
      <w:r w:rsidRPr="009008C4">
        <w:rPr>
          <w:rFonts w:ascii="Times New Roman" w:eastAsia="Times New Roman" w:hAnsi="Times New Roman" w:cs="Times New Roman"/>
          <w:b/>
          <w:bCs/>
          <w:lang w:val="sr-Latn-CS"/>
        </w:rPr>
        <w:lastRenderedPageBreak/>
        <w:t>5. FARMAKOLOŠKI PODACI</w:t>
      </w:r>
    </w:p>
    <w:p w:rsidR="00C7646D" w:rsidRDefault="00C7646D" w:rsidP="00C7646D">
      <w:pPr>
        <w:spacing w:after="0"/>
        <w:rPr>
          <w:rFonts w:ascii="Times New Roman" w:hAnsi="Times New Roman" w:cs="Times New Roman"/>
          <w:b/>
          <w:lang w:val="sr-Latn-CS"/>
        </w:rPr>
      </w:pPr>
    </w:p>
    <w:p w:rsidR="009008C4" w:rsidRPr="009008C4" w:rsidRDefault="009008C4" w:rsidP="00C7646D">
      <w:pPr>
        <w:spacing w:after="0"/>
        <w:rPr>
          <w:rFonts w:ascii="Times New Roman" w:hAnsi="Times New Roman" w:cs="Times New Roman"/>
          <w:b/>
          <w:lang w:val="sr-Latn-CS"/>
        </w:rPr>
      </w:pPr>
      <w:r w:rsidRPr="009008C4">
        <w:rPr>
          <w:rFonts w:ascii="Times New Roman" w:hAnsi="Times New Roman" w:cs="Times New Roman"/>
          <w:b/>
          <w:lang w:val="sr-Latn-CS"/>
        </w:rPr>
        <w:t>5.1. Farmakodinamski podaci</w:t>
      </w:r>
    </w:p>
    <w:p w:rsidR="00C7646D" w:rsidRDefault="00C7646D" w:rsidP="00C7646D">
      <w:pPr>
        <w:spacing w:after="0"/>
        <w:jc w:val="both"/>
        <w:rPr>
          <w:rFonts w:ascii="Times New Roman" w:hAnsi="Times New Roman" w:cs="Times New Roman"/>
          <w:b/>
          <w:lang w:val="sr-Latn-CS"/>
        </w:rPr>
      </w:pPr>
    </w:p>
    <w:p w:rsidR="009008C4" w:rsidRPr="009008C4" w:rsidRDefault="009008C4" w:rsidP="00C7646D">
      <w:pPr>
        <w:spacing w:after="0"/>
        <w:jc w:val="both"/>
        <w:rPr>
          <w:rFonts w:ascii="Times New Roman" w:hAnsi="Times New Roman" w:cs="Times New Roman"/>
          <w:lang w:val="sr-Latn-CS"/>
        </w:rPr>
      </w:pPr>
      <w:r w:rsidRPr="009008C4">
        <w:rPr>
          <w:rFonts w:ascii="Times New Roman" w:hAnsi="Times New Roman" w:cs="Times New Roman"/>
          <w:b/>
          <w:lang w:val="sr-Latn-CS"/>
        </w:rPr>
        <w:t>Farmakoterapijska grupa:</w:t>
      </w:r>
      <w:r w:rsidRPr="009008C4">
        <w:rPr>
          <w:rFonts w:ascii="Times New Roman" w:hAnsi="Times New Roman" w:cs="Times New Roman"/>
          <w:lang w:val="sr-Latn-CS"/>
        </w:rPr>
        <w:tab/>
        <w:t>Oftalmološki/Antineovaskularni ljekovi</w:t>
      </w:r>
    </w:p>
    <w:p w:rsidR="000F6664" w:rsidRDefault="009008C4" w:rsidP="00C7646D">
      <w:pPr>
        <w:spacing w:after="0"/>
        <w:jc w:val="both"/>
        <w:rPr>
          <w:rFonts w:ascii="Times New Roman" w:hAnsi="Times New Roman" w:cs="Times New Roman"/>
          <w:lang w:val="sr-Latn-CS"/>
        </w:rPr>
      </w:pPr>
      <w:r w:rsidRPr="009008C4">
        <w:rPr>
          <w:rFonts w:ascii="Times New Roman" w:hAnsi="Times New Roman" w:cs="Times New Roman"/>
          <w:b/>
          <w:lang w:val="sr-Latn-CS"/>
        </w:rPr>
        <w:t>ATC kod:</w:t>
      </w:r>
      <w:r w:rsidRPr="009008C4">
        <w:rPr>
          <w:rFonts w:ascii="Times New Roman" w:hAnsi="Times New Roman" w:cs="Times New Roman"/>
          <w:lang w:val="sr-Latn-CS"/>
        </w:rPr>
        <w:tab/>
        <w:t>S01LA05</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8A66E5" w:rsidRPr="00C15CAE" w:rsidRDefault="008A66E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Aflibercept je rekombinantni fuzioni protein, koji se sastoji od ekstracelularnih d</w:t>
      </w:r>
      <w:r>
        <w:rPr>
          <w:rFonts w:ascii="Times New Roman" w:hAnsi="Times New Roman" w:cs="Times New Roman"/>
        </w:rPr>
        <w:t>j</w:t>
      </w:r>
      <w:r w:rsidRPr="00C15CAE">
        <w:rPr>
          <w:rFonts w:ascii="Times New Roman" w:hAnsi="Times New Roman" w:cs="Times New Roman"/>
        </w:rPr>
        <w:t>elova humanih VEGF (faktor rasta vaskularnog endotela) receptora 1 i 2 koji su stopljeni u Fc segment humanog IgG1.</w:t>
      </w:r>
    </w:p>
    <w:p w:rsidR="008A66E5" w:rsidRPr="00C15CAE" w:rsidRDefault="008A66E5" w:rsidP="00C7646D">
      <w:pPr>
        <w:tabs>
          <w:tab w:val="left" w:pos="284"/>
          <w:tab w:val="center" w:pos="4536"/>
          <w:tab w:val="right" w:pos="9072"/>
        </w:tabs>
        <w:spacing w:after="0" w:line="240" w:lineRule="auto"/>
        <w:jc w:val="both"/>
        <w:rPr>
          <w:rFonts w:ascii="Times New Roman" w:hAnsi="Times New Roman" w:cs="Times New Roman"/>
        </w:rPr>
      </w:pPr>
    </w:p>
    <w:p w:rsidR="008A66E5" w:rsidRPr="00C15CAE" w:rsidRDefault="008A66E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Aflibercept se proizvodi u K1 ćelijama ovarijuma kineskog hrčka (CHO- Chinese hamster ovary) rekombinantnom DNK tehnologijom.</w:t>
      </w:r>
    </w:p>
    <w:p w:rsidR="008A66E5" w:rsidRPr="00C15CAE" w:rsidRDefault="008A66E5"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Aflibercept se kao rastvorljivi lažni receptor vezuje za VEGF-A i PlGF sa većim afinitetom nego prirodni receptori i stoga može spr</w:t>
      </w:r>
      <w:r>
        <w:rPr>
          <w:rFonts w:ascii="Times New Roman" w:hAnsi="Times New Roman" w:cs="Times New Roman"/>
        </w:rPr>
        <w:t>ij</w:t>
      </w:r>
      <w:r w:rsidRPr="00C15CAE">
        <w:rPr>
          <w:rFonts w:ascii="Times New Roman" w:hAnsi="Times New Roman" w:cs="Times New Roman"/>
        </w:rPr>
        <w:t>ečiti vezivanje i aktivaciju tih srodnih VEGF receptora.</w:t>
      </w:r>
    </w:p>
    <w:p w:rsidR="00C55BD4" w:rsidRDefault="00C55BD4" w:rsidP="00C7646D">
      <w:pPr>
        <w:tabs>
          <w:tab w:val="left" w:pos="284"/>
          <w:tab w:val="center" w:pos="4536"/>
          <w:tab w:val="right" w:pos="9072"/>
        </w:tabs>
        <w:spacing w:after="0" w:line="240" w:lineRule="auto"/>
        <w:jc w:val="both"/>
        <w:rPr>
          <w:rFonts w:ascii="Times New Roman" w:eastAsia="Times New Roman" w:hAnsi="Times New Roman" w:cs="Times New Roman"/>
          <w:u w:val="single"/>
          <w:lang w:val="sr-Latn-CS"/>
        </w:rPr>
      </w:pPr>
    </w:p>
    <w:p w:rsidR="00C55BD4" w:rsidRPr="00C55BD4" w:rsidRDefault="00C55BD4" w:rsidP="00C7646D">
      <w:pPr>
        <w:tabs>
          <w:tab w:val="left" w:pos="284"/>
          <w:tab w:val="center" w:pos="4536"/>
          <w:tab w:val="right" w:pos="9072"/>
        </w:tabs>
        <w:spacing w:after="0" w:line="240" w:lineRule="auto"/>
        <w:jc w:val="both"/>
        <w:rPr>
          <w:rFonts w:ascii="Times New Roman" w:eastAsia="Times New Roman" w:hAnsi="Times New Roman" w:cs="Times New Roman"/>
          <w:u w:val="single"/>
          <w:lang w:val="sr-Latn-CS"/>
        </w:rPr>
      </w:pPr>
      <w:r w:rsidRPr="00C55BD4">
        <w:rPr>
          <w:rFonts w:ascii="Times New Roman" w:eastAsia="Times New Roman" w:hAnsi="Times New Roman" w:cs="Times New Roman"/>
          <w:u w:val="single"/>
          <w:lang w:val="sr-Latn-CS"/>
        </w:rPr>
        <w:t>Mehanizam dejstva</w:t>
      </w:r>
    </w:p>
    <w:p w:rsidR="00C55BD4" w:rsidRPr="00C55BD4" w:rsidRDefault="00C55BD4" w:rsidP="00C7646D">
      <w:pPr>
        <w:tabs>
          <w:tab w:val="left" w:pos="284"/>
          <w:tab w:val="center" w:pos="4536"/>
          <w:tab w:val="right" w:pos="9072"/>
        </w:tabs>
        <w:spacing w:after="0" w:line="240" w:lineRule="auto"/>
        <w:jc w:val="both"/>
        <w:rPr>
          <w:rFonts w:ascii="Times New Roman" w:eastAsia="Times New Roman" w:hAnsi="Times New Roman" w:cs="Times New Roman"/>
          <w:lang w:val="sr-Latn-CS"/>
        </w:rPr>
      </w:pPr>
      <w:r w:rsidRPr="00C55BD4">
        <w:rPr>
          <w:rFonts w:ascii="Times New Roman" w:eastAsia="Times New Roman" w:hAnsi="Times New Roman" w:cs="Times New Roman"/>
          <w:lang w:val="sr-Latn-CS"/>
        </w:rPr>
        <w:t>Faktor rasta vaskularnog endotela –A (VEGF-A) i faktor rasta placente (PlGF) su članovi VEGF porodice angiogenih faktora koji mogu djelovati kao potentni mitogeni, hemotaksijski faktori i faktori vaskularne propustljivosti za ćelije endotela. VEGF djeluje preko dva tirozin kinaza receptora: VEGFR-1 i VEGFR-2 koji su prisutni na površini endotelnih ćelija. PlGF se vezuje samo za VEGFR-1 koji je prisutan i na površini leukocita. Pretjerana aktivacija ovih receptora preko VEGF-A može rezultirati patološkom neovaskularizacijom i pretjeranom propustljivošću krvnih sudova. PlGF i VEGF-A mogu djelovati sinergijski u ovim procesima, a takođe je poznato da pospješuju infiltraciju leukocita i vaskularnu inflamaciju.</w:t>
      </w:r>
    </w:p>
    <w:p w:rsidR="001C04AE" w:rsidRDefault="001C04AE" w:rsidP="00C7646D">
      <w:pPr>
        <w:spacing w:after="0"/>
        <w:jc w:val="both"/>
        <w:rPr>
          <w:rFonts w:ascii="Times New Roman" w:hAnsi="Times New Roman" w:cs="Times New Roman"/>
          <w:u w:val="single"/>
          <w:lang w:val="sr-Latn-CS"/>
        </w:rPr>
      </w:pPr>
    </w:p>
    <w:p w:rsidR="00C55BD4" w:rsidRPr="00C55BD4" w:rsidRDefault="00C55BD4" w:rsidP="00C7646D">
      <w:pPr>
        <w:spacing w:after="0"/>
        <w:jc w:val="both"/>
        <w:rPr>
          <w:rFonts w:ascii="Times New Roman" w:hAnsi="Times New Roman" w:cs="Times New Roman"/>
          <w:u w:val="single"/>
          <w:lang w:val="sr-Latn-CS"/>
        </w:rPr>
      </w:pPr>
      <w:r w:rsidRPr="00C55BD4">
        <w:rPr>
          <w:rFonts w:ascii="Times New Roman" w:hAnsi="Times New Roman" w:cs="Times New Roman"/>
          <w:u w:val="single"/>
          <w:lang w:val="sr-Latn-CS"/>
        </w:rPr>
        <w:t>Farmakodinamska dejstva</w:t>
      </w:r>
    </w:p>
    <w:p w:rsidR="00C55BD4" w:rsidRPr="001C04AE" w:rsidRDefault="00C55BD4" w:rsidP="00C7646D">
      <w:pPr>
        <w:spacing w:after="0"/>
        <w:jc w:val="both"/>
        <w:rPr>
          <w:rFonts w:ascii="Times New Roman" w:hAnsi="Times New Roman" w:cs="Times New Roman"/>
          <w:i/>
          <w:iCs/>
          <w:lang w:val="sr-Latn-CS"/>
        </w:rPr>
      </w:pPr>
      <w:r w:rsidRPr="00C55BD4">
        <w:rPr>
          <w:rFonts w:ascii="Times New Roman" w:hAnsi="Times New Roman" w:cs="Times New Roman"/>
          <w:i/>
          <w:iCs/>
          <w:lang w:val="sr-Latn-CS"/>
        </w:rPr>
        <w:t>Vlažna AMD</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Vlažnu AMD karakteriše patološka neovaskularizacija horioideje (CNV). Isticanje krvi i tečnosti iz CNV može izazvati zadebljanje retine ili edem i/ili subretinalnu, odnosno intraretinalnu hemoragiju, što rezultuje gubitkom oštrine vida.</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 xml:space="preserve">Kod pacijenata koji su liječeni lijekom Eylea (jednom injekcijom mjesečno tokom prva tri mjeseca, nakon čega slijedi primjena jedne injekcije na svaka dva mjeseca) zadebljanje retine je smanjeno ubrzo nakon započinjanja terapije, i prosječna veličina lezije CNV je smanjena, u skladu sa rezultatima viđenim kod primjene ranibizumaba 0,5 mg svakog mjeseca. </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U studiji VIEW 1 primjenom optičke koherentne tomografije (OCT) nađena su prosječna smanjenja zadebljanja retine (-130 mikrona u 52. nedjelji za studijsku grupu lijeka Eylea 2 mg svakog drugog mjeseca i -129 mikrona u 52. nedjelji za studijsku grupu ranibizumaba 0,5 mg svakog mjeseca). Takođe, u 52. nedjelji, u studiji VIEW 2 su nađena prosječna smanjenja zadebljanja retine primjenom OCT (-149 mikrona za studijsku grupu lijeka Eylea 2 mg svakog drugog mjeseca i -139 mikrona za studijsku grupu lijeka ranibizumaba 0,5 mg svakog mjeseca).</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Smanjenje veličina lezije CNV i smanjenje zadebljanja retine se uglavnom održalo i u drugoj godini studija.</w:t>
      </w:r>
    </w:p>
    <w:p w:rsidR="00C7646D" w:rsidRDefault="00C7646D" w:rsidP="00C7646D">
      <w:pPr>
        <w:spacing w:after="0"/>
        <w:rPr>
          <w:rFonts w:ascii="Times New Roman" w:hAnsi="Times New Roman" w:cs="Times New Roman"/>
          <w:i/>
          <w:iCs/>
          <w:lang w:val="sr-Latn-CS"/>
        </w:rPr>
      </w:pPr>
    </w:p>
    <w:p w:rsidR="00C7646D" w:rsidRDefault="00C7646D" w:rsidP="00C7646D">
      <w:pPr>
        <w:spacing w:after="0"/>
        <w:rPr>
          <w:rFonts w:ascii="Times New Roman" w:hAnsi="Times New Roman" w:cs="Times New Roman"/>
          <w:i/>
          <w:iCs/>
          <w:lang w:val="sr-Latn-CS"/>
        </w:rPr>
      </w:pPr>
    </w:p>
    <w:p w:rsidR="008C6A02" w:rsidRDefault="00C55BD4" w:rsidP="00C7646D">
      <w:pPr>
        <w:spacing w:after="0"/>
        <w:jc w:val="both"/>
        <w:rPr>
          <w:rFonts w:ascii="Times New Roman" w:hAnsi="Times New Roman" w:cs="Times New Roman"/>
          <w:i/>
          <w:iCs/>
          <w:lang w:val="sr-Latn-CS"/>
        </w:rPr>
      </w:pPr>
      <w:r w:rsidRPr="00C55BD4">
        <w:rPr>
          <w:rFonts w:ascii="Times New Roman" w:hAnsi="Times New Roman" w:cs="Times New Roman"/>
          <w:i/>
          <w:iCs/>
          <w:lang w:val="sr-Latn-CS"/>
        </w:rPr>
        <w:t>Makularni edem kao posljedica CRVO i BRVO</w:t>
      </w:r>
    </w:p>
    <w:p w:rsidR="00C55BD4" w:rsidRDefault="00C55BD4" w:rsidP="00C7646D">
      <w:pPr>
        <w:spacing w:after="0"/>
        <w:jc w:val="both"/>
        <w:rPr>
          <w:rFonts w:ascii="Times New Roman" w:hAnsi="Times New Roman" w:cs="Times New Roman"/>
          <w:i/>
          <w:iCs/>
          <w:lang w:val="sr-Latn-CS"/>
        </w:rPr>
      </w:pPr>
      <w:r w:rsidRPr="00C55BD4">
        <w:rPr>
          <w:rFonts w:ascii="Times New Roman" w:hAnsi="Times New Roman" w:cs="Times New Roman"/>
          <w:lang w:val="sr-Latn-CS"/>
        </w:rPr>
        <w:lastRenderedPageBreak/>
        <w:t>Kod CRVO i BRVO dolazi do ishemije mrežnjače što signalizira oslobađanje VEGF-a koji onda destabilizuje čvrste spojeve i podstiče proliferaciju ćelija endotela. Regulacija naviše VEGF-a povezana je sa raspadom barijere između krvi i mrežnjače i ta povećana vaskularna permeabilnost dovodi do edema mrežnjače, podsticanja rasta ćelija endotela i neovaskularizacije.</w:t>
      </w:r>
    </w:p>
    <w:p w:rsidR="00E0090C" w:rsidRPr="00E0090C" w:rsidRDefault="00E0090C" w:rsidP="00C7646D">
      <w:pPr>
        <w:spacing w:after="0"/>
        <w:rPr>
          <w:rFonts w:ascii="Times New Roman" w:hAnsi="Times New Roman" w:cs="Times New Roman"/>
          <w:i/>
          <w:iCs/>
          <w:lang w:val="sr-Latn-CS"/>
        </w:rPr>
      </w:pP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Kod pacijenata koji su bili na terapiji lijekom Eylea (jedna injekcija svakog mjeseca tokom šest mjeseci) postojao je dosljedan, brz i robustan odgovor u pogledu morfologije (centralna retinalna debljina [CRT] procijenjena pomoću OCT-a). Poboljšanje srednje vrijednosti CRT održalo se do 24. nedjelje.</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Debljina mrežnjače na OCT-u u 24. nedjelji u poređenju sa početnom vrijednošću bila je sekundarna varijabla efikasnosti i u i studijama COPERNICUS, GALILEO (CRVO), i VIBRANT (BRVO). U sve tri studije srednja vrijednost promjene CRT od početne do 24. nedjelje bila je statistički značajna u korist lijeka Eylea.</w:t>
      </w:r>
    </w:p>
    <w:p w:rsidR="00E0090C" w:rsidRDefault="00C55BD4" w:rsidP="00C7646D">
      <w:pPr>
        <w:spacing w:after="0"/>
        <w:jc w:val="both"/>
        <w:rPr>
          <w:rFonts w:ascii="Times New Roman" w:hAnsi="Times New Roman" w:cs="Times New Roman"/>
          <w:lang w:val="sr-Latn-RS"/>
        </w:rPr>
      </w:pPr>
      <w:r w:rsidRPr="00C55BD4">
        <w:rPr>
          <w:rFonts w:ascii="Times New Roman" w:hAnsi="Times New Roman" w:cs="Times New Roman"/>
          <w:lang w:val="sr-Latn-RS"/>
        </w:rPr>
        <w:t>U COPERNICUS i GALILEO studijama srednje smanjenje retinalne debljine, procijenjeno pomoću OTC u 24.-oj nedjelji je bilo značano veće kod pacijenata liječenih svakog mjeseca sa 2 mg lijeka Eylea, nego kod kontrolne grupe (-457 mikrona u poređenju sa -145 mikrona u studiji COPERNICUS, i -449 mikrona u poređenju sa -169 mikrona u studiji GALILEO).</w:t>
      </w:r>
      <w:r w:rsidR="00B01520">
        <w:rPr>
          <w:rFonts w:ascii="Times New Roman" w:hAnsi="Times New Roman" w:cs="Times New Roman"/>
          <w:lang w:val="sr-Latn-RS"/>
        </w:rPr>
        <w:t xml:space="preserve"> </w:t>
      </w:r>
      <w:r w:rsidRPr="00C55BD4">
        <w:rPr>
          <w:rFonts w:ascii="Times New Roman" w:hAnsi="Times New Roman" w:cs="Times New Roman"/>
          <w:lang w:val="sr-Latn-RS"/>
        </w:rPr>
        <w:t>Smanjenje retinalne debljine je održano od početka do kraja studije, do 110-te nedjelje u COPERNICUS, odnosno do 76-te nedjelje u GALILEO studiji.</w:t>
      </w:r>
    </w:p>
    <w:p w:rsidR="00C55BD4" w:rsidRPr="00C55BD4" w:rsidRDefault="00C55BD4" w:rsidP="00C7646D">
      <w:pPr>
        <w:spacing w:after="0"/>
        <w:jc w:val="both"/>
        <w:rPr>
          <w:rFonts w:ascii="Times New Roman" w:hAnsi="Times New Roman" w:cs="Times New Roman"/>
          <w:lang w:val="sr-Latn-RS"/>
        </w:rPr>
      </w:pPr>
      <w:r w:rsidRPr="00C55BD4">
        <w:rPr>
          <w:rFonts w:ascii="Times New Roman" w:hAnsi="Times New Roman" w:cs="Times New Roman"/>
          <w:lang w:val="sr-Latn-RS"/>
        </w:rPr>
        <w:t>U VIBRANT studiji , srednje smanjenje retinalne debljine, procijenjeno pomoću OTC u 24.-oj nedjelji je bilo značajno veće kod pacijenata liječenih svakog mjeseca sa 2mg lijeka Eylea, nego u kontrolnoj grupi (-280 mikrona u poređenju sa -128 mikrona). Ovo smanjenje je održano od početka do 52. nedjelje.</w:t>
      </w:r>
    </w:p>
    <w:p w:rsidR="00C55BD4" w:rsidRPr="00C55BD4" w:rsidRDefault="00C55BD4" w:rsidP="00C7646D">
      <w:pPr>
        <w:spacing w:after="0"/>
        <w:rPr>
          <w:rFonts w:ascii="Times New Roman" w:hAnsi="Times New Roman" w:cs="Times New Roman"/>
          <w:lang w:val="sr-Latn-CS"/>
        </w:rPr>
      </w:pPr>
    </w:p>
    <w:p w:rsidR="00C55BD4" w:rsidRPr="00C55BD4" w:rsidRDefault="00C55BD4" w:rsidP="00C7646D">
      <w:pPr>
        <w:spacing w:after="0"/>
        <w:jc w:val="both"/>
        <w:rPr>
          <w:rFonts w:ascii="Times New Roman" w:hAnsi="Times New Roman" w:cs="Times New Roman"/>
          <w:i/>
          <w:lang w:val="pl-PL"/>
        </w:rPr>
      </w:pPr>
      <w:r w:rsidRPr="00C55BD4">
        <w:rPr>
          <w:rFonts w:ascii="Times New Roman" w:hAnsi="Times New Roman" w:cs="Times New Roman"/>
          <w:i/>
          <w:lang w:val="pl-PL"/>
        </w:rPr>
        <w:t>Dijabetički makularni edem</w:t>
      </w:r>
    </w:p>
    <w:p w:rsidR="00C55BD4" w:rsidRPr="00C55BD4" w:rsidRDefault="00C55BD4" w:rsidP="00C7646D">
      <w:pPr>
        <w:spacing w:after="0"/>
        <w:jc w:val="both"/>
        <w:rPr>
          <w:rFonts w:ascii="Times New Roman" w:hAnsi="Times New Roman" w:cs="Times New Roman"/>
          <w:lang w:val="pl-PL"/>
        </w:rPr>
      </w:pPr>
      <w:r w:rsidRPr="00C55BD4">
        <w:rPr>
          <w:rFonts w:ascii="Times New Roman" w:hAnsi="Times New Roman" w:cs="Times New Roman"/>
          <w:lang w:val="pl-PL"/>
        </w:rPr>
        <w:t>Dijabetički makularni edem karakteriše povećana vazopermeabilnost i oštećenje kapilara retine koje dovodi do smanjenja oštrine vida.</w:t>
      </w:r>
    </w:p>
    <w:p w:rsidR="00C55BD4" w:rsidRPr="00623AA4" w:rsidRDefault="00C55BD4" w:rsidP="00C7646D">
      <w:pPr>
        <w:spacing w:after="0"/>
        <w:jc w:val="both"/>
        <w:rPr>
          <w:rFonts w:ascii="Times New Roman" w:hAnsi="Times New Roman" w:cs="Times New Roman"/>
          <w:lang w:val="sr-Latn-RS"/>
        </w:rPr>
      </w:pPr>
      <w:r w:rsidRPr="00C55BD4">
        <w:rPr>
          <w:rFonts w:ascii="Times New Roman" w:hAnsi="Times New Roman" w:cs="Times New Roman"/>
          <w:lang w:val="pl-PL"/>
        </w:rPr>
        <w:t xml:space="preserve">Vrlo brzo nakon početka terapije lijekom Eylea, kod pacijenata je zabelježen brz i snažan morfološki odgovor u pogledu morfiologije (centralna retinalna debljina [CRT]), procijenjeno pomoću OCT. </w:t>
      </w:r>
      <w:r w:rsidRPr="00C55BD4">
        <w:rPr>
          <w:rFonts w:ascii="Times New Roman" w:hAnsi="Times New Roman" w:cs="Times New Roman"/>
          <w:lang w:val="sr-Latn-RS"/>
        </w:rPr>
        <w:t>Srednja vrijednost promjene CRT od početka do 52. nedjelje bila je statistički značajna u korist lijeka Eylea.</w:t>
      </w:r>
    </w:p>
    <w:p w:rsidR="00C55BD4" w:rsidRPr="00C55BD4" w:rsidRDefault="00C55BD4" w:rsidP="00C7646D">
      <w:pPr>
        <w:spacing w:after="0"/>
        <w:jc w:val="both"/>
        <w:rPr>
          <w:rFonts w:ascii="Times New Roman" w:hAnsi="Times New Roman" w:cs="Times New Roman"/>
          <w:lang w:val="pl-PL"/>
        </w:rPr>
      </w:pPr>
      <w:r w:rsidRPr="00C55BD4">
        <w:rPr>
          <w:rFonts w:ascii="Times New Roman" w:hAnsi="Times New Roman" w:cs="Times New Roman"/>
          <w:lang w:val="pl-PL"/>
        </w:rPr>
        <w:t xml:space="preserve">U studiji VIVID-DME, optička koherentna tomografija (OCT) pokazala je srednju vrijednost smanjenja debljine mrežnjače (-192.4  mikrona u 52. nedjelji u grupi na terapiji lijekom Eylea primijenjenim u dozi od 2 mg svakih 8 nedjelja nakon 3 početne mjesečne doze, odnosno -66,2 mikrona u grupi na terapiji laserom). </w:t>
      </w:r>
    </w:p>
    <w:p w:rsidR="00623AA4" w:rsidRDefault="00C55BD4" w:rsidP="00C7646D">
      <w:pPr>
        <w:spacing w:after="0"/>
        <w:jc w:val="both"/>
        <w:rPr>
          <w:rFonts w:ascii="Times New Roman" w:hAnsi="Times New Roman" w:cs="Times New Roman"/>
          <w:lang w:val="pl-PL"/>
        </w:rPr>
      </w:pPr>
      <w:r w:rsidRPr="00C55BD4">
        <w:rPr>
          <w:rFonts w:ascii="Times New Roman" w:hAnsi="Times New Roman" w:cs="Times New Roman"/>
          <w:lang w:val="pl-PL"/>
        </w:rPr>
        <w:t>Takođe, u 52.nedjelji studije VISTA-DME, OCT je pokazao srednju vrijednost smanjenja debljine mrežnjače (-183.1 mikrona u grupi na terapiji lijekom Eylea primijenjenim u dozi od 2mg svakih 8 nedjelja nakon 3 početne mjesečne doze, odnosno -73,3 mikrona u grupi na terapiji laserom )</w:t>
      </w:r>
    </w:p>
    <w:p w:rsidR="00C7646D" w:rsidRDefault="00C7646D" w:rsidP="00C7646D">
      <w:pPr>
        <w:spacing w:after="0"/>
        <w:rPr>
          <w:rFonts w:ascii="Times New Roman" w:hAnsi="Times New Roman" w:cs="Times New Roman"/>
          <w:lang w:val="pl-PL"/>
        </w:rPr>
      </w:pPr>
    </w:p>
    <w:p w:rsidR="00C7646D" w:rsidRDefault="00C7646D" w:rsidP="00C7646D">
      <w:pPr>
        <w:spacing w:after="0"/>
        <w:rPr>
          <w:rFonts w:ascii="Times New Roman" w:hAnsi="Times New Roman" w:cs="Times New Roman"/>
          <w:lang w:val="pl-PL"/>
        </w:rPr>
      </w:pPr>
    </w:p>
    <w:p w:rsidR="00C7646D" w:rsidRDefault="00C7646D" w:rsidP="00C7646D">
      <w:pPr>
        <w:spacing w:after="0"/>
        <w:rPr>
          <w:rFonts w:ascii="Times New Roman" w:hAnsi="Times New Roman" w:cs="Times New Roman"/>
          <w:lang w:val="pl-PL"/>
        </w:rPr>
      </w:pPr>
    </w:p>
    <w:p w:rsidR="00C55BD4" w:rsidRPr="00C55BD4" w:rsidRDefault="00C55BD4" w:rsidP="00C7646D">
      <w:pPr>
        <w:spacing w:after="0"/>
        <w:jc w:val="both"/>
        <w:rPr>
          <w:rFonts w:ascii="Times New Roman" w:hAnsi="Times New Roman" w:cs="Times New Roman"/>
          <w:u w:val="single"/>
          <w:lang w:val="sr-Latn-CS"/>
        </w:rPr>
      </w:pPr>
      <w:r w:rsidRPr="00C55BD4">
        <w:rPr>
          <w:rFonts w:ascii="Times New Roman" w:hAnsi="Times New Roman" w:cs="Times New Roman"/>
          <w:u w:val="single"/>
          <w:lang w:val="sr-Latn-CS"/>
        </w:rPr>
        <w:t>Klinička efikasnost i bezbjednost</w:t>
      </w:r>
    </w:p>
    <w:p w:rsidR="00C55BD4" w:rsidRPr="00623AA4" w:rsidRDefault="00C55BD4" w:rsidP="00C7646D">
      <w:pPr>
        <w:spacing w:after="0"/>
        <w:jc w:val="both"/>
        <w:rPr>
          <w:rFonts w:ascii="Times New Roman" w:hAnsi="Times New Roman" w:cs="Times New Roman"/>
          <w:i/>
          <w:iCs/>
          <w:lang w:val="sr-Latn-CS"/>
        </w:rPr>
      </w:pPr>
      <w:r w:rsidRPr="00C55BD4">
        <w:rPr>
          <w:rFonts w:ascii="Times New Roman" w:hAnsi="Times New Roman" w:cs="Times New Roman"/>
          <w:i/>
          <w:iCs/>
          <w:lang w:val="sr-Latn-CS"/>
        </w:rPr>
        <w:t>Vlažna AMD</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lastRenderedPageBreak/>
        <w:t>Bezbjednost i efikasnost lijeka Eylea bili su procijenjeni u dva randomizovana, multicentrična, duplo maskirana, aktivno kontrolisana ispitivanja kod pacijenatra sa vlažnom AMD. Ukupno je liječeno 2.412 pacijenata uz procjenu efikasnosti (1.817 je primalo lijek Eylea) u dva ispitivanja (VIEW 1 i VIEW 2). U svakom ispitivanju pacijentima je nasumično dodijeljen, u odnosu 1:1:1:1, jedan od četiri režima doziranja:</w:t>
      </w:r>
    </w:p>
    <w:p w:rsidR="00C55BD4" w:rsidRPr="00C55BD4" w:rsidRDefault="00C55BD4" w:rsidP="00C7646D">
      <w:pPr>
        <w:numPr>
          <w:ilvl w:val="0"/>
          <w:numId w:val="2"/>
        </w:numPr>
        <w:spacing w:after="0"/>
        <w:jc w:val="both"/>
        <w:rPr>
          <w:rFonts w:ascii="Times New Roman" w:hAnsi="Times New Roman" w:cs="Times New Roman"/>
          <w:lang w:val="sr-Latn-CS"/>
        </w:rPr>
      </w:pPr>
      <w:r w:rsidRPr="00C55BD4">
        <w:rPr>
          <w:rFonts w:ascii="Times New Roman" w:hAnsi="Times New Roman" w:cs="Times New Roman"/>
          <w:lang w:val="sr-Latn-CS"/>
        </w:rPr>
        <w:t>Lijek Eylea je primijenjen u dozi 2 mg svakih 8 nedjelja nakon 3 početne mjesečne doze (Eylea 2Q8)</w:t>
      </w:r>
    </w:p>
    <w:p w:rsidR="00C55BD4" w:rsidRPr="00C55BD4" w:rsidRDefault="00C55BD4" w:rsidP="00C7646D">
      <w:pPr>
        <w:numPr>
          <w:ilvl w:val="0"/>
          <w:numId w:val="2"/>
        </w:numPr>
        <w:spacing w:after="0"/>
        <w:jc w:val="both"/>
        <w:rPr>
          <w:rFonts w:ascii="Times New Roman" w:hAnsi="Times New Roman" w:cs="Times New Roman"/>
          <w:lang w:val="sr-Latn-CS"/>
        </w:rPr>
      </w:pPr>
      <w:r w:rsidRPr="00C55BD4">
        <w:rPr>
          <w:rFonts w:ascii="Times New Roman" w:hAnsi="Times New Roman" w:cs="Times New Roman"/>
          <w:lang w:val="sr-Latn-CS"/>
        </w:rPr>
        <w:t>Lijek Eylea je primijenjen u dozi 2 mg svake 4 nedjelje (Eylea 2Q4)</w:t>
      </w:r>
    </w:p>
    <w:p w:rsidR="00C55BD4" w:rsidRPr="00C55BD4" w:rsidRDefault="00C55BD4" w:rsidP="00C7646D">
      <w:pPr>
        <w:numPr>
          <w:ilvl w:val="0"/>
          <w:numId w:val="2"/>
        </w:numPr>
        <w:spacing w:after="0"/>
        <w:jc w:val="both"/>
        <w:rPr>
          <w:rFonts w:ascii="Times New Roman" w:hAnsi="Times New Roman" w:cs="Times New Roman"/>
          <w:lang w:val="sr-Latn-CS"/>
        </w:rPr>
      </w:pPr>
      <w:r w:rsidRPr="00C55BD4">
        <w:rPr>
          <w:rFonts w:ascii="Times New Roman" w:hAnsi="Times New Roman" w:cs="Times New Roman"/>
          <w:lang w:val="sr-Latn-CS"/>
        </w:rPr>
        <w:t xml:space="preserve">Lijek Eylea je primijenjen u dozi 0,5 mg svake 4 nedjelje (Eylea 0,5Q4) i </w:t>
      </w:r>
    </w:p>
    <w:p w:rsidR="00C55BD4" w:rsidRPr="00C55BD4" w:rsidRDefault="00C55BD4" w:rsidP="00C7646D">
      <w:pPr>
        <w:numPr>
          <w:ilvl w:val="0"/>
          <w:numId w:val="2"/>
        </w:numPr>
        <w:spacing w:after="0"/>
        <w:jc w:val="both"/>
        <w:rPr>
          <w:rFonts w:ascii="Times New Roman" w:hAnsi="Times New Roman" w:cs="Times New Roman"/>
          <w:lang w:val="sr-Latn-CS"/>
        </w:rPr>
      </w:pPr>
      <w:r w:rsidRPr="00C55BD4">
        <w:rPr>
          <w:rFonts w:ascii="Times New Roman" w:hAnsi="Times New Roman" w:cs="Times New Roman"/>
          <w:lang w:val="sr-Latn-CS"/>
        </w:rPr>
        <w:t>Ranibizumab je primijenjen u dozi 0,5 mg svake 4 nedjelje (ranibizumab 0,5Q4).</w:t>
      </w:r>
    </w:p>
    <w:p w:rsidR="00C55BD4" w:rsidRPr="00C55BD4" w:rsidRDefault="00C55BD4" w:rsidP="00C7646D">
      <w:pPr>
        <w:spacing w:after="0"/>
        <w:jc w:val="both"/>
        <w:rPr>
          <w:rFonts w:ascii="Times New Roman" w:hAnsi="Times New Roman" w:cs="Times New Roman"/>
          <w:lang w:val="sr-Latn-CS"/>
        </w:rPr>
      </w:pP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Starost pacijenata se kretala u rasponu od 49 do 99 godina, a prosječna starost je bila 76 godina.</w:t>
      </w:r>
    </w:p>
    <w:p w:rsidR="00C55BD4" w:rsidRPr="00C55BD4" w:rsidRDefault="00C55BD4" w:rsidP="00C7646D">
      <w:pPr>
        <w:spacing w:after="0"/>
        <w:rPr>
          <w:rFonts w:ascii="Times New Roman" w:hAnsi="Times New Roman" w:cs="Times New Roman"/>
          <w:lang w:val="sr-Latn-CS"/>
        </w:rPr>
      </w:pP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U drugoj godini ispitivanja, pacijenti su nastavljali da primaju istu jačinu doze koja im je inicijalno dodijeljena, ali je raspored primanja određene doze izmijenjen, rukovodeći se procjenom rezultata pregleda oštrine vida i pregleda očnog dna, pri čemu je protokolom definisani maksimalni interval za primanje doze bio 12 nedjelja.</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U oba ispitivanja, ključni parametar primarne efikasnosti bila je proporcija pacijenata koja je zadržala vid, što je prema protokolu definisano kao gubitak manji od 15 slova oštrine vida u 52. nedjelji terapije, u odnosu na početne vrijednosti.</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U ispitivanju VIEW 1, u 52. nedjelji, 95,1% pacijenata u terapijskoj grupi Eylea 2Q8 zadržalo je vid u poređenju sa 94,4% pacijenata u ranibizumab 0,5Q4 grupi. Pokazano je da je terapija lijekom Eylea nije inferiorna, odnosno da je bila klinički ekvivalentna terapiji u ranibizumab 0,5Q4 grupi.</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U ispitivanju VIEW 2, u 52. nedjelji, 95,6 %  pacijenata u terapijskoj grupi Eylea 2Q8 zadržalo je vid u poređenju sa 94,4% pacijenata u ranibizumab 0,5Q4 grupi. Pokazano je da terapija lijekom Eylea nije inferiorna, odnosno da je bila klinički ekvivalentna terapiji u ranibizumab 0,5Q4 grupi.</w:t>
      </w:r>
    </w:p>
    <w:p w:rsidR="00C55BD4" w:rsidRPr="00C55BD4" w:rsidRDefault="00C55BD4" w:rsidP="00C7646D">
      <w:pPr>
        <w:spacing w:after="0"/>
        <w:jc w:val="both"/>
        <w:rPr>
          <w:rFonts w:ascii="Times New Roman" w:hAnsi="Times New Roman" w:cs="Times New Roman"/>
          <w:lang w:val="sr-Latn-CS"/>
        </w:rPr>
      </w:pPr>
      <w:r w:rsidRPr="00C55BD4">
        <w:rPr>
          <w:rFonts w:ascii="Times New Roman" w:hAnsi="Times New Roman" w:cs="Times New Roman"/>
          <w:lang w:val="sr-Latn-CS"/>
        </w:rPr>
        <w:t xml:space="preserve">Detaljni rezultati iz kombinovane analize oba ispitivanja prikazani su ispod u tabeli 2 i na slici 1. </w:t>
      </w:r>
    </w:p>
    <w:p w:rsidR="00C7646D" w:rsidRDefault="00C7646D" w:rsidP="00C7646D">
      <w:pPr>
        <w:spacing w:after="0"/>
        <w:rPr>
          <w:rFonts w:ascii="Times New Roman" w:hAnsi="Times New Roman" w:cs="Times New Roman"/>
          <w:b/>
          <w:u w:val="single"/>
          <w:lang w:val="sr-Latn-CS"/>
        </w:rPr>
      </w:pPr>
    </w:p>
    <w:p w:rsidR="00162475" w:rsidRPr="00162475" w:rsidRDefault="00162475" w:rsidP="00C7646D">
      <w:pPr>
        <w:spacing w:after="0"/>
        <w:rPr>
          <w:rFonts w:ascii="Times New Roman" w:hAnsi="Times New Roman" w:cs="Times New Roman"/>
          <w:b/>
          <w:bCs/>
          <w:u w:val="single"/>
          <w:vertAlign w:val="superscript"/>
          <w:lang w:val="sr-Latn-CS"/>
        </w:rPr>
      </w:pPr>
      <w:r w:rsidRPr="00162475">
        <w:rPr>
          <w:rFonts w:ascii="Times New Roman" w:hAnsi="Times New Roman" w:cs="Times New Roman"/>
          <w:b/>
          <w:u w:val="single"/>
          <w:lang w:val="sr-Latn-CS"/>
        </w:rPr>
        <w:t>Tabela 2</w:t>
      </w:r>
      <w:r w:rsidRPr="00162475">
        <w:rPr>
          <w:rFonts w:ascii="Times New Roman" w:hAnsi="Times New Roman" w:cs="Times New Roman"/>
          <w:u w:val="single"/>
          <w:lang w:val="sr-Latn-CS"/>
        </w:rPr>
        <w:t>: Rezultati efikasnosti u 52.</w:t>
      </w:r>
      <w:r w:rsidR="00F31F15">
        <w:rPr>
          <w:rFonts w:ascii="Times New Roman" w:hAnsi="Times New Roman" w:cs="Times New Roman"/>
          <w:u w:val="single"/>
          <w:lang w:val="sr-Latn-CS"/>
        </w:rPr>
        <w:t xml:space="preserve"> </w:t>
      </w:r>
      <w:r w:rsidRPr="00162475">
        <w:rPr>
          <w:rFonts w:ascii="Times New Roman" w:hAnsi="Times New Roman" w:cs="Times New Roman"/>
          <w:u w:val="single"/>
          <w:lang w:val="sr-Latn-CS"/>
        </w:rPr>
        <w:t xml:space="preserve">nedjelji (primarna analiza) i u 96.nedjelji, udruženi podaci iz ispitivanja  VIEW 1 i VIEW2 </w:t>
      </w:r>
      <w:r w:rsidRPr="00162475">
        <w:rPr>
          <w:rFonts w:ascii="Times New Roman" w:hAnsi="Times New Roman" w:cs="Times New Roman"/>
          <w:vertAlign w:val="superscript"/>
          <w:lang w:val="sr-Latn-CS"/>
        </w:rPr>
        <w:t>B)</w:t>
      </w:r>
    </w:p>
    <w:p w:rsidR="00C55BD4" w:rsidRPr="00C55BD4" w:rsidRDefault="00C55BD4" w:rsidP="00C7646D">
      <w:pPr>
        <w:spacing w:after="0"/>
        <w:rPr>
          <w:rFonts w:ascii="Times New Roman" w:hAnsi="Times New Roman" w:cs="Times New Roman"/>
          <w:lang w:val="sr-Latn-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7"/>
        <w:gridCol w:w="1811"/>
        <w:gridCol w:w="1813"/>
        <w:gridCol w:w="1813"/>
        <w:gridCol w:w="1813"/>
      </w:tblGrid>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b/>
                <w:bCs/>
              </w:rPr>
            </w:pPr>
            <w:r w:rsidRPr="00C15CAE">
              <w:rPr>
                <w:rFonts w:ascii="Times New Roman" w:hAnsi="Times New Roman" w:cs="Times New Roman"/>
                <w:b/>
                <w:bCs/>
              </w:rPr>
              <w:t>Rezultat efikasnosti</w:t>
            </w:r>
          </w:p>
        </w:tc>
        <w:tc>
          <w:tcPr>
            <w:tcW w:w="2023" w:type="pct"/>
            <w:gridSpan w:val="2"/>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b/>
                <w:bCs/>
              </w:rPr>
            </w:pPr>
            <w:r w:rsidRPr="00C15CAE">
              <w:rPr>
                <w:rFonts w:ascii="Times New Roman" w:hAnsi="Times New Roman" w:cs="Times New Roman"/>
                <w:b/>
                <w:bCs/>
              </w:rPr>
              <w:t xml:space="preserve">Eylea 2Q8 </w:t>
            </w:r>
            <w:r w:rsidRPr="00C15CAE">
              <w:rPr>
                <w:rFonts w:ascii="Times New Roman" w:hAnsi="Times New Roman" w:cs="Times New Roman"/>
                <w:b/>
                <w:bCs/>
                <w:vertAlign w:val="superscript"/>
              </w:rPr>
              <w:t>E)</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(Eylea u dozi 2 mg svakih 8 ned</w:t>
            </w:r>
            <w:r>
              <w:rPr>
                <w:rFonts w:ascii="Times New Roman" w:hAnsi="Times New Roman" w:cs="Times New Roman"/>
              </w:rPr>
              <w:t>j</w:t>
            </w:r>
            <w:r w:rsidRPr="00C15CAE">
              <w:rPr>
                <w:rFonts w:ascii="Times New Roman" w:hAnsi="Times New Roman" w:cs="Times New Roman"/>
              </w:rPr>
              <w:t>elja nakon 3 početne m</w:t>
            </w:r>
            <w:r>
              <w:rPr>
                <w:rFonts w:ascii="Times New Roman" w:hAnsi="Times New Roman" w:cs="Times New Roman"/>
              </w:rPr>
              <w:t>j</w:t>
            </w:r>
            <w:r w:rsidRPr="00C15CAE">
              <w:rPr>
                <w:rFonts w:ascii="Times New Roman" w:hAnsi="Times New Roman" w:cs="Times New Roman"/>
              </w:rPr>
              <w:t>esečne doze)</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b/>
                <w:bCs/>
              </w:rPr>
            </w:pPr>
            <w:r w:rsidRPr="00C15CAE">
              <w:rPr>
                <w:rFonts w:ascii="Times New Roman" w:hAnsi="Times New Roman" w:cs="Times New Roman"/>
                <w:b/>
                <w:bCs/>
              </w:rPr>
              <w:t>(N=607)</w:t>
            </w:r>
          </w:p>
        </w:tc>
        <w:tc>
          <w:tcPr>
            <w:tcW w:w="2024" w:type="pct"/>
            <w:gridSpan w:val="2"/>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b/>
                <w:bCs/>
              </w:rPr>
            </w:pPr>
            <w:r w:rsidRPr="00C15CAE">
              <w:rPr>
                <w:rFonts w:ascii="Times New Roman" w:hAnsi="Times New Roman" w:cs="Times New Roman"/>
                <w:b/>
                <w:bCs/>
              </w:rPr>
              <w:t>Ranibizumab 0,5Q4</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(ranibizumab u dozi 0,5 mg svake 4 ned</w:t>
            </w:r>
            <w:r>
              <w:rPr>
                <w:rFonts w:ascii="Times New Roman" w:hAnsi="Times New Roman" w:cs="Times New Roman"/>
              </w:rPr>
              <w:t>j</w:t>
            </w:r>
            <w:r w:rsidRPr="00C15CAE">
              <w:rPr>
                <w:rFonts w:ascii="Times New Roman" w:hAnsi="Times New Roman" w:cs="Times New Roman"/>
              </w:rPr>
              <w:t>elje)</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b/>
                <w:bCs/>
              </w:rPr>
            </w:pPr>
            <w:r w:rsidRPr="00C15CAE">
              <w:rPr>
                <w:rFonts w:ascii="Times New Roman" w:hAnsi="Times New Roman" w:cs="Times New Roman"/>
                <w:b/>
                <w:bCs/>
              </w:rPr>
              <w:t>(N=595)</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p>
        </w:tc>
        <w:tc>
          <w:tcPr>
            <w:tcW w:w="1011"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52. ned</w:t>
            </w:r>
            <w:r>
              <w:rPr>
                <w:rFonts w:ascii="Times New Roman" w:hAnsi="Times New Roman" w:cs="Times New Roman"/>
              </w:rPr>
              <w:t>j</w:t>
            </w:r>
            <w:r w:rsidRPr="00C15CAE">
              <w:rPr>
                <w:rFonts w:ascii="Times New Roman" w:hAnsi="Times New Roman" w:cs="Times New Roman"/>
              </w:rPr>
              <w:t>elja</w:t>
            </w:r>
          </w:p>
        </w:tc>
        <w:tc>
          <w:tcPr>
            <w:tcW w:w="1012"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96. ned</w:t>
            </w:r>
            <w:r>
              <w:rPr>
                <w:rFonts w:ascii="Times New Roman" w:hAnsi="Times New Roman" w:cs="Times New Roman"/>
              </w:rPr>
              <w:t>j</w:t>
            </w:r>
            <w:r w:rsidRPr="00C15CAE">
              <w:rPr>
                <w:rFonts w:ascii="Times New Roman" w:hAnsi="Times New Roman" w:cs="Times New Roman"/>
              </w:rPr>
              <w:t xml:space="preserve">elja </w:t>
            </w:r>
            <w:r w:rsidRPr="00C15CAE">
              <w:rPr>
                <w:rFonts w:ascii="Times New Roman" w:hAnsi="Times New Roman" w:cs="Times New Roman"/>
                <w:vertAlign w:val="superscript"/>
              </w:rPr>
              <w:t>G)</w:t>
            </w:r>
          </w:p>
        </w:tc>
        <w:tc>
          <w:tcPr>
            <w:tcW w:w="1012"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52. ned</w:t>
            </w:r>
            <w:r>
              <w:rPr>
                <w:rFonts w:ascii="Times New Roman" w:hAnsi="Times New Roman" w:cs="Times New Roman"/>
              </w:rPr>
              <w:t>j</w:t>
            </w:r>
            <w:r w:rsidRPr="00C15CAE">
              <w:rPr>
                <w:rFonts w:ascii="Times New Roman" w:hAnsi="Times New Roman" w:cs="Times New Roman"/>
              </w:rPr>
              <w:t>elja</w:t>
            </w:r>
          </w:p>
        </w:tc>
        <w:tc>
          <w:tcPr>
            <w:tcW w:w="1012"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96. ned</w:t>
            </w:r>
            <w:r>
              <w:rPr>
                <w:rFonts w:ascii="Times New Roman" w:hAnsi="Times New Roman" w:cs="Times New Roman"/>
              </w:rPr>
              <w:t>j</w:t>
            </w:r>
            <w:r w:rsidRPr="00C15CAE">
              <w:rPr>
                <w:rFonts w:ascii="Times New Roman" w:hAnsi="Times New Roman" w:cs="Times New Roman"/>
              </w:rPr>
              <w:t xml:space="preserve">elja </w:t>
            </w:r>
            <w:r w:rsidRPr="00C15CAE">
              <w:rPr>
                <w:rFonts w:ascii="Times New Roman" w:hAnsi="Times New Roman" w:cs="Times New Roman"/>
                <w:vertAlign w:val="superscript"/>
              </w:rPr>
              <w:t>G)</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Pros</w:t>
            </w:r>
            <w:r>
              <w:rPr>
                <w:rFonts w:ascii="Times New Roman" w:hAnsi="Times New Roman" w:cs="Times New Roman"/>
              </w:rPr>
              <w:t>j</w:t>
            </w:r>
            <w:r w:rsidRPr="00C15CAE">
              <w:rPr>
                <w:rFonts w:ascii="Times New Roman" w:hAnsi="Times New Roman" w:cs="Times New Roman"/>
              </w:rPr>
              <w:t>ečan broj injekcija  od početka</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7,6</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11,2</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12,3</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16,5</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Pros</w:t>
            </w:r>
            <w:r>
              <w:rPr>
                <w:rFonts w:ascii="Times New Roman" w:hAnsi="Times New Roman" w:cs="Times New Roman"/>
              </w:rPr>
              <w:t>j</w:t>
            </w:r>
            <w:r w:rsidRPr="00C15CAE">
              <w:rPr>
                <w:rFonts w:ascii="Times New Roman" w:hAnsi="Times New Roman" w:cs="Times New Roman"/>
              </w:rPr>
              <w:t>ečan broj injekcija u drugoj godini (od 52 do 96 ned</w:t>
            </w:r>
            <w:r>
              <w:rPr>
                <w:rFonts w:ascii="Times New Roman" w:hAnsi="Times New Roman" w:cs="Times New Roman"/>
              </w:rPr>
              <w:t>j</w:t>
            </w:r>
            <w:r w:rsidRPr="00C15CAE">
              <w:rPr>
                <w:rFonts w:ascii="Times New Roman" w:hAnsi="Times New Roman" w:cs="Times New Roman"/>
              </w:rPr>
              <w:t>elje)</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4,2</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4,7</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lastRenderedPageBreak/>
              <w:t>Proporcija pacijenata sa očuvanom oštrinom vida (gubitak &lt;15 slova od BCVA</w:t>
            </w:r>
            <w:r w:rsidRPr="00C15CAE">
              <w:rPr>
                <w:rFonts w:ascii="Times New Roman" w:hAnsi="Times New Roman" w:cs="Times New Roman"/>
                <w:vertAlign w:val="superscript"/>
              </w:rPr>
              <w:t>A</w:t>
            </w:r>
            <w:r w:rsidRPr="00C15CAE">
              <w:rPr>
                <w:rFonts w:ascii="Times New Roman" w:hAnsi="Times New Roman" w:cs="Times New Roman"/>
              </w:rPr>
              <w:t>)   (određeno prema protokolu)</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95,33%</w:t>
            </w:r>
            <w:r w:rsidRPr="00C15CAE">
              <w:rPr>
                <w:rFonts w:ascii="Times New Roman" w:hAnsi="Times New Roman" w:cs="Times New Roman"/>
                <w:vertAlign w:val="superscript"/>
              </w:rPr>
              <w:t>B</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92,42%</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94,42%</w:t>
            </w:r>
            <w:r w:rsidRPr="00C15CAE">
              <w:rPr>
                <w:rFonts w:ascii="Times New Roman" w:hAnsi="Times New Roman" w:cs="Times New Roman"/>
                <w:vertAlign w:val="superscript"/>
              </w:rPr>
              <w:t>B</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91,60%</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 xml:space="preserve">Razlika </w:t>
            </w:r>
            <w:r w:rsidRPr="00C15CAE">
              <w:rPr>
                <w:rFonts w:ascii="Times New Roman" w:hAnsi="Times New Roman" w:cs="Times New Roman"/>
                <w:vertAlign w:val="superscript"/>
              </w:rPr>
              <w:t>C)</w:t>
            </w:r>
          </w:p>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 xml:space="preserve">(95% CI) </w:t>
            </w:r>
            <w:r w:rsidRPr="00C15CAE">
              <w:rPr>
                <w:rFonts w:ascii="Times New Roman" w:hAnsi="Times New Roman" w:cs="Times New Roman"/>
                <w:vertAlign w:val="superscript"/>
              </w:rPr>
              <w:t>D)</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0,9%</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(-1,7; 3,5)</w:t>
            </w:r>
            <w:r w:rsidRPr="00C15CAE">
              <w:rPr>
                <w:rFonts w:ascii="Times New Roman" w:hAnsi="Times New Roman" w:cs="Times New Roman"/>
                <w:vertAlign w:val="superscript"/>
              </w:rPr>
              <w:t xml:space="preserve"> F)</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0,8%</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(-2,3; 3,8)</w:t>
            </w:r>
            <w:r w:rsidRPr="00C15CAE">
              <w:rPr>
                <w:rFonts w:ascii="Times New Roman" w:hAnsi="Times New Roman" w:cs="Times New Roman"/>
                <w:vertAlign w:val="superscript"/>
              </w:rPr>
              <w:t>F)</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Pros</w:t>
            </w:r>
            <w:r>
              <w:rPr>
                <w:rFonts w:ascii="Times New Roman" w:hAnsi="Times New Roman" w:cs="Times New Roman"/>
              </w:rPr>
              <w:t>j</w:t>
            </w:r>
            <w:r w:rsidRPr="00C15CAE">
              <w:rPr>
                <w:rFonts w:ascii="Times New Roman" w:hAnsi="Times New Roman" w:cs="Times New Roman"/>
              </w:rPr>
              <w:t>ečna prom</w:t>
            </w:r>
            <w:r>
              <w:rPr>
                <w:rFonts w:ascii="Times New Roman" w:hAnsi="Times New Roman" w:cs="Times New Roman"/>
              </w:rPr>
              <w:t>j</w:t>
            </w:r>
            <w:r w:rsidRPr="00C15CAE">
              <w:rPr>
                <w:rFonts w:ascii="Times New Roman" w:hAnsi="Times New Roman" w:cs="Times New Roman"/>
              </w:rPr>
              <w:t>ena BCVA m</w:t>
            </w:r>
            <w:r>
              <w:rPr>
                <w:rFonts w:ascii="Times New Roman" w:hAnsi="Times New Roman" w:cs="Times New Roman"/>
              </w:rPr>
              <w:t>j</w:t>
            </w:r>
            <w:r w:rsidRPr="00C15CAE">
              <w:rPr>
                <w:rFonts w:ascii="Times New Roman" w:hAnsi="Times New Roman" w:cs="Times New Roman"/>
              </w:rPr>
              <w:t xml:space="preserve">ereno prema ETDRS </w:t>
            </w:r>
            <w:r w:rsidRPr="00C15CAE">
              <w:rPr>
                <w:rFonts w:ascii="Times New Roman" w:hAnsi="Times New Roman" w:cs="Times New Roman"/>
                <w:vertAlign w:val="superscript"/>
              </w:rPr>
              <w:t xml:space="preserve">A) </w:t>
            </w:r>
            <w:r w:rsidRPr="00C15CAE">
              <w:rPr>
                <w:rFonts w:ascii="Times New Roman" w:hAnsi="Times New Roman" w:cs="Times New Roman"/>
              </w:rPr>
              <w:t>rezultatu slova u odnosu na početne vr</w:t>
            </w:r>
            <w:r>
              <w:rPr>
                <w:rFonts w:ascii="Times New Roman" w:hAnsi="Times New Roman" w:cs="Times New Roman"/>
              </w:rPr>
              <w:t>ij</w:t>
            </w:r>
            <w:r w:rsidRPr="00C15CAE">
              <w:rPr>
                <w:rFonts w:ascii="Times New Roman" w:hAnsi="Times New Roman" w:cs="Times New Roman"/>
              </w:rPr>
              <w:t>ednosti</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8,40</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7,62</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8,74</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7,89</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 xml:space="preserve">Razlika LS </w:t>
            </w:r>
            <w:r w:rsidRPr="00C15CAE">
              <w:rPr>
                <w:rFonts w:ascii="Times New Roman" w:hAnsi="Times New Roman" w:cs="Times New Roman"/>
                <w:vertAlign w:val="superscript"/>
              </w:rPr>
              <w:t>A)</w:t>
            </w:r>
          </w:p>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pros</w:t>
            </w:r>
            <w:r>
              <w:rPr>
                <w:rFonts w:ascii="Times New Roman" w:hAnsi="Times New Roman" w:cs="Times New Roman"/>
              </w:rPr>
              <w:t>j</w:t>
            </w:r>
            <w:r w:rsidRPr="00C15CAE">
              <w:rPr>
                <w:rFonts w:ascii="Times New Roman" w:hAnsi="Times New Roman" w:cs="Times New Roman"/>
              </w:rPr>
              <w:t>ečna prom</w:t>
            </w:r>
            <w:r>
              <w:rPr>
                <w:rFonts w:ascii="Times New Roman" w:hAnsi="Times New Roman" w:cs="Times New Roman"/>
              </w:rPr>
              <w:t>j</w:t>
            </w:r>
            <w:r w:rsidRPr="00C15CAE">
              <w:rPr>
                <w:rFonts w:ascii="Times New Roman" w:hAnsi="Times New Roman" w:cs="Times New Roman"/>
              </w:rPr>
              <w:t xml:space="preserve">ena (ETDRS slova) </w:t>
            </w:r>
            <w:r w:rsidRPr="00C15CAE">
              <w:rPr>
                <w:rFonts w:ascii="Times New Roman" w:hAnsi="Times New Roman" w:cs="Times New Roman"/>
                <w:vertAlign w:val="superscript"/>
              </w:rPr>
              <w:t>C)</w:t>
            </w:r>
            <w:r w:rsidRPr="00C15CAE">
              <w:rPr>
                <w:rFonts w:ascii="Times New Roman" w:hAnsi="Times New Roman" w:cs="Times New Roman"/>
              </w:rPr>
              <w:t xml:space="preserve"> </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 xml:space="preserve">(95% CI) </w:t>
            </w:r>
            <w:r w:rsidRPr="00C15CAE">
              <w:rPr>
                <w:rFonts w:ascii="Times New Roman" w:hAnsi="Times New Roman" w:cs="Times New Roman"/>
                <w:vertAlign w:val="superscript"/>
              </w:rPr>
              <w:t>D)</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-0,32</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(-1,87; 1,23)</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-0,25</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(-1,98; 1,49)</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Proporcija pacijenata koji su postigli najmanje 15 slova u vidu u odnosu na početne vr</w:t>
            </w:r>
            <w:r>
              <w:rPr>
                <w:rFonts w:ascii="Times New Roman" w:hAnsi="Times New Roman" w:cs="Times New Roman"/>
              </w:rPr>
              <w:t>ij</w:t>
            </w:r>
            <w:r w:rsidRPr="00C15CAE">
              <w:rPr>
                <w:rFonts w:ascii="Times New Roman" w:hAnsi="Times New Roman" w:cs="Times New Roman"/>
              </w:rPr>
              <w:t>ednosti</w:t>
            </w:r>
          </w:p>
        </w:tc>
        <w:tc>
          <w:tcPr>
            <w:tcW w:w="1011"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30,97%</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33,44%</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32,44%</w:t>
            </w:r>
          </w:p>
        </w:tc>
        <w:tc>
          <w:tcPr>
            <w:tcW w:w="1012" w:type="pct"/>
            <w:tcBorders>
              <w:top w:val="single" w:sz="4" w:space="0" w:color="auto"/>
              <w:left w:val="single" w:sz="4" w:space="0" w:color="auto"/>
              <w:bottom w:val="single" w:sz="4" w:space="0" w:color="auto"/>
              <w:right w:val="single" w:sz="4" w:space="0" w:color="auto"/>
            </w:tcBorders>
            <w:vAlign w:val="center"/>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31,60%</w:t>
            </w:r>
          </w:p>
        </w:tc>
      </w:tr>
      <w:tr w:rsidR="00957FDF" w:rsidRPr="00C15CAE" w:rsidTr="00C7646D">
        <w:tc>
          <w:tcPr>
            <w:tcW w:w="953"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 xml:space="preserve">Razlika </w:t>
            </w:r>
            <w:r w:rsidRPr="00C15CAE">
              <w:rPr>
                <w:rFonts w:ascii="Times New Roman" w:hAnsi="Times New Roman" w:cs="Times New Roman"/>
                <w:vertAlign w:val="superscript"/>
              </w:rPr>
              <w:t>C)</w:t>
            </w:r>
          </w:p>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rPr>
              <w:t xml:space="preserve">(95% CI) </w:t>
            </w:r>
            <w:r w:rsidRPr="00C15CAE">
              <w:rPr>
                <w:rFonts w:ascii="Times New Roman" w:hAnsi="Times New Roman" w:cs="Times New Roman"/>
                <w:vertAlign w:val="superscript"/>
              </w:rPr>
              <w:t>D)</w:t>
            </w:r>
          </w:p>
        </w:tc>
        <w:tc>
          <w:tcPr>
            <w:tcW w:w="1011"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-1,5%</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(-6,8; 3,8)</w:t>
            </w:r>
          </w:p>
        </w:tc>
        <w:tc>
          <w:tcPr>
            <w:tcW w:w="1012"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1,8%</w:t>
            </w:r>
          </w:p>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rPr>
              <w:t>(-3,5; 7,1)</w:t>
            </w:r>
          </w:p>
        </w:tc>
        <w:tc>
          <w:tcPr>
            <w:tcW w:w="1012"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c>
          <w:tcPr>
            <w:tcW w:w="1012" w:type="pct"/>
            <w:tcBorders>
              <w:top w:val="single" w:sz="4" w:space="0" w:color="auto"/>
              <w:left w:val="single" w:sz="4" w:space="0" w:color="auto"/>
              <w:bottom w:val="single" w:sz="4" w:space="0" w:color="auto"/>
              <w:right w:val="single" w:sz="4" w:space="0" w:color="auto"/>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rPr>
            </w:pPr>
          </w:p>
        </w:tc>
      </w:tr>
    </w:tbl>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BCVA</w:t>
      </w:r>
      <w:r w:rsidRPr="00C15CAE">
        <w:t xml:space="preserve"> (</w:t>
      </w:r>
      <w:r w:rsidRPr="00C15CAE">
        <w:rPr>
          <w:rFonts w:ascii="Times New Roman" w:hAnsi="Times New Roman" w:cs="Times New Roman"/>
        </w:rPr>
        <w:t>Best Corrected Visual Acuity)- najbolja korigovana oštrina vida</w:t>
      </w:r>
    </w:p>
    <w:p w:rsidR="00957FDF" w:rsidRPr="00C15CAE" w:rsidRDefault="00957FDF" w:rsidP="00C7646D">
      <w:pPr>
        <w:pStyle w:val="ListParagraph"/>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ETDRS (Early Treatment Diabetic Retinopathy Study)</w:t>
      </w:r>
      <w:r>
        <w:rPr>
          <w:rFonts w:ascii="Times New Roman" w:hAnsi="Times New Roman" w:cs="Times New Roman"/>
        </w:rPr>
        <w:t xml:space="preserve"> – studija rane terapije u dijabetićnoj retinopatiji</w:t>
      </w:r>
    </w:p>
    <w:p w:rsidR="00957FDF" w:rsidRPr="00C15CAE" w:rsidRDefault="00957FDF" w:rsidP="00C7646D">
      <w:pPr>
        <w:pStyle w:val="ListParagraph"/>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 xml:space="preserve">LS (Least square means derived from ANCOVA) </w:t>
      </w:r>
      <w:r>
        <w:rPr>
          <w:rFonts w:ascii="Times New Roman" w:hAnsi="Times New Roman" w:cs="Times New Roman"/>
        </w:rPr>
        <w:t>– najmanji prosječni kvadrat izveden iz ANCOVA</w:t>
      </w:r>
    </w:p>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Full Analysis Set (FAS)</w:t>
      </w:r>
      <w:r>
        <w:rPr>
          <w:rFonts w:ascii="Times New Roman" w:hAnsi="Times New Roman" w:cs="Times New Roman"/>
        </w:rPr>
        <w:t xml:space="preserve"> – postavka za kompletnu analizu</w:t>
      </w:r>
      <w:r w:rsidRPr="00C15CAE">
        <w:rPr>
          <w:rFonts w:ascii="Times New Roman" w:hAnsi="Times New Roman" w:cs="Times New Roman"/>
        </w:rPr>
        <w:t xml:space="preserve">, Last Observation Carried Forward (LOCF) </w:t>
      </w:r>
      <w:r>
        <w:rPr>
          <w:rFonts w:ascii="Times New Roman" w:hAnsi="Times New Roman" w:cs="Times New Roman"/>
        </w:rPr>
        <w:t xml:space="preserve">– prenijeta posljednja opservacija, </w:t>
      </w:r>
      <w:r w:rsidRPr="00C15CAE">
        <w:rPr>
          <w:rFonts w:ascii="Times New Roman" w:hAnsi="Times New Roman" w:cs="Times New Roman"/>
        </w:rPr>
        <w:t>za sve analize osim za proporciju pacijenata sa očuvanom oštrinom vida u 52. nedelji jer je tako određeno protokolom,</w:t>
      </w:r>
    </w:p>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Razlika je vr</w:t>
      </w:r>
      <w:r>
        <w:rPr>
          <w:rFonts w:ascii="Times New Roman" w:hAnsi="Times New Roman" w:cs="Times New Roman"/>
        </w:rPr>
        <w:t>ij</w:t>
      </w:r>
      <w:r w:rsidRPr="00C15CAE">
        <w:rPr>
          <w:rFonts w:ascii="Times New Roman" w:hAnsi="Times New Roman" w:cs="Times New Roman"/>
        </w:rPr>
        <w:t>ednost grupe Eylea minus vr</w:t>
      </w:r>
      <w:r>
        <w:rPr>
          <w:rFonts w:ascii="Times New Roman" w:hAnsi="Times New Roman" w:cs="Times New Roman"/>
        </w:rPr>
        <w:t>ij</w:t>
      </w:r>
      <w:r w:rsidRPr="00C15CAE">
        <w:rPr>
          <w:rFonts w:ascii="Times New Roman" w:hAnsi="Times New Roman" w:cs="Times New Roman"/>
        </w:rPr>
        <w:t>ednost ranibizumab grupe. Pozitivna vr</w:t>
      </w:r>
      <w:r>
        <w:rPr>
          <w:rFonts w:ascii="Times New Roman" w:hAnsi="Times New Roman" w:cs="Times New Roman"/>
        </w:rPr>
        <w:t>ij</w:t>
      </w:r>
      <w:r w:rsidRPr="00C15CAE">
        <w:rPr>
          <w:rFonts w:ascii="Times New Roman" w:hAnsi="Times New Roman" w:cs="Times New Roman"/>
        </w:rPr>
        <w:t>ednost favorizuje l</w:t>
      </w:r>
      <w:r>
        <w:rPr>
          <w:rFonts w:ascii="Times New Roman" w:hAnsi="Times New Roman" w:cs="Times New Roman"/>
        </w:rPr>
        <w:t>ij</w:t>
      </w:r>
      <w:r w:rsidRPr="00C15CAE">
        <w:rPr>
          <w:rFonts w:ascii="Times New Roman" w:hAnsi="Times New Roman" w:cs="Times New Roman"/>
        </w:rPr>
        <w:t>ek Eylea</w:t>
      </w:r>
    </w:p>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Interval pouzdanosti (CI) obračunato sa normalnim zaokruživanjem</w:t>
      </w:r>
    </w:p>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Nakon početne terapije od tri m</w:t>
      </w:r>
      <w:r>
        <w:rPr>
          <w:rFonts w:ascii="Times New Roman" w:hAnsi="Times New Roman" w:cs="Times New Roman"/>
        </w:rPr>
        <w:t>j</w:t>
      </w:r>
      <w:r w:rsidRPr="00C15CAE">
        <w:rPr>
          <w:rFonts w:ascii="Times New Roman" w:hAnsi="Times New Roman" w:cs="Times New Roman"/>
        </w:rPr>
        <w:t>esečne doze</w:t>
      </w:r>
    </w:p>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lastRenderedPageBreak/>
        <w:t>Interval pouzdanosti leži u potpunosti iznad -10% što ukazuje da Eylea nije inferiorna u odnosu na ranibizumab</w:t>
      </w:r>
    </w:p>
    <w:p w:rsidR="00957FDF" w:rsidRPr="00C15CAE" w:rsidRDefault="00957FDF" w:rsidP="00C7646D">
      <w:pPr>
        <w:pStyle w:val="ListParagraph"/>
        <w:numPr>
          <w:ilvl w:val="0"/>
          <w:numId w:val="3"/>
        </w:numPr>
        <w:tabs>
          <w:tab w:val="left" w:pos="284"/>
          <w:tab w:val="center" w:pos="720"/>
          <w:tab w:val="right" w:pos="9072"/>
        </w:tabs>
        <w:spacing w:after="0" w:line="240" w:lineRule="auto"/>
        <w:jc w:val="both"/>
        <w:rPr>
          <w:rFonts w:ascii="Times New Roman" w:hAnsi="Times New Roman" w:cs="Times New Roman"/>
        </w:rPr>
      </w:pPr>
      <w:r w:rsidRPr="00C15CAE">
        <w:rPr>
          <w:rFonts w:ascii="Times New Roman" w:hAnsi="Times New Roman" w:cs="Times New Roman"/>
        </w:rPr>
        <w:t>Počevši od 52. ned</w:t>
      </w:r>
      <w:r>
        <w:rPr>
          <w:rFonts w:ascii="Times New Roman" w:hAnsi="Times New Roman" w:cs="Times New Roman"/>
        </w:rPr>
        <w:t>j</w:t>
      </w:r>
      <w:r w:rsidRPr="00C15CAE">
        <w:rPr>
          <w:rFonts w:ascii="Times New Roman" w:hAnsi="Times New Roman" w:cs="Times New Roman"/>
        </w:rPr>
        <w:t>elje, sve grupe su dobijale terapiju prema modifikovanom kvartalnom terapijskom obrascu, a na osnovu unapr</w:t>
      </w:r>
      <w:r>
        <w:rPr>
          <w:rFonts w:ascii="Times New Roman" w:hAnsi="Times New Roman" w:cs="Times New Roman"/>
        </w:rPr>
        <w:t>ij</w:t>
      </w:r>
      <w:r w:rsidRPr="00C15CAE">
        <w:rPr>
          <w:rFonts w:ascii="Times New Roman" w:hAnsi="Times New Roman" w:cs="Times New Roman"/>
        </w:rPr>
        <w:t>ed zadatih terapijskih kriterijuma gd</w:t>
      </w:r>
      <w:r>
        <w:rPr>
          <w:rFonts w:ascii="Times New Roman" w:hAnsi="Times New Roman" w:cs="Times New Roman"/>
        </w:rPr>
        <w:t>j</w:t>
      </w:r>
      <w:r w:rsidRPr="00C15CAE">
        <w:rPr>
          <w:rFonts w:ascii="Times New Roman" w:hAnsi="Times New Roman" w:cs="Times New Roman"/>
        </w:rPr>
        <w:t>e su pacijenti mogli dobiti dozu najčešće svake 4 ned</w:t>
      </w:r>
      <w:r>
        <w:rPr>
          <w:rFonts w:ascii="Times New Roman" w:hAnsi="Times New Roman" w:cs="Times New Roman"/>
        </w:rPr>
        <w:t>j</w:t>
      </w:r>
      <w:r w:rsidRPr="00C15CAE">
        <w:rPr>
          <w:rFonts w:ascii="Times New Roman" w:hAnsi="Times New Roman" w:cs="Times New Roman"/>
        </w:rPr>
        <w:t>elje, ali ne r</w:t>
      </w:r>
      <w:r>
        <w:rPr>
          <w:rFonts w:ascii="Times New Roman" w:hAnsi="Times New Roman" w:cs="Times New Roman"/>
        </w:rPr>
        <w:t>j</w:t>
      </w:r>
      <w:r w:rsidRPr="00C15CAE">
        <w:rPr>
          <w:rFonts w:ascii="Times New Roman" w:hAnsi="Times New Roman" w:cs="Times New Roman"/>
        </w:rPr>
        <w:t>eđe od svakih 12 ned</w:t>
      </w:r>
      <w:r>
        <w:rPr>
          <w:rFonts w:ascii="Times New Roman" w:hAnsi="Times New Roman" w:cs="Times New Roman"/>
        </w:rPr>
        <w:t>j</w:t>
      </w:r>
      <w:r w:rsidRPr="00C15CAE">
        <w:rPr>
          <w:rFonts w:ascii="Times New Roman" w:hAnsi="Times New Roman" w:cs="Times New Roman"/>
        </w:rPr>
        <w:t>elja.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b/>
        </w:rPr>
      </w:pPr>
    </w:p>
    <w:p w:rsidR="00957FDF" w:rsidRPr="00C15CAE" w:rsidRDefault="00957FDF"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b/>
        </w:rPr>
        <w:t>Slika 1</w:t>
      </w:r>
      <w:r w:rsidRPr="00C15CAE">
        <w:rPr>
          <w:rFonts w:ascii="Times New Roman" w:hAnsi="Times New Roman" w:cs="Times New Roman"/>
        </w:rPr>
        <w:t>: Pros</w:t>
      </w:r>
      <w:r>
        <w:rPr>
          <w:rFonts w:ascii="Times New Roman" w:hAnsi="Times New Roman" w:cs="Times New Roman"/>
        </w:rPr>
        <w:t>j</w:t>
      </w:r>
      <w:r w:rsidRPr="00C15CAE">
        <w:rPr>
          <w:rFonts w:ascii="Times New Roman" w:hAnsi="Times New Roman" w:cs="Times New Roman"/>
        </w:rPr>
        <w:t>ečna prom</w:t>
      </w:r>
      <w:r>
        <w:rPr>
          <w:rFonts w:ascii="Times New Roman" w:hAnsi="Times New Roman" w:cs="Times New Roman"/>
        </w:rPr>
        <w:t>j</w:t>
      </w:r>
      <w:r w:rsidRPr="00C15CAE">
        <w:rPr>
          <w:rFonts w:ascii="Times New Roman" w:hAnsi="Times New Roman" w:cs="Times New Roman"/>
        </w:rPr>
        <w:t>ena oštrine vida od početka do 96. ned</w:t>
      </w:r>
      <w:r>
        <w:rPr>
          <w:rFonts w:ascii="Times New Roman" w:hAnsi="Times New Roman" w:cs="Times New Roman"/>
        </w:rPr>
        <w:t>j</w:t>
      </w:r>
      <w:r w:rsidRPr="00C15CAE">
        <w:rPr>
          <w:rFonts w:ascii="Times New Roman" w:hAnsi="Times New Roman" w:cs="Times New Roman"/>
        </w:rPr>
        <w:t>elje za kombinovane podatke iz ispitivanja VIEW 1 i VIEW 2</w:t>
      </w:r>
    </w:p>
    <w:tbl>
      <w:tblPr>
        <w:tblW w:w="0" w:type="auto"/>
        <w:tblLayout w:type="fixed"/>
        <w:tblLook w:val="00A0" w:firstRow="1" w:lastRow="0" w:firstColumn="1" w:lastColumn="0" w:noHBand="0" w:noVBand="0"/>
      </w:tblPr>
      <w:tblGrid>
        <w:gridCol w:w="810"/>
        <w:gridCol w:w="8245"/>
      </w:tblGrid>
      <w:tr w:rsidR="00957FDF" w:rsidRPr="00C15CAE" w:rsidTr="00957FDF">
        <w:trPr>
          <w:cantSplit/>
          <w:trHeight w:val="3154"/>
        </w:trPr>
        <w:tc>
          <w:tcPr>
            <w:tcW w:w="810" w:type="dxa"/>
            <w:tcBorders>
              <w:top w:val="nil"/>
              <w:left w:val="nil"/>
              <w:bottom w:val="nil"/>
              <w:right w:val="nil"/>
            </w:tcBorders>
            <w:textDirection w:val="btLr"/>
          </w:tcPr>
          <w:p w:rsidR="00957FDF" w:rsidRPr="00C15CAE" w:rsidRDefault="00957FDF" w:rsidP="00C7646D">
            <w:pPr>
              <w:tabs>
                <w:tab w:val="left" w:pos="284"/>
                <w:tab w:val="center" w:pos="4536"/>
                <w:tab w:val="right" w:pos="9072"/>
              </w:tabs>
              <w:spacing w:after="0" w:line="240" w:lineRule="auto"/>
              <w:ind w:left="113" w:right="113"/>
              <w:jc w:val="center"/>
              <w:rPr>
                <w:rFonts w:ascii="Times New Roman" w:hAnsi="Times New Roman" w:cs="Times New Roman"/>
              </w:rPr>
            </w:pPr>
            <w:r w:rsidRPr="00C15CAE">
              <w:rPr>
                <w:rFonts w:ascii="Times New Roman" w:hAnsi="Times New Roman" w:cs="Times New Roman"/>
              </w:rPr>
              <w:t>Pros</w:t>
            </w:r>
            <w:r>
              <w:rPr>
                <w:rFonts w:ascii="Times New Roman" w:hAnsi="Times New Roman" w:cs="Times New Roman"/>
              </w:rPr>
              <w:t>j</w:t>
            </w:r>
            <w:r w:rsidRPr="00C15CAE">
              <w:rPr>
                <w:rFonts w:ascii="Times New Roman" w:hAnsi="Times New Roman" w:cs="Times New Roman"/>
              </w:rPr>
              <w:t>ečma prom</w:t>
            </w:r>
            <w:r>
              <w:rPr>
                <w:rFonts w:ascii="Times New Roman" w:hAnsi="Times New Roman" w:cs="Times New Roman"/>
              </w:rPr>
              <w:t>j</w:t>
            </w:r>
            <w:r w:rsidRPr="00C15CAE">
              <w:rPr>
                <w:rFonts w:ascii="Times New Roman" w:hAnsi="Times New Roman" w:cs="Times New Roman"/>
              </w:rPr>
              <w:t xml:space="preserve">ena oštrine vida </w:t>
            </w:r>
          </w:p>
          <w:p w:rsidR="00957FDF" w:rsidRPr="00C15CAE" w:rsidRDefault="00957FDF" w:rsidP="00C7646D">
            <w:pPr>
              <w:tabs>
                <w:tab w:val="left" w:pos="284"/>
                <w:tab w:val="center" w:pos="4536"/>
                <w:tab w:val="right" w:pos="9072"/>
              </w:tabs>
              <w:spacing w:after="0" w:line="240" w:lineRule="auto"/>
              <w:ind w:left="113" w:right="113"/>
              <w:jc w:val="center"/>
              <w:rPr>
                <w:rFonts w:ascii="Times New Roman" w:hAnsi="Times New Roman" w:cs="Times New Roman"/>
              </w:rPr>
            </w:pPr>
            <w:r w:rsidRPr="00C15CAE">
              <w:rPr>
                <w:rFonts w:ascii="Times New Roman" w:hAnsi="Times New Roman" w:cs="Times New Roman"/>
              </w:rPr>
              <w:t>(slova)</w:t>
            </w:r>
          </w:p>
        </w:tc>
        <w:tc>
          <w:tcPr>
            <w:tcW w:w="8245" w:type="dxa"/>
            <w:tcBorders>
              <w:top w:val="nil"/>
              <w:left w:val="nil"/>
              <w:bottom w:val="nil"/>
              <w:right w:val="nil"/>
            </w:tcBorders>
          </w:tcPr>
          <w:p w:rsidR="00957FDF" w:rsidRPr="00C15CAE" w:rsidRDefault="00957FDF" w:rsidP="00C7646D">
            <w:pPr>
              <w:tabs>
                <w:tab w:val="left" w:pos="284"/>
                <w:tab w:val="center" w:pos="4536"/>
                <w:tab w:val="right" w:pos="9072"/>
              </w:tabs>
              <w:spacing w:after="0" w:line="240" w:lineRule="auto"/>
              <w:rPr>
                <w:rFonts w:ascii="Times New Roman" w:hAnsi="Times New Roman" w:cs="Times New Roman"/>
              </w:rPr>
            </w:pPr>
            <w:r w:rsidRPr="00C15CAE">
              <w:rPr>
                <w:rFonts w:ascii="Times New Roman" w:hAnsi="Times New Roman" w:cs="Times New Roman"/>
                <w:noProof/>
              </w:rPr>
              <w:drawing>
                <wp:inline distT="0" distB="0" distL="0" distR="0" wp14:anchorId="793F9CE5" wp14:editId="1872FFCB">
                  <wp:extent cx="4800600" cy="1828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828800"/>
                          </a:xfrm>
                          <a:prstGeom prst="rect">
                            <a:avLst/>
                          </a:prstGeom>
                          <a:noFill/>
                          <a:ln>
                            <a:noFill/>
                          </a:ln>
                        </pic:spPr>
                      </pic:pic>
                    </a:graphicData>
                  </a:graphic>
                </wp:inline>
              </w:drawing>
            </w:r>
          </w:p>
        </w:tc>
      </w:tr>
      <w:tr w:rsidR="00957FDF" w:rsidRPr="00C15CAE" w:rsidTr="00957FDF">
        <w:trPr>
          <w:cantSplit/>
          <w:trHeight w:val="337"/>
        </w:trPr>
        <w:tc>
          <w:tcPr>
            <w:tcW w:w="810" w:type="dxa"/>
            <w:tcBorders>
              <w:top w:val="nil"/>
              <w:left w:val="nil"/>
              <w:bottom w:val="nil"/>
              <w:right w:val="nil"/>
            </w:tcBorders>
            <w:textDirection w:val="btLr"/>
          </w:tcPr>
          <w:p w:rsidR="00957FDF" w:rsidRPr="00C15CAE" w:rsidRDefault="00957FDF" w:rsidP="00C7646D">
            <w:pPr>
              <w:tabs>
                <w:tab w:val="left" w:pos="284"/>
                <w:tab w:val="center" w:pos="4536"/>
                <w:tab w:val="right" w:pos="9072"/>
              </w:tabs>
              <w:spacing w:after="0" w:line="240" w:lineRule="auto"/>
              <w:ind w:left="113" w:right="113"/>
              <w:jc w:val="center"/>
              <w:rPr>
                <w:rFonts w:ascii="Times New Roman" w:hAnsi="Times New Roman" w:cs="Times New Roman"/>
              </w:rPr>
            </w:pPr>
          </w:p>
        </w:tc>
        <w:tc>
          <w:tcPr>
            <w:tcW w:w="8245" w:type="dxa"/>
            <w:tcBorders>
              <w:top w:val="nil"/>
              <w:left w:val="nil"/>
              <w:bottom w:val="nil"/>
              <w:right w:val="nil"/>
            </w:tcBorders>
          </w:tcPr>
          <w:p w:rsidR="00957FDF" w:rsidRPr="00C15CAE" w:rsidRDefault="00957FDF" w:rsidP="00C7646D">
            <w:pPr>
              <w:tabs>
                <w:tab w:val="left" w:pos="284"/>
                <w:tab w:val="center" w:pos="4536"/>
                <w:tab w:val="right" w:pos="9072"/>
              </w:tabs>
              <w:spacing w:after="0" w:line="240" w:lineRule="auto"/>
              <w:jc w:val="center"/>
              <w:rPr>
                <w:rFonts w:ascii="Times New Roman" w:hAnsi="Times New Roman" w:cs="Times New Roman"/>
                <w:noProof/>
              </w:rPr>
            </w:pPr>
            <w:r w:rsidRPr="00C15CAE">
              <w:rPr>
                <w:rFonts w:ascii="Times New Roman" w:hAnsi="Times New Roman" w:cs="Times New Roman"/>
              </w:rPr>
              <w:t>Ned</w:t>
            </w:r>
            <w:r>
              <w:rPr>
                <w:rFonts w:ascii="Times New Roman" w:hAnsi="Times New Roman" w:cs="Times New Roman"/>
              </w:rPr>
              <w:t>j</w:t>
            </w:r>
            <w:r w:rsidRPr="00C15CAE">
              <w:rPr>
                <w:rFonts w:ascii="Times New Roman" w:hAnsi="Times New Roman" w:cs="Times New Roman"/>
              </w:rPr>
              <w:t>elje</w:t>
            </w:r>
          </w:p>
        </w:tc>
      </w:tr>
    </w:tbl>
    <w:p w:rsidR="00957FDF" w:rsidRDefault="00957FDF" w:rsidP="00C7646D">
      <w:pPr>
        <w:tabs>
          <w:tab w:val="left" w:pos="284"/>
          <w:tab w:val="center" w:pos="4536"/>
          <w:tab w:val="right" w:pos="9072"/>
        </w:tabs>
        <w:spacing w:after="0" w:line="240" w:lineRule="auto"/>
        <w:jc w:val="center"/>
        <w:rPr>
          <w:rFonts w:ascii="Times New Roman" w:hAnsi="Times New Roman" w:cs="Times New Roman"/>
        </w:rPr>
      </w:pPr>
      <w:r w:rsidRPr="00C15CAE">
        <w:rPr>
          <w:rFonts w:ascii="Times New Roman" w:hAnsi="Times New Roman" w:cs="Times New Roman"/>
          <w:b/>
          <w:bCs/>
          <w:noProof/>
        </w:rPr>
        <w:drawing>
          <wp:inline distT="0" distB="0" distL="0" distR="0" wp14:anchorId="0ECBD94E" wp14:editId="3D5C2E8C">
            <wp:extent cx="1095375" cy="152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sidRPr="00C15CAE">
        <w:rPr>
          <w:rFonts w:ascii="Times New Roman" w:hAnsi="Times New Roman" w:cs="Times New Roman"/>
        </w:rPr>
        <w:t>ned</w:t>
      </w:r>
      <w:r>
        <w:rPr>
          <w:rFonts w:ascii="Times New Roman" w:hAnsi="Times New Roman" w:cs="Times New Roman"/>
        </w:rPr>
        <w:t>j</w:t>
      </w:r>
      <w:r w:rsidRPr="00C15CAE">
        <w:rPr>
          <w:rFonts w:ascii="Times New Roman" w:hAnsi="Times New Roman" w:cs="Times New Roman"/>
        </w:rPr>
        <w:t xml:space="preserve">elja*   </w:t>
      </w:r>
      <w:r w:rsidRPr="00C15CAE">
        <w:rPr>
          <w:rFonts w:ascii="Times New Roman" w:hAnsi="Times New Roman" w:cs="Times New Roman"/>
          <w:noProof/>
        </w:rPr>
        <w:drawing>
          <wp:inline distT="0" distB="0" distL="0" distR="0" wp14:anchorId="147286F4" wp14:editId="08B00D2B">
            <wp:extent cx="1266825" cy="142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42875"/>
                    </a:xfrm>
                    <a:prstGeom prst="rect">
                      <a:avLst/>
                    </a:prstGeom>
                    <a:noFill/>
                    <a:ln>
                      <a:noFill/>
                    </a:ln>
                  </pic:spPr>
                </pic:pic>
              </a:graphicData>
            </a:graphic>
          </wp:inline>
        </w:drawing>
      </w:r>
      <w:r w:rsidRPr="00C15CAE">
        <w:rPr>
          <w:rFonts w:ascii="Times New Roman" w:hAnsi="Times New Roman" w:cs="Times New Roman"/>
        </w:rPr>
        <w:t xml:space="preserve"> ned</w:t>
      </w:r>
      <w:r>
        <w:rPr>
          <w:rFonts w:ascii="Times New Roman" w:hAnsi="Times New Roman" w:cs="Times New Roman"/>
        </w:rPr>
        <w:t>j</w:t>
      </w:r>
      <w:r w:rsidRPr="00C15CAE">
        <w:rPr>
          <w:rFonts w:ascii="Times New Roman" w:hAnsi="Times New Roman" w:cs="Times New Roman"/>
        </w:rPr>
        <w:t>elja*</w:t>
      </w:r>
    </w:p>
    <w:p w:rsidR="00C7646D" w:rsidRPr="00C15CAE" w:rsidRDefault="00C7646D" w:rsidP="00C7646D">
      <w:pPr>
        <w:tabs>
          <w:tab w:val="left" w:pos="284"/>
          <w:tab w:val="center" w:pos="4536"/>
          <w:tab w:val="right" w:pos="9072"/>
        </w:tabs>
        <w:spacing w:after="0" w:line="240" w:lineRule="auto"/>
        <w:jc w:val="center"/>
        <w:rPr>
          <w:rFonts w:ascii="Times New Roman" w:hAnsi="Times New Roman" w:cs="Times New Roman"/>
          <w:b/>
          <w:bCs/>
        </w:rPr>
      </w:pPr>
    </w:p>
    <w:p w:rsidR="00B9159D" w:rsidRDefault="00B9159D" w:rsidP="00C7646D">
      <w:pPr>
        <w:spacing w:after="0"/>
        <w:jc w:val="both"/>
        <w:rPr>
          <w:rFonts w:ascii="Times New Roman" w:hAnsi="Times New Roman" w:cs="Times New Roman"/>
          <w:b/>
          <w:bCs/>
          <w:lang w:val="sr-Latn-CS"/>
        </w:rPr>
      </w:pPr>
      <w:r w:rsidRPr="00B9159D">
        <w:rPr>
          <w:rFonts w:ascii="Times New Roman" w:hAnsi="Times New Roman" w:cs="Times New Roman"/>
          <w:b/>
          <w:bCs/>
          <w:lang w:val="sr-Latn-CS"/>
        </w:rPr>
        <w:t>*</w:t>
      </w:r>
      <w:r w:rsidRPr="00B9159D">
        <w:rPr>
          <w:rFonts w:ascii="Times New Roman" w:hAnsi="Times New Roman" w:cs="Times New Roman"/>
          <w:lang w:val="sr-Latn-CS"/>
        </w:rPr>
        <w:t>Od početka do 52. nedjelje, lijek Eylea je primjenjivan na svakih 8 nedjelja, nakon početne primjene jednom mjesečno u prve tri uzastopne doze. Od početka do 52. nedjelje ranibizumab 0,5 mg je primjenjivan na svake 4 nedjelje. Počevši od 52. nedjelje, sve grupe su dobijale terapiju prema modifikovanom kvartalnom terapijskom obrascu, a na osnovu unaprijed zadatih terapijskih kriterijuma gdje su pacijenti mogli dobiti dozu najčešće svake 4 nedjelje, ali ne rjeđe od svakih 12 nedjelja.</w:t>
      </w:r>
    </w:p>
    <w:p w:rsidR="00B9159D" w:rsidRPr="00B9159D" w:rsidRDefault="00B9159D" w:rsidP="00C7646D">
      <w:pPr>
        <w:spacing w:after="0"/>
        <w:jc w:val="both"/>
        <w:rPr>
          <w:rFonts w:ascii="Times New Roman" w:hAnsi="Times New Roman" w:cs="Times New Roman"/>
          <w:b/>
          <w:bCs/>
          <w:lang w:val="sr-Latn-CS"/>
        </w:rPr>
      </w:pPr>
      <w:r w:rsidRPr="00B9159D">
        <w:rPr>
          <w:rFonts w:ascii="Times New Roman" w:hAnsi="Times New Roman" w:cs="Times New Roman"/>
          <w:lang w:val="sr-Latn-CS"/>
        </w:rPr>
        <w:t>Proporcija pacijenata koji su u 96. nedjelji postigli najmanje 15 slova u odnosu na početne vrijednosti bila je 33,44% u Eylea 2Q8 grupi i 31,60% u ranibizumab 0,5Q4 grupi.</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U udruženoj analizi podataka VIEW 1 i VIEW2 ispitivanja, terapija lijekom Eylea pokazala je klinički značajne promjene u odnosu na početne vrijednosti, prema Upitniku o vidnoj funkciji Nacionalnog očnog instituta (NEI VFQ-25), kao unaprijed određenom sekundarnom parametru efikasnosti. Opseg ovih promjena bio je sličan onim u prethodno objavljenim ispitivanjima, što je odgovaralo postignuću od 15 slova u najboljoj korigovanoj oštrini vida (BCVA).</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 xml:space="preserve">Nisu nađene klinički značajne razlike u promjenama ukupnog skora i podskala (aktivnosti na blizinu, aktivnosti na daljinu i vidno-specifična zavisnost) upitnika NEI VFQ-25, u 52. nedjelji u odnosu na početne vrijednosti, između lijeka Eylea i referentnog lijeka ranibizumaba. </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Smanjenje srednje CNV oblasti bilo je očigledno u svim doznim grupama i u oba ispitivanja.</w:t>
      </w:r>
    </w:p>
    <w:p w:rsidR="00C7646D" w:rsidRDefault="00C7646D" w:rsidP="00C7646D">
      <w:pPr>
        <w:spacing w:after="0"/>
        <w:rPr>
          <w:rFonts w:ascii="Times New Roman" w:hAnsi="Times New Roman" w:cs="Times New Roman"/>
          <w:lang w:val="sr-Latn-CS"/>
        </w:rPr>
      </w:pPr>
    </w:p>
    <w:p w:rsidR="00C7646D" w:rsidRDefault="00C7646D" w:rsidP="00C7646D">
      <w:pPr>
        <w:spacing w:after="0"/>
        <w:rPr>
          <w:rFonts w:ascii="Times New Roman" w:hAnsi="Times New Roman" w:cs="Times New Roman"/>
          <w:lang w:val="sr-Latn-CS"/>
        </w:rPr>
      </w:pPr>
    </w:p>
    <w:p w:rsidR="00C7646D" w:rsidRDefault="00C7646D" w:rsidP="00C7646D">
      <w:pPr>
        <w:spacing w:after="0"/>
        <w:rPr>
          <w:rFonts w:ascii="Times New Roman" w:hAnsi="Times New Roman" w:cs="Times New Roman"/>
          <w:lang w:val="sr-Latn-CS"/>
        </w:rPr>
      </w:pP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lastRenderedPageBreak/>
        <w:t>Rezultati efikasnosti u svim dostupnim podgrupama (npr. starost, pol, rasa, početna oštrina vida, tip lezije, veličina lezije) u pojedinačnim ispitivanjima i u analizi zajedničkih podataka bili su konzistentni sa rezultatima cjelokupne populacije.</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U drugoj godini ispitivanja, efikasnost je uglavnom održana na osnovu posljednje procjene u 96. nedjelji.</w:t>
      </w:r>
    </w:p>
    <w:p w:rsidR="00B9159D" w:rsidRPr="00ED10E7"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U drugoj godini ispitivanja, 2-4% pacijenata je imalo potrebu da sve injekcije dobija na mjesečnom nivou, a trećina pacijenata je imala potrebu da prima najmanje jednu injekciju u intervalu od samo mjesec dana.</w:t>
      </w:r>
    </w:p>
    <w:p w:rsidR="002D114C" w:rsidRDefault="002D114C" w:rsidP="00C7646D">
      <w:pPr>
        <w:spacing w:after="0"/>
        <w:jc w:val="both"/>
        <w:rPr>
          <w:rFonts w:ascii="Times New Roman" w:hAnsi="Times New Roman" w:cs="Times New Roman"/>
          <w:u w:val="single"/>
          <w:lang w:val="sr-Latn-CS"/>
        </w:rPr>
      </w:pPr>
    </w:p>
    <w:p w:rsidR="00B9159D" w:rsidRPr="00B9159D" w:rsidRDefault="00B9159D" w:rsidP="00C7646D">
      <w:pPr>
        <w:spacing w:after="0"/>
        <w:jc w:val="both"/>
        <w:rPr>
          <w:rFonts w:ascii="Times New Roman" w:hAnsi="Times New Roman" w:cs="Times New Roman"/>
          <w:u w:val="single"/>
          <w:lang w:val="sr-Latn-CS"/>
        </w:rPr>
      </w:pPr>
      <w:r w:rsidRPr="00B9159D">
        <w:rPr>
          <w:rFonts w:ascii="Times New Roman" w:hAnsi="Times New Roman" w:cs="Times New Roman"/>
          <w:u w:val="single"/>
          <w:lang w:val="sr-Latn-CS"/>
        </w:rPr>
        <w:t>Starija populacija</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U kliničkim ispitivanjima, približno 89% (1.616/1.817) pacijenata kojima je dodijeljena terapija lijekom Eylea imalo je 65 ili više godina, a 63% (1,139/1,817) imalo je 75 ili više godina.</w:t>
      </w:r>
    </w:p>
    <w:p w:rsidR="00B9159D" w:rsidRPr="00B9159D" w:rsidRDefault="00B9159D" w:rsidP="00C7646D">
      <w:pPr>
        <w:spacing w:after="0"/>
        <w:jc w:val="both"/>
        <w:rPr>
          <w:rFonts w:ascii="Times New Roman" w:hAnsi="Times New Roman" w:cs="Times New Roman"/>
          <w:i/>
          <w:iCs/>
          <w:lang w:val="sr-Latn-CS"/>
        </w:rPr>
      </w:pPr>
      <w:r w:rsidRPr="00B9159D">
        <w:rPr>
          <w:rFonts w:ascii="Times New Roman" w:hAnsi="Times New Roman" w:cs="Times New Roman"/>
          <w:i/>
          <w:iCs/>
          <w:lang w:val="sr-Latn-CS"/>
        </w:rPr>
        <w:t>Makularni edem kao posljedica CRVO</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Bezbjednost i efikasnost lijeka Eylea procjenjivani su u dva randomizovana, multicentrična, dvostruko maskirana, lažnom primjenom injekcije kontrolisana ispitivanja kod pacijenata sa makularnim edemom kao posljedicom CRVO. U dva ispitivanja COPERNICUS i GALILEO ukupno je bilo liječeno 358 pacijenata kod kojih se mogla procijeniti efikasnost (217 liječeno lijekom Eylea). U oba ispitivanja pacijenti su bili randomizacijom podijeljeni u dvije grupe: grupa koja je primala 2 mg lijeka Eylea svake 4 nedjelje (2Q4) ili kontrolnu grupu koja je prividno primala injekcije svake 4 nedjelje do ukupno 6 injekcija, u odnosu 3:2.</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Nakon 6 mjesečnih injekcija pacijenti su primali terapiju samo ukoliko su zadovoljili unaprijed definisane kriterijume za ponavljanje liječenja, osim pacijenata u kontrolnoj grupi u ispitivanju GALILEO koji su nastavili da prividno primaju lijek (kontrola kontrole) do 52. nedjelje. Nakon te vremenske tačke pacijentima je bilo ponuđeno liječenje ako su zadovoljavali unaprijed definisane kriterijume.</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Starost pacijenata kretala se u rasponu od 22 do 89 godina, a srednja vrijednost je iznosila 64 godine.</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U oba ispitivanja primarna završna tačka efikasnosti bila je udio pacijenata sa povećanjem od najmanje 15 slova kod najbolje korigovane oštrine vida (BCVA) u 24. nedjelji u poređenju sa početnom vrijednošću.</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Promjena u oštrini vida u 24. nedjelji u poređenju sa početnom vrijednošću bila je sekundarna varijabla efikasnosti i u ispitivanju COPERNICUS i u ispitivanju GALILEO.</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Razlika između terapijskih grupa bila je statistički značajna u korist lijeka Eylea u oba ispitivanja. U oba pivotalna ispitivanja maksimalno poboljšanje oštrine vida postignuto je nakon 3 mjeseca sa kasnijom stabilizacijom efekta na oštrinu vida i centralnu retinalnu debljinu do 6. mjeseca. Statistički značajna razlika održala se do 52. nedjelje.</w:t>
      </w: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lang w:val="sr-Latn-CS"/>
        </w:rPr>
        <w:t>Detaljni rezultati analize u obije studije prikazani su ispod u tabeli 3 i na slici 2.</w:t>
      </w:r>
    </w:p>
    <w:p w:rsidR="00C7646D" w:rsidRDefault="00C7646D" w:rsidP="00C7646D">
      <w:pPr>
        <w:spacing w:after="0"/>
        <w:jc w:val="both"/>
        <w:rPr>
          <w:rFonts w:ascii="Times New Roman" w:hAnsi="Times New Roman" w:cs="Times New Roman"/>
          <w:b/>
          <w:lang w:val="sr-Latn-CS"/>
        </w:rPr>
      </w:pPr>
    </w:p>
    <w:p w:rsidR="00B9159D" w:rsidRPr="00B9159D" w:rsidRDefault="00B9159D" w:rsidP="00C7646D">
      <w:pPr>
        <w:spacing w:after="0"/>
        <w:jc w:val="both"/>
        <w:rPr>
          <w:rFonts w:ascii="Times New Roman" w:hAnsi="Times New Roman" w:cs="Times New Roman"/>
          <w:lang w:val="sr-Latn-CS"/>
        </w:rPr>
      </w:pPr>
      <w:r w:rsidRPr="00B9159D">
        <w:rPr>
          <w:rFonts w:ascii="Times New Roman" w:hAnsi="Times New Roman" w:cs="Times New Roman"/>
          <w:b/>
          <w:lang w:val="sr-Latn-CS"/>
        </w:rPr>
        <w:t xml:space="preserve">Tabela 3 </w:t>
      </w:r>
      <w:r w:rsidRPr="00B9159D">
        <w:rPr>
          <w:rFonts w:ascii="Times New Roman" w:hAnsi="Times New Roman" w:cs="Times New Roman"/>
          <w:lang w:val="sr-Latn-CS"/>
        </w:rPr>
        <w:t>: Farmakodinamski parametar u 24. nedjelji, 52. nedjelji i 76./100. nedjelji (potpuni skup podataka za analizu s prenošenjem posljednje zabilježene vrijednosti [LOCF]</w:t>
      </w:r>
      <w:r w:rsidRPr="00B9159D">
        <w:rPr>
          <w:rFonts w:ascii="Times New Roman" w:hAnsi="Times New Roman" w:cs="Times New Roman"/>
          <w:vertAlign w:val="superscript"/>
          <w:lang w:val="sr-Latn-CS"/>
        </w:rPr>
        <w:t>c</w:t>
      </w:r>
      <w:r w:rsidRPr="00B9159D">
        <w:rPr>
          <w:rFonts w:ascii="Times New Roman" w:hAnsi="Times New Roman" w:cs="Times New Roman"/>
          <w:lang w:val="sr-Latn-CS"/>
        </w:rPr>
        <w:t>) u ispitivanjima COPERNICUS i GALILEO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11"/>
        <w:gridCol w:w="685"/>
        <w:gridCol w:w="596"/>
        <w:gridCol w:w="777"/>
        <w:gridCol w:w="596"/>
        <w:gridCol w:w="856"/>
        <w:gridCol w:w="596"/>
        <w:gridCol w:w="685"/>
        <w:gridCol w:w="596"/>
        <w:gridCol w:w="685"/>
        <w:gridCol w:w="596"/>
        <w:gridCol w:w="787"/>
        <w:gridCol w:w="596"/>
      </w:tblGrid>
      <w:tr w:rsidR="00ED10E7" w:rsidRPr="00C15CAE" w:rsidTr="00FC72B0">
        <w:tc>
          <w:tcPr>
            <w:tcW w:w="442" w:type="pct"/>
            <w:vMerge w:val="restar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Ishod efikasnosti</w:t>
            </w:r>
          </w:p>
          <w:p w:rsidR="00ED10E7" w:rsidRPr="00C15CAE" w:rsidRDefault="00ED10E7" w:rsidP="00C7646D">
            <w:pPr>
              <w:spacing w:after="0" w:line="240" w:lineRule="auto"/>
              <w:rPr>
                <w:rFonts w:ascii="Times New Roman" w:hAnsi="Times New Roman" w:cs="Times New Roman"/>
                <w:sz w:val="20"/>
                <w:szCs w:val="20"/>
              </w:rPr>
            </w:pPr>
          </w:p>
        </w:tc>
        <w:tc>
          <w:tcPr>
            <w:tcW w:w="2251" w:type="pct"/>
            <w:gridSpan w:val="6"/>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lastRenderedPageBreak/>
              <w:t>COPERNICUS</w:t>
            </w:r>
          </w:p>
        </w:tc>
        <w:tc>
          <w:tcPr>
            <w:tcW w:w="2307" w:type="pct"/>
            <w:gridSpan w:val="6"/>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GALILEO</w:t>
            </w:r>
          </w:p>
        </w:tc>
      </w:tr>
      <w:tr w:rsidR="00ED10E7" w:rsidRPr="00C15CAE" w:rsidTr="00FC72B0">
        <w:tc>
          <w:tcPr>
            <w:tcW w:w="442" w:type="pct"/>
            <w:vMerge/>
            <w:tcBorders>
              <w:top w:val="single" w:sz="4" w:space="0" w:color="auto"/>
              <w:left w:val="single" w:sz="4" w:space="0" w:color="auto"/>
              <w:bottom w:val="single" w:sz="4" w:space="0" w:color="auto"/>
              <w:right w:val="single" w:sz="4" w:space="0" w:color="auto"/>
            </w:tcBorders>
          </w:tcPr>
          <w:p w:rsidR="00ED10E7" w:rsidRPr="00C15CAE" w:rsidRDefault="00ED10E7" w:rsidP="00C7646D">
            <w:pPr>
              <w:spacing w:after="0" w:line="240" w:lineRule="auto"/>
              <w:rPr>
                <w:rFonts w:ascii="Times New Roman" w:hAnsi="Times New Roman" w:cs="Times New Roman"/>
                <w:sz w:val="20"/>
                <w:szCs w:val="20"/>
              </w:rPr>
            </w:pPr>
          </w:p>
        </w:tc>
        <w:tc>
          <w:tcPr>
            <w:tcW w:w="712" w:type="pct"/>
            <w:gridSpan w:val="2"/>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24. ned</w:t>
            </w:r>
            <w:r>
              <w:rPr>
                <w:rFonts w:ascii="Times New Roman" w:hAnsi="Times New Roman" w:cs="Times New Roman"/>
                <w:b/>
                <w:bCs/>
                <w:sz w:val="20"/>
                <w:szCs w:val="20"/>
              </w:rPr>
              <w:t>j</w:t>
            </w:r>
            <w:r w:rsidRPr="00C15CAE">
              <w:rPr>
                <w:rFonts w:ascii="Times New Roman" w:hAnsi="Times New Roman" w:cs="Times New Roman"/>
                <w:b/>
                <w:bCs/>
                <w:sz w:val="20"/>
                <w:szCs w:val="20"/>
              </w:rPr>
              <w:t>elja</w:t>
            </w:r>
          </w:p>
        </w:tc>
        <w:tc>
          <w:tcPr>
            <w:tcW w:w="770" w:type="pct"/>
            <w:gridSpan w:val="2"/>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52. ned</w:t>
            </w:r>
            <w:r>
              <w:rPr>
                <w:rFonts w:ascii="Times New Roman" w:hAnsi="Times New Roman" w:cs="Times New Roman"/>
                <w:b/>
                <w:bCs/>
                <w:sz w:val="20"/>
                <w:szCs w:val="20"/>
              </w:rPr>
              <w:t>j</w:t>
            </w:r>
            <w:r w:rsidRPr="00C15CAE">
              <w:rPr>
                <w:rFonts w:ascii="Times New Roman" w:hAnsi="Times New Roman" w:cs="Times New Roman"/>
                <w:b/>
                <w:bCs/>
                <w:sz w:val="20"/>
                <w:szCs w:val="20"/>
              </w:rPr>
              <w:t>elja</w:t>
            </w:r>
          </w:p>
        </w:tc>
        <w:tc>
          <w:tcPr>
            <w:tcW w:w="769" w:type="pct"/>
            <w:gridSpan w:val="2"/>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100. ned</w:t>
            </w:r>
            <w:r>
              <w:rPr>
                <w:rFonts w:ascii="Times New Roman" w:hAnsi="Times New Roman" w:cs="Times New Roman"/>
                <w:b/>
                <w:bCs/>
                <w:sz w:val="20"/>
                <w:szCs w:val="20"/>
              </w:rPr>
              <w:t>j</w:t>
            </w:r>
            <w:r w:rsidRPr="00C15CAE">
              <w:rPr>
                <w:rFonts w:ascii="Times New Roman" w:hAnsi="Times New Roman" w:cs="Times New Roman"/>
                <w:b/>
                <w:bCs/>
                <w:sz w:val="20"/>
                <w:szCs w:val="20"/>
              </w:rPr>
              <w:t>elja</w:t>
            </w:r>
          </w:p>
        </w:tc>
        <w:tc>
          <w:tcPr>
            <w:tcW w:w="769" w:type="pct"/>
            <w:gridSpan w:val="2"/>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24. ned</w:t>
            </w:r>
            <w:r>
              <w:rPr>
                <w:rFonts w:ascii="Times New Roman" w:hAnsi="Times New Roman" w:cs="Times New Roman"/>
                <w:b/>
                <w:bCs/>
                <w:sz w:val="20"/>
                <w:szCs w:val="20"/>
              </w:rPr>
              <w:t>j</w:t>
            </w:r>
            <w:r w:rsidRPr="00C15CAE">
              <w:rPr>
                <w:rFonts w:ascii="Times New Roman" w:hAnsi="Times New Roman" w:cs="Times New Roman"/>
                <w:b/>
                <w:bCs/>
                <w:sz w:val="20"/>
                <w:szCs w:val="20"/>
              </w:rPr>
              <w:t>elja</w:t>
            </w:r>
          </w:p>
        </w:tc>
        <w:tc>
          <w:tcPr>
            <w:tcW w:w="769" w:type="pct"/>
            <w:gridSpan w:val="2"/>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52. ned</w:t>
            </w:r>
            <w:r>
              <w:rPr>
                <w:rFonts w:ascii="Times New Roman" w:hAnsi="Times New Roman" w:cs="Times New Roman"/>
                <w:b/>
                <w:bCs/>
                <w:sz w:val="20"/>
                <w:szCs w:val="20"/>
              </w:rPr>
              <w:t>j</w:t>
            </w:r>
            <w:r w:rsidRPr="00C15CAE">
              <w:rPr>
                <w:rFonts w:ascii="Times New Roman" w:hAnsi="Times New Roman" w:cs="Times New Roman"/>
                <w:b/>
                <w:bCs/>
                <w:sz w:val="20"/>
                <w:szCs w:val="20"/>
              </w:rPr>
              <w:t>elja</w:t>
            </w:r>
          </w:p>
        </w:tc>
        <w:tc>
          <w:tcPr>
            <w:tcW w:w="769" w:type="pct"/>
            <w:gridSpan w:val="2"/>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b/>
                <w:bCs/>
                <w:sz w:val="20"/>
                <w:szCs w:val="20"/>
              </w:rPr>
              <w:t>76. ned</w:t>
            </w:r>
            <w:r>
              <w:rPr>
                <w:rFonts w:ascii="Times New Roman" w:hAnsi="Times New Roman" w:cs="Times New Roman"/>
                <w:b/>
                <w:bCs/>
                <w:sz w:val="20"/>
                <w:szCs w:val="20"/>
              </w:rPr>
              <w:t>j</w:t>
            </w:r>
            <w:r w:rsidRPr="00C15CAE">
              <w:rPr>
                <w:rFonts w:ascii="Times New Roman" w:hAnsi="Times New Roman" w:cs="Times New Roman"/>
                <w:b/>
                <w:bCs/>
                <w:sz w:val="20"/>
                <w:szCs w:val="20"/>
              </w:rPr>
              <w:t>elja</w:t>
            </w:r>
          </w:p>
        </w:tc>
      </w:tr>
      <w:tr w:rsidR="00ED10E7" w:rsidRPr="00C15CAE" w:rsidTr="00FC72B0">
        <w:tc>
          <w:tcPr>
            <w:tcW w:w="442" w:type="pct"/>
            <w:vMerge/>
            <w:tcBorders>
              <w:top w:val="single" w:sz="4" w:space="0" w:color="auto"/>
              <w:left w:val="single" w:sz="4" w:space="0" w:color="auto"/>
              <w:bottom w:val="single" w:sz="4" w:space="0" w:color="auto"/>
              <w:right w:val="single" w:sz="4" w:space="0" w:color="auto"/>
            </w:tcBorders>
          </w:tcPr>
          <w:p w:rsidR="00ED10E7" w:rsidRPr="00C15CAE" w:rsidRDefault="00ED10E7" w:rsidP="00C7646D">
            <w:pPr>
              <w:spacing w:after="0" w:line="240" w:lineRule="auto"/>
              <w:rPr>
                <w:rFonts w:ascii="Times New Roman" w:hAnsi="Times New Roman" w:cs="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Kontrolna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73)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Eylea 2 mg svake 4 ned</w:t>
            </w:r>
            <w:r>
              <w:rPr>
                <w:rFonts w:ascii="Times New Roman" w:hAnsi="Times New Roman" w:cs="Times New Roman"/>
                <w:b/>
                <w:bCs/>
                <w:sz w:val="20"/>
                <w:szCs w:val="20"/>
              </w:rPr>
              <w:t>j</w:t>
            </w:r>
            <w:r w:rsidRPr="00C15CAE">
              <w:rPr>
                <w:rFonts w:ascii="Times New Roman" w:hAnsi="Times New Roman" w:cs="Times New Roman"/>
                <w:b/>
                <w:bCs/>
                <w:sz w:val="20"/>
                <w:szCs w:val="20"/>
              </w:rPr>
              <w:t>elje</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114)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Kontrolna</w:t>
            </w:r>
            <w:r w:rsidRPr="00C15CAE">
              <w:rPr>
                <w:rFonts w:ascii="Times New Roman" w:hAnsi="Times New Roman" w:cs="Times New Roman"/>
                <w:b/>
                <w:bCs/>
                <w:sz w:val="20"/>
                <w:szCs w:val="20"/>
                <w:vertAlign w:val="superscript"/>
              </w:rPr>
              <w:t>E)</w:t>
            </w:r>
            <w:r w:rsidRPr="00C15CAE">
              <w:rPr>
                <w:rFonts w:ascii="Times New Roman" w:hAnsi="Times New Roman" w:cs="Times New Roman"/>
                <w:position w:val="8"/>
                <w:sz w:val="20"/>
                <w:szCs w:val="20"/>
                <w:vertAlign w:val="superscript"/>
              </w:rPr>
              <w:t xml:space="preserve">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73)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Eylea 2 mg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114)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Kontrolna</w:t>
            </w:r>
            <w:r w:rsidRPr="00C15CAE">
              <w:rPr>
                <w:rFonts w:ascii="Times New Roman" w:hAnsi="Times New Roman" w:cs="Times New Roman"/>
                <w:b/>
                <w:bCs/>
                <w:sz w:val="20"/>
                <w:szCs w:val="20"/>
                <w:vertAlign w:val="superscript"/>
              </w:rPr>
              <w:t>E,F)</w:t>
            </w:r>
            <w:r w:rsidRPr="00C15CAE">
              <w:rPr>
                <w:rFonts w:ascii="Times New Roman" w:hAnsi="Times New Roman" w:cs="Times New Roman"/>
                <w:position w:val="8"/>
                <w:sz w:val="20"/>
                <w:szCs w:val="20"/>
                <w:vertAlign w:val="superscript"/>
              </w:rPr>
              <w:t xml:space="preserve">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73)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Eylea</w:t>
            </w:r>
            <w:r w:rsidRPr="00C15CAE">
              <w:rPr>
                <w:rFonts w:ascii="Times New Roman" w:hAnsi="Times New Roman" w:cs="Times New Roman"/>
                <w:b/>
                <w:bCs/>
                <w:sz w:val="20"/>
                <w:szCs w:val="20"/>
                <w:vertAlign w:val="superscript"/>
              </w:rPr>
              <w:t>F)</w:t>
            </w:r>
            <w:r w:rsidRPr="00C15CAE">
              <w:rPr>
                <w:rFonts w:ascii="Times New Roman" w:hAnsi="Times New Roman" w:cs="Times New Roman"/>
                <w:b/>
                <w:bCs/>
                <w:position w:val="8"/>
                <w:sz w:val="20"/>
                <w:szCs w:val="20"/>
                <w:vertAlign w:val="superscript"/>
              </w:rPr>
              <w:t xml:space="preserve">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2 mg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114)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Kontrolna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68)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Eylea 2 mg svake 4 ned</w:t>
            </w:r>
            <w:r>
              <w:rPr>
                <w:rFonts w:ascii="Times New Roman" w:hAnsi="Times New Roman" w:cs="Times New Roman"/>
                <w:b/>
                <w:bCs/>
                <w:sz w:val="20"/>
                <w:szCs w:val="20"/>
              </w:rPr>
              <w:t>j</w:t>
            </w:r>
            <w:r w:rsidRPr="00C15CAE">
              <w:rPr>
                <w:rFonts w:ascii="Times New Roman" w:hAnsi="Times New Roman" w:cs="Times New Roman"/>
                <w:b/>
                <w:bCs/>
                <w:sz w:val="20"/>
                <w:szCs w:val="20"/>
              </w:rPr>
              <w:t xml:space="preserve">elje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103)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Kontrolna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68)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Eylea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2 mg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103)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Kontrolna</w:t>
            </w:r>
            <w:r w:rsidRPr="00C15CAE">
              <w:rPr>
                <w:rFonts w:ascii="Times New Roman" w:hAnsi="Times New Roman" w:cs="Times New Roman"/>
                <w:b/>
                <w:bCs/>
                <w:sz w:val="20"/>
                <w:szCs w:val="20"/>
                <w:vertAlign w:val="superscript"/>
              </w:rPr>
              <w:t>G)</w:t>
            </w:r>
            <w:r w:rsidRPr="00C15CAE">
              <w:rPr>
                <w:rFonts w:ascii="Times New Roman" w:hAnsi="Times New Roman" w:cs="Times New Roman"/>
                <w:b/>
                <w:bCs/>
                <w:position w:val="8"/>
                <w:sz w:val="20"/>
                <w:szCs w:val="20"/>
                <w:vertAlign w:val="superscript"/>
              </w:rPr>
              <w:t xml:space="preserve">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68)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Eylea</w:t>
            </w:r>
            <w:r w:rsidRPr="00C15CAE">
              <w:rPr>
                <w:rFonts w:ascii="Times New Roman" w:hAnsi="Times New Roman" w:cs="Times New Roman"/>
                <w:b/>
                <w:bCs/>
                <w:sz w:val="20"/>
                <w:szCs w:val="20"/>
                <w:vertAlign w:val="superscript"/>
              </w:rPr>
              <w:t>G)</w:t>
            </w:r>
            <w:r w:rsidRPr="00C15CAE">
              <w:rPr>
                <w:rFonts w:ascii="Times New Roman" w:hAnsi="Times New Roman" w:cs="Times New Roman"/>
                <w:b/>
                <w:bCs/>
                <w:position w:val="8"/>
                <w:sz w:val="20"/>
                <w:szCs w:val="20"/>
                <w:vertAlign w:val="superscript"/>
              </w:rPr>
              <w:t xml:space="preserve">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2 mg </w:t>
            </w:r>
          </w:p>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b/>
                <w:bCs/>
                <w:sz w:val="20"/>
                <w:szCs w:val="20"/>
              </w:rPr>
              <w:t xml:space="preserve">(N = 103) </w:t>
            </w:r>
          </w:p>
        </w:tc>
      </w:tr>
      <w:tr w:rsidR="00ED10E7" w:rsidRPr="00C15CAE" w:rsidTr="00FC72B0">
        <w:tc>
          <w:tcPr>
            <w:tcW w:w="442"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lang w:val="sr-Latn-CS"/>
              </w:rPr>
            </w:pPr>
            <w:r>
              <w:rPr>
                <w:rFonts w:ascii="Times New Roman" w:hAnsi="Times New Roman" w:cs="Times New Roman"/>
                <w:sz w:val="20"/>
                <w:szCs w:val="20"/>
                <w:lang w:val="sr-Latn-CS"/>
              </w:rPr>
              <w:t>Udi</w:t>
            </w:r>
            <w:r w:rsidRPr="00C15CAE">
              <w:rPr>
                <w:rFonts w:ascii="Times New Roman" w:hAnsi="Times New Roman" w:cs="Times New Roman"/>
                <w:sz w:val="20"/>
                <w:szCs w:val="20"/>
                <w:lang w:val="sr-Latn-CS"/>
              </w:rPr>
              <w:t>o pacijenata povećanjem za najmanje 15 slova uz BCVA</w:t>
            </w:r>
            <w:r w:rsidRPr="00C15CAE">
              <w:rPr>
                <w:rFonts w:ascii="Times New Roman" w:hAnsi="Times New Roman" w:cs="Times New Roman"/>
                <w:position w:val="8"/>
                <w:sz w:val="20"/>
                <w:szCs w:val="20"/>
                <w:vertAlign w:val="superscript"/>
                <w:lang w:val="sr-Latn-CS"/>
              </w:rPr>
              <w:t xml:space="preserve">C) </w:t>
            </w:r>
            <w:r w:rsidRPr="00C15CAE">
              <w:rPr>
                <w:rFonts w:ascii="Times New Roman" w:hAnsi="Times New Roman" w:cs="Times New Roman"/>
                <w:sz w:val="20"/>
                <w:szCs w:val="20"/>
                <w:lang w:val="sr-Latn-CS"/>
              </w:rPr>
              <w:t>od početne vr</w:t>
            </w:r>
            <w:r>
              <w:rPr>
                <w:rFonts w:ascii="Times New Roman" w:hAnsi="Times New Roman" w:cs="Times New Roman"/>
                <w:sz w:val="20"/>
                <w:szCs w:val="20"/>
                <w:lang w:val="sr-Latn-CS"/>
              </w:rPr>
              <w:t>ij</w:t>
            </w:r>
            <w:r w:rsidRPr="00C15CAE">
              <w:rPr>
                <w:rFonts w:ascii="Times New Roman" w:hAnsi="Times New Roman" w:cs="Times New Roman"/>
                <w:sz w:val="20"/>
                <w:szCs w:val="20"/>
                <w:lang w:val="sr-Latn-CS"/>
              </w:rPr>
              <w:t xml:space="preserve">ednosti </w:t>
            </w:r>
          </w:p>
        </w:tc>
        <w:tc>
          <w:tcPr>
            <w:tcW w:w="327"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sz w:val="20"/>
                <w:szCs w:val="20"/>
              </w:rPr>
              <w:t xml:space="preserve">12%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56%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30%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55%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23,3%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sz w:val="20"/>
                <w:szCs w:val="20"/>
              </w:rPr>
              <w:t xml:space="preserve">49,1%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22%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60%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32%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60%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rPr>
                <w:rFonts w:ascii="Times New Roman" w:hAnsi="Times New Roman" w:cs="Times New Roman"/>
                <w:sz w:val="20"/>
                <w:szCs w:val="20"/>
              </w:rPr>
            </w:pPr>
            <w:r w:rsidRPr="00C15CAE">
              <w:rPr>
                <w:rFonts w:ascii="Times New Roman" w:hAnsi="Times New Roman" w:cs="Times New Roman"/>
                <w:sz w:val="20"/>
                <w:szCs w:val="20"/>
              </w:rPr>
              <w:t xml:space="preserve">29,4%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57,3% </w:t>
            </w:r>
          </w:p>
        </w:tc>
      </w:tr>
      <w:tr w:rsidR="00ED10E7" w:rsidRPr="00C15CAE" w:rsidTr="00FC72B0">
        <w:tc>
          <w:tcPr>
            <w:tcW w:w="442"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lang w:val="it-IT"/>
              </w:rPr>
            </w:pPr>
            <w:r w:rsidRPr="00C15CAE">
              <w:rPr>
                <w:rFonts w:ascii="Times New Roman" w:hAnsi="Times New Roman" w:cs="Times New Roman"/>
                <w:sz w:val="20"/>
                <w:szCs w:val="20"/>
                <w:lang w:val="it-IT"/>
              </w:rPr>
              <w:t>Ponderirana razlika</w:t>
            </w:r>
            <w:r w:rsidRPr="00C15CAE">
              <w:rPr>
                <w:rFonts w:ascii="Times New Roman" w:hAnsi="Times New Roman" w:cs="Times New Roman"/>
                <w:position w:val="8"/>
                <w:sz w:val="20"/>
                <w:szCs w:val="20"/>
                <w:vertAlign w:val="superscript"/>
                <w:lang w:val="it-IT"/>
              </w:rPr>
              <w:t xml:space="preserve">A,B,E) </w:t>
            </w:r>
          </w:p>
          <w:p w:rsidR="00ED10E7" w:rsidRPr="00C15CAE" w:rsidRDefault="00ED10E7" w:rsidP="00C7646D">
            <w:pPr>
              <w:pStyle w:val="Default"/>
              <w:jc w:val="center"/>
              <w:rPr>
                <w:rFonts w:ascii="Times New Roman" w:hAnsi="Times New Roman" w:cs="Times New Roman"/>
                <w:sz w:val="20"/>
                <w:szCs w:val="20"/>
                <w:lang w:val="it-IT"/>
              </w:rPr>
            </w:pPr>
            <w:r w:rsidRPr="00C15CAE">
              <w:rPr>
                <w:rFonts w:ascii="Times New Roman" w:hAnsi="Times New Roman" w:cs="Times New Roman"/>
                <w:sz w:val="20"/>
                <w:szCs w:val="20"/>
                <w:lang w:val="it-IT"/>
              </w:rPr>
              <w:t>(95% CI)</w:t>
            </w:r>
          </w:p>
          <w:p w:rsidR="00ED10E7" w:rsidRPr="00C15CAE" w:rsidRDefault="00ED10E7" w:rsidP="00C7646D">
            <w:pPr>
              <w:pStyle w:val="Default"/>
              <w:keepNext/>
              <w:spacing w:line="276" w:lineRule="auto"/>
              <w:jc w:val="center"/>
              <w:rPr>
                <w:rFonts w:ascii="Times New Roman" w:hAnsi="Times New Roman" w:cs="Times New Roman"/>
                <w:sz w:val="20"/>
                <w:szCs w:val="20"/>
                <w:lang w:val="it-IT"/>
              </w:rPr>
            </w:pPr>
          </w:p>
          <w:p w:rsidR="00ED10E7" w:rsidRPr="00C15CAE" w:rsidRDefault="00ED10E7" w:rsidP="00C7646D">
            <w:pPr>
              <w:pStyle w:val="Default"/>
              <w:jc w:val="center"/>
              <w:rPr>
                <w:rFonts w:ascii="Times New Roman" w:hAnsi="Times New Roman" w:cs="Times New Roman"/>
                <w:sz w:val="20"/>
                <w:szCs w:val="20"/>
                <w:lang w:val="de-DE"/>
              </w:rPr>
            </w:pPr>
          </w:p>
          <w:p w:rsidR="00ED10E7" w:rsidRPr="00C15CAE" w:rsidRDefault="00ED10E7" w:rsidP="00C7646D">
            <w:pPr>
              <w:pStyle w:val="Default"/>
              <w:jc w:val="center"/>
              <w:rPr>
                <w:rFonts w:ascii="Times New Roman" w:hAnsi="Times New Roman" w:cs="Times New Roman"/>
                <w:sz w:val="20"/>
                <w:szCs w:val="20"/>
                <w:lang w:val="de-DE"/>
              </w:rPr>
            </w:pPr>
            <w:r w:rsidRPr="00C15CAE">
              <w:rPr>
                <w:rFonts w:ascii="Times New Roman" w:hAnsi="Times New Roman" w:cs="Times New Roman"/>
                <w:sz w:val="20"/>
                <w:szCs w:val="20"/>
                <w:lang w:val="de-DE"/>
              </w:rPr>
              <w:t>p-vr</w:t>
            </w:r>
            <w:r>
              <w:rPr>
                <w:rFonts w:ascii="Times New Roman" w:hAnsi="Times New Roman" w:cs="Times New Roman"/>
                <w:sz w:val="20"/>
                <w:szCs w:val="20"/>
                <w:lang w:val="de-DE"/>
              </w:rPr>
              <w:t>ij</w:t>
            </w:r>
            <w:r w:rsidRPr="00C15CAE">
              <w:rPr>
                <w:rFonts w:ascii="Times New Roman" w:hAnsi="Times New Roman" w:cs="Times New Roman"/>
                <w:sz w:val="20"/>
                <w:szCs w:val="20"/>
                <w:lang w:val="de-DE"/>
              </w:rPr>
              <w:t xml:space="preserve">ednost </w:t>
            </w:r>
          </w:p>
        </w:tc>
        <w:tc>
          <w:tcPr>
            <w:tcW w:w="327"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lang w:val="de-DE"/>
              </w:rPr>
            </w:pP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44,8%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(33,0; 56,6)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p&lt;0,0001</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25,9%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(11,8; 40,1)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p=0,0006</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26,7%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(13,1; 40,3)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p=0,0003</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lang w:val="de-DE"/>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38,3%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(24,4; 52,1)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p&lt;0,0001</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27,9%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(13,0; 42,7)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p=0,0004</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28.0%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(13,3; 42,6) </w:t>
            </w: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p>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p=0,0004</w:t>
            </w:r>
          </w:p>
        </w:tc>
      </w:tr>
      <w:tr w:rsidR="00ED10E7" w:rsidRPr="00C15CAE" w:rsidTr="00FC72B0">
        <w:tc>
          <w:tcPr>
            <w:tcW w:w="442"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sr-Latn-CS"/>
              </w:rPr>
            </w:pPr>
            <w:r w:rsidRPr="00C15CAE">
              <w:rPr>
                <w:rFonts w:ascii="Times New Roman" w:hAnsi="Times New Roman" w:cs="Times New Roman"/>
                <w:sz w:val="20"/>
                <w:szCs w:val="20"/>
                <w:lang w:val="sr-Latn-CS"/>
              </w:rPr>
              <w:t>Srednja vr</w:t>
            </w:r>
            <w:r>
              <w:rPr>
                <w:rFonts w:ascii="Times New Roman" w:hAnsi="Times New Roman" w:cs="Times New Roman"/>
                <w:sz w:val="20"/>
                <w:szCs w:val="20"/>
                <w:lang w:val="sr-Latn-CS"/>
              </w:rPr>
              <w:t>ij</w:t>
            </w:r>
            <w:r w:rsidRPr="00C15CAE">
              <w:rPr>
                <w:rFonts w:ascii="Times New Roman" w:hAnsi="Times New Roman" w:cs="Times New Roman"/>
                <w:sz w:val="20"/>
                <w:szCs w:val="20"/>
                <w:lang w:val="sr-Latn-CS"/>
              </w:rPr>
              <w:t>ednost prom</w:t>
            </w:r>
            <w:r>
              <w:rPr>
                <w:rFonts w:ascii="Times New Roman" w:hAnsi="Times New Roman" w:cs="Times New Roman"/>
                <w:sz w:val="20"/>
                <w:szCs w:val="20"/>
                <w:lang w:val="sr-Latn-CS"/>
              </w:rPr>
              <w:t>j</w:t>
            </w:r>
            <w:r w:rsidRPr="00C15CAE">
              <w:rPr>
                <w:rFonts w:ascii="Times New Roman" w:hAnsi="Times New Roman" w:cs="Times New Roman"/>
                <w:sz w:val="20"/>
                <w:szCs w:val="20"/>
                <w:lang w:val="sr-Latn-CS"/>
              </w:rPr>
              <w:t>ene u BCVA od početne vr</w:t>
            </w:r>
            <w:r>
              <w:rPr>
                <w:rFonts w:ascii="Times New Roman" w:hAnsi="Times New Roman" w:cs="Times New Roman"/>
                <w:sz w:val="20"/>
                <w:szCs w:val="20"/>
                <w:lang w:val="sr-Latn-CS"/>
              </w:rPr>
              <w:t>ij</w:t>
            </w:r>
            <w:r w:rsidRPr="00C15CAE">
              <w:rPr>
                <w:rFonts w:ascii="Times New Roman" w:hAnsi="Times New Roman" w:cs="Times New Roman"/>
                <w:sz w:val="20"/>
                <w:szCs w:val="20"/>
                <w:lang w:val="sr-Latn-CS"/>
              </w:rPr>
              <w:t>ednosti m</w:t>
            </w:r>
            <w:r>
              <w:rPr>
                <w:rFonts w:ascii="Times New Roman" w:hAnsi="Times New Roman" w:cs="Times New Roman"/>
                <w:sz w:val="20"/>
                <w:szCs w:val="20"/>
                <w:lang w:val="sr-Latn-CS"/>
              </w:rPr>
              <w:t>j</w:t>
            </w:r>
            <w:r w:rsidRPr="00C15CAE">
              <w:rPr>
                <w:rFonts w:ascii="Times New Roman" w:hAnsi="Times New Roman" w:cs="Times New Roman"/>
                <w:sz w:val="20"/>
                <w:szCs w:val="20"/>
                <w:lang w:val="sr-Latn-CS"/>
              </w:rPr>
              <w:t>ereno pomoću ETDRS</w:t>
            </w:r>
            <w:r w:rsidRPr="00C15CAE">
              <w:rPr>
                <w:rFonts w:ascii="Times New Roman" w:hAnsi="Times New Roman" w:cs="Times New Roman"/>
                <w:position w:val="8"/>
                <w:sz w:val="20"/>
                <w:szCs w:val="20"/>
                <w:vertAlign w:val="superscript"/>
                <w:lang w:val="sr-Latn-CS"/>
              </w:rPr>
              <w:t xml:space="preserve">C) </w:t>
            </w:r>
            <w:r w:rsidRPr="00C15CAE">
              <w:rPr>
                <w:rFonts w:ascii="Times New Roman" w:hAnsi="Times New Roman" w:cs="Times New Roman"/>
                <w:sz w:val="20"/>
                <w:szCs w:val="20"/>
                <w:lang w:val="sr-Latn-CS"/>
              </w:rPr>
              <w:t>l</w:t>
            </w:r>
            <w:r>
              <w:rPr>
                <w:rFonts w:ascii="Times New Roman" w:hAnsi="Times New Roman" w:cs="Times New Roman"/>
                <w:sz w:val="20"/>
                <w:szCs w:val="20"/>
                <w:lang w:val="sr-Latn-CS"/>
              </w:rPr>
              <w:t>j</w:t>
            </w:r>
            <w:r w:rsidRPr="00C15CAE">
              <w:rPr>
                <w:rFonts w:ascii="Times New Roman" w:hAnsi="Times New Roman" w:cs="Times New Roman"/>
                <w:sz w:val="20"/>
                <w:szCs w:val="20"/>
                <w:lang w:val="sr-Latn-CS"/>
              </w:rPr>
              <w:t xml:space="preserve">estvice za slova (SD) </w:t>
            </w:r>
          </w:p>
        </w:tc>
        <w:tc>
          <w:tcPr>
            <w:tcW w:w="327"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-4,0 (18,0)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17,3 (12,8)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3,8 (17,1) </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16,2 (17,4)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1,5 (17,7)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13,0 (17,7)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3,3 (14,1)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18,0 (12,2)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3,8 (18,1)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16,9 (14,8)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6,2 (17,7) </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jc w:val="center"/>
              <w:rPr>
                <w:rFonts w:ascii="Times New Roman" w:hAnsi="Times New Roman" w:cs="Times New Roman"/>
                <w:sz w:val="20"/>
                <w:szCs w:val="20"/>
              </w:rPr>
            </w:pPr>
            <w:r w:rsidRPr="00C15CAE">
              <w:rPr>
                <w:rFonts w:ascii="Times New Roman" w:hAnsi="Times New Roman" w:cs="Times New Roman"/>
                <w:sz w:val="20"/>
                <w:szCs w:val="20"/>
              </w:rPr>
              <w:t xml:space="preserve">13,7 (17,8) </w:t>
            </w:r>
          </w:p>
        </w:tc>
      </w:tr>
      <w:tr w:rsidR="00ED10E7" w:rsidRPr="00C15CAE" w:rsidTr="00FC72B0">
        <w:tc>
          <w:tcPr>
            <w:tcW w:w="442"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position w:val="8"/>
                <w:sz w:val="20"/>
                <w:szCs w:val="20"/>
                <w:vertAlign w:val="superscript"/>
                <w:lang w:val="pl-PL"/>
              </w:rPr>
            </w:pPr>
            <w:r w:rsidRPr="00C15CAE">
              <w:rPr>
                <w:rFonts w:ascii="Times New Roman" w:hAnsi="Times New Roman" w:cs="Times New Roman"/>
                <w:sz w:val="20"/>
                <w:szCs w:val="20"/>
                <w:lang w:val="pl-PL"/>
              </w:rPr>
              <w:t>Razlika u LS srednjoj vr</w:t>
            </w:r>
            <w:r>
              <w:rPr>
                <w:rFonts w:ascii="Times New Roman" w:hAnsi="Times New Roman" w:cs="Times New Roman"/>
                <w:sz w:val="20"/>
                <w:szCs w:val="20"/>
                <w:lang w:val="pl-PL"/>
              </w:rPr>
              <w:t>ij</w:t>
            </w:r>
            <w:r w:rsidRPr="00C15CAE">
              <w:rPr>
                <w:rFonts w:ascii="Times New Roman" w:hAnsi="Times New Roman" w:cs="Times New Roman"/>
                <w:sz w:val="20"/>
                <w:szCs w:val="20"/>
                <w:lang w:val="pl-PL"/>
              </w:rPr>
              <w:t>ednosti</w:t>
            </w:r>
            <w:r w:rsidRPr="00C15CAE">
              <w:rPr>
                <w:rFonts w:ascii="Times New Roman" w:hAnsi="Times New Roman" w:cs="Times New Roman"/>
                <w:position w:val="8"/>
                <w:sz w:val="20"/>
                <w:szCs w:val="20"/>
                <w:vertAlign w:val="superscript"/>
                <w:lang w:val="pl-PL"/>
              </w:rPr>
              <w:t xml:space="preserve">A,C,D,E) </w:t>
            </w: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(95% CI)</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rPr>
                <w:rFonts w:ascii="Times New Roman" w:hAnsi="Times New Roman" w:cs="Times New Roman"/>
                <w:sz w:val="20"/>
                <w:szCs w:val="20"/>
                <w:lang w:val="pl-PL"/>
              </w:rPr>
            </w:pPr>
          </w:p>
          <w:p w:rsidR="00ED10E7" w:rsidRPr="00C15CAE" w:rsidRDefault="00ED10E7" w:rsidP="00C7646D">
            <w:pPr>
              <w:pStyle w:val="Default"/>
              <w:spacing w:line="276" w:lineRule="auto"/>
              <w:rPr>
                <w:rFonts w:ascii="Times New Roman" w:hAnsi="Times New Roman" w:cs="Times New Roman"/>
                <w:sz w:val="20"/>
                <w:szCs w:val="20"/>
                <w:lang w:val="pl-PL"/>
              </w:rPr>
            </w:pPr>
          </w:p>
          <w:p w:rsidR="00ED10E7" w:rsidRPr="00C15CAE" w:rsidRDefault="00ED10E7" w:rsidP="00C7646D">
            <w:pPr>
              <w:pStyle w:val="Default"/>
              <w:spacing w:line="276" w:lineRule="auto"/>
              <w:rPr>
                <w:rFonts w:ascii="Times New Roman" w:hAnsi="Times New Roman" w:cs="Times New Roman"/>
                <w:sz w:val="20"/>
                <w:szCs w:val="20"/>
                <w:lang w:val="pl-PL"/>
              </w:rPr>
            </w:pPr>
          </w:p>
          <w:p w:rsidR="00ED10E7" w:rsidRPr="00C15CAE" w:rsidRDefault="00ED10E7" w:rsidP="00C7646D">
            <w:pPr>
              <w:pStyle w:val="Default"/>
              <w:spacing w:line="276" w:lineRule="auto"/>
              <w:rPr>
                <w:rFonts w:ascii="Times New Roman" w:hAnsi="Times New Roman" w:cs="Times New Roman"/>
                <w:sz w:val="20"/>
                <w:szCs w:val="20"/>
                <w:lang w:val="pl-PL"/>
              </w:rPr>
            </w:pPr>
          </w:p>
          <w:p w:rsidR="00ED10E7" w:rsidRPr="00C15CAE" w:rsidRDefault="00ED10E7" w:rsidP="00C7646D">
            <w:pPr>
              <w:pStyle w:val="Default"/>
              <w:spacing w:line="276" w:lineRule="auto"/>
              <w:rPr>
                <w:rFonts w:ascii="Times New Roman" w:hAnsi="Times New Roman" w:cs="Times New Roman"/>
                <w:sz w:val="20"/>
                <w:szCs w:val="20"/>
                <w:lang w:val="pl-PL"/>
              </w:rPr>
            </w:pPr>
            <w:r w:rsidRPr="00C15CAE">
              <w:rPr>
                <w:rFonts w:ascii="Times New Roman" w:hAnsi="Times New Roman" w:cs="Times New Roman"/>
                <w:sz w:val="20"/>
                <w:szCs w:val="20"/>
                <w:lang w:val="pl-PL"/>
              </w:rPr>
              <w:t>p-vr</w:t>
            </w:r>
            <w:r>
              <w:rPr>
                <w:rFonts w:ascii="Times New Roman" w:hAnsi="Times New Roman" w:cs="Times New Roman"/>
                <w:sz w:val="20"/>
                <w:szCs w:val="20"/>
                <w:lang w:val="pl-PL"/>
              </w:rPr>
              <w:t>ij</w:t>
            </w:r>
            <w:r w:rsidRPr="00C15CAE">
              <w:rPr>
                <w:rFonts w:ascii="Times New Roman" w:hAnsi="Times New Roman" w:cs="Times New Roman"/>
                <w:sz w:val="20"/>
                <w:szCs w:val="20"/>
                <w:lang w:val="pl-PL"/>
              </w:rPr>
              <w:t xml:space="preserve">ednost </w:t>
            </w:r>
          </w:p>
        </w:tc>
        <w:tc>
          <w:tcPr>
            <w:tcW w:w="327"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21,7</w:t>
            </w: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 (17,4; 26,0) </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rPr>
                <w:rFonts w:ascii="Times New Roman" w:hAnsi="Times New Roman" w:cs="Times New Roman"/>
                <w:sz w:val="20"/>
                <w:szCs w:val="20"/>
                <w:lang w:val="pl-PL"/>
              </w:rPr>
            </w:pPr>
            <w:r w:rsidRPr="00C15CAE">
              <w:rPr>
                <w:rFonts w:ascii="Times New Roman" w:hAnsi="Times New Roman" w:cs="Times New Roman"/>
                <w:sz w:val="20"/>
                <w:szCs w:val="20"/>
                <w:lang w:val="pl-PL"/>
              </w:rPr>
              <w:t>p&lt;0,0001</w:t>
            </w: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tc>
        <w:tc>
          <w:tcPr>
            <w:tcW w:w="385"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12,7</w:t>
            </w: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 (7,7; 17,7) </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p&lt;0,0001</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11,8</w:t>
            </w: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 (6,7; 17,0) </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p&lt;0,0001</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14,7</w:t>
            </w: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 (10,8; 18,7) </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p&lt;0,0001</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13,2</w:t>
            </w: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 (8,2; 18,2) </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p&lt;0,0001</w:t>
            </w: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tc>
        <w:tc>
          <w:tcPr>
            <w:tcW w:w="384" w:type="pct"/>
            <w:tcBorders>
              <w:top w:val="single" w:sz="4" w:space="0" w:color="auto"/>
              <w:left w:val="single" w:sz="4" w:space="0" w:color="auto"/>
              <w:bottom w:val="single" w:sz="4" w:space="0" w:color="auto"/>
              <w:right w:val="single" w:sz="4" w:space="0" w:color="auto"/>
            </w:tcBorders>
          </w:tcPr>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7,6 (2,1; 13,1) </w:t>
            </w: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keepNext/>
              <w:spacing w:line="276" w:lineRule="auto"/>
              <w:jc w:val="center"/>
              <w:rPr>
                <w:rFonts w:ascii="Times New Roman" w:hAnsi="Times New Roman" w:cs="Times New Roman"/>
                <w:sz w:val="20"/>
                <w:szCs w:val="20"/>
                <w:lang w:val="pl-PL"/>
              </w:rPr>
            </w:pPr>
          </w:p>
          <w:p w:rsidR="00ED10E7" w:rsidRPr="00C15CAE" w:rsidRDefault="00ED10E7"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p=0,0070</w:t>
            </w:r>
          </w:p>
        </w:tc>
      </w:tr>
    </w:tbl>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vertAlign w:val="superscript"/>
          <w:lang w:val="sr-Latn-CS"/>
        </w:rPr>
        <w:lastRenderedPageBreak/>
        <w:t>A)</w:t>
      </w:r>
      <w:r w:rsidRPr="00EE5E34">
        <w:rPr>
          <w:rFonts w:ascii="Times New Roman" w:hAnsi="Times New Roman" w:cs="Times New Roman"/>
          <w:sz w:val="20"/>
          <w:szCs w:val="20"/>
          <w:lang w:val="sr-Latn-CS"/>
        </w:rPr>
        <w:t>Razlika je Eylea 2 mg svake 4 nedjelje minus kontrolna.</w:t>
      </w:r>
    </w:p>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vertAlign w:val="superscript"/>
          <w:lang w:val="sr-Latn-CS"/>
        </w:rPr>
        <w:t>B)</w:t>
      </w:r>
      <w:r w:rsidRPr="00EE5E34">
        <w:rPr>
          <w:rFonts w:ascii="Times New Roman" w:hAnsi="Times New Roman" w:cs="Times New Roman"/>
          <w:sz w:val="20"/>
          <w:szCs w:val="20"/>
          <w:lang w:val="sr-Latn-CS"/>
        </w:rPr>
        <w:t xml:space="preserve">Razlika i interval pouzdanosti (CI) izračunati su pomoću Cochran-Mantel-Haenszelovog (CMH) testa prilagođenog za region (Amerika naspram ostatka svijeta u ispitivanju COPERNICUS i Evropa naspram Azije/Pacifika u ispitivanju GALILEO) i početnu BCVA kategoriju (&gt; 20/200 i ≤ 20/200) </w:t>
      </w:r>
    </w:p>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vertAlign w:val="superscript"/>
          <w:lang w:val="sr-Latn-CS"/>
        </w:rPr>
        <w:t xml:space="preserve">C) </w:t>
      </w:r>
      <w:r w:rsidRPr="00EE5E34">
        <w:rPr>
          <w:rFonts w:ascii="Times New Roman" w:hAnsi="Times New Roman" w:cs="Times New Roman"/>
          <w:sz w:val="20"/>
          <w:szCs w:val="20"/>
          <w:lang w:val="sr-Latn-CS"/>
        </w:rPr>
        <w:t xml:space="preserve">BCVA: najbolje korigovana oštrina vida </w:t>
      </w:r>
    </w:p>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lang w:val="sr-Latn-CS"/>
        </w:rPr>
        <w:t xml:space="preserve">   ETDRS: Ispitivanje ranog liječenja dijabetičke retinopatije</w:t>
      </w:r>
    </w:p>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lang w:val="sr-Latn-CS"/>
        </w:rPr>
        <w:t xml:space="preserve">   LOCF: Posljednje mjerenje preneseno dalje </w:t>
      </w:r>
    </w:p>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lang w:val="sr-Latn-CS"/>
        </w:rPr>
        <w:t xml:space="preserve">   SD: Standardna devijacija</w:t>
      </w:r>
    </w:p>
    <w:p w:rsidR="00FB7AED" w:rsidRPr="00EE5E34" w:rsidRDefault="00FB7AED" w:rsidP="00C7646D">
      <w:pPr>
        <w:spacing w:after="0"/>
        <w:rPr>
          <w:rFonts w:ascii="Times New Roman" w:hAnsi="Times New Roman" w:cs="Times New Roman"/>
          <w:sz w:val="20"/>
          <w:szCs w:val="20"/>
          <w:lang w:val="sr-Latn-CS"/>
        </w:rPr>
      </w:pPr>
      <w:r w:rsidRPr="00EE5E34">
        <w:rPr>
          <w:rFonts w:ascii="Times New Roman" w:hAnsi="Times New Roman" w:cs="Times New Roman"/>
          <w:sz w:val="20"/>
          <w:szCs w:val="20"/>
          <w:lang w:val="sr-Latn-CS"/>
        </w:rPr>
        <w:t xml:space="preserve">   LS: Najmanji kvadrat prosjeka izveden iz ANCOVA-e </w:t>
      </w:r>
    </w:p>
    <w:p w:rsidR="00FB7AED" w:rsidRPr="00EE5E34" w:rsidRDefault="00FB7AED" w:rsidP="00C7646D">
      <w:pPr>
        <w:spacing w:after="0"/>
        <w:jc w:val="both"/>
        <w:rPr>
          <w:rFonts w:ascii="Times New Roman" w:hAnsi="Times New Roman" w:cs="Times New Roman"/>
          <w:sz w:val="20"/>
          <w:szCs w:val="20"/>
          <w:lang w:val="sr-Latn-CS"/>
        </w:rPr>
      </w:pPr>
      <w:r w:rsidRPr="00EE5E34">
        <w:rPr>
          <w:rFonts w:ascii="Times New Roman" w:hAnsi="Times New Roman" w:cs="Times New Roman"/>
          <w:sz w:val="20"/>
          <w:szCs w:val="20"/>
          <w:vertAlign w:val="superscript"/>
          <w:lang w:val="sr-Latn-CS"/>
        </w:rPr>
        <w:t>D)</w:t>
      </w:r>
      <w:r w:rsidRPr="00EE5E34">
        <w:rPr>
          <w:rFonts w:ascii="Times New Roman" w:hAnsi="Times New Roman" w:cs="Times New Roman"/>
          <w:sz w:val="20"/>
          <w:szCs w:val="20"/>
          <w:lang w:val="sr-Latn-CS"/>
        </w:rPr>
        <w:t>LS prosječne razlike i interval pouzdanosti na osnovu ANCOVA modela s faktorima terapijske grupe, regiona (Amerika naspram ostatka svijeta u ispitivanju COPERNICUS i Evropa naspram Azije/Pacifika u ispitivanju GALILEO) i početnom BCVA kategorijom (&gt; 20/200 i ≤ 20/200)</w:t>
      </w:r>
    </w:p>
    <w:p w:rsidR="00FB7AED" w:rsidRPr="00EE5E34" w:rsidRDefault="00FB7AED" w:rsidP="00C7646D">
      <w:pPr>
        <w:spacing w:after="0"/>
        <w:jc w:val="both"/>
        <w:rPr>
          <w:rFonts w:ascii="Times New Roman" w:hAnsi="Times New Roman" w:cs="Times New Roman"/>
          <w:sz w:val="20"/>
          <w:szCs w:val="20"/>
          <w:vertAlign w:val="superscript"/>
          <w:lang w:val="sr-Latn-RS"/>
        </w:rPr>
      </w:pPr>
      <w:r w:rsidRPr="00EE5E34">
        <w:rPr>
          <w:rFonts w:ascii="Times New Roman" w:hAnsi="Times New Roman" w:cs="Times New Roman"/>
          <w:sz w:val="20"/>
          <w:szCs w:val="20"/>
          <w:vertAlign w:val="superscript"/>
          <w:lang w:val="sr-Latn-CS"/>
        </w:rPr>
        <w:t>E)</w:t>
      </w:r>
      <w:r w:rsidRPr="00EE5E34">
        <w:rPr>
          <w:rFonts w:ascii="Times New Roman" w:hAnsi="Times New Roman" w:cs="Times New Roman"/>
          <w:sz w:val="20"/>
          <w:szCs w:val="20"/>
          <w:lang w:val="sr-Latn-CS"/>
        </w:rPr>
        <w:t xml:space="preserve">U studiji COPERNICUS, pacijenti u kontrolnoj grupi mogli su primiti lijek Eylea po potrebi sa učestalošću i na svake 4 nedjelje u periodu od 24. do 52. nedjelje </w:t>
      </w:r>
      <w:r w:rsidRPr="00EE5E34">
        <w:rPr>
          <w:rFonts w:ascii="Times New Roman" w:hAnsi="Times New Roman" w:cs="Times New Roman"/>
          <w:sz w:val="20"/>
          <w:szCs w:val="20"/>
          <w:lang w:val="sr-Latn-RS"/>
        </w:rPr>
        <w:t>pacijenti su imali kontrolne preglede na svake 4 nedjelje.</w:t>
      </w:r>
    </w:p>
    <w:p w:rsidR="00FB7AED" w:rsidRPr="00EE5E34" w:rsidRDefault="00FB7AED" w:rsidP="00C7646D">
      <w:pPr>
        <w:spacing w:after="0"/>
        <w:jc w:val="both"/>
        <w:rPr>
          <w:rFonts w:ascii="Times New Roman" w:hAnsi="Times New Roman" w:cs="Times New Roman"/>
          <w:sz w:val="20"/>
          <w:szCs w:val="20"/>
          <w:lang w:val="sr-Latn-CS"/>
        </w:rPr>
      </w:pPr>
      <w:r w:rsidRPr="00EE5E34">
        <w:rPr>
          <w:rFonts w:ascii="Times New Roman" w:hAnsi="Times New Roman" w:cs="Times New Roman"/>
          <w:sz w:val="20"/>
          <w:szCs w:val="20"/>
          <w:vertAlign w:val="superscript"/>
          <w:lang w:val="sr-Latn-CS"/>
        </w:rPr>
        <w:t xml:space="preserve">F) </w:t>
      </w:r>
      <w:r w:rsidRPr="00EE5E34">
        <w:rPr>
          <w:rFonts w:ascii="Times New Roman" w:hAnsi="Times New Roman" w:cs="Times New Roman"/>
          <w:sz w:val="20"/>
          <w:szCs w:val="20"/>
          <w:lang w:val="sr-Latn-CS"/>
        </w:rPr>
        <w:t xml:space="preserve">U studiji COPERNICUS, i kontrolna grupa i pacijenti liječeni lijekom Eylea od 2 mg primali su lijek Eylea od 2 mg po potrebi sa učestalošću od čak svake 4 nedjelje počevši od 52. do 96. nedjelje </w:t>
      </w:r>
      <w:r w:rsidRPr="00EE5E34">
        <w:rPr>
          <w:rFonts w:ascii="Times New Roman" w:hAnsi="Times New Roman" w:cs="Times New Roman"/>
          <w:sz w:val="20"/>
          <w:szCs w:val="20"/>
          <w:lang w:val="sr-Latn-RS"/>
        </w:rPr>
        <w:t>pacijenti su imali obavezne kvartalne kontrolne preglede, ali ukoliko je bilo potrebno, pregledi su obavljani i na svake četiri nedjelje</w:t>
      </w:r>
    </w:p>
    <w:p w:rsidR="00FB7AED" w:rsidRPr="00EE5E34" w:rsidRDefault="00FB7AED" w:rsidP="00C7646D">
      <w:pPr>
        <w:spacing w:after="0"/>
        <w:jc w:val="both"/>
        <w:rPr>
          <w:rFonts w:ascii="Times New Roman" w:hAnsi="Times New Roman" w:cs="Times New Roman"/>
          <w:sz w:val="20"/>
          <w:szCs w:val="20"/>
          <w:lang w:val="sr-Latn-RS"/>
        </w:rPr>
      </w:pPr>
      <w:r w:rsidRPr="00EE5E34">
        <w:rPr>
          <w:rFonts w:ascii="Times New Roman" w:hAnsi="Times New Roman" w:cs="Times New Roman"/>
          <w:sz w:val="20"/>
          <w:szCs w:val="20"/>
          <w:vertAlign w:val="superscript"/>
          <w:lang w:val="sr-Latn-CS"/>
        </w:rPr>
        <w:t xml:space="preserve">G) </w:t>
      </w:r>
      <w:r w:rsidRPr="00EE5E34">
        <w:rPr>
          <w:rFonts w:ascii="Times New Roman" w:hAnsi="Times New Roman" w:cs="Times New Roman"/>
          <w:sz w:val="20"/>
          <w:szCs w:val="20"/>
          <w:lang w:val="sr-Latn-CS"/>
        </w:rPr>
        <w:t xml:space="preserve">U studiji GALILEO, i kontrolna grupa i pacijenti liječeni lijekom Eylea od 2 mg primali su lijek Eylea od 2 mg po potrebi svakih 8 nedjelja počevši od 52. do 68. nedjelje </w:t>
      </w:r>
      <w:r w:rsidRPr="00EE5E34">
        <w:rPr>
          <w:rFonts w:ascii="Times New Roman" w:hAnsi="Times New Roman" w:cs="Times New Roman"/>
          <w:sz w:val="20"/>
          <w:szCs w:val="20"/>
          <w:lang w:val="sr-Latn-RS"/>
        </w:rPr>
        <w:t>pacijenti su imali obavezne kontrolne preglede na svakih 8 nedjelja.</w:t>
      </w:r>
    </w:p>
    <w:p w:rsidR="00866F59" w:rsidRDefault="00866F59" w:rsidP="00C7646D">
      <w:pPr>
        <w:spacing w:after="0"/>
        <w:jc w:val="both"/>
        <w:rPr>
          <w:rFonts w:ascii="Times New Roman" w:hAnsi="Times New Roman" w:cs="Times New Roman"/>
          <w:b/>
          <w:bCs/>
          <w:lang w:val="sr-Latn-CS"/>
        </w:rPr>
      </w:pPr>
    </w:p>
    <w:p w:rsidR="00866F59" w:rsidRPr="00FC72B0" w:rsidRDefault="00866F59" w:rsidP="00C7646D">
      <w:pPr>
        <w:spacing w:after="0"/>
        <w:jc w:val="both"/>
        <w:rPr>
          <w:rFonts w:ascii="Times New Roman" w:hAnsi="Times New Roman" w:cs="Times New Roman"/>
          <w:u w:val="single"/>
          <w:lang w:val="sr-Latn-CS"/>
        </w:rPr>
      </w:pPr>
      <w:r w:rsidRPr="00866F59">
        <w:rPr>
          <w:rFonts w:ascii="Times New Roman" w:hAnsi="Times New Roman" w:cs="Times New Roman"/>
          <w:b/>
          <w:bCs/>
          <w:lang w:val="sr-Latn-CS"/>
        </w:rPr>
        <w:t xml:space="preserve">Slika 2: </w:t>
      </w:r>
      <w:r w:rsidRPr="00866F59">
        <w:rPr>
          <w:rFonts w:ascii="Times New Roman" w:hAnsi="Times New Roman" w:cs="Times New Roman"/>
          <w:lang w:val="sr-Latn-CS"/>
        </w:rPr>
        <w:t>Prosječna promjena od početne vrijednosti do 76/100 . nedjelje u oštrini vida po terapijskim grupama u ispitivanju COPERNICUS i ispitivanju GALILEO (analiza svih podataka)</w:t>
      </w:r>
    </w:p>
    <w:tbl>
      <w:tblPr>
        <w:tblpPr w:leftFromText="180" w:rightFromText="180" w:vertAnchor="text" w:tblpY="1"/>
        <w:tblOverlap w:val="never"/>
        <w:tblW w:w="0" w:type="auto"/>
        <w:tblLayout w:type="fixed"/>
        <w:tblLook w:val="00A0" w:firstRow="1" w:lastRow="0" w:firstColumn="1" w:lastColumn="0" w:noHBand="0" w:noVBand="0"/>
      </w:tblPr>
      <w:tblGrid>
        <w:gridCol w:w="810"/>
      </w:tblGrid>
      <w:tr w:rsidR="00FC72B0" w:rsidRPr="00C15CAE" w:rsidTr="00701948">
        <w:trPr>
          <w:cantSplit/>
          <w:trHeight w:val="4711"/>
        </w:trPr>
        <w:tc>
          <w:tcPr>
            <w:tcW w:w="810" w:type="dxa"/>
            <w:tcBorders>
              <w:top w:val="nil"/>
              <w:left w:val="nil"/>
              <w:bottom w:val="nil"/>
              <w:right w:val="nil"/>
            </w:tcBorders>
            <w:textDirection w:val="btLr"/>
          </w:tcPr>
          <w:p w:rsidR="00FC72B0" w:rsidRPr="00C15CAE" w:rsidRDefault="00FC72B0" w:rsidP="00C7646D">
            <w:pPr>
              <w:tabs>
                <w:tab w:val="left" w:pos="284"/>
                <w:tab w:val="center" w:pos="4536"/>
                <w:tab w:val="right" w:pos="9072"/>
              </w:tabs>
              <w:spacing w:after="0" w:line="240" w:lineRule="auto"/>
              <w:ind w:left="113" w:right="113"/>
              <w:jc w:val="center"/>
              <w:rPr>
                <w:rFonts w:ascii="Times New Roman" w:hAnsi="Times New Roman" w:cs="Times New Roman"/>
              </w:rPr>
            </w:pPr>
          </w:p>
        </w:tc>
      </w:tr>
      <w:tr w:rsidR="00701948" w:rsidRPr="00C15CAE" w:rsidTr="00701948">
        <w:trPr>
          <w:cantSplit/>
          <w:trHeight w:val="4711"/>
        </w:trPr>
        <w:tc>
          <w:tcPr>
            <w:tcW w:w="810" w:type="dxa"/>
            <w:tcBorders>
              <w:top w:val="nil"/>
              <w:left w:val="nil"/>
              <w:bottom w:val="nil"/>
              <w:right w:val="nil"/>
            </w:tcBorders>
            <w:textDirection w:val="btLr"/>
          </w:tcPr>
          <w:p w:rsidR="00701948" w:rsidRPr="00C15CAE" w:rsidRDefault="00701948" w:rsidP="00701948">
            <w:pPr>
              <w:tabs>
                <w:tab w:val="left" w:pos="284"/>
                <w:tab w:val="center" w:pos="4536"/>
                <w:tab w:val="right" w:pos="9072"/>
              </w:tabs>
              <w:spacing w:after="0" w:line="240" w:lineRule="auto"/>
              <w:ind w:left="115" w:right="115"/>
              <w:jc w:val="center"/>
              <w:rPr>
                <w:rFonts w:ascii="Times New Roman" w:hAnsi="Times New Roman" w:cs="Times New Roman"/>
              </w:rPr>
            </w:pPr>
            <w:r w:rsidRPr="00C15CAE">
              <w:rPr>
                <w:rFonts w:ascii="Times New Roman" w:hAnsi="Times New Roman" w:cs="Times New Roman"/>
              </w:rPr>
              <w:t>Pros</w:t>
            </w:r>
            <w:r>
              <w:rPr>
                <w:rFonts w:ascii="Times New Roman" w:hAnsi="Times New Roman" w:cs="Times New Roman"/>
              </w:rPr>
              <w:t>j</w:t>
            </w:r>
            <w:r w:rsidRPr="00C15CAE">
              <w:rPr>
                <w:rFonts w:ascii="Times New Roman" w:hAnsi="Times New Roman" w:cs="Times New Roman"/>
              </w:rPr>
              <w:t>ečma prom</w:t>
            </w:r>
            <w:r>
              <w:rPr>
                <w:rFonts w:ascii="Times New Roman" w:hAnsi="Times New Roman" w:cs="Times New Roman"/>
              </w:rPr>
              <w:t>j</w:t>
            </w:r>
            <w:r w:rsidRPr="00C15CAE">
              <w:rPr>
                <w:rFonts w:ascii="Times New Roman" w:hAnsi="Times New Roman" w:cs="Times New Roman"/>
              </w:rPr>
              <w:t>ena oštrine vida</w:t>
            </w:r>
          </w:p>
          <w:p w:rsidR="00701948" w:rsidRPr="00C15CAE" w:rsidRDefault="00701948" w:rsidP="00701948">
            <w:pPr>
              <w:tabs>
                <w:tab w:val="left" w:pos="284"/>
                <w:tab w:val="center" w:pos="4536"/>
                <w:tab w:val="right" w:pos="9072"/>
              </w:tabs>
              <w:spacing w:after="0" w:line="240" w:lineRule="auto"/>
              <w:ind w:left="113" w:right="113"/>
              <w:jc w:val="center"/>
              <w:rPr>
                <w:rFonts w:ascii="Times New Roman" w:hAnsi="Times New Roman" w:cs="Times New Roman"/>
              </w:rPr>
            </w:pPr>
            <w:r w:rsidRPr="00C15CAE">
              <w:rPr>
                <w:rFonts w:ascii="Times New Roman" w:hAnsi="Times New Roman" w:cs="Times New Roman"/>
              </w:rPr>
              <w:t>(slova)</w:t>
            </w:r>
          </w:p>
        </w:tc>
      </w:tr>
      <w:tr w:rsidR="00FC72B0" w:rsidRPr="00C15CAE" w:rsidTr="007F0CDF">
        <w:trPr>
          <w:cantSplit/>
          <w:trHeight w:val="5542"/>
        </w:trPr>
        <w:tc>
          <w:tcPr>
            <w:tcW w:w="810" w:type="dxa"/>
            <w:tcBorders>
              <w:top w:val="nil"/>
              <w:left w:val="nil"/>
              <w:bottom w:val="nil"/>
              <w:right w:val="nil"/>
            </w:tcBorders>
            <w:textDirection w:val="btLr"/>
          </w:tcPr>
          <w:p w:rsidR="00FC72B0" w:rsidRPr="00C15CAE" w:rsidRDefault="00FC72B0" w:rsidP="00C7646D">
            <w:pPr>
              <w:tabs>
                <w:tab w:val="left" w:pos="284"/>
                <w:tab w:val="center" w:pos="4536"/>
                <w:tab w:val="right" w:pos="9072"/>
              </w:tabs>
              <w:spacing w:after="0" w:line="240" w:lineRule="auto"/>
              <w:ind w:left="113" w:right="113"/>
              <w:jc w:val="center"/>
              <w:rPr>
                <w:rFonts w:ascii="Times New Roman" w:hAnsi="Times New Roman" w:cs="Times New Roman"/>
              </w:rPr>
            </w:pPr>
            <w:r w:rsidRPr="00C15CAE">
              <w:rPr>
                <w:rFonts w:ascii="Times New Roman" w:hAnsi="Times New Roman" w:cs="Times New Roman"/>
              </w:rPr>
              <w:lastRenderedPageBreak/>
              <w:t>Pros</w:t>
            </w:r>
            <w:r>
              <w:rPr>
                <w:rFonts w:ascii="Times New Roman" w:hAnsi="Times New Roman" w:cs="Times New Roman"/>
              </w:rPr>
              <w:t>j</w:t>
            </w:r>
            <w:r w:rsidRPr="00C15CAE">
              <w:rPr>
                <w:rFonts w:ascii="Times New Roman" w:hAnsi="Times New Roman" w:cs="Times New Roman"/>
              </w:rPr>
              <w:t>ečma prom</w:t>
            </w:r>
            <w:r>
              <w:rPr>
                <w:rFonts w:ascii="Times New Roman" w:hAnsi="Times New Roman" w:cs="Times New Roman"/>
              </w:rPr>
              <w:t>j</w:t>
            </w:r>
            <w:r w:rsidRPr="00C15CAE">
              <w:rPr>
                <w:rFonts w:ascii="Times New Roman" w:hAnsi="Times New Roman" w:cs="Times New Roman"/>
              </w:rPr>
              <w:t xml:space="preserve">ena oštrine vida </w:t>
            </w:r>
          </w:p>
          <w:p w:rsidR="00FC72B0" w:rsidRPr="00C15CAE" w:rsidRDefault="00FC72B0" w:rsidP="00C7646D">
            <w:pPr>
              <w:tabs>
                <w:tab w:val="left" w:pos="284"/>
                <w:tab w:val="center" w:pos="4536"/>
                <w:tab w:val="right" w:pos="9072"/>
              </w:tabs>
              <w:spacing w:after="0" w:line="240" w:lineRule="auto"/>
              <w:ind w:left="113" w:right="113"/>
              <w:jc w:val="center"/>
              <w:rPr>
                <w:rFonts w:ascii="Times New Roman" w:hAnsi="Times New Roman" w:cs="Times New Roman"/>
              </w:rPr>
            </w:pPr>
            <w:r w:rsidRPr="00C15CAE">
              <w:rPr>
                <w:rFonts w:ascii="Times New Roman" w:hAnsi="Times New Roman" w:cs="Times New Roman"/>
              </w:rPr>
              <w:t>(slova)</w:t>
            </w:r>
          </w:p>
        </w:tc>
      </w:tr>
    </w:tbl>
    <w:p w:rsidR="00866F59" w:rsidRDefault="00FC72B0" w:rsidP="00C7646D">
      <w:pPr>
        <w:spacing w:after="0"/>
        <w:jc w:val="right"/>
        <w:rPr>
          <w:rFonts w:ascii="Times New Roman" w:hAnsi="Times New Roman" w:cs="Times New Roman"/>
          <w:lang w:val="sr-Latn-CS"/>
        </w:rPr>
      </w:pPr>
      <w:r>
        <w:rPr>
          <w:rFonts w:ascii="Times New Roman" w:hAnsi="Times New Roman" w:cs="Times New Roman"/>
          <w:noProof/>
        </w:rPr>
        <w:drawing>
          <wp:inline distT="0" distB="0" distL="0" distR="0" wp14:anchorId="64F5EBE2" wp14:editId="49671EF5">
            <wp:extent cx="4801782" cy="630839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6389" cy="6314449"/>
                    </a:xfrm>
                    <a:prstGeom prst="rect">
                      <a:avLst/>
                    </a:prstGeom>
                    <a:noFill/>
                  </pic:spPr>
                </pic:pic>
              </a:graphicData>
            </a:graphic>
          </wp:inline>
        </w:drawing>
      </w:r>
    </w:p>
    <w:p w:rsidR="002D114C" w:rsidRDefault="002D114C" w:rsidP="00C7646D">
      <w:pPr>
        <w:autoSpaceDE w:val="0"/>
        <w:autoSpaceDN w:val="0"/>
        <w:adjustRightInd w:val="0"/>
        <w:spacing w:after="0" w:line="240" w:lineRule="auto"/>
        <w:jc w:val="both"/>
        <w:rPr>
          <w:rFonts w:ascii="Times New Roman" w:hAnsi="Times New Roman" w:cs="Times New Roman"/>
          <w:color w:val="000000"/>
        </w:rPr>
      </w:pPr>
    </w:p>
    <w:p w:rsidR="00962004" w:rsidRPr="00C15CAE" w:rsidRDefault="00962004" w:rsidP="00C7646D">
      <w:pPr>
        <w:autoSpaceDE w:val="0"/>
        <w:autoSpaceDN w:val="0"/>
        <w:adjustRightInd w:val="0"/>
        <w:spacing w:after="0" w:line="240" w:lineRule="auto"/>
        <w:jc w:val="both"/>
        <w:rPr>
          <w:rFonts w:ascii="Times New Roman" w:hAnsi="Times New Roman" w:cs="Times New Roman"/>
          <w:color w:val="000000"/>
          <w:lang w:val="pl-PL"/>
        </w:rPr>
      </w:pPr>
      <w:r w:rsidRPr="00C15CAE">
        <w:rPr>
          <w:rFonts w:ascii="Times New Roman" w:hAnsi="Times New Roman" w:cs="Times New Roman"/>
          <w:color w:val="000000"/>
        </w:rPr>
        <w:t>Početna vr</w:t>
      </w:r>
      <w:r>
        <w:rPr>
          <w:rFonts w:ascii="Times New Roman" w:hAnsi="Times New Roman" w:cs="Times New Roman"/>
          <w:color w:val="000000"/>
        </w:rPr>
        <w:t>ij</w:t>
      </w:r>
      <w:r w:rsidRPr="00C15CAE">
        <w:rPr>
          <w:rFonts w:ascii="Times New Roman" w:hAnsi="Times New Roman" w:cs="Times New Roman"/>
          <w:color w:val="000000"/>
        </w:rPr>
        <w:t>ednost ud</w:t>
      </w:r>
      <w:r>
        <w:rPr>
          <w:rFonts w:ascii="Times New Roman" w:hAnsi="Times New Roman" w:cs="Times New Roman"/>
          <w:color w:val="000000"/>
        </w:rPr>
        <w:t>j</w:t>
      </w:r>
      <w:r w:rsidRPr="00C15CAE">
        <w:rPr>
          <w:rFonts w:ascii="Times New Roman" w:hAnsi="Times New Roman" w:cs="Times New Roman"/>
          <w:color w:val="000000"/>
        </w:rPr>
        <w:t>ela pacijenata s perfuzijom u grupi koja je dobijala l</w:t>
      </w:r>
      <w:r>
        <w:rPr>
          <w:rFonts w:ascii="Times New Roman" w:hAnsi="Times New Roman" w:cs="Times New Roman"/>
          <w:color w:val="000000"/>
        </w:rPr>
        <w:t>ij</w:t>
      </w:r>
      <w:r w:rsidRPr="00C15CAE">
        <w:rPr>
          <w:rFonts w:ascii="Times New Roman" w:hAnsi="Times New Roman" w:cs="Times New Roman"/>
          <w:color w:val="000000"/>
        </w:rPr>
        <w:t>ek Eylea u ispitivanju GALILEO bila je visoka (86,4%; n = 89). Perfuzija u 24. ned</w:t>
      </w:r>
      <w:r>
        <w:rPr>
          <w:rFonts w:ascii="Times New Roman" w:hAnsi="Times New Roman" w:cs="Times New Roman"/>
          <w:color w:val="000000"/>
        </w:rPr>
        <w:t>j</w:t>
      </w:r>
      <w:r w:rsidRPr="00C15CAE">
        <w:rPr>
          <w:rFonts w:ascii="Times New Roman" w:hAnsi="Times New Roman" w:cs="Times New Roman"/>
          <w:color w:val="000000"/>
        </w:rPr>
        <w:t>elji pri primarnom ishodu bila je 91,8% (n = 89). Pacijenti su uglavnom zadržavali status perfuzije do 76. ned</w:t>
      </w:r>
      <w:r>
        <w:rPr>
          <w:rFonts w:ascii="Times New Roman" w:hAnsi="Times New Roman" w:cs="Times New Roman"/>
          <w:color w:val="000000"/>
        </w:rPr>
        <w:t>j</w:t>
      </w:r>
      <w:r w:rsidRPr="00C15CAE">
        <w:rPr>
          <w:rFonts w:ascii="Times New Roman" w:hAnsi="Times New Roman" w:cs="Times New Roman"/>
          <w:color w:val="000000"/>
        </w:rPr>
        <w:t xml:space="preserve">elje (84,3%; n = 75). Početna </w:t>
      </w:r>
      <w:r>
        <w:rPr>
          <w:rFonts w:ascii="Times New Roman" w:hAnsi="Times New Roman" w:cs="Times New Roman"/>
          <w:color w:val="000000"/>
        </w:rPr>
        <w:t>vrijednost</w:t>
      </w:r>
      <w:r w:rsidRPr="00C15CAE">
        <w:rPr>
          <w:rFonts w:ascii="Times New Roman" w:hAnsi="Times New Roman" w:cs="Times New Roman"/>
          <w:color w:val="000000"/>
        </w:rPr>
        <w:t xml:space="preserve"> ud</w:t>
      </w:r>
      <w:r>
        <w:rPr>
          <w:rFonts w:ascii="Times New Roman" w:hAnsi="Times New Roman" w:cs="Times New Roman"/>
          <w:color w:val="000000"/>
        </w:rPr>
        <w:t>j</w:t>
      </w:r>
      <w:r w:rsidRPr="00C15CAE">
        <w:rPr>
          <w:rFonts w:ascii="Times New Roman" w:hAnsi="Times New Roman" w:cs="Times New Roman"/>
          <w:color w:val="000000"/>
        </w:rPr>
        <w:t xml:space="preserve">ela pacijenata s </w:t>
      </w:r>
      <w:r w:rsidRPr="00C15CAE">
        <w:rPr>
          <w:rFonts w:ascii="Times New Roman" w:hAnsi="Times New Roman" w:cs="Times New Roman"/>
          <w:color w:val="000000"/>
          <w:lang w:val="pl-PL"/>
        </w:rPr>
        <w:t>perfuzijom koji je prividno dobijao l</w:t>
      </w:r>
      <w:r>
        <w:rPr>
          <w:rFonts w:ascii="Times New Roman" w:hAnsi="Times New Roman" w:cs="Times New Roman"/>
          <w:color w:val="000000"/>
          <w:lang w:val="pl-PL"/>
        </w:rPr>
        <w:t>ij</w:t>
      </w:r>
      <w:r w:rsidRPr="00C15CAE">
        <w:rPr>
          <w:rFonts w:ascii="Times New Roman" w:hAnsi="Times New Roman" w:cs="Times New Roman"/>
          <w:color w:val="000000"/>
          <w:lang w:val="pl-PL"/>
        </w:rPr>
        <w:t>ek bila je 79,4% (n = 54). Perfuzija u 24. ned</w:t>
      </w:r>
      <w:r>
        <w:rPr>
          <w:rFonts w:ascii="Times New Roman" w:hAnsi="Times New Roman" w:cs="Times New Roman"/>
          <w:color w:val="000000"/>
          <w:lang w:val="pl-PL"/>
        </w:rPr>
        <w:t>j</w:t>
      </w:r>
      <w:r w:rsidRPr="00C15CAE">
        <w:rPr>
          <w:rFonts w:ascii="Times New Roman" w:hAnsi="Times New Roman" w:cs="Times New Roman"/>
          <w:color w:val="000000"/>
          <w:lang w:val="pl-PL"/>
        </w:rPr>
        <w:t>elji pri primarnom ishodu bila je 85,5% (n = 47). Pacijenti u grupi koja je prividno dobijala l</w:t>
      </w:r>
      <w:r>
        <w:rPr>
          <w:rFonts w:ascii="Times New Roman" w:hAnsi="Times New Roman" w:cs="Times New Roman"/>
          <w:color w:val="000000"/>
          <w:lang w:val="pl-PL"/>
        </w:rPr>
        <w:t>ij</w:t>
      </w:r>
      <w:r w:rsidRPr="00C15CAE">
        <w:rPr>
          <w:rFonts w:ascii="Times New Roman" w:hAnsi="Times New Roman" w:cs="Times New Roman"/>
          <w:color w:val="000000"/>
          <w:lang w:val="pl-PL"/>
        </w:rPr>
        <w:t>ek prebačeni su na l</w:t>
      </w:r>
      <w:r>
        <w:rPr>
          <w:rFonts w:ascii="Times New Roman" w:hAnsi="Times New Roman" w:cs="Times New Roman"/>
          <w:color w:val="000000"/>
          <w:lang w:val="pl-PL"/>
        </w:rPr>
        <w:t>ij</w:t>
      </w:r>
      <w:r w:rsidRPr="00C15CAE">
        <w:rPr>
          <w:rFonts w:ascii="Times New Roman" w:hAnsi="Times New Roman" w:cs="Times New Roman"/>
          <w:color w:val="000000"/>
          <w:lang w:val="pl-PL"/>
        </w:rPr>
        <w:t>ek Eylea u skladu s unapr</w:t>
      </w:r>
      <w:r>
        <w:rPr>
          <w:rFonts w:ascii="Times New Roman" w:hAnsi="Times New Roman" w:cs="Times New Roman"/>
          <w:color w:val="000000"/>
          <w:lang w:val="pl-PL"/>
        </w:rPr>
        <w:t>ij</w:t>
      </w:r>
      <w:r w:rsidRPr="00C15CAE">
        <w:rPr>
          <w:rFonts w:ascii="Times New Roman" w:hAnsi="Times New Roman" w:cs="Times New Roman"/>
          <w:color w:val="000000"/>
          <w:lang w:val="pl-PL"/>
        </w:rPr>
        <w:t>ed definisanim kriterijumima u 52. ned</w:t>
      </w:r>
      <w:r>
        <w:rPr>
          <w:rFonts w:ascii="Times New Roman" w:hAnsi="Times New Roman" w:cs="Times New Roman"/>
          <w:color w:val="000000"/>
          <w:lang w:val="pl-PL"/>
        </w:rPr>
        <w:t>j</w:t>
      </w:r>
      <w:r w:rsidRPr="00C15CAE">
        <w:rPr>
          <w:rFonts w:ascii="Times New Roman" w:hAnsi="Times New Roman" w:cs="Times New Roman"/>
          <w:color w:val="000000"/>
          <w:lang w:val="pl-PL"/>
        </w:rPr>
        <w:t>elji, 83,7% (n = 41) pacijenata imalo je perfuziju u tom trenutku. Pacijenti su uglavnom zadržavali status pefuzije do 76. ned</w:t>
      </w:r>
      <w:r>
        <w:rPr>
          <w:rFonts w:ascii="Times New Roman" w:hAnsi="Times New Roman" w:cs="Times New Roman"/>
          <w:color w:val="000000"/>
          <w:lang w:val="pl-PL"/>
        </w:rPr>
        <w:t>j</w:t>
      </w:r>
      <w:r w:rsidRPr="00C15CAE">
        <w:rPr>
          <w:rFonts w:ascii="Times New Roman" w:hAnsi="Times New Roman" w:cs="Times New Roman"/>
          <w:color w:val="000000"/>
          <w:lang w:val="pl-PL"/>
        </w:rPr>
        <w:t>elje (84,0%; n = 42).</w:t>
      </w:r>
    </w:p>
    <w:p w:rsidR="00C7646D" w:rsidRPr="002D114C" w:rsidRDefault="00962004" w:rsidP="002D114C">
      <w:pPr>
        <w:autoSpaceDE w:val="0"/>
        <w:autoSpaceDN w:val="0"/>
        <w:adjustRightInd w:val="0"/>
        <w:spacing w:after="0" w:line="240" w:lineRule="auto"/>
        <w:ind w:left="255" w:hanging="255"/>
        <w:jc w:val="both"/>
        <w:rPr>
          <w:rFonts w:ascii="Times New Roman" w:hAnsi="Times New Roman" w:cs="Times New Roman"/>
          <w:color w:val="000000"/>
          <w:lang w:val="pl-PL"/>
        </w:rPr>
      </w:pPr>
      <w:r w:rsidRPr="00C15CAE">
        <w:rPr>
          <w:rFonts w:ascii="Arial" w:hAnsi="Arial" w:cs="Arial"/>
          <w:color w:val="000000"/>
          <w:sz w:val="16"/>
          <w:szCs w:val="16"/>
          <w:lang w:val="pl-PL"/>
        </w:rPr>
        <w:lastRenderedPageBreak/>
        <w:t xml:space="preserve"> </w:t>
      </w:r>
    </w:p>
    <w:p w:rsidR="00BA63A5" w:rsidRPr="00BA63A5" w:rsidRDefault="00BA63A5" w:rsidP="00C7646D">
      <w:pPr>
        <w:spacing w:after="0"/>
        <w:jc w:val="both"/>
        <w:rPr>
          <w:rFonts w:ascii="Times New Roman" w:hAnsi="Times New Roman" w:cs="Times New Roman"/>
          <w:lang w:val="pl-PL"/>
        </w:rPr>
      </w:pPr>
      <w:r w:rsidRPr="00BA63A5">
        <w:rPr>
          <w:rFonts w:ascii="Times New Roman" w:hAnsi="Times New Roman" w:cs="Times New Roman"/>
          <w:lang w:val="pl-PL"/>
        </w:rPr>
        <w:t xml:space="preserve">Početna vrijednost udjela pacijenata s perfuzijom u grupi koja je dobijala lijek Eylea u kliničkom ispitivanju COPERNICUS bila je 67,5% (n = 77). Perfuzija u 24. nedjelji pri primarnom ishodu bila je 87,4% (n = 90). Nakon 24. nedjelje pacijenti koji su dobijali lijek Eylea dalje su liječeni prema unaprijed određenim kriterijumima. U 100. nedjelji 76,8% pacijenata (n = 76) imalo je perfuziju. Početna vrijednost udjela pacijenata s perfuzijom koji je prividno dobijao lijek bila je 68,5% (n = 50). Perfuzija u 24. nedjelji pri primarnom ishodu bila je 58,6% (n = 34). Pacijenti koji su bili u grupi koja je prividno dobijala lijek, nakon 24. nedjelje mogli su dobijati lijek Eylea. Udio pacijenata s perfuzijom povećao se na 83,9% (n = 47) u 52. nedjelji i uglavnom se zadržao do 100. nedjelje (78%; n = 39). </w:t>
      </w:r>
    </w:p>
    <w:p w:rsidR="00BA63A5" w:rsidRPr="00BA63A5" w:rsidRDefault="00BA63A5" w:rsidP="00C7646D">
      <w:pPr>
        <w:spacing w:after="0"/>
        <w:jc w:val="both"/>
        <w:rPr>
          <w:rFonts w:ascii="Times New Roman" w:hAnsi="Times New Roman" w:cs="Times New Roman"/>
          <w:lang w:val="pl-PL"/>
        </w:rPr>
      </w:pPr>
      <w:r w:rsidRPr="00BA63A5">
        <w:rPr>
          <w:rFonts w:ascii="Times New Roman" w:hAnsi="Times New Roman" w:cs="Times New Roman"/>
          <w:lang w:val="pl-PL"/>
        </w:rPr>
        <w:t xml:space="preserve">Korisno dejstvo lijeka Eylea na funkciju vida bilo je slično u početnim podgrupama pacijenata sa i bez perfuzije. </w:t>
      </w:r>
    </w:p>
    <w:p w:rsidR="00BA63A5" w:rsidRPr="00BA63A5" w:rsidRDefault="00BA63A5" w:rsidP="00C7646D">
      <w:pPr>
        <w:spacing w:after="0"/>
        <w:jc w:val="both"/>
        <w:rPr>
          <w:rFonts w:ascii="Times New Roman" w:hAnsi="Times New Roman" w:cs="Times New Roman"/>
          <w:lang w:val="pl-PL"/>
        </w:rPr>
      </w:pPr>
      <w:r w:rsidRPr="00BA63A5">
        <w:rPr>
          <w:rFonts w:ascii="Times New Roman" w:hAnsi="Times New Roman" w:cs="Times New Roman"/>
          <w:lang w:val="pl-PL"/>
        </w:rPr>
        <w:t xml:space="preserve">U kombinovanoj analizi podataka iz kliničkih ispitivanja GALILEO i COPERNICUS, Eylea je pokazala klinički značajne promjene u odnosu na početne vrijednosti u unaprijed određenom sekundarnom ishodu efikasnosti prema Upitniku funkcije vida Nacionalnog zavoda za oči (engl. </w:t>
      </w:r>
      <w:r w:rsidRPr="00BA63A5">
        <w:rPr>
          <w:rFonts w:ascii="Times New Roman" w:hAnsi="Times New Roman" w:cs="Times New Roman"/>
          <w:i/>
          <w:iCs/>
          <w:lang w:val="pl-PL"/>
        </w:rPr>
        <w:t xml:space="preserve">National Eye Institute Visual Function Questionnaire </w:t>
      </w:r>
      <w:r w:rsidRPr="00BA63A5">
        <w:rPr>
          <w:rFonts w:ascii="Times New Roman" w:hAnsi="Times New Roman" w:cs="Times New Roman"/>
          <w:lang w:val="pl-PL"/>
        </w:rPr>
        <w:t xml:space="preserve">– NEI VFQ-25). Opseg tih promjena bio je sličan onome u objavljenim ispitivanjima, a odgovarao je povećanju za 15 slova kod najbolje korigovane oštrine vida (BCVA). </w:t>
      </w:r>
    </w:p>
    <w:p w:rsidR="00BA63A5" w:rsidRPr="00BA63A5" w:rsidRDefault="00BA63A5" w:rsidP="00C7646D">
      <w:pPr>
        <w:spacing w:after="0"/>
        <w:jc w:val="both"/>
        <w:rPr>
          <w:rFonts w:ascii="Times New Roman" w:hAnsi="Times New Roman" w:cs="Times New Roman"/>
          <w:u w:val="single"/>
          <w:lang w:val="sr-Latn-CS"/>
        </w:rPr>
      </w:pPr>
      <w:r w:rsidRPr="00BA63A5">
        <w:rPr>
          <w:rFonts w:ascii="Times New Roman" w:hAnsi="Times New Roman" w:cs="Times New Roman"/>
          <w:lang w:val="pl-PL"/>
        </w:rPr>
        <w:t xml:space="preserve">Efekti liječenja kod svih procijenjenih podgrupa (npr., po starosti, polu, rasi, početnoj oštrini vida, stanju perfuzije mrežnjače, trajanju CRVO) u svakom ispitivanju bili su generalno usklađeni sa rezultatima ukupne populacije ispitanika. </w:t>
      </w:r>
    </w:p>
    <w:p w:rsidR="002D114C" w:rsidRDefault="002D114C" w:rsidP="00C7646D">
      <w:pPr>
        <w:spacing w:after="0"/>
        <w:jc w:val="both"/>
        <w:rPr>
          <w:rFonts w:ascii="Times New Roman" w:hAnsi="Times New Roman" w:cs="Times New Roman"/>
          <w:u w:val="single"/>
          <w:lang w:val="sr-Latn-CS"/>
        </w:rPr>
      </w:pPr>
    </w:p>
    <w:p w:rsidR="00BA63A5" w:rsidRPr="00BA63A5" w:rsidRDefault="00BA63A5" w:rsidP="00C7646D">
      <w:pPr>
        <w:spacing w:after="0"/>
        <w:jc w:val="both"/>
        <w:rPr>
          <w:rFonts w:ascii="Times New Roman" w:hAnsi="Times New Roman" w:cs="Times New Roman"/>
          <w:u w:val="single"/>
          <w:lang w:val="sr-Latn-CS"/>
        </w:rPr>
      </w:pPr>
      <w:r w:rsidRPr="00BA63A5">
        <w:rPr>
          <w:rFonts w:ascii="Times New Roman" w:hAnsi="Times New Roman" w:cs="Times New Roman"/>
          <w:u w:val="single"/>
          <w:lang w:val="sr-Latn-CS"/>
        </w:rPr>
        <w:t>Starija populacija</w:t>
      </w:r>
    </w:p>
    <w:p w:rsidR="00BA63A5" w:rsidRPr="00C645C2" w:rsidRDefault="00BA63A5" w:rsidP="00C7646D">
      <w:pPr>
        <w:spacing w:after="0"/>
        <w:jc w:val="both"/>
        <w:rPr>
          <w:rFonts w:ascii="Times New Roman" w:hAnsi="Times New Roman" w:cs="Times New Roman"/>
          <w:lang w:val="sr-Latn-CS"/>
        </w:rPr>
      </w:pPr>
      <w:r w:rsidRPr="00BA63A5">
        <w:rPr>
          <w:rFonts w:ascii="Times New Roman" w:hAnsi="Times New Roman" w:cs="Times New Roman"/>
          <w:lang w:val="sr-Latn-CS"/>
        </w:rPr>
        <w:t>U ispitivanjima za CRVO, približno je 52% (112/217) pacijenata randomizovanih u grupe liječene lijekom Eylea bilo starosti od 65 ili više godina, a približno ih je 18% (38/217) bilo starosti od 75 ili više godina.</w:t>
      </w:r>
    </w:p>
    <w:p w:rsidR="002D114C" w:rsidRDefault="002D114C" w:rsidP="00C7646D">
      <w:pPr>
        <w:spacing w:after="0"/>
        <w:jc w:val="both"/>
        <w:rPr>
          <w:rFonts w:ascii="Times New Roman" w:hAnsi="Times New Roman" w:cs="Times New Roman"/>
          <w:i/>
          <w:lang w:val="sr-Latn-CS"/>
        </w:rPr>
      </w:pPr>
    </w:p>
    <w:p w:rsidR="00BA63A5" w:rsidRPr="00BA63A5" w:rsidRDefault="00BA63A5" w:rsidP="00C7646D">
      <w:pPr>
        <w:spacing w:after="0"/>
        <w:jc w:val="both"/>
        <w:rPr>
          <w:rFonts w:ascii="Times New Roman" w:hAnsi="Times New Roman" w:cs="Times New Roman"/>
          <w:i/>
          <w:lang w:val="sr-Latn-CS"/>
        </w:rPr>
      </w:pPr>
      <w:r w:rsidRPr="00BA63A5">
        <w:rPr>
          <w:rFonts w:ascii="Times New Roman" w:hAnsi="Times New Roman" w:cs="Times New Roman"/>
          <w:i/>
          <w:lang w:val="sr-Latn-CS"/>
        </w:rPr>
        <w:t>Makularni edem kao posljedica BRVO</w:t>
      </w:r>
    </w:p>
    <w:p w:rsidR="00033FBD" w:rsidRDefault="00BA63A5" w:rsidP="00C7646D">
      <w:pPr>
        <w:spacing w:after="0"/>
        <w:jc w:val="both"/>
        <w:rPr>
          <w:rFonts w:ascii="Times New Roman" w:hAnsi="Times New Roman" w:cs="Times New Roman"/>
          <w:lang w:val="sr-Latn-CS"/>
        </w:rPr>
      </w:pPr>
      <w:r w:rsidRPr="00BA63A5">
        <w:rPr>
          <w:rFonts w:ascii="Times New Roman" w:hAnsi="Times New Roman" w:cs="Times New Roman"/>
          <w:lang w:val="sr-Latn-CS"/>
        </w:rPr>
        <w:t>Bezbjednost i efikasnost primjene lijeka Eylea je procijenjena u randomizovanoj, multicentričnoj, duplo –maskiranoj aktivno kontrolisanoj studiji kod pacijenata sa makularnim edemom, nastalim kao posljedica BRVO koja je uključivala Hemi-retinalnu vensku okluziju.U VIBRANT sudiji liječen je ukupno 181 pacijent (od kojih 91 sa lijekom Eylea) uz procjenu efikasnosti. U okviru ove studije, pacijenti su nasumično podijeljeni u dvije grupe u odnosu 1:1, od kojih je jedna dobijala 2mg lijeka Eylea na svakih 8 nedjelja, nakon čega su narednih 6 mjeseci primali injekciju jednom mjesečno; dok je druga grupa od početka bila na terapiji laserskom fotokoagulacijom (laserska kontrolna grupa). Pacijenti iz laserske kontrolne grupe su, po potrebi, mogli da prime i dodatnu terapiju laserske fotokaogulacije (nazvanu pomoćni laserski tretman), počevši od 12. nedjelje. Minimalni interval između dva tretmana laserske fotokoagulacije je bio 12 nedjelja. Počev od 24. nedjelje, pacijenti iz laserske kontrolne grupe su, po potrebi, mogli da prime pomoćnu treapiju u vidu 2mg lijeka Eylea, primjenjivanu svake 4 nedjelje tokom 3 mjeseca, što je bilo praćeno intravitrealnim injekcijama na svakih 8 nedjelja, bazirano na unaprijed određenim kriterijumima.</w:t>
      </w:r>
    </w:p>
    <w:p w:rsidR="00256FD9" w:rsidRDefault="00BA63A5" w:rsidP="00C7646D">
      <w:pPr>
        <w:spacing w:after="0"/>
        <w:jc w:val="both"/>
        <w:rPr>
          <w:rFonts w:ascii="Times New Roman" w:hAnsi="Times New Roman" w:cs="Times New Roman"/>
          <w:lang w:val="sr-Latn-CS"/>
        </w:rPr>
      </w:pPr>
      <w:r w:rsidRPr="00BA63A5">
        <w:rPr>
          <w:rFonts w:ascii="Times New Roman" w:hAnsi="Times New Roman" w:cs="Times New Roman"/>
          <w:lang w:val="sr-Latn-CS"/>
        </w:rPr>
        <w:t>Godine pacijenata su se kretale od 42 do 94, sa srednjom vrijednošću od 65 godina.</w:t>
      </w:r>
    </w:p>
    <w:p w:rsidR="00C7646D" w:rsidRDefault="00C7646D" w:rsidP="00C7646D">
      <w:pPr>
        <w:spacing w:after="0"/>
        <w:jc w:val="both"/>
        <w:rPr>
          <w:rFonts w:ascii="Times New Roman" w:hAnsi="Times New Roman" w:cs="Times New Roman"/>
          <w:lang w:val="sr-Latn-CS"/>
        </w:rPr>
      </w:pPr>
    </w:p>
    <w:p w:rsidR="00BA63A5" w:rsidRPr="00BA63A5" w:rsidRDefault="00BA63A5" w:rsidP="00C7646D">
      <w:pPr>
        <w:spacing w:after="0"/>
        <w:jc w:val="both"/>
        <w:rPr>
          <w:rFonts w:ascii="Times New Roman" w:hAnsi="Times New Roman" w:cs="Times New Roman"/>
          <w:lang w:val="sr-Latn-CS"/>
        </w:rPr>
      </w:pPr>
      <w:r w:rsidRPr="00BA63A5">
        <w:rPr>
          <w:rFonts w:ascii="Times New Roman" w:hAnsi="Times New Roman" w:cs="Times New Roman"/>
          <w:lang w:val="sr-Latn-CS"/>
        </w:rPr>
        <w:lastRenderedPageBreak/>
        <w:t>Prvi pokazatelj efikasnosti uVIBRANT studiji je bio broj pacijenata sa povećanjem od 15 slova prema BCVA u 24. nedjelji u odnosu na stanje sa početka terapije. U 24. nedjelji Eylea grupa je bila superiornija u odnosu na lasersku kontrolnu grupu.</w:t>
      </w:r>
    </w:p>
    <w:p w:rsidR="00173ED2" w:rsidRDefault="00173ED2" w:rsidP="00C7646D">
      <w:pPr>
        <w:spacing w:after="0"/>
        <w:jc w:val="both"/>
        <w:rPr>
          <w:rFonts w:ascii="Times New Roman" w:hAnsi="Times New Roman" w:cs="Times New Roman"/>
          <w:lang w:val="sr-Latn-CS"/>
        </w:rPr>
      </w:pPr>
    </w:p>
    <w:p w:rsidR="00BA63A5" w:rsidRPr="00BA63A5" w:rsidRDefault="00BA63A5" w:rsidP="00C7646D">
      <w:pPr>
        <w:spacing w:after="0"/>
        <w:jc w:val="both"/>
        <w:rPr>
          <w:rFonts w:ascii="Times New Roman" w:hAnsi="Times New Roman" w:cs="Times New Roman"/>
          <w:lang w:val="sr-Latn-RS"/>
        </w:rPr>
      </w:pPr>
      <w:r w:rsidRPr="00BA63A5">
        <w:rPr>
          <w:rFonts w:ascii="Times New Roman" w:hAnsi="Times New Roman" w:cs="Times New Roman"/>
          <w:lang w:val="sr-Latn-CS"/>
        </w:rPr>
        <w:t>Promjena oštrine vida 24. nedjelje u  poređenju sa onom na početku terapije je bila drugi pokazatelj efikasnosti u VIBRANT studiji. Razlika u ispitivanim grupama je bila statistički značajna u korist lijeka Eylea. Pobolj</w:t>
      </w:r>
      <w:r w:rsidRPr="00BA63A5">
        <w:rPr>
          <w:rFonts w:ascii="Times New Roman" w:hAnsi="Times New Roman" w:cs="Times New Roman"/>
          <w:lang w:val="sr-Latn-RS"/>
        </w:rPr>
        <w:t>šanje vida je nastupilo brzo i maksimum poboljšanja je postignut trećeg mjeseca sa posljedičnom stabilizacijom na efekat oštrine vida i centralnu retinalnu debljinu do šestog mjeseca uz održavanje efekta do dvanaestog mjeseca.</w:t>
      </w:r>
    </w:p>
    <w:p w:rsidR="00BA63A5" w:rsidRPr="00BA63A5" w:rsidRDefault="00BA63A5" w:rsidP="00C7646D">
      <w:pPr>
        <w:spacing w:after="0"/>
        <w:jc w:val="both"/>
        <w:rPr>
          <w:rFonts w:ascii="Times New Roman" w:hAnsi="Times New Roman" w:cs="Times New Roman"/>
          <w:lang w:val="sr-Latn-RS"/>
        </w:rPr>
      </w:pPr>
      <w:r w:rsidRPr="00BA63A5">
        <w:rPr>
          <w:rFonts w:ascii="Times New Roman" w:hAnsi="Times New Roman" w:cs="Times New Roman"/>
          <w:lang w:val="sr-Latn-RS"/>
        </w:rPr>
        <w:t>U laserskoj grupi, 67 pacijenata je primilo pomoćnu terapiju lijekom Eylea, počevši od 24. nedjelje (aktivna kontrola/grupa koja prima 2 mg lijeka Eylea). U ovoj grupi pacijenata, oštrina vida se popravila za oko 5 slova od 24. do 52. nedjelje.</w:t>
      </w:r>
    </w:p>
    <w:p w:rsidR="00645669" w:rsidRDefault="00BA63A5" w:rsidP="00C7646D">
      <w:pPr>
        <w:spacing w:after="0"/>
        <w:jc w:val="both"/>
        <w:rPr>
          <w:rFonts w:ascii="Times New Roman" w:hAnsi="Times New Roman" w:cs="Times New Roman"/>
          <w:lang w:val="sr-Latn-RS"/>
        </w:rPr>
      </w:pPr>
      <w:r w:rsidRPr="00BA63A5">
        <w:rPr>
          <w:rFonts w:ascii="Times New Roman" w:hAnsi="Times New Roman" w:cs="Times New Roman"/>
          <w:lang w:val="sr-Latn-RS"/>
        </w:rPr>
        <w:t>Detaljan prikaz rezultata analize VIBRANT studije su pokazani ispod u Tabeli 4 i na Slici 3.</w:t>
      </w:r>
    </w:p>
    <w:p w:rsidR="00C7646D" w:rsidRDefault="00C7646D" w:rsidP="00C7646D">
      <w:pPr>
        <w:spacing w:after="0"/>
        <w:rPr>
          <w:rFonts w:ascii="Times New Roman" w:hAnsi="Times New Roman" w:cs="Times New Roman"/>
          <w:b/>
          <w:lang w:val="sr-Latn-RS"/>
        </w:rPr>
      </w:pPr>
    </w:p>
    <w:p w:rsidR="00386627" w:rsidRDefault="00BA63A5" w:rsidP="00C7646D">
      <w:pPr>
        <w:spacing w:after="0"/>
        <w:rPr>
          <w:rFonts w:ascii="Times New Roman" w:hAnsi="Times New Roman" w:cs="Times New Roman"/>
          <w:lang w:val="sr-Latn-RS"/>
        </w:rPr>
      </w:pPr>
      <w:r w:rsidRPr="00BA63A5">
        <w:rPr>
          <w:rFonts w:ascii="Times New Roman" w:hAnsi="Times New Roman" w:cs="Times New Roman"/>
          <w:b/>
          <w:lang w:val="sr-Latn-RS"/>
        </w:rPr>
        <w:t>Tabela 4</w:t>
      </w:r>
      <w:r w:rsidRPr="00BA63A5">
        <w:rPr>
          <w:rFonts w:ascii="Times New Roman" w:hAnsi="Times New Roman" w:cs="Times New Roman"/>
          <w:lang w:val="sr-Latn-RS"/>
        </w:rPr>
        <w:t>: Ishod efikasnosti u 24. i 52. nedjelji (Puna analiza pomoću LOCF) u okviru VIBRANT studije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510"/>
        <w:gridCol w:w="1512"/>
        <w:gridCol w:w="1510"/>
        <w:gridCol w:w="1510"/>
      </w:tblGrid>
      <w:tr w:rsidR="00BA3AB5" w:rsidRPr="00C15CAE" w:rsidTr="00173ED2">
        <w:tc>
          <w:tcPr>
            <w:tcW w:w="1667" w:type="pct"/>
            <w:vMerge w:val="restar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b/>
                <w:lang w:val="sr-Latn-RS"/>
              </w:rPr>
            </w:pPr>
            <w:r w:rsidRPr="00C15CAE">
              <w:rPr>
                <w:rFonts w:ascii="Times New Roman" w:hAnsi="Times New Roman" w:cs="Times New Roman"/>
                <w:b/>
                <w:lang w:val="sr-Latn-RS"/>
              </w:rPr>
              <w:t>Ishod efikasnosti</w:t>
            </w:r>
          </w:p>
        </w:tc>
        <w:tc>
          <w:tcPr>
            <w:tcW w:w="3333" w:type="pct"/>
            <w:gridSpan w:val="4"/>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VIBRANT</w:t>
            </w:r>
          </w:p>
        </w:tc>
      </w:tr>
      <w:tr w:rsidR="00BA3AB5" w:rsidRPr="00C15CAE" w:rsidTr="00173ED2">
        <w:tc>
          <w:tcPr>
            <w:tcW w:w="1667" w:type="pct"/>
            <w:vMerge/>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lang w:val="sr-Latn-RS"/>
              </w:rPr>
            </w:pPr>
          </w:p>
        </w:tc>
        <w:tc>
          <w:tcPr>
            <w:tcW w:w="1667" w:type="pct"/>
            <w:gridSpan w:val="2"/>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24 ned</w:t>
            </w:r>
            <w:r>
              <w:rPr>
                <w:rFonts w:ascii="Times New Roman" w:hAnsi="Times New Roman" w:cs="Times New Roman"/>
                <w:b/>
                <w:lang w:val="sr-Latn-RS"/>
              </w:rPr>
              <w:t>j</w:t>
            </w:r>
            <w:r w:rsidRPr="00C15CAE">
              <w:rPr>
                <w:rFonts w:ascii="Times New Roman" w:hAnsi="Times New Roman" w:cs="Times New Roman"/>
                <w:b/>
                <w:lang w:val="sr-Latn-RS"/>
              </w:rPr>
              <w:t>elje</w:t>
            </w:r>
          </w:p>
        </w:tc>
        <w:tc>
          <w:tcPr>
            <w:tcW w:w="1667" w:type="pct"/>
            <w:gridSpan w:val="2"/>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52 ned</w:t>
            </w:r>
            <w:r>
              <w:rPr>
                <w:rFonts w:ascii="Times New Roman" w:hAnsi="Times New Roman" w:cs="Times New Roman"/>
                <w:b/>
                <w:lang w:val="sr-Latn-RS"/>
              </w:rPr>
              <w:t>j</w:t>
            </w:r>
            <w:r w:rsidRPr="00C15CAE">
              <w:rPr>
                <w:rFonts w:ascii="Times New Roman" w:hAnsi="Times New Roman" w:cs="Times New Roman"/>
                <w:b/>
                <w:lang w:val="sr-Latn-RS"/>
              </w:rPr>
              <w:t>elje</w:t>
            </w:r>
          </w:p>
        </w:tc>
      </w:tr>
      <w:tr w:rsidR="00BA3AB5" w:rsidRPr="00C15CAE" w:rsidTr="00173ED2">
        <w:tc>
          <w:tcPr>
            <w:tcW w:w="1667"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lang w:val="sr-Latn-RS"/>
              </w:rPr>
            </w:pP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Eylea 2 mg Q4</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b/>
                <w:lang w:val="sr-Latn-RS"/>
              </w:rPr>
              <w:t>(N=91)</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Aktivna kontrolna grupa</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(laser)</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b/>
                <w:lang w:val="sr-Latn-RS"/>
              </w:rPr>
              <w:t>(N=90)</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Eylea 2 mg Q8</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b/>
                <w:lang w:val="sr-Latn-RS"/>
              </w:rPr>
              <w:t xml:space="preserve">(N=91) </w:t>
            </w:r>
            <w:r w:rsidRPr="00C15CAE">
              <w:rPr>
                <w:rFonts w:ascii="Times New Roman" w:hAnsi="Times New Roman" w:cs="Times New Roman"/>
                <w:b/>
                <w:vertAlign w:val="superscript"/>
                <w:lang w:val="sr-Latn-RS"/>
              </w:rPr>
              <w:t>D)</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Aktivna kontrolna grupa</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b/>
                <w:lang w:val="sr-Latn-RS"/>
              </w:rPr>
            </w:pPr>
            <w:r w:rsidRPr="00C15CAE">
              <w:rPr>
                <w:rFonts w:ascii="Times New Roman" w:hAnsi="Times New Roman" w:cs="Times New Roman"/>
                <w:b/>
                <w:lang w:val="sr-Latn-RS"/>
              </w:rPr>
              <w:t>(laser)/Eylea 2mg</w:t>
            </w:r>
            <w:r w:rsidRPr="00C15CAE">
              <w:rPr>
                <w:rFonts w:ascii="Times New Roman" w:hAnsi="Times New Roman" w:cs="Times New Roman"/>
                <w:b/>
                <w:vertAlign w:val="superscript"/>
                <w:lang w:val="sr-Latn-RS"/>
              </w:rPr>
              <w:t>E)</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b/>
                <w:lang w:val="sr-Latn-RS"/>
              </w:rPr>
              <w:t>(N=90)</w:t>
            </w:r>
          </w:p>
        </w:tc>
      </w:tr>
      <w:tr w:rsidR="00BA3AB5" w:rsidRPr="00C15CAE" w:rsidTr="00173ED2">
        <w:tc>
          <w:tcPr>
            <w:tcW w:w="1667" w:type="pct"/>
            <w:shd w:val="clear" w:color="auto" w:fill="auto"/>
          </w:tcPr>
          <w:p w:rsidR="00BA3AB5" w:rsidRPr="00E6509D"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r>
              <w:rPr>
                <w:rFonts w:ascii="Times New Roman" w:hAnsi="Times New Roman" w:cs="Times New Roman"/>
                <w:color w:val="000000"/>
                <w:sz w:val="20"/>
                <w:szCs w:val="20"/>
                <w:lang w:val="sr-Latn-RS"/>
              </w:rPr>
              <w:t>Udi</w:t>
            </w:r>
            <w:r w:rsidRPr="00E6509D">
              <w:rPr>
                <w:rFonts w:ascii="Times New Roman" w:hAnsi="Times New Roman" w:cs="Times New Roman"/>
                <w:color w:val="000000"/>
                <w:sz w:val="20"/>
                <w:szCs w:val="20"/>
                <w:lang w:val="sr-Latn-RS"/>
              </w:rPr>
              <w:t>o pacijenata kod kojih je zab</w:t>
            </w:r>
            <w:r>
              <w:rPr>
                <w:rFonts w:ascii="Times New Roman" w:hAnsi="Times New Roman" w:cs="Times New Roman"/>
                <w:color w:val="000000"/>
                <w:sz w:val="20"/>
                <w:szCs w:val="20"/>
                <w:lang w:val="sr-Latn-RS"/>
              </w:rPr>
              <w:t>i</w:t>
            </w:r>
            <w:r w:rsidRPr="00E6509D">
              <w:rPr>
                <w:rFonts w:ascii="Times New Roman" w:hAnsi="Times New Roman" w:cs="Times New Roman"/>
                <w:color w:val="000000"/>
                <w:sz w:val="20"/>
                <w:szCs w:val="20"/>
                <w:lang w:val="sr-Latn-RS"/>
              </w:rPr>
              <w:t>l</w:t>
            </w:r>
            <w:r>
              <w:rPr>
                <w:rFonts w:ascii="Times New Roman" w:hAnsi="Times New Roman" w:cs="Times New Roman"/>
                <w:color w:val="000000"/>
                <w:sz w:val="20"/>
                <w:szCs w:val="20"/>
                <w:lang w:val="sr-Latn-RS"/>
              </w:rPr>
              <w:t>j</w:t>
            </w:r>
            <w:r w:rsidRPr="00E6509D">
              <w:rPr>
                <w:rFonts w:ascii="Times New Roman" w:hAnsi="Times New Roman" w:cs="Times New Roman"/>
                <w:color w:val="000000"/>
                <w:sz w:val="20"/>
                <w:szCs w:val="20"/>
                <w:lang w:val="sr-Latn-RS"/>
              </w:rPr>
              <w:t>eženo povećanjem za najmanje 15 slova uz BCVA</w:t>
            </w:r>
            <w:r w:rsidRPr="00E6509D">
              <w:rPr>
                <w:rFonts w:ascii="Times New Roman" w:hAnsi="Times New Roman" w:cs="Times New Roman"/>
                <w:color w:val="000000"/>
                <w:position w:val="8"/>
                <w:sz w:val="20"/>
                <w:szCs w:val="20"/>
                <w:vertAlign w:val="superscript"/>
                <w:lang w:val="sr-Latn-RS"/>
              </w:rPr>
              <w:t xml:space="preserve"> </w:t>
            </w:r>
            <w:r w:rsidRPr="00E6509D">
              <w:rPr>
                <w:rFonts w:ascii="Times New Roman" w:hAnsi="Times New Roman" w:cs="Times New Roman"/>
                <w:color w:val="000000"/>
                <w:sz w:val="20"/>
                <w:szCs w:val="20"/>
                <w:lang w:val="sr-Latn-RS"/>
              </w:rPr>
              <w:t xml:space="preserve">od početne vrijednosti (%) </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52.7%</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26.7%</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57.1%</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41.1%</w:t>
            </w:r>
          </w:p>
        </w:tc>
      </w:tr>
      <w:tr w:rsidR="00BA3AB5" w:rsidRPr="00C15CAE" w:rsidTr="00173ED2">
        <w:tc>
          <w:tcPr>
            <w:tcW w:w="1667"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r w:rsidRPr="00C15CAE">
              <w:rPr>
                <w:rFonts w:ascii="Times New Roman" w:hAnsi="Times New Roman" w:cs="Times New Roman"/>
                <w:sz w:val="20"/>
                <w:szCs w:val="20"/>
                <w:lang w:val="sr-Latn-RS"/>
              </w:rPr>
              <w:t xml:space="preserve">Ponderisana  razlika </w:t>
            </w:r>
            <w:r w:rsidRPr="00C15CAE">
              <w:rPr>
                <w:rFonts w:ascii="Times New Roman" w:hAnsi="Times New Roman" w:cs="Times New Roman"/>
                <w:sz w:val="20"/>
                <w:szCs w:val="20"/>
                <w:vertAlign w:val="superscript"/>
                <w:lang w:val="sr-Latn-RS"/>
              </w:rPr>
              <w:t>A,B</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(95% CI)</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sz w:val="20"/>
                <w:szCs w:val="20"/>
                <w:lang w:val="sr-Latn-RS"/>
              </w:rPr>
              <w:t>p-</w:t>
            </w:r>
            <w:r>
              <w:rPr>
                <w:rFonts w:ascii="Times New Roman" w:hAnsi="Times New Roman" w:cs="Times New Roman"/>
                <w:sz w:val="20"/>
                <w:szCs w:val="20"/>
                <w:lang w:val="sr-Latn-RS"/>
              </w:rPr>
              <w:t>vrijednost</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26.6%</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(13.0, 40.1)</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sz w:val="20"/>
                <w:szCs w:val="20"/>
                <w:lang w:val="sr-Latn-RS"/>
              </w:rPr>
              <w:t>p= 0.0003</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lang w:val="sr-Latn-RS"/>
              </w:rPr>
            </w:pP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16.2%</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(2.0, 30.5)</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P=0.0296</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lang w:val="sr-Latn-RS"/>
              </w:rPr>
            </w:pPr>
          </w:p>
        </w:tc>
      </w:tr>
      <w:tr w:rsidR="00BA3AB5" w:rsidRPr="00C15CAE" w:rsidTr="00173ED2">
        <w:tc>
          <w:tcPr>
            <w:tcW w:w="1667"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lang w:val="sr-Latn-RS"/>
              </w:rPr>
            </w:pPr>
          </w:p>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rPr>
            </w:pPr>
            <w:r w:rsidRPr="00C15CAE">
              <w:rPr>
                <w:rFonts w:ascii="Times New Roman" w:hAnsi="Times New Roman" w:cs="Times New Roman"/>
                <w:sz w:val="20"/>
                <w:szCs w:val="20"/>
              </w:rPr>
              <w:t xml:space="preserve">Srednja </w:t>
            </w:r>
            <w:r>
              <w:rPr>
                <w:rFonts w:ascii="Times New Roman" w:hAnsi="Times New Roman" w:cs="Times New Roman"/>
                <w:sz w:val="20"/>
                <w:szCs w:val="20"/>
              </w:rPr>
              <w:t>vrijednost</w:t>
            </w:r>
            <w:r w:rsidRPr="00C15CAE">
              <w:rPr>
                <w:rFonts w:ascii="Times New Roman" w:hAnsi="Times New Roman" w:cs="Times New Roman"/>
                <w:sz w:val="20"/>
                <w:szCs w:val="20"/>
              </w:rPr>
              <w:t xml:space="preserve"> prom</w:t>
            </w:r>
            <w:r>
              <w:rPr>
                <w:rFonts w:ascii="Times New Roman" w:hAnsi="Times New Roman" w:cs="Times New Roman"/>
                <w:sz w:val="20"/>
                <w:szCs w:val="20"/>
              </w:rPr>
              <w:t>j</w:t>
            </w:r>
            <w:r w:rsidRPr="00C15CAE">
              <w:rPr>
                <w:rFonts w:ascii="Times New Roman" w:hAnsi="Times New Roman" w:cs="Times New Roman"/>
                <w:sz w:val="20"/>
                <w:szCs w:val="20"/>
              </w:rPr>
              <w:t xml:space="preserve">ene u BCVA od početne </w:t>
            </w:r>
            <w:r>
              <w:rPr>
                <w:rFonts w:ascii="Times New Roman" w:hAnsi="Times New Roman" w:cs="Times New Roman"/>
                <w:sz w:val="20"/>
                <w:szCs w:val="20"/>
              </w:rPr>
              <w:t>vrijednost</w:t>
            </w:r>
            <w:r w:rsidRPr="00C15CAE">
              <w:rPr>
                <w:rFonts w:ascii="Times New Roman" w:hAnsi="Times New Roman" w:cs="Times New Roman"/>
                <w:sz w:val="20"/>
                <w:szCs w:val="20"/>
              </w:rPr>
              <w:t>i m</w:t>
            </w:r>
            <w:r>
              <w:rPr>
                <w:rFonts w:ascii="Times New Roman" w:hAnsi="Times New Roman" w:cs="Times New Roman"/>
                <w:sz w:val="20"/>
                <w:szCs w:val="20"/>
              </w:rPr>
              <w:t>j</w:t>
            </w:r>
            <w:r w:rsidRPr="00C15CAE">
              <w:rPr>
                <w:rFonts w:ascii="Times New Roman" w:hAnsi="Times New Roman" w:cs="Times New Roman"/>
                <w:sz w:val="20"/>
                <w:szCs w:val="20"/>
              </w:rPr>
              <w:t>ereno pomoću ETDRS</w:t>
            </w:r>
            <w:r w:rsidRPr="00C15CAE">
              <w:rPr>
                <w:rFonts w:ascii="Times New Roman" w:hAnsi="Times New Roman" w:cs="Times New Roman"/>
                <w:position w:val="8"/>
                <w:sz w:val="20"/>
                <w:szCs w:val="20"/>
                <w:vertAlign w:val="superscript"/>
              </w:rPr>
              <w:t xml:space="preserve"> </w:t>
            </w:r>
            <w:r w:rsidRPr="00C15CAE">
              <w:rPr>
                <w:rFonts w:ascii="Times New Roman" w:hAnsi="Times New Roman" w:cs="Times New Roman"/>
                <w:sz w:val="20"/>
                <w:szCs w:val="20"/>
              </w:rPr>
              <w:t xml:space="preserve"> l</w:t>
            </w:r>
            <w:r>
              <w:rPr>
                <w:rFonts w:ascii="Times New Roman" w:hAnsi="Times New Roman" w:cs="Times New Roman"/>
                <w:sz w:val="20"/>
                <w:szCs w:val="20"/>
              </w:rPr>
              <w:t>j</w:t>
            </w:r>
            <w:r w:rsidRPr="00C15CAE">
              <w:rPr>
                <w:rFonts w:ascii="Times New Roman" w:hAnsi="Times New Roman" w:cs="Times New Roman"/>
                <w:sz w:val="20"/>
                <w:szCs w:val="20"/>
              </w:rPr>
              <w:t>estvice za slova (SD)</w:t>
            </w:r>
          </w:p>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17.0</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(11.9)</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6.9</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(12.9)</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17.1</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(13.1)</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rPr>
                <w:rFonts w:ascii="Times New Roman" w:hAnsi="Times New Roman" w:cs="Times New Roman"/>
                <w:sz w:val="20"/>
                <w:szCs w:val="20"/>
                <w:lang w:val="sr-Latn-RS"/>
              </w:rPr>
            </w:pPr>
            <w:r w:rsidRPr="00C15CAE">
              <w:rPr>
                <w:rFonts w:ascii="Times New Roman" w:hAnsi="Times New Roman" w:cs="Times New Roman"/>
                <w:sz w:val="20"/>
                <w:szCs w:val="20"/>
                <w:lang w:val="sr-Latn-RS"/>
              </w:rPr>
              <w:t>12.2 (11.9)</w:t>
            </w:r>
          </w:p>
        </w:tc>
      </w:tr>
      <w:tr w:rsidR="00BA3AB5" w:rsidRPr="00C15CAE" w:rsidTr="00173ED2">
        <w:tc>
          <w:tcPr>
            <w:tcW w:w="1667" w:type="pct"/>
            <w:shd w:val="clear" w:color="auto" w:fill="auto"/>
          </w:tcPr>
          <w:p w:rsidR="00BA3AB5" w:rsidRPr="00C15CAE" w:rsidRDefault="00BA3AB5"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 xml:space="preserve">Razlika u LS srednjoj </w:t>
            </w:r>
            <w:r>
              <w:rPr>
                <w:rFonts w:ascii="Times New Roman" w:hAnsi="Times New Roman" w:cs="Times New Roman"/>
                <w:sz w:val="20"/>
                <w:szCs w:val="20"/>
                <w:lang w:val="pl-PL"/>
              </w:rPr>
              <w:t>vrijednost</w:t>
            </w:r>
            <w:r w:rsidRPr="00C15CAE">
              <w:rPr>
                <w:rFonts w:ascii="Times New Roman" w:hAnsi="Times New Roman" w:cs="Times New Roman"/>
                <w:sz w:val="20"/>
                <w:szCs w:val="20"/>
                <w:lang w:val="pl-PL"/>
              </w:rPr>
              <w:t>i</w:t>
            </w:r>
          </w:p>
          <w:p w:rsidR="00BA3AB5" w:rsidRPr="00C15CAE" w:rsidRDefault="00BA3AB5"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vertAlign w:val="superscript"/>
                <w:lang w:val="pl-PL"/>
              </w:rPr>
              <w:t xml:space="preserve">                                                                       A,C</w:t>
            </w:r>
          </w:p>
          <w:p w:rsidR="00BA3AB5" w:rsidRPr="00C15CAE" w:rsidRDefault="00BA3AB5" w:rsidP="00C7646D">
            <w:pPr>
              <w:pStyle w:val="Default"/>
              <w:spacing w:line="276" w:lineRule="auto"/>
              <w:jc w:val="center"/>
              <w:rPr>
                <w:rFonts w:ascii="Times New Roman" w:hAnsi="Times New Roman" w:cs="Times New Roman"/>
                <w:sz w:val="20"/>
                <w:szCs w:val="20"/>
                <w:lang w:val="pl-PL"/>
              </w:rPr>
            </w:pPr>
            <w:r w:rsidRPr="00C15CAE">
              <w:rPr>
                <w:rFonts w:ascii="Times New Roman" w:hAnsi="Times New Roman" w:cs="Times New Roman"/>
                <w:sz w:val="20"/>
                <w:szCs w:val="20"/>
                <w:lang w:val="pl-PL"/>
              </w:rPr>
              <w:t>(95% CI)</w:t>
            </w:r>
          </w:p>
          <w:p w:rsidR="00BA3AB5" w:rsidRPr="00C15CAE" w:rsidRDefault="00BA3AB5" w:rsidP="00C7646D">
            <w:pPr>
              <w:pStyle w:val="Default"/>
              <w:keepNext/>
              <w:spacing w:line="276" w:lineRule="auto"/>
              <w:jc w:val="center"/>
              <w:rPr>
                <w:rFonts w:ascii="Times New Roman" w:hAnsi="Times New Roman" w:cs="Times New Roman"/>
                <w:sz w:val="20"/>
                <w:szCs w:val="20"/>
                <w:lang w:val="pl-PL"/>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lang w:val="sr-Latn-RS"/>
              </w:rPr>
            </w:pPr>
            <w:r w:rsidRPr="00C15CAE">
              <w:rPr>
                <w:rFonts w:ascii="Times New Roman" w:hAnsi="Times New Roman" w:cs="Times New Roman"/>
                <w:sz w:val="20"/>
                <w:szCs w:val="20"/>
                <w:lang w:val="pl-PL"/>
              </w:rPr>
              <w:t>p-</w:t>
            </w:r>
            <w:r>
              <w:rPr>
                <w:rFonts w:ascii="Times New Roman" w:hAnsi="Times New Roman" w:cs="Times New Roman"/>
                <w:sz w:val="20"/>
                <w:szCs w:val="20"/>
                <w:lang w:val="pl-PL"/>
              </w:rPr>
              <w:t>vrijednost</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10.5</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(7.1, 14.0)</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p&lt;0.0001</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5.2</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(1.7, 8.7)</w:t>
            </w: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p>
          <w:p w:rsidR="00BA3AB5" w:rsidRPr="00C15CAE" w:rsidRDefault="00BA3AB5" w:rsidP="00C7646D">
            <w:pPr>
              <w:tabs>
                <w:tab w:val="left" w:pos="284"/>
                <w:tab w:val="center" w:pos="4536"/>
                <w:tab w:val="right" w:pos="9072"/>
              </w:tabs>
              <w:spacing w:after="0" w:line="240" w:lineRule="auto"/>
              <w:jc w:val="center"/>
              <w:rPr>
                <w:rFonts w:ascii="Times New Roman" w:hAnsi="Times New Roman" w:cs="Times New Roman"/>
                <w:sz w:val="20"/>
                <w:szCs w:val="20"/>
                <w:lang w:val="sr-Latn-RS"/>
              </w:rPr>
            </w:pPr>
            <w:r w:rsidRPr="00C15CAE">
              <w:rPr>
                <w:rFonts w:ascii="Times New Roman" w:hAnsi="Times New Roman" w:cs="Times New Roman"/>
                <w:sz w:val="20"/>
                <w:szCs w:val="20"/>
                <w:lang w:val="sr-Latn-RS"/>
              </w:rPr>
              <w:t>p=0.0035</w:t>
            </w:r>
            <w:r w:rsidRPr="00C15CAE">
              <w:rPr>
                <w:rFonts w:ascii="Times New Roman" w:hAnsi="Times New Roman" w:cs="Times New Roman"/>
                <w:sz w:val="20"/>
                <w:szCs w:val="20"/>
                <w:vertAlign w:val="superscript"/>
                <w:lang w:val="sr-Latn-RS"/>
              </w:rPr>
              <w:t>F)</w:t>
            </w:r>
          </w:p>
        </w:tc>
        <w:tc>
          <w:tcPr>
            <w:tcW w:w="833" w:type="pct"/>
            <w:shd w:val="clear" w:color="auto" w:fill="auto"/>
          </w:tcPr>
          <w:p w:rsidR="00BA3AB5" w:rsidRPr="00C15CAE" w:rsidRDefault="00BA3AB5" w:rsidP="00C7646D">
            <w:pPr>
              <w:tabs>
                <w:tab w:val="left" w:pos="284"/>
                <w:tab w:val="center" w:pos="4536"/>
                <w:tab w:val="right" w:pos="9072"/>
              </w:tabs>
              <w:spacing w:after="0" w:line="240" w:lineRule="auto"/>
              <w:rPr>
                <w:rFonts w:ascii="Times New Roman" w:hAnsi="Times New Roman" w:cs="Times New Roman"/>
                <w:lang w:val="sr-Latn-RS"/>
              </w:rPr>
            </w:pPr>
          </w:p>
        </w:tc>
      </w:tr>
    </w:tbl>
    <w:p w:rsidR="00386627" w:rsidRDefault="00386627" w:rsidP="00C7646D">
      <w:pPr>
        <w:spacing w:after="0"/>
        <w:rPr>
          <w:rFonts w:ascii="Times New Roman" w:hAnsi="Times New Roman" w:cs="Times New Roman"/>
          <w:lang w:val="sr-Latn-RS"/>
        </w:rPr>
      </w:pPr>
    </w:p>
    <w:p w:rsidR="00386627" w:rsidRDefault="00386627" w:rsidP="00C7646D">
      <w:pPr>
        <w:spacing w:after="0"/>
        <w:rPr>
          <w:rFonts w:ascii="Times New Roman" w:hAnsi="Times New Roman" w:cs="Times New Roman"/>
          <w:lang w:val="sr-Latn-RS"/>
        </w:rPr>
      </w:pPr>
    </w:p>
    <w:p w:rsidR="005C3D97" w:rsidRPr="00EB2FD8" w:rsidRDefault="005C3D97" w:rsidP="00C7646D">
      <w:pPr>
        <w:numPr>
          <w:ilvl w:val="0"/>
          <w:numId w:val="18"/>
        </w:numPr>
        <w:spacing w:after="0"/>
        <w:rPr>
          <w:rFonts w:ascii="Times New Roman" w:hAnsi="Times New Roman" w:cs="Times New Roman"/>
          <w:sz w:val="20"/>
          <w:szCs w:val="20"/>
          <w:lang w:val="sr-Latn-CS"/>
        </w:rPr>
      </w:pPr>
      <w:r w:rsidRPr="00EB2FD8">
        <w:rPr>
          <w:rFonts w:ascii="Times New Roman" w:hAnsi="Times New Roman" w:cs="Times New Roman"/>
          <w:sz w:val="20"/>
          <w:szCs w:val="20"/>
          <w:lang w:val="sr-Latn-CS"/>
        </w:rPr>
        <w:lastRenderedPageBreak/>
        <w:t>Razlika je Eylea 2 mg svake 4 nedjelje minus laserska kontrolna.</w:t>
      </w:r>
    </w:p>
    <w:p w:rsidR="005C3D97" w:rsidRPr="00EB2FD8" w:rsidRDefault="005C3D97" w:rsidP="00C7646D">
      <w:pPr>
        <w:numPr>
          <w:ilvl w:val="0"/>
          <w:numId w:val="18"/>
        </w:numPr>
        <w:spacing w:after="0"/>
        <w:rPr>
          <w:rFonts w:ascii="Times New Roman" w:hAnsi="Times New Roman" w:cs="Times New Roman"/>
          <w:sz w:val="20"/>
          <w:szCs w:val="20"/>
          <w:lang w:val="sr-Latn-RS"/>
        </w:rPr>
      </w:pPr>
      <w:r w:rsidRPr="00EB2FD8">
        <w:rPr>
          <w:rFonts w:ascii="Times New Roman" w:hAnsi="Times New Roman" w:cs="Times New Roman"/>
          <w:sz w:val="20"/>
          <w:szCs w:val="20"/>
          <w:lang w:val="sr-Latn-CS"/>
        </w:rPr>
        <w:t>Razlika i 95% CI izračunati su pomoću Mantel-Haenszelovog testa prilagođenog za region (Sjeverna Amerika naspram</w:t>
      </w:r>
    </w:p>
    <w:p w:rsidR="005C3D97" w:rsidRPr="00EB2FD8" w:rsidRDefault="005C3D97" w:rsidP="00C7646D">
      <w:pPr>
        <w:spacing w:after="0"/>
        <w:rPr>
          <w:rFonts w:ascii="Times New Roman" w:hAnsi="Times New Roman" w:cs="Times New Roman"/>
          <w:sz w:val="20"/>
          <w:szCs w:val="20"/>
          <w:lang w:val="sr-Latn-RS"/>
        </w:rPr>
      </w:pPr>
      <w:r w:rsidRPr="00EB2FD8">
        <w:rPr>
          <w:rFonts w:ascii="Times New Roman" w:hAnsi="Times New Roman" w:cs="Times New Roman"/>
          <w:sz w:val="20"/>
          <w:szCs w:val="20"/>
          <w:lang w:val="sr-Latn-RS"/>
        </w:rPr>
        <w:t xml:space="preserve">Japana) </w:t>
      </w:r>
      <w:r w:rsidRPr="00EB2FD8">
        <w:rPr>
          <w:rFonts w:ascii="Times New Roman" w:hAnsi="Times New Roman" w:cs="Times New Roman"/>
          <w:sz w:val="20"/>
          <w:szCs w:val="20"/>
          <w:lang w:val="sr-Latn-CS"/>
        </w:rPr>
        <w:t>i početnu BCVA kategoriju (&gt; 20/200 i ≤ 20/200)</w:t>
      </w:r>
    </w:p>
    <w:p w:rsidR="005C3D97" w:rsidRPr="00EB2FD8" w:rsidRDefault="005C3D97" w:rsidP="00C7646D">
      <w:pPr>
        <w:numPr>
          <w:ilvl w:val="0"/>
          <w:numId w:val="18"/>
        </w:numPr>
        <w:spacing w:after="0"/>
        <w:rPr>
          <w:rFonts w:ascii="Times New Roman" w:hAnsi="Times New Roman" w:cs="Times New Roman"/>
          <w:sz w:val="20"/>
          <w:szCs w:val="20"/>
          <w:lang w:val="sr-Latn-CS"/>
        </w:rPr>
      </w:pPr>
      <w:r w:rsidRPr="00EB2FD8">
        <w:rPr>
          <w:rFonts w:ascii="Times New Roman" w:hAnsi="Times New Roman" w:cs="Times New Roman"/>
          <w:sz w:val="20"/>
          <w:szCs w:val="20"/>
          <w:lang w:val="sr-Latn-CS"/>
        </w:rPr>
        <w:t xml:space="preserve">LS prosječne razlike i 95% CI na osnovu ANCOVA modela s terapijskom grupom, početnom BCVA kategorijom (&gt; 20/200 i ≤ 20/200) i regiona (Amerika naspram Japana) kao fiksni, i sa </w:t>
      </w:r>
      <w:r w:rsidRPr="00EB2FD8">
        <w:rPr>
          <w:rFonts w:ascii="Times New Roman" w:hAnsi="Times New Roman" w:cs="Times New Roman"/>
          <w:sz w:val="20"/>
          <w:szCs w:val="20"/>
          <w:lang w:val="sr-Latn-RS"/>
        </w:rPr>
        <w:t>početnim BCVA mjerenjima kao kovarijabilom</w:t>
      </w:r>
    </w:p>
    <w:p w:rsidR="005C3D97" w:rsidRPr="00EB2FD8" w:rsidRDefault="005C3D97" w:rsidP="00C7646D">
      <w:pPr>
        <w:spacing w:after="0"/>
        <w:rPr>
          <w:rFonts w:ascii="Times New Roman" w:hAnsi="Times New Roman" w:cs="Times New Roman"/>
          <w:sz w:val="20"/>
          <w:szCs w:val="20"/>
          <w:lang w:val="sr-Latn-CS"/>
        </w:rPr>
      </w:pPr>
      <w:r w:rsidRPr="00EB2FD8">
        <w:rPr>
          <w:rFonts w:ascii="Times New Roman" w:hAnsi="Times New Roman" w:cs="Times New Roman"/>
          <w:sz w:val="20"/>
          <w:szCs w:val="20"/>
          <w:vertAlign w:val="superscript"/>
          <w:lang w:val="pl-PL"/>
        </w:rPr>
        <w:t>D</w:t>
      </w:r>
      <w:r w:rsidRPr="00EB2FD8">
        <w:rPr>
          <w:rFonts w:ascii="Times New Roman" w:hAnsi="Times New Roman" w:cs="Times New Roman"/>
          <w:sz w:val="20"/>
          <w:szCs w:val="20"/>
          <w:vertAlign w:val="superscript"/>
          <w:lang w:val="sr-Latn-CS"/>
        </w:rPr>
        <w:t>)</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Od</w:t>
      </w:r>
      <w:r w:rsidRPr="00EB2FD8">
        <w:rPr>
          <w:rFonts w:ascii="Times New Roman" w:hAnsi="Times New Roman" w:cs="Times New Roman"/>
          <w:sz w:val="20"/>
          <w:szCs w:val="20"/>
          <w:lang w:val="sr-Latn-CS"/>
        </w:rPr>
        <w:t xml:space="preserve"> 24. </w:t>
      </w:r>
      <w:r w:rsidRPr="00EB2FD8">
        <w:rPr>
          <w:rFonts w:ascii="Times New Roman" w:hAnsi="Times New Roman" w:cs="Times New Roman"/>
          <w:sz w:val="20"/>
          <w:szCs w:val="20"/>
          <w:lang w:val="pl-PL"/>
        </w:rPr>
        <w:t>nedjelje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interval</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tretmana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u</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Eylea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terapijskoj</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grupi</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je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produ</w:t>
      </w:r>
      <w:r w:rsidRPr="00EB2FD8">
        <w:rPr>
          <w:rFonts w:ascii="Times New Roman" w:hAnsi="Times New Roman" w:cs="Times New Roman"/>
          <w:sz w:val="20"/>
          <w:szCs w:val="20"/>
          <w:lang w:val="sr-Latn-CS"/>
        </w:rPr>
        <w:t>ž</w:t>
      </w:r>
      <w:r w:rsidRPr="00EB2FD8">
        <w:rPr>
          <w:rFonts w:ascii="Times New Roman" w:hAnsi="Times New Roman" w:cs="Times New Roman"/>
          <w:sz w:val="20"/>
          <w:szCs w:val="20"/>
          <w:lang w:val="pl-PL"/>
        </w:rPr>
        <w:t>en</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za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sve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ispitanike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sa</w:t>
      </w:r>
      <w:r w:rsidRPr="00EB2FD8">
        <w:rPr>
          <w:rFonts w:ascii="Times New Roman" w:hAnsi="Times New Roman" w:cs="Times New Roman"/>
          <w:sz w:val="20"/>
          <w:szCs w:val="20"/>
          <w:lang w:val="sr-Latn-CS"/>
        </w:rPr>
        <w:t xml:space="preserve"> 4 </w:t>
      </w:r>
      <w:r w:rsidRPr="00EB2FD8">
        <w:rPr>
          <w:rFonts w:ascii="Times New Roman" w:hAnsi="Times New Roman" w:cs="Times New Roman"/>
          <w:sz w:val="20"/>
          <w:szCs w:val="20"/>
          <w:lang w:val="pl-PL"/>
        </w:rPr>
        <w:t>na</w:t>
      </w:r>
      <w:r w:rsidRPr="00EB2FD8">
        <w:rPr>
          <w:rFonts w:ascii="Times New Roman" w:hAnsi="Times New Roman" w:cs="Times New Roman"/>
          <w:sz w:val="20"/>
          <w:szCs w:val="20"/>
          <w:lang w:val="sr-Latn-CS"/>
        </w:rPr>
        <w:t xml:space="preserve"> 8 </w:t>
      </w:r>
      <w:r w:rsidRPr="00EB2FD8">
        <w:rPr>
          <w:rFonts w:ascii="Times New Roman" w:hAnsi="Times New Roman" w:cs="Times New Roman"/>
          <w:sz w:val="20"/>
          <w:szCs w:val="20"/>
          <w:lang w:val="pl-PL"/>
        </w:rPr>
        <w:t>nedjelja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lang w:val="pl-PL"/>
        </w:rPr>
        <w:t>do</w:t>
      </w:r>
      <w:r w:rsidRPr="00EB2FD8">
        <w:rPr>
          <w:rFonts w:ascii="Times New Roman" w:hAnsi="Times New Roman" w:cs="Times New Roman"/>
          <w:sz w:val="20"/>
          <w:szCs w:val="20"/>
          <w:lang w:val="sr-Latn-CS"/>
        </w:rPr>
        <w:t xml:space="preserve"> 48. </w:t>
      </w:r>
      <w:r w:rsidRPr="00EB2FD8">
        <w:rPr>
          <w:rFonts w:ascii="Times New Roman" w:hAnsi="Times New Roman" w:cs="Times New Roman"/>
          <w:sz w:val="20"/>
          <w:szCs w:val="20"/>
          <w:lang w:val="pl-PL"/>
        </w:rPr>
        <w:t>nedjelje</w:t>
      </w:r>
    </w:p>
    <w:p w:rsidR="005C3D97" w:rsidRPr="00EB2FD8" w:rsidRDefault="005C3D97" w:rsidP="00C7646D">
      <w:pPr>
        <w:spacing w:after="0"/>
        <w:rPr>
          <w:rFonts w:ascii="Times New Roman" w:hAnsi="Times New Roman" w:cs="Times New Roman"/>
          <w:sz w:val="20"/>
          <w:szCs w:val="20"/>
          <w:lang w:val="sr-Latn-CS"/>
        </w:rPr>
      </w:pPr>
      <w:r w:rsidRPr="00EB2FD8">
        <w:rPr>
          <w:rFonts w:ascii="Times New Roman" w:hAnsi="Times New Roman" w:cs="Times New Roman"/>
          <w:sz w:val="20"/>
          <w:szCs w:val="20"/>
          <w:vertAlign w:val="superscript"/>
        </w:rPr>
        <w:t>E</w:t>
      </w:r>
      <w:r w:rsidRPr="00EB2FD8">
        <w:rPr>
          <w:rFonts w:ascii="Times New Roman" w:hAnsi="Times New Roman" w:cs="Times New Roman"/>
          <w:sz w:val="20"/>
          <w:szCs w:val="20"/>
          <w:vertAlign w:val="superscript"/>
          <w:lang w:val="sr-Latn-CS"/>
        </w:rPr>
        <w:t>)</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Po</w:t>
      </w:r>
      <w:r w:rsidRPr="00EB2FD8">
        <w:rPr>
          <w:rFonts w:ascii="Times New Roman" w:hAnsi="Times New Roman" w:cs="Times New Roman"/>
          <w:sz w:val="20"/>
          <w:szCs w:val="20"/>
          <w:lang w:val="sr-Latn-CS"/>
        </w:rPr>
        <w:t>č</w:t>
      </w:r>
      <w:r w:rsidRPr="00EB2FD8">
        <w:rPr>
          <w:rFonts w:ascii="Times New Roman" w:hAnsi="Times New Roman" w:cs="Times New Roman"/>
          <w:sz w:val="20"/>
          <w:szCs w:val="20"/>
        </w:rPr>
        <w:t>ev</w:t>
      </w:r>
      <w:r w:rsidRPr="00EB2FD8">
        <w:rPr>
          <w:rFonts w:ascii="Times New Roman" w:hAnsi="Times New Roman" w:cs="Times New Roman"/>
          <w:sz w:val="20"/>
          <w:szCs w:val="20"/>
          <w:lang w:val="sr-Latn-CS"/>
        </w:rPr>
        <w:t>š</w:t>
      </w:r>
      <w:r w:rsidRPr="00EB2FD8">
        <w:rPr>
          <w:rFonts w:ascii="Times New Roman" w:hAnsi="Times New Roman" w:cs="Times New Roman"/>
          <w:sz w:val="20"/>
          <w:szCs w:val="20"/>
        </w:rPr>
        <w:t>i</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od</w:t>
      </w:r>
      <w:r w:rsidRPr="00EB2FD8">
        <w:rPr>
          <w:rFonts w:ascii="Times New Roman" w:hAnsi="Times New Roman" w:cs="Times New Roman"/>
          <w:sz w:val="20"/>
          <w:szCs w:val="20"/>
          <w:lang w:val="sr-Latn-CS"/>
        </w:rPr>
        <w:t xml:space="preserve"> 24 </w:t>
      </w:r>
      <w:r w:rsidRPr="00EB2FD8">
        <w:rPr>
          <w:rFonts w:ascii="Times New Roman" w:hAnsi="Times New Roman" w:cs="Times New Roman"/>
          <w:sz w:val="20"/>
          <w:szCs w:val="20"/>
        </w:rPr>
        <w:t>nedjelje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ispitanici</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iz</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laserske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grupe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su</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mogi</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da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prime</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pomo</w:t>
      </w:r>
      <w:r w:rsidRPr="00EB2FD8">
        <w:rPr>
          <w:rFonts w:ascii="Times New Roman" w:hAnsi="Times New Roman" w:cs="Times New Roman"/>
          <w:sz w:val="20"/>
          <w:szCs w:val="20"/>
          <w:lang w:val="sr-Latn-CS"/>
        </w:rPr>
        <w:t>ć</w:t>
      </w:r>
      <w:r w:rsidRPr="00EB2FD8">
        <w:rPr>
          <w:rFonts w:ascii="Times New Roman" w:hAnsi="Times New Roman" w:cs="Times New Roman"/>
          <w:sz w:val="20"/>
          <w:szCs w:val="20"/>
        </w:rPr>
        <w:t>nu</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terapiju</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lijekom</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Eylea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ukoliko</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su</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ispunjavali</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bar</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jedan</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od</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unaprijed</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odre</w:t>
      </w:r>
      <w:r w:rsidRPr="00EB2FD8">
        <w:rPr>
          <w:rFonts w:ascii="Times New Roman" w:hAnsi="Times New Roman" w:cs="Times New Roman"/>
          <w:sz w:val="20"/>
          <w:szCs w:val="20"/>
          <w:lang w:val="sr-Latn-CS"/>
        </w:rPr>
        <w:t>đ</w:t>
      </w:r>
      <w:r w:rsidRPr="00EB2FD8">
        <w:rPr>
          <w:rFonts w:ascii="Times New Roman" w:hAnsi="Times New Roman" w:cs="Times New Roman"/>
          <w:sz w:val="20"/>
          <w:szCs w:val="20"/>
        </w:rPr>
        <w:t>enih</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kriterijuma</w:t>
      </w:r>
      <w:r w:rsidRPr="00EB2FD8">
        <w:rPr>
          <w:rFonts w:ascii="Times New Roman" w:hAnsi="Times New Roman" w:cs="Times New Roman"/>
          <w:sz w:val="20"/>
          <w:szCs w:val="20"/>
          <w:lang w:val="sr-Latn-CS"/>
        </w:rPr>
        <w:t>. U okviru ove grupe, ukupno 67 ispitanika je primilo pomoćnu treapiju lijekom Eylea. Fiksni režim primanja pomoćne terapije lijeka Eylea je bio tri puta 2mg lijeka Eylea svake 4 nedjelje, pa zatim na svakih 8 nedjelja</w:t>
      </w:r>
    </w:p>
    <w:p w:rsidR="005C3D97" w:rsidRPr="00EB2FD8" w:rsidRDefault="005C3D97" w:rsidP="00C7646D">
      <w:pPr>
        <w:spacing w:after="0"/>
        <w:rPr>
          <w:rFonts w:ascii="Times New Roman" w:hAnsi="Times New Roman" w:cs="Times New Roman"/>
          <w:sz w:val="20"/>
          <w:szCs w:val="20"/>
          <w:lang w:val="sr-Latn-CS"/>
        </w:rPr>
      </w:pPr>
      <w:r w:rsidRPr="00EB2FD8">
        <w:rPr>
          <w:rFonts w:ascii="Times New Roman" w:hAnsi="Times New Roman" w:cs="Times New Roman"/>
          <w:sz w:val="20"/>
          <w:szCs w:val="20"/>
          <w:vertAlign w:val="superscript"/>
        </w:rPr>
        <w:t>F</w:t>
      </w:r>
      <w:r w:rsidRPr="00EB2FD8">
        <w:rPr>
          <w:rFonts w:ascii="Times New Roman" w:hAnsi="Times New Roman" w:cs="Times New Roman"/>
          <w:sz w:val="20"/>
          <w:szCs w:val="20"/>
          <w:vertAlign w:val="superscript"/>
          <w:lang w:val="sr-Latn-CS"/>
        </w:rPr>
        <w:t>)</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Nominalna</w:t>
      </w:r>
      <w:r w:rsidRPr="00EB2FD8">
        <w:rPr>
          <w:rFonts w:ascii="Times New Roman" w:hAnsi="Times New Roman" w:cs="Times New Roman"/>
          <w:sz w:val="20"/>
          <w:szCs w:val="20"/>
          <w:lang w:val="sr-Latn-CS"/>
        </w:rPr>
        <w:t xml:space="preserve"> </w:t>
      </w:r>
      <w:r w:rsidRPr="00EB2FD8">
        <w:rPr>
          <w:rFonts w:ascii="Times New Roman" w:hAnsi="Times New Roman" w:cs="Times New Roman"/>
          <w:sz w:val="20"/>
          <w:szCs w:val="20"/>
        </w:rPr>
        <w:t>p</w:t>
      </w:r>
      <w:r w:rsidRPr="00EB2FD8">
        <w:rPr>
          <w:rFonts w:ascii="Times New Roman" w:hAnsi="Times New Roman" w:cs="Times New Roman"/>
          <w:sz w:val="20"/>
          <w:szCs w:val="20"/>
          <w:lang w:val="sr-Latn-CS"/>
        </w:rPr>
        <w:t>-</w:t>
      </w:r>
      <w:r w:rsidRPr="00EB2FD8">
        <w:rPr>
          <w:rFonts w:ascii="Times New Roman" w:hAnsi="Times New Roman" w:cs="Times New Roman"/>
          <w:sz w:val="20"/>
          <w:szCs w:val="20"/>
        </w:rPr>
        <w:t>vrijednost</w:t>
      </w:r>
    </w:p>
    <w:p w:rsidR="00173ED2" w:rsidRDefault="00173ED2" w:rsidP="00C7646D">
      <w:pPr>
        <w:spacing w:after="0"/>
        <w:rPr>
          <w:rFonts w:ascii="Times New Roman" w:hAnsi="Times New Roman" w:cs="Times New Roman"/>
          <w:lang w:val="sr-Latn-CS"/>
        </w:rPr>
      </w:pPr>
    </w:p>
    <w:p w:rsidR="005C3D97" w:rsidRPr="005920DD" w:rsidRDefault="005C3D97" w:rsidP="00C7646D">
      <w:pPr>
        <w:spacing w:after="0"/>
        <w:rPr>
          <w:rFonts w:ascii="Times New Roman" w:hAnsi="Times New Roman" w:cs="Times New Roman"/>
          <w:sz w:val="20"/>
          <w:szCs w:val="20"/>
          <w:lang w:val="sr-Latn-CS"/>
        </w:rPr>
      </w:pPr>
      <w:r w:rsidRPr="005920DD">
        <w:rPr>
          <w:rFonts w:ascii="Times New Roman" w:hAnsi="Times New Roman" w:cs="Times New Roman"/>
          <w:b/>
          <w:sz w:val="20"/>
          <w:szCs w:val="20"/>
        </w:rPr>
        <w:t>Slika</w:t>
      </w:r>
      <w:r w:rsidRPr="005920DD">
        <w:rPr>
          <w:rFonts w:ascii="Times New Roman" w:hAnsi="Times New Roman" w:cs="Times New Roman"/>
          <w:b/>
          <w:sz w:val="20"/>
          <w:szCs w:val="20"/>
          <w:lang w:val="sr-Latn-CS"/>
        </w:rPr>
        <w:t xml:space="preserve"> 3:</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Prosje</w:t>
      </w:r>
      <w:r w:rsidRPr="005920DD">
        <w:rPr>
          <w:rFonts w:ascii="Times New Roman" w:hAnsi="Times New Roman" w:cs="Times New Roman"/>
          <w:sz w:val="20"/>
          <w:szCs w:val="20"/>
          <w:lang w:val="sr-Latn-CS"/>
        </w:rPr>
        <w:t>č</w:t>
      </w:r>
      <w:r w:rsidRPr="005920DD">
        <w:rPr>
          <w:rFonts w:ascii="Times New Roman" w:hAnsi="Times New Roman" w:cs="Times New Roman"/>
          <w:sz w:val="20"/>
          <w:szCs w:val="20"/>
        </w:rPr>
        <w:t>na</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promjena</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BCVA</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mjereno</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pomo</w:t>
      </w:r>
      <w:r w:rsidRPr="005920DD">
        <w:rPr>
          <w:rFonts w:ascii="Times New Roman" w:hAnsi="Times New Roman" w:cs="Times New Roman"/>
          <w:sz w:val="20"/>
          <w:szCs w:val="20"/>
          <w:lang w:val="sr-Latn-CS"/>
        </w:rPr>
        <w:t>ć</w:t>
      </w:r>
      <w:r w:rsidRPr="005920DD">
        <w:rPr>
          <w:rFonts w:ascii="Times New Roman" w:hAnsi="Times New Roman" w:cs="Times New Roman"/>
          <w:sz w:val="20"/>
          <w:szCs w:val="20"/>
        </w:rPr>
        <w:t>u</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ETDRS</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Letter</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Score</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od</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po</w:t>
      </w:r>
      <w:r w:rsidRPr="005920DD">
        <w:rPr>
          <w:rFonts w:ascii="Times New Roman" w:hAnsi="Times New Roman" w:cs="Times New Roman"/>
          <w:sz w:val="20"/>
          <w:szCs w:val="20"/>
          <w:lang w:val="sr-Latn-CS"/>
        </w:rPr>
        <w:t>č</w:t>
      </w:r>
      <w:r w:rsidRPr="005920DD">
        <w:rPr>
          <w:rFonts w:ascii="Times New Roman" w:hAnsi="Times New Roman" w:cs="Times New Roman"/>
          <w:sz w:val="20"/>
          <w:szCs w:val="20"/>
        </w:rPr>
        <w:t>etka</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do</w:t>
      </w:r>
      <w:r w:rsidRPr="005920DD">
        <w:rPr>
          <w:rFonts w:ascii="Times New Roman" w:hAnsi="Times New Roman" w:cs="Times New Roman"/>
          <w:sz w:val="20"/>
          <w:szCs w:val="20"/>
          <w:lang w:val="sr-Latn-CS"/>
        </w:rPr>
        <w:t xml:space="preserve"> 52. </w:t>
      </w:r>
      <w:r w:rsidRPr="005920DD">
        <w:rPr>
          <w:rFonts w:ascii="Times New Roman" w:hAnsi="Times New Roman" w:cs="Times New Roman"/>
          <w:sz w:val="20"/>
          <w:szCs w:val="20"/>
        </w:rPr>
        <w:t>nedjelje</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u</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okviru</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VIBRANT</w:t>
      </w:r>
      <w:r w:rsidRPr="005920DD">
        <w:rPr>
          <w:rFonts w:ascii="Times New Roman" w:hAnsi="Times New Roman" w:cs="Times New Roman"/>
          <w:sz w:val="20"/>
          <w:szCs w:val="20"/>
          <w:lang w:val="sr-Latn-CS"/>
        </w:rPr>
        <w:t xml:space="preserve"> </w:t>
      </w:r>
      <w:r w:rsidRPr="005920DD">
        <w:rPr>
          <w:rFonts w:ascii="Times New Roman" w:hAnsi="Times New Roman" w:cs="Times New Roman"/>
          <w:sz w:val="20"/>
          <w:szCs w:val="20"/>
        </w:rPr>
        <w:t>studije</w:t>
      </w:r>
    </w:p>
    <w:p w:rsidR="005C3D97" w:rsidRPr="005C3D97" w:rsidRDefault="005C3D97" w:rsidP="00C7646D">
      <w:pPr>
        <w:spacing w:after="0"/>
        <w:rPr>
          <w:rFonts w:ascii="Times New Roman" w:hAnsi="Times New Roman" w:cs="Times New Roman"/>
          <w:lang w:val="sr-Latn-CS"/>
        </w:rPr>
      </w:pPr>
    </w:p>
    <w:p w:rsidR="005C3D97" w:rsidRPr="005C3D97" w:rsidRDefault="005C3D97" w:rsidP="00C7646D">
      <w:pPr>
        <w:spacing w:after="0"/>
        <w:jc w:val="center"/>
        <w:rPr>
          <w:rFonts w:ascii="Times New Roman" w:hAnsi="Times New Roman" w:cs="Times New Roman"/>
          <w:lang w:val="sr-Latn-CS"/>
        </w:rPr>
      </w:pPr>
      <w:r w:rsidRPr="005C3D97">
        <w:rPr>
          <w:rFonts w:ascii="Times New Roman" w:hAnsi="Times New Roman" w:cs="Times New Roman"/>
          <w:noProof/>
        </w:rPr>
        <w:drawing>
          <wp:inline distT="0" distB="0" distL="0" distR="0" wp14:anchorId="141B7F63" wp14:editId="7DF2BF65">
            <wp:extent cx="4591050" cy="2600325"/>
            <wp:effectExtent l="0" t="0" r="0" b="9525"/>
            <wp:docPr id="29" name="Picture 29" descr="C:\Users\GDYMI\AppData\Local\Microsoft\Windows\Temporary Internet Files\Content.Outlook\JZJYJCIH\Eyl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DYMI\AppData\Local\Microsoft\Windows\Temporary Internet Files\Content.Outlook\JZJYJCIH\Eyle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0" cy="2600325"/>
                    </a:xfrm>
                    <a:prstGeom prst="rect">
                      <a:avLst/>
                    </a:prstGeom>
                    <a:noFill/>
                    <a:ln>
                      <a:noFill/>
                    </a:ln>
                  </pic:spPr>
                </pic:pic>
              </a:graphicData>
            </a:graphic>
          </wp:inline>
        </w:drawing>
      </w:r>
    </w:p>
    <w:p w:rsidR="005C3D97" w:rsidRPr="005C3D97" w:rsidRDefault="005C3D97" w:rsidP="00C7646D">
      <w:pPr>
        <w:spacing w:after="0"/>
        <w:rPr>
          <w:rFonts w:ascii="Times New Roman" w:hAnsi="Times New Roman" w:cs="Times New Roman"/>
          <w:lang w:val="sr-Latn-RS"/>
        </w:rPr>
      </w:pPr>
      <w:r w:rsidRPr="005C3D97">
        <w:rPr>
          <w:rFonts w:ascii="Times New Roman" w:hAnsi="Times New Roman" w:cs="Times New Roman"/>
          <w:lang w:val="sr-Latn-RS"/>
        </w:rPr>
        <w:t xml:space="preserve">                                                              </w:t>
      </w:r>
      <w:r w:rsidRPr="005C3D97">
        <w:rPr>
          <w:rFonts w:ascii="Times New Roman" w:hAnsi="Times New Roman" w:cs="Times New Roman"/>
          <w:noProof/>
        </w:rPr>
        <w:drawing>
          <wp:inline distT="0" distB="0" distL="0" distR="0" wp14:anchorId="64A57C00" wp14:editId="3B930503">
            <wp:extent cx="981075" cy="2571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r w:rsidRPr="005C3D97">
        <w:rPr>
          <w:rFonts w:ascii="Times New Roman" w:hAnsi="Times New Roman" w:cs="Times New Roman"/>
          <w:lang w:val="sr-Latn-RS"/>
        </w:rPr>
        <w:t xml:space="preserve">                </w:t>
      </w:r>
      <w:r w:rsidRPr="005C3D97">
        <w:rPr>
          <w:rFonts w:ascii="Times New Roman" w:hAnsi="Times New Roman" w:cs="Times New Roman"/>
          <w:noProof/>
        </w:rPr>
        <w:drawing>
          <wp:inline distT="0" distB="0" distL="0" distR="0" wp14:anchorId="123404FB" wp14:editId="70AFD032">
            <wp:extent cx="13239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228600"/>
                    </a:xfrm>
                    <a:prstGeom prst="rect">
                      <a:avLst/>
                    </a:prstGeom>
                    <a:noFill/>
                    <a:ln>
                      <a:noFill/>
                    </a:ln>
                  </pic:spPr>
                </pic:pic>
              </a:graphicData>
            </a:graphic>
          </wp:inline>
        </w:drawing>
      </w:r>
    </w:p>
    <w:p w:rsidR="00C7646D" w:rsidRDefault="00C7646D" w:rsidP="00C7646D">
      <w:pPr>
        <w:spacing w:after="0"/>
        <w:jc w:val="both"/>
        <w:rPr>
          <w:rFonts w:ascii="Times New Roman" w:hAnsi="Times New Roman" w:cs="Times New Roman"/>
          <w:lang w:val="pl-PL"/>
        </w:rPr>
      </w:pP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Na početku, odnos perfuzovanih pacijenata u Eylea i laserskoj grupi je bio redom 60% prema 68% . U 24-oj nedjelji ovaj odnos je bio 80% prema 67%.U grupi pacijenata liječenih lijekom Eylea udio perfuzovanih pacijenata je ostao isti do 52. nedjelje. U laserskoj grupi, gdje su pacijenti mogli da dobiju pomoćnu terapiju lijekom Eylea počevši od 24. nedjelje, udio perfuzovanih pacijenata je porastao na 78% do 52. nedjelje</w:t>
      </w:r>
    </w:p>
    <w:p w:rsidR="005C3D97" w:rsidRPr="005C3D97" w:rsidRDefault="005C3D97" w:rsidP="00C7646D">
      <w:pPr>
        <w:spacing w:after="0"/>
        <w:jc w:val="both"/>
        <w:rPr>
          <w:rFonts w:ascii="Times New Roman" w:hAnsi="Times New Roman" w:cs="Times New Roman"/>
          <w:u w:val="single"/>
          <w:lang w:val="pl-PL"/>
        </w:rPr>
      </w:pPr>
      <w:r w:rsidRPr="005C3D97">
        <w:rPr>
          <w:rFonts w:ascii="Times New Roman" w:hAnsi="Times New Roman" w:cs="Times New Roman"/>
          <w:u w:val="single"/>
          <w:lang w:val="pl-PL"/>
        </w:rPr>
        <w:t>Starija populacija</w:t>
      </w:r>
    </w:p>
    <w:p w:rsidR="006862B6" w:rsidRDefault="005C3D97" w:rsidP="00C7646D">
      <w:pPr>
        <w:spacing w:after="0"/>
        <w:jc w:val="both"/>
        <w:rPr>
          <w:rFonts w:ascii="Times New Roman" w:hAnsi="Times New Roman" w:cs="Times New Roman"/>
          <w:u w:val="single"/>
          <w:lang w:val="pl-PL"/>
        </w:rPr>
      </w:pPr>
      <w:r w:rsidRPr="005C3D97">
        <w:rPr>
          <w:rFonts w:ascii="Times New Roman" w:hAnsi="Times New Roman" w:cs="Times New Roman"/>
          <w:lang w:val="pl-PL"/>
        </w:rPr>
        <w:t>U BRVO studiji, približno 58% (53/91) pacijenata randomizovanih na terapiju lijekom Eylea imalu su 65 i više godina, i približno 23% (21/91) pacijenata je bilo starosti 75 i više godina</w:t>
      </w:r>
      <w:r w:rsidRPr="005C3D97">
        <w:rPr>
          <w:rFonts w:ascii="Times New Roman" w:hAnsi="Times New Roman" w:cs="Times New Roman"/>
          <w:u w:val="single"/>
          <w:lang w:val="pl-PL"/>
        </w:rPr>
        <w:t>.</w:t>
      </w:r>
    </w:p>
    <w:p w:rsidR="009E4A48" w:rsidRDefault="009E4A48" w:rsidP="00C7646D">
      <w:pPr>
        <w:spacing w:after="0"/>
        <w:jc w:val="both"/>
        <w:rPr>
          <w:rFonts w:ascii="Times New Roman" w:hAnsi="Times New Roman" w:cs="Times New Roman"/>
          <w:i/>
          <w:lang w:val="pl-PL"/>
        </w:rPr>
      </w:pPr>
    </w:p>
    <w:p w:rsidR="005C3D97" w:rsidRPr="006862B6" w:rsidRDefault="005C3D97" w:rsidP="00C7646D">
      <w:pPr>
        <w:spacing w:after="0"/>
        <w:jc w:val="both"/>
        <w:rPr>
          <w:rFonts w:ascii="Times New Roman" w:hAnsi="Times New Roman" w:cs="Times New Roman"/>
          <w:u w:val="single"/>
          <w:lang w:val="pl-PL"/>
        </w:rPr>
      </w:pPr>
      <w:r w:rsidRPr="005C3D97">
        <w:rPr>
          <w:rFonts w:ascii="Times New Roman" w:hAnsi="Times New Roman" w:cs="Times New Roman"/>
          <w:i/>
          <w:lang w:val="pl-PL"/>
        </w:rPr>
        <w:lastRenderedPageBreak/>
        <w:t>Dijabeti</w:t>
      </w:r>
      <w:r w:rsidRPr="005C3D97">
        <w:rPr>
          <w:rFonts w:ascii="Times New Roman" w:hAnsi="Times New Roman" w:cs="Times New Roman"/>
          <w:i/>
          <w:lang w:val="sr-Latn-CS"/>
        </w:rPr>
        <w:t>č</w:t>
      </w:r>
      <w:r w:rsidRPr="005C3D97">
        <w:rPr>
          <w:rFonts w:ascii="Times New Roman" w:hAnsi="Times New Roman" w:cs="Times New Roman"/>
          <w:i/>
          <w:lang w:val="pl-PL"/>
        </w:rPr>
        <w:t>ki</w:t>
      </w:r>
      <w:r w:rsidRPr="005C3D97">
        <w:rPr>
          <w:rFonts w:ascii="Times New Roman" w:hAnsi="Times New Roman" w:cs="Times New Roman"/>
          <w:i/>
          <w:lang w:val="sr-Latn-CS"/>
        </w:rPr>
        <w:t xml:space="preserve"> </w:t>
      </w:r>
      <w:r w:rsidRPr="005C3D97">
        <w:rPr>
          <w:rFonts w:ascii="Times New Roman" w:hAnsi="Times New Roman" w:cs="Times New Roman"/>
          <w:i/>
          <w:lang w:val="pl-PL"/>
        </w:rPr>
        <w:t>makularni</w:t>
      </w:r>
      <w:r w:rsidRPr="005C3D97">
        <w:rPr>
          <w:rFonts w:ascii="Times New Roman" w:hAnsi="Times New Roman" w:cs="Times New Roman"/>
          <w:i/>
          <w:lang w:val="sr-Latn-CS"/>
        </w:rPr>
        <w:t xml:space="preserve"> </w:t>
      </w:r>
      <w:r w:rsidRPr="005C3D97">
        <w:rPr>
          <w:rFonts w:ascii="Times New Roman" w:hAnsi="Times New Roman" w:cs="Times New Roman"/>
          <w:i/>
          <w:lang w:val="pl-PL"/>
        </w:rPr>
        <w:t>edem</w:t>
      </w: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Bezbjednost</w:t>
      </w:r>
      <w:r w:rsidRPr="005C3D97">
        <w:rPr>
          <w:rFonts w:ascii="Times New Roman" w:hAnsi="Times New Roman" w:cs="Times New Roman"/>
          <w:lang w:val="sr-Latn-CS"/>
        </w:rPr>
        <w:t xml:space="preserve"> </w:t>
      </w:r>
      <w:r w:rsidRPr="005C3D97">
        <w:rPr>
          <w:rFonts w:ascii="Times New Roman" w:hAnsi="Times New Roman" w:cs="Times New Roman"/>
          <w:lang w:val="pl-PL"/>
        </w:rPr>
        <w:t>i</w:t>
      </w:r>
      <w:r w:rsidRPr="005C3D97">
        <w:rPr>
          <w:rFonts w:ascii="Times New Roman" w:hAnsi="Times New Roman" w:cs="Times New Roman"/>
          <w:lang w:val="sr-Latn-CS"/>
        </w:rPr>
        <w:t xml:space="preserve"> </w:t>
      </w:r>
      <w:r w:rsidRPr="005C3D97">
        <w:rPr>
          <w:rFonts w:ascii="Times New Roman" w:hAnsi="Times New Roman" w:cs="Times New Roman"/>
          <w:lang w:val="pl-PL"/>
        </w:rPr>
        <w:t>efikasnost</w:t>
      </w:r>
      <w:r w:rsidRPr="005C3D97">
        <w:rPr>
          <w:rFonts w:ascii="Times New Roman" w:hAnsi="Times New Roman" w:cs="Times New Roman"/>
          <w:lang w:val="sr-Latn-CS"/>
        </w:rPr>
        <w:t xml:space="preserve"> </w:t>
      </w:r>
      <w:r w:rsidRPr="005C3D97">
        <w:rPr>
          <w:rFonts w:ascii="Times New Roman" w:hAnsi="Times New Roman" w:cs="Times New Roman"/>
          <w:lang w:val="pl-PL"/>
        </w:rPr>
        <w:t>primjene</w:t>
      </w:r>
      <w:r w:rsidRPr="005C3D97">
        <w:rPr>
          <w:rFonts w:ascii="Times New Roman" w:hAnsi="Times New Roman" w:cs="Times New Roman"/>
          <w:lang w:val="sr-Latn-CS"/>
        </w:rPr>
        <w:t xml:space="preserve"> </w:t>
      </w:r>
      <w:r w:rsidRPr="005C3D97">
        <w:rPr>
          <w:rFonts w:ascii="Times New Roman" w:hAnsi="Times New Roman" w:cs="Times New Roman"/>
          <w:lang w:val="pl-PL"/>
        </w:rPr>
        <w:t>lijeka</w:t>
      </w:r>
      <w:r w:rsidRPr="005C3D97">
        <w:rPr>
          <w:rFonts w:ascii="Times New Roman" w:hAnsi="Times New Roman" w:cs="Times New Roman"/>
          <w:lang w:val="sr-Latn-CS"/>
        </w:rPr>
        <w:t xml:space="preserve"> </w:t>
      </w:r>
      <w:r w:rsidRPr="005C3D97">
        <w:rPr>
          <w:rFonts w:ascii="Times New Roman" w:hAnsi="Times New Roman" w:cs="Times New Roman"/>
          <w:lang w:val="pl-PL"/>
        </w:rPr>
        <w:t>Eylea</w:t>
      </w:r>
      <w:r w:rsidRPr="005C3D97">
        <w:rPr>
          <w:rFonts w:ascii="Times New Roman" w:hAnsi="Times New Roman" w:cs="Times New Roman"/>
          <w:lang w:val="sr-Latn-CS"/>
        </w:rPr>
        <w:t xml:space="preserve"> </w:t>
      </w:r>
      <w:r w:rsidRPr="005C3D97">
        <w:rPr>
          <w:rFonts w:ascii="Times New Roman" w:hAnsi="Times New Roman" w:cs="Times New Roman"/>
          <w:lang w:val="pl-PL"/>
        </w:rPr>
        <w:t>je</w:t>
      </w:r>
      <w:r w:rsidRPr="005C3D97">
        <w:rPr>
          <w:rFonts w:ascii="Times New Roman" w:hAnsi="Times New Roman" w:cs="Times New Roman"/>
          <w:lang w:val="sr-Latn-CS"/>
        </w:rPr>
        <w:t xml:space="preserve"> </w:t>
      </w:r>
      <w:r w:rsidRPr="005C3D97">
        <w:rPr>
          <w:rFonts w:ascii="Times New Roman" w:hAnsi="Times New Roman" w:cs="Times New Roman"/>
          <w:lang w:val="pl-PL"/>
        </w:rPr>
        <w:t>procijenjena</w:t>
      </w:r>
      <w:r w:rsidRPr="005C3D97">
        <w:rPr>
          <w:rFonts w:ascii="Times New Roman" w:hAnsi="Times New Roman" w:cs="Times New Roman"/>
          <w:lang w:val="sr-Latn-CS"/>
        </w:rPr>
        <w:t xml:space="preserve"> </w:t>
      </w:r>
      <w:r w:rsidRPr="005C3D97">
        <w:rPr>
          <w:rFonts w:ascii="Times New Roman" w:hAnsi="Times New Roman" w:cs="Times New Roman"/>
          <w:lang w:val="pl-PL"/>
        </w:rPr>
        <w:t>u</w:t>
      </w:r>
      <w:r w:rsidRPr="005C3D97">
        <w:rPr>
          <w:rFonts w:ascii="Times New Roman" w:hAnsi="Times New Roman" w:cs="Times New Roman"/>
          <w:lang w:val="sr-Latn-CS"/>
        </w:rPr>
        <w:t xml:space="preserve"> </w:t>
      </w:r>
      <w:r w:rsidRPr="005C3D97">
        <w:rPr>
          <w:rFonts w:ascii="Times New Roman" w:hAnsi="Times New Roman" w:cs="Times New Roman"/>
          <w:lang w:val="pl-PL"/>
        </w:rPr>
        <w:t>dvije</w:t>
      </w:r>
      <w:r w:rsidRPr="005C3D97">
        <w:rPr>
          <w:rFonts w:ascii="Times New Roman" w:hAnsi="Times New Roman" w:cs="Times New Roman"/>
          <w:lang w:val="sr-Latn-CS"/>
        </w:rPr>
        <w:t xml:space="preserve"> </w:t>
      </w:r>
      <w:r w:rsidRPr="005C3D97">
        <w:rPr>
          <w:rFonts w:ascii="Times New Roman" w:hAnsi="Times New Roman" w:cs="Times New Roman"/>
          <w:lang w:val="pl-PL"/>
        </w:rPr>
        <w:t>randomizovane</w:t>
      </w:r>
      <w:r w:rsidRPr="005C3D97">
        <w:rPr>
          <w:rFonts w:ascii="Times New Roman" w:hAnsi="Times New Roman" w:cs="Times New Roman"/>
          <w:lang w:val="sr-Latn-CS"/>
        </w:rPr>
        <w:t xml:space="preserve">, </w:t>
      </w:r>
      <w:r w:rsidRPr="005C3D97">
        <w:rPr>
          <w:rFonts w:ascii="Times New Roman" w:hAnsi="Times New Roman" w:cs="Times New Roman"/>
          <w:lang w:val="pl-PL"/>
        </w:rPr>
        <w:t>multicentri</w:t>
      </w:r>
      <w:r w:rsidRPr="005C3D97">
        <w:rPr>
          <w:rFonts w:ascii="Times New Roman" w:hAnsi="Times New Roman" w:cs="Times New Roman"/>
          <w:lang w:val="sr-Latn-CS"/>
        </w:rPr>
        <w:t>č</w:t>
      </w:r>
      <w:r w:rsidRPr="005C3D97">
        <w:rPr>
          <w:rFonts w:ascii="Times New Roman" w:hAnsi="Times New Roman" w:cs="Times New Roman"/>
          <w:lang w:val="pl-PL"/>
        </w:rPr>
        <w:t>ne</w:t>
      </w:r>
      <w:r w:rsidRPr="005C3D97">
        <w:rPr>
          <w:rFonts w:ascii="Times New Roman" w:hAnsi="Times New Roman" w:cs="Times New Roman"/>
          <w:lang w:val="sr-Latn-CS"/>
        </w:rPr>
        <w:t xml:space="preserve">, </w:t>
      </w:r>
      <w:r w:rsidRPr="005C3D97">
        <w:rPr>
          <w:rFonts w:ascii="Times New Roman" w:hAnsi="Times New Roman" w:cs="Times New Roman"/>
          <w:lang w:val="pl-PL"/>
        </w:rPr>
        <w:t>dvostruko</w:t>
      </w:r>
      <w:r w:rsidRPr="005C3D97">
        <w:rPr>
          <w:rFonts w:ascii="Times New Roman" w:hAnsi="Times New Roman" w:cs="Times New Roman"/>
          <w:lang w:val="sr-Latn-CS"/>
        </w:rPr>
        <w:t xml:space="preserve"> </w:t>
      </w:r>
      <w:r w:rsidRPr="005C3D97">
        <w:rPr>
          <w:rFonts w:ascii="Times New Roman" w:hAnsi="Times New Roman" w:cs="Times New Roman"/>
          <w:lang w:val="pl-PL"/>
        </w:rPr>
        <w:t>maskirane</w:t>
      </w:r>
      <w:r w:rsidRPr="005C3D97">
        <w:rPr>
          <w:rFonts w:ascii="Times New Roman" w:hAnsi="Times New Roman" w:cs="Times New Roman"/>
          <w:lang w:val="sr-Latn-CS"/>
        </w:rPr>
        <w:t xml:space="preserve">, </w:t>
      </w:r>
      <w:r w:rsidRPr="005C3D97">
        <w:rPr>
          <w:rFonts w:ascii="Times New Roman" w:hAnsi="Times New Roman" w:cs="Times New Roman"/>
          <w:lang w:val="pl-PL"/>
        </w:rPr>
        <w:t>aktivno</w:t>
      </w:r>
      <w:r w:rsidRPr="005C3D97">
        <w:rPr>
          <w:rFonts w:ascii="Times New Roman" w:hAnsi="Times New Roman" w:cs="Times New Roman"/>
          <w:lang w:val="sr-Latn-CS"/>
        </w:rPr>
        <w:t xml:space="preserve"> </w:t>
      </w:r>
      <w:r w:rsidRPr="005C3D97">
        <w:rPr>
          <w:rFonts w:ascii="Times New Roman" w:hAnsi="Times New Roman" w:cs="Times New Roman"/>
          <w:lang w:val="pl-PL"/>
        </w:rPr>
        <w:t>kotrolisane</w:t>
      </w:r>
      <w:r w:rsidRPr="005C3D97">
        <w:rPr>
          <w:rFonts w:ascii="Times New Roman" w:hAnsi="Times New Roman" w:cs="Times New Roman"/>
          <w:lang w:val="sr-Latn-CS"/>
        </w:rPr>
        <w:t xml:space="preserve"> </w:t>
      </w:r>
      <w:r w:rsidRPr="005C3D97">
        <w:rPr>
          <w:rFonts w:ascii="Times New Roman" w:hAnsi="Times New Roman" w:cs="Times New Roman"/>
          <w:lang w:val="pl-PL"/>
        </w:rPr>
        <w:t>studije</w:t>
      </w:r>
      <w:r w:rsidRPr="005C3D97">
        <w:rPr>
          <w:rFonts w:ascii="Times New Roman" w:hAnsi="Times New Roman" w:cs="Times New Roman"/>
          <w:lang w:val="sr-Latn-CS"/>
        </w:rPr>
        <w:t xml:space="preserve"> </w:t>
      </w:r>
      <w:r w:rsidRPr="005C3D97">
        <w:rPr>
          <w:rFonts w:ascii="Times New Roman" w:hAnsi="Times New Roman" w:cs="Times New Roman"/>
          <w:lang w:val="pl-PL"/>
        </w:rPr>
        <w:t>kod</w:t>
      </w:r>
      <w:r w:rsidRPr="005C3D97">
        <w:rPr>
          <w:rFonts w:ascii="Times New Roman" w:hAnsi="Times New Roman" w:cs="Times New Roman"/>
          <w:lang w:val="sr-Latn-CS"/>
        </w:rPr>
        <w:t xml:space="preserve"> </w:t>
      </w:r>
      <w:r w:rsidRPr="005C3D97">
        <w:rPr>
          <w:rFonts w:ascii="Times New Roman" w:hAnsi="Times New Roman" w:cs="Times New Roman"/>
          <w:lang w:val="pl-PL"/>
        </w:rPr>
        <w:t>pacijenata</w:t>
      </w:r>
      <w:r w:rsidRPr="005C3D97">
        <w:rPr>
          <w:rFonts w:ascii="Times New Roman" w:hAnsi="Times New Roman" w:cs="Times New Roman"/>
          <w:lang w:val="sr-Latn-CS"/>
        </w:rPr>
        <w:t xml:space="preserve"> </w:t>
      </w:r>
      <w:r w:rsidRPr="005C3D97">
        <w:rPr>
          <w:rFonts w:ascii="Times New Roman" w:hAnsi="Times New Roman" w:cs="Times New Roman"/>
          <w:lang w:val="pl-PL"/>
        </w:rPr>
        <w:t>sa</w:t>
      </w:r>
      <w:r w:rsidRPr="005C3D97">
        <w:rPr>
          <w:rFonts w:ascii="Times New Roman" w:hAnsi="Times New Roman" w:cs="Times New Roman"/>
          <w:lang w:val="sr-Latn-CS"/>
        </w:rPr>
        <w:t xml:space="preserve"> </w:t>
      </w:r>
      <w:r w:rsidRPr="005C3D97">
        <w:rPr>
          <w:rFonts w:ascii="Times New Roman" w:hAnsi="Times New Roman" w:cs="Times New Roman"/>
          <w:lang w:val="pl-PL"/>
        </w:rPr>
        <w:t>DME</w:t>
      </w:r>
      <w:r w:rsidRPr="005C3D97">
        <w:rPr>
          <w:rFonts w:ascii="Times New Roman" w:hAnsi="Times New Roman" w:cs="Times New Roman"/>
          <w:lang w:val="sr-Latn-CS"/>
        </w:rPr>
        <w:t xml:space="preserve">. </w:t>
      </w:r>
      <w:r w:rsidRPr="005C3D97">
        <w:rPr>
          <w:rFonts w:ascii="Times New Roman" w:hAnsi="Times New Roman" w:cs="Times New Roman"/>
          <w:lang w:val="pl-PL"/>
        </w:rPr>
        <w:t>Efikasnost je procijenjena na osnovu ukupno 862 randomizovana i liječena pacijenta. Od tog broja pacijenata, 576 je randomizovano u grupe koje su primale lijek Eylea u dvije studije (VIVID</w:t>
      </w:r>
      <w:r w:rsidRPr="005C3D97">
        <w:rPr>
          <w:rFonts w:ascii="Times New Roman" w:hAnsi="Times New Roman" w:cs="Times New Roman"/>
          <w:vertAlign w:val="superscript"/>
          <w:lang w:val="pl-PL"/>
        </w:rPr>
        <w:t>DME</w:t>
      </w:r>
      <w:r w:rsidRPr="005C3D97">
        <w:rPr>
          <w:rFonts w:ascii="Times New Roman" w:hAnsi="Times New Roman" w:cs="Times New Roman"/>
          <w:lang w:val="pl-PL"/>
        </w:rPr>
        <w:t xml:space="preserve"> i VISTA </w:t>
      </w:r>
      <w:r w:rsidRPr="005C3D97">
        <w:rPr>
          <w:rFonts w:ascii="Times New Roman" w:hAnsi="Times New Roman" w:cs="Times New Roman"/>
          <w:vertAlign w:val="superscript"/>
          <w:lang w:val="pl-PL"/>
        </w:rPr>
        <w:t>DME</w:t>
      </w:r>
      <w:r w:rsidRPr="005C3D97">
        <w:rPr>
          <w:rFonts w:ascii="Times New Roman" w:hAnsi="Times New Roman" w:cs="Times New Roman"/>
          <w:lang w:val="pl-PL"/>
        </w:rPr>
        <w:t>). U svakoj studiji pacijentima je nasumično dodijeljen u odnosu 1:1:1, jedan od tri režima doziranja:</w:t>
      </w:r>
    </w:p>
    <w:p w:rsidR="005C3D97" w:rsidRPr="005C3D97" w:rsidRDefault="005C3D97" w:rsidP="00C7646D">
      <w:pPr>
        <w:numPr>
          <w:ilvl w:val="0"/>
          <w:numId w:val="17"/>
        </w:numPr>
        <w:spacing w:after="0"/>
        <w:jc w:val="both"/>
        <w:rPr>
          <w:rFonts w:ascii="Times New Roman" w:hAnsi="Times New Roman" w:cs="Times New Roman"/>
          <w:lang w:val="pl-PL"/>
        </w:rPr>
      </w:pPr>
      <w:r w:rsidRPr="005C3D97">
        <w:rPr>
          <w:rFonts w:ascii="Times New Roman" w:hAnsi="Times New Roman" w:cs="Times New Roman"/>
          <w:lang w:val="pl-PL"/>
        </w:rPr>
        <w:t>Eylea primijenjena u dozi od 2mg na svakih 8 nedjelja, nakon 5 početnih injekcija jednom mjesečno (Eylea 2Q8)</w:t>
      </w:r>
    </w:p>
    <w:p w:rsidR="005C3D97" w:rsidRPr="005C3D97" w:rsidRDefault="005C3D97" w:rsidP="00C7646D">
      <w:pPr>
        <w:numPr>
          <w:ilvl w:val="0"/>
          <w:numId w:val="17"/>
        </w:numPr>
        <w:spacing w:after="0"/>
        <w:jc w:val="both"/>
        <w:rPr>
          <w:rFonts w:ascii="Times New Roman" w:hAnsi="Times New Roman" w:cs="Times New Roman"/>
          <w:lang w:val="pl-PL"/>
        </w:rPr>
      </w:pPr>
      <w:r w:rsidRPr="005C3D97">
        <w:rPr>
          <w:rFonts w:ascii="Times New Roman" w:hAnsi="Times New Roman" w:cs="Times New Roman"/>
          <w:lang w:val="pl-PL"/>
        </w:rPr>
        <w:t>Eylea primijenjena u dozi od 2mg na svake 4 nedjelje (Eylea2Q4); i</w:t>
      </w:r>
    </w:p>
    <w:p w:rsidR="005C3D97" w:rsidRPr="005C3D97" w:rsidRDefault="005C3D97" w:rsidP="00C7646D">
      <w:pPr>
        <w:numPr>
          <w:ilvl w:val="0"/>
          <w:numId w:val="17"/>
        </w:numPr>
        <w:spacing w:after="0"/>
        <w:jc w:val="both"/>
        <w:rPr>
          <w:rFonts w:ascii="Times New Roman" w:hAnsi="Times New Roman" w:cs="Times New Roman"/>
          <w:lang w:val="pl-PL"/>
        </w:rPr>
      </w:pPr>
      <w:r w:rsidRPr="005C3D97">
        <w:rPr>
          <w:rFonts w:ascii="Times New Roman" w:hAnsi="Times New Roman" w:cs="Times New Roman"/>
          <w:lang w:val="pl-PL"/>
        </w:rPr>
        <w:t>laserska fotokoagulacija makule (aktivna kontrola)</w:t>
      </w:r>
    </w:p>
    <w:p w:rsidR="005C3D97" w:rsidRPr="005C3D97" w:rsidRDefault="005C3D97" w:rsidP="00C7646D">
      <w:pPr>
        <w:spacing w:after="0"/>
        <w:jc w:val="both"/>
        <w:rPr>
          <w:rFonts w:ascii="Times New Roman" w:hAnsi="Times New Roman" w:cs="Times New Roman"/>
          <w:lang w:val="pl-PL"/>
        </w:rPr>
      </w:pP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Na početku 24 nedjelje, pacijenti kod kojih je zabilje</w:t>
      </w:r>
      <w:r w:rsidRPr="005C3D97">
        <w:rPr>
          <w:rFonts w:ascii="Times New Roman" w:hAnsi="Times New Roman" w:cs="Times New Roman"/>
          <w:lang w:val="sr-Latn-RS"/>
        </w:rPr>
        <w:t>žen stepen gubitka vida, unaprijed definisan protokolom</w:t>
      </w:r>
      <w:r w:rsidRPr="005C3D97">
        <w:rPr>
          <w:rFonts w:ascii="Times New Roman" w:hAnsi="Times New Roman" w:cs="Times New Roman"/>
          <w:lang w:val="pl-PL"/>
        </w:rPr>
        <w:t>, imali su pravo na dodatnu terpiju: pacijenti u grupi Eylea su mogli da dobiju trerapiju laserom, dok su pacijenti u grupi na terapiji laserom, mogli da dobiju lijek Eylea.</w:t>
      </w: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Starost pacijenata se kretala u rasponu od 23 do 87 godina, a prosječna starost je bila 63 godine.</w:t>
      </w: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Većina pacijenata u obe studije je imala dijabetes tip II.</w:t>
      </w: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 xml:space="preserve">U obije studije, primarni cilj je bio promjena srednje vrijednosti BCVA mjereno u 52. nedjelji, pomoću ETDRS slovnog testa u odnosu na početnu vrijednost. Efikasnost u obije grupe koje su primale lijek Eylea, Eylea 2Q8 i Eylea 2Q4, pokazala se stistički značajno superiornijom od one grupe koja je liječena laserom. </w:t>
      </w:r>
    </w:p>
    <w:p w:rsidR="005C3D97" w:rsidRPr="00E31368" w:rsidRDefault="005C3D97" w:rsidP="00C7646D">
      <w:pPr>
        <w:spacing w:after="0"/>
        <w:jc w:val="both"/>
        <w:rPr>
          <w:rFonts w:ascii="Times New Roman" w:hAnsi="Times New Roman" w:cs="Times New Roman"/>
          <w:lang w:val="pl-PL"/>
        </w:rPr>
      </w:pPr>
      <w:r w:rsidRPr="005C3D97">
        <w:rPr>
          <w:rFonts w:ascii="Times New Roman" w:hAnsi="Times New Roman" w:cs="Times New Roman"/>
          <w:bCs/>
          <w:lang w:val="sr-Latn-RS"/>
        </w:rPr>
        <w:t xml:space="preserve">Detaljni rezultati analize studija VIVID </w:t>
      </w:r>
      <w:r w:rsidRPr="005C3D97">
        <w:rPr>
          <w:rFonts w:ascii="Times New Roman" w:hAnsi="Times New Roman" w:cs="Times New Roman"/>
          <w:bCs/>
          <w:vertAlign w:val="superscript"/>
          <w:lang w:val="sr-Latn-RS"/>
        </w:rPr>
        <w:t xml:space="preserve">DME </w:t>
      </w:r>
      <w:r w:rsidRPr="005C3D97">
        <w:rPr>
          <w:rFonts w:ascii="Times New Roman" w:hAnsi="Times New Roman" w:cs="Times New Roman"/>
          <w:bCs/>
          <w:lang w:val="sr-Latn-RS"/>
        </w:rPr>
        <w:t>i VISTA</w:t>
      </w:r>
      <w:r w:rsidRPr="005C3D97">
        <w:rPr>
          <w:rFonts w:ascii="Times New Roman" w:hAnsi="Times New Roman" w:cs="Times New Roman"/>
          <w:bCs/>
          <w:vertAlign w:val="superscript"/>
          <w:lang w:val="sr-Latn-RS"/>
        </w:rPr>
        <w:t>DME</w:t>
      </w:r>
      <w:r w:rsidRPr="005C3D97">
        <w:rPr>
          <w:rFonts w:ascii="Times New Roman" w:hAnsi="Times New Roman" w:cs="Times New Roman"/>
          <w:bCs/>
          <w:lang w:val="sr-Latn-RS"/>
        </w:rPr>
        <w:t xml:space="preserve"> prikazani su ispod u tabeli 5 i na slici 4.</w:t>
      </w:r>
      <w:r w:rsidRPr="005C3D97">
        <w:rPr>
          <w:rFonts w:ascii="Times New Roman" w:hAnsi="Times New Roman" w:cs="Times New Roman"/>
          <w:lang w:val="pl-PL"/>
        </w:rPr>
        <w:t xml:space="preserve"> </w:t>
      </w:r>
    </w:p>
    <w:p w:rsidR="00C7646D" w:rsidRDefault="00C7646D" w:rsidP="00C7646D">
      <w:pPr>
        <w:spacing w:after="0"/>
        <w:rPr>
          <w:rFonts w:ascii="Times New Roman" w:hAnsi="Times New Roman" w:cs="Times New Roman"/>
          <w:b/>
          <w:bCs/>
          <w:lang w:val="pl-PL"/>
        </w:rPr>
      </w:pPr>
    </w:p>
    <w:p w:rsidR="005C3D97" w:rsidRPr="005C3D97" w:rsidRDefault="005C3D97" w:rsidP="00C7646D">
      <w:pPr>
        <w:spacing w:after="0"/>
        <w:rPr>
          <w:rFonts w:ascii="Times New Roman" w:hAnsi="Times New Roman" w:cs="Times New Roman"/>
          <w:lang w:val="pl-PL"/>
        </w:rPr>
      </w:pPr>
      <w:r w:rsidRPr="005C3D97">
        <w:rPr>
          <w:rFonts w:ascii="Times New Roman" w:hAnsi="Times New Roman" w:cs="Times New Roman"/>
          <w:b/>
          <w:bCs/>
          <w:lang w:val="pl-PL"/>
        </w:rPr>
        <w:t>Tabela </w:t>
      </w:r>
      <w:r w:rsidRPr="005C3D97">
        <w:rPr>
          <w:rFonts w:ascii="Times New Roman" w:hAnsi="Times New Roman" w:cs="Times New Roman"/>
          <w:lang w:val="pl-PL"/>
        </w:rPr>
        <w:t>5</w:t>
      </w:r>
      <w:r w:rsidRPr="005C3D97">
        <w:rPr>
          <w:rFonts w:ascii="Times New Roman" w:hAnsi="Times New Roman" w:cs="Times New Roman"/>
          <w:b/>
          <w:bCs/>
          <w:lang w:val="pl-PL"/>
        </w:rPr>
        <w:t>:</w:t>
      </w:r>
      <w:r w:rsidRPr="005C3D97">
        <w:rPr>
          <w:rFonts w:ascii="Times New Roman" w:hAnsi="Times New Roman" w:cs="Times New Roman"/>
          <w:b/>
          <w:bCs/>
          <w:lang w:val="pl-PL"/>
        </w:rPr>
        <w:tab/>
        <w:t xml:space="preserve"> </w:t>
      </w:r>
      <w:r w:rsidRPr="005C3D97">
        <w:rPr>
          <w:rFonts w:ascii="Times New Roman" w:hAnsi="Times New Roman" w:cs="Times New Roman"/>
          <w:lang w:val="sr-Latn-RS"/>
        </w:rPr>
        <w:t>Ishodi efikasnosti u 52. nedjelji (analiza svih podataka sa LOCF) u studijama VIVID</w:t>
      </w:r>
      <w:r w:rsidRPr="005C3D97">
        <w:rPr>
          <w:rFonts w:ascii="Times New Roman" w:hAnsi="Times New Roman" w:cs="Times New Roman"/>
          <w:vertAlign w:val="superscript"/>
          <w:lang w:val="sr-Latn-RS"/>
        </w:rPr>
        <w:t>DME</w:t>
      </w:r>
      <w:r w:rsidRPr="005C3D97">
        <w:rPr>
          <w:rFonts w:ascii="Times New Roman" w:hAnsi="Times New Roman" w:cs="Times New Roman"/>
          <w:lang w:val="sr-Latn-RS"/>
        </w:rPr>
        <w:t xml:space="preserve"> i VISTA</w:t>
      </w:r>
      <w:r w:rsidRPr="005C3D97">
        <w:rPr>
          <w:rFonts w:ascii="Times New Roman" w:hAnsi="Times New Roman" w:cs="Times New Roman"/>
          <w:vertAlign w:val="superscript"/>
          <w:lang w:val="sr-Latn-RS"/>
        </w:rPr>
        <w:t>DME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100"/>
        <w:gridCol w:w="1100"/>
        <w:gridCol w:w="1526"/>
        <w:gridCol w:w="1100"/>
        <w:gridCol w:w="1100"/>
        <w:gridCol w:w="1526"/>
      </w:tblGrid>
      <w:tr w:rsidR="005C3D97" w:rsidRPr="005C3D97" w:rsidTr="00173ED2">
        <w:trPr>
          <w:tblHeader/>
        </w:trPr>
        <w:tc>
          <w:tcPr>
            <w:tcW w:w="888" w:type="pct"/>
            <w:vMerge w:val="restar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Ishod efikasnosti</w:t>
            </w:r>
          </w:p>
        </w:tc>
        <w:tc>
          <w:tcPr>
            <w:tcW w:w="2056" w:type="pct"/>
            <w:gridSpan w:val="3"/>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bCs/>
                <w:lang w:val="sr-Latn-CS"/>
              </w:rPr>
              <w:t>VIVID</w:t>
            </w:r>
            <w:r w:rsidRPr="005C3D97">
              <w:rPr>
                <w:rFonts w:ascii="Times New Roman" w:hAnsi="Times New Roman" w:cs="Times New Roman"/>
                <w:b/>
                <w:bCs/>
                <w:vertAlign w:val="superscript"/>
                <w:lang w:val="sr-Latn-CS"/>
              </w:rPr>
              <w:t>DME</w:t>
            </w:r>
          </w:p>
        </w:tc>
        <w:tc>
          <w:tcPr>
            <w:tcW w:w="2056" w:type="pct"/>
            <w:gridSpan w:val="3"/>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bCs/>
                <w:lang w:val="sr-Latn-CS"/>
              </w:rPr>
              <w:t>VISTA</w:t>
            </w:r>
            <w:r w:rsidRPr="005C3D97">
              <w:rPr>
                <w:rFonts w:ascii="Times New Roman" w:hAnsi="Times New Roman" w:cs="Times New Roman"/>
                <w:b/>
                <w:bCs/>
                <w:vertAlign w:val="superscript"/>
                <w:lang w:val="sr-Latn-CS"/>
              </w:rPr>
              <w:t>DME</w:t>
            </w:r>
          </w:p>
        </w:tc>
      </w:tr>
      <w:tr w:rsidR="005C3D97" w:rsidRPr="005C3D97" w:rsidTr="00173ED2">
        <w:trPr>
          <w:tblHeader/>
        </w:trPr>
        <w:tc>
          <w:tcPr>
            <w:tcW w:w="888" w:type="pct"/>
            <w:vMerge/>
            <w:shd w:val="clear" w:color="auto" w:fill="auto"/>
          </w:tcPr>
          <w:p w:rsidR="005C3D97" w:rsidRPr="005C3D97" w:rsidRDefault="005C3D97" w:rsidP="00C7646D">
            <w:pPr>
              <w:spacing w:after="0"/>
              <w:rPr>
                <w:rFonts w:ascii="Times New Roman" w:hAnsi="Times New Roman" w:cs="Times New Roman"/>
                <w:b/>
                <w:lang w:val="sr-Latn-CS"/>
              </w:rPr>
            </w:pPr>
          </w:p>
        </w:tc>
        <w:tc>
          <w:tcPr>
            <w:tcW w:w="2056" w:type="pct"/>
            <w:gridSpan w:val="3"/>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52 nedjelja</w:t>
            </w:r>
          </w:p>
        </w:tc>
        <w:tc>
          <w:tcPr>
            <w:tcW w:w="2056" w:type="pct"/>
            <w:gridSpan w:val="3"/>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52 nedjelja</w:t>
            </w:r>
          </w:p>
        </w:tc>
      </w:tr>
      <w:tr w:rsidR="005C3D97" w:rsidRPr="005C3D97" w:rsidTr="00173ED2">
        <w:trPr>
          <w:tblHeader/>
        </w:trPr>
        <w:tc>
          <w:tcPr>
            <w:tcW w:w="888" w:type="pct"/>
            <w:vMerge/>
            <w:shd w:val="clear" w:color="auto" w:fill="auto"/>
          </w:tcPr>
          <w:p w:rsidR="005C3D97" w:rsidRPr="005C3D97" w:rsidRDefault="005C3D97" w:rsidP="00C7646D">
            <w:pPr>
              <w:spacing w:after="0"/>
              <w:rPr>
                <w:rFonts w:ascii="Times New Roman" w:hAnsi="Times New Roman" w:cs="Times New Roman"/>
                <w:b/>
                <w:lang w:val="sr-Latn-CS"/>
              </w:rPr>
            </w:pPr>
          </w:p>
        </w:tc>
        <w:tc>
          <w:tcPr>
            <w:tcW w:w="607"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EYLEA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 xml:space="preserve">2 mg Q8 </w:t>
            </w:r>
            <w:r w:rsidRPr="005C3D97">
              <w:rPr>
                <w:rFonts w:ascii="Times New Roman" w:hAnsi="Times New Roman" w:cs="Times New Roman"/>
                <w:vertAlign w:val="superscript"/>
                <w:lang w:val="es-ES"/>
              </w:rPr>
              <w:t>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es-ES"/>
              </w:rPr>
              <w:t>(N</w:t>
            </w:r>
            <w:r w:rsidRPr="005C3D97">
              <w:rPr>
                <w:rFonts w:ascii="Times New Roman" w:hAnsi="Times New Roman" w:cs="Times New Roman"/>
                <w:b/>
                <w:lang w:val="sr-Latn-CS"/>
              </w:rPr>
              <w:t xml:space="preserve"> = 135)</w:t>
            </w:r>
          </w:p>
        </w:tc>
        <w:tc>
          <w:tcPr>
            <w:tcW w:w="607"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EYLEA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2 mg Q4</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(N = 136)</w:t>
            </w:r>
          </w:p>
        </w:tc>
        <w:tc>
          <w:tcPr>
            <w:tcW w:w="841"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Aktivna kontrola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(laser)</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(N = 132)</w:t>
            </w:r>
          </w:p>
        </w:tc>
        <w:tc>
          <w:tcPr>
            <w:tcW w:w="607"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EYLEA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 xml:space="preserve">2 mg Q8 </w:t>
            </w:r>
            <w:r w:rsidRPr="005C3D97">
              <w:rPr>
                <w:rFonts w:ascii="Times New Roman" w:hAnsi="Times New Roman" w:cs="Times New Roman"/>
                <w:vertAlign w:val="superscript"/>
                <w:lang w:val="es-ES"/>
              </w:rPr>
              <w:t>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es-ES"/>
              </w:rPr>
              <w:t>(N</w:t>
            </w:r>
            <w:r w:rsidRPr="005C3D97">
              <w:rPr>
                <w:rFonts w:ascii="Times New Roman" w:hAnsi="Times New Roman" w:cs="Times New Roman"/>
                <w:b/>
                <w:lang w:val="sr-Latn-CS"/>
              </w:rPr>
              <w:t xml:space="preserve"> = 151)</w:t>
            </w:r>
          </w:p>
        </w:tc>
        <w:tc>
          <w:tcPr>
            <w:tcW w:w="607"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EYLEA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2 mg Q4</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(N = 154)</w:t>
            </w:r>
          </w:p>
        </w:tc>
        <w:tc>
          <w:tcPr>
            <w:tcW w:w="841"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Aktivna kontrola</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(laser)</w:t>
            </w:r>
          </w:p>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b/>
                <w:lang w:val="sr-Latn-CS"/>
              </w:rPr>
              <w:t>(N = 154)</w:t>
            </w:r>
          </w:p>
        </w:tc>
      </w:tr>
      <w:tr w:rsidR="005C3D97" w:rsidRPr="005C3D97" w:rsidTr="00173ED2">
        <w:tc>
          <w:tcPr>
            <w:tcW w:w="888" w:type="pct"/>
            <w:shd w:val="clear" w:color="auto" w:fill="auto"/>
          </w:tcPr>
          <w:p w:rsidR="005C3D97" w:rsidRPr="005C3D97" w:rsidRDefault="005C3D97" w:rsidP="00C7646D">
            <w:pPr>
              <w:spacing w:after="0"/>
              <w:rPr>
                <w:rFonts w:ascii="Times New Roman" w:hAnsi="Times New Roman" w:cs="Times New Roman"/>
                <w:b/>
                <w:lang w:val="sr-Latn-CS"/>
              </w:rPr>
            </w:pPr>
            <w:r w:rsidRPr="005C3D97">
              <w:rPr>
                <w:rFonts w:ascii="Times New Roman" w:hAnsi="Times New Roman" w:cs="Times New Roman"/>
                <w:lang w:val="pl-PL"/>
              </w:rPr>
              <w:t xml:space="preserve">Prosječna promjena BCVA mjereno prema ETDRS </w:t>
            </w:r>
            <w:r w:rsidRPr="005C3D97">
              <w:rPr>
                <w:rFonts w:ascii="Times New Roman" w:hAnsi="Times New Roman" w:cs="Times New Roman"/>
                <w:vertAlign w:val="superscript"/>
                <w:lang w:val="pl-PL"/>
              </w:rPr>
              <w:t>E)</w:t>
            </w:r>
            <w:r w:rsidRPr="005C3D97">
              <w:rPr>
                <w:rFonts w:ascii="Times New Roman" w:hAnsi="Times New Roman" w:cs="Times New Roman"/>
                <w:lang w:val="pl-PL"/>
              </w:rPr>
              <w:t xml:space="preserve"> slovnog rezultata u odnosu na početne vrijednosti</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10.7</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10.5</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1.2</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10.7</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12.5</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0.2</w:t>
            </w:r>
          </w:p>
        </w:tc>
      </w:tr>
      <w:tr w:rsidR="005C3D97" w:rsidRPr="005C3D97" w:rsidTr="00173ED2">
        <w:tc>
          <w:tcPr>
            <w:tcW w:w="888" w:type="pct"/>
            <w:shd w:val="clear" w:color="auto" w:fill="auto"/>
          </w:tcPr>
          <w:p w:rsidR="005C3D97" w:rsidRPr="005C3D97" w:rsidRDefault="005C3D97" w:rsidP="00C7646D">
            <w:pPr>
              <w:spacing w:after="0"/>
              <w:rPr>
                <w:rFonts w:ascii="Times New Roman" w:hAnsi="Times New Roman" w:cs="Times New Roman"/>
                <w:lang w:val="it-IT"/>
              </w:rPr>
            </w:pPr>
            <w:r w:rsidRPr="005C3D97">
              <w:rPr>
                <w:rFonts w:ascii="Times New Roman" w:hAnsi="Times New Roman" w:cs="Times New Roman"/>
                <w:lang w:val="it-IT"/>
              </w:rPr>
              <w:t xml:space="preserve">Razlika u LS </w:t>
            </w:r>
          </w:p>
          <w:p w:rsidR="005C3D97" w:rsidRPr="005C3D97" w:rsidRDefault="005C3D97" w:rsidP="00C7646D">
            <w:pPr>
              <w:spacing w:after="0"/>
              <w:rPr>
                <w:rFonts w:ascii="Times New Roman" w:hAnsi="Times New Roman" w:cs="Times New Roman"/>
                <w:lang w:val="it-IT"/>
              </w:rPr>
            </w:pPr>
            <w:r w:rsidRPr="005C3D97">
              <w:rPr>
                <w:rFonts w:ascii="Times New Roman" w:hAnsi="Times New Roman" w:cs="Times New Roman"/>
                <w:lang w:val="it-IT"/>
              </w:rPr>
              <w:lastRenderedPageBreak/>
              <w:t xml:space="preserve">srednjoj vrijednosti </w:t>
            </w:r>
            <w:r w:rsidRPr="005C3D97">
              <w:rPr>
                <w:rFonts w:ascii="Times New Roman" w:hAnsi="Times New Roman" w:cs="Times New Roman"/>
                <w:vertAlign w:val="superscript"/>
                <w:lang w:val="de-DE"/>
              </w:rPr>
              <w:t>B,C,E</w:t>
            </w:r>
            <w:r w:rsidRPr="005C3D97">
              <w:rPr>
                <w:rFonts w:ascii="Times New Roman" w:hAnsi="Times New Roman" w:cs="Times New Roman"/>
                <w:vertAlign w:val="superscript"/>
                <w:lang w:val="de-DE"/>
              </w:rPr>
              <w:br/>
            </w:r>
            <w:r w:rsidRPr="005C3D97">
              <w:rPr>
                <w:rFonts w:ascii="Times New Roman" w:hAnsi="Times New Roman" w:cs="Times New Roman"/>
                <w:lang w:val="de-DE"/>
              </w:rPr>
              <w:t xml:space="preserve">     (97.5% CI)</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lastRenderedPageBreak/>
              <w:t>9.1</w:t>
            </w:r>
            <w:r w:rsidRPr="005C3D97">
              <w:rPr>
                <w:rFonts w:ascii="Times New Roman" w:hAnsi="Times New Roman" w:cs="Times New Roman"/>
                <w:vertAlign w:val="superscript"/>
                <w:lang w:val="sr-Latn-CS"/>
              </w:rPr>
              <w:br/>
            </w:r>
            <w:r w:rsidRPr="005C3D97">
              <w:rPr>
                <w:rFonts w:ascii="Times New Roman" w:hAnsi="Times New Roman" w:cs="Times New Roman"/>
                <w:lang w:val="sr-Latn-CS"/>
              </w:rPr>
              <w:t>(6.3, 11.8)</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9.3</w:t>
            </w:r>
            <w:r w:rsidRPr="005C3D97">
              <w:rPr>
                <w:rFonts w:ascii="Times New Roman" w:hAnsi="Times New Roman" w:cs="Times New Roman"/>
                <w:vertAlign w:val="superscript"/>
                <w:lang w:val="sr-Latn-CS"/>
              </w:rPr>
              <w:br/>
            </w:r>
            <w:r w:rsidRPr="005C3D97">
              <w:rPr>
                <w:rFonts w:ascii="Times New Roman" w:hAnsi="Times New Roman" w:cs="Times New Roman"/>
                <w:lang w:val="sr-Latn-CS"/>
              </w:rPr>
              <w:t>(6.5, 12.0)</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10.45</w:t>
            </w:r>
            <w:r w:rsidRPr="005C3D97">
              <w:rPr>
                <w:rFonts w:ascii="Times New Roman" w:hAnsi="Times New Roman" w:cs="Times New Roman"/>
                <w:vertAlign w:val="superscript"/>
                <w:lang w:val="sr-Latn-CS"/>
              </w:rPr>
              <w:br/>
            </w:r>
            <w:r w:rsidRPr="005C3D97">
              <w:rPr>
                <w:rFonts w:ascii="Times New Roman" w:hAnsi="Times New Roman" w:cs="Times New Roman"/>
                <w:lang w:val="sr-Latn-CS"/>
              </w:rPr>
              <w:t>(7.7, 13.2)</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12.19</w:t>
            </w:r>
            <w:r w:rsidRPr="005C3D97">
              <w:rPr>
                <w:rFonts w:ascii="Times New Roman" w:hAnsi="Times New Roman" w:cs="Times New Roman"/>
                <w:vertAlign w:val="superscript"/>
                <w:lang w:val="sr-Latn-CS"/>
              </w:rPr>
              <w:br/>
            </w:r>
            <w:r w:rsidRPr="005C3D97">
              <w:rPr>
                <w:rFonts w:ascii="Times New Roman" w:hAnsi="Times New Roman" w:cs="Times New Roman"/>
                <w:lang w:val="sr-Latn-CS"/>
              </w:rPr>
              <w:t>(9.4, 15.0)</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p>
        </w:tc>
      </w:tr>
      <w:tr w:rsidR="005C3D97" w:rsidRPr="005C3D97" w:rsidTr="00173ED2">
        <w:tc>
          <w:tcPr>
            <w:tcW w:w="888" w:type="pct"/>
            <w:shd w:val="clear" w:color="auto" w:fill="auto"/>
          </w:tcPr>
          <w:p w:rsidR="005C3D97" w:rsidRPr="005C3D97" w:rsidRDefault="005C3D97" w:rsidP="00C7646D">
            <w:pPr>
              <w:spacing w:after="0"/>
              <w:rPr>
                <w:rFonts w:ascii="Times New Roman" w:hAnsi="Times New Roman" w:cs="Times New Roman"/>
                <w:lang w:val="pl-PL"/>
              </w:rPr>
            </w:pPr>
            <w:r w:rsidRPr="005C3D97">
              <w:rPr>
                <w:rFonts w:ascii="Times New Roman" w:hAnsi="Times New Roman" w:cs="Times New Roman"/>
                <w:lang w:val="pl-PL"/>
              </w:rPr>
              <w:t>Procenat  pacijenata sa poboljšanjem BCVA</w:t>
            </w:r>
            <w:r w:rsidRPr="005C3D97">
              <w:rPr>
                <w:rFonts w:ascii="Times New Roman" w:hAnsi="Times New Roman" w:cs="Times New Roman"/>
                <w:vertAlign w:val="superscript"/>
                <w:lang w:val="pl-PL"/>
              </w:rPr>
              <w:t>E</w:t>
            </w:r>
            <w:r w:rsidRPr="005C3D97">
              <w:rPr>
                <w:rFonts w:ascii="Times New Roman" w:hAnsi="Times New Roman" w:cs="Times New Roman"/>
                <w:lang w:val="pl-PL"/>
              </w:rPr>
              <w:t xml:space="preserve"> za najmanje 15 slova u odnosu na početnu vrijednost</w:t>
            </w:r>
          </w:p>
          <w:p w:rsidR="005C3D97" w:rsidRPr="005C3D97" w:rsidRDefault="005C3D97" w:rsidP="00C7646D">
            <w:pPr>
              <w:spacing w:after="0"/>
              <w:rPr>
                <w:rFonts w:ascii="Times New Roman" w:hAnsi="Times New Roman" w:cs="Times New Roman"/>
                <w:b/>
                <w:lang w:val="sr-Latn-CS"/>
              </w:rPr>
            </w:pP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33%</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32%</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9%</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31%</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42%</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8%</w:t>
            </w:r>
          </w:p>
        </w:tc>
      </w:tr>
      <w:tr w:rsidR="005C3D97" w:rsidRPr="005C3D97" w:rsidTr="00173ED2">
        <w:tc>
          <w:tcPr>
            <w:tcW w:w="888" w:type="pct"/>
            <w:shd w:val="clear" w:color="auto" w:fill="auto"/>
          </w:tcPr>
          <w:p w:rsidR="005C3D97" w:rsidRPr="005C3D97" w:rsidRDefault="005C3D97" w:rsidP="00C7646D">
            <w:pPr>
              <w:spacing w:after="0"/>
              <w:rPr>
                <w:rFonts w:ascii="Times New Roman" w:hAnsi="Times New Roman" w:cs="Times New Roman"/>
                <w:lang w:val="de-DE"/>
              </w:rPr>
            </w:pPr>
            <w:r w:rsidRPr="005C3D97">
              <w:rPr>
                <w:rFonts w:ascii="Times New Roman" w:hAnsi="Times New Roman" w:cs="Times New Roman"/>
                <w:lang w:val="de-DE"/>
              </w:rPr>
              <w:t xml:space="preserve">     Podešena razlika</w:t>
            </w:r>
            <w:r w:rsidRPr="005C3D97">
              <w:rPr>
                <w:rFonts w:ascii="Times New Roman" w:hAnsi="Times New Roman" w:cs="Times New Roman"/>
                <w:vertAlign w:val="superscript"/>
                <w:lang w:val="de-DE"/>
              </w:rPr>
              <w:t>D,C,E</w:t>
            </w:r>
            <w:r w:rsidRPr="005C3D97">
              <w:rPr>
                <w:rFonts w:ascii="Times New Roman" w:hAnsi="Times New Roman" w:cs="Times New Roman"/>
                <w:lang w:val="de-DE"/>
              </w:rPr>
              <w:br/>
              <w:t xml:space="preserve">     (97.5% CI)</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24%</w:t>
            </w:r>
            <w:r w:rsidRPr="005C3D97">
              <w:rPr>
                <w:rFonts w:ascii="Times New Roman" w:hAnsi="Times New Roman" w:cs="Times New Roman"/>
                <w:lang w:val="sr-Latn-CS"/>
              </w:rPr>
              <w:br/>
              <w:t>(13.5, 34.9)</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23%</w:t>
            </w:r>
            <w:r w:rsidRPr="005C3D97">
              <w:rPr>
                <w:rFonts w:ascii="Times New Roman" w:hAnsi="Times New Roman" w:cs="Times New Roman"/>
                <w:lang w:val="sr-Latn-CS"/>
              </w:rPr>
              <w:br/>
              <w:t>(12.6, 33.9)</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23%</w:t>
            </w:r>
            <w:r w:rsidRPr="005C3D97">
              <w:rPr>
                <w:rFonts w:ascii="Times New Roman" w:hAnsi="Times New Roman" w:cs="Times New Roman"/>
                <w:lang w:val="sr-Latn-CS"/>
              </w:rPr>
              <w:br/>
              <w:t>(13.5, 33.1)</w:t>
            </w:r>
          </w:p>
        </w:tc>
        <w:tc>
          <w:tcPr>
            <w:tcW w:w="607" w:type="pct"/>
            <w:shd w:val="clear" w:color="auto" w:fill="auto"/>
            <w:vAlign w:val="center"/>
          </w:tcPr>
          <w:p w:rsidR="005C3D97" w:rsidRPr="005C3D97" w:rsidRDefault="005C3D97" w:rsidP="00C7646D">
            <w:pPr>
              <w:spacing w:after="0"/>
              <w:rPr>
                <w:rFonts w:ascii="Times New Roman" w:hAnsi="Times New Roman" w:cs="Times New Roman"/>
                <w:lang w:val="sr-Latn-CS"/>
              </w:rPr>
            </w:pPr>
            <w:r w:rsidRPr="005C3D97">
              <w:rPr>
                <w:rFonts w:ascii="Times New Roman" w:hAnsi="Times New Roman" w:cs="Times New Roman"/>
                <w:lang w:val="sr-Latn-CS"/>
              </w:rPr>
              <w:t>34%</w:t>
            </w:r>
            <w:r w:rsidRPr="005C3D97">
              <w:rPr>
                <w:rFonts w:ascii="Times New Roman" w:hAnsi="Times New Roman" w:cs="Times New Roman"/>
                <w:lang w:val="sr-Latn-CS"/>
              </w:rPr>
              <w:br/>
              <w:t>(24.1, 44.4)</w:t>
            </w:r>
          </w:p>
        </w:tc>
        <w:tc>
          <w:tcPr>
            <w:tcW w:w="841" w:type="pct"/>
            <w:shd w:val="clear" w:color="auto" w:fill="auto"/>
            <w:vAlign w:val="center"/>
          </w:tcPr>
          <w:p w:rsidR="005C3D97" w:rsidRPr="005C3D97" w:rsidRDefault="005C3D97" w:rsidP="00C7646D">
            <w:pPr>
              <w:spacing w:after="0"/>
              <w:rPr>
                <w:rFonts w:ascii="Times New Roman" w:hAnsi="Times New Roman" w:cs="Times New Roman"/>
                <w:lang w:val="sr-Latn-CS"/>
              </w:rPr>
            </w:pPr>
          </w:p>
        </w:tc>
      </w:tr>
    </w:tbl>
    <w:p w:rsidR="005C3D97" w:rsidRPr="00E31368" w:rsidRDefault="005C3D97" w:rsidP="00C7646D">
      <w:pPr>
        <w:spacing w:after="0"/>
        <w:rPr>
          <w:rFonts w:ascii="Times New Roman" w:hAnsi="Times New Roman" w:cs="Times New Roman"/>
          <w:sz w:val="20"/>
          <w:szCs w:val="20"/>
          <w:vertAlign w:val="superscript"/>
          <w:lang w:val="pl-PL"/>
        </w:rPr>
      </w:pPr>
      <w:r w:rsidRPr="00E31368">
        <w:rPr>
          <w:rFonts w:ascii="Times New Roman" w:hAnsi="Times New Roman" w:cs="Times New Roman"/>
          <w:sz w:val="20"/>
          <w:szCs w:val="20"/>
          <w:vertAlign w:val="superscript"/>
          <w:lang w:val="pl-PL"/>
        </w:rPr>
        <w:t>A</w:t>
      </w:r>
      <w:r w:rsidRPr="00E31368">
        <w:rPr>
          <w:rFonts w:ascii="Times New Roman" w:hAnsi="Times New Roman" w:cs="Times New Roman"/>
          <w:sz w:val="20"/>
          <w:szCs w:val="20"/>
          <w:lang w:val="pl-PL"/>
        </w:rPr>
        <w:t xml:space="preserve">  Poslije početne terapije od 5 mjesečnih doza</w:t>
      </w:r>
    </w:p>
    <w:p w:rsidR="005C3D97" w:rsidRPr="00E31368" w:rsidRDefault="005C3D97" w:rsidP="00C7646D">
      <w:pPr>
        <w:spacing w:after="0"/>
        <w:rPr>
          <w:rFonts w:ascii="Times New Roman" w:hAnsi="Times New Roman" w:cs="Times New Roman"/>
          <w:sz w:val="20"/>
          <w:szCs w:val="20"/>
          <w:lang w:val="sr-Latn-RS"/>
        </w:rPr>
      </w:pPr>
      <w:r w:rsidRPr="00E31368">
        <w:rPr>
          <w:rFonts w:ascii="Times New Roman" w:hAnsi="Times New Roman" w:cs="Times New Roman"/>
          <w:sz w:val="20"/>
          <w:szCs w:val="20"/>
          <w:vertAlign w:val="superscript"/>
          <w:lang w:val="sr-Latn-CS"/>
        </w:rPr>
        <w:t xml:space="preserve">B  </w:t>
      </w:r>
      <w:r w:rsidRPr="00E31368">
        <w:rPr>
          <w:rFonts w:ascii="Times New Roman" w:hAnsi="Times New Roman" w:cs="Times New Roman"/>
          <w:sz w:val="20"/>
          <w:szCs w:val="20"/>
          <w:vertAlign w:val="superscript"/>
          <w:lang w:val="sr-Latn-CS"/>
        </w:rPr>
        <w:tab/>
      </w:r>
      <w:r w:rsidRPr="00E31368">
        <w:rPr>
          <w:rFonts w:ascii="Times New Roman" w:hAnsi="Times New Roman" w:cs="Times New Roman"/>
          <w:sz w:val="20"/>
          <w:szCs w:val="20"/>
          <w:lang w:val="sr-Latn-RS"/>
        </w:rPr>
        <w:t>LS srednja vrijednost i interval pouzdanosti na osnovu ANCOVA modela sa početnim BCVA mjerenjima kao kovarijabilom i faktorom u terapijskoj grupi. Dodatno, regija ( Evropa/Australija u odnosu na Japan) je bila uključena kao faktor u VIVID</w:t>
      </w:r>
      <w:r w:rsidRPr="00E31368">
        <w:rPr>
          <w:rFonts w:ascii="Times New Roman" w:hAnsi="Times New Roman" w:cs="Times New Roman"/>
          <w:sz w:val="20"/>
          <w:szCs w:val="20"/>
          <w:vertAlign w:val="superscript"/>
          <w:lang w:val="sr-Latn-RS"/>
        </w:rPr>
        <w:t>DME</w:t>
      </w:r>
      <w:r w:rsidRPr="00E31368">
        <w:rPr>
          <w:rFonts w:ascii="Times New Roman" w:hAnsi="Times New Roman" w:cs="Times New Roman"/>
          <w:sz w:val="20"/>
          <w:szCs w:val="20"/>
          <w:lang w:val="sr-Latn-RS"/>
        </w:rPr>
        <w:t xml:space="preserve"> studiji, a postojanje u anamnezi MI i/ili CVA kao faktor u VISTA</w:t>
      </w:r>
      <w:r w:rsidRPr="00E31368">
        <w:rPr>
          <w:rFonts w:ascii="Times New Roman" w:hAnsi="Times New Roman" w:cs="Times New Roman"/>
          <w:sz w:val="20"/>
          <w:szCs w:val="20"/>
          <w:vertAlign w:val="superscript"/>
          <w:lang w:val="sr-Latn-RS"/>
        </w:rPr>
        <w:t xml:space="preserve">DME </w:t>
      </w:r>
      <w:r w:rsidRPr="00E31368">
        <w:rPr>
          <w:rFonts w:ascii="Times New Roman" w:hAnsi="Times New Roman" w:cs="Times New Roman"/>
          <w:sz w:val="20"/>
          <w:szCs w:val="20"/>
          <w:lang w:val="sr-Latn-RS"/>
        </w:rPr>
        <w:t xml:space="preserve">studiji. </w:t>
      </w:r>
    </w:p>
    <w:p w:rsidR="005C3D97" w:rsidRPr="00E31368" w:rsidRDefault="005C3D97" w:rsidP="00C7646D">
      <w:pPr>
        <w:spacing w:after="0"/>
        <w:rPr>
          <w:rFonts w:ascii="Times New Roman" w:hAnsi="Times New Roman" w:cs="Times New Roman"/>
          <w:sz w:val="20"/>
          <w:szCs w:val="20"/>
          <w:lang w:val="de-DE"/>
        </w:rPr>
      </w:pPr>
      <w:r w:rsidRPr="00E31368">
        <w:rPr>
          <w:rFonts w:ascii="Times New Roman" w:hAnsi="Times New Roman" w:cs="Times New Roman"/>
          <w:sz w:val="20"/>
          <w:szCs w:val="20"/>
          <w:vertAlign w:val="superscript"/>
          <w:lang w:val="de-DE"/>
        </w:rPr>
        <w:t>C</w:t>
      </w:r>
      <w:r w:rsidRPr="00E31368">
        <w:rPr>
          <w:rFonts w:ascii="Times New Roman" w:hAnsi="Times New Roman" w:cs="Times New Roman"/>
          <w:sz w:val="20"/>
          <w:szCs w:val="20"/>
          <w:lang w:val="de-DE"/>
        </w:rPr>
        <w:t xml:space="preserve"> </w:t>
      </w:r>
      <w:r w:rsidRPr="00E31368">
        <w:rPr>
          <w:rFonts w:ascii="Times New Roman" w:hAnsi="Times New Roman" w:cs="Times New Roman"/>
          <w:sz w:val="20"/>
          <w:szCs w:val="20"/>
          <w:lang w:val="de-DE"/>
        </w:rPr>
        <w:tab/>
        <w:t>Razlika je Eylea grupa od 2mg minus kontrolna (laser) grupa</w:t>
      </w:r>
    </w:p>
    <w:p w:rsidR="005C3D97" w:rsidRPr="00E31368" w:rsidRDefault="005C3D97" w:rsidP="00C7646D">
      <w:pPr>
        <w:spacing w:after="0"/>
        <w:rPr>
          <w:rFonts w:ascii="Times New Roman" w:hAnsi="Times New Roman" w:cs="Times New Roman"/>
          <w:sz w:val="20"/>
          <w:szCs w:val="20"/>
          <w:lang w:val="de-DE"/>
        </w:rPr>
      </w:pPr>
      <w:r w:rsidRPr="00E31368">
        <w:rPr>
          <w:rFonts w:ascii="Times New Roman" w:hAnsi="Times New Roman" w:cs="Times New Roman"/>
          <w:sz w:val="20"/>
          <w:szCs w:val="20"/>
          <w:vertAlign w:val="superscript"/>
          <w:lang w:val="de-DE"/>
        </w:rPr>
        <w:t>D</w:t>
      </w:r>
      <w:r w:rsidRPr="00E31368">
        <w:rPr>
          <w:rFonts w:ascii="Times New Roman" w:hAnsi="Times New Roman" w:cs="Times New Roman"/>
          <w:sz w:val="20"/>
          <w:szCs w:val="20"/>
          <w:vertAlign w:val="superscript"/>
          <w:lang w:val="de-DE"/>
        </w:rPr>
        <w:tab/>
        <w:t xml:space="preserve"> </w:t>
      </w:r>
      <w:r w:rsidRPr="00E31368">
        <w:rPr>
          <w:rFonts w:ascii="Times New Roman" w:hAnsi="Times New Roman" w:cs="Times New Roman"/>
          <w:sz w:val="20"/>
          <w:szCs w:val="20"/>
          <w:lang w:val="sr-Latn-RS"/>
        </w:rPr>
        <w:t xml:space="preserve">Razlika i interval pouzdanosti (CI) izračunati su pomoću </w:t>
      </w:r>
      <w:r w:rsidRPr="00E31368">
        <w:rPr>
          <w:rFonts w:ascii="Times New Roman" w:hAnsi="Times New Roman" w:cs="Times New Roman"/>
          <w:i/>
          <w:sz w:val="20"/>
          <w:szCs w:val="20"/>
          <w:lang w:val="sr-Latn-RS"/>
        </w:rPr>
        <w:t>Cochran-Mantel-Haenszel</w:t>
      </w:r>
      <w:r w:rsidRPr="00E31368">
        <w:rPr>
          <w:rFonts w:ascii="Times New Roman" w:hAnsi="Times New Roman" w:cs="Times New Roman"/>
          <w:sz w:val="20"/>
          <w:szCs w:val="20"/>
          <w:lang w:val="sr-Latn-RS"/>
        </w:rPr>
        <w:t xml:space="preserve">-ovog (CMH) testa prilagođenog za regiju </w:t>
      </w:r>
      <w:r w:rsidRPr="00E31368">
        <w:rPr>
          <w:rFonts w:ascii="Times New Roman" w:hAnsi="Times New Roman" w:cs="Times New Roman"/>
          <w:sz w:val="20"/>
          <w:szCs w:val="20"/>
          <w:lang w:val="de-DE"/>
        </w:rPr>
        <w:t>(Evropa/Australija u odnosu na Japan) za VIVID</w:t>
      </w:r>
      <w:r w:rsidRPr="00E31368">
        <w:rPr>
          <w:rFonts w:ascii="Times New Roman" w:hAnsi="Times New Roman" w:cs="Times New Roman"/>
          <w:sz w:val="20"/>
          <w:szCs w:val="20"/>
          <w:vertAlign w:val="superscript"/>
          <w:lang w:val="de-DE"/>
        </w:rPr>
        <w:t xml:space="preserve">DME </w:t>
      </w:r>
      <w:r w:rsidRPr="00E31368">
        <w:rPr>
          <w:rFonts w:ascii="Times New Roman" w:hAnsi="Times New Roman" w:cs="Times New Roman"/>
          <w:sz w:val="20"/>
          <w:szCs w:val="20"/>
          <w:lang w:val="de-DE"/>
        </w:rPr>
        <w:t>studiju, a postojanje u anamnezi MI ili CVA za VISTA</w:t>
      </w:r>
      <w:r w:rsidRPr="00E31368">
        <w:rPr>
          <w:rFonts w:ascii="Times New Roman" w:hAnsi="Times New Roman" w:cs="Times New Roman"/>
          <w:sz w:val="20"/>
          <w:szCs w:val="20"/>
          <w:vertAlign w:val="superscript"/>
          <w:lang w:val="de-DE"/>
        </w:rPr>
        <w:t>DME</w:t>
      </w:r>
      <w:r w:rsidRPr="00E31368">
        <w:rPr>
          <w:rFonts w:ascii="Times New Roman" w:hAnsi="Times New Roman" w:cs="Times New Roman"/>
          <w:sz w:val="20"/>
          <w:szCs w:val="20"/>
          <w:lang w:val="de-DE"/>
        </w:rPr>
        <w:t>studiju</w:t>
      </w:r>
    </w:p>
    <w:p w:rsidR="005C3D97" w:rsidRPr="00E31368" w:rsidRDefault="005C3D97" w:rsidP="00C7646D">
      <w:pPr>
        <w:spacing w:after="0"/>
        <w:rPr>
          <w:rFonts w:ascii="Times New Roman" w:hAnsi="Times New Roman" w:cs="Times New Roman"/>
          <w:sz w:val="20"/>
          <w:szCs w:val="20"/>
          <w:lang w:val="sr-Latn-RS"/>
        </w:rPr>
      </w:pPr>
      <w:r w:rsidRPr="00E31368">
        <w:rPr>
          <w:rFonts w:ascii="Times New Roman" w:hAnsi="Times New Roman" w:cs="Times New Roman"/>
          <w:sz w:val="20"/>
          <w:szCs w:val="20"/>
          <w:vertAlign w:val="superscript"/>
          <w:lang w:val="de-DE"/>
        </w:rPr>
        <w:t>E</w:t>
      </w:r>
      <w:r w:rsidRPr="00E31368">
        <w:rPr>
          <w:rFonts w:ascii="Times New Roman" w:hAnsi="Times New Roman" w:cs="Times New Roman"/>
          <w:sz w:val="20"/>
          <w:szCs w:val="20"/>
          <w:lang w:val="de-DE"/>
        </w:rPr>
        <w:t xml:space="preserve">  BCVA: </w:t>
      </w:r>
      <w:r w:rsidRPr="00E31368">
        <w:rPr>
          <w:rFonts w:ascii="Times New Roman" w:hAnsi="Times New Roman" w:cs="Times New Roman"/>
          <w:sz w:val="20"/>
          <w:szCs w:val="20"/>
          <w:lang w:val="sr-Latn-RS"/>
        </w:rPr>
        <w:t xml:space="preserve">najbolje korigovana oštrina vida (engl. </w:t>
      </w:r>
      <w:r w:rsidRPr="00E31368">
        <w:rPr>
          <w:rFonts w:ascii="Times New Roman" w:hAnsi="Times New Roman" w:cs="Times New Roman"/>
          <w:i/>
          <w:sz w:val="20"/>
          <w:szCs w:val="20"/>
          <w:lang w:val="sr-Latn-RS"/>
        </w:rPr>
        <w:t>Best Corrected Visual Acuity</w:t>
      </w:r>
      <w:r w:rsidRPr="00E31368">
        <w:rPr>
          <w:rFonts w:ascii="Times New Roman" w:hAnsi="Times New Roman" w:cs="Times New Roman"/>
          <w:sz w:val="20"/>
          <w:szCs w:val="20"/>
          <w:lang w:val="sr-Latn-RS"/>
        </w:rPr>
        <w:t>)</w:t>
      </w:r>
    </w:p>
    <w:p w:rsidR="005C3D97" w:rsidRPr="00E31368" w:rsidRDefault="005C3D97" w:rsidP="00C7646D">
      <w:pPr>
        <w:spacing w:after="0"/>
        <w:rPr>
          <w:rFonts w:ascii="Times New Roman" w:hAnsi="Times New Roman" w:cs="Times New Roman"/>
          <w:i/>
          <w:sz w:val="20"/>
          <w:szCs w:val="20"/>
          <w:lang w:val="sr-Latn-RS"/>
        </w:rPr>
      </w:pPr>
      <w:r w:rsidRPr="00E31368">
        <w:rPr>
          <w:rFonts w:ascii="Times New Roman" w:hAnsi="Times New Roman" w:cs="Times New Roman"/>
          <w:sz w:val="20"/>
          <w:szCs w:val="20"/>
          <w:lang w:val="sr-Latn-RS"/>
        </w:rPr>
        <w:t xml:space="preserve">    ETDRS: studija rane terapije u dijabetičnoj  retinopatiji (engl. </w:t>
      </w:r>
      <w:r w:rsidRPr="00E31368">
        <w:rPr>
          <w:rFonts w:ascii="Times New Roman" w:hAnsi="Times New Roman" w:cs="Times New Roman"/>
          <w:i/>
          <w:sz w:val="20"/>
          <w:szCs w:val="20"/>
          <w:lang w:val="sr-Latn-RS"/>
        </w:rPr>
        <w:t>Early Treatement Diabetic Retinopathy Study</w:t>
      </w:r>
      <w:r w:rsidRPr="00E31368">
        <w:rPr>
          <w:rFonts w:ascii="Times New Roman" w:hAnsi="Times New Roman" w:cs="Times New Roman"/>
          <w:sz w:val="20"/>
          <w:szCs w:val="20"/>
          <w:lang w:val="sr-Latn-RS"/>
        </w:rPr>
        <w:t>)</w:t>
      </w:r>
    </w:p>
    <w:p w:rsidR="005C3D97" w:rsidRPr="00E31368" w:rsidRDefault="005C3D97" w:rsidP="00C7646D">
      <w:pPr>
        <w:spacing w:after="0"/>
        <w:rPr>
          <w:rFonts w:ascii="Times New Roman" w:hAnsi="Times New Roman" w:cs="Times New Roman"/>
          <w:sz w:val="20"/>
          <w:szCs w:val="20"/>
          <w:lang w:val="sr-Latn-RS"/>
        </w:rPr>
      </w:pPr>
      <w:r w:rsidRPr="00E31368">
        <w:rPr>
          <w:rFonts w:ascii="Times New Roman" w:hAnsi="Times New Roman" w:cs="Times New Roman"/>
          <w:sz w:val="20"/>
          <w:szCs w:val="20"/>
          <w:lang w:val="sr-Latn-RS"/>
        </w:rPr>
        <w:t xml:space="preserve">    LOCF: Posljednje mjerenje preneseno dalje (engl. </w:t>
      </w:r>
      <w:r w:rsidRPr="00E31368">
        <w:rPr>
          <w:rFonts w:ascii="Times New Roman" w:hAnsi="Times New Roman" w:cs="Times New Roman"/>
          <w:i/>
          <w:sz w:val="20"/>
          <w:szCs w:val="20"/>
          <w:lang w:val="sr-Latn-RS"/>
        </w:rPr>
        <w:t>Last Observation Carried Forward</w:t>
      </w:r>
      <w:r w:rsidRPr="00E31368">
        <w:rPr>
          <w:rFonts w:ascii="Times New Roman" w:hAnsi="Times New Roman" w:cs="Times New Roman"/>
          <w:sz w:val="20"/>
          <w:szCs w:val="20"/>
          <w:lang w:val="sr-Latn-RS"/>
        </w:rPr>
        <w:t>)</w:t>
      </w:r>
    </w:p>
    <w:p w:rsidR="005C3D97" w:rsidRPr="00E31368" w:rsidRDefault="005C3D97" w:rsidP="00C7646D">
      <w:pPr>
        <w:spacing w:after="0"/>
        <w:rPr>
          <w:rFonts w:ascii="Times New Roman" w:hAnsi="Times New Roman" w:cs="Times New Roman"/>
          <w:sz w:val="20"/>
          <w:szCs w:val="20"/>
          <w:lang w:val="sr-Latn-RS"/>
        </w:rPr>
      </w:pPr>
      <w:r w:rsidRPr="00E31368">
        <w:rPr>
          <w:rFonts w:ascii="Times New Roman" w:hAnsi="Times New Roman" w:cs="Times New Roman"/>
          <w:sz w:val="20"/>
          <w:szCs w:val="20"/>
          <w:lang w:val="sr-Latn-RS"/>
        </w:rPr>
        <w:t xml:space="preserve">    LS: Najmanji kvadrat prosjeka izveden iz ANCOVA-e </w:t>
      </w:r>
    </w:p>
    <w:p w:rsidR="005C3D97" w:rsidRDefault="005C3D97" w:rsidP="00C7646D">
      <w:pPr>
        <w:spacing w:after="0"/>
        <w:rPr>
          <w:rFonts w:ascii="Times New Roman" w:hAnsi="Times New Roman" w:cs="Times New Roman"/>
          <w:sz w:val="20"/>
          <w:szCs w:val="20"/>
          <w:lang w:val="sr-Latn-RS"/>
        </w:rPr>
      </w:pPr>
      <w:r w:rsidRPr="00E31368">
        <w:rPr>
          <w:rFonts w:ascii="Times New Roman" w:hAnsi="Times New Roman" w:cs="Times New Roman"/>
          <w:sz w:val="20"/>
          <w:szCs w:val="20"/>
          <w:lang w:val="sr-Latn-RS"/>
        </w:rPr>
        <w:t xml:space="preserve"> CI: Interval pouzdanosti</w:t>
      </w:r>
    </w:p>
    <w:p w:rsidR="005B1C69" w:rsidRPr="005B1C69" w:rsidRDefault="005B1C69" w:rsidP="00C7646D">
      <w:pPr>
        <w:spacing w:after="0"/>
        <w:rPr>
          <w:rFonts w:ascii="Times New Roman" w:hAnsi="Times New Roman" w:cs="Times New Roman"/>
          <w:sz w:val="20"/>
          <w:szCs w:val="20"/>
          <w:lang w:val="sr-Latn-RS"/>
        </w:rPr>
      </w:pPr>
    </w:p>
    <w:p w:rsidR="005C3D97" w:rsidRPr="005C3D97" w:rsidRDefault="005C3D97" w:rsidP="00C7646D">
      <w:pPr>
        <w:spacing w:after="0"/>
        <w:rPr>
          <w:rFonts w:ascii="Times New Roman" w:hAnsi="Times New Roman" w:cs="Times New Roman"/>
          <w:lang w:val="sr-Latn-RS"/>
        </w:rPr>
      </w:pPr>
      <w:r w:rsidRPr="005C3D97">
        <w:rPr>
          <w:rFonts w:ascii="Times New Roman" w:hAnsi="Times New Roman" w:cs="Times New Roman"/>
          <w:b/>
          <w:lang w:val="sr-Latn-RS"/>
        </w:rPr>
        <w:t>Slika 4:</w:t>
      </w:r>
      <w:r w:rsidRPr="005C3D97">
        <w:rPr>
          <w:rFonts w:ascii="Times New Roman" w:hAnsi="Times New Roman" w:cs="Times New Roman"/>
          <w:lang w:val="sr-Latn-RS"/>
        </w:rPr>
        <w:t xml:space="preserve"> Srednja vrijednost promjene BCVA mjereno pomoću ETDRS slovnog rezultata u 52. nedjelji u odnosu na početnu vrijednost u studijama VIVID</w:t>
      </w:r>
      <w:r w:rsidRPr="005C3D97">
        <w:rPr>
          <w:rFonts w:ascii="Times New Roman" w:hAnsi="Times New Roman" w:cs="Times New Roman"/>
          <w:vertAlign w:val="superscript"/>
          <w:lang w:val="sr-Latn-RS"/>
        </w:rPr>
        <w:t>DME</w:t>
      </w:r>
      <w:r w:rsidRPr="005C3D97">
        <w:rPr>
          <w:rFonts w:ascii="Times New Roman" w:hAnsi="Times New Roman" w:cs="Times New Roman"/>
          <w:lang w:val="sr-Latn-RS"/>
        </w:rPr>
        <w:t xml:space="preserve"> i VISTA</w:t>
      </w:r>
      <w:r w:rsidRPr="005C3D97">
        <w:rPr>
          <w:rFonts w:ascii="Times New Roman" w:hAnsi="Times New Roman" w:cs="Times New Roman"/>
          <w:vertAlign w:val="superscript"/>
          <w:lang w:val="sr-Latn-RS"/>
        </w:rPr>
        <w:t>DME</w:t>
      </w:r>
    </w:p>
    <w:p w:rsidR="005C3D97" w:rsidRPr="005C3D97" w:rsidRDefault="005C3D97" w:rsidP="00C7646D">
      <w:pPr>
        <w:spacing w:after="0"/>
        <w:rPr>
          <w:rFonts w:ascii="Times New Roman" w:hAnsi="Times New Roman" w:cs="Times New Roman"/>
          <w:lang w:val="sr-Latn-RS"/>
        </w:rPr>
      </w:pPr>
    </w:p>
    <w:p w:rsidR="005C3D97" w:rsidRPr="005C3D97" w:rsidRDefault="005C3D97" w:rsidP="00C7646D">
      <w:pPr>
        <w:spacing w:after="0"/>
        <w:rPr>
          <w:rFonts w:ascii="Times New Roman" w:hAnsi="Times New Roman" w:cs="Times New Roman"/>
          <w:lang w:val="pl-PL"/>
        </w:rPr>
      </w:pPr>
      <w:r w:rsidRPr="005C3D97">
        <w:rPr>
          <w:rFonts w:ascii="Times New Roman" w:hAnsi="Times New Roman" w:cs="Times New Roman"/>
          <w:noProof/>
        </w:rPr>
        <w:lastRenderedPageBreak/>
        <w:drawing>
          <wp:inline distT="0" distB="0" distL="0" distR="0" wp14:anchorId="23D30527" wp14:editId="71796DBA">
            <wp:extent cx="5343525" cy="6086475"/>
            <wp:effectExtent l="0" t="0" r="9525" b="9525"/>
            <wp:docPr id="26" name="Picture 26" descr="C:\Users\GDYMI\Desktop\xare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DYMI\Desktop\xarelt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6086475"/>
                    </a:xfrm>
                    <a:prstGeom prst="rect">
                      <a:avLst/>
                    </a:prstGeom>
                    <a:noFill/>
                    <a:ln>
                      <a:noFill/>
                    </a:ln>
                  </pic:spPr>
                </pic:pic>
              </a:graphicData>
            </a:graphic>
          </wp:inline>
        </w:drawing>
      </w:r>
    </w:p>
    <w:p w:rsidR="005C3D97" w:rsidRPr="005C3D97" w:rsidRDefault="005C3D97" w:rsidP="00C7646D">
      <w:pPr>
        <w:spacing w:after="0"/>
        <w:rPr>
          <w:rFonts w:ascii="Times New Roman" w:hAnsi="Times New Roman" w:cs="Times New Roman"/>
          <w:lang w:val="pl-PL"/>
        </w:rPr>
      </w:pPr>
      <w:r w:rsidRPr="005C3D97">
        <w:rPr>
          <w:rFonts w:ascii="Times New Roman" w:hAnsi="Times New Roman" w:cs="Times New Roman"/>
          <w:lang w:val="pl-PL"/>
        </w:rPr>
        <w:t>Rezultati studije VISTA</w:t>
      </w:r>
      <w:r w:rsidRPr="005C3D97">
        <w:rPr>
          <w:rFonts w:ascii="Times New Roman" w:hAnsi="Times New Roman" w:cs="Times New Roman"/>
          <w:vertAlign w:val="superscript"/>
          <w:lang w:val="pl-PL"/>
        </w:rPr>
        <w:t>DME</w:t>
      </w:r>
      <w:r w:rsidRPr="005C3D97">
        <w:rPr>
          <w:rFonts w:ascii="Times New Roman" w:hAnsi="Times New Roman" w:cs="Times New Roman"/>
          <w:lang w:val="pl-PL"/>
        </w:rPr>
        <w:t xml:space="preserve"> na kraju druge godine su u skladu sa primarnim i sekundarnim ciljevima dobijenim u 52. nedjelji.</w:t>
      </w:r>
    </w:p>
    <w:p w:rsidR="005B1C69"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Terapijski efekti u svim dostupnim podgrupama (npr. starost, pol, rasa,početna HbA1c, početna oštrina vida, prethodna anti-VEGF terpija) u pojedinačnim studijama i u kombinovanoj analizi bili su konzistentni sa rezultatima cjelokupne populacije.</w:t>
      </w: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U studijama VIVID</w:t>
      </w:r>
      <w:r w:rsidRPr="005C3D97">
        <w:rPr>
          <w:rFonts w:ascii="Times New Roman" w:hAnsi="Times New Roman" w:cs="Times New Roman"/>
          <w:vertAlign w:val="superscript"/>
          <w:lang w:val="pl-PL"/>
        </w:rPr>
        <w:t>DME</w:t>
      </w:r>
      <w:r w:rsidRPr="005C3D97">
        <w:rPr>
          <w:rFonts w:ascii="Times New Roman" w:hAnsi="Times New Roman" w:cs="Times New Roman"/>
          <w:lang w:val="pl-PL"/>
        </w:rPr>
        <w:t xml:space="preserve"> i VISTA</w:t>
      </w:r>
      <w:r w:rsidRPr="005C3D97">
        <w:rPr>
          <w:rFonts w:ascii="Times New Roman" w:hAnsi="Times New Roman" w:cs="Times New Roman"/>
          <w:vertAlign w:val="superscript"/>
          <w:lang w:val="pl-PL"/>
        </w:rPr>
        <w:t>DME</w:t>
      </w:r>
      <w:r w:rsidRPr="005C3D97">
        <w:rPr>
          <w:rFonts w:ascii="Times New Roman" w:hAnsi="Times New Roman" w:cs="Times New Roman"/>
          <w:lang w:val="pl-PL"/>
        </w:rPr>
        <w:t>, 36 (9%) pacijenata, odnosno 197 (43%) koji su prehodno primali anti-VEGF terapiju, bili su najmanje 3 mjeseca, prije uključivanja u studiju, bez anti-VEGF terapije. Terapijski efekti u podgrupi pacijenata koji su prije studije liječeni VEGF inhibitorima, bili su slični rezultatima pacijenata koji nikada nisu koristili VEGF inhibitore prije studije.</w:t>
      </w:r>
    </w:p>
    <w:p w:rsidR="00C7646D" w:rsidRDefault="00C7646D" w:rsidP="00C7646D">
      <w:pPr>
        <w:spacing w:after="0"/>
        <w:jc w:val="both"/>
        <w:rPr>
          <w:rFonts w:ascii="Times New Roman" w:hAnsi="Times New Roman" w:cs="Times New Roman"/>
          <w:lang w:val="pl-PL"/>
        </w:rPr>
      </w:pP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Pacijenti koji su imali bolest oba oka, mogli su da primaju anti-VEGF terapiju u oba oka ukoliko je ljekar to odredio kao neophodno. U studiji VISTA</w:t>
      </w:r>
      <w:r w:rsidRPr="005C3D97">
        <w:rPr>
          <w:rFonts w:ascii="Times New Roman" w:hAnsi="Times New Roman" w:cs="Times New Roman"/>
          <w:vertAlign w:val="superscript"/>
          <w:lang w:val="pl-PL"/>
        </w:rPr>
        <w:t>DME</w:t>
      </w:r>
      <w:r w:rsidRPr="005C3D97">
        <w:rPr>
          <w:rFonts w:ascii="Times New Roman" w:hAnsi="Times New Roman" w:cs="Times New Roman"/>
          <w:lang w:val="pl-PL"/>
        </w:rPr>
        <w:t>, 198 (65%) pacijenata u Eylea grupi su primali injekciju lijeka Eylea u oba oka; u VIVID</w:t>
      </w:r>
      <w:r w:rsidRPr="005C3D97">
        <w:rPr>
          <w:rFonts w:ascii="Times New Roman" w:hAnsi="Times New Roman" w:cs="Times New Roman"/>
          <w:vertAlign w:val="superscript"/>
          <w:lang w:val="pl-PL"/>
        </w:rPr>
        <w:t>DME</w:t>
      </w:r>
      <w:r w:rsidRPr="005C3D97">
        <w:rPr>
          <w:rFonts w:ascii="Times New Roman" w:hAnsi="Times New Roman" w:cs="Times New Roman"/>
          <w:lang w:val="pl-PL"/>
        </w:rPr>
        <w:t xml:space="preserve"> studiji, 70 (26%) pacijenata u Eylea grupi su primali drugu anti-VEGF terapiju u drugo oko.</w:t>
      </w:r>
    </w:p>
    <w:p w:rsidR="00C7646D" w:rsidRDefault="00C7646D" w:rsidP="00C7646D">
      <w:pPr>
        <w:spacing w:after="0"/>
        <w:jc w:val="both"/>
        <w:rPr>
          <w:rFonts w:ascii="Times New Roman" w:hAnsi="Times New Roman" w:cs="Times New Roman"/>
          <w:u w:val="single"/>
          <w:lang w:val="pl-PL"/>
        </w:rPr>
      </w:pPr>
    </w:p>
    <w:p w:rsidR="005C3D97" w:rsidRPr="005B1C69" w:rsidRDefault="005C3D97" w:rsidP="00C7646D">
      <w:pPr>
        <w:spacing w:after="0"/>
        <w:jc w:val="both"/>
        <w:rPr>
          <w:rFonts w:ascii="Times New Roman" w:hAnsi="Times New Roman" w:cs="Times New Roman"/>
          <w:u w:val="single"/>
          <w:lang w:val="pl-PL"/>
        </w:rPr>
      </w:pPr>
      <w:r w:rsidRPr="005C3D97">
        <w:rPr>
          <w:rFonts w:ascii="Times New Roman" w:hAnsi="Times New Roman" w:cs="Times New Roman"/>
          <w:u w:val="single"/>
          <w:lang w:val="pl-PL"/>
        </w:rPr>
        <w:t>Starija populacija</w:t>
      </w:r>
    </w:p>
    <w:p w:rsidR="005C3D97" w:rsidRPr="005C3D97" w:rsidRDefault="005C3D97" w:rsidP="00C7646D">
      <w:pPr>
        <w:spacing w:after="0"/>
        <w:jc w:val="both"/>
        <w:rPr>
          <w:rFonts w:ascii="Times New Roman" w:hAnsi="Times New Roman" w:cs="Times New Roman"/>
          <w:lang w:val="pl-PL"/>
        </w:rPr>
      </w:pPr>
      <w:r w:rsidRPr="005C3D97">
        <w:rPr>
          <w:rFonts w:ascii="Times New Roman" w:hAnsi="Times New Roman" w:cs="Times New Roman"/>
          <w:lang w:val="pl-PL"/>
        </w:rPr>
        <w:t>U DME studijama faze III, približno 47% (268/576) pacijenata randomizovanih na terapiju lijekom Eylea imalu su 65 i više godina, i približno 9% (52/576) pacijenata je bilo starosti 75 i više godina. Rezultati bezbjednosti i efikasnosti bili su konzistentni sa rezultatima cjelokupne populacije.</w:t>
      </w:r>
    </w:p>
    <w:p w:rsidR="00C7646D" w:rsidRDefault="00C7646D" w:rsidP="00C7646D">
      <w:pPr>
        <w:spacing w:after="0"/>
        <w:jc w:val="both"/>
        <w:rPr>
          <w:rFonts w:ascii="Times New Roman" w:hAnsi="Times New Roman" w:cs="Times New Roman"/>
          <w:bCs/>
          <w:u w:val="single"/>
          <w:lang w:val="sr-Latn-RS"/>
        </w:rPr>
      </w:pPr>
    </w:p>
    <w:p w:rsidR="005C3D97" w:rsidRPr="005C3D97" w:rsidRDefault="005C3D97" w:rsidP="00C7646D">
      <w:pPr>
        <w:spacing w:after="0"/>
        <w:jc w:val="both"/>
        <w:rPr>
          <w:rFonts w:ascii="Times New Roman" w:hAnsi="Times New Roman" w:cs="Times New Roman"/>
          <w:bCs/>
          <w:u w:val="single"/>
          <w:lang w:val="sr-Latn-RS"/>
        </w:rPr>
      </w:pPr>
      <w:r w:rsidRPr="005C3D97">
        <w:rPr>
          <w:rFonts w:ascii="Times New Roman" w:hAnsi="Times New Roman" w:cs="Times New Roman"/>
          <w:bCs/>
          <w:u w:val="single"/>
          <w:lang w:val="sr-Latn-RS"/>
        </w:rPr>
        <w:t>Pedijatrijska populacija</w:t>
      </w:r>
    </w:p>
    <w:p w:rsidR="005C3D97" w:rsidRDefault="005C3D97" w:rsidP="00C7646D">
      <w:pPr>
        <w:spacing w:after="0"/>
        <w:jc w:val="both"/>
        <w:rPr>
          <w:rFonts w:ascii="Times New Roman" w:hAnsi="Times New Roman" w:cs="Times New Roman"/>
          <w:bCs/>
          <w:lang w:val="sr-Latn-RS"/>
        </w:rPr>
      </w:pPr>
      <w:r w:rsidRPr="005C3D97">
        <w:rPr>
          <w:rFonts w:ascii="Times New Roman" w:hAnsi="Times New Roman" w:cs="Times New Roman"/>
          <w:bCs/>
          <w:lang w:val="sr-Latn-RS"/>
        </w:rPr>
        <w:t>Evropska agencija za ljekove je izuzela obavezu podnošenja rezultata studija sa lijekom Eylea za vlažnu AMD, CRVO, BVRO i DME u svim podgrupama pedijatrijske populacije (za informacije o upotrebi u pedijatrijskoj populaciji vidjeti odjeljak 4.2).</w:t>
      </w:r>
    </w:p>
    <w:p w:rsidR="00C7646D" w:rsidRDefault="00C7646D" w:rsidP="00C7646D">
      <w:pPr>
        <w:spacing w:after="0"/>
        <w:jc w:val="both"/>
        <w:rPr>
          <w:rFonts w:ascii="Times New Roman" w:hAnsi="Times New Roman" w:cs="Times New Roman"/>
          <w:b/>
          <w:bCs/>
        </w:rPr>
      </w:pPr>
    </w:p>
    <w:p w:rsidR="005B1C69" w:rsidRDefault="005B1C69" w:rsidP="00C7646D">
      <w:pPr>
        <w:spacing w:after="0"/>
        <w:jc w:val="both"/>
        <w:rPr>
          <w:rFonts w:ascii="Times New Roman" w:hAnsi="Times New Roman" w:cs="Times New Roman"/>
          <w:lang w:val="sr-Latn-RS"/>
        </w:rPr>
      </w:pPr>
      <w:r w:rsidRPr="00C15CAE">
        <w:rPr>
          <w:rFonts w:ascii="Times New Roman" w:hAnsi="Times New Roman" w:cs="Times New Roman"/>
          <w:b/>
          <w:bCs/>
        </w:rPr>
        <w:t>5.2. Farmakokinetički podaci</w:t>
      </w:r>
    </w:p>
    <w:p w:rsidR="00C7646D" w:rsidRDefault="00C7646D" w:rsidP="00C7646D">
      <w:pPr>
        <w:spacing w:after="0"/>
        <w:jc w:val="both"/>
        <w:rPr>
          <w:rFonts w:ascii="Times New Roman" w:hAnsi="Times New Roman" w:cs="Times New Roman"/>
          <w:lang w:val="sr-Latn-CS"/>
        </w:rPr>
      </w:pPr>
    </w:p>
    <w:p w:rsid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Lijek Eylea se primjenjuje direktno u staklasto tijelo da bi ispoljio lokalno dejstvo u oku.</w:t>
      </w:r>
    </w:p>
    <w:p w:rsidR="00684E76" w:rsidRPr="005B1C69" w:rsidRDefault="00684E76" w:rsidP="00C7646D">
      <w:pPr>
        <w:spacing w:after="0"/>
        <w:jc w:val="both"/>
        <w:rPr>
          <w:rFonts w:ascii="Times New Roman" w:hAnsi="Times New Roman" w:cs="Times New Roman"/>
          <w:lang w:val="sr-Latn-CS"/>
        </w:rPr>
      </w:pPr>
    </w:p>
    <w:p w:rsidR="005B1C69" w:rsidRPr="005B1C69" w:rsidRDefault="005B1C69" w:rsidP="00C7646D">
      <w:pPr>
        <w:spacing w:after="0"/>
        <w:jc w:val="both"/>
        <w:rPr>
          <w:rFonts w:ascii="Times New Roman" w:hAnsi="Times New Roman" w:cs="Times New Roman"/>
          <w:u w:val="single"/>
          <w:lang w:val="sr-Latn-CS"/>
        </w:rPr>
      </w:pPr>
      <w:r w:rsidRPr="005B1C69">
        <w:rPr>
          <w:rFonts w:ascii="Times New Roman" w:hAnsi="Times New Roman" w:cs="Times New Roman"/>
          <w:u w:val="single"/>
          <w:lang w:val="sr-Latn-CS"/>
        </w:rPr>
        <w:t>Resorpcija/distribucija</w:t>
      </w:r>
    </w:p>
    <w:p w:rsidR="005B1C69" w:rsidRP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Aflibercept se nakon intravitrealne primjene polako resorbuje iz oka u sistemsku cirkulaciju i u njoj se uglavnom opaža kao stabilan, neaktivan kompleks sa VEGF; međutim samo je „slobodan aflibercept“ sposoban da veže endogeni VEGF.</w:t>
      </w:r>
    </w:p>
    <w:p w:rsidR="005B1C69" w:rsidRP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U farmakokinetičkom podispitivanju kod 6 pacijenata sa neovaskularnom AMD sa čestim uzorkovanjem, maksimalne plazma koncentracije slobodnog aflibercepta (sistemski C</w:t>
      </w:r>
      <w:r w:rsidRPr="005B1C69">
        <w:rPr>
          <w:rFonts w:ascii="Times New Roman" w:hAnsi="Times New Roman" w:cs="Times New Roman"/>
          <w:vertAlign w:val="subscript"/>
          <w:lang w:val="sr-Latn-CS"/>
        </w:rPr>
        <w:t>max</w:t>
      </w:r>
      <w:r w:rsidRPr="005B1C69">
        <w:rPr>
          <w:rFonts w:ascii="Times New Roman" w:hAnsi="Times New Roman" w:cs="Times New Roman"/>
          <w:lang w:val="sr-Latn-CS"/>
        </w:rPr>
        <w:t>) bile su niske, uz srednju vrijednost od približno 0,02 mikrograma/mL (opseg 0 do 0,054) u periodu između prvog i trećeg dana nakon intravitrealne injekcije od 2 mg, i bile su nedetektabilne nakon dvije nedjelje od davanja doze, kod skoro svih pacijenata. Aflibercept se ne akumulira u plazmi kada se primjenjuje intravitrealno na svake 4 nedjelje.</w:t>
      </w:r>
    </w:p>
    <w:p w:rsidR="005B1C69" w:rsidRP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Srednja vrijednost maksimalnih koncentracija slobodnog aflibercepta u plazmi je približno 50 do 500 puta ispod koncentracije aflibercepta potrebne da za 50% inhibira biološku aktivnost sistemskog VEGF u modelima na životinjama, kod kojih su promjene krvnog pritiska bile zapažene nakon što je nivo aflibercepta u cirkulaciji dostizao približno 10 mikrograma/mL, a vraćale su se na početne vrijednosti kada bi nivo pao ispod približno 1 mikrogram/mL. Procjenjuje se da je nakon intravitrealne primjene 2 mg pacijentima, srednja vrijednost maksimalne plazma koncentracije slobodnog aflibercepta niža za više od 100 puta od koncentracije aflibercepta potrebne da upola-maksimalno veže sistemski VEGF (2,91 mikrogram/mL) u ispitivanju na zdravim dobrovoljcima. Stoga su sistemski farmakodinamski efekti, kao što je promjena krvnog pritiska, malo vjerovatni.</w:t>
      </w:r>
    </w:p>
    <w:p w:rsidR="00C7646D"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Farmakokinetička podispitivanja pacijenata sa CRVO, BRVO ili DME, srednja vrijednost C</w:t>
      </w:r>
      <w:r w:rsidRPr="005B1C69">
        <w:rPr>
          <w:rFonts w:ascii="Times New Roman" w:hAnsi="Times New Roman" w:cs="Times New Roman"/>
          <w:vertAlign w:val="subscript"/>
          <w:lang w:val="sr-Latn-CS"/>
        </w:rPr>
        <w:t>max</w:t>
      </w:r>
      <w:r w:rsidRPr="005B1C69">
        <w:rPr>
          <w:rFonts w:ascii="Times New Roman" w:hAnsi="Times New Roman" w:cs="Times New Roman"/>
          <w:lang w:val="sr-Latn-CS"/>
        </w:rPr>
        <w:t xml:space="preserve"> slobodnog aflibercepta bila je slična vrijednostima u rasponu od 0,03 do 0,05 mikrograma/mL i pojedinačne vrijednosti nisu prelazile 0,14 mikrograma/mL. Poslije toga, koncentracije slobodnog </w:t>
      </w:r>
    </w:p>
    <w:p w:rsidR="00C7646D" w:rsidRDefault="00C7646D" w:rsidP="00C7646D">
      <w:pPr>
        <w:spacing w:after="0"/>
        <w:jc w:val="both"/>
        <w:rPr>
          <w:rFonts w:ascii="Times New Roman" w:hAnsi="Times New Roman" w:cs="Times New Roman"/>
          <w:lang w:val="sr-Latn-CS"/>
        </w:rPr>
      </w:pPr>
    </w:p>
    <w:p w:rsidR="005B1C69" w:rsidRPr="005B1C69" w:rsidRDefault="005B1C69" w:rsidP="00C7646D">
      <w:pPr>
        <w:spacing w:after="0"/>
        <w:jc w:val="both"/>
        <w:rPr>
          <w:rFonts w:ascii="Times New Roman" w:hAnsi="Times New Roman" w:cs="Times New Roman"/>
          <w:lang w:val="sr-Latn-RS"/>
        </w:rPr>
      </w:pPr>
      <w:r w:rsidRPr="005B1C69">
        <w:rPr>
          <w:rFonts w:ascii="Times New Roman" w:hAnsi="Times New Roman" w:cs="Times New Roman"/>
          <w:lang w:val="sr-Latn-CS"/>
        </w:rPr>
        <w:t xml:space="preserve">aflibercepta u plazmi padaju do vrijednosti ispod ili blizu donje granice kvantifikacije obično tokom jedne nedjelje; koncentracije niže od granica detekcije su postignute prije sljedeće primjene nakon 4 nedjelje kod svih pacijenata. </w:t>
      </w:r>
    </w:p>
    <w:p w:rsidR="00C7646D" w:rsidRDefault="00C7646D" w:rsidP="00C7646D">
      <w:pPr>
        <w:spacing w:after="0"/>
        <w:jc w:val="both"/>
        <w:rPr>
          <w:rFonts w:ascii="Times New Roman" w:hAnsi="Times New Roman" w:cs="Times New Roman"/>
          <w:u w:val="single"/>
          <w:lang w:val="sr-Latn-CS"/>
        </w:rPr>
      </w:pPr>
    </w:p>
    <w:p w:rsidR="005B1C69" w:rsidRPr="005B1C69" w:rsidRDefault="005B1C69" w:rsidP="00C7646D">
      <w:pPr>
        <w:spacing w:after="0"/>
        <w:jc w:val="both"/>
        <w:rPr>
          <w:rFonts w:ascii="Times New Roman" w:hAnsi="Times New Roman" w:cs="Times New Roman"/>
          <w:u w:val="single"/>
          <w:lang w:val="sr-Latn-CS"/>
        </w:rPr>
      </w:pPr>
      <w:r w:rsidRPr="005B1C69">
        <w:rPr>
          <w:rFonts w:ascii="Times New Roman" w:hAnsi="Times New Roman" w:cs="Times New Roman"/>
          <w:u w:val="single"/>
          <w:lang w:val="sr-Latn-CS"/>
        </w:rPr>
        <w:t xml:space="preserve">Eliminacija                                                                                                                                                                                                                                                                                                                                                                                                                                                                                                                                                                                                                                                                                                                                                                                                                                                                                                                                                                                                                                                                                                                                                                                                               </w:t>
      </w:r>
    </w:p>
    <w:p w:rsidR="005B1C69" w:rsidRP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Kako je lijek Eylea u osnovi protein, ispitivanja metabolizma nisu sprovođena.</w:t>
      </w:r>
    </w:p>
    <w:p w:rsidR="005B1C69" w:rsidRP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Slobodni aflibercept vezuje VEGF formirajući stabilan, neaktivan kompleks. Kao i kod drugih velikih proteina, za oba, i slobodni i vezani aflibercept, pretpostavlja se da se eliminišu proteolitičkim katabolizmom.</w:t>
      </w:r>
    </w:p>
    <w:p w:rsidR="00C7646D" w:rsidRDefault="00C7646D" w:rsidP="00C7646D">
      <w:pPr>
        <w:spacing w:after="0"/>
        <w:jc w:val="both"/>
        <w:rPr>
          <w:rFonts w:ascii="Times New Roman" w:hAnsi="Times New Roman" w:cs="Times New Roman"/>
          <w:u w:val="single"/>
          <w:lang w:val="sr-Latn-CS"/>
        </w:rPr>
      </w:pPr>
    </w:p>
    <w:p w:rsidR="005B1C69" w:rsidRPr="005B1C69" w:rsidRDefault="005B1C69" w:rsidP="00C7646D">
      <w:pPr>
        <w:spacing w:after="0"/>
        <w:jc w:val="both"/>
        <w:rPr>
          <w:rFonts w:ascii="Times New Roman" w:hAnsi="Times New Roman" w:cs="Times New Roman"/>
          <w:u w:val="single"/>
          <w:lang w:val="sr-Latn-CS"/>
        </w:rPr>
      </w:pPr>
      <w:r w:rsidRPr="005B1C69">
        <w:rPr>
          <w:rFonts w:ascii="Times New Roman" w:hAnsi="Times New Roman" w:cs="Times New Roman"/>
          <w:u w:val="single"/>
          <w:lang w:val="sr-Latn-CS"/>
        </w:rPr>
        <w:t>Oštećenje funkcije bubrega</w:t>
      </w:r>
    </w:p>
    <w:p w:rsidR="005B1C69" w:rsidRPr="005B1C69"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Nisu sprovođena posebna ispitivanja sa lijekom Eylea kod pacijenata sa oštećenom funkcijom bubrega.</w:t>
      </w:r>
    </w:p>
    <w:p w:rsidR="000C36A2" w:rsidRDefault="005B1C69" w:rsidP="00C7646D">
      <w:pPr>
        <w:spacing w:after="0"/>
        <w:jc w:val="both"/>
        <w:rPr>
          <w:rFonts w:ascii="Times New Roman" w:hAnsi="Times New Roman" w:cs="Times New Roman"/>
          <w:lang w:val="sr-Latn-CS"/>
        </w:rPr>
      </w:pPr>
      <w:r w:rsidRPr="005B1C69">
        <w:rPr>
          <w:rFonts w:ascii="Times New Roman" w:hAnsi="Times New Roman" w:cs="Times New Roman"/>
          <w:lang w:val="sr-Latn-CS"/>
        </w:rPr>
        <w:t>Farmakokinetička analiza kod pacijenata u VIEW 2 ispitivanju, od kojih je 40% imalo oštećenje funkcije bubrega (24% blago, 15% umjereno i 1% ozbiljno) nije otkrila razlike u donosu na koncentracije aktivnog lijeka u plazmi nakon intravitrealne primjene na svakih 4 ili 8 nedjelja.</w:t>
      </w:r>
    </w:p>
    <w:p w:rsidR="00386627" w:rsidRDefault="005B1C69" w:rsidP="00C7646D">
      <w:pPr>
        <w:spacing w:after="0"/>
        <w:jc w:val="both"/>
        <w:rPr>
          <w:rFonts w:ascii="Times New Roman" w:hAnsi="Times New Roman" w:cs="Times New Roman"/>
          <w:lang w:val="sr-Latn-RS"/>
        </w:rPr>
      </w:pPr>
      <w:r w:rsidRPr="005B1C69">
        <w:rPr>
          <w:rFonts w:ascii="Times New Roman" w:hAnsi="Times New Roman" w:cs="Times New Roman"/>
          <w:lang w:val="sr-Latn-CS"/>
        </w:rPr>
        <w:t xml:space="preserve">Slični su rezultati bili zapaženi kod pacijenata sa CRVO u ispitivanju GALILEO </w:t>
      </w:r>
      <w:r w:rsidRPr="005B1C69">
        <w:rPr>
          <w:rFonts w:ascii="Times New Roman" w:hAnsi="Times New Roman" w:cs="Times New Roman"/>
          <w:lang w:val="sr-Latn-RS"/>
        </w:rPr>
        <w:t>i kod pacijenata sa DME u VIVID</w:t>
      </w:r>
      <w:r w:rsidRPr="005B1C69">
        <w:rPr>
          <w:rFonts w:ascii="Times New Roman" w:hAnsi="Times New Roman" w:cs="Times New Roman"/>
          <w:vertAlign w:val="superscript"/>
          <w:lang w:val="sr-Latn-RS"/>
        </w:rPr>
        <w:t>DME</w:t>
      </w:r>
      <w:r w:rsidRPr="005B1C69">
        <w:rPr>
          <w:rFonts w:ascii="Times New Roman" w:hAnsi="Times New Roman" w:cs="Times New Roman"/>
          <w:lang w:val="sr-Latn-RS"/>
        </w:rPr>
        <w:t xml:space="preserve"> studiji.</w:t>
      </w:r>
    </w:p>
    <w:p w:rsidR="000C36A2" w:rsidRDefault="000C36A2" w:rsidP="00C7646D">
      <w:pPr>
        <w:spacing w:after="0"/>
        <w:jc w:val="both"/>
        <w:rPr>
          <w:rFonts w:ascii="Times New Roman" w:hAnsi="Times New Roman" w:cs="Times New Roman"/>
          <w:lang w:val="sr-Latn-RS"/>
        </w:rPr>
      </w:pPr>
    </w:p>
    <w:p w:rsidR="000C36A2" w:rsidRDefault="00BC501A" w:rsidP="00C7646D">
      <w:pPr>
        <w:spacing w:after="0"/>
        <w:jc w:val="both"/>
        <w:rPr>
          <w:rFonts w:ascii="Times New Roman" w:hAnsi="Times New Roman" w:cs="Times New Roman"/>
          <w:b/>
          <w:bCs/>
          <w:lang w:val="ru-RU"/>
        </w:rPr>
      </w:pPr>
      <w:r w:rsidRPr="00C15CAE">
        <w:rPr>
          <w:rFonts w:ascii="Times New Roman" w:hAnsi="Times New Roman" w:cs="Times New Roman"/>
          <w:b/>
          <w:bCs/>
          <w:lang w:val="ru-RU"/>
        </w:rPr>
        <w:t>5.3. Pretklinički podaci o bezb</w:t>
      </w:r>
      <w:r>
        <w:rPr>
          <w:rFonts w:ascii="Times New Roman" w:hAnsi="Times New Roman" w:cs="Times New Roman"/>
          <w:b/>
          <w:bCs/>
        </w:rPr>
        <w:t>j</w:t>
      </w:r>
      <w:r w:rsidRPr="00C15CAE">
        <w:rPr>
          <w:rFonts w:ascii="Times New Roman" w:hAnsi="Times New Roman" w:cs="Times New Roman"/>
          <w:b/>
          <w:bCs/>
          <w:lang w:val="ru-RU"/>
        </w:rPr>
        <w:t>ednosti</w:t>
      </w:r>
    </w:p>
    <w:p w:rsidR="00A34DAF" w:rsidRDefault="00A34DAF" w:rsidP="00C7646D">
      <w:pPr>
        <w:spacing w:after="0"/>
        <w:jc w:val="both"/>
        <w:rPr>
          <w:rFonts w:ascii="Times New Roman" w:hAnsi="Times New Roman" w:cs="Times New Roman"/>
          <w:b/>
          <w:bCs/>
          <w:lang w:val="ru-RU"/>
        </w:rPr>
      </w:pPr>
    </w:p>
    <w:p w:rsidR="00A34DAF" w:rsidRPr="00C15CAE" w:rsidRDefault="00A34DAF" w:rsidP="00C7646D">
      <w:pPr>
        <w:spacing w:after="0"/>
        <w:jc w:val="both"/>
        <w:rPr>
          <w:rFonts w:ascii="Times New Roman" w:hAnsi="Times New Roman" w:cs="Times New Roman"/>
        </w:rPr>
      </w:pPr>
      <w:r w:rsidRPr="00C15CAE">
        <w:rPr>
          <w:rFonts w:ascii="Times New Roman" w:hAnsi="Times New Roman" w:cs="Times New Roman"/>
        </w:rPr>
        <w:t xml:space="preserve">U pretkliničkim ispitivanjima, uticaji ponovljenih doza na toksičnost, koji su bili uočeni samo pri </w:t>
      </w:r>
      <w:r w:rsidRPr="00C7646D">
        <w:rPr>
          <w:rFonts w:ascii="Times New Roman" w:hAnsi="Times New Roman" w:cs="Times New Roman"/>
          <w:lang w:val="sr-Latn-CS"/>
        </w:rPr>
        <w:t>sistemskoj</w:t>
      </w:r>
      <w:r w:rsidRPr="00C15CAE">
        <w:rPr>
          <w:rFonts w:ascii="Times New Roman" w:hAnsi="Times New Roman" w:cs="Times New Roman"/>
        </w:rPr>
        <w:t xml:space="preserve"> izloženosti, imaju mali značaj za kliničku upotrebu jer se smatra da značajno premašuju maksimalnu izloženost nakon intravitrealne prim</w:t>
      </w:r>
      <w:r>
        <w:rPr>
          <w:rFonts w:ascii="Times New Roman" w:hAnsi="Times New Roman" w:cs="Times New Roman"/>
        </w:rPr>
        <w:t>j</w:t>
      </w:r>
      <w:r w:rsidRPr="00C15CAE">
        <w:rPr>
          <w:rFonts w:ascii="Times New Roman" w:hAnsi="Times New Roman" w:cs="Times New Roman"/>
        </w:rPr>
        <w:t>ene predviđene kliničke doze kod ljudi.</w:t>
      </w:r>
    </w:p>
    <w:p w:rsidR="00A34DAF" w:rsidRDefault="00A34DAF" w:rsidP="00C7646D">
      <w:pPr>
        <w:spacing w:after="0"/>
        <w:jc w:val="both"/>
        <w:rPr>
          <w:rFonts w:ascii="Times New Roman" w:hAnsi="Times New Roman" w:cs="Times New Roman"/>
          <w:b/>
          <w:bCs/>
          <w:lang w:val="ru-RU"/>
        </w:rPr>
      </w:pPr>
    </w:p>
    <w:p w:rsidR="00A34DAF" w:rsidRPr="00C15CAE" w:rsidRDefault="00A34DAF" w:rsidP="00C7646D">
      <w:pPr>
        <w:spacing w:after="0"/>
        <w:jc w:val="both"/>
        <w:rPr>
          <w:rFonts w:ascii="Times New Roman" w:hAnsi="Times New Roman" w:cs="Times New Roman"/>
        </w:rPr>
      </w:pPr>
      <w:r w:rsidRPr="00C15CAE">
        <w:rPr>
          <w:rFonts w:ascii="Times New Roman" w:hAnsi="Times New Roman" w:cs="Times New Roman"/>
        </w:rPr>
        <w:t xml:space="preserve">Erozije i ulceracije respiratornog epitela nozdrva kod majmuna tretiranih afliberceptom intravitrealno bile su </w:t>
      </w:r>
      <w:r w:rsidRPr="00C7646D">
        <w:rPr>
          <w:rFonts w:ascii="Times New Roman" w:hAnsi="Times New Roman" w:cs="Times New Roman"/>
          <w:lang w:val="sr-Latn-CS"/>
        </w:rPr>
        <w:t>uočene</w:t>
      </w:r>
      <w:r w:rsidRPr="00C15CAE">
        <w:rPr>
          <w:rFonts w:ascii="Times New Roman" w:hAnsi="Times New Roman" w:cs="Times New Roman"/>
        </w:rPr>
        <w:t xml:space="preserve"> kod sistemske izloženosti koja premašuje maksimalnu izloženost kod ljudi. Sistemska izloženost za slobodni aflibercept je bila približno 200 puta viša na osnovu C</w:t>
      </w:r>
      <w:r w:rsidRPr="00C15CAE">
        <w:rPr>
          <w:rFonts w:ascii="Times New Roman" w:hAnsi="Times New Roman" w:cs="Times New Roman"/>
          <w:vertAlign w:val="subscript"/>
        </w:rPr>
        <w:t>max</w:t>
      </w:r>
      <w:r w:rsidRPr="00C15CAE">
        <w:rPr>
          <w:rFonts w:ascii="Times New Roman" w:hAnsi="Times New Roman" w:cs="Times New Roman"/>
        </w:rPr>
        <w:t xml:space="preserve"> i 700 puta viša na osnovu PIK-a, kada se uporedi sa odgovarajućim </w:t>
      </w:r>
      <w:r>
        <w:rPr>
          <w:rFonts w:ascii="Times New Roman" w:hAnsi="Times New Roman" w:cs="Times New Roman"/>
        </w:rPr>
        <w:t>vrijednost</w:t>
      </w:r>
      <w:r w:rsidRPr="00C15CAE">
        <w:rPr>
          <w:rFonts w:ascii="Times New Roman" w:hAnsi="Times New Roman" w:cs="Times New Roman"/>
        </w:rPr>
        <w:t>ima uočenim kod ljudi nakon intravitrealne doze od 2 mg. Na nivou na kome se ne uočavaju neželjeni efekti (NOAEL) od 0,5mg/oku kod majmuna, sistemska izloženost je bila 42 puta viša na osnovu C</w:t>
      </w:r>
      <w:r w:rsidRPr="00C15CAE">
        <w:rPr>
          <w:rFonts w:ascii="Times New Roman" w:hAnsi="Times New Roman" w:cs="Times New Roman"/>
          <w:vertAlign w:val="subscript"/>
        </w:rPr>
        <w:t>max</w:t>
      </w:r>
      <w:r w:rsidRPr="00C15CAE">
        <w:rPr>
          <w:rFonts w:ascii="Times New Roman" w:hAnsi="Times New Roman" w:cs="Times New Roman"/>
        </w:rPr>
        <w:t xml:space="preserve"> i 56 puta viša na osnovu PIK-a.</w:t>
      </w:r>
    </w:p>
    <w:p w:rsidR="00A34DAF" w:rsidRPr="00C15CAE" w:rsidRDefault="00A34DAF" w:rsidP="00C7646D">
      <w:pPr>
        <w:tabs>
          <w:tab w:val="left" w:pos="284"/>
          <w:tab w:val="center" w:pos="4536"/>
          <w:tab w:val="right" w:pos="9072"/>
        </w:tabs>
        <w:spacing w:after="0" w:line="240" w:lineRule="auto"/>
        <w:jc w:val="both"/>
        <w:rPr>
          <w:rFonts w:ascii="Times New Roman" w:hAnsi="Times New Roman" w:cs="Times New Roman"/>
        </w:rPr>
      </w:pPr>
    </w:p>
    <w:p w:rsidR="00A34DAF" w:rsidRDefault="00A34DAF"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Ispitivanja o mutagenom i karcinogenom potencijalu aflibercepta nisu sprovedena.</w:t>
      </w:r>
    </w:p>
    <w:p w:rsidR="00427E16" w:rsidRPr="00C15CAE" w:rsidRDefault="00427E16" w:rsidP="00C7646D">
      <w:pPr>
        <w:tabs>
          <w:tab w:val="left" w:pos="284"/>
          <w:tab w:val="center" w:pos="4536"/>
          <w:tab w:val="right" w:pos="9072"/>
        </w:tabs>
        <w:spacing w:after="0" w:line="240" w:lineRule="auto"/>
        <w:jc w:val="both"/>
        <w:rPr>
          <w:rFonts w:ascii="Times New Roman" w:hAnsi="Times New Roman" w:cs="Times New Roman"/>
        </w:rPr>
      </w:pPr>
    </w:p>
    <w:p w:rsidR="00A34DAF" w:rsidRPr="00C15CAE" w:rsidRDefault="00A34DAF" w:rsidP="00C7646D">
      <w:pPr>
        <w:spacing w:after="0"/>
        <w:jc w:val="both"/>
        <w:rPr>
          <w:rFonts w:ascii="Times New Roman" w:hAnsi="Times New Roman" w:cs="Times New Roman"/>
        </w:rPr>
      </w:pPr>
      <w:r w:rsidRPr="00C15CAE">
        <w:rPr>
          <w:rFonts w:ascii="Times New Roman" w:hAnsi="Times New Roman" w:cs="Times New Roman"/>
        </w:rPr>
        <w:t>Uticaj aflibercepta na intrauterini razvoj pokazan je u ispitivanjima uticaja na embriofetalni razvoj kod skotnih ženki kunića kod intravenske (3 do 60 mg/kg) kao i supkutane (0,1 do 1 mg/kg) prim</w:t>
      </w:r>
      <w:r>
        <w:rPr>
          <w:rFonts w:ascii="Times New Roman" w:hAnsi="Times New Roman" w:cs="Times New Roman"/>
        </w:rPr>
        <w:t>j</w:t>
      </w:r>
      <w:r w:rsidRPr="00C15CAE">
        <w:rPr>
          <w:rFonts w:ascii="Times New Roman" w:hAnsi="Times New Roman" w:cs="Times New Roman"/>
        </w:rPr>
        <w:t>ene. NOAEL za skotne ženke bila je doza od 3 mg/kg odnosno 1 mg/kg. Razvojni NOAEL nije bio utvrđen. Pri dozi od 0,1 mg/kg, sistemska izloženost na osnovu C</w:t>
      </w:r>
      <w:r w:rsidRPr="00C15CAE">
        <w:rPr>
          <w:rFonts w:ascii="Times New Roman" w:hAnsi="Times New Roman" w:cs="Times New Roman"/>
          <w:position w:val="-8"/>
          <w:vertAlign w:val="subscript"/>
        </w:rPr>
        <w:t xml:space="preserve">max </w:t>
      </w:r>
      <w:r w:rsidRPr="00C15CAE">
        <w:rPr>
          <w:rFonts w:ascii="Times New Roman" w:hAnsi="Times New Roman" w:cs="Times New Roman"/>
        </w:rPr>
        <w:t xml:space="preserve">slobodnog aflibercepta bila je 17 puta, a kumulativnog PIK-a slobodnog aflibercepta 10 puta veća kad se uporedi sa tim </w:t>
      </w:r>
      <w:r>
        <w:rPr>
          <w:rFonts w:ascii="Times New Roman" w:hAnsi="Times New Roman" w:cs="Times New Roman"/>
        </w:rPr>
        <w:t>vrijednost</w:t>
      </w:r>
      <w:r w:rsidRPr="00C15CAE">
        <w:rPr>
          <w:rFonts w:ascii="Times New Roman" w:hAnsi="Times New Roman" w:cs="Times New Roman"/>
        </w:rPr>
        <w:t xml:space="preserve">ima uočene kod ljudi nakon intravitrealne doze od 2 mg. </w:t>
      </w:r>
    </w:p>
    <w:p w:rsidR="00427E16" w:rsidRDefault="00427E16" w:rsidP="00C7646D">
      <w:pPr>
        <w:spacing w:after="0"/>
        <w:rPr>
          <w:rFonts w:ascii="Times New Roman" w:hAnsi="Times New Roman" w:cs="Times New Roman"/>
        </w:rPr>
      </w:pPr>
    </w:p>
    <w:p w:rsidR="00C7646D" w:rsidRDefault="00C7646D" w:rsidP="00C7646D">
      <w:pPr>
        <w:spacing w:after="0"/>
        <w:jc w:val="both"/>
        <w:rPr>
          <w:rFonts w:ascii="Times New Roman" w:hAnsi="Times New Roman" w:cs="Times New Roman"/>
        </w:rPr>
      </w:pPr>
    </w:p>
    <w:p w:rsidR="00A34DAF" w:rsidRDefault="00427E16" w:rsidP="00C7646D">
      <w:pPr>
        <w:spacing w:after="0"/>
        <w:jc w:val="both"/>
        <w:rPr>
          <w:rFonts w:ascii="Times New Roman" w:hAnsi="Times New Roman" w:cs="Times New Roman"/>
        </w:rPr>
      </w:pPr>
      <w:r w:rsidRPr="00C15CAE">
        <w:rPr>
          <w:rFonts w:ascii="Times New Roman" w:hAnsi="Times New Roman" w:cs="Times New Roman"/>
        </w:rPr>
        <w:lastRenderedPageBreak/>
        <w:t>Uticaj na mušku i žensku fertilnost je bio proc</w:t>
      </w:r>
      <w:r>
        <w:rPr>
          <w:rFonts w:ascii="Times New Roman" w:hAnsi="Times New Roman" w:cs="Times New Roman"/>
        </w:rPr>
        <w:t>ij</w:t>
      </w:r>
      <w:r w:rsidRPr="00C15CAE">
        <w:rPr>
          <w:rFonts w:ascii="Times New Roman" w:hAnsi="Times New Roman" w:cs="Times New Roman"/>
        </w:rPr>
        <w:t>enjen na osnovu šestom</w:t>
      </w:r>
      <w:r>
        <w:rPr>
          <w:rFonts w:ascii="Times New Roman" w:hAnsi="Times New Roman" w:cs="Times New Roman"/>
        </w:rPr>
        <w:t>j</w:t>
      </w:r>
      <w:r w:rsidRPr="00C15CAE">
        <w:rPr>
          <w:rFonts w:ascii="Times New Roman" w:hAnsi="Times New Roman" w:cs="Times New Roman"/>
        </w:rPr>
        <w:t>esečnog ispitivanja na majmunima, intravitrealnom prim</w:t>
      </w:r>
      <w:r>
        <w:rPr>
          <w:rFonts w:ascii="Times New Roman" w:hAnsi="Times New Roman" w:cs="Times New Roman"/>
        </w:rPr>
        <w:t>j</w:t>
      </w:r>
      <w:r w:rsidRPr="00C15CAE">
        <w:rPr>
          <w:rFonts w:ascii="Times New Roman" w:hAnsi="Times New Roman" w:cs="Times New Roman"/>
        </w:rPr>
        <w:t>enom aflibercepta u dozama od 3 do 30 mg/kg. Odsustvo ili iregularni m</w:t>
      </w:r>
      <w:r>
        <w:rPr>
          <w:rFonts w:ascii="Times New Roman" w:hAnsi="Times New Roman" w:cs="Times New Roman"/>
        </w:rPr>
        <w:t>j</w:t>
      </w:r>
      <w:r w:rsidRPr="00C15CAE">
        <w:rPr>
          <w:rFonts w:ascii="Times New Roman" w:hAnsi="Times New Roman" w:cs="Times New Roman"/>
        </w:rPr>
        <w:t>esečni ciklusi bili su udruženi sa izm</w:t>
      </w:r>
      <w:r>
        <w:rPr>
          <w:rFonts w:ascii="Times New Roman" w:hAnsi="Times New Roman" w:cs="Times New Roman"/>
        </w:rPr>
        <w:t>j</w:t>
      </w:r>
      <w:r w:rsidRPr="00C15CAE">
        <w:rPr>
          <w:rFonts w:ascii="Times New Roman" w:hAnsi="Times New Roman" w:cs="Times New Roman"/>
        </w:rPr>
        <w:t>enama nivoa ženskih polnih hormona, kao i prom</w:t>
      </w:r>
      <w:r>
        <w:rPr>
          <w:rFonts w:ascii="Times New Roman" w:hAnsi="Times New Roman" w:cs="Times New Roman"/>
        </w:rPr>
        <w:t>j</w:t>
      </w:r>
      <w:r w:rsidRPr="00C15CAE">
        <w:rPr>
          <w:rFonts w:ascii="Times New Roman" w:hAnsi="Times New Roman" w:cs="Times New Roman"/>
        </w:rPr>
        <w:t>enama u morfologiji i motilitetu sperme, što je bilo uočeno kod svih nivoa doze. Na osnovu C</w:t>
      </w:r>
      <w:r w:rsidRPr="00C15CAE">
        <w:rPr>
          <w:rFonts w:ascii="Times New Roman" w:hAnsi="Times New Roman" w:cs="Times New Roman"/>
          <w:vertAlign w:val="subscript"/>
        </w:rPr>
        <w:t>max</w:t>
      </w:r>
      <w:r w:rsidRPr="00C15CAE">
        <w:rPr>
          <w:rFonts w:ascii="Times New Roman" w:hAnsi="Times New Roman" w:cs="Times New Roman"/>
        </w:rPr>
        <w:t xml:space="preserve"> i PIK-a za slobodni aflibercept i intravensku dozu od 3 mg/kg uočena je sistemska izloženost približno 4900-puta odnosno 1500-puta viša od izloženosti uočene kod ljudi nakon intravitrealne doze od 2 mg. Sve prom</w:t>
      </w:r>
      <w:r>
        <w:rPr>
          <w:rFonts w:ascii="Times New Roman" w:hAnsi="Times New Roman" w:cs="Times New Roman"/>
        </w:rPr>
        <w:t>j</w:t>
      </w:r>
      <w:r w:rsidRPr="00C15CAE">
        <w:rPr>
          <w:rFonts w:ascii="Times New Roman" w:hAnsi="Times New Roman" w:cs="Times New Roman"/>
        </w:rPr>
        <w:t>ene su bile reverzibilne.</w:t>
      </w:r>
    </w:p>
    <w:p w:rsidR="004E7D08" w:rsidRDefault="004E7D08" w:rsidP="00C7646D">
      <w:pPr>
        <w:spacing w:after="0"/>
        <w:rPr>
          <w:rFonts w:ascii="Times New Roman" w:hAnsi="Times New Roman" w:cs="Times New Roman"/>
          <w:b/>
        </w:rPr>
      </w:pPr>
    </w:p>
    <w:p w:rsidR="00C7646D" w:rsidRPr="004E7D08" w:rsidRDefault="00C7646D" w:rsidP="00C7646D">
      <w:pPr>
        <w:spacing w:after="0"/>
        <w:rPr>
          <w:rFonts w:ascii="Times New Roman" w:hAnsi="Times New Roman" w:cs="Times New Roman"/>
          <w:b/>
        </w:rPr>
      </w:pPr>
    </w:p>
    <w:p w:rsidR="004E7D08" w:rsidRDefault="004E7D08" w:rsidP="00C7646D">
      <w:pPr>
        <w:spacing w:after="0"/>
        <w:rPr>
          <w:rFonts w:ascii="Times New Roman" w:hAnsi="Times New Roman" w:cs="Times New Roman"/>
          <w:b/>
          <w:lang w:val="sr-Latn-CS"/>
        </w:rPr>
      </w:pPr>
      <w:r w:rsidRPr="004E7D08">
        <w:rPr>
          <w:rFonts w:ascii="Times New Roman" w:hAnsi="Times New Roman" w:cs="Times New Roman"/>
          <w:b/>
          <w:lang w:val="sr-Latn-CS"/>
        </w:rPr>
        <w:t>6. FARMACEUTSKI PODACI</w:t>
      </w:r>
    </w:p>
    <w:p w:rsidR="004E7D08" w:rsidRDefault="004E7D08" w:rsidP="00C7646D">
      <w:pPr>
        <w:spacing w:after="0"/>
        <w:rPr>
          <w:rFonts w:ascii="Times New Roman" w:hAnsi="Times New Roman" w:cs="Times New Roman"/>
          <w:b/>
          <w:lang w:val="sr-Latn-CS"/>
        </w:rPr>
      </w:pPr>
    </w:p>
    <w:p w:rsidR="004E7D08" w:rsidRDefault="004E7D08" w:rsidP="00C7646D">
      <w:pPr>
        <w:spacing w:after="0"/>
        <w:rPr>
          <w:rFonts w:ascii="Times New Roman" w:hAnsi="Times New Roman" w:cs="Times New Roman"/>
          <w:b/>
          <w:lang w:val="sr-Latn-CS"/>
        </w:rPr>
      </w:pPr>
      <w:r w:rsidRPr="004E7D08">
        <w:rPr>
          <w:rFonts w:ascii="Times New Roman" w:hAnsi="Times New Roman" w:cs="Times New Roman"/>
          <w:b/>
          <w:bCs/>
          <w:lang w:val="sr-Latn-CS"/>
        </w:rPr>
        <w:t>6.1. Lista pomoćnih supstanci</w:t>
      </w:r>
    </w:p>
    <w:p w:rsidR="00C7646D" w:rsidRDefault="00C7646D" w:rsidP="00C7646D">
      <w:pPr>
        <w:spacing w:after="0"/>
        <w:rPr>
          <w:rFonts w:ascii="Times New Roman" w:hAnsi="Times New Roman" w:cs="Times New Roman"/>
          <w:lang w:val="sr-Latn-CS"/>
        </w:rPr>
      </w:pPr>
    </w:p>
    <w:p w:rsidR="004E7D08" w:rsidRPr="004E7D08" w:rsidRDefault="004E7D08" w:rsidP="00C7646D">
      <w:pPr>
        <w:spacing w:after="0"/>
        <w:rPr>
          <w:rFonts w:ascii="Times New Roman" w:hAnsi="Times New Roman" w:cs="Times New Roman"/>
          <w:lang w:val="sr-Latn-CS"/>
        </w:rPr>
      </w:pPr>
      <w:r w:rsidRPr="004E7D08">
        <w:rPr>
          <w:rFonts w:ascii="Times New Roman" w:hAnsi="Times New Roman" w:cs="Times New Roman"/>
          <w:lang w:val="sr-Latn-CS"/>
        </w:rPr>
        <w:t>Polisorbat 20,</w:t>
      </w:r>
    </w:p>
    <w:p w:rsidR="004E7D08" w:rsidRPr="004E7D08" w:rsidRDefault="004E7D08" w:rsidP="00C7646D">
      <w:pPr>
        <w:spacing w:after="0"/>
        <w:rPr>
          <w:rFonts w:ascii="Times New Roman" w:hAnsi="Times New Roman" w:cs="Times New Roman"/>
          <w:lang w:val="sr-Latn-CS"/>
        </w:rPr>
      </w:pPr>
      <w:r w:rsidRPr="004E7D08">
        <w:rPr>
          <w:rFonts w:ascii="Times New Roman" w:hAnsi="Times New Roman" w:cs="Times New Roman"/>
          <w:lang w:val="sr-Latn-CS"/>
        </w:rPr>
        <w:t>natrijum dihidrogenfosfat, monohidrat (za pH korekciju),</w:t>
      </w:r>
    </w:p>
    <w:p w:rsidR="004E7D08" w:rsidRPr="004E7D08" w:rsidRDefault="004E7D08" w:rsidP="00C7646D">
      <w:pPr>
        <w:spacing w:after="0"/>
        <w:rPr>
          <w:rFonts w:ascii="Times New Roman" w:hAnsi="Times New Roman" w:cs="Times New Roman"/>
          <w:lang w:val="sr-Latn-CS"/>
        </w:rPr>
      </w:pPr>
      <w:r w:rsidRPr="004E7D08">
        <w:rPr>
          <w:rFonts w:ascii="Times New Roman" w:hAnsi="Times New Roman" w:cs="Times New Roman"/>
          <w:lang w:val="sr-Latn-CS"/>
        </w:rPr>
        <w:t>dinatrijum hidrogenfosfat, heptahidrat (za pH korekciju),</w:t>
      </w:r>
    </w:p>
    <w:p w:rsidR="004E7D08" w:rsidRPr="004E7D08" w:rsidRDefault="004E7D08" w:rsidP="00C7646D">
      <w:pPr>
        <w:spacing w:after="0"/>
        <w:rPr>
          <w:rFonts w:ascii="Times New Roman" w:hAnsi="Times New Roman" w:cs="Times New Roman"/>
          <w:lang w:val="sr-Latn-CS"/>
        </w:rPr>
      </w:pPr>
      <w:r w:rsidRPr="004E7D08">
        <w:rPr>
          <w:rFonts w:ascii="Times New Roman" w:hAnsi="Times New Roman" w:cs="Times New Roman"/>
          <w:lang w:val="sr-Latn-CS"/>
        </w:rPr>
        <w:t>natrijum hlorid,</w:t>
      </w:r>
    </w:p>
    <w:p w:rsidR="004E7D08" w:rsidRPr="004E7D08" w:rsidRDefault="004E7D08" w:rsidP="00C7646D">
      <w:pPr>
        <w:spacing w:after="0"/>
        <w:rPr>
          <w:rFonts w:ascii="Times New Roman" w:hAnsi="Times New Roman" w:cs="Times New Roman"/>
          <w:lang w:val="sr-Latn-CS"/>
        </w:rPr>
      </w:pPr>
      <w:r w:rsidRPr="004E7D08">
        <w:rPr>
          <w:rFonts w:ascii="Times New Roman" w:hAnsi="Times New Roman" w:cs="Times New Roman"/>
          <w:lang w:val="sr-Latn-CS"/>
        </w:rPr>
        <w:t>saharoza,</w:t>
      </w:r>
    </w:p>
    <w:p w:rsidR="004E7D08" w:rsidRDefault="004E7D08" w:rsidP="00C7646D">
      <w:pPr>
        <w:spacing w:after="0"/>
        <w:rPr>
          <w:rFonts w:ascii="Times New Roman" w:hAnsi="Times New Roman" w:cs="Times New Roman"/>
          <w:lang w:val="sr-Latn-CS"/>
        </w:rPr>
      </w:pPr>
      <w:r w:rsidRPr="004E7D08">
        <w:rPr>
          <w:rFonts w:ascii="Times New Roman" w:hAnsi="Times New Roman" w:cs="Times New Roman"/>
          <w:lang w:val="sr-Latn-CS"/>
        </w:rPr>
        <w:t>voda za injekcije.</w:t>
      </w:r>
    </w:p>
    <w:p w:rsidR="004E7D08" w:rsidRDefault="004E7D08" w:rsidP="00C7646D">
      <w:pPr>
        <w:spacing w:after="0"/>
        <w:rPr>
          <w:rFonts w:ascii="Times New Roman" w:hAnsi="Times New Roman" w:cs="Times New Roman"/>
          <w:lang w:val="sr-Latn-CS"/>
        </w:rPr>
      </w:pPr>
    </w:p>
    <w:p w:rsidR="006175F0" w:rsidRDefault="004E7D08" w:rsidP="00C7646D">
      <w:pPr>
        <w:spacing w:after="0"/>
        <w:rPr>
          <w:rFonts w:ascii="Times New Roman" w:hAnsi="Times New Roman" w:cs="Times New Roman"/>
          <w:b/>
          <w:bCs/>
          <w:lang w:val="sr-Latn-CS"/>
        </w:rPr>
      </w:pPr>
      <w:r w:rsidRPr="004E7D08">
        <w:rPr>
          <w:rFonts w:ascii="Times New Roman" w:hAnsi="Times New Roman" w:cs="Times New Roman"/>
          <w:b/>
          <w:bCs/>
          <w:lang w:val="sr-Latn-CS"/>
        </w:rPr>
        <w:t>6.2. Inkompatibilnosti</w:t>
      </w:r>
    </w:p>
    <w:p w:rsidR="00C7646D" w:rsidRDefault="00C7646D" w:rsidP="00C7646D">
      <w:pPr>
        <w:spacing w:after="0"/>
        <w:rPr>
          <w:rFonts w:ascii="Times New Roman" w:hAnsi="Times New Roman" w:cs="Times New Roman"/>
          <w:bCs/>
          <w:lang w:val="sr-Latn-CS"/>
        </w:rPr>
      </w:pPr>
    </w:p>
    <w:p w:rsidR="004E7D08" w:rsidRDefault="004E7D08" w:rsidP="00C7646D">
      <w:pPr>
        <w:spacing w:after="0"/>
        <w:rPr>
          <w:rFonts w:ascii="Times New Roman" w:hAnsi="Times New Roman" w:cs="Times New Roman"/>
          <w:bCs/>
          <w:lang w:val="sr-Latn-CS"/>
        </w:rPr>
      </w:pPr>
      <w:r w:rsidRPr="004E7D08">
        <w:rPr>
          <w:rFonts w:ascii="Times New Roman" w:hAnsi="Times New Roman" w:cs="Times New Roman"/>
          <w:bCs/>
          <w:lang w:val="sr-Latn-CS"/>
        </w:rPr>
        <w:t>Kako kompatibilnost nije ispitana, ovaj lijek se ne smije miješati sa drugim ljekovima.</w:t>
      </w:r>
    </w:p>
    <w:p w:rsidR="006175F0" w:rsidRDefault="006175F0" w:rsidP="00C7646D">
      <w:pPr>
        <w:spacing w:after="0"/>
        <w:rPr>
          <w:rFonts w:ascii="Times New Roman" w:hAnsi="Times New Roman" w:cs="Times New Roman"/>
          <w:bCs/>
          <w:lang w:val="sr-Latn-CS"/>
        </w:rPr>
      </w:pPr>
    </w:p>
    <w:p w:rsidR="006175F0" w:rsidRPr="006175F0" w:rsidRDefault="006175F0" w:rsidP="00C7646D">
      <w:pPr>
        <w:spacing w:after="0"/>
        <w:rPr>
          <w:rFonts w:ascii="Times New Roman" w:hAnsi="Times New Roman" w:cs="Times New Roman"/>
          <w:b/>
          <w:lang w:val="sr-Latn-CS"/>
        </w:rPr>
      </w:pPr>
      <w:r w:rsidRPr="006175F0">
        <w:rPr>
          <w:rFonts w:ascii="Times New Roman" w:hAnsi="Times New Roman" w:cs="Times New Roman"/>
          <w:b/>
          <w:lang w:val="sr-Latn-CS"/>
        </w:rPr>
        <w:t>6.3. Rok upotrebe</w:t>
      </w:r>
    </w:p>
    <w:p w:rsidR="006175F0" w:rsidRDefault="006175F0" w:rsidP="00C7646D">
      <w:pPr>
        <w:spacing w:after="0"/>
        <w:rPr>
          <w:rFonts w:ascii="Times New Roman" w:hAnsi="Times New Roman" w:cs="Times New Roman"/>
          <w:lang w:val="sr-Latn-CS"/>
        </w:rPr>
      </w:pPr>
    </w:p>
    <w:p w:rsidR="006175F0" w:rsidRDefault="006175F0" w:rsidP="00C7646D">
      <w:pPr>
        <w:spacing w:after="0"/>
        <w:rPr>
          <w:rFonts w:ascii="Times New Roman" w:hAnsi="Times New Roman" w:cs="Times New Roman"/>
          <w:lang w:val="sr-Latn-CS"/>
        </w:rPr>
      </w:pPr>
      <w:r w:rsidRPr="006175F0">
        <w:rPr>
          <w:rFonts w:ascii="Times New Roman" w:hAnsi="Times New Roman" w:cs="Times New Roman"/>
          <w:lang w:val="sr-Latn-CS"/>
        </w:rPr>
        <w:t>2 godine.</w:t>
      </w:r>
    </w:p>
    <w:p w:rsidR="006175F0" w:rsidRDefault="006175F0" w:rsidP="00C7646D">
      <w:pPr>
        <w:spacing w:after="0"/>
        <w:rPr>
          <w:rFonts w:ascii="Times New Roman" w:hAnsi="Times New Roman" w:cs="Times New Roman"/>
          <w:lang w:val="sr-Latn-CS"/>
        </w:rPr>
      </w:pPr>
    </w:p>
    <w:p w:rsidR="006175F0" w:rsidRDefault="006175F0" w:rsidP="00C7646D">
      <w:pPr>
        <w:spacing w:after="0"/>
        <w:rPr>
          <w:rFonts w:ascii="Times New Roman" w:hAnsi="Times New Roman" w:cs="Times New Roman"/>
          <w:lang w:val="sr-Latn-CS"/>
        </w:rPr>
      </w:pPr>
      <w:r w:rsidRPr="00C15CAE">
        <w:rPr>
          <w:rFonts w:ascii="Times New Roman" w:hAnsi="Times New Roman" w:cs="Times New Roman"/>
          <w:b/>
          <w:bCs/>
          <w:lang w:val="ru-RU"/>
        </w:rPr>
        <w:t>6.4. Posebne m</w:t>
      </w:r>
      <w:r w:rsidRPr="003A3B49">
        <w:rPr>
          <w:rFonts w:ascii="Times New Roman" w:hAnsi="Times New Roman" w:cs="Times New Roman"/>
          <w:b/>
          <w:bCs/>
          <w:lang w:val="pl-PL"/>
        </w:rPr>
        <w:t>j</w:t>
      </w:r>
      <w:r w:rsidRPr="00C15CAE">
        <w:rPr>
          <w:rFonts w:ascii="Times New Roman" w:hAnsi="Times New Roman" w:cs="Times New Roman"/>
          <w:b/>
          <w:bCs/>
          <w:lang w:val="ru-RU"/>
        </w:rPr>
        <w:t>ere upozorenja pri čuvanju</w:t>
      </w:r>
      <w:r>
        <w:rPr>
          <w:rFonts w:ascii="Times New Roman" w:hAnsi="Times New Roman" w:cs="Times New Roman"/>
          <w:b/>
          <w:bCs/>
          <w:lang w:val="sr-Latn-ME"/>
        </w:rPr>
        <w:t xml:space="preserve"> lijeka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6175F0" w:rsidRPr="00C15CAE" w:rsidRDefault="006175F0"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Čuvati u frižideru (na temperaturi  od +2°C do +8°C).</w:t>
      </w:r>
    </w:p>
    <w:p w:rsidR="006175F0" w:rsidRPr="00C15CAE" w:rsidRDefault="006175F0"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Ne zamrzavati.</w:t>
      </w:r>
    </w:p>
    <w:p w:rsidR="006175F0" w:rsidRPr="00C15CAE" w:rsidRDefault="006175F0"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 xml:space="preserve">Čuvati napunjeni injekcioni špric u </w:t>
      </w:r>
      <w:r>
        <w:rPr>
          <w:rFonts w:ascii="Times New Roman" w:hAnsi="Times New Roman" w:cs="Times New Roman"/>
        </w:rPr>
        <w:t>njegovom</w:t>
      </w:r>
      <w:r w:rsidRPr="00C15CAE">
        <w:rPr>
          <w:rFonts w:ascii="Times New Roman" w:hAnsi="Times New Roman" w:cs="Times New Roman"/>
        </w:rPr>
        <w:t xml:space="preserve"> omotu i u spoljašnjoj kartonskoj kutiji zbog zaštite od sv</w:t>
      </w:r>
      <w:r>
        <w:rPr>
          <w:rFonts w:ascii="Times New Roman" w:hAnsi="Times New Roman" w:cs="Times New Roman"/>
        </w:rPr>
        <w:t>j</w:t>
      </w:r>
      <w:r w:rsidRPr="00C15CAE">
        <w:rPr>
          <w:rFonts w:ascii="Times New Roman" w:hAnsi="Times New Roman" w:cs="Times New Roman"/>
        </w:rPr>
        <w:t>etlosti.</w:t>
      </w:r>
    </w:p>
    <w:p w:rsidR="006175F0" w:rsidRPr="00C15CAE" w:rsidRDefault="006175F0" w:rsidP="00C7646D">
      <w:pPr>
        <w:tabs>
          <w:tab w:val="left" w:pos="284"/>
          <w:tab w:val="center" w:pos="4536"/>
          <w:tab w:val="right" w:pos="9072"/>
        </w:tabs>
        <w:spacing w:after="0" w:line="240" w:lineRule="auto"/>
        <w:jc w:val="both"/>
        <w:rPr>
          <w:rFonts w:ascii="Times New Roman" w:hAnsi="Times New Roman" w:cs="Times New Roman"/>
        </w:rPr>
      </w:pPr>
    </w:p>
    <w:p w:rsidR="006175F0" w:rsidRDefault="006175F0"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Pr</w:t>
      </w:r>
      <w:r>
        <w:rPr>
          <w:rFonts w:ascii="Times New Roman" w:hAnsi="Times New Roman" w:cs="Times New Roman"/>
        </w:rPr>
        <w:t>ij</w:t>
      </w:r>
      <w:r w:rsidRPr="00C15CAE">
        <w:rPr>
          <w:rFonts w:ascii="Times New Roman" w:hAnsi="Times New Roman" w:cs="Times New Roman"/>
        </w:rPr>
        <w:t xml:space="preserve">e upotrebe, neotvoreni omot </w:t>
      </w:r>
      <w:r>
        <w:rPr>
          <w:rFonts w:ascii="Times New Roman" w:hAnsi="Times New Roman" w:cs="Times New Roman"/>
        </w:rPr>
        <w:t xml:space="preserve">lijeka </w:t>
      </w:r>
      <w:r w:rsidRPr="00C15CAE">
        <w:rPr>
          <w:rFonts w:ascii="Times New Roman" w:hAnsi="Times New Roman" w:cs="Times New Roman"/>
        </w:rPr>
        <w:t>može se čuvati na sobnoj temperaturi (ispod 25°C) do 24 sata. Nakon što se omot otvori, nastaviti rukovanje pod aseptičnim uslovima.</w:t>
      </w:r>
    </w:p>
    <w:p w:rsidR="00BE4FBD" w:rsidRDefault="00BE4FBD" w:rsidP="00C7646D">
      <w:pPr>
        <w:spacing w:after="0"/>
        <w:rPr>
          <w:rFonts w:ascii="Times New Roman" w:hAnsi="Times New Roman" w:cs="Times New Roman"/>
          <w:b/>
          <w:bCs/>
          <w:lang w:val="sr-Latn-ME"/>
        </w:rPr>
      </w:pPr>
    </w:p>
    <w:p w:rsidR="00C7646D" w:rsidRDefault="00C7646D" w:rsidP="00C7646D">
      <w:pPr>
        <w:spacing w:after="0"/>
        <w:rPr>
          <w:rFonts w:ascii="Times New Roman" w:hAnsi="Times New Roman" w:cs="Times New Roman"/>
          <w:b/>
          <w:bCs/>
          <w:lang w:val="sr-Latn-ME"/>
        </w:rPr>
      </w:pPr>
    </w:p>
    <w:p w:rsidR="00C7646D" w:rsidRDefault="00C7646D" w:rsidP="00C7646D">
      <w:pPr>
        <w:spacing w:after="0"/>
        <w:rPr>
          <w:rFonts w:ascii="Times New Roman" w:hAnsi="Times New Roman" w:cs="Times New Roman"/>
          <w:b/>
          <w:bCs/>
          <w:lang w:val="sr-Latn-ME"/>
        </w:rPr>
      </w:pPr>
    </w:p>
    <w:p w:rsidR="00C7646D" w:rsidRDefault="00C7646D" w:rsidP="00C7646D">
      <w:pPr>
        <w:spacing w:after="0"/>
        <w:rPr>
          <w:rFonts w:ascii="Times New Roman" w:hAnsi="Times New Roman" w:cs="Times New Roman"/>
          <w:b/>
          <w:bCs/>
          <w:lang w:val="sr-Latn-ME"/>
        </w:rPr>
      </w:pPr>
    </w:p>
    <w:p w:rsidR="00C7646D" w:rsidRDefault="00C7646D" w:rsidP="00C7646D">
      <w:pPr>
        <w:spacing w:after="0"/>
        <w:rPr>
          <w:rFonts w:ascii="Times New Roman" w:hAnsi="Times New Roman" w:cs="Times New Roman"/>
          <w:b/>
          <w:bCs/>
          <w:lang w:val="sr-Latn-ME"/>
        </w:rPr>
      </w:pPr>
    </w:p>
    <w:p w:rsidR="00C7646D" w:rsidRPr="00C7646D" w:rsidRDefault="00C7646D" w:rsidP="00C7646D">
      <w:pPr>
        <w:spacing w:after="0"/>
        <w:rPr>
          <w:rFonts w:ascii="Times New Roman" w:hAnsi="Times New Roman" w:cs="Times New Roman"/>
          <w:b/>
          <w:bCs/>
          <w:lang w:val="sr-Latn-ME"/>
        </w:rPr>
      </w:pPr>
    </w:p>
    <w:p w:rsidR="00BE4FBD" w:rsidRDefault="00BE4FBD" w:rsidP="00C7646D">
      <w:pPr>
        <w:spacing w:after="0"/>
        <w:rPr>
          <w:rFonts w:ascii="Times New Roman" w:hAnsi="Times New Roman" w:cs="Times New Roman"/>
          <w:lang w:val="sr-Latn-CS"/>
        </w:rPr>
      </w:pPr>
      <w:r w:rsidRPr="00C15CAE">
        <w:rPr>
          <w:rFonts w:ascii="Times New Roman" w:hAnsi="Times New Roman" w:cs="Times New Roman"/>
          <w:b/>
          <w:bCs/>
          <w:lang w:val="ru-RU"/>
        </w:rPr>
        <w:lastRenderedPageBreak/>
        <w:t xml:space="preserve">6.5. </w:t>
      </w:r>
      <w:r>
        <w:rPr>
          <w:rFonts w:ascii="Times New Roman" w:hAnsi="Times New Roman" w:cs="Times New Roman"/>
          <w:b/>
          <w:bCs/>
          <w:lang w:val="sr-Latn-ME"/>
        </w:rPr>
        <w:t>Vrsta i sadržaj pakovanja</w:t>
      </w:r>
    </w:p>
    <w:p w:rsidR="00C7646D" w:rsidRDefault="00C7646D" w:rsidP="00C7646D">
      <w:pPr>
        <w:spacing w:after="0"/>
        <w:rPr>
          <w:rFonts w:ascii="Times New Roman" w:hAnsi="Times New Roman" w:cs="Times New Roman"/>
        </w:rPr>
      </w:pPr>
    </w:p>
    <w:p w:rsidR="006175F0" w:rsidRDefault="00BE4FBD" w:rsidP="00C7646D">
      <w:pPr>
        <w:spacing w:after="0"/>
        <w:rPr>
          <w:rFonts w:ascii="Times New Roman" w:hAnsi="Times New Roman" w:cs="Times New Roman"/>
        </w:rPr>
      </w:pPr>
      <w:r w:rsidRPr="00C15CAE">
        <w:rPr>
          <w:rFonts w:ascii="Times New Roman" w:hAnsi="Times New Roman" w:cs="Times New Roman"/>
        </w:rPr>
        <w:t xml:space="preserve">90 mikrolitara rastvora u napunjenom injekcionom špricu (tip I stakla) sa označenom crnom linijom doziranja, sa zatvaračem (elastomer guma) i </w:t>
      </w:r>
      <w:r>
        <w:rPr>
          <w:rFonts w:ascii="Times New Roman" w:hAnsi="Times New Roman" w:cs="Times New Roman"/>
        </w:rPr>
        <w:t>L</w:t>
      </w:r>
      <w:r w:rsidRPr="00C15CAE">
        <w:rPr>
          <w:rFonts w:ascii="Times New Roman" w:hAnsi="Times New Roman" w:cs="Times New Roman"/>
        </w:rPr>
        <w:t>uer adapter sa poklopcem (elastomer guma). Pakovanje sadrži jedan napunjeni injekcioni špric.</w:t>
      </w:r>
    </w:p>
    <w:p w:rsidR="00C7646D" w:rsidRDefault="00C7646D" w:rsidP="00C7646D">
      <w:pPr>
        <w:spacing w:after="0"/>
        <w:rPr>
          <w:rFonts w:ascii="Times New Roman" w:hAnsi="Times New Roman" w:cs="Times New Roman"/>
          <w:b/>
          <w:bCs/>
          <w:lang w:val="sr-Latn-ME"/>
        </w:rPr>
      </w:pPr>
    </w:p>
    <w:p w:rsidR="00BE4FBD" w:rsidRDefault="00BE4FBD" w:rsidP="00C7646D">
      <w:pPr>
        <w:spacing w:after="0"/>
        <w:rPr>
          <w:rFonts w:ascii="Times New Roman" w:hAnsi="Times New Roman" w:cs="Times New Roman"/>
          <w:b/>
          <w:bCs/>
          <w:lang w:val="ru-RU"/>
        </w:rPr>
      </w:pPr>
      <w:r w:rsidRPr="00C15CAE">
        <w:rPr>
          <w:rFonts w:ascii="Times New Roman" w:hAnsi="Times New Roman" w:cs="Times New Roman"/>
          <w:b/>
          <w:bCs/>
          <w:lang w:val="ru-RU"/>
        </w:rPr>
        <w:t>6.6. Posebne m</w:t>
      </w:r>
      <w:r w:rsidRPr="003A3B49">
        <w:rPr>
          <w:rFonts w:ascii="Times New Roman" w:hAnsi="Times New Roman" w:cs="Times New Roman"/>
          <w:b/>
          <w:bCs/>
          <w:lang w:val="pl-PL"/>
        </w:rPr>
        <w:t>j</w:t>
      </w:r>
      <w:r w:rsidRPr="00C15CAE">
        <w:rPr>
          <w:rFonts w:ascii="Times New Roman" w:hAnsi="Times New Roman" w:cs="Times New Roman"/>
          <w:b/>
          <w:bCs/>
          <w:lang w:val="ru-RU"/>
        </w:rPr>
        <w:t>ere opreza pri odlaganju materijala koji treba odbaciti nakon prim</w:t>
      </w:r>
      <w:r w:rsidRPr="003A3B49">
        <w:rPr>
          <w:rFonts w:ascii="Times New Roman" w:hAnsi="Times New Roman" w:cs="Times New Roman"/>
          <w:b/>
          <w:bCs/>
          <w:lang w:val="pl-PL"/>
        </w:rPr>
        <w:t>j</w:t>
      </w:r>
      <w:r w:rsidRPr="00C15CAE">
        <w:rPr>
          <w:rFonts w:ascii="Times New Roman" w:hAnsi="Times New Roman" w:cs="Times New Roman"/>
          <w:b/>
          <w:bCs/>
          <w:lang w:val="ru-RU"/>
        </w:rPr>
        <w:t>ene l</w:t>
      </w:r>
      <w:r w:rsidRPr="003A3B49">
        <w:rPr>
          <w:rFonts w:ascii="Times New Roman" w:hAnsi="Times New Roman" w:cs="Times New Roman"/>
          <w:b/>
          <w:bCs/>
          <w:lang w:val="pl-PL"/>
        </w:rPr>
        <w:t>ij</w:t>
      </w:r>
      <w:r w:rsidRPr="00C15CAE">
        <w:rPr>
          <w:rFonts w:ascii="Times New Roman" w:hAnsi="Times New Roman" w:cs="Times New Roman"/>
          <w:b/>
          <w:bCs/>
          <w:lang w:val="ru-RU"/>
        </w:rPr>
        <w:t>eka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BE4FBD" w:rsidRPr="00C15CAE" w:rsidRDefault="00BE4FBD"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Napunjeni injekcioni špric je isključivo za jednokratnu upotrebu.</w:t>
      </w:r>
    </w:p>
    <w:p w:rsidR="00BE4FBD" w:rsidRPr="00C15CAE" w:rsidRDefault="00BE4FBD" w:rsidP="00C7646D">
      <w:pPr>
        <w:widowControl w:val="0"/>
        <w:autoSpaceDE w:val="0"/>
        <w:autoSpaceDN w:val="0"/>
        <w:spacing w:after="0"/>
        <w:jc w:val="both"/>
        <w:rPr>
          <w:rFonts w:ascii="Times New Roman" w:hAnsi="Times New Roman" w:cs="Times New Roman"/>
        </w:rPr>
      </w:pPr>
      <w:r w:rsidRPr="00C15CAE">
        <w:rPr>
          <w:rFonts w:ascii="Times New Roman" w:hAnsi="Times New Roman" w:cs="Times New Roman"/>
        </w:rPr>
        <w:t>Nemojte otvarati sterilni omot u kome je napunjeni injekcioni špric van prostorije sa uslovima za aseptični rad</w:t>
      </w:r>
      <w:r>
        <w:rPr>
          <w:rFonts w:ascii="Times New Roman" w:hAnsi="Times New Roman" w:cs="Times New Roman"/>
        </w:rPr>
        <w:t>,</w:t>
      </w:r>
      <w:r w:rsidRPr="00C15CAE">
        <w:rPr>
          <w:rFonts w:ascii="Times New Roman" w:hAnsi="Times New Roman" w:cs="Times New Roman"/>
        </w:rPr>
        <w:t xml:space="preserve"> u kojoj će l</w:t>
      </w:r>
      <w:r>
        <w:rPr>
          <w:rFonts w:ascii="Times New Roman" w:hAnsi="Times New Roman" w:cs="Times New Roman"/>
        </w:rPr>
        <w:t>ij</w:t>
      </w:r>
      <w:r w:rsidRPr="00C15CAE">
        <w:rPr>
          <w:rFonts w:ascii="Times New Roman" w:hAnsi="Times New Roman" w:cs="Times New Roman"/>
        </w:rPr>
        <w:t>ek biti prim</w:t>
      </w:r>
      <w:r>
        <w:rPr>
          <w:rFonts w:ascii="Times New Roman" w:hAnsi="Times New Roman" w:cs="Times New Roman"/>
        </w:rPr>
        <w:t>ij</w:t>
      </w:r>
      <w:r w:rsidRPr="00C15CAE">
        <w:rPr>
          <w:rFonts w:ascii="Times New Roman" w:hAnsi="Times New Roman" w:cs="Times New Roman"/>
        </w:rPr>
        <w:t>enjen.</w:t>
      </w:r>
    </w:p>
    <w:p w:rsidR="00BE4FBD" w:rsidRPr="00C15CAE" w:rsidRDefault="00BE4FBD" w:rsidP="00C7646D">
      <w:pPr>
        <w:widowControl w:val="0"/>
        <w:autoSpaceDE w:val="0"/>
        <w:autoSpaceDN w:val="0"/>
        <w:spacing w:after="0"/>
        <w:jc w:val="both"/>
        <w:rPr>
          <w:rFonts w:ascii="Times New Roman" w:hAnsi="Times New Roman" w:cs="Times New Roman"/>
        </w:rPr>
      </w:pPr>
      <w:r w:rsidRPr="00C15CAE">
        <w:rPr>
          <w:rFonts w:ascii="Times New Roman" w:hAnsi="Times New Roman" w:cs="Times New Roman"/>
        </w:rPr>
        <w:t>Kako napunjeni injekcioni špric sadrži veću zapreminu (90 mikrolitara) od prepo</w:t>
      </w:r>
      <w:r>
        <w:rPr>
          <w:rFonts w:ascii="Times New Roman" w:hAnsi="Times New Roman" w:cs="Times New Roman"/>
        </w:rPr>
        <w:t>ručene doze (50 mikrolitara), di</w:t>
      </w:r>
      <w:r w:rsidRPr="00C15CAE">
        <w:rPr>
          <w:rFonts w:ascii="Times New Roman" w:hAnsi="Times New Roman" w:cs="Times New Roman"/>
        </w:rPr>
        <w:t>o zapremine sadržane u špricu mora se odstraniti pr</w:t>
      </w:r>
      <w:r>
        <w:rPr>
          <w:rFonts w:ascii="Times New Roman" w:hAnsi="Times New Roman" w:cs="Times New Roman"/>
        </w:rPr>
        <w:t>ij</w:t>
      </w:r>
      <w:r w:rsidRPr="00C15CAE">
        <w:rPr>
          <w:rFonts w:ascii="Times New Roman" w:hAnsi="Times New Roman" w:cs="Times New Roman"/>
        </w:rPr>
        <w:t>e prim</w:t>
      </w:r>
      <w:r>
        <w:rPr>
          <w:rFonts w:ascii="Times New Roman" w:hAnsi="Times New Roman" w:cs="Times New Roman"/>
        </w:rPr>
        <w:t>j</w:t>
      </w:r>
      <w:r w:rsidRPr="00C15CAE">
        <w:rPr>
          <w:rFonts w:ascii="Times New Roman" w:hAnsi="Times New Roman" w:cs="Times New Roman"/>
        </w:rPr>
        <w:t>ene.</w:t>
      </w:r>
    </w:p>
    <w:p w:rsidR="00BE4FBD" w:rsidRPr="00C15CAE" w:rsidRDefault="00BE4FBD"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Rastvor treba pr</w:t>
      </w:r>
      <w:r>
        <w:rPr>
          <w:rFonts w:ascii="Times New Roman" w:hAnsi="Times New Roman" w:cs="Times New Roman"/>
        </w:rPr>
        <w:t>ij</w:t>
      </w:r>
      <w:r w:rsidRPr="00C15CAE">
        <w:rPr>
          <w:rFonts w:ascii="Times New Roman" w:hAnsi="Times New Roman" w:cs="Times New Roman"/>
        </w:rPr>
        <w:t>e prim</w:t>
      </w:r>
      <w:r>
        <w:rPr>
          <w:rFonts w:ascii="Times New Roman" w:hAnsi="Times New Roman" w:cs="Times New Roman"/>
        </w:rPr>
        <w:t>j</w:t>
      </w:r>
      <w:r w:rsidRPr="00C15CAE">
        <w:rPr>
          <w:rFonts w:ascii="Times New Roman" w:hAnsi="Times New Roman" w:cs="Times New Roman"/>
        </w:rPr>
        <w:t>ene</w:t>
      </w:r>
      <w:r>
        <w:rPr>
          <w:rFonts w:ascii="Times New Roman" w:hAnsi="Times New Roman" w:cs="Times New Roman"/>
        </w:rPr>
        <w:t xml:space="preserve"> </w:t>
      </w:r>
      <w:r w:rsidRPr="00C15CAE">
        <w:rPr>
          <w:rFonts w:ascii="Times New Roman" w:hAnsi="Times New Roman" w:cs="Times New Roman"/>
        </w:rPr>
        <w:t>vizuelno pregledati da li ima prisutnih čestica strane materije i/ili je došlo do prom</w:t>
      </w:r>
      <w:r>
        <w:rPr>
          <w:rFonts w:ascii="Times New Roman" w:hAnsi="Times New Roman" w:cs="Times New Roman"/>
        </w:rPr>
        <w:t>j</w:t>
      </w:r>
      <w:r w:rsidRPr="00C15CAE">
        <w:rPr>
          <w:rFonts w:ascii="Times New Roman" w:hAnsi="Times New Roman" w:cs="Times New Roman"/>
        </w:rPr>
        <w:t>ene boje ili neke prom</w:t>
      </w:r>
      <w:r>
        <w:rPr>
          <w:rFonts w:ascii="Times New Roman" w:hAnsi="Times New Roman" w:cs="Times New Roman"/>
        </w:rPr>
        <w:t>j</w:t>
      </w:r>
      <w:r w:rsidRPr="00C15CAE">
        <w:rPr>
          <w:rFonts w:ascii="Times New Roman" w:hAnsi="Times New Roman" w:cs="Times New Roman"/>
        </w:rPr>
        <w:t>ene fizičkog izgleda. U slučaju da se prim</w:t>
      </w:r>
      <w:r>
        <w:rPr>
          <w:rFonts w:ascii="Times New Roman" w:hAnsi="Times New Roman" w:cs="Times New Roman"/>
        </w:rPr>
        <w:t>ij</w:t>
      </w:r>
      <w:r w:rsidRPr="00C15CAE">
        <w:rPr>
          <w:rFonts w:ascii="Times New Roman" w:hAnsi="Times New Roman" w:cs="Times New Roman"/>
        </w:rPr>
        <w:t>eti bilo šta od navedenog l</w:t>
      </w:r>
      <w:r>
        <w:rPr>
          <w:rFonts w:ascii="Times New Roman" w:hAnsi="Times New Roman" w:cs="Times New Roman"/>
        </w:rPr>
        <w:t>ij</w:t>
      </w:r>
      <w:r w:rsidRPr="00C15CAE">
        <w:rPr>
          <w:rFonts w:ascii="Times New Roman" w:hAnsi="Times New Roman" w:cs="Times New Roman"/>
        </w:rPr>
        <w:t>ek treba baciti.</w:t>
      </w:r>
    </w:p>
    <w:p w:rsidR="00BE4FBD" w:rsidRPr="00C15CAE" w:rsidRDefault="00BE4FBD" w:rsidP="00C7646D">
      <w:pPr>
        <w:tabs>
          <w:tab w:val="left" w:pos="284"/>
          <w:tab w:val="center" w:pos="4536"/>
          <w:tab w:val="right" w:pos="9072"/>
        </w:tabs>
        <w:spacing w:after="0" w:line="240" w:lineRule="auto"/>
        <w:jc w:val="both"/>
        <w:rPr>
          <w:rFonts w:ascii="Times New Roman" w:hAnsi="Times New Roman" w:cs="Times New Roman"/>
        </w:rPr>
      </w:pPr>
    </w:p>
    <w:p w:rsidR="00BE4FBD" w:rsidRPr="00C15CAE" w:rsidRDefault="00BE4FBD" w:rsidP="00C7646D">
      <w:pPr>
        <w:tabs>
          <w:tab w:val="left" w:pos="284"/>
          <w:tab w:val="center" w:pos="4536"/>
          <w:tab w:val="right" w:pos="9072"/>
        </w:tabs>
        <w:spacing w:after="0" w:line="240" w:lineRule="auto"/>
        <w:jc w:val="both"/>
        <w:rPr>
          <w:rFonts w:ascii="Times New Roman" w:hAnsi="Times New Roman" w:cs="Times New Roman"/>
        </w:rPr>
      </w:pPr>
      <w:r w:rsidRPr="00C15CAE">
        <w:rPr>
          <w:rFonts w:ascii="Times New Roman" w:hAnsi="Times New Roman" w:cs="Times New Roman"/>
        </w:rPr>
        <w:t>Za intravitrealnu injekciju, treba koristiti injekcionu iglu od 30 G x ½ inča.</w:t>
      </w:r>
    </w:p>
    <w:p w:rsidR="00BE4FBD" w:rsidRPr="00C15CAE" w:rsidRDefault="00BE4FBD" w:rsidP="00C7646D">
      <w:pPr>
        <w:tabs>
          <w:tab w:val="left" w:pos="284"/>
          <w:tab w:val="center" w:pos="4536"/>
          <w:tab w:val="right" w:pos="9072"/>
        </w:tabs>
        <w:spacing w:after="0" w:line="240" w:lineRule="auto"/>
        <w:jc w:val="both"/>
        <w:rPr>
          <w:rFonts w:ascii="Times New Roman" w:hAnsi="Times New Roman" w:cs="Times New Roman"/>
        </w:rPr>
      </w:pPr>
    </w:p>
    <w:p w:rsidR="00BE4FBD" w:rsidRPr="00C15CAE" w:rsidRDefault="00BE4FBD" w:rsidP="00C7646D">
      <w:pPr>
        <w:widowControl w:val="0"/>
        <w:autoSpaceDE w:val="0"/>
        <w:autoSpaceDN w:val="0"/>
        <w:spacing w:after="0"/>
        <w:jc w:val="both"/>
        <w:rPr>
          <w:rFonts w:ascii="Times New Roman" w:hAnsi="Times New Roman" w:cs="Times New Roman"/>
          <w:b/>
          <w:bCs/>
          <w:i/>
          <w:iCs/>
        </w:rPr>
      </w:pPr>
      <w:r w:rsidRPr="00C15CAE">
        <w:rPr>
          <w:rFonts w:ascii="Times New Roman" w:hAnsi="Times New Roman" w:cs="Times New Roman"/>
          <w:b/>
          <w:bCs/>
          <w:i/>
          <w:iCs/>
        </w:rPr>
        <w:t>Uputstvo za upotrebu napunjenog injekcionog šprica:</w:t>
      </w:r>
    </w:p>
    <w:tbl>
      <w:tblPr>
        <w:tblW w:w="5000" w:type="pct"/>
        <w:tblLook w:val="00A0" w:firstRow="1" w:lastRow="0" w:firstColumn="1" w:lastColumn="0" w:noHBand="0" w:noVBand="0"/>
      </w:tblPr>
      <w:tblGrid>
        <w:gridCol w:w="9072"/>
      </w:tblGrid>
      <w:tr w:rsidR="00BE4FBD" w:rsidRPr="00C15CAE" w:rsidTr="00173ED2">
        <w:trPr>
          <w:trHeight w:val="1193"/>
        </w:trPr>
        <w:tc>
          <w:tcPr>
            <w:tcW w:w="5000" w:type="pct"/>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noProof/>
              </w:rPr>
            </w:pPr>
            <w:r w:rsidRPr="00C15CAE">
              <w:rPr>
                <w:rFonts w:ascii="Times New Roman" w:hAnsi="Times New Roman" w:cs="Times New Roman"/>
              </w:rPr>
              <w:t>Kada ste spremni da prim</w:t>
            </w:r>
            <w:r>
              <w:rPr>
                <w:rFonts w:ascii="Times New Roman" w:hAnsi="Times New Roman" w:cs="Times New Roman"/>
              </w:rPr>
              <w:t>ij</w:t>
            </w:r>
            <w:r w:rsidRPr="00C15CAE">
              <w:rPr>
                <w:rFonts w:ascii="Times New Roman" w:hAnsi="Times New Roman" w:cs="Times New Roman"/>
              </w:rPr>
              <w:t>enite l</w:t>
            </w:r>
            <w:r>
              <w:rPr>
                <w:rFonts w:ascii="Times New Roman" w:hAnsi="Times New Roman" w:cs="Times New Roman"/>
              </w:rPr>
              <w:t>ij</w:t>
            </w:r>
            <w:r w:rsidRPr="00C15CAE">
              <w:rPr>
                <w:rFonts w:ascii="Times New Roman" w:hAnsi="Times New Roman" w:cs="Times New Roman"/>
              </w:rPr>
              <w:t>ek Eylea, otvorite pakovanje i izvucite sterilni omot u kome je sm</w:t>
            </w:r>
            <w:r>
              <w:rPr>
                <w:rFonts w:ascii="Times New Roman" w:hAnsi="Times New Roman" w:cs="Times New Roman"/>
              </w:rPr>
              <w:t>j</w:t>
            </w:r>
            <w:r w:rsidRPr="00C15CAE">
              <w:rPr>
                <w:rFonts w:ascii="Times New Roman" w:hAnsi="Times New Roman" w:cs="Times New Roman"/>
              </w:rPr>
              <w:t>ešten napunjen injekcioni špric. Pažljivo otvarajte omot koji osigurava sterilnost sadržaja. Čuvajte napunjen špric na sterilnoj tacni za instrumente dok ne budete spremni za dalji postupak.</w:t>
            </w:r>
          </w:p>
        </w:tc>
      </w:tr>
      <w:tr w:rsidR="00BE4FBD" w:rsidRPr="00C15CAE" w:rsidTr="00173ED2">
        <w:trPr>
          <w:trHeight w:val="454"/>
        </w:trPr>
        <w:tc>
          <w:tcPr>
            <w:tcW w:w="5000" w:type="pct"/>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t>Koristeći aseptičnu tehniku izvucite napunjen injekcioni špric iz sterilnog omota.</w:t>
            </w:r>
          </w:p>
        </w:tc>
      </w:tr>
    </w:tbl>
    <w:p w:rsidR="00BE4FBD" w:rsidRDefault="00BE4FBD" w:rsidP="00C7646D">
      <w:pPr>
        <w:spacing w:after="0"/>
        <w:rPr>
          <w:rFonts w:ascii="Times New Roman" w:hAnsi="Times New Roman" w:cs="Times New Roman"/>
          <w:lang w:val="sr-Latn-CS"/>
        </w:rPr>
      </w:pPr>
    </w:p>
    <w:tbl>
      <w:tblPr>
        <w:tblW w:w="5000" w:type="pct"/>
        <w:tblLook w:val="00A0" w:firstRow="1" w:lastRow="0" w:firstColumn="1" w:lastColumn="0" w:noHBand="0" w:noVBand="0"/>
      </w:tblPr>
      <w:tblGrid>
        <w:gridCol w:w="4296"/>
        <w:gridCol w:w="4776"/>
      </w:tblGrid>
      <w:tr w:rsidR="00BE4FBD" w:rsidRPr="00C15CAE" w:rsidTr="00173ED2">
        <w:trPr>
          <w:trHeight w:val="3991"/>
        </w:trPr>
        <w:tc>
          <w:tcPr>
            <w:tcW w:w="2500" w:type="pct"/>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t>Da biste uklonili poklopac šprica, držite špric jednom rukom, dok drugom rukom koristeći palac i kažiprst uhvatite poklopac šprica. Napomena: prelomite (ne okrećite ili uvrćite) poklopac šprica.</w:t>
            </w:r>
          </w:p>
          <w:p w:rsidR="00BE4FBD" w:rsidRPr="00C15CAE" w:rsidRDefault="00BE4FBD" w:rsidP="00C7646D">
            <w:pPr>
              <w:pStyle w:val="ListParagraph"/>
              <w:tabs>
                <w:tab w:val="center" w:pos="4536"/>
                <w:tab w:val="right" w:pos="9072"/>
              </w:tabs>
              <w:spacing w:after="0" w:line="240" w:lineRule="auto"/>
              <w:rPr>
                <w:rFonts w:ascii="Times New Roman" w:hAnsi="Times New Roman" w:cs="Times New Roman"/>
              </w:rPr>
            </w:pPr>
          </w:p>
        </w:tc>
        <w:tc>
          <w:tcPr>
            <w:tcW w:w="2500" w:type="pct"/>
            <w:tcBorders>
              <w:top w:val="nil"/>
              <w:left w:val="nil"/>
              <w:bottom w:val="nil"/>
              <w:right w:val="nil"/>
            </w:tcBorders>
          </w:tcPr>
          <w:p w:rsidR="00BE4FBD" w:rsidRPr="00C15CAE" w:rsidRDefault="00BE4FBD" w:rsidP="00C7646D">
            <w:pPr>
              <w:tabs>
                <w:tab w:val="center" w:pos="4536"/>
                <w:tab w:val="right" w:pos="9072"/>
              </w:tabs>
              <w:spacing w:after="0" w:line="240" w:lineRule="auto"/>
              <w:rPr>
                <w:rFonts w:ascii="Times New Roman" w:hAnsi="Times New Roman" w:cs="Times New Roman"/>
              </w:rPr>
            </w:pPr>
            <w:r w:rsidRPr="00C15CAE">
              <w:rPr>
                <w:rFonts w:ascii="Times New Roman" w:hAnsi="Times New Roman" w:cs="Times New Roman"/>
                <w:noProof/>
              </w:rPr>
              <w:drawing>
                <wp:inline distT="0" distB="0" distL="0" distR="0" wp14:anchorId="5A735A20" wp14:editId="16556AA6">
                  <wp:extent cx="2438400" cy="2057400"/>
                  <wp:effectExtent l="19050" t="19050" r="19050" b="1905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2057400"/>
                          </a:xfrm>
                          <a:prstGeom prst="rect">
                            <a:avLst/>
                          </a:prstGeom>
                          <a:noFill/>
                          <a:ln w="9525" cmpd="sng">
                            <a:solidFill>
                              <a:srgbClr val="000000"/>
                            </a:solidFill>
                            <a:miter lim="800000"/>
                            <a:headEnd/>
                            <a:tailEnd/>
                          </a:ln>
                          <a:effectLst/>
                        </pic:spPr>
                      </pic:pic>
                    </a:graphicData>
                  </a:graphic>
                </wp:inline>
              </w:drawing>
            </w:r>
          </w:p>
        </w:tc>
      </w:tr>
      <w:tr w:rsidR="00BE4FBD" w:rsidRPr="00C15CAE" w:rsidTr="00173ED2">
        <w:trPr>
          <w:trHeight w:val="589"/>
        </w:trPr>
        <w:tc>
          <w:tcPr>
            <w:tcW w:w="5000" w:type="pct"/>
            <w:gridSpan w:val="2"/>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t>Da se ne bi ugrozila sterilnost proizvoda, ne povlačite klip nazad.</w:t>
            </w:r>
          </w:p>
          <w:p w:rsidR="00BE4FBD" w:rsidRPr="00C15CAE" w:rsidRDefault="00BE4FBD" w:rsidP="00C7646D">
            <w:pPr>
              <w:tabs>
                <w:tab w:val="center" w:pos="4536"/>
                <w:tab w:val="right" w:pos="9072"/>
              </w:tabs>
              <w:spacing w:after="0" w:line="240" w:lineRule="auto"/>
              <w:rPr>
                <w:rFonts w:ascii="Times New Roman" w:hAnsi="Times New Roman" w:cs="Times New Roman"/>
              </w:rPr>
            </w:pPr>
          </w:p>
        </w:tc>
      </w:tr>
      <w:tr w:rsidR="00BE4FBD" w:rsidRPr="00C15CAE" w:rsidTr="00173ED2">
        <w:trPr>
          <w:trHeight w:val="4036"/>
        </w:trPr>
        <w:tc>
          <w:tcPr>
            <w:tcW w:w="2500" w:type="pct"/>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lastRenderedPageBreak/>
              <w:t>Koristeći as</w:t>
            </w:r>
            <w:r>
              <w:rPr>
                <w:rFonts w:ascii="Times New Roman" w:hAnsi="Times New Roman" w:cs="Times New Roman"/>
              </w:rPr>
              <w:t>e</w:t>
            </w:r>
            <w:r w:rsidRPr="00C15CAE">
              <w:rPr>
                <w:rFonts w:ascii="Times New Roman" w:hAnsi="Times New Roman" w:cs="Times New Roman"/>
              </w:rPr>
              <w:t xml:space="preserve">ptičnu tehniku, čvrsto uvrnite iglu na vrh </w:t>
            </w:r>
            <w:r>
              <w:rPr>
                <w:rFonts w:ascii="Times New Roman" w:hAnsi="Times New Roman" w:cs="Times New Roman"/>
              </w:rPr>
              <w:t>L</w:t>
            </w:r>
            <w:r w:rsidRPr="00C15CAE">
              <w:rPr>
                <w:rFonts w:ascii="Times New Roman" w:hAnsi="Times New Roman" w:cs="Times New Roman"/>
              </w:rPr>
              <w:t>uer šprica.</w:t>
            </w:r>
          </w:p>
          <w:p w:rsidR="00BE4FBD" w:rsidRPr="00C15CAE" w:rsidRDefault="00BE4FBD" w:rsidP="00C7646D">
            <w:pPr>
              <w:tabs>
                <w:tab w:val="center" w:pos="4536"/>
                <w:tab w:val="right" w:pos="9072"/>
              </w:tabs>
              <w:spacing w:after="0" w:line="240" w:lineRule="auto"/>
              <w:rPr>
                <w:rFonts w:ascii="Times New Roman" w:hAnsi="Times New Roman" w:cs="Times New Roman"/>
              </w:rPr>
            </w:pPr>
          </w:p>
        </w:tc>
        <w:tc>
          <w:tcPr>
            <w:tcW w:w="2500" w:type="pct"/>
            <w:tcBorders>
              <w:top w:val="nil"/>
              <w:left w:val="nil"/>
              <w:bottom w:val="nil"/>
              <w:right w:val="nil"/>
            </w:tcBorders>
          </w:tcPr>
          <w:p w:rsidR="00BE4FBD" w:rsidRPr="00C15CAE" w:rsidRDefault="00BE4FBD" w:rsidP="00C7646D">
            <w:pPr>
              <w:tabs>
                <w:tab w:val="center" w:pos="4536"/>
                <w:tab w:val="right" w:pos="9072"/>
              </w:tabs>
              <w:spacing w:after="0" w:line="240" w:lineRule="auto"/>
              <w:rPr>
                <w:rFonts w:ascii="Times New Roman" w:hAnsi="Times New Roman" w:cs="Times New Roman"/>
              </w:rPr>
            </w:pPr>
          </w:p>
          <w:p w:rsidR="00BE4FBD" w:rsidRPr="00C15CAE" w:rsidRDefault="00BE4FBD" w:rsidP="00C7646D">
            <w:pPr>
              <w:tabs>
                <w:tab w:val="center" w:pos="4536"/>
                <w:tab w:val="right" w:pos="9072"/>
              </w:tabs>
              <w:spacing w:after="0" w:line="240" w:lineRule="auto"/>
              <w:rPr>
                <w:rFonts w:ascii="Times New Roman" w:hAnsi="Times New Roman" w:cs="Times New Roman"/>
              </w:rPr>
            </w:pPr>
            <w:r w:rsidRPr="00C15CAE">
              <w:rPr>
                <w:rFonts w:ascii="Times New Roman" w:hAnsi="Times New Roman" w:cs="Times New Roman"/>
                <w:noProof/>
              </w:rPr>
              <w:drawing>
                <wp:inline distT="0" distB="0" distL="0" distR="0" wp14:anchorId="65E920CB" wp14:editId="3B9BF851">
                  <wp:extent cx="2628900" cy="2514600"/>
                  <wp:effectExtent l="19050" t="19050" r="19050" b="1905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2514600"/>
                          </a:xfrm>
                          <a:prstGeom prst="rect">
                            <a:avLst/>
                          </a:prstGeom>
                          <a:noFill/>
                          <a:ln w="9525" cmpd="sng">
                            <a:solidFill>
                              <a:srgbClr val="000000"/>
                            </a:solidFill>
                            <a:miter lim="800000"/>
                            <a:headEnd/>
                            <a:tailEnd/>
                          </a:ln>
                          <a:effectLst/>
                        </pic:spPr>
                      </pic:pic>
                    </a:graphicData>
                  </a:graphic>
                </wp:inline>
              </w:drawing>
            </w:r>
          </w:p>
        </w:tc>
      </w:tr>
      <w:tr w:rsidR="00BE4FBD" w:rsidRPr="00C15CAE" w:rsidTr="00173ED2">
        <w:tc>
          <w:tcPr>
            <w:tcW w:w="2500" w:type="pct"/>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t>Uklonite plastični štit sa igle.</w:t>
            </w:r>
          </w:p>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t>Držeći špric sa iglom okrenuto</w:t>
            </w:r>
            <w:r>
              <w:rPr>
                <w:rFonts w:ascii="Times New Roman" w:hAnsi="Times New Roman" w:cs="Times New Roman"/>
              </w:rPr>
              <w:t>m</w:t>
            </w:r>
            <w:r w:rsidRPr="00C15CAE">
              <w:rPr>
                <w:rFonts w:ascii="Times New Roman" w:hAnsi="Times New Roman" w:cs="Times New Roman"/>
              </w:rPr>
              <w:t xml:space="preserve"> na gore, prov</w:t>
            </w:r>
            <w:r>
              <w:rPr>
                <w:rFonts w:ascii="Times New Roman" w:hAnsi="Times New Roman" w:cs="Times New Roman"/>
              </w:rPr>
              <w:t>j</w:t>
            </w:r>
            <w:r w:rsidRPr="00C15CAE">
              <w:rPr>
                <w:rFonts w:ascii="Times New Roman" w:hAnsi="Times New Roman" w:cs="Times New Roman"/>
              </w:rPr>
              <w:t>erite da li ima m</w:t>
            </w:r>
            <w:r>
              <w:rPr>
                <w:rFonts w:ascii="Times New Roman" w:hAnsi="Times New Roman" w:cs="Times New Roman"/>
              </w:rPr>
              <w:t>j</w:t>
            </w:r>
            <w:r w:rsidRPr="00C15CAE">
              <w:rPr>
                <w:rFonts w:ascii="Times New Roman" w:hAnsi="Times New Roman" w:cs="Times New Roman"/>
              </w:rPr>
              <w:t>ehurića u špricu. Ukoliko ima m</w:t>
            </w:r>
            <w:r>
              <w:rPr>
                <w:rFonts w:ascii="Times New Roman" w:hAnsi="Times New Roman" w:cs="Times New Roman"/>
              </w:rPr>
              <w:t>j</w:t>
            </w:r>
            <w:r w:rsidRPr="00C15CAE">
              <w:rPr>
                <w:rFonts w:ascii="Times New Roman" w:hAnsi="Times New Roman" w:cs="Times New Roman"/>
              </w:rPr>
              <w:t>ehurića, n</w:t>
            </w:r>
            <w:r>
              <w:rPr>
                <w:rFonts w:ascii="Times New Roman" w:hAnsi="Times New Roman" w:cs="Times New Roman"/>
              </w:rPr>
              <w:t>j</w:t>
            </w:r>
            <w:r w:rsidRPr="00C15CAE">
              <w:rPr>
                <w:rFonts w:ascii="Times New Roman" w:hAnsi="Times New Roman" w:cs="Times New Roman"/>
              </w:rPr>
              <w:t>ežno kuckajte špric prstom dok se m</w:t>
            </w:r>
            <w:r>
              <w:rPr>
                <w:rFonts w:ascii="Times New Roman" w:hAnsi="Times New Roman" w:cs="Times New Roman"/>
              </w:rPr>
              <w:t>j</w:t>
            </w:r>
            <w:r w:rsidRPr="00C15CAE">
              <w:rPr>
                <w:rFonts w:ascii="Times New Roman" w:hAnsi="Times New Roman" w:cs="Times New Roman"/>
              </w:rPr>
              <w:t>ehurići ne popnu na vrh.</w:t>
            </w:r>
          </w:p>
          <w:p w:rsidR="00BE4FBD" w:rsidRPr="00C15CAE" w:rsidRDefault="00BE4FBD" w:rsidP="00C7646D">
            <w:pPr>
              <w:tabs>
                <w:tab w:val="center" w:pos="4536"/>
                <w:tab w:val="right" w:pos="9072"/>
              </w:tabs>
              <w:spacing w:after="0" w:line="240" w:lineRule="auto"/>
              <w:rPr>
                <w:rFonts w:ascii="Times New Roman" w:hAnsi="Times New Roman" w:cs="Times New Roman"/>
              </w:rPr>
            </w:pPr>
          </w:p>
        </w:tc>
        <w:tc>
          <w:tcPr>
            <w:tcW w:w="2500" w:type="pct"/>
            <w:tcBorders>
              <w:top w:val="nil"/>
              <w:left w:val="nil"/>
              <w:bottom w:val="nil"/>
              <w:right w:val="nil"/>
            </w:tcBorders>
          </w:tcPr>
          <w:p w:rsidR="00BE4FBD" w:rsidRPr="00C15CAE" w:rsidRDefault="00BE4FBD" w:rsidP="00C7646D">
            <w:pPr>
              <w:tabs>
                <w:tab w:val="center" w:pos="4536"/>
                <w:tab w:val="right" w:pos="9072"/>
              </w:tabs>
              <w:spacing w:after="0" w:line="240" w:lineRule="auto"/>
              <w:rPr>
                <w:rFonts w:ascii="Times New Roman" w:hAnsi="Times New Roman" w:cs="Times New Roman"/>
              </w:rPr>
            </w:pPr>
            <w:r w:rsidRPr="00C15CAE">
              <w:rPr>
                <w:rFonts w:ascii="Times New Roman" w:hAnsi="Times New Roman" w:cs="Times New Roman"/>
                <w:noProof/>
              </w:rPr>
              <w:drawing>
                <wp:inline distT="0" distB="0" distL="0" distR="0" wp14:anchorId="69921CD5" wp14:editId="2568F651">
                  <wp:extent cx="2628900" cy="2409825"/>
                  <wp:effectExtent l="19050" t="19050" r="19050" b="2857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2409825"/>
                          </a:xfrm>
                          <a:prstGeom prst="rect">
                            <a:avLst/>
                          </a:prstGeom>
                          <a:noFill/>
                          <a:ln w="9525" cmpd="sng">
                            <a:solidFill>
                              <a:srgbClr val="000000"/>
                            </a:solidFill>
                            <a:miter lim="800000"/>
                            <a:headEnd/>
                            <a:tailEnd/>
                          </a:ln>
                          <a:effectLst/>
                        </pic:spPr>
                      </pic:pic>
                    </a:graphicData>
                  </a:graphic>
                </wp:inline>
              </w:drawing>
            </w:r>
          </w:p>
        </w:tc>
      </w:tr>
      <w:tr w:rsidR="00BE4FBD" w:rsidRPr="00C15CAE" w:rsidTr="00173ED2">
        <w:tc>
          <w:tcPr>
            <w:tcW w:w="5000" w:type="pct"/>
            <w:gridSpan w:val="2"/>
            <w:tcBorders>
              <w:top w:val="nil"/>
              <w:left w:val="nil"/>
              <w:bottom w:val="nil"/>
              <w:right w:val="nil"/>
            </w:tcBorders>
          </w:tcPr>
          <w:p w:rsidR="00BE4FBD" w:rsidRPr="00C15CAE" w:rsidRDefault="00BE4FBD" w:rsidP="00C7646D">
            <w:pPr>
              <w:pStyle w:val="ListParagraph"/>
              <w:numPr>
                <w:ilvl w:val="0"/>
                <w:numId w:val="7"/>
              </w:numPr>
              <w:spacing w:after="0"/>
              <w:jc w:val="both"/>
              <w:rPr>
                <w:rFonts w:ascii="Times New Roman" w:hAnsi="Times New Roman" w:cs="Times New Roman"/>
              </w:rPr>
            </w:pPr>
            <w:r w:rsidRPr="00C15CAE">
              <w:rPr>
                <w:rFonts w:ascii="Times New Roman" w:hAnsi="Times New Roman" w:cs="Times New Roman"/>
              </w:rPr>
              <w:t>Eliminišite sve m</w:t>
            </w:r>
            <w:r>
              <w:rPr>
                <w:rFonts w:ascii="Times New Roman" w:hAnsi="Times New Roman" w:cs="Times New Roman"/>
              </w:rPr>
              <w:t>j</w:t>
            </w:r>
            <w:r w:rsidRPr="00C15CAE">
              <w:rPr>
                <w:rFonts w:ascii="Times New Roman" w:hAnsi="Times New Roman" w:cs="Times New Roman"/>
              </w:rPr>
              <w:t>ehuriće i istisnite višak l</w:t>
            </w:r>
            <w:r>
              <w:rPr>
                <w:rFonts w:ascii="Times New Roman" w:hAnsi="Times New Roman" w:cs="Times New Roman"/>
              </w:rPr>
              <w:t>ij</w:t>
            </w:r>
            <w:r w:rsidRPr="00C15CAE">
              <w:rPr>
                <w:rFonts w:ascii="Times New Roman" w:hAnsi="Times New Roman" w:cs="Times New Roman"/>
              </w:rPr>
              <w:t>eka, sporim potiskivanjem klipa dok se cilindričn</w:t>
            </w:r>
            <w:r>
              <w:rPr>
                <w:rFonts w:ascii="Times New Roman" w:hAnsi="Times New Roman" w:cs="Times New Roman"/>
              </w:rPr>
              <w:t>a</w:t>
            </w:r>
            <w:r w:rsidRPr="00C15CAE">
              <w:rPr>
                <w:rFonts w:ascii="Times New Roman" w:hAnsi="Times New Roman" w:cs="Times New Roman"/>
              </w:rPr>
              <w:t xml:space="preserve"> vrh </w:t>
            </w:r>
            <w:r>
              <w:rPr>
                <w:rFonts w:ascii="Times New Roman" w:hAnsi="Times New Roman" w:cs="Times New Roman"/>
              </w:rPr>
              <w:t xml:space="preserve">osnova kupole </w:t>
            </w:r>
            <w:r w:rsidRPr="00C15CAE">
              <w:rPr>
                <w:rFonts w:ascii="Times New Roman" w:hAnsi="Times New Roman" w:cs="Times New Roman"/>
              </w:rPr>
              <w:t>klipa ne izravna sa crnom linijom koja ob</w:t>
            </w:r>
            <w:r>
              <w:rPr>
                <w:rFonts w:ascii="Times New Roman" w:hAnsi="Times New Roman" w:cs="Times New Roman"/>
              </w:rPr>
              <w:t>i</w:t>
            </w:r>
            <w:r w:rsidRPr="00C15CAE">
              <w:rPr>
                <w:rFonts w:ascii="Times New Roman" w:hAnsi="Times New Roman" w:cs="Times New Roman"/>
              </w:rPr>
              <w:t>l</w:t>
            </w:r>
            <w:r>
              <w:rPr>
                <w:rFonts w:ascii="Times New Roman" w:hAnsi="Times New Roman" w:cs="Times New Roman"/>
              </w:rPr>
              <w:t>j</w:t>
            </w:r>
            <w:r w:rsidRPr="00C15CAE">
              <w:rPr>
                <w:rFonts w:ascii="Times New Roman" w:hAnsi="Times New Roman" w:cs="Times New Roman"/>
              </w:rPr>
              <w:t>ežava dozu na špricu (što odgovara 50 mikrolitara).</w:t>
            </w:r>
          </w:p>
        </w:tc>
      </w:tr>
      <w:tr w:rsidR="00BE4FBD" w:rsidRPr="00C15CAE" w:rsidTr="00173ED2">
        <w:trPr>
          <w:trHeight w:val="3928"/>
        </w:trPr>
        <w:tc>
          <w:tcPr>
            <w:tcW w:w="2500" w:type="pct"/>
            <w:tcBorders>
              <w:top w:val="nil"/>
              <w:left w:val="nil"/>
              <w:bottom w:val="nil"/>
              <w:right w:val="nil"/>
            </w:tcBorders>
          </w:tcPr>
          <w:p w:rsidR="00BE4FBD" w:rsidRPr="00C15CAE" w:rsidRDefault="00BE4FBD" w:rsidP="00C7646D">
            <w:pPr>
              <w:pStyle w:val="ListParagraph"/>
              <w:tabs>
                <w:tab w:val="center" w:pos="4536"/>
                <w:tab w:val="right" w:pos="9072"/>
              </w:tabs>
              <w:spacing w:after="0" w:line="240" w:lineRule="auto"/>
              <w:ind w:left="0"/>
              <w:jc w:val="center"/>
              <w:rPr>
                <w:rFonts w:ascii="Times New Roman" w:hAnsi="Times New Roman" w:cs="Times New Roman"/>
              </w:rPr>
            </w:pPr>
            <w:r w:rsidRPr="00C15CAE">
              <w:rPr>
                <w:rFonts w:ascii="Times New Roman" w:hAnsi="Times New Roman" w:cs="Times New Roman"/>
                <w:noProof/>
              </w:rPr>
              <w:lastRenderedPageBreak/>
              <w:drawing>
                <wp:inline distT="0" distB="0" distL="0" distR="0" wp14:anchorId="46BE3A39" wp14:editId="0ACC6A69">
                  <wp:extent cx="2447925" cy="23526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2352675"/>
                          </a:xfrm>
                          <a:prstGeom prst="rect">
                            <a:avLst/>
                          </a:prstGeom>
                          <a:noFill/>
                          <a:ln>
                            <a:noFill/>
                          </a:ln>
                        </pic:spPr>
                      </pic:pic>
                    </a:graphicData>
                  </a:graphic>
                </wp:inline>
              </w:drawing>
            </w:r>
          </w:p>
        </w:tc>
        <w:tc>
          <w:tcPr>
            <w:tcW w:w="2500" w:type="pct"/>
            <w:tcBorders>
              <w:top w:val="nil"/>
              <w:left w:val="nil"/>
              <w:bottom w:val="nil"/>
              <w:right w:val="nil"/>
            </w:tcBorders>
          </w:tcPr>
          <w:p w:rsidR="00BE4FBD" w:rsidRPr="00C15CAE" w:rsidRDefault="00BE4FBD" w:rsidP="00C7646D">
            <w:pPr>
              <w:tabs>
                <w:tab w:val="center" w:pos="4536"/>
                <w:tab w:val="right" w:pos="9072"/>
              </w:tabs>
              <w:spacing w:after="0" w:line="240" w:lineRule="auto"/>
              <w:rPr>
                <w:rFonts w:ascii="Times New Roman" w:hAnsi="Times New Roman" w:cs="Times New Roman"/>
              </w:rPr>
            </w:pPr>
            <w:r w:rsidRPr="00C15CAE">
              <w:rPr>
                <w:rFonts w:ascii="Times New Roman" w:hAnsi="Times New Roman" w:cs="Times New Roman"/>
                <w:noProof/>
              </w:rPr>
              <w:drawing>
                <wp:inline distT="0" distB="0" distL="0" distR="0" wp14:anchorId="5F1AFF7B" wp14:editId="29C7FA83">
                  <wp:extent cx="2847975" cy="2381250"/>
                  <wp:effectExtent l="19050" t="19050" r="28575"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7975" cy="2381250"/>
                          </a:xfrm>
                          <a:prstGeom prst="rect">
                            <a:avLst/>
                          </a:prstGeom>
                          <a:noFill/>
                          <a:ln w="9525" cmpd="sng">
                            <a:solidFill>
                              <a:srgbClr val="000000"/>
                            </a:solidFill>
                            <a:miter lim="800000"/>
                            <a:headEnd/>
                            <a:tailEnd/>
                          </a:ln>
                          <a:effectLst/>
                        </pic:spPr>
                      </pic:pic>
                    </a:graphicData>
                  </a:graphic>
                </wp:inline>
              </w:drawing>
            </w:r>
          </w:p>
        </w:tc>
      </w:tr>
    </w:tbl>
    <w:p w:rsidR="0014616F" w:rsidRPr="0014616F" w:rsidRDefault="0014616F" w:rsidP="00C7646D">
      <w:pPr>
        <w:pStyle w:val="ListParagraph"/>
        <w:numPr>
          <w:ilvl w:val="0"/>
          <w:numId w:val="7"/>
        </w:numPr>
        <w:spacing w:after="0"/>
        <w:jc w:val="both"/>
        <w:rPr>
          <w:rFonts w:ascii="Times New Roman" w:hAnsi="Times New Roman" w:cs="Times New Roman"/>
        </w:rPr>
      </w:pPr>
      <w:r w:rsidRPr="0014616F">
        <w:rPr>
          <w:rFonts w:ascii="Times New Roman" w:hAnsi="Times New Roman" w:cs="Times New Roman"/>
        </w:rPr>
        <w:t xml:space="preserve">Napunjen injekcioni špric je isključivo za jednokratnu upotrebu. </w:t>
      </w:r>
    </w:p>
    <w:p w:rsidR="0014616F" w:rsidRPr="00C15CAE" w:rsidRDefault="0014616F" w:rsidP="00C7646D">
      <w:pPr>
        <w:pStyle w:val="ListParagraph"/>
        <w:spacing w:after="0" w:line="240" w:lineRule="auto"/>
        <w:rPr>
          <w:rFonts w:ascii="Times New Roman" w:hAnsi="Times New Roman" w:cs="Times New Roman"/>
        </w:rPr>
      </w:pPr>
    </w:p>
    <w:p w:rsidR="0014616F" w:rsidRPr="00C15CAE" w:rsidRDefault="0014616F" w:rsidP="00C7646D">
      <w:pPr>
        <w:pStyle w:val="ListParagraph"/>
        <w:spacing w:after="0" w:line="240" w:lineRule="auto"/>
        <w:jc w:val="both"/>
        <w:rPr>
          <w:rFonts w:ascii="Times New Roman" w:hAnsi="Times New Roman" w:cs="Times New Roman"/>
        </w:rPr>
      </w:pPr>
      <w:r w:rsidRPr="00C15CAE">
        <w:rPr>
          <w:rFonts w:ascii="Times New Roman" w:hAnsi="Times New Roman" w:cs="Times New Roman"/>
        </w:rPr>
        <w:t>Neiskorišćen l</w:t>
      </w:r>
      <w:r>
        <w:rPr>
          <w:rFonts w:ascii="Times New Roman" w:hAnsi="Times New Roman" w:cs="Times New Roman"/>
        </w:rPr>
        <w:t>ij</w:t>
      </w:r>
      <w:r w:rsidRPr="00C15CAE">
        <w:rPr>
          <w:rFonts w:ascii="Times New Roman" w:hAnsi="Times New Roman" w:cs="Times New Roman"/>
        </w:rPr>
        <w:t>ek ili otpadni mater</w:t>
      </w:r>
      <w:r>
        <w:rPr>
          <w:rFonts w:ascii="Times New Roman" w:hAnsi="Times New Roman" w:cs="Times New Roman"/>
        </w:rPr>
        <w:t>i</w:t>
      </w:r>
      <w:r w:rsidRPr="00C15CAE">
        <w:rPr>
          <w:rFonts w:ascii="Times New Roman" w:hAnsi="Times New Roman" w:cs="Times New Roman"/>
        </w:rPr>
        <w:t>jal treba ukloniti u skladu sa lokalnim propisima.</w:t>
      </w:r>
    </w:p>
    <w:p w:rsidR="00BE4FBD" w:rsidRDefault="00BE4FBD" w:rsidP="00C7646D">
      <w:pPr>
        <w:spacing w:after="0"/>
        <w:rPr>
          <w:rFonts w:ascii="Times New Roman" w:hAnsi="Times New Roman" w:cs="Times New Roman"/>
          <w:lang w:val="sr-Latn-CS"/>
        </w:rPr>
      </w:pPr>
    </w:p>
    <w:p w:rsidR="0014616F" w:rsidRPr="00295CF7" w:rsidRDefault="0014616F" w:rsidP="00C7646D">
      <w:pPr>
        <w:spacing w:after="0" w:line="240" w:lineRule="auto"/>
        <w:jc w:val="both"/>
        <w:rPr>
          <w:rFonts w:ascii="Times New Roman" w:hAnsi="Times New Roman" w:cs="Times New Roman"/>
          <w:b/>
          <w:noProof/>
          <w:lang w:val="hr-HR"/>
        </w:rPr>
      </w:pPr>
      <w:r w:rsidRPr="00295CF7">
        <w:rPr>
          <w:rFonts w:ascii="Times New Roman" w:hAnsi="Times New Roman" w:cs="Times New Roman"/>
          <w:b/>
          <w:noProof/>
          <w:lang w:val="hr-HR"/>
        </w:rPr>
        <w:t>6.7. Režim izdavanja lijeka</w:t>
      </w:r>
    </w:p>
    <w:p w:rsidR="00C7646D" w:rsidRDefault="00C7646D" w:rsidP="00C7646D">
      <w:pPr>
        <w:tabs>
          <w:tab w:val="left" w:pos="284"/>
          <w:tab w:val="center" w:pos="4536"/>
          <w:tab w:val="right" w:pos="9072"/>
        </w:tabs>
        <w:spacing w:after="0" w:line="240" w:lineRule="auto"/>
        <w:jc w:val="both"/>
        <w:rPr>
          <w:rFonts w:ascii="Times New Roman" w:hAnsi="Times New Roman" w:cs="Times New Roman"/>
        </w:rPr>
      </w:pPr>
    </w:p>
    <w:p w:rsidR="0014616F" w:rsidRPr="003A3B49" w:rsidRDefault="0014616F" w:rsidP="00C7646D">
      <w:pPr>
        <w:tabs>
          <w:tab w:val="left" w:pos="284"/>
          <w:tab w:val="center" w:pos="4536"/>
          <w:tab w:val="right" w:pos="9072"/>
        </w:tabs>
        <w:spacing w:after="0" w:line="240" w:lineRule="auto"/>
        <w:jc w:val="both"/>
        <w:rPr>
          <w:rFonts w:ascii="Times New Roman" w:hAnsi="Times New Roman" w:cs="Times New Roman"/>
        </w:rPr>
      </w:pPr>
      <w:r w:rsidRPr="00295CF7">
        <w:rPr>
          <w:rFonts w:ascii="Times New Roman" w:hAnsi="Times New Roman" w:cs="Times New Roman"/>
        </w:rPr>
        <w:t>Lijek</w:t>
      </w:r>
      <w:r w:rsidRPr="003A3B49">
        <w:rPr>
          <w:rFonts w:ascii="Times New Roman" w:hAnsi="Times New Roman" w:cs="Times New Roman"/>
        </w:rPr>
        <w:t xml:space="preserve"> </w:t>
      </w:r>
      <w:r w:rsidRPr="00295CF7">
        <w:rPr>
          <w:rFonts w:ascii="Times New Roman" w:hAnsi="Times New Roman" w:cs="Times New Roman"/>
        </w:rPr>
        <w:t>se</w:t>
      </w:r>
      <w:r w:rsidRPr="003A3B49">
        <w:rPr>
          <w:rFonts w:ascii="Times New Roman" w:hAnsi="Times New Roman" w:cs="Times New Roman"/>
        </w:rPr>
        <w:t xml:space="preserve"> </w:t>
      </w:r>
      <w:r w:rsidRPr="00295CF7">
        <w:rPr>
          <w:rFonts w:ascii="Times New Roman" w:hAnsi="Times New Roman" w:cs="Times New Roman"/>
        </w:rPr>
        <w:t>mo</w:t>
      </w:r>
      <w:r w:rsidRPr="003A3B49">
        <w:rPr>
          <w:rFonts w:ascii="Times New Roman" w:hAnsi="Times New Roman" w:cs="Times New Roman"/>
        </w:rPr>
        <w:t>ž</w:t>
      </w:r>
      <w:r w:rsidRPr="00295CF7">
        <w:rPr>
          <w:rFonts w:ascii="Times New Roman" w:hAnsi="Times New Roman" w:cs="Times New Roman"/>
        </w:rPr>
        <w:t>e</w:t>
      </w:r>
      <w:r w:rsidRPr="003A3B49">
        <w:rPr>
          <w:rFonts w:ascii="Times New Roman" w:hAnsi="Times New Roman" w:cs="Times New Roman"/>
        </w:rPr>
        <w:t xml:space="preserve"> </w:t>
      </w:r>
      <w:r w:rsidRPr="00295CF7">
        <w:rPr>
          <w:rFonts w:ascii="Times New Roman" w:hAnsi="Times New Roman" w:cs="Times New Roman"/>
        </w:rPr>
        <w:t>upotrebljavati</w:t>
      </w:r>
      <w:r w:rsidRPr="003A3B49">
        <w:rPr>
          <w:rFonts w:ascii="Times New Roman" w:hAnsi="Times New Roman" w:cs="Times New Roman"/>
        </w:rPr>
        <w:t xml:space="preserve"> </w:t>
      </w:r>
      <w:r w:rsidRPr="00295CF7">
        <w:rPr>
          <w:rFonts w:ascii="Times New Roman" w:hAnsi="Times New Roman" w:cs="Times New Roman"/>
        </w:rPr>
        <w:t>samo</w:t>
      </w:r>
      <w:r w:rsidRPr="003A3B49">
        <w:rPr>
          <w:rFonts w:ascii="Times New Roman" w:hAnsi="Times New Roman" w:cs="Times New Roman"/>
        </w:rPr>
        <w:t xml:space="preserve"> </w:t>
      </w:r>
      <w:r w:rsidRPr="00295CF7">
        <w:rPr>
          <w:rFonts w:ascii="Times New Roman" w:hAnsi="Times New Roman" w:cs="Times New Roman"/>
        </w:rPr>
        <w:t>u</w:t>
      </w:r>
      <w:r w:rsidRPr="003A3B49">
        <w:rPr>
          <w:rFonts w:ascii="Times New Roman" w:hAnsi="Times New Roman" w:cs="Times New Roman"/>
        </w:rPr>
        <w:t xml:space="preserve"> </w:t>
      </w:r>
      <w:r w:rsidRPr="00295CF7">
        <w:rPr>
          <w:rFonts w:ascii="Times New Roman" w:hAnsi="Times New Roman" w:cs="Times New Roman"/>
        </w:rPr>
        <w:t>stacionarnoj</w:t>
      </w:r>
      <w:r w:rsidRPr="003A3B49">
        <w:rPr>
          <w:rFonts w:ascii="Times New Roman" w:hAnsi="Times New Roman" w:cs="Times New Roman"/>
        </w:rPr>
        <w:t xml:space="preserve"> </w:t>
      </w:r>
      <w:r w:rsidRPr="00295CF7">
        <w:rPr>
          <w:rFonts w:ascii="Times New Roman" w:hAnsi="Times New Roman" w:cs="Times New Roman"/>
        </w:rPr>
        <w:t>zdravstvenoj</w:t>
      </w:r>
      <w:r w:rsidRPr="003A3B49">
        <w:rPr>
          <w:rFonts w:ascii="Times New Roman" w:hAnsi="Times New Roman" w:cs="Times New Roman"/>
        </w:rPr>
        <w:t xml:space="preserve"> </w:t>
      </w:r>
      <w:r w:rsidRPr="00295CF7">
        <w:rPr>
          <w:rFonts w:ascii="Times New Roman" w:hAnsi="Times New Roman" w:cs="Times New Roman"/>
        </w:rPr>
        <w:t>ustanovi</w:t>
      </w:r>
      <w:r w:rsidRPr="003A3B49">
        <w:rPr>
          <w:rFonts w:ascii="Times New Roman" w:hAnsi="Times New Roman" w:cs="Times New Roman"/>
        </w:rPr>
        <w:t>.</w:t>
      </w:r>
    </w:p>
    <w:p w:rsidR="008843BA" w:rsidRDefault="008843BA" w:rsidP="00C7646D">
      <w:pPr>
        <w:spacing w:after="0"/>
        <w:rPr>
          <w:rFonts w:ascii="Times New Roman" w:hAnsi="Times New Roman" w:cs="Times New Roman"/>
          <w:lang w:val="sr-Latn-CS"/>
        </w:rPr>
      </w:pPr>
    </w:p>
    <w:p w:rsidR="008843BA" w:rsidRPr="008843BA" w:rsidRDefault="008843BA" w:rsidP="00C7646D">
      <w:pPr>
        <w:spacing w:after="0"/>
        <w:rPr>
          <w:rFonts w:ascii="Times New Roman" w:hAnsi="Times New Roman" w:cs="Times New Roman"/>
          <w:b/>
          <w:lang w:val="sr-Latn-CS"/>
        </w:rPr>
      </w:pPr>
      <w:r w:rsidRPr="008843BA">
        <w:rPr>
          <w:rFonts w:ascii="Times New Roman" w:hAnsi="Times New Roman" w:cs="Times New Roman"/>
          <w:b/>
          <w:lang w:val="sr-Latn-CS"/>
        </w:rPr>
        <w:t xml:space="preserve">7. NOSILAC DOZVOLE </w:t>
      </w:r>
    </w:p>
    <w:p w:rsidR="00C7646D" w:rsidRDefault="00C7646D" w:rsidP="00C7646D">
      <w:pPr>
        <w:spacing w:after="0"/>
        <w:rPr>
          <w:rFonts w:ascii="Times New Roman" w:hAnsi="Times New Roman" w:cs="Times New Roman"/>
          <w:lang w:val="sr-Latn-CS"/>
        </w:rPr>
      </w:pPr>
    </w:p>
    <w:p w:rsidR="00926744" w:rsidRDefault="00926744" w:rsidP="00C7646D">
      <w:pPr>
        <w:spacing w:after="0"/>
        <w:rPr>
          <w:rFonts w:ascii="Times New Roman" w:hAnsi="Times New Roman" w:cs="Times New Roman"/>
          <w:lang w:val="sr-Latn-CS"/>
        </w:rPr>
      </w:pPr>
      <w:r w:rsidRPr="00926744">
        <w:rPr>
          <w:rFonts w:ascii="Times New Roman" w:hAnsi="Times New Roman" w:cs="Times New Roman"/>
          <w:lang w:val="sr-Latn-CS"/>
        </w:rPr>
        <w:t>Evropa Lek Pharma d.o.o. Podgorica</w:t>
      </w:r>
    </w:p>
    <w:p w:rsidR="008843BA" w:rsidRDefault="008843BA" w:rsidP="00C7646D">
      <w:pPr>
        <w:spacing w:after="0"/>
        <w:rPr>
          <w:rFonts w:ascii="Times New Roman" w:hAnsi="Times New Roman" w:cs="Times New Roman"/>
          <w:lang w:val="sr-Latn-CS"/>
        </w:rPr>
      </w:pPr>
      <w:r w:rsidRPr="008843BA">
        <w:rPr>
          <w:rFonts w:ascii="Times New Roman" w:hAnsi="Times New Roman" w:cs="Times New Roman"/>
          <w:lang w:val="sr-Latn-CS"/>
        </w:rPr>
        <w:t>Kritskog odreda 4/1, 81000 Podgorica</w:t>
      </w:r>
      <w:r w:rsidR="00926744">
        <w:rPr>
          <w:rFonts w:ascii="Times New Roman" w:hAnsi="Times New Roman" w:cs="Times New Roman"/>
          <w:lang w:val="sr-Latn-CS"/>
        </w:rPr>
        <w:t>, Crna Gora</w:t>
      </w:r>
      <w:bookmarkStart w:id="0" w:name="_GoBack"/>
      <w:bookmarkEnd w:id="0"/>
    </w:p>
    <w:p w:rsidR="00C70FD1" w:rsidRDefault="00C70FD1" w:rsidP="00C7646D">
      <w:pPr>
        <w:spacing w:after="0"/>
        <w:rPr>
          <w:rFonts w:ascii="Times New Roman" w:hAnsi="Times New Roman" w:cs="Times New Roman"/>
          <w:lang w:val="sr-Latn-CS"/>
        </w:rPr>
      </w:pPr>
    </w:p>
    <w:p w:rsidR="008843BA" w:rsidRDefault="008843BA" w:rsidP="00C7646D">
      <w:pPr>
        <w:spacing w:after="0"/>
        <w:rPr>
          <w:rFonts w:ascii="Times New Roman" w:hAnsi="Times New Roman" w:cs="Times New Roman"/>
          <w:b/>
          <w:lang w:val="sr-Latn-CS"/>
        </w:rPr>
      </w:pPr>
      <w:r w:rsidRPr="008843BA">
        <w:rPr>
          <w:rFonts w:ascii="Times New Roman" w:hAnsi="Times New Roman" w:cs="Times New Roman"/>
          <w:b/>
          <w:lang w:val="sr-Latn-CS"/>
        </w:rPr>
        <w:t>8. BROJ PRVE DOZVOLE/OBNOVE DOZVOLE</w:t>
      </w:r>
    </w:p>
    <w:p w:rsidR="008843BA" w:rsidRDefault="008843BA" w:rsidP="00C7646D">
      <w:pPr>
        <w:spacing w:after="0"/>
        <w:rPr>
          <w:rFonts w:ascii="Times New Roman" w:hAnsi="Times New Roman" w:cs="Times New Roman"/>
          <w:b/>
          <w:lang w:val="sr-Latn-CS"/>
        </w:rPr>
      </w:pPr>
    </w:p>
    <w:p w:rsidR="00C7646D" w:rsidRPr="00C70FD1" w:rsidRDefault="00C70FD1" w:rsidP="00C70FD1">
      <w:pPr>
        <w:spacing w:after="0"/>
        <w:rPr>
          <w:rFonts w:ascii="Times New Roman" w:hAnsi="Times New Roman" w:cs="Times New Roman"/>
          <w:lang w:val="sr-Latn-CS"/>
        </w:rPr>
      </w:pPr>
      <w:r w:rsidRPr="00C70FD1">
        <w:rPr>
          <w:rFonts w:ascii="Times New Roman" w:hAnsi="Times New Roman" w:cs="Times New Roman"/>
          <w:lang w:val="sr-Latn-CS"/>
        </w:rPr>
        <w:t>Eylea®, rastvor za injekciju, 40 mg/ml, napunjeni injekcioni špric, 1x0,09ml</w:t>
      </w:r>
      <w:r>
        <w:rPr>
          <w:rFonts w:ascii="Times New Roman" w:hAnsi="Times New Roman" w:cs="Times New Roman"/>
          <w:lang w:val="sr-Latn-CS"/>
        </w:rPr>
        <w:t xml:space="preserve">: </w:t>
      </w:r>
      <w:r w:rsidRPr="00C70FD1">
        <w:rPr>
          <w:rFonts w:ascii="Times New Roman" w:hAnsi="Times New Roman" w:cs="Times New Roman"/>
          <w:lang w:val="sr-Latn-CS"/>
        </w:rPr>
        <w:t>2030/15/196 - 4516</w:t>
      </w:r>
    </w:p>
    <w:p w:rsidR="00C7646D" w:rsidRDefault="00C7646D" w:rsidP="00C7646D">
      <w:pPr>
        <w:spacing w:after="0"/>
        <w:rPr>
          <w:rFonts w:ascii="Times New Roman" w:hAnsi="Times New Roman" w:cs="Times New Roman"/>
          <w:b/>
          <w:lang w:val="sr-Latn-CS"/>
        </w:rPr>
      </w:pPr>
    </w:p>
    <w:p w:rsidR="00F86C4D" w:rsidRDefault="00F86C4D" w:rsidP="00C7646D">
      <w:pPr>
        <w:spacing w:after="0"/>
        <w:rPr>
          <w:rFonts w:ascii="Times New Roman" w:hAnsi="Times New Roman" w:cs="Times New Roman"/>
          <w:b/>
          <w:lang w:val="sr-Latn-CS"/>
        </w:rPr>
      </w:pPr>
    </w:p>
    <w:p w:rsidR="008843BA" w:rsidRDefault="008843BA" w:rsidP="00C7646D">
      <w:pPr>
        <w:spacing w:after="0"/>
        <w:rPr>
          <w:rFonts w:ascii="Times New Roman" w:hAnsi="Times New Roman" w:cs="Times New Roman"/>
          <w:b/>
          <w:lang w:val="sr-Latn-CS"/>
        </w:rPr>
      </w:pPr>
      <w:r w:rsidRPr="008843BA">
        <w:rPr>
          <w:rFonts w:ascii="Times New Roman" w:hAnsi="Times New Roman" w:cs="Times New Roman"/>
          <w:b/>
          <w:lang w:val="sr-Latn-CS"/>
        </w:rPr>
        <w:t>9. DATUM PRVE DOZVOLE/DATUM OBNOVE DOZVOLE</w:t>
      </w:r>
    </w:p>
    <w:p w:rsidR="008843BA" w:rsidRDefault="008843BA" w:rsidP="00C7646D">
      <w:pPr>
        <w:spacing w:after="0"/>
        <w:rPr>
          <w:rFonts w:ascii="Times New Roman" w:hAnsi="Times New Roman" w:cs="Times New Roman"/>
          <w:b/>
          <w:lang w:val="sr-Latn-CS"/>
        </w:rPr>
      </w:pPr>
    </w:p>
    <w:p w:rsidR="00C7646D" w:rsidRDefault="00C70FD1" w:rsidP="00C7646D">
      <w:pPr>
        <w:spacing w:after="0"/>
        <w:rPr>
          <w:rFonts w:ascii="Times New Roman" w:hAnsi="Times New Roman" w:cs="Times New Roman"/>
          <w:b/>
          <w:lang w:val="sr-Latn-CS"/>
        </w:rPr>
      </w:pPr>
      <w:r w:rsidRPr="00C70FD1">
        <w:rPr>
          <w:rFonts w:ascii="Times New Roman" w:hAnsi="Times New Roman" w:cs="Times New Roman"/>
          <w:lang w:val="sr-Latn-CS"/>
        </w:rPr>
        <w:t>Eylea®, rastvor za injekciju, 40 mg/ml, napunjeni injekcioni špric, 1x0,09ml</w:t>
      </w:r>
      <w:r>
        <w:rPr>
          <w:rFonts w:ascii="Times New Roman" w:hAnsi="Times New Roman" w:cs="Times New Roman"/>
          <w:lang w:val="sr-Latn-CS"/>
        </w:rPr>
        <w:t xml:space="preserve">: </w:t>
      </w:r>
      <w:r w:rsidRPr="00C70FD1">
        <w:rPr>
          <w:rFonts w:ascii="Times New Roman" w:hAnsi="Times New Roman" w:cs="Times New Roman"/>
          <w:lang w:val="sr-Latn-CS"/>
        </w:rPr>
        <w:t>11.05.2015. godine</w:t>
      </w:r>
    </w:p>
    <w:p w:rsidR="00C7646D" w:rsidRDefault="00C7646D" w:rsidP="00C7646D">
      <w:pPr>
        <w:spacing w:after="0"/>
        <w:rPr>
          <w:rFonts w:ascii="Times New Roman" w:hAnsi="Times New Roman" w:cs="Times New Roman"/>
          <w:b/>
          <w:lang w:val="sr-Latn-CS"/>
        </w:rPr>
      </w:pPr>
    </w:p>
    <w:p w:rsidR="00F86C4D" w:rsidRDefault="00F86C4D" w:rsidP="00C7646D">
      <w:pPr>
        <w:spacing w:after="0"/>
        <w:rPr>
          <w:rFonts w:ascii="Times New Roman" w:hAnsi="Times New Roman" w:cs="Times New Roman"/>
          <w:b/>
          <w:lang w:val="sr-Latn-CS"/>
        </w:rPr>
      </w:pPr>
    </w:p>
    <w:p w:rsidR="008843BA" w:rsidRPr="00173ED2" w:rsidRDefault="008843BA" w:rsidP="00C7646D">
      <w:pPr>
        <w:pStyle w:val="ListParagraph"/>
        <w:numPr>
          <w:ilvl w:val="0"/>
          <w:numId w:val="7"/>
        </w:numPr>
        <w:spacing w:after="0"/>
        <w:ind w:left="426" w:hanging="426"/>
        <w:rPr>
          <w:rFonts w:ascii="Times New Roman" w:hAnsi="Times New Roman" w:cs="Times New Roman"/>
          <w:b/>
          <w:lang w:val="sr-Latn-CS"/>
        </w:rPr>
      </w:pPr>
      <w:r w:rsidRPr="00D20B86">
        <w:rPr>
          <w:rFonts w:ascii="Times New Roman" w:hAnsi="Times New Roman" w:cs="Times New Roman"/>
          <w:b/>
          <w:lang w:val="sr-Latn-CS"/>
        </w:rPr>
        <w:t>DATUM  POSLEDNJE RE</w:t>
      </w:r>
      <w:r w:rsidR="00D20B86" w:rsidRPr="00D20B86">
        <w:rPr>
          <w:rFonts w:ascii="Times New Roman" w:hAnsi="Times New Roman" w:cs="Times New Roman"/>
          <w:b/>
          <w:lang w:val="sr-Latn-CS"/>
        </w:rPr>
        <w:t xml:space="preserve">VIZIJE TEKSTA  SAŽETKA OSNOVNIH </w:t>
      </w:r>
      <w:r w:rsidR="00D20B86" w:rsidRPr="00173ED2">
        <w:rPr>
          <w:rFonts w:ascii="Times New Roman" w:hAnsi="Times New Roman" w:cs="Times New Roman"/>
          <w:b/>
          <w:lang w:val="sr-Latn-CS"/>
        </w:rPr>
        <w:t xml:space="preserve"> </w:t>
      </w:r>
      <w:r w:rsidRPr="00173ED2">
        <w:rPr>
          <w:rFonts w:ascii="Times New Roman" w:hAnsi="Times New Roman" w:cs="Times New Roman"/>
          <w:b/>
          <w:lang w:val="sr-Latn-CS"/>
        </w:rPr>
        <w:t>KARAKTERISTIKA LIJEKA</w:t>
      </w:r>
    </w:p>
    <w:p w:rsidR="008843BA" w:rsidRDefault="008843BA" w:rsidP="00C7646D">
      <w:pPr>
        <w:spacing w:after="0"/>
        <w:rPr>
          <w:rFonts w:ascii="Times New Roman" w:hAnsi="Times New Roman" w:cs="Times New Roman"/>
          <w:b/>
          <w:lang w:val="sr-Latn-CS"/>
        </w:rPr>
      </w:pPr>
    </w:p>
    <w:p w:rsidR="00C70FD1" w:rsidRPr="00C70FD1" w:rsidRDefault="00C70FD1" w:rsidP="00C7646D">
      <w:pPr>
        <w:spacing w:after="0"/>
        <w:rPr>
          <w:rFonts w:ascii="Times New Roman" w:hAnsi="Times New Roman" w:cs="Times New Roman"/>
          <w:lang w:val="sr-Latn-CS"/>
        </w:rPr>
      </w:pPr>
      <w:r>
        <w:rPr>
          <w:rFonts w:ascii="Times New Roman" w:hAnsi="Times New Roman" w:cs="Times New Roman"/>
          <w:lang w:val="sr-Latn-CS"/>
        </w:rPr>
        <w:t>Maj, 2015. godine</w:t>
      </w:r>
    </w:p>
    <w:sectPr w:rsidR="00C70FD1" w:rsidRPr="00C70FD1" w:rsidSect="00B1108D">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0A" w:rsidRDefault="0073390A" w:rsidP="00DF47DD">
      <w:pPr>
        <w:spacing w:after="0" w:line="240" w:lineRule="auto"/>
      </w:pPr>
      <w:r>
        <w:separator/>
      </w:r>
    </w:p>
  </w:endnote>
  <w:endnote w:type="continuationSeparator" w:id="0">
    <w:p w:rsidR="0073390A" w:rsidRDefault="0073390A" w:rsidP="00DF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012" w:rsidRPr="00C14012" w:rsidRDefault="00C14012" w:rsidP="00C14012">
    <w:pPr>
      <w:framePr w:wrap="around" w:vAnchor="text" w:hAnchor="margin" w:xAlign="right" w:y="1"/>
      <w:tabs>
        <w:tab w:val="center" w:pos="4320"/>
        <w:tab w:val="right" w:pos="8640"/>
      </w:tabs>
      <w:spacing w:after="0" w:line="240" w:lineRule="auto"/>
      <w:rPr>
        <w:rFonts w:ascii="Times New Roman" w:eastAsia="Times New Roman" w:hAnsi="Times New Roman" w:cs="Times New Roman"/>
        <w:sz w:val="20"/>
        <w:szCs w:val="20"/>
        <w:lang w:val="sr-Latn-ME"/>
      </w:rPr>
    </w:pPr>
  </w:p>
  <w:p w:rsidR="00C14012" w:rsidRPr="00C14012" w:rsidRDefault="00C14012" w:rsidP="00C1401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14012" w:rsidRPr="00C14012" w:rsidRDefault="00C14012" w:rsidP="00C1401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C14012">
      <w:rPr>
        <w:rFonts w:ascii="Times New Roman" w:eastAsia="Times New Roman" w:hAnsi="Times New Roman" w:cs="Times New Roman"/>
        <w:color w:val="FA0000"/>
        <w:sz w:val="16"/>
        <w:szCs w:val="18"/>
        <w:lang w:val="sr-Latn-ME"/>
      </w:rPr>
      <w:t>Agencija za ljekove i medicinska sredstva Crne Gore,</w:t>
    </w:r>
    <w:r w:rsidRPr="00C14012">
      <w:rPr>
        <w:rFonts w:ascii="Times New Roman" w:eastAsia="Times New Roman" w:hAnsi="Times New Roman" w:cs="Times New Roman"/>
        <w:sz w:val="16"/>
        <w:szCs w:val="18"/>
        <w:lang w:val="sr-Latn-ME"/>
      </w:rPr>
      <w:t xml:space="preserve"> </w:t>
    </w:r>
    <w:r w:rsidRPr="00C14012">
      <w:rPr>
        <w:rFonts w:ascii="Times New Roman" w:eastAsia="Times New Roman" w:hAnsi="Times New Roman" w:cs="Times New Roman"/>
        <w:color w:val="E65900"/>
        <w:sz w:val="16"/>
        <w:szCs w:val="18"/>
        <w:lang w:val="sr-Latn-ME"/>
      </w:rPr>
      <w:t>81000 Podgorica, Bul. Ivana Crnojevića 64a</w:t>
    </w:r>
  </w:p>
  <w:p w:rsidR="00C14012" w:rsidRPr="00C14012" w:rsidRDefault="00C14012" w:rsidP="00C1401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C14012">
      <w:rPr>
        <w:rFonts w:ascii="Times New Roman" w:eastAsia="Times New Roman" w:hAnsi="Times New Roman" w:cs="Times New Roman"/>
        <w:color w:val="E65900"/>
        <w:sz w:val="16"/>
        <w:szCs w:val="18"/>
        <w:lang w:val="sr-Latn-ME"/>
      </w:rPr>
      <w:t xml:space="preserve">tel: +382 (0) 20 310 280  </w:t>
    </w:r>
    <w:r w:rsidRPr="00C14012">
      <w:rPr>
        <w:rFonts w:ascii="Times New Roman" w:eastAsia="Times New Roman" w:hAnsi="Times New Roman" w:cs="Times New Roman"/>
        <w:color w:val="FA0000"/>
        <w:sz w:val="16"/>
        <w:szCs w:val="18"/>
        <w:lang w:val="sr-Latn-ME"/>
      </w:rPr>
      <w:t>fax: +382 (0) 20 310 581,</w:t>
    </w:r>
    <w:r w:rsidRPr="00C14012">
      <w:rPr>
        <w:rFonts w:ascii="Times New Roman" w:eastAsia="Times New Roman" w:hAnsi="Times New Roman" w:cs="Times New Roman"/>
        <w:sz w:val="16"/>
        <w:szCs w:val="18"/>
        <w:lang w:val="sr-Latn-ME"/>
      </w:rPr>
      <w:t xml:space="preserve"> </w:t>
    </w:r>
    <w:r w:rsidRPr="00C14012">
      <w:rPr>
        <w:rFonts w:ascii="Times New Roman" w:eastAsia="Times New Roman" w:hAnsi="Times New Roman" w:cs="Times New Roman"/>
        <w:color w:val="E65900"/>
        <w:sz w:val="16"/>
        <w:szCs w:val="18"/>
        <w:lang w:val="sr-Latn-ME"/>
      </w:rPr>
      <w:t>e-mail: info@calims.me,</w:t>
    </w:r>
    <w:r w:rsidRPr="00C14012">
      <w:rPr>
        <w:rFonts w:ascii="Times New Roman" w:eastAsia="Times New Roman" w:hAnsi="Times New Roman" w:cs="Times New Roman"/>
        <w:sz w:val="16"/>
        <w:szCs w:val="18"/>
        <w:lang w:val="sr-Latn-ME"/>
      </w:rPr>
      <w:t xml:space="preserve"> </w:t>
    </w:r>
    <w:r w:rsidRPr="00C14012">
      <w:rPr>
        <w:rFonts w:ascii="Times New Roman" w:eastAsia="Times New Roman" w:hAnsi="Times New Roman" w:cs="Times New Roman"/>
        <w:color w:val="FA0000"/>
        <w:sz w:val="16"/>
        <w:szCs w:val="18"/>
        <w:lang w:val="sr-Latn-ME"/>
      </w:rPr>
      <w:t>www.calims.me</w:t>
    </w:r>
    <w:r w:rsidRPr="00C14012">
      <w:rPr>
        <w:rFonts w:ascii="Times New Roman" w:eastAsia="Times New Roman" w:hAnsi="Times New Roman" w:cs="Times New Roman"/>
        <w:sz w:val="16"/>
        <w:szCs w:val="18"/>
        <w:lang w:val="sr-Latn-ME"/>
      </w:rPr>
      <w:t xml:space="preserve">, </w:t>
    </w:r>
    <w:r w:rsidRPr="00C14012">
      <w:rPr>
        <w:rFonts w:ascii="Times New Roman" w:eastAsia="Times New Roman" w:hAnsi="Times New Roman" w:cs="Times New Roman"/>
        <w:color w:val="E65900"/>
        <w:sz w:val="16"/>
        <w:szCs w:val="18"/>
        <w:lang w:val="sr-Latn-ME"/>
      </w:rPr>
      <w:t>PIB: 02739658,</w:t>
    </w:r>
    <w:r w:rsidRPr="00C14012">
      <w:rPr>
        <w:rFonts w:ascii="Times New Roman" w:eastAsia="Times New Roman" w:hAnsi="Times New Roman" w:cs="Times New Roman"/>
        <w:sz w:val="16"/>
        <w:szCs w:val="18"/>
        <w:lang w:val="sr-Latn-ME"/>
      </w:rPr>
      <w:t xml:space="preserve"> </w:t>
    </w:r>
    <w:r w:rsidRPr="00C14012">
      <w:rPr>
        <w:rFonts w:ascii="Times New Roman" w:eastAsia="Times New Roman" w:hAnsi="Times New Roman" w:cs="Times New Roman"/>
        <w:color w:val="FA0000"/>
        <w:sz w:val="16"/>
        <w:szCs w:val="18"/>
        <w:lang w:val="sr-Latn-ME"/>
      </w:rPr>
      <w:t>žiro račun: 520-3603-33</w:t>
    </w:r>
  </w:p>
  <w:p w:rsidR="00C14012" w:rsidRPr="00C14012" w:rsidRDefault="00C14012" w:rsidP="00C1401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14012" w:rsidRPr="00C14012" w:rsidRDefault="00C14012" w:rsidP="00C14012">
    <w:pPr>
      <w:tabs>
        <w:tab w:val="center" w:pos="4320"/>
        <w:tab w:val="right" w:pos="8640"/>
      </w:tabs>
      <w:spacing w:after="0" w:line="240" w:lineRule="auto"/>
      <w:rPr>
        <w:rFonts w:ascii="Times New Roman" w:eastAsia="Times New Roman" w:hAnsi="Times New Roman" w:cs="Times New Roman"/>
        <w:sz w:val="20"/>
        <w:szCs w:val="20"/>
        <w:lang w:val="sr-Latn-ME"/>
      </w:rPr>
    </w:pPr>
  </w:p>
  <w:p w:rsidR="00C14012" w:rsidRPr="00C14012" w:rsidRDefault="00C14012" w:rsidP="00C14012">
    <w:pPr>
      <w:tabs>
        <w:tab w:val="center" w:pos="4320"/>
        <w:tab w:val="right" w:pos="8640"/>
      </w:tabs>
      <w:spacing w:after="0" w:line="240" w:lineRule="auto"/>
      <w:jc w:val="center"/>
      <w:rPr>
        <w:rFonts w:ascii="Times New Roman" w:eastAsia="Times New Roman" w:hAnsi="Times New Roman" w:cs="Times New Roman"/>
        <w:lang w:val="sr-Latn-ME"/>
      </w:rPr>
    </w:pPr>
    <w:r w:rsidRPr="00C14012">
      <w:rPr>
        <w:rFonts w:ascii="Times New Roman" w:eastAsia="Times New Roman" w:hAnsi="Times New Roman" w:cs="Times New Roman"/>
        <w:sz w:val="20"/>
        <w:szCs w:val="20"/>
        <w:lang w:val="sr-Latn-ME"/>
      </w:rPr>
      <w:fldChar w:fldCharType="begin"/>
    </w:r>
    <w:r w:rsidRPr="00C14012">
      <w:rPr>
        <w:rFonts w:ascii="Times New Roman" w:eastAsia="Times New Roman" w:hAnsi="Times New Roman" w:cs="Times New Roman"/>
        <w:sz w:val="20"/>
        <w:szCs w:val="20"/>
        <w:lang w:val="sr-Latn-ME"/>
      </w:rPr>
      <w:instrText xml:space="preserve"> PAGE </w:instrText>
    </w:r>
    <w:r w:rsidRPr="00C14012">
      <w:rPr>
        <w:rFonts w:ascii="Times New Roman" w:eastAsia="Times New Roman" w:hAnsi="Times New Roman" w:cs="Times New Roman"/>
        <w:sz w:val="20"/>
        <w:szCs w:val="20"/>
        <w:lang w:val="sr-Latn-ME"/>
      </w:rPr>
      <w:fldChar w:fldCharType="separate"/>
    </w:r>
    <w:r w:rsidR="00926744">
      <w:rPr>
        <w:rFonts w:ascii="Times New Roman" w:eastAsia="Times New Roman" w:hAnsi="Times New Roman" w:cs="Times New Roman"/>
        <w:noProof/>
        <w:sz w:val="20"/>
        <w:szCs w:val="20"/>
        <w:lang w:val="sr-Latn-ME"/>
      </w:rPr>
      <w:t>32</w:t>
    </w:r>
    <w:r w:rsidRPr="00C14012">
      <w:rPr>
        <w:rFonts w:ascii="Times New Roman" w:eastAsia="Times New Roman" w:hAnsi="Times New Roman" w:cs="Times New Roman"/>
        <w:sz w:val="20"/>
        <w:szCs w:val="20"/>
        <w:lang w:val="sr-Latn-ME"/>
      </w:rPr>
      <w:fldChar w:fldCharType="end"/>
    </w:r>
    <w:r w:rsidRPr="00C14012">
      <w:rPr>
        <w:rFonts w:ascii="Times New Roman" w:eastAsia="Times New Roman" w:hAnsi="Times New Roman" w:cs="Times New Roman"/>
        <w:sz w:val="20"/>
        <w:szCs w:val="20"/>
        <w:lang w:val="sr-Latn-ME"/>
      </w:rPr>
      <w:t xml:space="preserve"> / </w:t>
    </w:r>
    <w:r w:rsidRPr="00C14012">
      <w:rPr>
        <w:rFonts w:ascii="Times New Roman" w:eastAsia="Times New Roman" w:hAnsi="Times New Roman" w:cs="Times New Roman"/>
        <w:sz w:val="20"/>
        <w:szCs w:val="20"/>
        <w:lang w:val="sr-Latn-ME"/>
      </w:rPr>
      <w:fldChar w:fldCharType="begin"/>
    </w:r>
    <w:r w:rsidRPr="00C14012">
      <w:rPr>
        <w:rFonts w:ascii="Times New Roman" w:eastAsia="Times New Roman" w:hAnsi="Times New Roman" w:cs="Times New Roman"/>
        <w:sz w:val="20"/>
        <w:szCs w:val="20"/>
        <w:lang w:val="sr-Latn-ME"/>
      </w:rPr>
      <w:instrText xml:space="preserve"> NUMPAGES </w:instrText>
    </w:r>
    <w:r w:rsidRPr="00C14012">
      <w:rPr>
        <w:rFonts w:ascii="Times New Roman" w:eastAsia="Times New Roman" w:hAnsi="Times New Roman" w:cs="Times New Roman"/>
        <w:sz w:val="20"/>
        <w:szCs w:val="20"/>
        <w:lang w:val="sr-Latn-ME"/>
      </w:rPr>
      <w:fldChar w:fldCharType="separate"/>
    </w:r>
    <w:r w:rsidR="00926744">
      <w:rPr>
        <w:rFonts w:ascii="Times New Roman" w:eastAsia="Times New Roman" w:hAnsi="Times New Roman" w:cs="Times New Roman"/>
        <w:noProof/>
        <w:sz w:val="20"/>
        <w:szCs w:val="20"/>
        <w:lang w:val="sr-Latn-ME"/>
      </w:rPr>
      <w:t>32</w:t>
    </w:r>
    <w:r w:rsidRPr="00C14012">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0A" w:rsidRDefault="0073390A" w:rsidP="00DF47DD">
      <w:pPr>
        <w:spacing w:after="0" w:line="240" w:lineRule="auto"/>
      </w:pPr>
      <w:r>
        <w:separator/>
      </w:r>
    </w:p>
  </w:footnote>
  <w:footnote w:type="continuationSeparator" w:id="0">
    <w:p w:rsidR="0073390A" w:rsidRDefault="0073390A" w:rsidP="00DF4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012" w:rsidRPr="00C14012" w:rsidRDefault="00C14012" w:rsidP="00C14012">
    <w:pPr>
      <w:pStyle w:val="Header"/>
      <w:pBdr>
        <w:top w:val="thinThickSmallGap" w:sz="24" w:space="2" w:color="auto"/>
      </w:pBdr>
    </w:pPr>
    <w:r>
      <w:rPr>
        <w:noProof/>
        <w:sz w:val="16"/>
        <w:szCs w:val="16"/>
      </w:rPr>
      <w:drawing>
        <wp:inline distT="0" distB="0" distL="0" distR="0" wp14:anchorId="5351F981" wp14:editId="0ADDAFB2">
          <wp:extent cx="1419225" cy="969010"/>
          <wp:effectExtent l="0" t="0" r="9525" b="254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690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457C"/>
    <w:multiLevelType w:val="hybridMultilevel"/>
    <w:tmpl w:val="7702F210"/>
    <w:lvl w:ilvl="0" w:tplc="241A0011">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 w15:restartNumberingAfterBreak="0">
    <w:nsid w:val="124E5DCE"/>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7741CF"/>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A70552"/>
    <w:multiLevelType w:val="hybridMultilevel"/>
    <w:tmpl w:val="A504FDD2"/>
    <w:lvl w:ilvl="0" w:tplc="2C1A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1F250D32"/>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5B3A56"/>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B66ECE"/>
    <w:multiLevelType w:val="hybridMultilevel"/>
    <w:tmpl w:val="6B10B8D6"/>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7" w15:restartNumberingAfterBreak="0">
    <w:nsid w:val="32774F78"/>
    <w:multiLevelType w:val="hybridMultilevel"/>
    <w:tmpl w:val="D43C849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333774DC"/>
    <w:multiLevelType w:val="hybridMultilevel"/>
    <w:tmpl w:val="F5F0BE4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1440"/>
        </w:tabs>
        <w:ind w:left="144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48EB123D"/>
    <w:multiLevelType w:val="hybridMultilevel"/>
    <w:tmpl w:val="F15A9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A63ED"/>
    <w:multiLevelType w:val="hybridMultilevel"/>
    <w:tmpl w:val="3140E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A55CE"/>
    <w:multiLevelType w:val="hybridMultilevel"/>
    <w:tmpl w:val="F86E3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BB3761"/>
    <w:multiLevelType w:val="hybridMultilevel"/>
    <w:tmpl w:val="F36C08F8"/>
    <w:lvl w:ilvl="0" w:tplc="7C068D9A">
      <w:start w:val="1"/>
      <w:numFmt w:val="upperLetter"/>
      <w:lvlText w:val="%1)"/>
      <w:lvlJc w:val="left"/>
      <w:pPr>
        <w:ind w:left="360" w:hanging="360"/>
      </w:pPr>
      <w:rPr>
        <w:rFonts w:hint="default"/>
        <w:color w:val="auto"/>
        <w:sz w:val="22"/>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633D04"/>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374107"/>
    <w:multiLevelType w:val="hybridMultilevel"/>
    <w:tmpl w:val="B5FAD5B6"/>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15:restartNumberingAfterBreak="0">
    <w:nsid w:val="660C24B0"/>
    <w:multiLevelType w:val="hybridMultilevel"/>
    <w:tmpl w:val="D542E99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7BB4F5F"/>
    <w:multiLevelType w:val="hybridMultilevel"/>
    <w:tmpl w:val="75B04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DBD3EC0"/>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566501"/>
    <w:multiLevelType w:val="hybridMultilevel"/>
    <w:tmpl w:val="72908A9A"/>
    <w:lvl w:ilvl="0" w:tplc="A07E719E">
      <w:start w:val="1"/>
      <w:numFmt w:val="upperLetter"/>
      <w:lvlText w:val="%1)"/>
      <w:lvlJc w:val="left"/>
      <w:pPr>
        <w:ind w:left="720" w:hanging="360"/>
      </w:pPr>
      <w:rPr>
        <w:rFonts w:hint="default"/>
        <w:vertAlign w:val="superscrip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15:restartNumberingAfterBreak="0">
    <w:nsid w:val="76770F4D"/>
    <w:multiLevelType w:val="hybridMultilevel"/>
    <w:tmpl w:val="4282F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B66ACC"/>
    <w:multiLevelType w:val="hybridMultilevel"/>
    <w:tmpl w:val="9356F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8D7037"/>
    <w:multiLevelType w:val="hybridMultilevel"/>
    <w:tmpl w:val="9876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8"/>
  </w:num>
  <w:num w:numId="4">
    <w:abstractNumId w:val="14"/>
  </w:num>
  <w:num w:numId="5">
    <w:abstractNumId w:val="19"/>
  </w:num>
  <w:num w:numId="6">
    <w:abstractNumId w:val="11"/>
  </w:num>
  <w:num w:numId="7">
    <w:abstractNumId w:val="13"/>
  </w:num>
  <w:num w:numId="8">
    <w:abstractNumId w:val="17"/>
  </w:num>
  <w:num w:numId="9">
    <w:abstractNumId w:val="2"/>
  </w:num>
  <w:num w:numId="10">
    <w:abstractNumId w:val="5"/>
  </w:num>
  <w:num w:numId="11">
    <w:abstractNumId w:val="20"/>
  </w:num>
  <w:num w:numId="12">
    <w:abstractNumId w:val="1"/>
  </w:num>
  <w:num w:numId="13">
    <w:abstractNumId w:val="8"/>
  </w:num>
  <w:num w:numId="14">
    <w:abstractNumId w:val="15"/>
  </w:num>
  <w:num w:numId="15">
    <w:abstractNumId w:val="16"/>
  </w:num>
  <w:num w:numId="16">
    <w:abstractNumId w:val="21"/>
  </w:num>
  <w:num w:numId="17">
    <w:abstractNumId w:val="10"/>
  </w:num>
  <w:num w:numId="18">
    <w:abstractNumId w:val="12"/>
  </w:num>
  <w:num w:numId="19">
    <w:abstractNumId w:val="7"/>
  </w:num>
  <w:num w:numId="20">
    <w:abstractNumId w:val="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C1"/>
    <w:rsid w:val="0000314F"/>
    <w:rsid w:val="000104A1"/>
    <w:rsid w:val="00010958"/>
    <w:rsid w:val="000132BB"/>
    <w:rsid w:val="00013FF2"/>
    <w:rsid w:val="0001700B"/>
    <w:rsid w:val="00023A67"/>
    <w:rsid w:val="000276C4"/>
    <w:rsid w:val="00027D27"/>
    <w:rsid w:val="0003030B"/>
    <w:rsid w:val="00030B65"/>
    <w:rsid w:val="00032222"/>
    <w:rsid w:val="000325E0"/>
    <w:rsid w:val="00033FBD"/>
    <w:rsid w:val="00041098"/>
    <w:rsid w:val="000450E9"/>
    <w:rsid w:val="00045DCC"/>
    <w:rsid w:val="00054783"/>
    <w:rsid w:val="000608E2"/>
    <w:rsid w:val="000637AF"/>
    <w:rsid w:val="0006441D"/>
    <w:rsid w:val="00066F8B"/>
    <w:rsid w:val="000675F6"/>
    <w:rsid w:val="000737A9"/>
    <w:rsid w:val="00074CAA"/>
    <w:rsid w:val="00075C8A"/>
    <w:rsid w:val="0007605D"/>
    <w:rsid w:val="00082853"/>
    <w:rsid w:val="0008452A"/>
    <w:rsid w:val="00086E38"/>
    <w:rsid w:val="00087356"/>
    <w:rsid w:val="000905DC"/>
    <w:rsid w:val="000933CD"/>
    <w:rsid w:val="00094ABE"/>
    <w:rsid w:val="00097C44"/>
    <w:rsid w:val="000A225E"/>
    <w:rsid w:val="000A23D4"/>
    <w:rsid w:val="000A2748"/>
    <w:rsid w:val="000A3891"/>
    <w:rsid w:val="000B683B"/>
    <w:rsid w:val="000B7C91"/>
    <w:rsid w:val="000C1B82"/>
    <w:rsid w:val="000C1FB1"/>
    <w:rsid w:val="000C2003"/>
    <w:rsid w:val="000C36A2"/>
    <w:rsid w:val="000C3B4D"/>
    <w:rsid w:val="000C5856"/>
    <w:rsid w:val="000C5E20"/>
    <w:rsid w:val="000D0347"/>
    <w:rsid w:val="000D2A0C"/>
    <w:rsid w:val="000D6FA7"/>
    <w:rsid w:val="000E0877"/>
    <w:rsid w:val="000E401D"/>
    <w:rsid w:val="000E7865"/>
    <w:rsid w:val="000F0A8B"/>
    <w:rsid w:val="000F4F15"/>
    <w:rsid w:val="000F6664"/>
    <w:rsid w:val="00100362"/>
    <w:rsid w:val="001041F9"/>
    <w:rsid w:val="00104591"/>
    <w:rsid w:val="00110C88"/>
    <w:rsid w:val="00112CD0"/>
    <w:rsid w:val="00114EC4"/>
    <w:rsid w:val="00121049"/>
    <w:rsid w:val="001311F6"/>
    <w:rsid w:val="00134E24"/>
    <w:rsid w:val="00135009"/>
    <w:rsid w:val="00137F01"/>
    <w:rsid w:val="00140913"/>
    <w:rsid w:val="00140D10"/>
    <w:rsid w:val="001436A8"/>
    <w:rsid w:val="0014616F"/>
    <w:rsid w:val="00146BC2"/>
    <w:rsid w:val="001479A1"/>
    <w:rsid w:val="00150556"/>
    <w:rsid w:val="00150DF3"/>
    <w:rsid w:val="00151195"/>
    <w:rsid w:val="00152372"/>
    <w:rsid w:val="00160CBB"/>
    <w:rsid w:val="00161961"/>
    <w:rsid w:val="00161B3A"/>
    <w:rsid w:val="00162475"/>
    <w:rsid w:val="00166FAC"/>
    <w:rsid w:val="001712FA"/>
    <w:rsid w:val="00173674"/>
    <w:rsid w:val="00173ED2"/>
    <w:rsid w:val="00174FA7"/>
    <w:rsid w:val="00175F75"/>
    <w:rsid w:val="001916D4"/>
    <w:rsid w:val="00193D90"/>
    <w:rsid w:val="00195127"/>
    <w:rsid w:val="00195DB7"/>
    <w:rsid w:val="001A59AC"/>
    <w:rsid w:val="001A715B"/>
    <w:rsid w:val="001B1409"/>
    <w:rsid w:val="001B1450"/>
    <w:rsid w:val="001B4506"/>
    <w:rsid w:val="001C04AE"/>
    <w:rsid w:val="001C3F8B"/>
    <w:rsid w:val="001C74AB"/>
    <w:rsid w:val="001D173E"/>
    <w:rsid w:val="001D1C43"/>
    <w:rsid w:val="001D787F"/>
    <w:rsid w:val="001E1174"/>
    <w:rsid w:val="001E37D4"/>
    <w:rsid w:val="001E5A9B"/>
    <w:rsid w:val="001E6DA8"/>
    <w:rsid w:val="001F0EA8"/>
    <w:rsid w:val="00200B86"/>
    <w:rsid w:val="00202E04"/>
    <w:rsid w:val="002045DE"/>
    <w:rsid w:val="002057D3"/>
    <w:rsid w:val="002069A3"/>
    <w:rsid w:val="00206E05"/>
    <w:rsid w:val="00211659"/>
    <w:rsid w:val="002125AC"/>
    <w:rsid w:val="0021314D"/>
    <w:rsid w:val="00214E01"/>
    <w:rsid w:val="00215A65"/>
    <w:rsid w:val="00216C7A"/>
    <w:rsid w:val="00216CA2"/>
    <w:rsid w:val="00216FC7"/>
    <w:rsid w:val="00220D93"/>
    <w:rsid w:val="00222EA4"/>
    <w:rsid w:val="002312EE"/>
    <w:rsid w:val="002323B6"/>
    <w:rsid w:val="00234246"/>
    <w:rsid w:val="00234379"/>
    <w:rsid w:val="0024123B"/>
    <w:rsid w:val="0024367E"/>
    <w:rsid w:val="00246F4F"/>
    <w:rsid w:val="00250A60"/>
    <w:rsid w:val="002512AF"/>
    <w:rsid w:val="00251E82"/>
    <w:rsid w:val="002548B8"/>
    <w:rsid w:val="002563BC"/>
    <w:rsid w:val="00256AAD"/>
    <w:rsid w:val="00256FD9"/>
    <w:rsid w:val="0026093D"/>
    <w:rsid w:val="00260B34"/>
    <w:rsid w:val="00261C0B"/>
    <w:rsid w:val="00263F33"/>
    <w:rsid w:val="00264C74"/>
    <w:rsid w:val="00264F1E"/>
    <w:rsid w:val="00270F30"/>
    <w:rsid w:val="00274362"/>
    <w:rsid w:val="0027546F"/>
    <w:rsid w:val="0027588C"/>
    <w:rsid w:val="00280A63"/>
    <w:rsid w:val="00283D07"/>
    <w:rsid w:val="00285320"/>
    <w:rsid w:val="002867C1"/>
    <w:rsid w:val="00286B79"/>
    <w:rsid w:val="00291B2F"/>
    <w:rsid w:val="0029653C"/>
    <w:rsid w:val="002978B3"/>
    <w:rsid w:val="002A0BF1"/>
    <w:rsid w:val="002A1141"/>
    <w:rsid w:val="002A20FB"/>
    <w:rsid w:val="002A6EFD"/>
    <w:rsid w:val="002A7FB2"/>
    <w:rsid w:val="002B0866"/>
    <w:rsid w:val="002B2F5A"/>
    <w:rsid w:val="002B3EC9"/>
    <w:rsid w:val="002B5E3B"/>
    <w:rsid w:val="002B75A5"/>
    <w:rsid w:val="002C08F2"/>
    <w:rsid w:val="002C6DBB"/>
    <w:rsid w:val="002C7D5D"/>
    <w:rsid w:val="002D114C"/>
    <w:rsid w:val="002D4774"/>
    <w:rsid w:val="002D773E"/>
    <w:rsid w:val="002D79CC"/>
    <w:rsid w:val="002E437B"/>
    <w:rsid w:val="002E56C7"/>
    <w:rsid w:val="002F0752"/>
    <w:rsid w:val="002F0C7A"/>
    <w:rsid w:val="002F1739"/>
    <w:rsid w:val="002F51CC"/>
    <w:rsid w:val="003008DC"/>
    <w:rsid w:val="00300F31"/>
    <w:rsid w:val="0030530A"/>
    <w:rsid w:val="00307FB1"/>
    <w:rsid w:val="0032345C"/>
    <w:rsid w:val="00323ADD"/>
    <w:rsid w:val="003243BF"/>
    <w:rsid w:val="0032761E"/>
    <w:rsid w:val="0033108D"/>
    <w:rsid w:val="00333B4C"/>
    <w:rsid w:val="0033444F"/>
    <w:rsid w:val="00334F1D"/>
    <w:rsid w:val="00337E81"/>
    <w:rsid w:val="00346360"/>
    <w:rsid w:val="003513EC"/>
    <w:rsid w:val="003542E1"/>
    <w:rsid w:val="0035685B"/>
    <w:rsid w:val="00361C09"/>
    <w:rsid w:val="003646CF"/>
    <w:rsid w:val="00366C53"/>
    <w:rsid w:val="00366DD1"/>
    <w:rsid w:val="00370A31"/>
    <w:rsid w:val="003733D4"/>
    <w:rsid w:val="003734EF"/>
    <w:rsid w:val="0037777A"/>
    <w:rsid w:val="003777EE"/>
    <w:rsid w:val="00377E75"/>
    <w:rsid w:val="00385CD4"/>
    <w:rsid w:val="003864D3"/>
    <w:rsid w:val="0038661C"/>
    <w:rsid w:val="00386627"/>
    <w:rsid w:val="00387F14"/>
    <w:rsid w:val="00392B4E"/>
    <w:rsid w:val="0039455C"/>
    <w:rsid w:val="0039568D"/>
    <w:rsid w:val="003A29CE"/>
    <w:rsid w:val="003A649C"/>
    <w:rsid w:val="003A64DC"/>
    <w:rsid w:val="003B04CE"/>
    <w:rsid w:val="003B0D93"/>
    <w:rsid w:val="003B52BF"/>
    <w:rsid w:val="003C0629"/>
    <w:rsid w:val="003C70FD"/>
    <w:rsid w:val="003D0A48"/>
    <w:rsid w:val="003D13E1"/>
    <w:rsid w:val="003D748A"/>
    <w:rsid w:val="003D77F8"/>
    <w:rsid w:val="003E153A"/>
    <w:rsid w:val="003E1D0C"/>
    <w:rsid w:val="003E2A21"/>
    <w:rsid w:val="003E33EC"/>
    <w:rsid w:val="003E5306"/>
    <w:rsid w:val="003E6E70"/>
    <w:rsid w:val="003F20F5"/>
    <w:rsid w:val="003F5404"/>
    <w:rsid w:val="003F6597"/>
    <w:rsid w:val="003F6A91"/>
    <w:rsid w:val="003F7917"/>
    <w:rsid w:val="00401DF7"/>
    <w:rsid w:val="004026F0"/>
    <w:rsid w:val="00402BBD"/>
    <w:rsid w:val="00410D04"/>
    <w:rsid w:val="0041225D"/>
    <w:rsid w:val="004127C4"/>
    <w:rsid w:val="00414193"/>
    <w:rsid w:val="00420639"/>
    <w:rsid w:val="0042204C"/>
    <w:rsid w:val="00425ACD"/>
    <w:rsid w:val="0042669C"/>
    <w:rsid w:val="004279FD"/>
    <w:rsid w:val="00427E16"/>
    <w:rsid w:val="004348C4"/>
    <w:rsid w:val="00440109"/>
    <w:rsid w:val="00440BFD"/>
    <w:rsid w:val="00443028"/>
    <w:rsid w:val="00445EF8"/>
    <w:rsid w:val="00451504"/>
    <w:rsid w:val="004534BF"/>
    <w:rsid w:val="0045502D"/>
    <w:rsid w:val="004560C8"/>
    <w:rsid w:val="00456172"/>
    <w:rsid w:val="00456495"/>
    <w:rsid w:val="0045734A"/>
    <w:rsid w:val="0047284E"/>
    <w:rsid w:val="00475EC1"/>
    <w:rsid w:val="004772E6"/>
    <w:rsid w:val="004820DC"/>
    <w:rsid w:val="00484B96"/>
    <w:rsid w:val="00484D2E"/>
    <w:rsid w:val="00492CEE"/>
    <w:rsid w:val="00493FC4"/>
    <w:rsid w:val="004A308B"/>
    <w:rsid w:val="004A417C"/>
    <w:rsid w:val="004A728D"/>
    <w:rsid w:val="004A72F1"/>
    <w:rsid w:val="004B3D1C"/>
    <w:rsid w:val="004B4A61"/>
    <w:rsid w:val="004B61E6"/>
    <w:rsid w:val="004C003D"/>
    <w:rsid w:val="004C0083"/>
    <w:rsid w:val="004C3E22"/>
    <w:rsid w:val="004D0201"/>
    <w:rsid w:val="004D3A38"/>
    <w:rsid w:val="004D4022"/>
    <w:rsid w:val="004D5A4E"/>
    <w:rsid w:val="004D6515"/>
    <w:rsid w:val="004D7FF0"/>
    <w:rsid w:val="004E18E8"/>
    <w:rsid w:val="004E1B95"/>
    <w:rsid w:val="004E2E14"/>
    <w:rsid w:val="004E34F3"/>
    <w:rsid w:val="004E421F"/>
    <w:rsid w:val="004E61EC"/>
    <w:rsid w:val="004E7D08"/>
    <w:rsid w:val="004F05BA"/>
    <w:rsid w:val="004F2372"/>
    <w:rsid w:val="004F31C6"/>
    <w:rsid w:val="004F387E"/>
    <w:rsid w:val="004F4488"/>
    <w:rsid w:val="004F56D2"/>
    <w:rsid w:val="004F5FF3"/>
    <w:rsid w:val="004F75A8"/>
    <w:rsid w:val="00501F75"/>
    <w:rsid w:val="00503D57"/>
    <w:rsid w:val="005049A1"/>
    <w:rsid w:val="0050787E"/>
    <w:rsid w:val="00511C3A"/>
    <w:rsid w:val="0051206E"/>
    <w:rsid w:val="00512086"/>
    <w:rsid w:val="0051208F"/>
    <w:rsid w:val="00520BDA"/>
    <w:rsid w:val="00524F2B"/>
    <w:rsid w:val="00526419"/>
    <w:rsid w:val="00527E3D"/>
    <w:rsid w:val="0053115E"/>
    <w:rsid w:val="005326E0"/>
    <w:rsid w:val="00534421"/>
    <w:rsid w:val="00543FAD"/>
    <w:rsid w:val="00544ADB"/>
    <w:rsid w:val="00544DA4"/>
    <w:rsid w:val="00545A05"/>
    <w:rsid w:val="005514CD"/>
    <w:rsid w:val="00551AD8"/>
    <w:rsid w:val="00553658"/>
    <w:rsid w:val="005537DA"/>
    <w:rsid w:val="00554303"/>
    <w:rsid w:val="00555079"/>
    <w:rsid w:val="00560DA9"/>
    <w:rsid w:val="005618A8"/>
    <w:rsid w:val="00562E0E"/>
    <w:rsid w:val="00563A57"/>
    <w:rsid w:val="005645D0"/>
    <w:rsid w:val="00570C66"/>
    <w:rsid w:val="00574272"/>
    <w:rsid w:val="00576582"/>
    <w:rsid w:val="00576916"/>
    <w:rsid w:val="005807CF"/>
    <w:rsid w:val="00583A83"/>
    <w:rsid w:val="0058623B"/>
    <w:rsid w:val="00587A75"/>
    <w:rsid w:val="0059086A"/>
    <w:rsid w:val="00591B4C"/>
    <w:rsid w:val="005920DD"/>
    <w:rsid w:val="00592465"/>
    <w:rsid w:val="00594B10"/>
    <w:rsid w:val="00595721"/>
    <w:rsid w:val="005A2E6E"/>
    <w:rsid w:val="005A70E9"/>
    <w:rsid w:val="005A7B19"/>
    <w:rsid w:val="005A7F56"/>
    <w:rsid w:val="005B1C69"/>
    <w:rsid w:val="005C17A3"/>
    <w:rsid w:val="005C3D97"/>
    <w:rsid w:val="005D1CF7"/>
    <w:rsid w:val="005D39AE"/>
    <w:rsid w:val="005D3ADF"/>
    <w:rsid w:val="005D61D3"/>
    <w:rsid w:val="005D623D"/>
    <w:rsid w:val="005D78FE"/>
    <w:rsid w:val="005E238F"/>
    <w:rsid w:val="005E4C47"/>
    <w:rsid w:val="005E75C2"/>
    <w:rsid w:val="005F0290"/>
    <w:rsid w:val="005F21FB"/>
    <w:rsid w:val="005F5719"/>
    <w:rsid w:val="005F6F3C"/>
    <w:rsid w:val="0060116B"/>
    <w:rsid w:val="006028E6"/>
    <w:rsid w:val="00606156"/>
    <w:rsid w:val="00607128"/>
    <w:rsid w:val="00607650"/>
    <w:rsid w:val="00607FB4"/>
    <w:rsid w:val="00616C12"/>
    <w:rsid w:val="006175F0"/>
    <w:rsid w:val="00620FCB"/>
    <w:rsid w:val="00623265"/>
    <w:rsid w:val="00623AA4"/>
    <w:rsid w:val="00624058"/>
    <w:rsid w:val="0062608A"/>
    <w:rsid w:val="006261AC"/>
    <w:rsid w:val="00627082"/>
    <w:rsid w:val="00630907"/>
    <w:rsid w:val="0063379F"/>
    <w:rsid w:val="006346E1"/>
    <w:rsid w:val="0063596C"/>
    <w:rsid w:val="006362CC"/>
    <w:rsid w:val="0063637B"/>
    <w:rsid w:val="006426AA"/>
    <w:rsid w:val="00643A9C"/>
    <w:rsid w:val="00644219"/>
    <w:rsid w:val="00645669"/>
    <w:rsid w:val="00645AD6"/>
    <w:rsid w:val="00647A06"/>
    <w:rsid w:val="00652CE0"/>
    <w:rsid w:val="00654B6D"/>
    <w:rsid w:val="00655553"/>
    <w:rsid w:val="00655584"/>
    <w:rsid w:val="0065735E"/>
    <w:rsid w:val="00660B45"/>
    <w:rsid w:val="00661BE0"/>
    <w:rsid w:val="006622AD"/>
    <w:rsid w:val="006625D7"/>
    <w:rsid w:val="006657F2"/>
    <w:rsid w:val="00666B40"/>
    <w:rsid w:val="0067188E"/>
    <w:rsid w:val="00673120"/>
    <w:rsid w:val="00675B5F"/>
    <w:rsid w:val="00677BF0"/>
    <w:rsid w:val="0068217C"/>
    <w:rsid w:val="00684E76"/>
    <w:rsid w:val="006854AF"/>
    <w:rsid w:val="00685533"/>
    <w:rsid w:val="006862B6"/>
    <w:rsid w:val="0069040A"/>
    <w:rsid w:val="006963DD"/>
    <w:rsid w:val="006A2590"/>
    <w:rsid w:val="006A750E"/>
    <w:rsid w:val="006B0804"/>
    <w:rsid w:val="006B1874"/>
    <w:rsid w:val="006B686C"/>
    <w:rsid w:val="006B79AB"/>
    <w:rsid w:val="006C0BB8"/>
    <w:rsid w:val="006C3344"/>
    <w:rsid w:val="006C3CF3"/>
    <w:rsid w:val="006C435C"/>
    <w:rsid w:val="006C5F3C"/>
    <w:rsid w:val="006D02B3"/>
    <w:rsid w:val="006D0AA5"/>
    <w:rsid w:val="006D2E89"/>
    <w:rsid w:val="006E2D35"/>
    <w:rsid w:val="006E6DAE"/>
    <w:rsid w:val="006E79F7"/>
    <w:rsid w:val="006E7AA0"/>
    <w:rsid w:val="006F0032"/>
    <w:rsid w:val="006F0465"/>
    <w:rsid w:val="006F230A"/>
    <w:rsid w:val="006F2805"/>
    <w:rsid w:val="006F34B9"/>
    <w:rsid w:val="006F3EEC"/>
    <w:rsid w:val="006F6F07"/>
    <w:rsid w:val="00701948"/>
    <w:rsid w:val="00702771"/>
    <w:rsid w:val="007042B7"/>
    <w:rsid w:val="007114F1"/>
    <w:rsid w:val="007143B5"/>
    <w:rsid w:val="007144CE"/>
    <w:rsid w:val="00714853"/>
    <w:rsid w:val="00715517"/>
    <w:rsid w:val="00722459"/>
    <w:rsid w:val="00730568"/>
    <w:rsid w:val="00730BC8"/>
    <w:rsid w:val="0073390A"/>
    <w:rsid w:val="00733F35"/>
    <w:rsid w:val="0073445E"/>
    <w:rsid w:val="00735004"/>
    <w:rsid w:val="00735435"/>
    <w:rsid w:val="0073609B"/>
    <w:rsid w:val="00740B96"/>
    <w:rsid w:val="00741447"/>
    <w:rsid w:val="007417C5"/>
    <w:rsid w:val="00744B10"/>
    <w:rsid w:val="00746C3B"/>
    <w:rsid w:val="0075540B"/>
    <w:rsid w:val="00755DD8"/>
    <w:rsid w:val="0075624E"/>
    <w:rsid w:val="00761033"/>
    <w:rsid w:val="00762B8F"/>
    <w:rsid w:val="00763023"/>
    <w:rsid w:val="00763DC0"/>
    <w:rsid w:val="007641AC"/>
    <w:rsid w:val="00765E40"/>
    <w:rsid w:val="00767BB5"/>
    <w:rsid w:val="00772DF1"/>
    <w:rsid w:val="0078236E"/>
    <w:rsid w:val="00785E47"/>
    <w:rsid w:val="007866BD"/>
    <w:rsid w:val="0078708D"/>
    <w:rsid w:val="007875EE"/>
    <w:rsid w:val="00787F47"/>
    <w:rsid w:val="007904BA"/>
    <w:rsid w:val="007A423B"/>
    <w:rsid w:val="007A64C1"/>
    <w:rsid w:val="007A75D0"/>
    <w:rsid w:val="007B3949"/>
    <w:rsid w:val="007C1036"/>
    <w:rsid w:val="007C1177"/>
    <w:rsid w:val="007C7F91"/>
    <w:rsid w:val="007D0FA3"/>
    <w:rsid w:val="007D3483"/>
    <w:rsid w:val="007D3E22"/>
    <w:rsid w:val="007D42CB"/>
    <w:rsid w:val="007E56F8"/>
    <w:rsid w:val="007E60ED"/>
    <w:rsid w:val="007E6316"/>
    <w:rsid w:val="007E6CF2"/>
    <w:rsid w:val="007E735A"/>
    <w:rsid w:val="007F63CE"/>
    <w:rsid w:val="007F7F92"/>
    <w:rsid w:val="0080113C"/>
    <w:rsid w:val="008037EF"/>
    <w:rsid w:val="008078A9"/>
    <w:rsid w:val="00811989"/>
    <w:rsid w:val="00813FB7"/>
    <w:rsid w:val="00817934"/>
    <w:rsid w:val="00817E7D"/>
    <w:rsid w:val="008217DF"/>
    <w:rsid w:val="00821830"/>
    <w:rsid w:val="0082301F"/>
    <w:rsid w:val="00823798"/>
    <w:rsid w:val="008242D0"/>
    <w:rsid w:val="00824785"/>
    <w:rsid w:val="00824A7A"/>
    <w:rsid w:val="00827471"/>
    <w:rsid w:val="0083112E"/>
    <w:rsid w:val="00831A04"/>
    <w:rsid w:val="00832167"/>
    <w:rsid w:val="00844A9E"/>
    <w:rsid w:val="008503AC"/>
    <w:rsid w:val="00851DB1"/>
    <w:rsid w:val="008540FD"/>
    <w:rsid w:val="00854E1D"/>
    <w:rsid w:val="00855B11"/>
    <w:rsid w:val="00862AEC"/>
    <w:rsid w:val="008650F2"/>
    <w:rsid w:val="00866F35"/>
    <w:rsid w:val="00866F59"/>
    <w:rsid w:val="0086721E"/>
    <w:rsid w:val="00867D5E"/>
    <w:rsid w:val="0087728F"/>
    <w:rsid w:val="00880CFA"/>
    <w:rsid w:val="00883EDD"/>
    <w:rsid w:val="008843BA"/>
    <w:rsid w:val="008850A8"/>
    <w:rsid w:val="00885DD1"/>
    <w:rsid w:val="0088727A"/>
    <w:rsid w:val="00890F94"/>
    <w:rsid w:val="0089201F"/>
    <w:rsid w:val="00892D1E"/>
    <w:rsid w:val="008A26E4"/>
    <w:rsid w:val="008A4577"/>
    <w:rsid w:val="008A603B"/>
    <w:rsid w:val="008A63EE"/>
    <w:rsid w:val="008A6466"/>
    <w:rsid w:val="008A66E5"/>
    <w:rsid w:val="008B2446"/>
    <w:rsid w:val="008B3F98"/>
    <w:rsid w:val="008B5EA0"/>
    <w:rsid w:val="008B7BEA"/>
    <w:rsid w:val="008C1E93"/>
    <w:rsid w:val="008C6A02"/>
    <w:rsid w:val="008C7C39"/>
    <w:rsid w:val="008C7FBC"/>
    <w:rsid w:val="008D5BBE"/>
    <w:rsid w:val="008D6673"/>
    <w:rsid w:val="008E1985"/>
    <w:rsid w:val="008E4489"/>
    <w:rsid w:val="008E49C2"/>
    <w:rsid w:val="008E64EC"/>
    <w:rsid w:val="008E7D04"/>
    <w:rsid w:val="008F1FD3"/>
    <w:rsid w:val="008F3801"/>
    <w:rsid w:val="008F3827"/>
    <w:rsid w:val="009008C4"/>
    <w:rsid w:val="00900BFA"/>
    <w:rsid w:val="00902D7F"/>
    <w:rsid w:val="00902E8D"/>
    <w:rsid w:val="00903CA6"/>
    <w:rsid w:val="009042ED"/>
    <w:rsid w:val="00905617"/>
    <w:rsid w:val="009110CC"/>
    <w:rsid w:val="00915DD9"/>
    <w:rsid w:val="00916CE3"/>
    <w:rsid w:val="00917D09"/>
    <w:rsid w:val="00926744"/>
    <w:rsid w:val="00926E86"/>
    <w:rsid w:val="009357AC"/>
    <w:rsid w:val="009425E4"/>
    <w:rsid w:val="00942BF9"/>
    <w:rsid w:val="00946C9C"/>
    <w:rsid w:val="009501A7"/>
    <w:rsid w:val="009532AB"/>
    <w:rsid w:val="0095510A"/>
    <w:rsid w:val="00957FDF"/>
    <w:rsid w:val="009610AC"/>
    <w:rsid w:val="00962004"/>
    <w:rsid w:val="009623AB"/>
    <w:rsid w:val="009630A5"/>
    <w:rsid w:val="0097333A"/>
    <w:rsid w:val="0098605E"/>
    <w:rsid w:val="009974C1"/>
    <w:rsid w:val="009A341B"/>
    <w:rsid w:val="009A4539"/>
    <w:rsid w:val="009B0F0B"/>
    <w:rsid w:val="009B116C"/>
    <w:rsid w:val="009B154C"/>
    <w:rsid w:val="009B3CAF"/>
    <w:rsid w:val="009B5345"/>
    <w:rsid w:val="009B592E"/>
    <w:rsid w:val="009C1B52"/>
    <w:rsid w:val="009C6E4A"/>
    <w:rsid w:val="009C7D98"/>
    <w:rsid w:val="009D1249"/>
    <w:rsid w:val="009D378E"/>
    <w:rsid w:val="009D57E7"/>
    <w:rsid w:val="009D6BB0"/>
    <w:rsid w:val="009D7CC6"/>
    <w:rsid w:val="009E3545"/>
    <w:rsid w:val="009E3C5B"/>
    <w:rsid w:val="009E43A2"/>
    <w:rsid w:val="009E4A48"/>
    <w:rsid w:val="009E4B50"/>
    <w:rsid w:val="009E621E"/>
    <w:rsid w:val="009F01B6"/>
    <w:rsid w:val="009F54CE"/>
    <w:rsid w:val="009F6F95"/>
    <w:rsid w:val="00A003FF"/>
    <w:rsid w:val="00A01AC5"/>
    <w:rsid w:val="00A05D49"/>
    <w:rsid w:val="00A13E78"/>
    <w:rsid w:val="00A162FF"/>
    <w:rsid w:val="00A16397"/>
    <w:rsid w:val="00A17041"/>
    <w:rsid w:val="00A17A31"/>
    <w:rsid w:val="00A209D6"/>
    <w:rsid w:val="00A22EEA"/>
    <w:rsid w:val="00A32C8B"/>
    <w:rsid w:val="00A34B7C"/>
    <w:rsid w:val="00A34DAF"/>
    <w:rsid w:val="00A35FD4"/>
    <w:rsid w:val="00A37D7A"/>
    <w:rsid w:val="00A40427"/>
    <w:rsid w:val="00A429EB"/>
    <w:rsid w:val="00A446DC"/>
    <w:rsid w:val="00A46626"/>
    <w:rsid w:val="00A47BC0"/>
    <w:rsid w:val="00A47CFF"/>
    <w:rsid w:val="00A50540"/>
    <w:rsid w:val="00A519D1"/>
    <w:rsid w:val="00A53E0C"/>
    <w:rsid w:val="00A6049E"/>
    <w:rsid w:val="00A61A27"/>
    <w:rsid w:val="00A62BCD"/>
    <w:rsid w:val="00A63419"/>
    <w:rsid w:val="00A7094B"/>
    <w:rsid w:val="00A710A1"/>
    <w:rsid w:val="00A73A89"/>
    <w:rsid w:val="00A8066B"/>
    <w:rsid w:val="00A90107"/>
    <w:rsid w:val="00A9096E"/>
    <w:rsid w:val="00A96454"/>
    <w:rsid w:val="00A965EE"/>
    <w:rsid w:val="00AB1D04"/>
    <w:rsid w:val="00AB759F"/>
    <w:rsid w:val="00AC2A34"/>
    <w:rsid w:val="00AC2A43"/>
    <w:rsid w:val="00AC5623"/>
    <w:rsid w:val="00AC6DCE"/>
    <w:rsid w:val="00AD073A"/>
    <w:rsid w:val="00AD0F49"/>
    <w:rsid w:val="00AD2EC0"/>
    <w:rsid w:val="00AD410B"/>
    <w:rsid w:val="00AD5E9B"/>
    <w:rsid w:val="00AD6295"/>
    <w:rsid w:val="00AE0E80"/>
    <w:rsid w:val="00AE2F0A"/>
    <w:rsid w:val="00AE3564"/>
    <w:rsid w:val="00AE3BF7"/>
    <w:rsid w:val="00AE3D74"/>
    <w:rsid w:val="00AE4283"/>
    <w:rsid w:val="00AE5CCF"/>
    <w:rsid w:val="00AE5EB7"/>
    <w:rsid w:val="00AE60B5"/>
    <w:rsid w:val="00AE6DE2"/>
    <w:rsid w:val="00AF0DCE"/>
    <w:rsid w:val="00AF37AD"/>
    <w:rsid w:val="00AF3852"/>
    <w:rsid w:val="00AF5656"/>
    <w:rsid w:val="00AF6791"/>
    <w:rsid w:val="00AF684C"/>
    <w:rsid w:val="00B01119"/>
    <w:rsid w:val="00B01520"/>
    <w:rsid w:val="00B02670"/>
    <w:rsid w:val="00B1108D"/>
    <w:rsid w:val="00B11D00"/>
    <w:rsid w:val="00B20932"/>
    <w:rsid w:val="00B21A8F"/>
    <w:rsid w:val="00B22AA8"/>
    <w:rsid w:val="00B2427A"/>
    <w:rsid w:val="00B25CEA"/>
    <w:rsid w:val="00B30835"/>
    <w:rsid w:val="00B3156C"/>
    <w:rsid w:val="00B320C9"/>
    <w:rsid w:val="00B332D4"/>
    <w:rsid w:val="00B355C2"/>
    <w:rsid w:val="00B40A88"/>
    <w:rsid w:val="00B40B6B"/>
    <w:rsid w:val="00B414F2"/>
    <w:rsid w:val="00B41CDF"/>
    <w:rsid w:val="00B4290F"/>
    <w:rsid w:val="00B4294E"/>
    <w:rsid w:val="00B43583"/>
    <w:rsid w:val="00B44A3A"/>
    <w:rsid w:val="00B455FC"/>
    <w:rsid w:val="00B51435"/>
    <w:rsid w:val="00B53CF3"/>
    <w:rsid w:val="00B5536E"/>
    <w:rsid w:val="00B55819"/>
    <w:rsid w:val="00B57EFC"/>
    <w:rsid w:val="00B62D01"/>
    <w:rsid w:val="00B643E9"/>
    <w:rsid w:val="00B64507"/>
    <w:rsid w:val="00B70211"/>
    <w:rsid w:val="00B71BCF"/>
    <w:rsid w:val="00B72AEF"/>
    <w:rsid w:val="00B74EF4"/>
    <w:rsid w:val="00B76169"/>
    <w:rsid w:val="00B76403"/>
    <w:rsid w:val="00B76911"/>
    <w:rsid w:val="00B81394"/>
    <w:rsid w:val="00B8458C"/>
    <w:rsid w:val="00B849E1"/>
    <w:rsid w:val="00B85ECE"/>
    <w:rsid w:val="00B863B1"/>
    <w:rsid w:val="00B9159D"/>
    <w:rsid w:val="00B97EF4"/>
    <w:rsid w:val="00BA1CBC"/>
    <w:rsid w:val="00BA3AB5"/>
    <w:rsid w:val="00BA40FF"/>
    <w:rsid w:val="00BA63A5"/>
    <w:rsid w:val="00BB010C"/>
    <w:rsid w:val="00BB04B3"/>
    <w:rsid w:val="00BB4B41"/>
    <w:rsid w:val="00BB6AE0"/>
    <w:rsid w:val="00BB714D"/>
    <w:rsid w:val="00BC0D5C"/>
    <w:rsid w:val="00BC501A"/>
    <w:rsid w:val="00BC6563"/>
    <w:rsid w:val="00BC7E88"/>
    <w:rsid w:val="00BD455F"/>
    <w:rsid w:val="00BD5125"/>
    <w:rsid w:val="00BD6A41"/>
    <w:rsid w:val="00BD71C3"/>
    <w:rsid w:val="00BE0EDB"/>
    <w:rsid w:val="00BE1368"/>
    <w:rsid w:val="00BE4FBD"/>
    <w:rsid w:val="00BE57C4"/>
    <w:rsid w:val="00BE7E33"/>
    <w:rsid w:val="00BF2D4B"/>
    <w:rsid w:val="00BF3497"/>
    <w:rsid w:val="00BF3B91"/>
    <w:rsid w:val="00BF6402"/>
    <w:rsid w:val="00C01F9D"/>
    <w:rsid w:val="00C02AB3"/>
    <w:rsid w:val="00C048BC"/>
    <w:rsid w:val="00C0703E"/>
    <w:rsid w:val="00C075A9"/>
    <w:rsid w:val="00C112A9"/>
    <w:rsid w:val="00C11627"/>
    <w:rsid w:val="00C12004"/>
    <w:rsid w:val="00C12EFC"/>
    <w:rsid w:val="00C14012"/>
    <w:rsid w:val="00C14896"/>
    <w:rsid w:val="00C171EC"/>
    <w:rsid w:val="00C20AB1"/>
    <w:rsid w:val="00C22B12"/>
    <w:rsid w:val="00C2440C"/>
    <w:rsid w:val="00C2711B"/>
    <w:rsid w:val="00C33FD6"/>
    <w:rsid w:val="00C4000F"/>
    <w:rsid w:val="00C41038"/>
    <w:rsid w:val="00C41F4F"/>
    <w:rsid w:val="00C44AD9"/>
    <w:rsid w:val="00C458D9"/>
    <w:rsid w:val="00C5292C"/>
    <w:rsid w:val="00C5334F"/>
    <w:rsid w:val="00C54D8C"/>
    <w:rsid w:val="00C55BD4"/>
    <w:rsid w:val="00C56254"/>
    <w:rsid w:val="00C57A79"/>
    <w:rsid w:val="00C57B3F"/>
    <w:rsid w:val="00C61A4C"/>
    <w:rsid w:val="00C645C2"/>
    <w:rsid w:val="00C648A1"/>
    <w:rsid w:val="00C70FD1"/>
    <w:rsid w:val="00C7646D"/>
    <w:rsid w:val="00C7665A"/>
    <w:rsid w:val="00C76ECE"/>
    <w:rsid w:val="00C91CFB"/>
    <w:rsid w:val="00C922B9"/>
    <w:rsid w:val="00C92A52"/>
    <w:rsid w:val="00C9339F"/>
    <w:rsid w:val="00CA0C45"/>
    <w:rsid w:val="00CA2D41"/>
    <w:rsid w:val="00CA40FA"/>
    <w:rsid w:val="00CB0E99"/>
    <w:rsid w:val="00CB31BB"/>
    <w:rsid w:val="00CB4977"/>
    <w:rsid w:val="00CB4C6F"/>
    <w:rsid w:val="00CB619E"/>
    <w:rsid w:val="00CB7514"/>
    <w:rsid w:val="00CC1A57"/>
    <w:rsid w:val="00CC2756"/>
    <w:rsid w:val="00CC39B2"/>
    <w:rsid w:val="00CC515B"/>
    <w:rsid w:val="00CC574D"/>
    <w:rsid w:val="00CC66A5"/>
    <w:rsid w:val="00CC731C"/>
    <w:rsid w:val="00CE0076"/>
    <w:rsid w:val="00CE119B"/>
    <w:rsid w:val="00CE1E06"/>
    <w:rsid w:val="00CE5C0E"/>
    <w:rsid w:val="00CF03DF"/>
    <w:rsid w:val="00CF3A85"/>
    <w:rsid w:val="00CF623E"/>
    <w:rsid w:val="00CF6C27"/>
    <w:rsid w:val="00CF7972"/>
    <w:rsid w:val="00D047BB"/>
    <w:rsid w:val="00D067B2"/>
    <w:rsid w:val="00D11E4B"/>
    <w:rsid w:val="00D122F2"/>
    <w:rsid w:val="00D13CEB"/>
    <w:rsid w:val="00D1491B"/>
    <w:rsid w:val="00D207C1"/>
    <w:rsid w:val="00D20B86"/>
    <w:rsid w:val="00D21D2B"/>
    <w:rsid w:val="00D21F80"/>
    <w:rsid w:val="00D30B7C"/>
    <w:rsid w:val="00D33106"/>
    <w:rsid w:val="00D33487"/>
    <w:rsid w:val="00D34961"/>
    <w:rsid w:val="00D367E1"/>
    <w:rsid w:val="00D47545"/>
    <w:rsid w:val="00D50871"/>
    <w:rsid w:val="00D5651A"/>
    <w:rsid w:val="00D568C3"/>
    <w:rsid w:val="00D61098"/>
    <w:rsid w:val="00D64AAB"/>
    <w:rsid w:val="00D64B1F"/>
    <w:rsid w:val="00D65BC0"/>
    <w:rsid w:val="00D65FA6"/>
    <w:rsid w:val="00D72490"/>
    <w:rsid w:val="00D72A38"/>
    <w:rsid w:val="00D73207"/>
    <w:rsid w:val="00D76E61"/>
    <w:rsid w:val="00D86223"/>
    <w:rsid w:val="00D86BFC"/>
    <w:rsid w:val="00D9001D"/>
    <w:rsid w:val="00D902B7"/>
    <w:rsid w:val="00D90CDE"/>
    <w:rsid w:val="00D93BEF"/>
    <w:rsid w:val="00D957F2"/>
    <w:rsid w:val="00D97AE2"/>
    <w:rsid w:val="00DA0641"/>
    <w:rsid w:val="00DA12C5"/>
    <w:rsid w:val="00DA6D30"/>
    <w:rsid w:val="00DB21D9"/>
    <w:rsid w:val="00DB57DC"/>
    <w:rsid w:val="00DB64F2"/>
    <w:rsid w:val="00DC0000"/>
    <w:rsid w:val="00DC4F09"/>
    <w:rsid w:val="00DC6B8A"/>
    <w:rsid w:val="00DD161D"/>
    <w:rsid w:val="00DD38DF"/>
    <w:rsid w:val="00DD44B4"/>
    <w:rsid w:val="00DE0571"/>
    <w:rsid w:val="00DE19CF"/>
    <w:rsid w:val="00DE22FB"/>
    <w:rsid w:val="00DE4D78"/>
    <w:rsid w:val="00DE53E8"/>
    <w:rsid w:val="00DE591A"/>
    <w:rsid w:val="00DE6D4B"/>
    <w:rsid w:val="00DF47DD"/>
    <w:rsid w:val="00DF54A9"/>
    <w:rsid w:val="00E0090C"/>
    <w:rsid w:val="00E0165F"/>
    <w:rsid w:val="00E05C6C"/>
    <w:rsid w:val="00E06C87"/>
    <w:rsid w:val="00E07E42"/>
    <w:rsid w:val="00E104F7"/>
    <w:rsid w:val="00E116A4"/>
    <w:rsid w:val="00E11933"/>
    <w:rsid w:val="00E12BCD"/>
    <w:rsid w:val="00E146F8"/>
    <w:rsid w:val="00E15C1B"/>
    <w:rsid w:val="00E2013D"/>
    <w:rsid w:val="00E21DB6"/>
    <w:rsid w:val="00E3064E"/>
    <w:rsid w:val="00E311F3"/>
    <w:rsid w:val="00E31368"/>
    <w:rsid w:val="00E32CAD"/>
    <w:rsid w:val="00E43D7B"/>
    <w:rsid w:val="00E539B3"/>
    <w:rsid w:val="00E61AA6"/>
    <w:rsid w:val="00E62EEF"/>
    <w:rsid w:val="00E663A3"/>
    <w:rsid w:val="00E66AAB"/>
    <w:rsid w:val="00E72CD7"/>
    <w:rsid w:val="00E74A46"/>
    <w:rsid w:val="00E7663C"/>
    <w:rsid w:val="00E77678"/>
    <w:rsid w:val="00E825C9"/>
    <w:rsid w:val="00E84E53"/>
    <w:rsid w:val="00E92B34"/>
    <w:rsid w:val="00E945F0"/>
    <w:rsid w:val="00E9624F"/>
    <w:rsid w:val="00EA0A69"/>
    <w:rsid w:val="00EA110C"/>
    <w:rsid w:val="00EA18C7"/>
    <w:rsid w:val="00EA4BDF"/>
    <w:rsid w:val="00EA5E32"/>
    <w:rsid w:val="00EA6834"/>
    <w:rsid w:val="00EB2F24"/>
    <w:rsid w:val="00EB2FD8"/>
    <w:rsid w:val="00EB38E9"/>
    <w:rsid w:val="00EC2F96"/>
    <w:rsid w:val="00EC3485"/>
    <w:rsid w:val="00EC412E"/>
    <w:rsid w:val="00ED10E7"/>
    <w:rsid w:val="00ED774F"/>
    <w:rsid w:val="00EE5E34"/>
    <w:rsid w:val="00EE697A"/>
    <w:rsid w:val="00EE6FC5"/>
    <w:rsid w:val="00EF0E8F"/>
    <w:rsid w:val="00EF3D89"/>
    <w:rsid w:val="00EF3EF9"/>
    <w:rsid w:val="00EF5613"/>
    <w:rsid w:val="00EF62CE"/>
    <w:rsid w:val="00F0359F"/>
    <w:rsid w:val="00F04D6E"/>
    <w:rsid w:val="00F12BD5"/>
    <w:rsid w:val="00F16EFC"/>
    <w:rsid w:val="00F22D56"/>
    <w:rsid w:val="00F23E16"/>
    <w:rsid w:val="00F264DC"/>
    <w:rsid w:val="00F30D06"/>
    <w:rsid w:val="00F31599"/>
    <w:rsid w:val="00F31F15"/>
    <w:rsid w:val="00F31F33"/>
    <w:rsid w:val="00F37F5D"/>
    <w:rsid w:val="00F427D1"/>
    <w:rsid w:val="00F433CC"/>
    <w:rsid w:val="00F4474D"/>
    <w:rsid w:val="00F4566E"/>
    <w:rsid w:val="00F47200"/>
    <w:rsid w:val="00F5168A"/>
    <w:rsid w:val="00F52A26"/>
    <w:rsid w:val="00F57B13"/>
    <w:rsid w:val="00F603FD"/>
    <w:rsid w:val="00F62256"/>
    <w:rsid w:val="00F63D2E"/>
    <w:rsid w:val="00F6409C"/>
    <w:rsid w:val="00F6730D"/>
    <w:rsid w:val="00F67CAE"/>
    <w:rsid w:val="00F73170"/>
    <w:rsid w:val="00F7756F"/>
    <w:rsid w:val="00F82A60"/>
    <w:rsid w:val="00F83CEB"/>
    <w:rsid w:val="00F85D47"/>
    <w:rsid w:val="00F86C4D"/>
    <w:rsid w:val="00F87BC3"/>
    <w:rsid w:val="00F95260"/>
    <w:rsid w:val="00F957E5"/>
    <w:rsid w:val="00FA100F"/>
    <w:rsid w:val="00FA3CF3"/>
    <w:rsid w:val="00FB090C"/>
    <w:rsid w:val="00FB1F09"/>
    <w:rsid w:val="00FB207A"/>
    <w:rsid w:val="00FB726A"/>
    <w:rsid w:val="00FB7AED"/>
    <w:rsid w:val="00FC309A"/>
    <w:rsid w:val="00FC54AD"/>
    <w:rsid w:val="00FC72B0"/>
    <w:rsid w:val="00FD2553"/>
    <w:rsid w:val="00FD5B94"/>
    <w:rsid w:val="00FE3205"/>
    <w:rsid w:val="00FE477B"/>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8DF1E4-802A-4708-B584-1E1C2E93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8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B4"/>
    <w:pPr>
      <w:ind w:left="720"/>
    </w:pPr>
  </w:style>
  <w:style w:type="table" w:styleId="TableGrid">
    <w:name w:val="Table Grid"/>
    <w:basedOn w:val="TableNormal"/>
    <w:uiPriority w:val="99"/>
    <w:rsid w:val="008C7FB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7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5D0"/>
    <w:rPr>
      <w:rFonts w:ascii="Tahoma" w:hAnsi="Tahoma" w:cs="Tahoma"/>
      <w:sz w:val="16"/>
      <w:szCs w:val="16"/>
    </w:rPr>
  </w:style>
  <w:style w:type="character" w:styleId="CommentReference">
    <w:name w:val="annotation reference"/>
    <w:basedOn w:val="DefaultParagraphFont"/>
    <w:uiPriority w:val="99"/>
    <w:semiHidden/>
    <w:rsid w:val="007D0FA3"/>
    <w:rPr>
      <w:sz w:val="16"/>
      <w:szCs w:val="16"/>
    </w:rPr>
  </w:style>
  <w:style w:type="paragraph" w:styleId="CommentText">
    <w:name w:val="annotation text"/>
    <w:basedOn w:val="Normal"/>
    <w:link w:val="CommentTextChar"/>
    <w:uiPriority w:val="99"/>
    <w:semiHidden/>
    <w:rsid w:val="007D0FA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D0FA3"/>
    <w:rPr>
      <w:sz w:val="20"/>
      <w:szCs w:val="20"/>
    </w:rPr>
  </w:style>
  <w:style w:type="paragraph" w:styleId="CommentSubject">
    <w:name w:val="annotation subject"/>
    <w:basedOn w:val="CommentText"/>
    <w:next w:val="CommentText"/>
    <w:link w:val="CommentSubjectChar"/>
    <w:uiPriority w:val="99"/>
    <w:semiHidden/>
    <w:rsid w:val="007D0FA3"/>
    <w:rPr>
      <w:b/>
      <w:bCs/>
    </w:rPr>
  </w:style>
  <w:style w:type="character" w:customStyle="1" w:styleId="CommentSubjectChar">
    <w:name w:val="Comment Subject Char"/>
    <w:basedOn w:val="CommentTextChar"/>
    <w:link w:val="CommentSubject"/>
    <w:uiPriority w:val="99"/>
    <w:semiHidden/>
    <w:locked/>
    <w:rsid w:val="007D0FA3"/>
    <w:rPr>
      <w:b/>
      <w:bCs/>
      <w:sz w:val="20"/>
      <w:szCs w:val="20"/>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DF47DD"/>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locked/>
    <w:rsid w:val="00DF47DD"/>
  </w:style>
  <w:style w:type="paragraph" w:styleId="Footer">
    <w:name w:val="footer"/>
    <w:basedOn w:val="Normal"/>
    <w:link w:val="FooterChar"/>
    <w:uiPriority w:val="99"/>
    <w:rsid w:val="00DF47D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F47DD"/>
  </w:style>
  <w:style w:type="character" w:styleId="PageNumber">
    <w:name w:val="page number"/>
    <w:basedOn w:val="DefaultParagraphFont"/>
    <w:uiPriority w:val="99"/>
    <w:rsid w:val="00160CBB"/>
  </w:style>
  <w:style w:type="character" w:styleId="Hyperlink">
    <w:name w:val="Hyperlink"/>
    <w:basedOn w:val="DefaultParagraphFont"/>
    <w:uiPriority w:val="99"/>
    <w:unhideWhenUsed/>
    <w:rsid w:val="00CA40FA"/>
    <w:rPr>
      <w:color w:val="0000FF" w:themeColor="hyperlink"/>
      <w:u w:val="single"/>
    </w:rPr>
  </w:style>
  <w:style w:type="paragraph" w:customStyle="1" w:styleId="BayerBodyTextFull">
    <w:name w:val="Bayer Body Text Full"/>
    <w:basedOn w:val="Normal"/>
    <w:link w:val="BayerBodyTextFullZchn"/>
    <w:rsid w:val="004C003D"/>
    <w:pPr>
      <w:spacing w:before="120" w:after="120" w:line="240" w:lineRule="auto"/>
    </w:pPr>
    <w:rPr>
      <w:rFonts w:ascii="Times New Roman" w:eastAsia="Times New Roman" w:hAnsi="Times New Roman" w:cs="Times New Roman"/>
      <w:sz w:val="24"/>
      <w:szCs w:val="20"/>
    </w:rPr>
  </w:style>
  <w:style w:type="paragraph" w:customStyle="1" w:styleId="C-BodyText">
    <w:name w:val="C-Body Text"/>
    <w:link w:val="C-BodyTextChar"/>
    <w:rsid w:val="004C003D"/>
    <w:pPr>
      <w:spacing w:before="120" w:after="120" w:line="280" w:lineRule="atLeast"/>
    </w:pPr>
    <w:rPr>
      <w:rFonts w:ascii="Times New Roman" w:eastAsia="Times New Roman" w:hAnsi="Times New Roman"/>
      <w:sz w:val="24"/>
      <w:szCs w:val="20"/>
    </w:rPr>
  </w:style>
  <w:style w:type="character" w:customStyle="1" w:styleId="C-BodyTextChar">
    <w:name w:val="C-Body Text Char"/>
    <w:link w:val="C-BodyText"/>
    <w:rsid w:val="004C003D"/>
    <w:rPr>
      <w:rFonts w:ascii="Times New Roman" w:eastAsia="Times New Roman" w:hAnsi="Times New Roman"/>
      <w:sz w:val="24"/>
      <w:szCs w:val="20"/>
    </w:rPr>
  </w:style>
  <w:style w:type="character" w:customStyle="1" w:styleId="BayerBodyTextFullZchn">
    <w:name w:val="Bayer Body Text Full Zchn"/>
    <w:link w:val="BayerBodyTextFull"/>
    <w:rsid w:val="004C003D"/>
    <w:rPr>
      <w:rFonts w:ascii="Times New Roman" w:eastAsia="Times New Roman" w:hAnsi="Times New Roman"/>
      <w:sz w:val="24"/>
      <w:szCs w:val="20"/>
    </w:rPr>
  </w:style>
  <w:style w:type="paragraph" w:customStyle="1" w:styleId="C-TableFootnote">
    <w:name w:val="C-Table Footnote"/>
    <w:next w:val="C-BodyText"/>
    <w:rsid w:val="004C003D"/>
    <w:pPr>
      <w:tabs>
        <w:tab w:val="left" w:pos="144"/>
      </w:tabs>
      <w:ind w:left="144" w:hanging="144"/>
    </w:pPr>
    <w:rPr>
      <w:rFonts w:ascii="Times New Roman" w:eastAsia="Times New Roman" w:hAnsi="Times New Roman" w:cs="Arial"/>
      <w:sz w:val="20"/>
      <w:szCs w:val="20"/>
    </w:rPr>
  </w:style>
  <w:style w:type="paragraph" w:customStyle="1" w:styleId="Default">
    <w:name w:val="Default"/>
    <w:uiPriority w:val="99"/>
    <w:rsid w:val="00926E86"/>
    <w:pPr>
      <w:autoSpaceDE w:val="0"/>
      <w:autoSpaceDN w:val="0"/>
      <w:adjustRightInd w:val="0"/>
    </w:pPr>
    <w:rPr>
      <w:rFonts w:eastAsia="Times New Roman" w:cs="Calibri"/>
      <w:color w:val="000000"/>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14012"/>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97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mailto:nezeljenadejstva@calims.me"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B1DD-D06E-4C4C-9C11-2A3CA41C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9274</Words>
  <Characters>52865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Hewlett-Packard</Company>
  <LinksUpToDate>false</LinksUpToDate>
  <CharactersWithSpaces>62015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komarac</dc:creator>
  <cp:lastModifiedBy>Gordana Boljević</cp:lastModifiedBy>
  <cp:revision>3</cp:revision>
  <cp:lastPrinted>2015-04-20T09:40:00Z</cp:lastPrinted>
  <dcterms:created xsi:type="dcterms:W3CDTF">2018-02-15T06:49:00Z</dcterms:created>
  <dcterms:modified xsi:type="dcterms:W3CDTF">2018-02-15T07:24:00Z</dcterms:modified>
</cp:coreProperties>
</file>