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C91" w:rsidRPr="008C5C91" w:rsidRDefault="008C5C91" w:rsidP="008C5C91">
      <w:pPr>
        <w:tabs>
          <w:tab w:val="left" w:pos="360"/>
        </w:tabs>
        <w:spacing w:after="0"/>
        <w:jc w:val="both"/>
        <w:rPr>
          <w:rFonts w:ascii="Times New Roman" w:hAnsi="Times New Roman" w:cs="Times New Roman"/>
          <w:bCs/>
          <w:iCs/>
        </w:rPr>
      </w:pPr>
    </w:p>
    <w:p w:rsidR="008C5C91" w:rsidRPr="008C5C91" w:rsidRDefault="008C5C91" w:rsidP="008C5C91">
      <w:pPr>
        <w:spacing w:after="0"/>
        <w:jc w:val="both"/>
        <w:rPr>
          <w:rFonts w:ascii="Times New Roman" w:hAnsi="Times New Roman" w:cs="Times New Roman"/>
          <w:bCs/>
          <w:iCs/>
        </w:rPr>
      </w:pPr>
    </w:p>
    <w:p w:rsidR="008C5C91" w:rsidRPr="008C5C91" w:rsidRDefault="008C5C91" w:rsidP="008C5C91">
      <w:pPr>
        <w:spacing w:after="0"/>
        <w:jc w:val="both"/>
        <w:rPr>
          <w:rFonts w:ascii="Times New Roman" w:hAnsi="Times New Roman" w:cs="Times New Roman"/>
          <w:bCs/>
          <w:iCs/>
        </w:rPr>
      </w:pPr>
    </w:p>
    <w:p w:rsidR="008C5C91" w:rsidRPr="008C5C91" w:rsidRDefault="008C5C91" w:rsidP="008C5C91">
      <w:pPr>
        <w:spacing w:after="0"/>
        <w:jc w:val="both"/>
        <w:rPr>
          <w:rFonts w:ascii="Times New Roman" w:hAnsi="Times New Roman" w:cs="Times New Roman"/>
          <w:bCs/>
          <w:iCs/>
        </w:rPr>
      </w:pPr>
    </w:p>
    <w:p w:rsidR="008C5C91" w:rsidRPr="008C5C91" w:rsidRDefault="008C5C91" w:rsidP="008C5C91">
      <w:pPr>
        <w:spacing w:after="0"/>
        <w:jc w:val="both"/>
        <w:rPr>
          <w:rFonts w:ascii="Times New Roman" w:hAnsi="Times New Roman" w:cs="Times New Roman"/>
          <w:bCs/>
          <w:iCs/>
        </w:rPr>
      </w:pPr>
    </w:p>
    <w:p w:rsidR="008C5C91" w:rsidRPr="008C5C91" w:rsidRDefault="008C5C91" w:rsidP="008C5C91">
      <w:pPr>
        <w:spacing w:after="0"/>
        <w:jc w:val="both"/>
        <w:rPr>
          <w:rFonts w:ascii="Times New Roman" w:hAnsi="Times New Roman" w:cs="Times New Roman"/>
          <w:bCs/>
          <w:iCs/>
        </w:rPr>
      </w:pPr>
    </w:p>
    <w:p w:rsidR="008C5C91" w:rsidRPr="008C5C91" w:rsidRDefault="008C5C91" w:rsidP="008C5C91">
      <w:pPr>
        <w:spacing w:after="0"/>
        <w:jc w:val="both"/>
        <w:rPr>
          <w:rFonts w:ascii="Times New Roman" w:hAnsi="Times New Roman" w:cs="Times New Roman"/>
          <w:bCs/>
          <w:iCs/>
        </w:rPr>
      </w:pPr>
    </w:p>
    <w:p w:rsidR="008C5C91" w:rsidRPr="008C5C91" w:rsidRDefault="008C5C91" w:rsidP="008C5C91">
      <w:pPr>
        <w:spacing w:after="0"/>
        <w:jc w:val="both"/>
        <w:rPr>
          <w:rFonts w:ascii="Times New Roman" w:hAnsi="Times New Roman" w:cs="Times New Roman"/>
          <w:bCs/>
          <w:iCs/>
        </w:rPr>
      </w:pPr>
    </w:p>
    <w:p w:rsidR="008C5C91" w:rsidRPr="008C5C91" w:rsidRDefault="008C5C91" w:rsidP="008C5C91">
      <w:pPr>
        <w:spacing w:after="0"/>
        <w:jc w:val="both"/>
        <w:rPr>
          <w:rFonts w:ascii="Times New Roman" w:hAnsi="Times New Roman" w:cs="Times New Roman"/>
          <w:bCs/>
          <w:iCs/>
        </w:rPr>
      </w:pPr>
    </w:p>
    <w:p w:rsidR="008C5C91" w:rsidRPr="008C5C91" w:rsidRDefault="008C5C91" w:rsidP="008C5C91">
      <w:pPr>
        <w:spacing w:after="0"/>
        <w:jc w:val="both"/>
        <w:rPr>
          <w:rFonts w:ascii="Times New Roman" w:hAnsi="Times New Roman" w:cs="Times New Roman"/>
          <w:bCs/>
          <w:iCs/>
        </w:rPr>
      </w:pPr>
    </w:p>
    <w:p w:rsidR="008C5C91" w:rsidRPr="008C5C91" w:rsidRDefault="008C5C91" w:rsidP="008C5C91">
      <w:pPr>
        <w:spacing w:after="0"/>
        <w:jc w:val="both"/>
        <w:rPr>
          <w:rFonts w:ascii="Times New Roman" w:hAnsi="Times New Roman" w:cs="Times New Roman"/>
          <w:bCs/>
          <w:iCs/>
        </w:rPr>
      </w:pPr>
    </w:p>
    <w:tbl>
      <w:tblPr>
        <w:tblW w:w="9360" w:type="dxa"/>
        <w:jc w:val="center"/>
        <w:tblLayout w:type="fixed"/>
        <w:tblLook w:val="0000" w:firstRow="0" w:lastRow="0" w:firstColumn="0" w:lastColumn="0" w:noHBand="0" w:noVBand="0"/>
      </w:tblPr>
      <w:tblGrid>
        <w:gridCol w:w="2160"/>
        <w:gridCol w:w="7200"/>
      </w:tblGrid>
      <w:tr w:rsidR="008C5C91" w:rsidRPr="008C5C91" w:rsidTr="00B528BA">
        <w:trPr>
          <w:trHeight w:val="530"/>
          <w:jc w:val="center"/>
        </w:trPr>
        <w:tc>
          <w:tcPr>
            <w:tcW w:w="9360" w:type="dxa"/>
            <w:gridSpan w:val="2"/>
            <w:vAlign w:val="center"/>
          </w:tcPr>
          <w:p w:rsidR="008C5C91" w:rsidRPr="008C5C91" w:rsidRDefault="008C5C91" w:rsidP="008C5C91">
            <w:pPr>
              <w:spacing w:after="0"/>
              <w:jc w:val="center"/>
              <w:rPr>
                <w:rFonts w:ascii="Times New Roman" w:hAnsi="Times New Roman" w:cs="Times New Roman"/>
                <w:b/>
                <w:bCs/>
                <w:iCs/>
                <w:u w:val="single"/>
              </w:rPr>
            </w:pPr>
            <w:r w:rsidRPr="008C5C91">
              <w:rPr>
                <w:rFonts w:ascii="Times New Roman" w:hAnsi="Times New Roman" w:cs="Times New Roman"/>
                <w:b/>
                <w:bCs/>
                <w:iCs/>
                <w:u w:val="single"/>
              </w:rPr>
              <w:t>SAŽETAK KARAKTERISTIKA LIJEKA</w:t>
            </w:r>
          </w:p>
        </w:tc>
      </w:tr>
      <w:tr w:rsidR="008C5C91" w:rsidRPr="008C5C91" w:rsidTr="00B528BA">
        <w:trPr>
          <w:trHeight w:val="1969"/>
          <w:jc w:val="center"/>
        </w:trPr>
        <w:tc>
          <w:tcPr>
            <w:tcW w:w="9360" w:type="dxa"/>
            <w:gridSpan w:val="2"/>
            <w:vAlign w:val="bottom"/>
          </w:tcPr>
          <w:p w:rsidR="008C5C91" w:rsidRPr="008C5C91" w:rsidRDefault="008C5C91" w:rsidP="008C5C91">
            <w:pPr>
              <w:spacing w:after="0"/>
              <w:jc w:val="center"/>
              <w:rPr>
                <w:rFonts w:ascii="Times New Roman" w:hAnsi="Times New Roman" w:cs="Times New Roman"/>
                <w:b/>
                <w:bCs/>
              </w:rPr>
            </w:pPr>
            <w:r w:rsidRPr="008C5C91">
              <w:rPr>
                <w:rFonts w:ascii="Times New Roman" w:hAnsi="Times New Roman" w:cs="Times New Roman"/>
                <w:b/>
                <w:bCs/>
              </w:rPr>
              <w:t>Vectibix</w:t>
            </w:r>
            <w:r w:rsidRPr="008C5C91">
              <w:rPr>
                <w:rFonts w:ascii="Times New Roman" w:hAnsi="Times New Roman" w:cs="Times New Roman"/>
                <w:b/>
                <w:bCs/>
                <w:vertAlign w:val="superscript"/>
              </w:rPr>
              <w:t>®</w:t>
            </w:r>
            <w:r w:rsidRPr="008C5C91">
              <w:rPr>
                <w:rFonts w:ascii="Times New Roman" w:hAnsi="Times New Roman" w:cs="Times New Roman"/>
                <w:b/>
                <w:bCs/>
              </w:rPr>
              <w:t>, koncentrat za rastvor za infuziju, 20 mg/ml,</w:t>
            </w:r>
          </w:p>
          <w:p w:rsidR="008C5C91" w:rsidRPr="008C5C91" w:rsidRDefault="008C5C91" w:rsidP="008C5C91">
            <w:pPr>
              <w:spacing w:after="0"/>
              <w:jc w:val="center"/>
              <w:rPr>
                <w:rFonts w:ascii="Times New Roman" w:hAnsi="Times New Roman" w:cs="Times New Roman"/>
                <w:b/>
                <w:bCs/>
              </w:rPr>
            </w:pPr>
            <w:r w:rsidRPr="008C5C91">
              <w:rPr>
                <w:rFonts w:ascii="Times New Roman" w:hAnsi="Times New Roman" w:cs="Times New Roman"/>
                <w:b/>
                <w:bCs/>
              </w:rPr>
              <w:t>bočica staklena, 1 x 5 ml</w:t>
            </w:r>
          </w:p>
          <w:p w:rsidR="008C5C91" w:rsidRPr="008C5C91" w:rsidRDefault="008C5C91" w:rsidP="008C5C91">
            <w:pPr>
              <w:spacing w:after="0"/>
              <w:jc w:val="center"/>
              <w:rPr>
                <w:rFonts w:ascii="Times New Roman" w:hAnsi="Times New Roman" w:cs="Times New Roman"/>
                <w:b/>
                <w:bCs/>
              </w:rPr>
            </w:pPr>
            <w:r w:rsidRPr="008C5C91">
              <w:rPr>
                <w:rFonts w:ascii="Times New Roman" w:hAnsi="Times New Roman" w:cs="Times New Roman"/>
                <w:b/>
                <w:bCs/>
              </w:rPr>
              <w:t>Vectibix</w:t>
            </w:r>
            <w:r w:rsidRPr="008C5C91">
              <w:rPr>
                <w:rFonts w:ascii="Times New Roman" w:hAnsi="Times New Roman" w:cs="Times New Roman"/>
                <w:b/>
                <w:bCs/>
                <w:vertAlign w:val="superscript"/>
              </w:rPr>
              <w:t>®</w:t>
            </w:r>
            <w:r w:rsidRPr="008C5C91">
              <w:rPr>
                <w:rFonts w:ascii="Times New Roman" w:hAnsi="Times New Roman" w:cs="Times New Roman"/>
                <w:b/>
                <w:bCs/>
              </w:rPr>
              <w:t>, koncentrat za rastvor za infuziju, 20 mg/ml,</w:t>
            </w:r>
          </w:p>
          <w:p w:rsidR="008C5C91" w:rsidRPr="008C5C91" w:rsidRDefault="008C5C91" w:rsidP="008C5C91">
            <w:pPr>
              <w:spacing w:after="0"/>
              <w:jc w:val="center"/>
              <w:rPr>
                <w:rFonts w:ascii="Times New Roman" w:hAnsi="Times New Roman" w:cs="Times New Roman"/>
                <w:b/>
                <w:bCs/>
                <w:u w:val="single"/>
              </w:rPr>
            </w:pPr>
            <w:r w:rsidRPr="008C5C91">
              <w:rPr>
                <w:rFonts w:ascii="Times New Roman" w:hAnsi="Times New Roman" w:cs="Times New Roman"/>
                <w:b/>
                <w:bCs/>
              </w:rPr>
              <w:t>bočica staklena, 1 x 20 ml</w:t>
            </w:r>
          </w:p>
        </w:tc>
      </w:tr>
      <w:tr w:rsidR="008C5C91" w:rsidRPr="008C5C91" w:rsidTr="00B528BA">
        <w:trPr>
          <w:trHeight w:val="1225"/>
          <w:jc w:val="center"/>
        </w:trPr>
        <w:tc>
          <w:tcPr>
            <w:tcW w:w="9360" w:type="dxa"/>
            <w:gridSpan w:val="2"/>
          </w:tcPr>
          <w:p w:rsidR="008C5C91" w:rsidRPr="008C5C91" w:rsidRDefault="008C5C91" w:rsidP="008C5C91">
            <w:pPr>
              <w:pStyle w:val="Heading2"/>
              <w:jc w:val="both"/>
              <w:rPr>
                <w:rFonts w:ascii="Times New Roman" w:hAnsi="Times New Roman" w:cs="Times New Roman"/>
                <w:color w:val="808080"/>
                <w:sz w:val="22"/>
                <w:szCs w:val="22"/>
                <w:lang w:val="ru-RU"/>
              </w:rPr>
            </w:pPr>
          </w:p>
        </w:tc>
      </w:tr>
      <w:tr w:rsidR="008C5C91" w:rsidRPr="008C5C91" w:rsidTr="00B528BA">
        <w:trPr>
          <w:jc w:val="center"/>
        </w:trPr>
        <w:tc>
          <w:tcPr>
            <w:tcW w:w="2160" w:type="dxa"/>
            <w:vAlign w:val="bottom"/>
          </w:tcPr>
          <w:p w:rsidR="008C5C91" w:rsidRPr="008C5C91" w:rsidRDefault="008C5C91" w:rsidP="008C5C91">
            <w:pPr>
              <w:spacing w:before="200" w:after="0"/>
              <w:jc w:val="right"/>
              <w:rPr>
                <w:rFonts w:ascii="Times New Roman" w:hAnsi="Times New Roman" w:cs="Times New Roman"/>
              </w:rPr>
            </w:pPr>
            <w:r w:rsidRPr="008C5C91">
              <w:rPr>
                <w:rFonts w:ascii="Times New Roman" w:hAnsi="Times New Roman" w:cs="Times New Roman"/>
                <w:lang w:val="sr-Latn-CS"/>
              </w:rPr>
              <w:t>Proizvođač:</w:t>
            </w:r>
          </w:p>
        </w:tc>
        <w:tc>
          <w:tcPr>
            <w:tcW w:w="7200" w:type="dxa"/>
            <w:vAlign w:val="bottom"/>
          </w:tcPr>
          <w:p w:rsidR="008C5C91" w:rsidRPr="008C5C91" w:rsidRDefault="008C5C91" w:rsidP="008C5C91">
            <w:pPr>
              <w:spacing w:before="200" w:after="0"/>
              <w:ind w:left="72" w:hanging="72"/>
              <w:jc w:val="both"/>
              <w:rPr>
                <w:rFonts w:ascii="Times New Roman" w:hAnsi="Times New Roman" w:cs="Times New Roman"/>
                <w:bCs/>
                <w:lang w:val="sr-Latn-CS"/>
              </w:rPr>
            </w:pPr>
            <w:r w:rsidRPr="008C5C91">
              <w:rPr>
                <w:rFonts w:ascii="Times New Roman" w:hAnsi="Times New Roman" w:cs="Times New Roman"/>
                <w:bCs/>
                <w:lang w:val="sr-Latn-CS"/>
              </w:rPr>
              <w:t>Amgen Europe B.V.</w:t>
            </w:r>
          </w:p>
        </w:tc>
      </w:tr>
      <w:tr w:rsidR="008C5C91" w:rsidRPr="008C5C91" w:rsidTr="00B528BA">
        <w:trPr>
          <w:jc w:val="center"/>
        </w:trPr>
        <w:tc>
          <w:tcPr>
            <w:tcW w:w="2160" w:type="dxa"/>
            <w:vAlign w:val="bottom"/>
          </w:tcPr>
          <w:p w:rsidR="008C5C91" w:rsidRPr="008C5C91" w:rsidRDefault="008C5C91" w:rsidP="008C5C91">
            <w:pPr>
              <w:spacing w:before="200" w:after="0"/>
              <w:jc w:val="right"/>
              <w:rPr>
                <w:rFonts w:ascii="Times New Roman" w:hAnsi="Times New Roman" w:cs="Times New Roman"/>
              </w:rPr>
            </w:pPr>
            <w:r w:rsidRPr="008C5C91">
              <w:rPr>
                <w:rFonts w:ascii="Times New Roman" w:hAnsi="Times New Roman" w:cs="Times New Roman"/>
              </w:rPr>
              <w:t>Adresa:</w:t>
            </w:r>
          </w:p>
        </w:tc>
        <w:tc>
          <w:tcPr>
            <w:tcW w:w="7200" w:type="dxa"/>
            <w:vAlign w:val="bottom"/>
          </w:tcPr>
          <w:p w:rsidR="008C5C91" w:rsidRPr="008C5C91" w:rsidRDefault="008C5C91" w:rsidP="008C5C91">
            <w:pPr>
              <w:spacing w:before="200" w:after="0"/>
              <w:ind w:left="72" w:hanging="72"/>
              <w:jc w:val="both"/>
              <w:rPr>
                <w:rFonts w:ascii="Times New Roman" w:hAnsi="Times New Roman" w:cs="Times New Roman"/>
                <w:bCs/>
                <w:lang w:val="sr-Latn-CS"/>
              </w:rPr>
            </w:pPr>
            <w:r w:rsidRPr="008C5C91">
              <w:rPr>
                <w:rFonts w:ascii="Times New Roman" w:hAnsi="Times New Roman" w:cs="Times New Roman"/>
                <w:bCs/>
                <w:lang w:val="sr-Latn-CS"/>
              </w:rPr>
              <w:t>Minervum 7061, 4817 ZK Breda, Holandija</w:t>
            </w:r>
          </w:p>
        </w:tc>
      </w:tr>
      <w:tr w:rsidR="008C5C91" w:rsidRPr="008C5C91" w:rsidTr="00B528BA">
        <w:trPr>
          <w:jc w:val="center"/>
        </w:trPr>
        <w:tc>
          <w:tcPr>
            <w:tcW w:w="2160" w:type="dxa"/>
            <w:vAlign w:val="bottom"/>
          </w:tcPr>
          <w:p w:rsidR="008C5C91" w:rsidRPr="008C5C91" w:rsidRDefault="008C5C91" w:rsidP="008C5C91">
            <w:pPr>
              <w:spacing w:before="200" w:after="0"/>
              <w:jc w:val="right"/>
              <w:rPr>
                <w:rFonts w:ascii="Times New Roman" w:hAnsi="Times New Roman" w:cs="Times New Roman"/>
              </w:rPr>
            </w:pPr>
            <w:r w:rsidRPr="008C5C91">
              <w:rPr>
                <w:rFonts w:ascii="Times New Roman" w:hAnsi="Times New Roman" w:cs="Times New Roman"/>
                <w:lang w:val="sr-Latn-CS"/>
              </w:rPr>
              <w:t>Podnosilac zahtjeva</w:t>
            </w:r>
            <w:r w:rsidRPr="008C5C91">
              <w:rPr>
                <w:rFonts w:ascii="Times New Roman" w:hAnsi="Times New Roman" w:cs="Times New Roman"/>
              </w:rPr>
              <w:t>:</w:t>
            </w:r>
          </w:p>
        </w:tc>
        <w:tc>
          <w:tcPr>
            <w:tcW w:w="7200" w:type="dxa"/>
            <w:vAlign w:val="bottom"/>
          </w:tcPr>
          <w:p w:rsidR="008C5C91" w:rsidRPr="008C5C91" w:rsidRDefault="008C5C91" w:rsidP="008C5C91">
            <w:pPr>
              <w:spacing w:before="200" w:after="0"/>
              <w:ind w:left="72" w:hanging="72"/>
              <w:jc w:val="both"/>
              <w:rPr>
                <w:rFonts w:ascii="Times New Roman" w:hAnsi="Times New Roman" w:cs="Times New Roman"/>
                <w:bCs/>
                <w:lang w:val="sr-Latn-CS"/>
              </w:rPr>
            </w:pPr>
            <w:r w:rsidRPr="008C5C91">
              <w:rPr>
                <w:rFonts w:ascii="Times New Roman" w:hAnsi="Times New Roman" w:cs="Times New Roman"/>
              </w:rPr>
              <w:t>Amicus Pharma d.o.o. Podgorica</w:t>
            </w:r>
          </w:p>
        </w:tc>
      </w:tr>
      <w:tr w:rsidR="008C5C91" w:rsidRPr="008C5C91" w:rsidTr="00B528BA">
        <w:trPr>
          <w:jc w:val="center"/>
        </w:trPr>
        <w:tc>
          <w:tcPr>
            <w:tcW w:w="2160" w:type="dxa"/>
            <w:vAlign w:val="bottom"/>
          </w:tcPr>
          <w:p w:rsidR="008C5C91" w:rsidRPr="008C5C91" w:rsidRDefault="008C5C91" w:rsidP="008C5C91">
            <w:pPr>
              <w:spacing w:before="200" w:after="0"/>
              <w:jc w:val="right"/>
              <w:rPr>
                <w:rFonts w:ascii="Times New Roman" w:hAnsi="Times New Roman" w:cs="Times New Roman"/>
              </w:rPr>
            </w:pPr>
            <w:r w:rsidRPr="008C5C91">
              <w:rPr>
                <w:rFonts w:ascii="Times New Roman" w:hAnsi="Times New Roman" w:cs="Times New Roman"/>
                <w:lang w:val="sr-Latn-CS"/>
              </w:rPr>
              <w:t>Adresa:</w:t>
            </w:r>
          </w:p>
        </w:tc>
        <w:tc>
          <w:tcPr>
            <w:tcW w:w="7200" w:type="dxa"/>
            <w:vAlign w:val="bottom"/>
          </w:tcPr>
          <w:p w:rsidR="008C5C91" w:rsidRPr="008C5C91" w:rsidRDefault="008C5C91" w:rsidP="008C5C91">
            <w:pPr>
              <w:spacing w:before="200" w:after="0"/>
              <w:ind w:left="72" w:hanging="72"/>
              <w:jc w:val="both"/>
              <w:rPr>
                <w:rFonts w:ascii="Times New Roman" w:hAnsi="Times New Roman" w:cs="Times New Roman"/>
                <w:bCs/>
                <w:lang w:val="sr-Latn-CS"/>
              </w:rPr>
            </w:pPr>
            <w:r w:rsidRPr="008C5C91">
              <w:rPr>
                <w:rFonts w:ascii="Times New Roman" w:hAnsi="Times New Roman" w:cs="Times New Roman"/>
                <w:bCs/>
                <w:lang w:val="sr-Latn-CS"/>
              </w:rPr>
              <w:t>Moskovska 63-4, Podgorica, Crna Gora</w:t>
            </w:r>
          </w:p>
        </w:tc>
      </w:tr>
    </w:tbl>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i/>
          <w:iCs/>
          <w:u w:val="single"/>
        </w:rPr>
        <w:br w:type="page"/>
      </w:r>
      <w:r w:rsidRPr="008C5C91">
        <w:rPr>
          <w:rFonts w:ascii="Times New Roman" w:hAnsi="Times New Roman" w:cs="Times New Roman"/>
          <w:b/>
          <w:bCs/>
          <w:lang w:val="sr-Latn-CS"/>
        </w:rPr>
        <w:lastRenderedPageBreak/>
        <w:t xml:space="preserve">1. </w:t>
      </w:r>
      <w:r w:rsidRPr="008C5C91">
        <w:rPr>
          <w:rFonts w:ascii="Times New Roman" w:hAnsi="Times New Roman" w:cs="Times New Roman"/>
          <w:b/>
          <w:bCs/>
          <w:lang w:val="sr-Latn-CS"/>
        </w:rPr>
        <w:tab/>
      </w:r>
      <w:r w:rsidRPr="008C5C91">
        <w:rPr>
          <w:rFonts w:ascii="Times New Roman" w:hAnsi="Times New Roman" w:cs="Times New Roman"/>
          <w:b/>
          <w:bCs/>
        </w:rPr>
        <w:t>NAZIV</w:t>
      </w:r>
      <w:r w:rsidRPr="008C5C91">
        <w:rPr>
          <w:rFonts w:ascii="Times New Roman" w:hAnsi="Times New Roman" w:cs="Times New Roman"/>
          <w:b/>
          <w:bCs/>
          <w:lang w:val="sr-Latn-CS"/>
        </w:rPr>
        <w:t xml:space="preserve"> </w:t>
      </w:r>
      <w:r w:rsidRPr="008C5C91">
        <w:rPr>
          <w:rFonts w:ascii="Times New Roman" w:hAnsi="Times New Roman" w:cs="Times New Roman"/>
          <w:b/>
          <w:bCs/>
        </w:rPr>
        <w:t>LIJEKA</w:t>
      </w:r>
    </w:p>
    <w:p w:rsidR="008C5C91" w:rsidRPr="008C5C91" w:rsidRDefault="008C5C91" w:rsidP="008C5C91">
      <w:pPr>
        <w:spacing w:after="0"/>
        <w:jc w:val="both"/>
        <w:rPr>
          <w:rFonts w:ascii="Times New Roman" w:hAnsi="Times New Roman" w:cs="Times New Roman"/>
          <w:bCs/>
          <w:lang w:val="sr-Latn-CS"/>
        </w:rPr>
      </w:pPr>
    </w:p>
    <w:p w:rsidR="008C5C91" w:rsidRPr="008C5C91" w:rsidRDefault="008C5C91" w:rsidP="008C5C91">
      <w:pPr>
        <w:spacing w:after="0"/>
        <w:jc w:val="both"/>
        <w:rPr>
          <w:rFonts w:ascii="Times New Roman" w:hAnsi="Times New Roman" w:cs="Times New Roman"/>
          <w:lang w:val="pl-PL"/>
        </w:rPr>
      </w:pPr>
      <w:r w:rsidRPr="008C5C91">
        <w:rPr>
          <w:rFonts w:ascii="Times New Roman" w:hAnsi="Times New Roman" w:cs="Times New Roman"/>
          <w:bCs/>
          <w:lang w:val="sr-Latn-CS"/>
        </w:rPr>
        <w:t>Vectibix, 20 mg/ml, ko</w:t>
      </w:r>
      <w:r w:rsidR="00F76D85">
        <w:rPr>
          <w:rFonts w:ascii="Times New Roman" w:hAnsi="Times New Roman" w:cs="Times New Roman"/>
          <w:bCs/>
          <w:lang w:val="sr-Latn-CS"/>
        </w:rPr>
        <w:t>ncentrat za rastvor za infuziju</w:t>
      </w:r>
      <w:bookmarkStart w:id="0" w:name="_GoBack"/>
      <w:bookmarkEnd w:id="0"/>
    </w:p>
    <w:p w:rsidR="008C5C91" w:rsidRPr="008C5C91" w:rsidRDefault="008C5C91" w:rsidP="008C5C91">
      <w:pPr>
        <w:spacing w:after="0"/>
        <w:jc w:val="both"/>
        <w:rPr>
          <w:rFonts w:ascii="Times New Roman" w:hAnsi="Times New Roman" w:cs="Times New Roman"/>
          <w:lang w:val="sv-SE"/>
        </w:rPr>
      </w:pPr>
    </w:p>
    <w:p w:rsidR="008C5C91" w:rsidRPr="008C5C91" w:rsidRDefault="008C5C91" w:rsidP="008C5C91">
      <w:pPr>
        <w:spacing w:after="0"/>
        <w:jc w:val="both"/>
        <w:rPr>
          <w:rFonts w:ascii="Times New Roman" w:hAnsi="Times New Roman" w:cs="Times New Roman"/>
          <w:bCs/>
          <w:lang w:val="sv-SE"/>
        </w:rPr>
      </w:pPr>
      <w:r w:rsidRPr="008C5C91">
        <w:rPr>
          <w:rFonts w:ascii="Times New Roman" w:hAnsi="Times New Roman" w:cs="Times New Roman"/>
          <w:lang w:val="sv-SE"/>
        </w:rPr>
        <w:t xml:space="preserve">INN: </w:t>
      </w:r>
      <w:r w:rsidRPr="008C5C91">
        <w:rPr>
          <w:rFonts w:ascii="Times New Roman" w:hAnsi="Times New Roman" w:cs="Times New Roman"/>
          <w:bCs/>
          <w:lang w:val="sr-Latn-CS"/>
        </w:rPr>
        <w:t>panitumumab</w:t>
      </w:r>
    </w:p>
    <w:p w:rsidR="008C5C91" w:rsidRPr="008C5C91" w:rsidRDefault="008C5C91" w:rsidP="008C5C91">
      <w:pPr>
        <w:spacing w:after="0"/>
        <w:jc w:val="both"/>
        <w:rPr>
          <w:rFonts w:ascii="Times New Roman" w:hAnsi="Times New Roman" w:cs="Times New Roman"/>
          <w:bCs/>
          <w:lang w:val="sv-SE"/>
        </w:rPr>
      </w:pPr>
    </w:p>
    <w:p w:rsidR="008C5C91" w:rsidRPr="008C5C91" w:rsidRDefault="008C5C91" w:rsidP="008C5C91">
      <w:pPr>
        <w:spacing w:after="0"/>
        <w:jc w:val="both"/>
        <w:rPr>
          <w:rFonts w:ascii="Times New Roman" w:hAnsi="Times New Roman" w:cs="Times New Roman"/>
          <w:bCs/>
          <w:lang w:val="sv-SE"/>
        </w:rPr>
      </w:pPr>
    </w:p>
    <w:p w:rsidR="008C5C91" w:rsidRPr="008C5C91" w:rsidRDefault="008C5C91" w:rsidP="008C5C91">
      <w:pPr>
        <w:tabs>
          <w:tab w:val="left" w:pos="540"/>
          <w:tab w:val="left" w:pos="569"/>
        </w:tabs>
        <w:spacing w:after="0"/>
        <w:jc w:val="both"/>
        <w:rPr>
          <w:rFonts w:ascii="Times New Roman" w:hAnsi="Times New Roman" w:cs="Times New Roman"/>
          <w:b/>
          <w:bCs/>
          <w:lang w:val="nb-NO"/>
        </w:rPr>
      </w:pPr>
      <w:r w:rsidRPr="008C5C91">
        <w:rPr>
          <w:rFonts w:ascii="Times New Roman" w:hAnsi="Times New Roman" w:cs="Times New Roman"/>
          <w:b/>
          <w:bCs/>
          <w:lang w:val="nb-NO"/>
        </w:rPr>
        <w:t xml:space="preserve">2. </w:t>
      </w:r>
      <w:r w:rsidRPr="008C5C91">
        <w:rPr>
          <w:rFonts w:ascii="Times New Roman" w:hAnsi="Times New Roman" w:cs="Times New Roman"/>
          <w:b/>
          <w:bCs/>
          <w:lang w:val="nb-NO"/>
        </w:rPr>
        <w:tab/>
        <w:t>KVALITATIVNI I KVANTITATIVNI SASTAV</w:t>
      </w:r>
    </w:p>
    <w:p w:rsidR="008C5C91" w:rsidRPr="008C5C91" w:rsidRDefault="008C5C91" w:rsidP="008C5C91">
      <w:pPr>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Jedan ml koncentrata sadrži 20 mg panitumumaba.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Jedna bočica za jednokratnu upotrebu sadrži 100 mg panitumumaba u 5 ml, ili 400 mg panitumumaba u 20 ml.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Ukoliko se priprema u skladu sa uputstvima datim u poglavlju 6.6, dobijena koncentracija panitumumaba ne treba da bude veća od 10 mg/ml.</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Panitumumab je potpuno humano monoklonsko antitijelo klase IgG2 dobijeno tehnologijom rekombinantne DNK iz ćelijske linije sisara (CHO).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Pomoćne supstance sa potvrđenim dejstvom:</w:t>
      </w: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Jedan ml koncentrata sadrži 0,150 mmol natrijuma, što je ekvivalentno 3,45 mg natrijuma.</w:t>
      </w:r>
    </w:p>
    <w:p w:rsidR="008C5C91" w:rsidRPr="008C5C91" w:rsidRDefault="008C5C91" w:rsidP="008C5C91">
      <w:pPr>
        <w:spacing w:after="0"/>
        <w:jc w:val="both"/>
        <w:rPr>
          <w:rFonts w:ascii="Times New Roman" w:hAnsi="Times New Roman" w:cs="Times New Roman"/>
          <w:lang w:val="sr-Latn-CS"/>
        </w:rPr>
      </w:pPr>
      <w:r w:rsidRPr="008C5C91">
        <w:rPr>
          <w:rFonts w:ascii="Times New Roman" w:hAnsi="Times New Roman" w:cs="Times New Roman"/>
          <w:lang w:val="sr-Latn-CS"/>
        </w:rPr>
        <w:t>Kompletnu listu pomoćnih supstanci pogledati u poglavlju 6.1.</w:t>
      </w:r>
    </w:p>
    <w:p w:rsidR="008C5C91" w:rsidRPr="008C5C91" w:rsidRDefault="008C5C91" w:rsidP="008C5C91">
      <w:pPr>
        <w:spacing w:after="0"/>
        <w:jc w:val="both"/>
        <w:rPr>
          <w:rFonts w:ascii="Times New Roman" w:hAnsi="Times New Roman" w:cs="Times New Roman"/>
          <w:lang w:val="sr-Latn-CS"/>
        </w:rPr>
      </w:pPr>
    </w:p>
    <w:p w:rsidR="008C5C91" w:rsidRPr="008C5C91" w:rsidRDefault="008C5C91" w:rsidP="008C5C91">
      <w:pPr>
        <w:spacing w:after="0"/>
        <w:jc w:val="both"/>
        <w:rPr>
          <w:rFonts w:ascii="Times New Roman" w:hAnsi="Times New Roman" w:cs="Times New Roman"/>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nb-NO"/>
        </w:rPr>
      </w:pPr>
      <w:r w:rsidRPr="008C5C91">
        <w:rPr>
          <w:rFonts w:ascii="Times New Roman" w:hAnsi="Times New Roman" w:cs="Times New Roman"/>
          <w:b/>
          <w:bCs/>
          <w:lang w:val="nb-NO"/>
        </w:rPr>
        <w:t xml:space="preserve">3. </w:t>
      </w:r>
      <w:r w:rsidRPr="008C5C91">
        <w:rPr>
          <w:rFonts w:ascii="Times New Roman" w:hAnsi="Times New Roman" w:cs="Times New Roman"/>
          <w:b/>
          <w:bCs/>
          <w:lang w:val="nb-NO"/>
        </w:rPr>
        <w:tab/>
        <w:t>FARMACEUTSKI OBLIK</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Koncentrat za rastvor za infuziju (sterilni koncentrat).</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spacing w:after="0"/>
        <w:jc w:val="both"/>
        <w:rPr>
          <w:rFonts w:ascii="Times New Roman" w:hAnsi="Times New Roman" w:cs="Times New Roman"/>
          <w:bCs/>
          <w:lang w:val="sr-Latn-CS"/>
        </w:rPr>
      </w:pPr>
      <w:r w:rsidRPr="008C5C91">
        <w:rPr>
          <w:rFonts w:ascii="Times New Roman" w:hAnsi="Times New Roman" w:cs="Times New Roman"/>
          <w:lang w:val="sr-Latn-CS"/>
        </w:rPr>
        <w:t xml:space="preserve">Bezbojni rastvor koji može da sadrži </w:t>
      </w:r>
      <w:r w:rsidRPr="008C5C91">
        <w:rPr>
          <w:rFonts w:ascii="Times New Roman" w:hAnsi="Times New Roman" w:cs="Times New Roman"/>
        </w:rPr>
        <w:t>providne</w:t>
      </w:r>
      <w:r w:rsidRPr="008C5C91">
        <w:rPr>
          <w:rFonts w:ascii="Times New Roman" w:hAnsi="Times New Roman" w:cs="Times New Roman"/>
          <w:lang w:val="sr-Latn-CS"/>
        </w:rPr>
        <w:t xml:space="preserve"> </w:t>
      </w:r>
      <w:r w:rsidRPr="008C5C91">
        <w:rPr>
          <w:rFonts w:ascii="Times New Roman" w:hAnsi="Times New Roman" w:cs="Times New Roman"/>
        </w:rPr>
        <w:t>do</w:t>
      </w:r>
      <w:r w:rsidRPr="008C5C91">
        <w:rPr>
          <w:rFonts w:ascii="Times New Roman" w:hAnsi="Times New Roman" w:cs="Times New Roman"/>
          <w:lang w:val="sr-Latn-CS"/>
        </w:rPr>
        <w:t xml:space="preserve"> </w:t>
      </w:r>
      <w:r w:rsidRPr="008C5C91">
        <w:rPr>
          <w:rFonts w:ascii="Times New Roman" w:hAnsi="Times New Roman" w:cs="Times New Roman"/>
        </w:rPr>
        <w:t>bijele</w:t>
      </w:r>
      <w:r w:rsidRPr="008C5C91">
        <w:rPr>
          <w:rFonts w:ascii="Times New Roman" w:hAnsi="Times New Roman" w:cs="Times New Roman"/>
          <w:lang w:val="sr-Latn-CS"/>
        </w:rPr>
        <w:t>, vidljive amorfne proteinske čestice panitumumaba.</w:t>
      </w:r>
    </w:p>
    <w:p w:rsidR="008C5C91" w:rsidRPr="008C5C91" w:rsidRDefault="008C5C91" w:rsidP="008C5C91">
      <w:pPr>
        <w:spacing w:after="0"/>
        <w:jc w:val="both"/>
        <w:rPr>
          <w:rFonts w:ascii="Times New Roman" w:hAnsi="Times New Roman" w:cs="Times New Roman"/>
          <w:bCs/>
          <w:lang w:val="sr-Latn-CS"/>
        </w:rPr>
      </w:pPr>
    </w:p>
    <w:p w:rsidR="008C5C91" w:rsidRPr="008C5C91" w:rsidRDefault="008C5C91" w:rsidP="008C5C91">
      <w:pPr>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 xml:space="preserve">4. </w:t>
      </w:r>
      <w:r w:rsidRPr="008C5C91">
        <w:rPr>
          <w:rFonts w:ascii="Times New Roman" w:hAnsi="Times New Roman" w:cs="Times New Roman"/>
          <w:b/>
          <w:bCs/>
          <w:lang w:val="sr-Latn-CS"/>
        </w:rPr>
        <w:tab/>
      </w:r>
      <w:r w:rsidRPr="008C5C91">
        <w:rPr>
          <w:rFonts w:ascii="Times New Roman" w:hAnsi="Times New Roman" w:cs="Times New Roman"/>
          <w:b/>
          <w:bCs/>
        </w:rPr>
        <w:t>KLINI</w:t>
      </w:r>
      <w:r w:rsidRPr="008C5C91">
        <w:rPr>
          <w:rFonts w:ascii="Times New Roman" w:hAnsi="Times New Roman" w:cs="Times New Roman"/>
          <w:b/>
          <w:bCs/>
          <w:lang w:val="sr-Latn-CS"/>
        </w:rPr>
        <w:t>Č</w:t>
      </w:r>
      <w:r w:rsidRPr="008C5C91">
        <w:rPr>
          <w:rFonts w:ascii="Times New Roman" w:hAnsi="Times New Roman" w:cs="Times New Roman"/>
          <w:b/>
          <w:bCs/>
        </w:rPr>
        <w:t>KI</w:t>
      </w:r>
      <w:r w:rsidRPr="008C5C91">
        <w:rPr>
          <w:rFonts w:ascii="Times New Roman" w:hAnsi="Times New Roman" w:cs="Times New Roman"/>
          <w:b/>
          <w:bCs/>
          <w:lang w:val="sr-Latn-CS"/>
        </w:rPr>
        <w:t xml:space="preserve"> </w:t>
      </w:r>
      <w:r w:rsidRPr="008C5C91">
        <w:rPr>
          <w:rFonts w:ascii="Times New Roman" w:hAnsi="Times New Roman" w:cs="Times New Roman"/>
          <w:b/>
          <w:bCs/>
        </w:rPr>
        <w:t>PODACI</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 xml:space="preserve">4.1. </w:t>
      </w:r>
      <w:r w:rsidRPr="008C5C91">
        <w:rPr>
          <w:rFonts w:ascii="Times New Roman" w:hAnsi="Times New Roman" w:cs="Times New Roman"/>
          <w:b/>
          <w:bCs/>
          <w:lang w:val="sr-Latn-CS"/>
        </w:rPr>
        <w:tab/>
      </w:r>
      <w:r w:rsidRPr="008C5C91">
        <w:rPr>
          <w:rFonts w:ascii="Times New Roman" w:hAnsi="Times New Roman" w:cs="Times New Roman"/>
          <w:b/>
          <w:bCs/>
        </w:rPr>
        <w:t>Terapijske</w:t>
      </w:r>
      <w:r w:rsidRPr="008C5C91">
        <w:rPr>
          <w:rFonts w:ascii="Times New Roman" w:hAnsi="Times New Roman" w:cs="Times New Roman"/>
          <w:b/>
          <w:bCs/>
          <w:lang w:val="sr-Latn-CS"/>
        </w:rPr>
        <w:t xml:space="preserve"> </w:t>
      </w:r>
      <w:r w:rsidRPr="008C5C91">
        <w:rPr>
          <w:rFonts w:ascii="Times New Roman" w:hAnsi="Times New Roman" w:cs="Times New Roman"/>
          <w:b/>
          <w:bCs/>
        </w:rPr>
        <w:t>indikacije</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Vectibix je </w:t>
      </w:r>
      <w:r w:rsidRPr="008C5C91">
        <w:rPr>
          <w:rFonts w:ascii="Times New Roman" w:hAnsi="Times New Roman" w:cs="Times New Roman"/>
        </w:rPr>
        <w:t>indikovan</w:t>
      </w:r>
      <w:r w:rsidRPr="008C5C91">
        <w:rPr>
          <w:rFonts w:ascii="Times New Roman" w:hAnsi="Times New Roman" w:cs="Times New Roman"/>
          <w:lang w:val="sr-Latn-CS"/>
        </w:rPr>
        <w:t xml:space="preserve"> za liječenje odraslih pacijenata sa metastatskim kolorektalnim karcinomom (mCRC) sa divljim tipom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gena:</w:t>
      </w:r>
    </w:p>
    <w:p w:rsidR="008C5C91" w:rsidRPr="008C5C91" w:rsidRDefault="008C5C91" w:rsidP="008C5C91">
      <w:pPr>
        <w:numPr>
          <w:ilvl w:val="0"/>
          <w:numId w:val="10"/>
        </w:numPr>
        <w:tabs>
          <w:tab w:val="left" w:pos="567"/>
        </w:tabs>
        <w:spacing w:after="0" w:line="240" w:lineRule="auto"/>
        <w:ind w:left="567" w:hanging="567"/>
        <w:jc w:val="both"/>
        <w:rPr>
          <w:rFonts w:ascii="Times New Roman" w:hAnsi="Times New Roman" w:cs="Times New Roman"/>
          <w:lang w:val="sr-Latn-CS"/>
        </w:rPr>
      </w:pPr>
      <w:r w:rsidRPr="008C5C91">
        <w:rPr>
          <w:rFonts w:ascii="Times New Roman" w:hAnsi="Times New Roman" w:cs="Times New Roman"/>
          <w:lang w:val="sr-Latn-CS"/>
        </w:rPr>
        <w:t>kao prva linija terapije u kombinaciji sa FOLFOX</w:t>
      </w:r>
      <w:r w:rsidRPr="008C5C91">
        <w:rPr>
          <w:rFonts w:ascii="Times New Roman" w:eastAsia="Calibri" w:hAnsi="Times New Roman" w:cs="Times New Roman"/>
          <w:lang w:val="sr-Latn-CS"/>
        </w:rPr>
        <w:t xml:space="preserve"> </w:t>
      </w:r>
      <w:r w:rsidRPr="008C5C91">
        <w:rPr>
          <w:rFonts w:ascii="Times New Roman" w:hAnsi="Times New Roman" w:cs="Times New Roman"/>
          <w:lang w:val="sr-Latn-CS"/>
        </w:rPr>
        <w:t>ili FOLFIRI.</w:t>
      </w:r>
    </w:p>
    <w:p w:rsidR="008C5C91" w:rsidRPr="008C5C91" w:rsidRDefault="008C5C91" w:rsidP="008C5C91">
      <w:pPr>
        <w:numPr>
          <w:ilvl w:val="0"/>
          <w:numId w:val="10"/>
        </w:numPr>
        <w:tabs>
          <w:tab w:val="left" w:pos="567"/>
        </w:tabs>
        <w:spacing w:after="0" w:line="240" w:lineRule="auto"/>
        <w:ind w:left="567" w:hanging="567"/>
        <w:jc w:val="both"/>
        <w:rPr>
          <w:rFonts w:ascii="Times New Roman" w:hAnsi="Times New Roman" w:cs="Times New Roman"/>
          <w:lang w:val="sr-Latn-CS"/>
        </w:rPr>
      </w:pPr>
      <w:r w:rsidRPr="008C5C91">
        <w:rPr>
          <w:rFonts w:ascii="Times New Roman" w:hAnsi="Times New Roman" w:cs="Times New Roman"/>
          <w:lang w:val="sr-Latn-CS"/>
        </w:rPr>
        <w:t>kao druga linija terapije u kombinaciji sa FOLFIRI kod pacijenata koji su kao prvu liniju terapije primili hemioterapiju zasnovanu na fluoropirimidinu (izuzev irinotekana).</w:t>
      </w:r>
    </w:p>
    <w:p w:rsidR="008C5C91" w:rsidRPr="008C5C91" w:rsidRDefault="008C5C91" w:rsidP="008C5C91">
      <w:pPr>
        <w:numPr>
          <w:ilvl w:val="0"/>
          <w:numId w:val="10"/>
        </w:numPr>
        <w:tabs>
          <w:tab w:val="left" w:pos="540"/>
          <w:tab w:val="left" w:pos="569"/>
        </w:tabs>
        <w:spacing w:after="0" w:line="240" w:lineRule="auto"/>
        <w:ind w:left="567" w:right="-554" w:hanging="567"/>
        <w:jc w:val="both"/>
        <w:rPr>
          <w:rFonts w:ascii="Times New Roman" w:hAnsi="Times New Roman" w:cs="Times New Roman"/>
          <w:bCs/>
          <w:lang w:val="sr-Latn-CS"/>
        </w:rPr>
      </w:pPr>
      <w:r w:rsidRPr="008C5C91">
        <w:rPr>
          <w:rFonts w:ascii="Times New Roman" w:hAnsi="Times New Roman" w:cs="Times New Roman"/>
          <w:lang w:val="sr-Latn-CS"/>
        </w:rPr>
        <w:t>kao monoterapija, poslije neuspjeha primijenjenih hemioterapijskih režima koji su sadržali fluoropirimidin, oksaliplatin i irinotekan.</w:t>
      </w:r>
    </w:p>
    <w:p w:rsidR="008C5C91" w:rsidRPr="008C5C91" w:rsidRDefault="008C5C91" w:rsidP="008C5C91">
      <w:pPr>
        <w:tabs>
          <w:tab w:val="left" w:pos="540"/>
          <w:tab w:val="left" w:pos="569"/>
        </w:tabs>
        <w:spacing w:after="0"/>
        <w:ind w:right="-554"/>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lastRenderedPageBreak/>
        <w:t xml:space="preserve">4.2. </w:t>
      </w:r>
      <w:r w:rsidRPr="008C5C91">
        <w:rPr>
          <w:rFonts w:ascii="Times New Roman" w:hAnsi="Times New Roman" w:cs="Times New Roman"/>
          <w:b/>
          <w:bCs/>
          <w:lang w:val="sr-Latn-CS"/>
        </w:rPr>
        <w:tab/>
      </w:r>
      <w:r w:rsidRPr="008C5C91">
        <w:rPr>
          <w:rFonts w:ascii="Times New Roman" w:hAnsi="Times New Roman" w:cs="Times New Roman"/>
          <w:b/>
          <w:bCs/>
        </w:rPr>
        <w:t>Doziranje</w:t>
      </w:r>
      <w:r w:rsidRPr="008C5C91">
        <w:rPr>
          <w:rFonts w:ascii="Times New Roman" w:hAnsi="Times New Roman" w:cs="Times New Roman"/>
          <w:b/>
          <w:bCs/>
          <w:lang w:val="sr-Latn-CS"/>
        </w:rPr>
        <w:t xml:space="preserve"> </w:t>
      </w:r>
      <w:r w:rsidRPr="008C5C91">
        <w:rPr>
          <w:rFonts w:ascii="Times New Roman" w:hAnsi="Times New Roman" w:cs="Times New Roman"/>
          <w:b/>
          <w:bCs/>
        </w:rPr>
        <w:t>i</w:t>
      </w:r>
      <w:r w:rsidRPr="008C5C91">
        <w:rPr>
          <w:rFonts w:ascii="Times New Roman" w:hAnsi="Times New Roman" w:cs="Times New Roman"/>
          <w:b/>
          <w:bCs/>
          <w:lang w:val="sr-Latn-CS"/>
        </w:rPr>
        <w:t xml:space="preserve"> </w:t>
      </w:r>
      <w:r w:rsidRPr="008C5C91">
        <w:rPr>
          <w:rFonts w:ascii="Times New Roman" w:hAnsi="Times New Roman" w:cs="Times New Roman"/>
          <w:b/>
          <w:bCs/>
        </w:rPr>
        <w:t>na</w:t>
      </w:r>
      <w:r w:rsidRPr="008C5C91">
        <w:rPr>
          <w:rFonts w:ascii="Times New Roman" w:hAnsi="Times New Roman" w:cs="Times New Roman"/>
          <w:b/>
          <w:bCs/>
          <w:lang w:val="sr-Latn-CS"/>
        </w:rPr>
        <w:t>č</w:t>
      </w:r>
      <w:r w:rsidRPr="008C5C91">
        <w:rPr>
          <w:rFonts w:ascii="Times New Roman" w:hAnsi="Times New Roman" w:cs="Times New Roman"/>
          <w:b/>
          <w:bCs/>
        </w:rPr>
        <w:t>in</w:t>
      </w:r>
      <w:r w:rsidRPr="008C5C91">
        <w:rPr>
          <w:rFonts w:ascii="Times New Roman" w:hAnsi="Times New Roman" w:cs="Times New Roman"/>
          <w:b/>
          <w:bCs/>
          <w:lang w:val="sr-Latn-CS"/>
        </w:rPr>
        <w:t xml:space="preserve"> </w:t>
      </w:r>
      <w:r w:rsidRPr="008C5C91">
        <w:rPr>
          <w:rFonts w:ascii="Times New Roman" w:hAnsi="Times New Roman" w:cs="Times New Roman"/>
          <w:b/>
          <w:bCs/>
        </w:rPr>
        <w:t>primjene</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Liječenje lijekom Vectibix treba da se vrši pod nadzorom ljekara koji imaju iskustva u primjeni onkološke terapije. Prije započinjanja terapije lijekom Vectibix neophodno je dokazati prisustvo divljeg tipa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w:t>
      </w:r>
      <w:r w:rsidRPr="008C5C91">
        <w:rPr>
          <w:rFonts w:ascii="Times New Roman" w:hAnsi="Times New Roman" w:cs="Times New Roman"/>
          <w:i/>
          <w:lang w:val="sr-Latn-CS"/>
        </w:rPr>
        <w:t xml:space="preserve">KRAS </w:t>
      </w:r>
      <w:r w:rsidRPr="008C5C91">
        <w:rPr>
          <w:rFonts w:ascii="Times New Roman" w:hAnsi="Times New Roman" w:cs="Times New Roman"/>
          <w:lang w:val="sr-Latn-CS"/>
        </w:rPr>
        <w:t xml:space="preserve">i </w:t>
      </w:r>
      <w:r w:rsidRPr="008C5C91">
        <w:rPr>
          <w:rFonts w:ascii="Times New Roman" w:hAnsi="Times New Roman" w:cs="Times New Roman"/>
          <w:i/>
          <w:lang w:val="sr-Latn-CS"/>
        </w:rPr>
        <w:t>NRAS)</w:t>
      </w:r>
      <w:r w:rsidRPr="008C5C91">
        <w:rPr>
          <w:rFonts w:ascii="Times New Roman" w:hAnsi="Times New Roman" w:cs="Times New Roman"/>
          <w:lang w:val="sr-Latn-CS"/>
        </w:rPr>
        <w:t xml:space="preserve"> gena. Mutacioni status treba odrediti u odgovarajućoj laboratoriji primjenom validirane test metode za detekciju mutacija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gena (eksoni 2, 3 i 4) i </w:t>
      </w:r>
      <w:r w:rsidRPr="008C5C91">
        <w:rPr>
          <w:rFonts w:ascii="Times New Roman" w:hAnsi="Times New Roman" w:cs="Times New Roman"/>
          <w:i/>
          <w:lang w:val="sr-Latn-CS"/>
        </w:rPr>
        <w:t>NRAS</w:t>
      </w:r>
      <w:r w:rsidRPr="008C5C91">
        <w:rPr>
          <w:rFonts w:ascii="Times New Roman" w:hAnsi="Times New Roman" w:cs="Times New Roman"/>
          <w:lang w:val="sr-Latn-CS"/>
        </w:rPr>
        <w:t xml:space="preserve"> gena (eksoni 2, 3 i 4).</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keepNext/>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Doziranje</w:t>
      </w:r>
    </w:p>
    <w:p w:rsidR="008C5C91" w:rsidRPr="008C5C91" w:rsidRDefault="008C5C91" w:rsidP="008C5C91">
      <w:pPr>
        <w:keepNext/>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Preporučena doza lijeka Vectibix iznosi 6 mg/kg tjelesne mase i primjenjuje se jednom u dvije nedjelje. Prije primjene infuzije lijek Vectibix mora biti rastvoren sa 9 mg/ml (0,9%) natrijum-hlorida, u rastvoru za injekciju do dobijanja konačne koncentracije koja ne treba da bude veća od 10 mg/ml (uputstva za primjenu opisana su u poglavlju 6.6).</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U slučaju da se jave teške dermatološke reakcije (≥ 3 stepen), može biti neophodno prilagođavanje doze lijeka Vectibix (videti poglavlje 4.4).</w:t>
      </w:r>
    </w:p>
    <w:p w:rsidR="008C5C91" w:rsidRPr="008C5C91" w:rsidRDefault="008C5C91" w:rsidP="008C5C91">
      <w:pPr>
        <w:tabs>
          <w:tab w:val="left" w:pos="540"/>
          <w:tab w:val="left" w:pos="569"/>
        </w:tabs>
        <w:spacing w:after="0"/>
        <w:jc w:val="both"/>
        <w:rPr>
          <w:rFonts w:ascii="Times New Roman" w:hAnsi="Times New Roman" w:cs="Times New Roman"/>
          <w:bCs/>
          <w:i/>
          <w:u w:val="single"/>
          <w:lang w:val="sr-Latn-CS"/>
        </w:rPr>
      </w:pPr>
    </w:p>
    <w:p w:rsidR="008C5C91" w:rsidRPr="008C5C91" w:rsidRDefault="008C5C91" w:rsidP="008C5C91">
      <w:pPr>
        <w:tabs>
          <w:tab w:val="left" w:pos="540"/>
          <w:tab w:val="left" w:pos="569"/>
        </w:tabs>
        <w:spacing w:after="0"/>
        <w:jc w:val="both"/>
        <w:rPr>
          <w:rFonts w:ascii="Times New Roman" w:hAnsi="Times New Roman" w:cs="Times New Roman"/>
          <w:bCs/>
          <w:i/>
          <w:u w:val="single"/>
          <w:lang w:val="sr-Latn-CS"/>
        </w:rPr>
      </w:pPr>
      <w:r w:rsidRPr="008C5C91">
        <w:rPr>
          <w:rFonts w:ascii="Times New Roman" w:hAnsi="Times New Roman" w:cs="Times New Roman"/>
          <w:bCs/>
          <w:i/>
          <w:u w:val="single"/>
          <w:lang w:val="sr-Latn-CS"/>
        </w:rPr>
        <w:t>Posebne populacije:</w:t>
      </w:r>
    </w:p>
    <w:p w:rsidR="008C5C91" w:rsidRPr="008C5C91" w:rsidRDefault="008C5C91" w:rsidP="008C5C91">
      <w:pPr>
        <w:tabs>
          <w:tab w:val="left" w:pos="540"/>
          <w:tab w:val="left" w:pos="569"/>
        </w:tabs>
        <w:spacing w:after="0"/>
        <w:jc w:val="both"/>
        <w:rPr>
          <w:rFonts w:ascii="Times New Roman" w:hAnsi="Times New Roman" w:cs="Times New Roman"/>
          <w:bCs/>
          <w:i/>
          <w:lang w:val="sr-Latn-CS"/>
        </w:rPr>
      </w:pPr>
    </w:p>
    <w:p w:rsidR="008C5C91" w:rsidRPr="008C5C91" w:rsidRDefault="008C5C91" w:rsidP="008C5C91">
      <w:pPr>
        <w:tabs>
          <w:tab w:val="left" w:pos="540"/>
          <w:tab w:val="left" w:pos="569"/>
        </w:tabs>
        <w:spacing w:after="0"/>
        <w:jc w:val="both"/>
        <w:rPr>
          <w:rFonts w:ascii="Times New Roman" w:hAnsi="Times New Roman" w:cs="Times New Roman"/>
          <w:bCs/>
          <w:lang w:val="sr-Latn-CS"/>
        </w:rPr>
      </w:pPr>
      <w:r w:rsidRPr="008C5C91">
        <w:rPr>
          <w:rFonts w:ascii="Times New Roman" w:hAnsi="Times New Roman" w:cs="Times New Roman"/>
          <w:bCs/>
          <w:lang w:val="sr-Latn-CS"/>
        </w:rPr>
        <w:t>Bezbjednost i efikasnost lijeka Vectibix nisu ispitivane kod pacijenata sa oštećenjem bubrega i jetre.</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Cs/>
          <w:lang w:val="sr-Latn-CS"/>
        </w:rPr>
      </w:pPr>
      <w:r w:rsidRPr="008C5C91">
        <w:rPr>
          <w:rFonts w:ascii="Times New Roman" w:hAnsi="Times New Roman" w:cs="Times New Roman"/>
          <w:bCs/>
          <w:lang w:val="sr-Latn-CS"/>
        </w:rPr>
        <w:t>Ne postoje klinički podaci koji ukazuju na potrebu prilagođavanja doze kod starijih pacijenata.</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Cs/>
          <w:i/>
          <w:u w:val="single"/>
          <w:lang w:val="sr-Latn-CS"/>
        </w:rPr>
      </w:pPr>
      <w:r w:rsidRPr="008C5C91">
        <w:rPr>
          <w:rFonts w:ascii="Times New Roman" w:hAnsi="Times New Roman" w:cs="Times New Roman"/>
          <w:bCs/>
          <w:i/>
          <w:u w:val="single"/>
          <w:lang w:val="sr-Latn-CS"/>
        </w:rPr>
        <w:t>Pedijatrijska populacija:</w:t>
      </w:r>
    </w:p>
    <w:p w:rsidR="008C5C91" w:rsidRPr="008C5C91" w:rsidRDefault="008C5C91" w:rsidP="008C5C91">
      <w:pPr>
        <w:tabs>
          <w:tab w:val="left" w:pos="540"/>
          <w:tab w:val="left" w:pos="569"/>
        </w:tabs>
        <w:spacing w:after="0"/>
        <w:jc w:val="both"/>
        <w:rPr>
          <w:rFonts w:ascii="Times New Roman" w:hAnsi="Times New Roman" w:cs="Times New Roman"/>
          <w:bCs/>
          <w:i/>
          <w:lang w:val="sr-Latn-CS"/>
        </w:rPr>
      </w:pPr>
    </w:p>
    <w:p w:rsidR="008C5C91" w:rsidRPr="008C5C91" w:rsidRDefault="008C5C91" w:rsidP="008C5C91">
      <w:pPr>
        <w:tabs>
          <w:tab w:val="left" w:pos="540"/>
          <w:tab w:val="left" w:pos="569"/>
        </w:tabs>
        <w:spacing w:after="0"/>
        <w:jc w:val="both"/>
        <w:rPr>
          <w:rFonts w:ascii="Times New Roman" w:hAnsi="Times New Roman" w:cs="Times New Roman"/>
          <w:bCs/>
          <w:lang w:val="sr-Latn-CS"/>
        </w:rPr>
      </w:pPr>
      <w:r w:rsidRPr="008C5C91">
        <w:rPr>
          <w:rFonts w:ascii="Times New Roman" w:hAnsi="Times New Roman" w:cs="Times New Roman"/>
          <w:bCs/>
          <w:lang w:val="sr-Latn-CS"/>
        </w:rPr>
        <w:t>Nema relevantnih podataka o primjeni lijeka Vectibix u pedijatrijskoj populaciji u indikaciji liječenja kolorektalnog karcinoma.</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Cs/>
          <w:u w:val="single"/>
          <w:lang w:val="sr-Latn-CS"/>
        </w:rPr>
      </w:pPr>
      <w:r w:rsidRPr="008C5C91">
        <w:rPr>
          <w:rFonts w:ascii="Times New Roman" w:hAnsi="Times New Roman" w:cs="Times New Roman"/>
          <w:bCs/>
          <w:u w:val="single"/>
          <w:lang w:val="sr-Latn-CS"/>
        </w:rPr>
        <w:t>Način primjene</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Cs/>
          <w:lang w:val="sr-Latn-CS"/>
        </w:rPr>
      </w:pPr>
      <w:r w:rsidRPr="008C5C91">
        <w:rPr>
          <w:rFonts w:ascii="Times New Roman" w:hAnsi="Times New Roman" w:cs="Times New Roman"/>
          <w:bCs/>
          <w:lang w:val="sr-Latn-CS"/>
        </w:rPr>
        <w:t>Vectibix se primjenjuje u vidu intravenske infuzije uz pomoć infuzione pumpe sa linijskim filterom promjera 0,2 ili 0,22 mikrometra koji slabo vezuje proteine, putem centralnog ili perifernog venskog katetera. Preporučeno vrijeme primjene infuzije iznosi približno 60 minuta. Ukoliko pacijent dobro podnese prvu infuziju, naredne infuzije se mogu primjeniti u trajanju od 30 do 60 minuta. Doze veće od 1000 mg treba primjenjivati tokom 90 minuta (uputstva o rukovanju opisana su u poglavlju 6.6).</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Cs/>
          <w:lang w:val="sr-Latn-CS"/>
        </w:rPr>
      </w:pPr>
      <w:r w:rsidRPr="008C5C91">
        <w:rPr>
          <w:rFonts w:ascii="Times New Roman" w:hAnsi="Times New Roman" w:cs="Times New Roman"/>
          <w:bCs/>
          <w:lang w:val="sr-Latn-CS"/>
        </w:rPr>
        <w:t>Infuzione linije treba isprati rastopinom natrijum-hlorida prije i poslije primjene lijeka Vectibix da bi se izbjeglo miješanje sa drugim ljekovima ili intravenskim rastvorima.</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Cs/>
          <w:lang w:val="sr-Latn-CS"/>
        </w:rPr>
      </w:pPr>
      <w:r w:rsidRPr="008C5C91">
        <w:rPr>
          <w:rFonts w:ascii="Times New Roman" w:hAnsi="Times New Roman" w:cs="Times New Roman"/>
          <w:bCs/>
          <w:lang w:val="sr-Latn-CS"/>
        </w:rPr>
        <w:t>U slučaju pojave reakcija povezanih sa primjenom infuzije, treba smanjiti brzinu primjene infuzije lijeka Vectibix (videti poglavlje 4.4).</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Cs/>
          <w:lang w:val="sr-Latn-CS"/>
        </w:rPr>
      </w:pPr>
      <w:r w:rsidRPr="008C5C91">
        <w:rPr>
          <w:rFonts w:ascii="Times New Roman" w:hAnsi="Times New Roman" w:cs="Times New Roman"/>
          <w:bCs/>
          <w:lang w:val="sr-Latn-CS"/>
        </w:rPr>
        <w:t>Vectibix se ne smije primjenjivati u vidu intravenske bolus injekcije ili brzom intravenskom primjenom.</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r w:rsidRPr="008C5C91">
        <w:rPr>
          <w:rFonts w:ascii="Times New Roman" w:hAnsi="Times New Roman" w:cs="Times New Roman"/>
          <w:bCs/>
          <w:lang w:val="sr-Latn-CS"/>
        </w:rPr>
        <w:lastRenderedPageBreak/>
        <w:t>Uputstva o razblaživanju lijeka prije primjene mogu se naći u poglavlju 6.6.</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 xml:space="preserve">4.3. </w:t>
      </w:r>
      <w:r w:rsidRPr="008C5C91">
        <w:rPr>
          <w:rFonts w:ascii="Times New Roman" w:hAnsi="Times New Roman" w:cs="Times New Roman"/>
          <w:b/>
          <w:bCs/>
          <w:lang w:val="sr-Latn-CS"/>
        </w:rPr>
        <w:tab/>
      </w:r>
      <w:r w:rsidRPr="008C5C91">
        <w:rPr>
          <w:rFonts w:ascii="Times New Roman" w:hAnsi="Times New Roman" w:cs="Times New Roman"/>
          <w:b/>
          <w:bCs/>
        </w:rPr>
        <w:t>Kontraindikacije</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lang w:val="sr-Latn-CS"/>
        </w:rPr>
        <w:t>Pacijenti sa ranije poznatim teškim ili životno ugrožavajućim reakcijama preosjetljivosti na aktivnu supstancu ili bilo koju od pomoćnih supstanci navedenih u poglavlju 6.1 (vidjeti poglavlje 4.4).</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Pacijenti sa intersticijalnim pneumonitisom ili pulmonalnom fibrozom (vidjeti poglavlje 4.4).</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Kombinacija lijeka Vectibix sa hemioterapijom oksaliplatinom je kontraindikovana kod pacijenata sa mCRC sa mutiranim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genom i kod pacijenata kod kojih mCRC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status nije poznat (vidjeti poglavlje 4.4).</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keepNext/>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 xml:space="preserve">4.4. </w:t>
      </w:r>
      <w:r w:rsidRPr="008C5C91">
        <w:rPr>
          <w:rFonts w:ascii="Times New Roman" w:hAnsi="Times New Roman" w:cs="Times New Roman"/>
          <w:b/>
          <w:bCs/>
          <w:lang w:val="sr-Latn-CS"/>
        </w:rPr>
        <w:tab/>
      </w:r>
      <w:r w:rsidRPr="008C5C91">
        <w:rPr>
          <w:rFonts w:ascii="Times New Roman" w:hAnsi="Times New Roman" w:cs="Times New Roman"/>
          <w:b/>
          <w:bCs/>
        </w:rPr>
        <w:t>Posebna</w:t>
      </w:r>
      <w:r w:rsidRPr="008C5C91">
        <w:rPr>
          <w:rFonts w:ascii="Times New Roman" w:hAnsi="Times New Roman" w:cs="Times New Roman"/>
          <w:b/>
          <w:bCs/>
          <w:lang w:val="sr-Latn-CS"/>
        </w:rPr>
        <w:t xml:space="preserve"> </w:t>
      </w:r>
      <w:r w:rsidRPr="008C5C91">
        <w:rPr>
          <w:rFonts w:ascii="Times New Roman" w:hAnsi="Times New Roman" w:cs="Times New Roman"/>
          <w:b/>
          <w:bCs/>
        </w:rPr>
        <w:t>upozorenja</w:t>
      </w:r>
      <w:r w:rsidRPr="008C5C91">
        <w:rPr>
          <w:rFonts w:ascii="Times New Roman" w:hAnsi="Times New Roman" w:cs="Times New Roman"/>
          <w:b/>
          <w:bCs/>
          <w:lang w:val="sr-Latn-CS"/>
        </w:rPr>
        <w:t xml:space="preserve"> </w:t>
      </w:r>
      <w:r w:rsidRPr="008C5C91">
        <w:rPr>
          <w:rFonts w:ascii="Times New Roman" w:hAnsi="Times New Roman" w:cs="Times New Roman"/>
          <w:b/>
          <w:bCs/>
        </w:rPr>
        <w:t>i</w:t>
      </w:r>
      <w:r w:rsidRPr="008C5C91">
        <w:rPr>
          <w:rFonts w:ascii="Times New Roman" w:hAnsi="Times New Roman" w:cs="Times New Roman"/>
          <w:b/>
          <w:bCs/>
          <w:lang w:val="sr-Latn-CS"/>
        </w:rPr>
        <w:t xml:space="preserve"> </w:t>
      </w:r>
      <w:r w:rsidRPr="008C5C91">
        <w:rPr>
          <w:rFonts w:ascii="Times New Roman" w:hAnsi="Times New Roman" w:cs="Times New Roman"/>
          <w:b/>
          <w:bCs/>
        </w:rPr>
        <w:t>mjere</w:t>
      </w:r>
      <w:r w:rsidRPr="008C5C91">
        <w:rPr>
          <w:rFonts w:ascii="Times New Roman" w:hAnsi="Times New Roman" w:cs="Times New Roman"/>
          <w:b/>
          <w:bCs/>
          <w:lang w:val="sr-Latn-CS"/>
        </w:rPr>
        <w:t xml:space="preserve"> </w:t>
      </w:r>
      <w:r w:rsidRPr="008C5C91">
        <w:rPr>
          <w:rFonts w:ascii="Times New Roman" w:hAnsi="Times New Roman" w:cs="Times New Roman"/>
          <w:b/>
          <w:bCs/>
        </w:rPr>
        <w:t>opreza</w:t>
      </w:r>
      <w:r w:rsidRPr="008C5C91">
        <w:rPr>
          <w:rFonts w:ascii="Times New Roman" w:hAnsi="Times New Roman" w:cs="Times New Roman"/>
          <w:b/>
          <w:bCs/>
          <w:lang w:val="sr-Latn-CS"/>
        </w:rPr>
        <w:t xml:space="preserve"> </w:t>
      </w:r>
      <w:r w:rsidRPr="008C5C91">
        <w:rPr>
          <w:rFonts w:ascii="Times New Roman" w:hAnsi="Times New Roman" w:cs="Times New Roman"/>
          <w:b/>
          <w:bCs/>
        </w:rPr>
        <w:t>pri</w:t>
      </w:r>
      <w:r w:rsidRPr="008C5C91">
        <w:rPr>
          <w:rFonts w:ascii="Times New Roman" w:hAnsi="Times New Roman" w:cs="Times New Roman"/>
          <w:b/>
          <w:bCs/>
          <w:lang w:val="sr-Latn-CS"/>
        </w:rPr>
        <w:t xml:space="preserve"> </w:t>
      </w:r>
      <w:r w:rsidRPr="008C5C91">
        <w:rPr>
          <w:rFonts w:ascii="Times New Roman" w:hAnsi="Times New Roman" w:cs="Times New Roman"/>
          <w:b/>
          <w:bCs/>
        </w:rPr>
        <w:t>upotrebi</w:t>
      </w:r>
      <w:r w:rsidRPr="008C5C91">
        <w:rPr>
          <w:rFonts w:ascii="Times New Roman" w:hAnsi="Times New Roman" w:cs="Times New Roman"/>
          <w:b/>
          <w:bCs/>
          <w:lang w:val="sr-Latn-CS"/>
        </w:rPr>
        <w:t xml:space="preserve"> </w:t>
      </w:r>
      <w:r w:rsidRPr="008C5C91">
        <w:rPr>
          <w:rFonts w:ascii="Times New Roman" w:hAnsi="Times New Roman" w:cs="Times New Roman"/>
          <w:b/>
          <w:bCs/>
        </w:rPr>
        <w:t>lijeka</w:t>
      </w:r>
    </w:p>
    <w:p w:rsidR="008C5C91" w:rsidRPr="008C5C91" w:rsidRDefault="008C5C91" w:rsidP="008C5C91">
      <w:pPr>
        <w:keepNext/>
        <w:tabs>
          <w:tab w:val="left" w:pos="540"/>
          <w:tab w:val="left" w:pos="569"/>
        </w:tabs>
        <w:spacing w:after="0"/>
        <w:jc w:val="both"/>
        <w:rPr>
          <w:rFonts w:ascii="Times New Roman" w:hAnsi="Times New Roman" w:cs="Times New Roman"/>
          <w:bCs/>
          <w:lang w:val="sr-Latn-CS"/>
        </w:rPr>
      </w:pPr>
    </w:p>
    <w:p w:rsidR="008C5C91" w:rsidRPr="008C5C91" w:rsidRDefault="008C5C91" w:rsidP="008C5C91">
      <w:pPr>
        <w:keepNext/>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Dermatološke reakcije</w:t>
      </w:r>
      <w:r w:rsidRPr="008C5C91">
        <w:rPr>
          <w:rFonts w:ascii="Times New Roman" w:eastAsia="Calibri" w:hAnsi="Times New Roman" w:cs="Times New Roman"/>
          <w:u w:val="single"/>
          <w:lang w:val="sr-Latn-CS"/>
        </w:rPr>
        <w:t xml:space="preserve"> </w:t>
      </w:r>
      <w:r w:rsidRPr="008C5C91">
        <w:rPr>
          <w:rFonts w:ascii="Times New Roman" w:hAnsi="Times New Roman" w:cs="Times New Roman"/>
          <w:u w:val="single"/>
          <w:lang w:val="sr-Latn-CS"/>
        </w:rPr>
        <w:t>i toksičnost mekih tkiva</w:t>
      </w:r>
    </w:p>
    <w:p w:rsidR="008C5C91" w:rsidRPr="008C5C91" w:rsidRDefault="008C5C91" w:rsidP="008C5C91">
      <w:pPr>
        <w:keepNext/>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Dermatološke reakcije, kao farmakološki efekti koji su primijećeni kod inhibitora receptora epidermalnog faktora rasta (EGFR), primijećene su i kod skoro svih pacijenata (oko 90%) liječenih lijekom Vectibix. Teške (NCI-CTC 3. stepena) reakcije na koži primijećene su kod 34%, a životno ugrožavajuće (NCI-CTC 4. stepena) reakcije na koži kod &lt; 1% pacijenata koji su liječeni lijekom Vectibix</w:t>
      </w:r>
      <w:r w:rsidRPr="008C5C91">
        <w:rPr>
          <w:rFonts w:ascii="Times New Roman" w:hAnsi="Times New Roman" w:cs="Times New Roman"/>
          <w:vertAlign w:val="superscript"/>
          <w:lang w:val="sr-Latn-CS"/>
        </w:rPr>
        <w:t xml:space="preserve"> </w:t>
      </w:r>
      <w:r w:rsidRPr="008C5C91">
        <w:rPr>
          <w:rFonts w:ascii="Times New Roman" w:hAnsi="Times New Roman" w:cs="Times New Roman"/>
          <w:lang w:val="sr-Latn-CS"/>
        </w:rPr>
        <w:t>u kombinaciji sa hemioterapijom (n = 1536) (vidjeti poglavlje 4.8). Ukoliko pacijent razvije dermatološke reakcije 3. stepena (CTCAE v 4.0) ili višeg stepena, ili reakcijama koje izazivaju netoleranciju, preporučuje se sljedeće prilagođavanje doza:</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tbl>
      <w:tblPr>
        <w:tblW w:w="5000" w:type="pct"/>
        <w:jc w:val="center"/>
        <w:tblLayout w:type="fixed"/>
        <w:tblCellMar>
          <w:left w:w="0" w:type="dxa"/>
          <w:right w:w="0" w:type="dxa"/>
        </w:tblCellMar>
        <w:tblLook w:val="0000" w:firstRow="0" w:lastRow="0" w:firstColumn="0" w:lastColumn="0" w:noHBand="0" w:noVBand="0"/>
      </w:tblPr>
      <w:tblGrid>
        <w:gridCol w:w="1962"/>
        <w:gridCol w:w="1960"/>
        <w:gridCol w:w="2878"/>
        <w:gridCol w:w="2807"/>
      </w:tblGrid>
      <w:tr w:rsidR="008C5C91" w:rsidRPr="008C5C91" w:rsidTr="00B528BA">
        <w:trPr>
          <w:cantSplit/>
          <w:trHeight w:val="874"/>
          <w:tblHeader/>
          <w:jc w:val="center"/>
        </w:trPr>
        <w:tc>
          <w:tcPr>
            <w:tcW w:w="10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keepNext/>
              <w:tabs>
                <w:tab w:val="left" w:pos="284"/>
              </w:tabs>
              <w:spacing w:after="0"/>
              <w:rPr>
                <w:rFonts w:ascii="Times New Roman" w:eastAsia="MS Mincho" w:hAnsi="Times New Roman" w:cs="Times New Roman"/>
                <w:b/>
                <w:u w:val="single"/>
                <w:vertAlign w:val="superscript"/>
                <w:lang w:eastAsia="ja-JP"/>
              </w:rPr>
            </w:pPr>
            <w:r w:rsidRPr="008C5C91">
              <w:rPr>
                <w:rFonts w:ascii="Times New Roman" w:eastAsia="MS Mincho" w:hAnsi="Times New Roman" w:cs="Times New Roman"/>
                <w:b/>
                <w:u w:val="single"/>
                <w:lang w:eastAsia="ja-JP"/>
              </w:rPr>
              <w:t xml:space="preserve">Pojave simptoma na koži: </w:t>
            </w:r>
            <w:r w:rsidRPr="008C5C91">
              <w:rPr>
                <w:rFonts w:ascii="Times New Roman" w:eastAsia="MS Mincho" w:hAnsi="Times New Roman" w:cs="Times New Roman"/>
                <w:b/>
                <w:u w:val="single"/>
                <w:lang w:eastAsia="ja-JP"/>
              </w:rPr>
              <w:br/>
            </w:r>
            <w:r w:rsidRPr="008C5C91">
              <w:rPr>
                <w:rFonts w:ascii="Times New Roman" w:eastAsia="MS Mincho" w:hAnsi="Times New Roman" w:cs="Times New Roman"/>
                <w:b/>
                <w:lang w:eastAsia="ja-JP"/>
              </w:rPr>
              <w:t>≥ 3 stepen</w:t>
            </w:r>
            <w:r w:rsidRPr="008C5C91">
              <w:rPr>
                <w:rFonts w:ascii="Times New Roman" w:eastAsia="MS Mincho" w:hAnsi="Times New Roman" w:cs="Times New Roman"/>
                <w:b/>
                <w:vertAlign w:val="superscript"/>
                <w:lang w:eastAsia="ja-JP"/>
              </w:rPr>
              <w:t>1</w:t>
            </w:r>
          </w:p>
        </w:tc>
        <w:tc>
          <w:tcPr>
            <w:tcW w:w="102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keepNext/>
              <w:tabs>
                <w:tab w:val="left" w:pos="284"/>
              </w:tabs>
              <w:spacing w:after="0"/>
              <w:rPr>
                <w:rFonts w:ascii="Times New Roman" w:eastAsia="MS Mincho" w:hAnsi="Times New Roman" w:cs="Times New Roman"/>
                <w:b/>
                <w:lang w:eastAsia="ja-JP"/>
              </w:rPr>
            </w:pPr>
            <w:r w:rsidRPr="008C5C91">
              <w:rPr>
                <w:rFonts w:ascii="Times New Roman" w:eastAsia="MS Mincho" w:hAnsi="Times New Roman" w:cs="Times New Roman"/>
                <w:b/>
                <w:lang w:eastAsia="ja-JP"/>
              </w:rPr>
              <w:t>Primjena lijeka Vectibix</w:t>
            </w:r>
          </w:p>
        </w:tc>
        <w:tc>
          <w:tcPr>
            <w:tcW w:w="1498"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keepNext/>
              <w:tabs>
                <w:tab w:val="left" w:pos="284"/>
              </w:tabs>
              <w:spacing w:after="0"/>
              <w:jc w:val="both"/>
              <w:rPr>
                <w:rFonts w:ascii="Times New Roman" w:eastAsia="MS Mincho" w:hAnsi="Times New Roman" w:cs="Times New Roman"/>
                <w:b/>
                <w:lang w:eastAsia="ja-JP"/>
              </w:rPr>
            </w:pPr>
            <w:r w:rsidRPr="008C5C91">
              <w:rPr>
                <w:rFonts w:ascii="Times New Roman" w:eastAsia="MS Mincho" w:hAnsi="Times New Roman" w:cs="Times New Roman"/>
                <w:b/>
                <w:lang w:eastAsia="ja-JP"/>
              </w:rPr>
              <w:t xml:space="preserve">Rezultat </w:t>
            </w:r>
          </w:p>
        </w:tc>
        <w:tc>
          <w:tcPr>
            <w:tcW w:w="1461"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jc w:val="both"/>
              <w:rPr>
                <w:rFonts w:ascii="Times New Roman" w:eastAsia="MS Mincho" w:hAnsi="Times New Roman" w:cs="Times New Roman"/>
                <w:b/>
                <w:lang w:eastAsia="ja-JP"/>
              </w:rPr>
            </w:pPr>
            <w:r w:rsidRPr="008C5C91">
              <w:rPr>
                <w:rFonts w:ascii="Times New Roman" w:eastAsia="MS Mincho" w:hAnsi="Times New Roman" w:cs="Times New Roman"/>
                <w:b/>
                <w:lang w:eastAsia="ja-JP"/>
              </w:rPr>
              <w:t>Prilagođavanje doze</w:t>
            </w:r>
          </w:p>
        </w:tc>
      </w:tr>
      <w:tr w:rsidR="008C5C91" w:rsidRPr="008C5C91" w:rsidTr="00B528BA">
        <w:trPr>
          <w:cantSplit/>
          <w:trHeight w:val="178"/>
          <w:jc w:val="center"/>
        </w:trPr>
        <w:tc>
          <w:tcPr>
            <w:tcW w:w="1021"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keepNext/>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Početna pojava</w:t>
            </w:r>
          </w:p>
        </w:tc>
        <w:tc>
          <w:tcPr>
            <w:tcW w:w="1020" w:type="pct"/>
            <w:vMerge w:val="restar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keepNext/>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Izostaviti 1 ili 2 doze</w:t>
            </w: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keepNext/>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Popravilo se (&lt; 3 stepen)</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val="nb-NO" w:eastAsia="ja-JP"/>
              </w:rPr>
            </w:pPr>
            <w:r w:rsidRPr="008C5C91">
              <w:rPr>
                <w:rFonts w:ascii="Times New Roman" w:eastAsia="MS Mincho" w:hAnsi="Times New Roman" w:cs="Times New Roman"/>
                <w:lang w:val="nb-NO" w:eastAsia="ja-JP"/>
              </w:rPr>
              <w:t>Nastaviti sa primjenom infuzije sa 100% originalne doze</w:t>
            </w:r>
          </w:p>
        </w:tc>
      </w:tr>
      <w:tr w:rsidR="008C5C91" w:rsidRPr="008C5C91" w:rsidTr="00B528BA">
        <w:trPr>
          <w:cantSplit/>
          <w:trHeight w:val="178"/>
          <w:jc w:val="center"/>
        </w:trPr>
        <w:tc>
          <w:tcPr>
            <w:tcW w:w="1021" w:type="pct"/>
            <w:vMerge/>
            <w:tcBorders>
              <w:top w:val="nil"/>
              <w:left w:val="single" w:sz="8" w:space="0" w:color="000000"/>
              <w:bottom w:val="single" w:sz="8" w:space="0" w:color="000000"/>
              <w:right w:val="single" w:sz="8" w:space="0" w:color="000000"/>
            </w:tcBorders>
            <w:vAlign w:val="center"/>
          </w:tcPr>
          <w:p w:rsidR="008C5C91" w:rsidRPr="008C5C91" w:rsidRDefault="008C5C91" w:rsidP="008C5C91">
            <w:pPr>
              <w:keepNext/>
              <w:tabs>
                <w:tab w:val="left" w:pos="284"/>
              </w:tabs>
              <w:spacing w:after="0"/>
              <w:rPr>
                <w:rFonts w:ascii="Times New Roman" w:eastAsia="MS Mincho" w:hAnsi="Times New Roman" w:cs="Times New Roman"/>
                <w:lang w:val="nb-NO" w:eastAsia="ja-JP"/>
              </w:rPr>
            </w:pPr>
          </w:p>
        </w:tc>
        <w:tc>
          <w:tcPr>
            <w:tcW w:w="1020" w:type="pct"/>
            <w:vMerge/>
            <w:tcBorders>
              <w:top w:val="nil"/>
              <w:left w:val="nil"/>
              <w:bottom w:val="single" w:sz="8" w:space="0" w:color="000000"/>
              <w:right w:val="single" w:sz="8" w:space="0" w:color="000000"/>
            </w:tcBorders>
            <w:vAlign w:val="center"/>
          </w:tcPr>
          <w:p w:rsidR="008C5C91" w:rsidRPr="008C5C91" w:rsidRDefault="008C5C91" w:rsidP="008C5C91">
            <w:pPr>
              <w:keepNext/>
              <w:tabs>
                <w:tab w:val="left" w:pos="284"/>
              </w:tabs>
              <w:spacing w:after="0"/>
              <w:rPr>
                <w:rFonts w:ascii="Times New Roman" w:eastAsia="MS Mincho" w:hAnsi="Times New Roman" w:cs="Times New Roman"/>
                <w:lang w:val="nb-NO" w:eastAsia="ja-JP"/>
              </w:rPr>
            </w:pP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keepNext/>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Nijesu se povukle</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Prekinuti</w:t>
            </w:r>
          </w:p>
        </w:tc>
      </w:tr>
      <w:tr w:rsidR="008C5C91" w:rsidRPr="008C5C91" w:rsidTr="00B528BA">
        <w:trPr>
          <w:cantSplit/>
          <w:trHeight w:val="178"/>
          <w:jc w:val="center"/>
        </w:trPr>
        <w:tc>
          <w:tcPr>
            <w:tcW w:w="1021"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keepNext/>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Kod druge pojave</w:t>
            </w:r>
          </w:p>
        </w:tc>
        <w:tc>
          <w:tcPr>
            <w:tcW w:w="1020" w:type="pct"/>
            <w:vMerge w:val="restar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keepNext/>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Izostaviti 1 ili 2 doze</w:t>
            </w: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keepNext/>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Popravilo se (&lt; 3 stepen)</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keepNext/>
              <w:tabs>
                <w:tab w:val="left" w:pos="284"/>
              </w:tabs>
              <w:spacing w:after="0"/>
              <w:rPr>
                <w:rFonts w:ascii="Times New Roman" w:eastAsia="MS Mincho" w:hAnsi="Times New Roman" w:cs="Times New Roman"/>
                <w:lang w:val="nb-NO" w:eastAsia="ja-JP"/>
              </w:rPr>
            </w:pPr>
            <w:r w:rsidRPr="008C5C91">
              <w:rPr>
                <w:rFonts w:ascii="Times New Roman" w:eastAsia="MS Mincho" w:hAnsi="Times New Roman" w:cs="Times New Roman"/>
                <w:lang w:val="nb-NO" w:eastAsia="ja-JP"/>
              </w:rPr>
              <w:t>Nastaviti sa primjenom infuzije sa 80% originalne doze</w:t>
            </w:r>
          </w:p>
        </w:tc>
      </w:tr>
      <w:tr w:rsidR="008C5C91" w:rsidRPr="008C5C91" w:rsidTr="00B528BA">
        <w:trPr>
          <w:cantSplit/>
          <w:trHeight w:val="178"/>
          <w:jc w:val="center"/>
        </w:trPr>
        <w:tc>
          <w:tcPr>
            <w:tcW w:w="1021" w:type="pct"/>
            <w:vMerge/>
            <w:tcBorders>
              <w:top w:val="nil"/>
              <w:left w:val="single" w:sz="8" w:space="0" w:color="000000"/>
              <w:bottom w:val="single" w:sz="8" w:space="0" w:color="000000"/>
              <w:right w:val="single" w:sz="8" w:space="0" w:color="000000"/>
            </w:tcBorders>
            <w:vAlign w:val="center"/>
          </w:tcPr>
          <w:p w:rsidR="008C5C91" w:rsidRPr="008C5C91" w:rsidRDefault="008C5C91" w:rsidP="008C5C91">
            <w:pPr>
              <w:tabs>
                <w:tab w:val="left" w:pos="284"/>
              </w:tabs>
              <w:spacing w:after="0"/>
              <w:rPr>
                <w:rFonts w:ascii="Times New Roman" w:eastAsia="MS Mincho" w:hAnsi="Times New Roman" w:cs="Times New Roman"/>
                <w:lang w:val="nb-NO" w:eastAsia="ja-JP"/>
              </w:rPr>
            </w:pPr>
          </w:p>
        </w:tc>
        <w:tc>
          <w:tcPr>
            <w:tcW w:w="1020" w:type="pct"/>
            <w:vMerge/>
            <w:tcBorders>
              <w:top w:val="nil"/>
              <w:left w:val="nil"/>
              <w:bottom w:val="single" w:sz="8" w:space="0" w:color="000000"/>
              <w:right w:val="single" w:sz="8" w:space="0" w:color="000000"/>
            </w:tcBorders>
            <w:vAlign w:val="center"/>
          </w:tcPr>
          <w:p w:rsidR="008C5C91" w:rsidRPr="008C5C91" w:rsidRDefault="008C5C91" w:rsidP="008C5C91">
            <w:pPr>
              <w:tabs>
                <w:tab w:val="left" w:pos="284"/>
              </w:tabs>
              <w:spacing w:after="0"/>
              <w:rPr>
                <w:rFonts w:ascii="Times New Roman" w:eastAsia="MS Mincho" w:hAnsi="Times New Roman" w:cs="Times New Roman"/>
                <w:lang w:val="nb-NO" w:eastAsia="ja-JP"/>
              </w:rPr>
            </w:pP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Nijesu se povukle</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Prekinuti</w:t>
            </w:r>
          </w:p>
        </w:tc>
      </w:tr>
      <w:tr w:rsidR="008C5C91" w:rsidRPr="008C5C91" w:rsidTr="00B528BA">
        <w:trPr>
          <w:cantSplit/>
          <w:trHeight w:val="178"/>
          <w:jc w:val="center"/>
        </w:trPr>
        <w:tc>
          <w:tcPr>
            <w:tcW w:w="1021"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Kod treće pojave</w:t>
            </w:r>
          </w:p>
        </w:tc>
        <w:tc>
          <w:tcPr>
            <w:tcW w:w="1020" w:type="pct"/>
            <w:vMerge w:val="restar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Izostaviti 1 ili 2 doze</w:t>
            </w: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Popravilo se (&lt; 3 stepen)</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val="nb-NO" w:eastAsia="ja-JP"/>
              </w:rPr>
            </w:pPr>
            <w:r w:rsidRPr="008C5C91">
              <w:rPr>
                <w:rFonts w:ascii="Times New Roman" w:eastAsia="MS Mincho" w:hAnsi="Times New Roman" w:cs="Times New Roman"/>
                <w:lang w:val="nb-NO" w:eastAsia="ja-JP"/>
              </w:rPr>
              <w:t>Nastaviti sa primjenom infuzije sa 60% originalne doze</w:t>
            </w:r>
          </w:p>
        </w:tc>
      </w:tr>
      <w:tr w:rsidR="008C5C91" w:rsidRPr="008C5C91" w:rsidTr="00B528BA">
        <w:trPr>
          <w:cantSplit/>
          <w:trHeight w:val="178"/>
          <w:jc w:val="center"/>
        </w:trPr>
        <w:tc>
          <w:tcPr>
            <w:tcW w:w="1021" w:type="pct"/>
            <w:vMerge/>
            <w:tcBorders>
              <w:top w:val="nil"/>
              <w:left w:val="single" w:sz="8" w:space="0" w:color="000000"/>
              <w:bottom w:val="single" w:sz="8" w:space="0" w:color="000000"/>
              <w:right w:val="single" w:sz="8" w:space="0" w:color="000000"/>
            </w:tcBorders>
            <w:vAlign w:val="center"/>
          </w:tcPr>
          <w:p w:rsidR="008C5C91" w:rsidRPr="008C5C91" w:rsidRDefault="008C5C91" w:rsidP="008C5C91">
            <w:pPr>
              <w:tabs>
                <w:tab w:val="left" w:pos="284"/>
              </w:tabs>
              <w:spacing w:after="0"/>
              <w:rPr>
                <w:rFonts w:ascii="Times New Roman" w:eastAsia="MS Mincho" w:hAnsi="Times New Roman" w:cs="Times New Roman"/>
                <w:lang w:val="nb-NO" w:eastAsia="ja-JP"/>
              </w:rPr>
            </w:pPr>
          </w:p>
        </w:tc>
        <w:tc>
          <w:tcPr>
            <w:tcW w:w="1020" w:type="pct"/>
            <w:vMerge/>
            <w:tcBorders>
              <w:top w:val="nil"/>
              <w:left w:val="nil"/>
              <w:bottom w:val="single" w:sz="8" w:space="0" w:color="000000"/>
              <w:right w:val="single" w:sz="8" w:space="0" w:color="000000"/>
            </w:tcBorders>
            <w:vAlign w:val="center"/>
          </w:tcPr>
          <w:p w:rsidR="008C5C91" w:rsidRPr="008C5C91" w:rsidRDefault="008C5C91" w:rsidP="008C5C91">
            <w:pPr>
              <w:tabs>
                <w:tab w:val="left" w:pos="284"/>
              </w:tabs>
              <w:spacing w:after="0"/>
              <w:rPr>
                <w:rFonts w:ascii="Times New Roman" w:eastAsia="MS Mincho" w:hAnsi="Times New Roman" w:cs="Times New Roman"/>
                <w:lang w:val="nb-NO" w:eastAsia="ja-JP"/>
              </w:rPr>
            </w:pP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Nijesu se povukle</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Prekinuti</w:t>
            </w:r>
          </w:p>
        </w:tc>
      </w:tr>
      <w:tr w:rsidR="008C5C91" w:rsidRPr="008C5C91" w:rsidTr="00B528BA">
        <w:trPr>
          <w:cantSplit/>
          <w:trHeight w:val="507"/>
          <w:jc w:val="center"/>
        </w:trPr>
        <w:tc>
          <w:tcPr>
            <w:tcW w:w="102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Kod četvrte pojave</w:t>
            </w:r>
          </w:p>
        </w:tc>
        <w:tc>
          <w:tcPr>
            <w:tcW w:w="1020"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Prekinuti</w:t>
            </w: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rsidR="008C5C91" w:rsidRPr="008C5C91" w:rsidRDefault="008C5C91" w:rsidP="008C5C91">
            <w:pPr>
              <w:tabs>
                <w:tab w:val="left" w:pos="284"/>
              </w:tabs>
              <w:spacing w:after="0"/>
              <w:rPr>
                <w:rFonts w:ascii="Times New Roman" w:eastAsia="MS Mincho" w:hAnsi="Times New Roman" w:cs="Times New Roman"/>
                <w:lang w:eastAsia="ja-JP"/>
              </w:rPr>
            </w:pPr>
            <w:r w:rsidRPr="008C5C91">
              <w:rPr>
                <w:rFonts w:ascii="Times New Roman" w:eastAsia="MS Mincho" w:hAnsi="Times New Roman" w:cs="Times New Roman"/>
                <w:lang w:eastAsia="ja-JP"/>
              </w:rPr>
              <w:t>-</w:t>
            </w:r>
          </w:p>
        </w:tc>
      </w:tr>
    </w:tbl>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vertAlign w:val="superscript"/>
          <w:lang w:val="sr-Latn-CS"/>
        </w:rPr>
        <w:t>1</w:t>
      </w:r>
      <w:r w:rsidRPr="008C5C91">
        <w:rPr>
          <w:rFonts w:ascii="Times New Roman" w:hAnsi="Times New Roman" w:cs="Times New Roman"/>
          <w:lang w:val="sr-Latn-CS"/>
        </w:rPr>
        <w:t xml:space="preserve"> Stepen 3 ili veći se definiše kao težak ili životno ugrožavajući</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lastRenderedPageBreak/>
        <w:t>U kliničkim studijama su nakon razvoja teških dermatoloških reakcija (uključujući stomatitis) prijavljene komplikovane infekcije kao što je sepsa</w:t>
      </w:r>
      <w:r w:rsidRPr="008C5C91">
        <w:rPr>
          <w:rFonts w:ascii="Times New Roman" w:eastAsia="Calibri" w:hAnsi="Times New Roman" w:cs="Times New Roman"/>
          <w:color w:val="000000"/>
          <w:lang w:val="sr-Latn-CS"/>
        </w:rPr>
        <w:t xml:space="preserve"> </w:t>
      </w:r>
      <w:r w:rsidRPr="008C5C91">
        <w:rPr>
          <w:rFonts w:ascii="Times New Roman" w:hAnsi="Times New Roman" w:cs="Times New Roman"/>
          <w:lang w:val="sr-Latn-CS"/>
        </w:rPr>
        <w:t>i nekrotizirajući fasciitis, koje su u rijetkim slučajevima imale fatalan ishod, kao i lokalni apscesi koji su zahtijevali inciziju ili drenažu. Pacijente koji su imali teške dermatološke reakcije ili toksičnost mekih tkiva, ili kod kojih je došlo do pogoršanja reakcija tokom primjene lijeka Vectibix, treba pratiti zbog moguće pojave zapaljenja ili infekcija (uključujući celulitis</w:t>
      </w:r>
      <w:r w:rsidRPr="008C5C91">
        <w:rPr>
          <w:rFonts w:ascii="Times New Roman" w:eastAsia="Calibri" w:hAnsi="Times New Roman" w:cs="Times New Roman"/>
          <w:color w:val="000000"/>
          <w:lang w:val="sr-Latn-CS"/>
        </w:rPr>
        <w:t xml:space="preserve"> </w:t>
      </w:r>
      <w:r w:rsidRPr="008C5C91">
        <w:rPr>
          <w:rFonts w:ascii="Times New Roman" w:hAnsi="Times New Roman" w:cs="Times New Roman"/>
          <w:lang w:val="sr-Latn-CS"/>
        </w:rPr>
        <w:t xml:space="preserve">i nekrotizirajući fasciitis), i ukoliko se pojave, odmah započeti sa odgovarajućom terapijom. Životno ugrožavajuće i fatalne komplikacije infekcija uključujući nekrotizirajući fasciitis i sepsu primijećeni su kod pacijenata liječenih lijekom Vectibix. </w:t>
      </w:r>
      <w:r w:rsidRPr="008C5C91">
        <w:rPr>
          <w:rFonts w:ascii="Times New Roman" w:hAnsi="Times New Roman" w:cs="Times New Roman"/>
          <w:lang w:val="sr-Latn-RS"/>
        </w:rPr>
        <w:t>Tokom</w:t>
      </w:r>
      <w:r w:rsidRPr="008C5C91">
        <w:rPr>
          <w:rFonts w:ascii="Times New Roman" w:hAnsi="Times New Roman" w:cs="Times New Roman"/>
          <w:lang w:val="sr-Latn-CS"/>
        </w:rPr>
        <w:t xml:space="preserve"> </w:t>
      </w:r>
      <w:r w:rsidRPr="008C5C91">
        <w:rPr>
          <w:rFonts w:ascii="Times New Roman" w:hAnsi="Times New Roman" w:cs="Times New Roman"/>
          <w:lang w:val="sr-Latn-RS"/>
        </w:rPr>
        <w:t>post</w:t>
      </w:r>
      <w:r w:rsidRPr="008C5C91">
        <w:rPr>
          <w:rFonts w:ascii="Times New Roman" w:hAnsi="Times New Roman" w:cs="Times New Roman"/>
          <w:lang w:val="sr-Latn-RS"/>
        </w:rPr>
        <w:noBreakHyphen/>
        <w:t>marketin</w:t>
      </w:r>
      <w:r w:rsidRPr="008C5C91">
        <w:rPr>
          <w:rFonts w:ascii="Times New Roman" w:hAnsi="Times New Roman" w:cs="Times New Roman"/>
          <w:lang w:val="sr-Latn-CS"/>
        </w:rPr>
        <w:t>š</w:t>
      </w:r>
      <w:r w:rsidRPr="008C5C91">
        <w:rPr>
          <w:rFonts w:ascii="Times New Roman" w:hAnsi="Times New Roman" w:cs="Times New Roman"/>
          <w:lang w:val="sr-Latn-RS"/>
        </w:rPr>
        <w:t>kog</w:t>
      </w:r>
      <w:r w:rsidRPr="008C5C91">
        <w:rPr>
          <w:rFonts w:ascii="Times New Roman" w:hAnsi="Times New Roman" w:cs="Times New Roman"/>
          <w:lang w:val="sr-Latn-CS"/>
        </w:rPr>
        <w:t xml:space="preserve"> </w:t>
      </w:r>
      <w:r w:rsidRPr="008C5C91">
        <w:rPr>
          <w:rFonts w:ascii="Times New Roman" w:hAnsi="Times New Roman" w:cs="Times New Roman"/>
          <w:lang w:val="sr-Latn-RS"/>
        </w:rPr>
        <w:t>pra</w:t>
      </w:r>
      <w:r w:rsidRPr="008C5C91">
        <w:rPr>
          <w:rFonts w:ascii="Times New Roman" w:hAnsi="Times New Roman" w:cs="Times New Roman"/>
          <w:lang w:val="sr-Latn-CS"/>
        </w:rPr>
        <w:t>ć</w:t>
      </w:r>
      <w:r w:rsidRPr="008C5C91">
        <w:rPr>
          <w:rFonts w:ascii="Times New Roman" w:hAnsi="Times New Roman" w:cs="Times New Roman"/>
          <w:lang w:val="sr-Latn-RS"/>
        </w:rPr>
        <w:t>enja</w:t>
      </w:r>
      <w:r w:rsidRPr="008C5C91">
        <w:rPr>
          <w:rFonts w:ascii="Times New Roman" w:hAnsi="Times New Roman" w:cs="Times New Roman"/>
          <w:lang w:val="sr-Latn-CS"/>
        </w:rPr>
        <w:t xml:space="preserve"> su </w:t>
      </w:r>
      <w:r w:rsidRPr="008C5C91">
        <w:rPr>
          <w:rFonts w:ascii="Times New Roman" w:hAnsi="Times New Roman" w:cs="Times New Roman"/>
          <w:lang w:val="sr-Latn-RS"/>
        </w:rPr>
        <w:t>prijavljeni rijetki</w:t>
      </w:r>
      <w:r w:rsidRPr="008C5C91">
        <w:rPr>
          <w:rFonts w:ascii="Times New Roman" w:hAnsi="Times New Roman" w:cs="Times New Roman"/>
          <w:lang w:val="sr-Latn-CS"/>
        </w:rPr>
        <w:t xml:space="preserve"> </w:t>
      </w:r>
      <w:r w:rsidRPr="008C5C91">
        <w:rPr>
          <w:rFonts w:ascii="Times New Roman" w:hAnsi="Times New Roman" w:cs="Times New Roman"/>
          <w:lang w:val="sr-Latn-RS"/>
        </w:rPr>
        <w:t>slu</w:t>
      </w:r>
      <w:r w:rsidRPr="008C5C91">
        <w:rPr>
          <w:rFonts w:ascii="Times New Roman" w:hAnsi="Times New Roman" w:cs="Times New Roman"/>
          <w:lang w:val="sr-Latn-CS"/>
        </w:rPr>
        <w:t>č</w:t>
      </w:r>
      <w:r w:rsidRPr="008C5C91">
        <w:rPr>
          <w:rFonts w:ascii="Times New Roman" w:hAnsi="Times New Roman" w:cs="Times New Roman"/>
          <w:lang w:val="sr-Latn-RS"/>
        </w:rPr>
        <w:t>ajevi</w:t>
      </w:r>
      <w:r w:rsidRPr="008C5C91">
        <w:rPr>
          <w:rFonts w:ascii="Times New Roman" w:hAnsi="Times New Roman" w:cs="Times New Roman"/>
          <w:lang w:val="sr-Latn-CS"/>
        </w:rPr>
        <w:t xml:space="preserve"> </w:t>
      </w:r>
      <w:r w:rsidRPr="008C5C91">
        <w:rPr>
          <w:rFonts w:ascii="Times New Roman" w:hAnsi="Times New Roman" w:cs="Times New Roman"/>
          <w:i/>
          <w:lang w:val="sr-Latn-RS"/>
        </w:rPr>
        <w:t>Stevens</w:t>
      </w:r>
      <w:r w:rsidRPr="008C5C91">
        <w:rPr>
          <w:rFonts w:ascii="Times New Roman" w:hAnsi="Times New Roman" w:cs="Times New Roman"/>
          <w:i/>
          <w:lang w:val="sr-Latn-CS"/>
        </w:rPr>
        <w:t>-</w:t>
      </w:r>
      <w:r w:rsidRPr="008C5C91">
        <w:rPr>
          <w:rFonts w:ascii="Times New Roman" w:hAnsi="Times New Roman" w:cs="Times New Roman"/>
          <w:i/>
          <w:lang w:val="sr-Latn-RS"/>
        </w:rPr>
        <w:t>Johnsonov-</w:t>
      </w:r>
      <w:r w:rsidRPr="008C5C91">
        <w:rPr>
          <w:rFonts w:ascii="Times New Roman" w:hAnsi="Times New Roman" w:cs="Times New Roman"/>
          <w:lang w:val="sr-Latn-RS"/>
        </w:rPr>
        <w:t>og</w:t>
      </w:r>
      <w:r w:rsidRPr="008C5C91">
        <w:rPr>
          <w:rFonts w:ascii="Times New Roman" w:hAnsi="Times New Roman" w:cs="Times New Roman"/>
          <w:lang w:val="sr-Latn-CS"/>
        </w:rPr>
        <w:t xml:space="preserve"> </w:t>
      </w:r>
      <w:r w:rsidRPr="008C5C91">
        <w:rPr>
          <w:rFonts w:ascii="Times New Roman" w:hAnsi="Times New Roman" w:cs="Times New Roman"/>
          <w:lang w:val="sr-Latn-RS"/>
        </w:rPr>
        <w:t>sindroma</w:t>
      </w:r>
      <w:r w:rsidRPr="008C5C91">
        <w:rPr>
          <w:rFonts w:ascii="Times New Roman" w:hAnsi="Times New Roman" w:cs="Times New Roman"/>
          <w:lang w:val="sr-Latn-CS"/>
        </w:rPr>
        <w:t xml:space="preserve"> </w:t>
      </w:r>
      <w:r w:rsidRPr="008C5C91">
        <w:rPr>
          <w:rFonts w:ascii="Times New Roman" w:hAnsi="Times New Roman" w:cs="Times New Roman"/>
          <w:lang w:val="sr-Latn-RS"/>
        </w:rPr>
        <w:t>i</w:t>
      </w:r>
      <w:r w:rsidRPr="008C5C91">
        <w:rPr>
          <w:rFonts w:ascii="Times New Roman" w:hAnsi="Times New Roman" w:cs="Times New Roman"/>
          <w:lang w:val="sr-Latn-CS"/>
        </w:rPr>
        <w:t xml:space="preserve"> </w:t>
      </w:r>
      <w:r w:rsidRPr="008C5C91">
        <w:rPr>
          <w:rFonts w:ascii="Times New Roman" w:hAnsi="Times New Roman" w:cs="Times New Roman"/>
          <w:lang w:val="sr-Latn-RS"/>
        </w:rPr>
        <w:t>toksi</w:t>
      </w:r>
      <w:r w:rsidRPr="008C5C91">
        <w:rPr>
          <w:rFonts w:ascii="Times New Roman" w:hAnsi="Times New Roman" w:cs="Times New Roman"/>
          <w:lang w:val="sr-Latn-CS"/>
        </w:rPr>
        <w:t>č</w:t>
      </w:r>
      <w:r w:rsidRPr="008C5C91">
        <w:rPr>
          <w:rFonts w:ascii="Times New Roman" w:hAnsi="Times New Roman" w:cs="Times New Roman"/>
          <w:lang w:val="sr-Latn-RS"/>
        </w:rPr>
        <w:t>ne</w:t>
      </w:r>
      <w:r w:rsidRPr="008C5C91">
        <w:rPr>
          <w:rFonts w:ascii="Times New Roman" w:hAnsi="Times New Roman" w:cs="Times New Roman"/>
          <w:lang w:val="sr-Latn-CS"/>
        </w:rPr>
        <w:t xml:space="preserve"> </w:t>
      </w:r>
      <w:r w:rsidRPr="008C5C91">
        <w:rPr>
          <w:rFonts w:ascii="Times New Roman" w:hAnsi="Times New Roman" w:cs="Times New Roman"/>
          <w:lang w:val="sr-Latn-RS"/>
        </w:rPr>
        <w:t>epidermalne</w:t>
      </w:r>
      <w:r w:rsidRPr="008C5C91">
        <w:rPr>
          <w:rFonts w:ascii="Times New Roman" w:hAnsi="Times New Roman" w:cs="Times New Roman"/>
          <w:lang w:val="sr-Latn-CS"/>
        </w:rPr>
        <w:t xml:space="preserve"> </w:t>
      </w:r>
      <w:r w:rsidRPr="008C5C91">
        <w:rPr>
          <w:rFonts w:ascii="Times New Roman" w:hAnsi="Times New Roman" w:cs="Times New Roman"/>
          <w:lang w:val="sr-Latn-RS"/>
        </w:rPr>
        <w:t>nekrolize</w:t>
      </w:r>
      <w:r w:rsidRPr="008C5C91">
        <w:rPr>
          <w:rFonts w:ascii="Times New Roman" w:hAnsi="Times New Roman" w:cs="Times New Roman"/>
          <w:lang w:val="sr-Latn-CS"/>
        </w:rPr>
        <w:t xml:space="preserve"> </w:t>
      </w:r>
      <w:r w:rsidRPr="008C5C91">
        <w:rPr>
          <w:rFonts w:ascii="Times New Roman" w:hAnsi="Times New Roman" w:cs="Times New Roman"/>
          <w:lang w:val="sr-Latn-RS"/>
        </w:rPr>
        <w:t>kod</w:t>
      </w:r>
      <w:r w:rsidRPr="008C5C91">
        <w:rPr>
          <w:rFonts w:ascii="Times New Roman" w:hAnsi="Times New Roman" w:cs="Times New Roman"/>
          <w:lang w:val="sr-Latn-CS"/>
        </w:rPr>
        <w:t xml:space="preserve"> </w:t>
      </w:r>
      <w:r w:rsidRPr="008C5C91">
        <w:rPr>
          <w:rFonts w:ascii="Times New Roman" w:hAnsi="Times New Roman" w:cs="Times New Roman"/>
          <w:lang w:val="sr-Latn-RS"/>
        </w:rPr>
        <w:t>pacijenata</w:t>
      </w:r>
      <w:r w:rsidRPr="008C5C91">
        <w:rPr>
          <w:rFonts w:ascii="Times New Roman" w:hAnsi="Times New Roman" w:cs="Times New Roman"/>
          <w:lang w:val="sr-Latn-CS"/>
        </w:rPr>
        <w:t xml:space="preserve"> </w:t>
      </w:r>
      <w:r w:rsidRPr="008C5C91">
        <w:rPr>
          <w:rFonts w:ascii="Times New Roman" w:hAnsi="Times New Roman" w:cs="Times New Roman"/>
          <w:lang w:val="sr-Latn-RS"/>
        </w:rPr>
        <w:t>koji</w:t>
      </w:r>
      <w:r w:rsidRPr="008C5C91">
        <w:rPr>
          <w:rFonts w:ascii="Times New Roman" w:hAnsi="Times New Roman" w:cs="Times New Roman"/>
          <w:lang w:val="sr-Latn-CS"/>
        </w:rPr>
        <w:t xml:space="preserve"> </w:t>
      </w:r>
      <w:r w:rsidRPr="008C5C91">
        <w:rPr>
          <w:rFonts w:ascii="Times New Roman" w:hAnsi="Times New Roman" w:cs="Times New Roman"/>
          <w:lang w:val="sr-Latn-RS"/>
        </w:rPr>
        <w:t>su</w:t>
      </w:r>
      <w:r w:rsidRPr="008C5C91">
        <w:rPr>
          <w:rFonts w:ascii="Times New Roman" w:hAnsi="Times New Roman" w:cs="Times New Roman"/>
          <w:lang w:val="sr-Latn-CS"/>
        </w:rPr>
        <w:t xml:space="preserve"> </w:t>
      </w:r>
      <w:r w:rsidRPr="008C5C91">
        <w:rPr>
          <w:rFonts w:ascii="Times New Roman" w:hAnsi="Times New Roman" w:cs="Times New Roman"/>
          <w:lang w:val="sr-Latn-RS"/>
        </w:rPr>
        <w:t>primali Vectibix</w:t>
      </w:r>
      <w:r w:rsidRPr="008C5C91">
        <w:rPr>
          <w:rFonts w:ascii="Times New Roman" w:hAnsi="Times New Roman" w:cs="Times New Roman"/>
          <w:lang w:val="sr-Latn-CS"/>
        </w:rPr>
        <w:t>. Terapiju lijekom Vectibix treba prekinuti ili obustaviti u slučaju dermatološke toksičnosti ili toksičnosti mekih tkiva udruženih sa teškim ili životno ugrožavajućim komplikacijama zapaljenja ili infekcija.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Liječenje dermatoloških reakcija zavisi od njihove težine i može da podrazumijeva primjenu hidrantne kreme, kreme sa zaštitnim faktorom (SPF &gt; 15 UVA i UVB), i topikalne steroide (ne jače od 1% hidrokortizona) koji se nanose na zahvaćenu oblast i/ili primjena oralnih antibiotika. Preporučuje se takođe da pacijenti koji imaju osip/dermatološke toksične efekte koriste zaštitne kreme i da nose šešire kako bi ograničili izloženost suncu, jer izloženost sunčevoj svjetlosti može da pogorša reakcije koje se mogu javiti na koži.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Proaktivno liječenje kože podrazumijeva primjenu hidrantne kreme, kreme sa zaštitnim faktorom (SPF &gt; 15 UVA i UVB), i topikalne steroide (ne jače od 1% hidrokortizona) i primjena oralnih antibiotika (npr. doksiciklin) može biti korisno u kontroli dermatoloških reakcija. Pacijentima se savjetuje da nanose hidrantnu kremu ili kremu sa zaštitnim faktorom na lice, šake, stopala, vrat, leđa i grudi svakog jutra tokom trajanja liječenja i da nanose topikalne steroide na lice, šake, stopala, vrat, leđa i grudi svake večeri tokom trajanja liječenja.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Komplikacije na plućima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Pacijenti sa ranijim ili postojećim intersticijalnim pneumonitisom ili pulmonalnom fibrozom su isključeni iz kliničkih studija. Primijećeni su kako fatalni tako i nefatalni slučajevi intersticijalne bolesti pluća (ILD) uglavnom među japanskom populacijom. U slučaju akutne pojave ili pogoršanja plućnih simptoma, liječenje lijekom Vectibix treba prekinuti i odmah ispitati ove simptome. Ukoliko se dijagnostikuje ILD, treba privremeno prekinuti sa primjenom lijeka Vectibix i sprovesti odgovarajuće liječenje. Kod pacijenata sa ranije dijagnostikovanim intersticijalnim pneumonitisom ili pulmonalnom fibrozom, mora se pažljivo razmotriti odnos koristi terapije sa panitumumabom naspram rizika od komplikacija na plućima.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Poremećaj elektrolita</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Kod nekih pacijenata je primijećeno progresivno opadanje nivoa magnezijuma u serumu koje može dovesti do teške hipomagnezijemije (4. stepena). Pacijente treba periodično pratiti zbog moguće hipomagnezijemije i udružene hipokalcijemije prije započinjanja Vectibix terapije, i povremeno nakon toga i do 8 nedjelja nakon završetka terapije (vidjeti poglavlje 4.8). Preporučuje se nadoknada magnezijuma, po potrebi.</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lastRenderedPageBreak/>
        <w:t>Primijećeni su i drugi poremećaji elektrolita, uključujući hipokalijemiju. Praćenje kao i nadoknada ovih elektrolita se preporučuje po potrebi.</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Reakcije povezane sa primjenom infuzije</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U kliničkim studijama (n = 2588) koje su proučavale monoterapiju i kombinovanu terapiju mCRC, reakcije povezane sa primjenom infuzije (koje se javljaju 24 sata nakon primjene infuzije) su prijavljene kod oko 4% pacijenata koji su primali Vectibix, od kojih su kod &lt; 1% pacijenata ove reakcije bile teške (NCI-CTC stepen 3 i stepen 4).</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U post</w:t>
      </w:r>
      <w:r w:rsidRPr="008C5C91">
        <w:rPr>
          <w:rFonts w:ascii="Times New Roman" w:hAnsi="Times New Roman" w:cs="Times New Roman"/>
          <w:lang w:val="sr-Latn-CS"/>
        </w:rPr>
        <w:noBreakHyphen/>
        <w:t>marketinškom periodu prijavljene su teške reakcije povezane sa primjenom infuzije, uključujući i rijetke post</w:t>
      </w:r>
      <w:r w:rsidRPr="008C5C91">
        <w:rPr>
          <w:rFonts w:ascii="Times New Roman" w:hAnsi="Times New Roman" w:cs="Times New Roman"/>
          <w:lang w:val="sr-Latn-CS"/>
        </w:rPr>
        <w:noBreakHyphen/>
        <w:t>marketinške izvještaje slučajeva sa fatalnim ishodom. Ukoliko dođe do pojave teških ili životno ugrožavajućih neželjenih reakcija tokom ili u bilo kom trenutku primjene infuzije, kao što je bronhospazam, angioedem, hipotenzija, potreba za parenteralnim terapijom ili anafilaksa, treba trajno prekinuti sa primjenom Vectibix terapije (vidjeti poglavlja 4.3 i 4.8).</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Kod pacijenata kod kojih se jave blage ili umjerene (CTCAE v 4.0 stepena 1 i 2) reakcije povezane sa primjenom infuzije, savjetuje se smanjenje brzine tokom primjene infuzije. Preporučuje se da se i kod narednih primjena održava ova smanjena brzina infuzije.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Prijavljene su reakcije preosjetljivosti koje se javljaju i nakon 24 sata od primjene infuzije, uključujući i jedan slučaj angioedema sa fatalnim ishodom koji se javio više od 24 sata nakon primjene infuzije. Treba upozoriti pacijente da postoji mogućnost kasnijeg razvoja reakcija i uputiti ih da se u slučaju pojave simptoma reakcija preosjetljivosti odmah jave ljekaru.</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spacing w:after="0"/>
        <w:jc w:val="both"/>
        <w:rPr>
          <w:rFonts w:ascii="Times New Roman" w:eastAsia="Calibri" w:hAnsi="Times New Roman" w:cs="Times New Roman"/>
          <w:u w:val="single"/>
          <w:lang w:val="sr-Latn-CS"/>
        </w:rPr>
      </w:pPr>
      <w:r w:rsidRPr="008C5C91">
        <w:rPr>
          <w:rFonts w:ascii="Times New Roman" w:eastAsia="Calibri" w:hAnsi="Times New Roman" w:cs="Times New Roman"/>
          <w:u w:val="single"/>
          <w:lang w:val="sr-Latn-CS"/>
        </w:rPr>
        <w:t>Akutno oštećenje bubrega</w:t>
      </w:r>
    </w:p>
    <w:p w:rsidR="008C5C91" w:rsidRPr="008C5C91" w:rsidRDefault="008C5C91" w:rsidP="008C5C91">
      <w:pPr>
        <w:spacing w:after="0"/>
        <w:jc w:val="both"/>
        <w:rPr>
          <w:rFonts w:ascii="Times New Roman" w:eastAsia="Calibri" w:hAnsi="Times New Roman" w:cs="Times New Roman"/>
          <w:lang w:val="sr-Latn-CS"/>
        </w:rPr>
      </w:pPr>
    </w:p>
    <w:p w:rsidR="008C5C91" w:rsidRPr="008C5C91" w:rsidRDefault="008C5C91" w:rsidP="008C5C91">
      <w:pPr>
        <w:spacing w:after="0"/>
        <w:jc w:val="both"/>
        <w:rPr>
          <w:rFonts w:ascii="Times New Roman" w:hAnsi="Times New Roman" w:cs="Times New Roman"/>
          <w:lang w:val="sr-Latn-CS"/>
        </w:rPr>
      </w:pPr>
      <w:r w:rsidRPr="008C5C91">
        <w:rPr>
          <w:rFonts w:ascii="Times New Roman" w:eastAsia="Calibri" w:hAnsi="Times New Roman" w:cs="Times New Roman"/>
          <w:lang w:val="sr-Latn-CS"/>
        </w:rPr>
        <w:t>Kod pacijenata kod kojih se razvila teška dijareja i dehidratacija primijećeno je akutno oštećenje bubrega. Pacijentima kod kojih se javi teška dijareja savjetuje se da se hitno konsultuju sa ljekarom.</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Vectibix u kombinaciji sa irinotekanom, bolus 5-fluorouracilom i leukovorinom (IFL) režimom hemioterapije</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Pacijenti koji primaju Vectibix u kombinaciji sa IFL režimom [bolus 5-fluorouracil (500 mg/m</w:t>
      </w:r>
      <w:r w:rsidRPr="008C5C91">
        <w:rPr>
          <w:rFonts w:ascii="Times New Roman" w:hAnsi="Times New Roman" w:cs="Times New Roman"/>
          <w:vertAlign w:val="superscript"/>
          <w:lang w:val="sr-Latn-CS"/>
        </w:rPr>
        <w:t>2</w:t>
      </w:r>
      <w:r w:rsidRPr="008C5C91">
        <w:rPr>
          <w:rFonts w:ascii="Times New Roman" w:hAnsi="Times New Roman" w:cs="Times New Roman"/>
          <w:lang w:val="sr-Latn-CS"/>
        </w:rPr>
        <w:t>), leukovorin (20 mg/m</w:t>
      </w:r>
      <w:r w:rsidRPr="008C5C91">
        <w:rPr>
          <w:rFonts w:ascii="Times New Roman" w:hAnsi="Times New Roman" w:cs="Times New Roman"/>
          <w:vertAlign w:val="superscript"/>
          <w:lang w:val="sr-Latn-CS"/>
        </w:rPr>
        <w:t>2</w:t>
      </w:r>
      <w:r w:rsidRPr="008C5C91">
        <w:rPr>
          <w:rFonts w:ascii="Times New Roman" w:hAnsi="Times New Roman" w:cs="Times New Roman"/>
          <w:lang w:val="sr-Latn-CS"/>
        </w:rPr>
        <w:t>) i irinotekan (125 mg/m</w:t>
      </w:r>
      <w:r w:rsidRPr="008C5C91">
        <w:rPr>
          <w:rFonts w:ascii="Times New Roman" w:hAnsi="Times New Roman" w:cs="Times New Roman"/>
          <w:vertAlign w:val="superscript"/>
          <w:lang w:val="sr-Latn-CS"/>
        </w:rPr>
        <w:t>2</w:t>
      </w:r>
      <w:r w:rsidRPr="008C5C91">
        <w:rPr>
          <w:rFonts w:ascii="Times New Roman" w:hAnsi="Times New Roman" w:cs="Times New Roman"/>
          <w:lang w:val="sr-Latn-CS"/>
        </w:rPr>
        <w:t>)] su imali povećanu incidencu teške dijareje (vidjeti poglavlje 4.8). Stoga primjenu lijeka Vectibix u kombinaciji sa IFL režimom treba izbjegavati (vidjeti poglavlje 4.5).</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Vectibix u kombinaciji sa bevacizumabom i hemioterapijom</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U jednoj randomizovanoj, otvorenoj, multicentričnoj studiji u kojoj je učestvovalo 1053 pacijenta procjenjivana je efikasnost hemioterapijskih režima koji su se sastojali od bevacizumaba i oksaliplatina ili irinotekana sa ili bez primjene lijeka Vectibix kao prve linije terapije metastatskog kolorektalnog karcinoma. Primijećen je kraći period preživljavanja bez progresije bolesti i povećan broj smrtnih slučajeva kod pacijenata koji su primali lijek Vectibix u kombinaciji sa bevacizumabom i hemioterapijom. Primijećena je i veća </w:t>
      </w:r>
      <w:r w:rsidRPr="008C5C91">
        <w:rPr>
          <w:rFonts w:ascii="Times New Roman" w:hAnsi="Times New Roman" w:cs="Times New Roman"/>
          <w:lang w:val="sr-Latn-CS"/>
        </w:rPr>
        <w:lastRenderedPageBreak/>
        <w:t xml:space="preserve">učestalost plućne embolije, infekcija (uglavnom dermatoloških), dijareje, poremećaja elektrolita, mučnine, povraćanja i dehidratacije takođe je primijećena u grupi pacijenata koji su primali Vectibix u kombinaciji sa bevacizumabom i hemioterapijom. Dodatna analiza podataka o efikasnosti dobijenih na osnovu statusa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gena nije uspjela da identifikuje grupu pacijenata koji su imali koristi od kombinovane terapije lijekom Vectibix sa hemioterapijom baziranom na oksaliplatinu ili irinotekanu i bevacizumabu. Primijećen je trend kraćeg preživljavanja kod primjene lijeka Vectibix u kohortnoj grupi pacijenata sa divljim tipom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gena koji su primali</w:t>
      </w:r>
      <w:r w:rsidRPr="008C5C91" w:rsidDel="00A24D00">
        <w:rPr>
          <w:rFonts w:ascii="Times New Roman" w:hAnsi="Times New Roman" w:cs="Times New Roman"/>
          <w:lang w:val="sr-Latn-CS"/>
        </w:rPr>
        <w:t xml:space="preserve"> </w:t>
      </w:r>
      <w:r w:rsidRPr="008C5C91">
        <w:rPr>
          <w:rFonts w:ascii="Times New Roman" w:hAnsi="Times New Roman" w:cs="Times New Roman"/>
          <w:lang w:val="sr-Latn-CS"/>
        </w:rPr>
        <w:t xml:space="preserve">bevacizumab i oksaliplatin, i primijećen je trend kraćeg preživljavanja kod primjene lijeka Vectibix u kohortnoj grupi pacijenata koji su primali irinotekan i bevacizumab bez obzira na mutacioni status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gena. Stoga lijek Vectibix ne treba primjenjivati u kombinaciji sa hemioterapijom koja sadrži bevacizumab (vidjeti poglavlja 4.5 i 5.1).</w:t>
      </w:r>
    </w:p>
    <w:p w:rsidR="008C5C91" w:rsidRPr="008C5C91" w:rsidRDefault="008C5C91" w:rsidP="008C5C91">
      <w:pPr>
        <w:tabs>
          <w:tab w:val="center" w:pos="4536"/>
          <w:tab w:val="right" w:pos="9072"/>
        </w:tabs>
        <w:spacing w:after="0"/>
        <w:jc w:val="both"/>
        <w:rPr>
          <w:rFonts w:ascii="Times New Roman" w:hAnsi="Times New Roman" w:cs="Times New Roman"/>
          <w:lang w:val="sr-Latn-CS"/>
        </w:rPr>
      </w:pPr>
    </w:p>
    <w:p w:rsidR="008C5C91" w:rsidRPr="008C5C91" w:rsidRDefault="008C5C91" w:rsidP="008C5C91">
      <w:pPr>
        <w:tabs>
          <w:tab w:val="center" w:pos="4536"/>
          <w:tab w:val="right" w:pos="9072"/>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 xml:space="preserve">Vectibix u kombinaciji sa hemioterapijom zasnovanom na oksaliplatinu kod pacijenata sa mCRC sa mutiranim </w:t>
      </w:r>
      <w:r w:rsidRPr="008C5C91">
        <w:rPr>
          <w:rFonts w:ascii="Times New Roman" w:hAnsi="Times New Roman" w:cs="Times New Roman"/>
          <w:i/>
          <w:u w:val="single"/>
          <w:lang w:val="sr-Latn-CS"/>
        </w:rPr>
        <w:t>RAS</w:t>
      </w:r>
      <w:r w:rsidRPr="008C5C91">
        <w:rPr>
          <w:rFonts w:ascii="Times New Roman" w:hAnsi="Times New Roman" w:cs="Times New Roman"/>
          <w:u w:val="single"/>
          <w:lang w:val="sr-Latn-CS"/>
        </w:rPr>
        <w:t xml:space="preserve"> genom ili kod kojih </w:t>
      </w:r>
      <w:r w:rsidRPr="008C5C91">
        <w:rPr>
          <w:rFonts w:ascii="Times New Roman" w:hAnsi="Times New Roman" w:cs="Times New Roman"/>
          <w:i/>
          <w:u w:val="single"/>
          <w:lang w:val="sr-Latn-CS"/>
        </w:rPr>
        <w:t>RAS</w:t>
      </w:r>
      <w:r w:rsidRPr="008C5C91">
        <w:rPr>
          <w:rFonts w:ascii="Times New Roman" w:hAnsi="Times New Roman" w:cs="Times New Roman"/>
          <w:u w:val="single"/>
          <w:lang w:val="sr-Latn-CS"/>
        </w:rPr>
        <w:t xml:space="preserve"> status tumora nije poznat. </w:t>
      </w:r>
    </w:p>
    <w:p w:rsidR="008C5C91" w:rsidRPr="008C5C91" w:rsidRDefault="008C5C91" w:rsidP="008C5C91">
      <w:pPr>
        <w:tabs>
          <w:tab w:val="center" w:pos="4536"/>
          <w:tab w:val="right" w:pos="9072"/>
        </w:tabs>
        <w:spacing w:after="0"/>
        <w:jc w:val="both"/>
        <w:rPr>
          <w:rFonts w:ascii="Times New Roman" w:hAnsi="Times New Roman" w:cs="Times New Roman"/>
          <w:u w:val="single"/>
          <w:lang w:val="en-GB"/>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Kombinacija lijeka Vectibix sa hemioterapijom koja sadrži oksaliplatin je kontraindikovana kod mCRC pacijenata sa mutiranim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genom i kod pacijenata kod kojih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status mCRC nije poznat (vidjeti poglavlja 4.3 i 5.1).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U primarnoj analizi studije (n = 1183, 656 pacijenata sa divljim tipom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(ekson 2) gena i 440 pacijenata sa mutiranim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tumorima) koja je ispitivala panitumumab u kombinaciji sa infuzionim rastvorima 5-fluorouracila, leukovorina i oksaliplatina (FOLFOX) u odnosu na sam FOLFOX (infuzioni rastvori 5-fluorouracila, leukovorina i oksaliplatina bez panitumumaba) kao prvu liniju terapije mCRC, uočeno je kraće </w:t>
      </w:r>
      <w:r w:rsidRPr="008C5C91">
        <w:rPr>
          <w:rFonts w:ascii="Times New Roman" w:hAnsi="Times New Roman" w:cs="Times New Roman"/>
          <w:lang w:val="sr-Latn-RS"/>
        </w:rPr>
        <w:t>preživljavanje bez progresije (PFS)</w:t>
      </w:r>
      <w:r w:rsidRPr="008C5C91">
        <w:rPr>
          <w:rFonts w:ascii="Times New Roman" w:hAnsi="Times New Roman" w:cs="Times New Roman"/>
          <w:lang w:val="sr-Latn-CS"/>
        </w:rPr>
        <w:t xml:space="preserve"> i ukupno preživljavanje (OS) kod pacijenata sa mutiranim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tumorima koji su dobijali panitumumab u kombinacijia sa FOLFOX (n = 221) u odnosu na pacijente koji su dobijali samo FOLFOX (n = 219).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U prethodno definisanoj retrospektivnoj analizi sprovedenoj na 641 od ukupno 656 pacijenata sa divljim tipom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tumora (ekson 2) otkrivene su dodatne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mutacije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[eksoni 3 i 4] ili </w:t>
      </w:r>
      <w:r w:rsidRPr="008C5C91">
        <w:rPr>
          <w:rFonts w:ascii="Times New Roman" w:hAnsi="Times New Roman" w:cs="Times New Roman"/>
          <w:i/>
          <w:lang w:val="sr-Latn-CS"/>
        </w:rPr>
        <w:t>NRAS</w:t>
      </w:r>
      <w:r w:rsidRPr="008C5C91">
        <w:rPr>
          <w:rFonts w:ascii="Times New Roman" w:hAnsi="Times New Roman" w:cs="Times New Roman"/>
          <w:lang w:val="sr-Latn-CS"/>
        </w:rPr>
        <w:t xml:space="preserve"> [eksoni 2, 3, 4]) kod 16% (n = 108) pacijenata. Kod pacijenata sa mutiranim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tumorima koji su primali panitumumab u kombinaciji sa FOLFOX (n = 51) uočen je kraći PFS i kraći OS u poređenju sa pacijentima koji su primali samo FOLFOX (n = 57).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i/>
          <w:lang w:val="sr-Latn-CS"/>
        </w:rPr>
        <w:t>RAS</w:t>
      </w:r>
      <w:r w:rsidRPr="008C5C91">
        <w:rPr>
          <w:rFonts w:ascii="Times New Roman" w:hAnsi="Times New Roman" w:cs="Times New Roman"/>
          <w:lang w:val="sr-Latn-CS"/>
        </w:rPr>
        <w:t xml:space="preserve"> mutacioni status treba odrediti pomoću validirane test metode u odgovarajućoj laboratoriji (videti poglavlje 4.2). Ukoliko se Vectibix koristi u kombinaciji sa FOLFOX, preporuka je da se mutacioni status odredi u laboratoriji koja je učesnik </w:t>
      </w:r>
      <w:r w:rsidRPr="008C5C91">
        <w:rPr>
          <w:rFonts w:ascii="Times New Roman" w:hAnsi="Times New Roman" w:cs="Times New Roman"/>
          <w:i/>
          <w:lang w:val="sr-Latn-CS"/>
        </w:rPr>
        <w:t xml:space="preserve">RAS External Quality Assurance programme </w:t>
      </w:r>
      <w:r w:rsidRPr="008C5C91">
        <w:rPr>
          <w:rFonts w:ascii="Times New Roman" w:hAnsi="Times New Roman" w:cs="Times New Roman"/>
          <w:lang w:val="sr-Latn-CS"/>
        </w:rPr>
        <w:t>ili status divljeg tipa tumora potvrdi ponovljenim testom.</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keepNext/>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Okularna toksičnost</w:t>
      </w:r>
    </w:p>
    <w:p w:rsidR="008C5C91" w:rsidRPr="008C5C91" w:rsidRDefault="008C5C91" w:rsidP="008C5C91">
      <w:pPr>
        <w:keepNext/>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Rijetko su prijavljeni teški slučajevi keratitisa i ulcerativnog keratitisa u post-marketinškom periodu. Pacijente kod kojih se jave znaci ili simptomi koji ukazuju na keratitis, kao što su akutno ili pogoršano stanje: zapaljenja očiju, lakrimacija, blaga osjetljivost na svjetlo, zamućen vid, bol u oku i/ili crvenilo očiju, treba odmah uputiti specijalisti oftalmologu.</w:t>
      </w: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lastRenderedPageBreak/>
        <w:t>Ukoliko se potvrdi dijagnoza ulcerativnog keratitisa, treba prekinuti ili potpuno obustaviti liječenje lijekom Vectibix. Ukoliko se potvrdi dijagnoza keratitisa, treba pažljivo razmotriti koristi i rizike liječenja.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Vectibix treba koristiti sa oprezom kod pacijenata sa anamnezom keratitisa, ulcerativnog keratitisa ili teške suvoće očiju. Korišćenje kontaktnih sočiva takođe predstavlja faktor rizika za nastanak keratitisa i ulceracija.</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Pacijenti sa ECOG 2 performance statusom (opštim stanjem pacijenta merenim ECOG skalom) liječeni lijekom Vectibix u kombinaciji sa hemioterapijom</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Kod pacijenata sa ECOG 2 Performance statusom, preporučuje se procjena koristi i rizika prije započinjanja primjene lijeka Vectibix u kombinaciji sa hemioterapijom za liječenje mCRC. Kod pacijenata sa ECOG 2 Performance statusom, nije zabilježen pozitivan odnos koristi i rizika.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Stariji pacijenti</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540"/>
          <w:tab w:val="left" w:pos="569"/>
        </w:tabs>
        <w:spacing w:after="0"/>
        <w:jc w:val="both"/>
        <w:rPr>
          <w:rFonts w:ascii="Times New Roman" w:hAnsi="Times New Roman" w:cs="Times New Roman"/>
          <w:bCs/>
          <w:lang w:val="sr-Latn-CS"/>
        </w:rPr>
      </w:pPr>
      <w:r w:rsidRPr="008C5C91">
        <w:rPr>
          <w:rFonts w:ascii="Times New Roman" w:hAnsi="Times New Roman" w:cs="Times New Roman"/>
          <w:lang w:val="sr-Latn-CS"/>
        </w:rPr>
        <w:t>Nije primijećena ukupna razlika u bezbjednosti i efikasnosti kod starijih pacijenata (≥ 65 godina) liječenih lijekom Vectibix u obliku monoterapije. Međutim, prijavljen je veći broj teških neželjenih reakcija kod starijih pacijenata liječenih lijekom Vectibix u kombinaciji sa FOLFIRI ili FOLFOX hemioterapijom u poređenju sa primjenom same hemioterapije (vidjeti poglavlje 4.8).</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Druge mjere opreza</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Ovaj lijek sadrži 0,150 mmol natrijuma (što je ekvivalentno 3,45 mg natrijuma) po 1 ml koncentrata. Ovu informaciju treba uzeti u obzir kod pacijenata koji su na dijeti sa kontrolisanim unosom natrijuma.</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nb-NO"/>
        </w:rPr>
      </w:pPr>
      <w:r w:rsidRPr="008C5C91">
        <w:rPr>
          <w:rFonts w:ascii="Times New Roman" w:hAnsi="Times New Roman" w:cs="Times New Roman"/>
          <w:b/>
          <w:bCs/>
          <w:lang w:val="nb-NO"/>
        </w:rPr>
        <w:t xml:space="preserve">4.5. </w:t>
      </w:r>
      <w:r w:rsidRPr="008C5C91">
        <w:rPr>
          <w:rFonts w:ascii="Times New Roman" w:hAnsi="Times New Roman" w:cs="Times New Roman"/>
          <w:b/>
          <w:bCs/>
          <w:lang w:val="nb-NO"/>
        </w:rPr>
        <w:tab/>
        <w:t>Interakcije sa drugim ljekovima i druge vrste interakcija</w:t>
      </w:r>
    </w:p>
    <w:p w:rsidR="008C5C91" w:rsidRPr="008C5C91" w:rsidRDefault="008C5C91" w:rsidP="008C5C91">
      <w:pPr>
        <w:tabs>
          <w:tab w:val="left" w:pos="540"/>
          <w:tab w:val="left" w:pos="569"/>
        </w:tabs>
        <w:spacing w:after="0"/>
        <w:jc w:val="both"/>
        <w:rPr>
          <w:rFonts w:ascii="Times New Roman" w:hAnsi="Times New Roman" w:cs="Times New Roman"/>
          <w:bCs/>
          <w:lang w:val="nb-NO"/>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Podaci iz studije interakcije lijeka Vectibix i irinotekana kod pacijenata sa mCRC ukazuju na to da se farmakokinetika irinotekana i njegovog aktivnog metabolita, SN-38, ne mijenja pri istovremenoj primjeni ova dva lijeka. Rezultati poređenja u „cross-over“ studiji ukazuju na to da terapijski režimi koji sadrže irinotekan (IFL ili FOLFIRI) nemaju uticaj na farmakokinetiku panitumumaba.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Vectibix ne treba primjenjivati u kombinaciji sa IFL hemioterapijom ili hemioterapijom koja sadrži bevacizumab. Kod primjene panitumumaba u kombinaciji sa IFL hemioterapijom primijećena je povećana incidenca teške dijareje (vidjeti poglavlje 4.4), a povećana toksičnost i broj smrtnih slučajeva primećeni su kad je panitumumab bio kombinovan sa bevacizumabom i hemioterapijom (vidjeti poglavlja 4.4 i 5.1).</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540"/>
          <w:tab w:val="left" w:pos="569"/>
        </w:tabs>
        <w:spacing w:after="0"/>
        <w:jc w:val="both"/>
        <w:rPr>
          <w:rFonts w:ascii="Times New Roman" w:hAnsi="Times New Roman" w:cs="Times New Roman"/>
          <w:bCs/>
          <w:lang w:val="sr-Latn-CS"/>
        </w:rPr>
      </w:pPr>
      <w:r w:rsidRPr="008C5C91">
        <w:rPr>
          <w:rFonts w:ascii="Times New Roman" w:hAnsi="Times New Roman" w:cs="Times New Roman"/>
          <w:lang w:val="sr-Latn-CS"/>
        </w:rPr>
        <w:t xml:space="preserve">Vectibix ne treba primjenjivati u kombinaciji sa hemioterapijom koja sadrži oksaliplatin kod pacijenata sa mCRC sa mutiranim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genom kao i kod pacijenata kod kojih status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gena nije poznat. Kraće preživljavanje bez progresije bolesti i kraće ukupno preživljavanje uočeni su u kliničkoj studiji kod pacijenata sa mutiranim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tumorima koji su dobijali panitumumab u kombinaciji sa FOLFOX (vidjeti poglavlja 4.4. i 5.1.).</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keepNext/>
        <w:tabs>
          <w:tab w:val="left" w:pos="540"/>
          <w:tab w:val="left" w:pos="569"/>
        </w:tabs>
        <w:spacing w:after="0"/>
        <w:jc w:val="both"/>
        <w:rPr>
          <w:rFonts w:ascii="Times New Roman" w:hAnsi="Times New Roman" w:cs="Times New Roman"/>
          <w:b/>
          <w:bCs/>
          <w:lang w:val="nb-NO"/>
        </w:rPr>
      </w:pPr>
      <w:r w:rsidRPr="008C5C91">
        <w:rPr>
          <w:rFonts w:ascii="Times New Roman" w:hAnsi="Times New Roman" w:cs="Times New Roman"/>
          <w:b/>
          <w:bCs/>
          <w:lang w:val="nb-NO"/>
        </w:rPr>
        <w:lastRenderedPageBreak/>
        <w:t xml:space="preserve">4.6. </w:t>
      </w:r>
      <w:r w:rsidRPr="008C5C91">
        <w:rPr>
          <w:rFonts w:ascii="Times New Roman" w:hAnsi="Times New Roman" w:cs="Times New Roman"/>
          <w:b/>
          <w:bCs/>
          <w:lang w:val="nb-NO"/>
        </w:rPr>
        <w:tab/>
        <w:t>Primjena u periodu trudnoće i dojenja</w:t>
      </w:r>
    </w:p>
    <w:p w:rsidR="008C5C91" w:rsidRPr="008C5C91" w:rsidRDefault="008C5C91" w:rsidP="008C5C91">
      <w:pPr>
        <w:keepNext/>
        <w:tabs>
          <w:tab w:val="left" w:pos="540"/>
          <w:tab w:val="left" w:pos="569"/>
        </w:tabs>
        <w:spacing w:after="0"/>
        <w:jc w:val="both"/>
        <w:rPr>
          <w:rFonts w:ascii="Times New Roman" w:hAnsi="Times New Roman" w:cs="Times New Roman"/>
          <w:b/>
          <w:bCs/>
          <w:lang w:val="nb-NO"/>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Trudnoća</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Nema adekvatnih podataka o primjeni lijeka Vectibix kod trudnica. Studije na životinjama su pokazale reproduktivnu toksičnost (vidjeti poglavlje 5.3). Potencijalni rizik kod ljudi nije poznat. EGFR je uključen u kontrolu prenatalnog razvoja i može biti od presudnog značaja za normalnu organogenezu, proliferaciju i diferencijaciju embriona koji se razvija. Iz navedenih razloga, postoji mogućnost da Vectibix izazove fetalno oštećenje kada ga koriste trudnice.</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Poznato je da humani IgG prolazi kroz placentu, tako da panitumumab može da se prenese sa majke na fetus. Ženama u fertilnom periodu se savjetuje da tokom primjene lijeka Vectibix kao i 2 mjeseca nakon primjene posljednje doze koriste adekvatna sredstva kontracepcije. Ukoliko se Vectibix</w:t>
      </w:r>
      <w:r w:rsidRPr="008C5C91">
        <w:rPr>
          <w:rFonts w:ascii="Times New Roman" w:hAnsi="Times New Roman" w:cs="Times New Roman"/>
          <w:vertAlign w:val="superscript"/>
          <w:lang w:val="sr-Latn-CS"/>
        </w:rPr>
        <w:t xml:space="preserve"> </w:t>
      </w:r>
      <w:r w:rsidRPr="008C5C91">
        <w:rPr>
          <w:rFonts w:ascii="Times New Roman" w:hAnsi="Times New Roman" w:cs="Times New Roman"/>
          <w:lang w:val="sr-Latn-CS"/>
        </w:rPr>
        <w:t xml:space="preserve">primjenjuje tokom trudnoće ili ukoliko pacijentkinja tokom terapije ostane u drugom stanju, treba joj objasniti koji su potencijalni rizici od gubitka trudnoće kao i potencijalni štetni uticaji na razvoj fetusa.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Dojenje</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Nije poznato da li se panitumumab izlučuje u mlijeko. Budući da se humani IgG izlučuje u mlijeko, moguće je da je slučaj isti i sa panitumumabom. Nije poznato kolika je mogućnost resorpcije i štetnog uticaja na odojče nakon gutanja ove supstance. Preporučuje sa da se dojenje obustavi tokom terapije i 2 mjeseca nakon primjene posljednje doze.</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Fertilitet</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lang w:val="sr-Latn-CS"/>
        </w:rPr>
        <w:t>Studije na životinjama su pokazale reverzibilan efekat na menstrualni ciklus i smanjenu plodnost kod ženki majmuna (vidjeti poglavlje 5.3). Panitumumab može da utiče na mogućnost žena da zatrudne.</w:t>
      </w: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p>
    <w:p w:rsidR="008C5C91" w:rsidRPr="008C5C91" w:rsidRDefault="008C5C91" w:rsidP="008C5C91">
      <w:pPr>
        <w:tabs>
          <w:tab w:val="left" w:pos="540"/>
          <w:tab w:val="left" w:pos="569"/>
        </w:tabs>
        <w:spacing w:after="0"/>
        <w:ind w:left="540" w:hanging="540"/>
        <w:jc w:val="both"/>
        <w:rPr>
          <w:rFonts w:ascii="Times New Roman" w:hAnsi="Times New Roman" w:cs="Times New Roman"/>
          <w:b/>
          <w:bCs/>
          <w:lang w:val="sr-Latn-CS"/>
        </w:rPr>
      </w:pPr>
      <w:r w:rsidRPr="008C5C91">
        <w:rPr>
          <w:rFonts w:ascii="Times New Roman" w:hAnsi="Times New Roman" w:cs="Times New Roman"/>
          <w:b/>
          <w:bCs/>
          <w:lang w:val="sr-Latn-CS"/>
        </w:rPr>
        <w:t xml:space="preserve">4.7. </w:t>
      </w:r>
      <w:r w:rsidRPr="008C5C91">
        <w:rPr>
          <w:rFonts w:ascii="Times New Roman" w:hAnsi="Times New Roman" w:cs="Times New Roman"/>
          <w:b/>
          <w:bCs/>
          <w:lang w:val="sr-Latn-CS"/>
        </w:rPr>
        <w:tab/>
      </w:r>
      <w:r w:rsidRPr="008C5C91">
        <w:rPr>
          <w:rFonts w:ascii="Times New Roman" w:hAnsi="Times New Roman" w:cs="Times New Roman"/>
          <w:b/>
          <w:bCs/>
        </w:rPr>
        <w:t>Uticaj</w:t>
      </w:r>
      <w:r w:rsidRPr="008C5C91">
        <w:rPr>
          <w:rFonts w:ascii="Times New Roman" w:hAnsi="Times New Roman" w:cs="Times New Roman"/>
          <w:b/>
          <w:bCs/>
          <w:lang w:val="sr-Latn-CS"/>
        </w:rPr>
        <w:t xml:space="preserve"> </w:t>
      </w:r>
      <w:r w:rsidRPr="008C5C91">
        <w:rPr>
          <w:rFonts w:ascii="Times New Roman" w:hAnsi="Times New Roman" w:cs="Times New Roman"/>
          <w:b/>
          <w:bCs/>
        </w:rPr>
        <w:t>na</w:t>
      </w:r>
      <w:r w:rsidRPr="008C5C91">
        <w:rPr>
          <w:rFonts w:ascii="Times New Roman" w:hAnsi="Times New Roman" w:cs="Times New Roman"/>
          <w:b/>
          <w:bCs/>
          <w:lang w:val="sr-Latn-CS"/>
        </w:rPr>
        <w:t xml:space="preserve"> </w:t>
      </w:r>
      <w:r w:rsidRPr="008C5C91">
        <w:rPr>
          <w:rFonts w:ascii="Times New Roman" w:hAnsi="Times New Roman" w:cs="Times New Roman"/>
          <w:b/>
          <w:bCs/>
        </w:rPr>
        <w:t>psihofizi</w:t>
      </w:r>
      <w:r w:rsidRPr="008C5C91">
        <w:rPr>
          <w:rFonts w:ascii="Times New Roman" w:hAnsi="Times New Roman" w:cs="Times New Roman"/>
          <w:b/>
          <w:bCs/>
          <w:lang w:val="sr-Latn-CS"/>
        </w:rPr>
        <w:t>č</w:t>
      </w:r>
      <w:r w:rsidRPr="008C5C91">
        <w:rPr>
          <w:rFonts w:ascii="Times New Roman" w:hAnsi="Times New Roman" w:cs="Times New Roman"/>
          <w:b/>
          <w:bCs/>
        </w:rPr>
        <w:t>ke</w:t>
      </w:r>
      <w:r w:rsidRPr="008C5C91">
        <w:rPr>
          <w:rFonts w:ascii="Times New Roman" w:hAnsi="Times New Roman" w:cs="Times New Roman"/>
          <w:b/>
          <w:bCs/>
          <w:lang w:val="sr-Latn-CS"/>
        </w:rPr>
        <w:t xml:space="preserve"> </w:t>
      </w:r>
      <w:r w:rsidRPr="008C5C91">
        <w:rPr>
          <w:rFonts w:ascii="Times New Roman" w:hAnsi="Times New Roman" w:cs="Times New Roman"/>
          <w:b/>
          <w:bCs/>
        </w:rPr>
        <w:t>sposobnosti</w:t>
      </w:r>
      <w:r w:rsidRPr="008C5C91">
        <w:rPr>
          <w:rFonts w:ascii="Times New Roman" w:hAnsi="Times New Roman" w:cs="Times New Roman"/>
          <w:b/>
          <w:bCs/>
          <w:lang w:val="sr-Latn-CS"/>
        </w:rPr>
        <w:t xml:space="preserve"> </w:t>
      </w:r>
      <w:r w:rsidRPr="008C5C91">
        <w:rPr>
          <w:rFonts w:ascii="Times New Roman" w:hAnsi="Times New Roman" w:cs="Times New Roman"/>
          <w:b/>
          <w:bCs/>
        </w:rPr>
        <w:t>prilikom</w:t>
      </w:r>
      <w:r w:rsidRPr="008C5C91">
        <w:rPr>
          <w:rFonts w:ascii="Times New Roman" w:hAnsi="Times New Roman" w:cs="Times New Roman"/>
          <w:b/>
          <w:bCs/>
          <w:lang w:val="sr-Latn-CS"/>
        </w:rPr>
        <w:t xml:space="preserve"> </w:t>
      </w:r>
      <w:r w:rsidRPr="008C5C91">
        <w:rPr>
          <w:rFonts w:ascii="Times New Roman" w:hAnsi="Times New Roman" w:cs="Times New Roman"/>
          <w:b/>
          <w:bCs/>
        </w:rPr>
        <w:t>upravljanja</w:t>
      </w:r>
      <w:r w:rsidRPr="008C5C91">
        <w:rPr>
          <w:rFonts w:ascii="Times New Roman" w:hAnsi="Times New Roman" w:cs="Times New Roman"/>
          <w:b/>
          <w:bCs/>
          <w:lang w:val="sr-Latn-CS"/>
        </w:rPr>
        <w:t xml:space="preserve"> </w:t>
      </w:r>
      <w:r w:rsidRPr="008C5C91">
        <w:rPr>
          <w:rFonts w:ascii="Times New Roman" w:hAnsi="Times New Roman" w:cs="Times New Roman"/>
          <w:b/>
          <w:bCs/>
        </w:rPr>
        <w:t>motornim</w:t>
      </w:r>
      <w:r w:rsidRPr="008C5C91">
        <w:rPr>
          <w:rFonts w:ascii="Times New Roman" w:hAnsi="Times New Roman" w:cs="Times New Roman"/>
          <w:b/>
          <w:bCs/>
          <w:lang w:val="sr-Latn-CS"/>
        </w:rPr>
        <w:t xml:space="preserve"> </w:t>
      </w:r>
      <w:r w:rsidRPr="008C5C91">
        <w:rPr>
          <w:rFonts w:ascii="Times New Roman" w:hAnsi="Times New Roman" w:cs="Times New Roman"/>
          <w:b/>
          <w:bCs/>
        </w:rPr>
        <w:t>vozilima</w:t>
      </w:r>
      <w:r w:rsidRPr="008C5C91">
        <w:rPr>
          <w:rFonts w:ascii="Times New Roman" w:hAnsi="Times New Roman" w:cs="Times New Roman"/>
          <w:b/>
          <w:bCs/>
          <w:lang w:val="sr-Latn-CS"/>
        </w:rPr>
        <w:t xml:space="preserve"> </w:t>
      </w:r>
      <w:r w:rsidRPr="008C5C91">
        <w:rPr>
          <w:rFonts w:ascii="Times New Roman" w:hAnsi="Times New Roman" w:cs="Times New Roman"/>
          <w:b/>
          <w:bCs/>
        </w:rPr>
        <w:t>i</w:t>
      </w:r>
      <w:r w:rsidRPr="008C5C91">
        <w:rPr>
          <w:rFonts w:ascii="Times New Roman" w:hAnsi="Times New Roman" w:cs="Times New Roman"/>
          <w:b/>
          <w:bCs/>
          <w:lang w:val="sr-Latn-CS"/>
        </w:rPr>
        <w:t xml:space="preserve"> </w:t>
      </w:r>
      <w:r w:rsidRPr="008C5C91">
        <w:rPr>
          <w:rFonts w:ascii="Times New Roman" w:hAnsi="Times New Roman" w:cs="Times New Roman"/>
          <w:b/>
          <w:bCs/>
        </w:rPr>
        <w:t>rukovanja</w:t>
      </w:r>
      <w:r w:rsidRPr="008C5C91">
        <w:rPr>
          <w:rFonts w:ascii="Times New Roman" w:hAnsi="Times New Roman" w:cs="Times New Roman"/>
          <w:b/>
          <w:bCs/>
          <w:lang w:val="sr-Latn-CS"/>
        </w:rPr>
        <w:t xml:space="preserve"> </w:t>
      </w:r>
      <w:r w:rsidRPr="008C5C91">
        <w:rPr>
          <w:rFonts w:ascii="Times New Roman" w:hAnsi="Times New Roman" w:cs="Times New Roman"/>
          <w:b/>
          <w:bCs/>
        </w:rPr>
        <w:t>ma</w:t>
      </w:r>
      <w:r w:rsidRPr="008C5C91">
        <w:rPr>
          <w:rFonts w:ascii="Times New Roman" w:hAnsi="Times New Roman" w:cs="Times New Roman"/>
          <w:b/>
          <w:bCs/>
          <w:lang w:val="sr-Latn-CS"/>
        </w:rPr>
        <w:t>š</w:t>
      </w:r>
      <w:r w:rsidRPr="008C5C91">
        <w:rPr>
          <w:rFonts w:ascii="Times New Roman" w:hAnsi="Times New Roman" w:cs="Times New Roman"/>
          <w:b/>
          <w:bCs/>
        </w:rPr>
        <w:t>inama</w:t>
      </w: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lang w:val="sr-Latn-CS"/>
        </w:rPr>
        <w:t>Ukoliko pacijent osjeti simptome nastale pod uticajem terapije koji utiču na vid i/ili sposobnost koncentracije i pravovremenog reagovanja, savjetuje se da ne vozi i ne rukuje mašinama dok ovi simptomi ne prođu.</w:t>
      </w: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 xml:space="preserve">4.8. </w:t>
      </w:r>
      <w:r w:rsidRPr="008C5C91">
        <w:rPr>
          <w:rFonts w:ascii="Times New Roman" w:hAnsi="Times New Roman" w:cs="Times New Roman"/>
          <w:b/>
          <w:bCs/>
          <w:lang w:val="sr-Latn-CS"/>
        </w:rPr>
        <w:tab/>
      </w:r>
      <w:r w:rsidRPr="008C5C91">
        <w:rPr>
          <w:rFonts w:ascii="Times New Roman" w:hAnsi="Times New Roman" w:cs="Times New Roman"/>
          <w:b/>
          <w:bCs/>
        </w:rPr>
        <w:t>Ne</w:t>
      </w:r>
      <w:r w:rsidRPr="008C5C91">
        <w:rPr>
          <w:rFonts w:ascii="Times New Roman" w:hAnsi="Times New Roman" w:cs="Times New Roman"/>
          <w:b/>
          <w:bCs/>
          <w:lang w:val="sr-Latn-CS"/>
        </w:rPr>
        <w:t>ž</w:t>
      </w:r>
      <w:r w:rsidRPr="008C5C91">
        <w:rPr>
          <w:rFonts w:ascii="Times New Roman" w:hAnsi="Times New Roman" w:cs="Times New Roman"/>
          <w:b/>
          <w:bCs/>
        </w:rPr>
        <w:t>eljena</w:t>
      </w:r>
      <w:r w:rsidRPr="008C5C91">
        <w:rPr>
          <w:rFonts w:ascii="Times New Roman" w:hAnsi="Times New Roman" w:cs="Times New Roman"/>
          <w:b/>
          <w:bCs/>
          <w:lang w:val="sr-Latn-CS"/>
        </w:rPr>
        <w:t xml:space="preserve"> </w:t>
      </w:r>
      <w:r w:rsidRPr="008C5C91">
        <w:rPr>
          <w:rFonts w:ascii="Times New Roman" w:hAnsi="Times New Roman" w:cs="Times New Roman"/>
          <w:b/>
          <w:bCs/>
        </w:rPr>
        <w:t>dejstva</w:t>
      </w: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Sažetak bezbjednosnog profila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Na osnovu analize svih mCRC kliničkih ispitivanja pacijenata koji su primali lijek Vectibix u obliku monoterapije i u kombinaciji sa hemioterapijom (n = 2588), najčešće prijavljivane neželjene reakcije su bile reakcije na koži, koje su se javljale kod 93% pacijenata. Ove reakcije su povezane sa farmakološkim efektima lijeka Vectibix i uglavnom su blage ili umjerene, dok je 25% teških (3. stepena, NCI-CTC) i &lt; 1% životno </w:t>
      </w:r>
      <w:r w:rsidRPr="008C5C91">
        <w:rPr>
          <w:rFonts w:ascii="Times New Roman" w:hAnsi="Times New Roman" w:cs="Times New Roman"/>
          <w:lang w:val="sr-Latn-CS"/>
        </w:rPr>
        <w:lastRenderedPageBreak/>
        <w:t xml:space="preserve">ugrožavajućih (4. stepena NCI-CTC). Informacije o liječenju reakcija na koži, uključujući i preporuke o izmjeni doze, date su u poglavlju 4.4.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Veoma često prijavljivane neželjene reakcije, koje se javljaju kod ≥ 20% pacijenata, su bili gastrointestinalni poremećaji (dijareja (50%), mučnina (41%), povraćanje (27%), konstipacija (23%) i bol u abdomenu (23%)); opšti poremećaji (umor (37%), pireksija (20%)); poremećaji metabolizma i ishrane (anoreksija (27%)); infekcije i infestacije (paronihija (20%)); i poremećaji kože i potkožnog tkiva (osip (45%), akneiformni dermatitis (39%), pruritus (35%), eritem (30%) i suvoća kože (22%)).</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keepNext/>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Tabelarni prikaz neželjenih reakcija</w:t>
      </w:r>
    </w:p>
    <w:p w:rsidR="008C5C91" w:rsidRPr="008C5C91" w:rsidRDefault="008C5C91" w:rsidP="008C5C91">
      <w:pPr>
        <w:keepNext/>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Podaci u tabeli ispod opisuju neželjene reakcije koje su prijavljene u kliničkim studijama kod pacijenata sa mCRC koji su primali panitumumab u obliku monoterapije, ili u kombinaciji sa hemioterapijom (n = 2588), kao i tokom spontanog prijavljivanja. U okviru svake grupe neželjene reakcije su predstavljene prema opadajućoj ozbiljnosti.</w:t>
      </w:r>
    </w:p>
    <w:p w:rsidR="008C5C91" w:rsidRPr="008C5C91" w:rsidRDefault="008C5C91" w:rsidP="008C5C91">
      <w:pPr>
        <w:tabs>
          <w:tab w:val="left" w:pos="284"/>
        </w:tabs>
        <w:spacing w:after="0"/>
        <w:jc w:val="both"/>
        <w:rPr>
          <w:rFonts w:ascii="Times New Roman" w:hAnsi="Times New Roman" w:cs="Times New Roman"/>
          <w:b/>
          <w:bCs/>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1819"/>
        <w:gridCol w:w="1728"/>
        <w:gridCol w:w="1562"/>
        <w:gridCol w:w="1417"/>
        <w:gridCol w:w="1276"/>
      </w:tblGrid>
      <w:tr w:rsidR="008C5C91" w:rsidRPr="008C5C91" w:rsidTr="00B528BA">
        <w:trPr>
          <w:tblHeader/>
        </w:trPr>
        <w:tc>
          <w:tcPr>
            <w:tcW w:w="1662"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p>
        </w:tc>
        <w:tc>
          <w:tcPr>
            <w:tcW w:w="6526" w:type="dxa"/>
            <w:gridSpan w:val="4"/>
            <w:shd w:val="clear" w:color="auto" w:fill="auto"/>
          </w:tcPr>
          <w:p w:rsidR="008C5C91" w:rsidRPr="008C5C91" w:rsidRDefault="008C5C91" w:rsidP="00A322D8">
            <w:pPr>
              <w:keepNext/>
              <w:spacing w:after="0"/>
              <w:jc w:val="center"/>
              <w:rPr>
                <w:rFonts w:ascii="Times New Roman" w:eastAsia="Calibri" w:hAnsi="Times New Roman" w:cs="Times New Roman"/>
                <w:lang w:val="sr-Latn-CS"/>
              </w:rPr>
            </w:pPr>
            <w:r w:rsidRPr="008C5C91">
              <w:rPr>
                <w:rFonts w:ascii="Times New Roman" w:eastAsia="Calibri" w:hAnsi="Times New Roman" w:cs="Times New Roman"/>
                <w:b/>
                <w:lang w:val="sr-Latn-CS" w:eastAsia="en-GB"/>
              </w:rPr>
              <w:t>Neželjene reakcije</w:t>
            </w: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rPr>
          <w:tblHeader/>
        </w:trPr>
        <w:tc>
          <w:tcPr>
            <w:tcW w:w="1662" w:type="dxa"/>
            <w:shd w:val="clear" w:color="auto" w:fill="auto"/>
          </w:tcPr>
          <w:p w:rsidR="008C5C91" w:rsidRPr="008C5C91" w:rsidRDefault="008C5C91" w:rsidP="00A322D8">
            <w:pPr>
              <w:keepNext/>
              <w:spacing w:after="0"/>
              <w:rPr>
                <w:rFonts w:ascii="Times New Roman" w:eastAsia="Calibri" w:hAnsi="Times New Roman" w:cs="Times New Roman"/>
                <w:lang w:val="sr-Latn-CS"/>
              </w:rPr>
            </w:pPr>
            <w:r w:rsidRPr="008C5C91">
              <w:rPr>
                <w:rFonts w:ascii="Times New Roman" w:eastAsia="Calibri" w:hAnsi="Times New Roman" w:cs="Times New Roman"/>
                <w:b/>
                <w:lang w:val="sr-Latn-CS" w:eastAsia="en-GB"/>
              </w:rPr>
              <w:t>MedDRA klasifikacija  sistema organa</w:t>
            </w:r>
          </w:p>
        </w:tc>
        <w:tc>
          <w:tcPr>
            <w:tcW w:w="1819" w:type="dxa"/>
            <w:shd w:val="clear" w:color="auto" w:fill="auto"/>
          </w:tcPr>
          <w:p w:rsidR="008C5C91" w:rsidRPr="008C5C91" w:rsidRDefault="008C5C91" w:rsidP="00A322D8">
            <w:pPr>
              <w:keepNext/>
              <w:spacing w:after="0"/>
              <w:rPr>
                <w:rFonts w:ascii="Times New Roman" w:eastAsia="Calibri" w:hAnsi="Times New Roman" w:cs="Times New Roman"/>
                <w:lang w:val="sr-Latn-CS"/>
              </w:rPr>
            </w:pPr>
            <w:r w:rsidRPr="008C5C91">
              <w:rPr>
                <w:rFonts w:ascii="Times New Roman" w:eastAsia="Calibri" w:hAnsi="Times New Roman" w:cs="Times New Roman"/>
                <w:b/>
                <w:lang w:val="sr-Latn-CS" w:eastAsia="en-GB"/>
              </w:rPr>
              <w:t xml:space="preserve">Veoma česte </w:t>
            </w:r>
            <w:r w:rsidRPr="008C5C91">
              <w:rPr>
                <w:rFonts w:ascii="Times New Roman" w:eastAsia="Calibri" w:hAnsi="Times New Roman" w:cs="Times New Roman"/>
                <w:b/>
                <w:lang w:val="sr-Latn-CS" w:eastAsia="en-GB"/>
              </w:rPr>
              <w:br/>
            </w:r>
            <w:r w:rsidRPr="008C5C91">
              <w:rPr>
                <w:rFonts w:ascii="Times New Roman" w:eastAsia="Calibri" w:hAnsi="Times New Roman" w:cs="Times New Roman"/>
                <w:b/>
                <w:lang w:val="sr-Latn-CS"/>
              </w:rPr>
              <w:t>(≥ 1/10)</w:t>
            </w:r>
          </w:p>
        </w:tc>
        <w:tc>
          <w:tcPr>
            <w:tcW w:w="1728" w:type="dxa"/>
            <w:shd w:val="clear" w:color="auto" w:fill="auto"/>
          </w:tcPr>
          <w:p w:rsidR="008C5C91" w:rsidRPr="008C5C91" w:rsidRDefault="008C5C91" w:rsidP="00A322D8">
            <w:pPr>
              <w:keepNext/>
              <w:spacing w:after="0"/>
              <w:rPr>
                <w:rFonts w:ascii="Times New Roman" w:eastAsia="Calibri" w:hAnsi="Times New Roman" w:cs="Times New Roman"/>
                <w:lang w:val="sr-Latn-CS"/>
              </w:rPr>
            </w:pPr>
            <w:r w:rsidRPr="008C5C91">
              <w:rPr>
                <w:rFonts w:ascii="Times New Roman" w:eastAsia="Calibri" w:hAnsi="Times New Roman" w:cs="Times New Roman"/>
                <w:b/>
                <w:lang w:val="sr-Latn-CS" w:eastAsia="en-GB"/>
              </w:rPr>
              <w:t>Česte (</w:t>
            </w:r>
            <w:r w:rsidRPr="008C5C91">
              <w:rPr>
                <w:rFonts w:ascii="Times New Roman" w:eastAsia="Calibri" w:hAnsi="Times New Roman" w:cs="Times New Roman"/>
                <w:b/>
                <w:lang w:val="sr-Latn-CS"/>
              </w:rPr>
              <w:t>≥ 1/100 do &lt; 1/10)</w:t>
            </w:r>
          </w:p>
        </w:tc>
        <w:tc>
          <w:tcPr>
            <w:tcW w:w="1562" w:type="dxa"/>
            <w:shd w:val="clear" w:color="auto" w:fill="auto"/>
          </w:tcPr>
          <w:p w:rsidR="008C5C91" w:rsidRPr="008C5C91" w:rsidRDefault="008C5C91" w:rsidP="00A322D8">
            <w:pPr>
              <w:keepNext/>
              <w:spacing w:after="0"/>
              <w:rPr>
                <w:rFonts w:ascii="Times New Roman" w:eastAsia="Calibri" w:hAnsi="Times New Roman" w:cs="Times New Roman"/>
                <w:lang w:val="sr-Latn-CS"/>
              </w:rPr>
            </w:pPr>
            <w:r w:rsidRPr="008C5C91">
              <w:rPr>
                <w:rFonts w:ascii="Times New Roman" w:eastAsia="Calibri" w:hAnsi="Times New Roman" w:cs="Times New Roman"/>
                <w:b/>
                <w:lang w:val="sr-Latn-CS" w:eastAsia="en-GB"/>
              </w:rPr>
              <w:t>Povremene (≥ 1/1000 do &lt; 1/100)</w:t>
            </w:r>
          </w:p>
        </w:tc>
        <w:tc>
          <w:tcPr>
            <w:tcW w:w="1417" w:type="dxa"/>
            <w:shd w:val="clear" w:color="auto" w:fill="auto"/>
          </w:tcPr>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b/>
                <w:lang w:val="sr-Latn-CS" w:eastAsia="en-GB"/>
              </w:rPr>
              <w:t>Rijetke (≥ 1/10000 do &lt; 1/1000)</w:t>
            </w:r>
          </w:p>
        </w:tc>
        <w:tc>
          <w:tcPr>
            <w:tcW w:w="1276" w:type="dxa"/>
            <w:shd w:val="clear" w:color="auto" w:fill="auto"/>
          </w:tcPr>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b/>
                <w:lang w:val="sr-Latn-CS" w:eastAsia="en-GB"/>
              </w:rPr>
              <w:t>Nepoznate učestalosti*</w:t>
            </w:r>
          </w:p>
        </w:tc>
      </w:tr>
      <w:tr w:rsidR="008C5C91" w:rsidRPr="008C5C91" w:rsidTr="00B528BA">
        <w:tc>
          <w:tcPr>
            <w:tcW w:w="1662"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Infekcije i infestacije</w:t>
            </w:r>
          </w:p>
        </w:tc>
        <w:tc>
          <w:tcPr>
            <w:tcW w:w="1819"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eastAsia="en-GB"/>
              </w:rPr>
              <w:t>Paronihija</w:t>
            </w:r>
            <w:r w:rsidRPr="008C5C91">
              <w:rPr>
                <w:rFonts w:ascii="Times New Roman" w:eastAsia="Calibri" w:hAnsi="Times New Roman" w:cs="Times New Roman"/>
                <w:vertAlign w:val="superscript"/>
                <w:lang w:val="sr-Latn-CS" w:eastAsia="en-GB"/>
              </w:rPr>
              <w:t>1</w:t>
            </w:r>
          </w:p>
        </w:tc>
        <w:tc>
          <w:tcPr>
            <w:tcW w:w="1728"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Pustularni osip</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Celulitis</w:t>
            </w:r>
            <w:r w:rsidRPr="008C5C91">
              <w:rPr>
                <w:rFonts w:ascii="Times New Roman" w:eastAsia="Calibri" w:hAnsi="Times New Roman" w:cs="Times New Roman"/>
                <w:vertAlign w:val="superscript"/>
                <w:lang w:val="sr-Latn-CS"/>
              </w:rPr>
              <w:t>1</w:t>
            </w:r>
          </w:p>
          <w:p w:rsidR="008C5C91" w:rsidRPr="008C5C91" w:rsidRDefault="008C5C91" w:rsidP="008C5C91">
            <w:pPr>
              <w:spacing w:after="0"/>
              <w:jc w:val="both"/>
              <w:rPr>
                <w:rFonts w:ascii="Times New Roman" w:hAnsi="Times New Roman" w:cs="Times New Roman"/>
                <w:lang w:val="nb-NO"/>
              </w:rPr>
            </w:pPr>
            <w:r w:rsidRPr="008C5C91">
              <w:rPr>
                <w:rFonts w:ascii="Times New Roman" w:hAnsi="Times New Roman" w:cs="Times New Roman"/>
                <w:lang w:val="nb-NO"/>
              </w:rPr>
              <w:t>Infekcija urinarnog trakta</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Folikulitis</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Lokalizovane infekcije</w:t>
            </w:r>
          </w:p>
        </w:tc>
        <w:tc>
          <w:tcPr>
            <w:tcW w:w="1562"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Infekcija očiju</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Infekcija očnih kapaka</w:t>
            </w: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c>
          <w:tcPr>
            <w:tcW w:w="1662" w:type="dxa"/>
            <w:shd w:val="clear" w:color="auto" w:fill="auto"/>
          </w:tcPr>
          <w:p w:rsidR="008C5C91" w:rsidRPr="008C5C91" w:rsidRDefault="008C5C91" w:rsidP="00A322D8">
            <w:pPr>
              <w:keepNext/>
              <w:spacing w:after="0"/>
              <w:rPr>
                <w:rFonts w:ascii="Times New Roman" w:eastAsia="Calibri" w:hAnsi="Times New Roman" w:cs="Times New Roman"/>
                <w:lang w:val="sr-Latn-CS"/>
              </w:rPr>
            </w:pPr>
            <w:r w:rsidRPr="008C5C91">
              <w:rPr>
                <w:rFonts w:ascii="Times New Roman" w:eastAsia="Calibri" w:hAnsi="Times New Roman" w:cs="Times New Roman"/>
                <w:lang w:val="sr-Latn-CS" w:eastAsia="en-GB"/>
              </w:rPr>
              <w:t>Poremećaji krvi i limfnog sistema</w:t>
            </w:r>
          </w:p>
        </w:tc>
        <w:tc>
          <w:tcPr>
            <w:tcW w:w="1819"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eastAsia="en-GB"/>
              </w:rPr>
              <w:t>Anemija</w:t>
            </w:r>
          </w:p>
        </w:tc>
        <w:tc>
          <w:tcPr>
            <w:tcW w:w="1728"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eastAsia="en-GB"/>
              </w:rPr>
              <w:t>Leukopenija</w:t>
            </w:r>
          </w:p>
        </w:tc>
        <w:tc>
          <w:tcPr>
            <w:tcW w:w="1562"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c>
          <w:tcPr>
            <w:tcW w:w="16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Poremećaji imunog sistema</w:t>
            </w:r>
          </w:p>
        </w:tc>
        <w:tc>
          <w:tcPr>
            <w:tcW w:w="1819"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728"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Preosjetljivost</w:t>
            </w:r>
            <w:r w:rsidRPr="008C5C91">
              <w:rPr>
                <w:rFonts w:ascii="Times New Roman" w:eastAsia="Calibri" w:hAnsi="Times New Roman" w:cs="Times New Roman"/>
                <w:vertAlign w:val="superscript"/>
                <w:lang w:val="sr-Latn-CS"/>
              </w:rPr>
              <w:t>1</w:t>
            </w:r>
          </w:p>
        </w:tc>
        <w:tc>
          <w:tcPr>
            <w:tcW w:w="15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Anafilaktička reakcija</w:t>
            </w:r>
            <w:r w:rsidRPr="008C5C91">
              <w:rPr>
                <w:rFonts w:ascii="Times New Roman" w:eastAsia="Calibri" w:hAnsi="Times New Roman" w:cs="Times New Roman"/>
                <w:vertAlign w:val="superscript"/>
                <w:lang w:val="sr-Latn-CS"/>
              </w:rPr>
              <w:t>1</w:t>
            </w: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c>
          <w:tcPr>
            <w:tcW w:w="1662" w:type="dxa"/>
            <w:shd w:val="clear" w:color="auto" w:fill="auto"/>
          </w:tcPr>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Poremećaji metabolizma i ishrane</w:t>
            </w:r>
          </w:p>
        </w:tc>
        <w:tc>
          <w:tcPr>
            <w:tcW w:w="1819" w:type="dxa"/>
            <w:shd w:val="clear" w:color="auto" w:fill="auto"/>
          </w:tcPr>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Hipokalijemija</w:t>
            </w:r>
          </w:p>
          <w:p w:rsidR="008C5C91" w:rsidRPr="008C5C91" w:rsidRDefault="008C5C91" w:rsidP="00A322D8">
            <w:pPr>
              <w:spacing w:after="0"/>
              <w:rPr>
                <w:rFonts w:ascii="Times New Roman" w:eastAsia="Calibri" w:hAnsi="Times New Roman" w:cs="Times New Roman"/>
                <w:lang w:val="sr-Latn-CS" w:eastAsia="en-GB"/>
              </w:rPr>
            </w:pPr>
            <w:r w:rsidRPr="008C5C91">
              <w:rPr>
                <w:rFonts w:ascii="Times New Roman" w:eastAsia="Calibri" w:hAnsi="Times New Roman" w:cs="Times New Roman"/>
                <w:lang w:val="sr-Latn-CS" w:eastAsia="en-GB"/>
              </w:rPr>
              <w:t>Anoreksija</w:t>
            </w:r>
          </w:p>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Hipomagnezijemija</w:t>
            </w:r>
          </w:p>
        </w:tc>
        <w:tc>
          <w:tcPr>
            <w:tcW w:w="1728"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Hipokalcijemija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Dehidratacija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Hiperglikemija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Hipofosfatemija</w:t>
            </w:r>
          </w:p>
        </w:tc>
        <w:tc>
          <w:tcPr>
            <w:tcW w:w="15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c>
          <w:tcPr>
            <w:tcW w:w="16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Psihijatrijski poremećaji</w:t>
            </w:r>
          </w:p>
        </w:tc>
        <w:tc>
          <w:tcPr>
            <w:tcW w:w="1819"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Nesanica</w:t>
            </w:r>
          </w:p>
        </w:tc>
        <w:tc>
          <w:tcPr>
            <w:tcW w:w="1728"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Anksioznost</w:t>
            </w:r>
          </w:p>
        </w:tc>
        <w:tc>
          <w:tcPr>
            <w:tcW w:w="15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c>
          <w:tcPr>
            <w:tcW w:w="16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Poremećaji nervnog sistema</w:t>
            </w:r>
          </w:p>
        </w:tc>
        <w:tc>
          <w:tcPr>
            <w:tcW w:w="1819"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728"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Glavobolja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Vrtoglavica</w:t>
            </w:r>
          </w:p>
        </w:tc>
        <w:tc>
          <w:tcPr>
            <w:tcW w:w="15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c>
          <w:tcPr>
            <w:tcW w:w="16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Poremećaji na nivou oka</w:t>
            </w:r>
          </w:p>
        </w:tc>
        <w:tc>
          <w:tcPr>
            <w:tcW w:w="1819"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eastAsia="en-GB"/>
              </w:rPr>
              <w:t>Konjunktivitis</w:t>
            </w:r>
          </w:p>
        </w:tc>
        <w:tc>
          <w:tcPr>
            <w:tcW w:w="1728"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 xml:space="preserve">Blefaritis </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 xml:space="preserve">Rast trepavica </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lastRenderedPageBreak/>
              <w:t xml:space="preserve">Pojačano izlučivanje suza </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 xml:space="preserve">Okularna hiperemija </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Suvoća očiju</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Pruritus očiju</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Iritacija očiju</w:t>
            </w:r>
          </w:p>
        </w:tc>
        <w:tc>
          <w:tcPr>
            <w:tcW w:w="15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lastRenderedPageBreak/>
              <w:t>Iritacija očnih kapaka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Keratitis</w:t>
            </w:r>
            <w:r w:rsidRPr="008C5C91">
              <w:rPr>
                <w:rFonts w:ascii="Times New Roman" w:eastAsia="Calibri" w:hAnsi="Times New Roman" w:cs="Times New Roman"/>
                <w:vertAlign w:val="superscript"/>
                <w:lang w:val="sr-Latn-CS"/>
              </w:rPr>
              <w:t>1</w:t>
            </w: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Ulcerativni keratitis</w:t>
            </w:r>
            <w:r w:rsidRPr="008C5C91">
              <w:rPr>
                <w:rFonts w:ascii="Times New Roman" w:eastAsia="Calibri" w:hAnsi="Times New Roman" w:cs="Times New Roman"/>
                <w:vertAlign w:val="superscript"/>
                <w:lang w:val="sr-Latn-CS"/>
              </w:rPr>
              <w:t>1</w:t>
            </w: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c>
          <w:tcPr>
            <w:tcW w:w="16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Kardiološki poremećaji</w:t>
            </w:r>
          </w:p>
        </w:tc>
        <w:tc>
          <w:tcPr>
            <w:tcW w:w="1819"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728"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Tahikardija</w:t>
            </w:r>
          </w:p>
        </w:tc>
        <w:tc>
          <w:tcPr>
            <w:tcW w:w="15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Cijanoza</w:t>
            </w: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c>
          <w:tcPr>
            <w:tcW w:w="16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Vaskularni poremećaji</w:t>
            </w:r>
          </w:p>
        </w:tc>
        <w:tc>
          <w:tcPr>
            <w:tcW w:w="1819"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728"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Duboka venska tromboza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Hipotenzija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Hipertenzija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Naleti crvenila</w:t>
            </w:r>
          </w:p>
        </w:tc>
        <w:tc>
          <w:tcPr>
            <w:tcW w:w="15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c>
          <w:tcPr>
            <w:tcW w:w="1662" w:type="dxa"/>
            <w:shd w:val="clear" w:color="auto" w:fill="auto"/>
          </w:tcPr>
          <w:p w:rsidR="008C5C91" w:rsidRPr="008C5C91" w:rsidRDefault="008C5C91" w:rsidP="00A322D8">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Respiratorni, torakalni i medijastinalni poremećaji</w:t>
            </w:r>
          </w:p>
        </w:tc>
        <w:tc>
          <w:tcPr>
            <w:tcW w:w="1819"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Dispneja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Kašalj</w:t>
            </w:r>
          </w:p>
        </w:tc>
        <w:tc>
          <w:tcPr>
            <w:tcW w:w="1728" w:type="dxa"/>
            <w:shd w:val="clear" w:color="auto" w:fill="auto"/>
          </w:tcPr>
          <w:p w:rsidR="008C5C91" w:rsidRPr="008C5C91" w:rsidRDefault="008C5C91" w:rsidP="008C5C91">
            <w:pPr>
              <w:spacing w:after="0"/>
              <w:jc w:val="both"/>
              <w:rPr>
                <w:rFonts w:ascii="Times New Roman" w:eastAsia="Calibri" w:hAnsi="Times New Roman" w:cs="Times New Roman"/>
                <w:lang w:val="sr-Latn-CS" w:eastAsia="en-GB"/>
              </w:rPr>
            </w:pPr>
            <w:r w:rsidRPr="008C5C91">
              <w:rPr>
                <w:rFonts w:ascii="Times New Roman" w:eastAsia="Calibri" w:hAnsi="Times New Roman" w:cs="Times New Roman"/>
                <w:lang w:val="sr-Latn-CS" w:eastAsia="en-GB"/>
              </w:rPr>
              <w:t>Plućna embolija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eastAsia="en-GB"/>
              </w:rPr>
              <w:t>Epistaksa</w:t>
            </w:r>
          </w:p>
        </w:tc>
        <w:tc>
          <w:tcPr>
            <w:tcW w:w="15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Bronhospazam</w:t>
            </w:r>
            <w:r w:rsidRPr="008C5C91">
              <w:rPr>
                <w:rFonts w:ascii="Times New Roman" w:eastAsia="Calibri" w:hAnsi="Times New Roman" w:cs="Times New Roman"/>
                <w:lang w:val="sr-Latn-CS" w:eastAsia="en-GB"/>
              </w:rPr>
              <w:t xml:space="preserve"> Suvoća nosa</w:t>
            </w: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276" w:type="dxa"/>
            <w:shd w:val="clear" w:color="auto" w:fill="auto"/>
          </w:tcPr>
          <w:p w:rsidR="008C5C91" w:rsidRPr="008C5C91" w:rsidRDefault="008C5C91" w:rsidP="00A322D8">
            <w:pPr>
              <w:spacing w:after="0"/>
              <w:rPr>
                <w:rFonts w:ascii="Times New Roman" w:eastAsia="Calibri" w:hAnsi="Times New Roman" w:cs="Times New Roman"/>
                <w:vertAlign w:val="superscript"/>
                <w:lang w:val="sr-Latn-CS"/>
              </w:rPr>
            </w:pPr>
            <w:r w:rsidRPr="008C5C91">
              <w:rPr>
                <w:rFonts w:ascii="Times New Roman" w:eastAsia="Calibri" w:hAnsi="Times New Roman" w:cs="Times New Roman"/>
                <w:lang w:val="sr-Latn-CS"/>
              </w:rPr>
              <w:t>Intersticijalna bolest pluća</w:t>
            </w:r>
            <w:r w:rsidRPr="008C5C91">
              <w:rPr>
                <w:rFonts w:ascii="Times New Roman" w:eastAsia="Calibri" w:hAnsi="Times New Roman" w:cs="Times New Roman"/>
                <w:vertAlign w:val="superscript"/>
                <w:lang w:val="sr-Latn-CS"/>
              </w:rPr>
              <w:t>3</w:t>
            </w:r>
          </w:p>
        </w:tc>
      </w:tr>
      <w:tr w:rsidR="008C5C91" w:rsidRPr="008C5C91" w:rsidTr="00B528BA">
        <w:tc>
          <w:tcPr>
            <w:tcW w:w="16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Gastrointestinalni poremećaji</w:t>
            </w:r>
          </w:p>
        </w:tc>
        <w:tc>
          <w:tcPr>
            <w:tcW w:w="1819" w:type="dxa"/>
            <w:shd w:val="clear" w:color="auto" w:fill="auto"/>
          </w:tcPr>
          <w:p w:rsidR="008C5C91" w:rsidRPr="008C5C91" w:rsidRDefault="008C5C91" w:rsidP="008C5C91">
            <w:pPr>
              <w:spacing w:after="0"/>
              <w:jc w:val="both"/>
              <w:rPr>
                <w:rFonts w:ascii="Times New Roman" w:eastAsia="Calibri" w:hAnsi="Times New Roman" w:cs="Times New Roman"/>
                <w:vertAlign w:val="superscript"/>
                <w:lang w:val="sr-Latn-CS"/>
              </w:rPr>
            </w:pPr>
            <w:r w:rsidRPr="008C5C91">
              <w:rPr>
                <w:rFonts w:ascii="Times New Roman" w:eastAsia="Calibri" w:hAnsi="Times New Roman" w:cs="Times New Roman"/>
                <w:lang w:val="sr-Latn-CS"/>
              </w:rPr>
              <w:t>Dijareja</w:t>
            </w:r>
            <w:r w:rsidRPr="008C5C91">
              <w:rPr>
                <w:rFonts w:ascii="Times New Roman" w:eastAsia="Calibri" w:hAnsi="Times New Roman" w:cs="Times New Roman"/>
                <w:vertAlign w:val="superscript"/>
                <w:lang w:val="sr-Latn-CS"/>
              </w:rPr>
              <w:t>1</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Mučnina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Povraćanje</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Bol u abdomenu</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Stomatitis</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Konstipacija</w:t>
            </w:r>
          </w:p>
        </w:tc>
        <w:tc>
          <w:tcPr>
            <w:tcW w:w="1728" w:type="dxa"/>
            <w:shd w:val="clear" w:color="auto" w:fill="auto"/>
          </w:tcPr>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Rektalna krvarenja</w:t>
            </w:r>
          </w:p>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Suvoća usta</w:t>
            </w:r>
          </w:p>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Dispepsija</w:t>
            </w:r>
          </w:p>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Aftozni stomatitis</w:t>
            </w:r>
          </w:p>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Heilitis</w:t>
            </w:r>
          </w:p>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Gastroezofagealna refluksna bolest</w:t>
            </w:r>
          </w:p>
        </w:tc>
        <w:tc>
          <w:tcPr>
            <w:tcW w:w="15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Ispucala usta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RS"/>
              </w:rPr>
              <w:t>Suve usne</w:t>
            </w: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c>
          <w:tcPr>
            <w:tcW w:w="1662"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lastRenderedPageBreak/>
              <w:t>Poremećaji na nivou kože i potkožnog tkiva</w:t>
            </w:r>
          </w:p>
        </w:tc>
        <w:tc>
          <w:tcPr>
            <w:tcW w:w="1819"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eastAsia="en-GB"/>
              </w:rPr>
            </w:pPr>
            <w:r w:rsidRPr="008C5C91">
              <w:rPr>
                <w:rFonts w:ascii="Times New Roman" w:eastAsia="Calibri" w:hAnsi="Times New Roman" w:cs="Times New Roman"/>
                <w:lang w:val="sr-Latn-CS" w:eastAsia="en-GB"/>
              </w:rPr>
              <w:t>Akneiformni dermatitis</w:t>
            </w:r>
          </w:p>
          <w:p w:rsidR="008C5C91" w:rsidRPr="008C5C91" w:rsidRDefault="008C5C91" w:rsidP="008C5C91">
            <w:pPr>
              <w:keepNext/>
              <w:spacing w:after="0"/>
              <w:jc w:val="both"/>
              <w:rPr>
                <w:rFonts w:ascii="Times New Roman" w:eastAsia="Calibri" w:hAnsi="Times New Roman" w:cs="Times New Roman"/>
                <w:vertAlign w:val="superscript"/>
                <w:lang w:val="sr-Latn-CS" w:eastAsia="en-GB"/>
              </w:rPr>
            </w:pPr>
            <w:r w:rsidRPr="008C5C91">
              <w:rPr>
                <w:rFonts w:ascii="Times New Roman" w:eastAsia="Calibri" w:hAnsi="Times New Roman" w:cs="Times New Roman"/>
                <w:lang w:val="sr-Latn-CS" w:eastAsia="en-GB"/>
              </w:rPr>
              <w:t>Osip</w:t>
            </w:r>
            <w:r w:rsidRPr="008C5C91">
              <w:rPr>
                <w:rFonts w:ascii="Times New Roman" w:eastAsia="Calibri" w:hAnsi="Times New Roman" w:cs="Times New Roman"/>
                <w:vertAlign w:val="superscript"/>
                <w:lang w:val="sr-Latn-CS" w:eastAsia="en-GB"/>
              </w:rPr>
              <w:t>1,2</w:t>
            </w:r>
          </w:p>
          <w:p w:rsidR="008C5C91" w:rsidRPr="008C5C91" w:rsidRDefault="008C5C91" w:rsidP="008C5C91">
            <w:pPr>
              <w:keepNext/>
              <w:spacing w:after="0"/>
              <w:jc w:val="both"/>
              <w:rPr>
                <w:rFonts w:ascii="Times New Roman" w:eastAsia="Calibri" w:hAnsi="Times New Roman" w:cs="Times New Roman"/>
                <w:lang w:val="sr-Latn-CS" w:eastAsia="en-GB"/>
              </w:rPr>
            </w:pPr>
            <w:r w:rsidRPr="008C5C91">
              <w:rPr>
                <w:rFonts w:ascii="Times New Roman" w:eastAsia="Calibri" w:hAnsi="Times New Roman" w:cs="Times New Roman"/>
                <w:lang w:val="sr-Latn-CS" w:eastAsia="en-GB"/>
              </w:rPr>
              <w:t>Eritem</w:t>
            </w:r>
          </w:p>
          <w:p w:rsidR="008C5C91" w:rsidRPr="008C5C91" w:rsidRDefault="008C5C91" w:rsidP="008C5C91">
            <w:pPr>
              <w:keepNext/>
              <w:spacing w:after="0"/>
              <w:jc w:val="both"/>
              <w:rPr>
                <w:rFonts w:ascii="Times New Roman" w:eastAsia="Calibri" w:hAnsi="Times New Roman" w:cs="Times New Roman"/>
                <w:lang w:val="sr-Latn-CS" w:eastAsia="en-GB"/>
              </w:rPr>
            </w:pPr>
            <w:r w:rsidRPr="008C5C91">
              <w:rPr>
                <w:rFonts w:ascii="Times New Roman" w:eastAsia="Calibri" w:hAnsi="Times New Roman" w:cs="Times New Roman"/>
                <w:lang w:val="sr-Latn-CS" w:eastAsia="en-GB"/>
              </w:rPr>
              <w:t>Pruritus</w:t>
            </w:r>
          </w:p>
          <w:p w:rsidR="008C5C91" w:rsidRPr="008C5C91" w:rsidRDefault="008C5C91" w:rsidP="008C5C91">
            <w:pPr>
              <w:keepNext/>
              <w:spacing w:after="0"/>
              <w:jc w:val="both"/>
              <w:rPr>
                <w:rFonts w:ascii="Times New Roman" w:eastAsia="Calibri" w:hAnsi="Times New Roman" w:cs="Times New Roman"/>
                <w:lang w:val="sr-Latn-CS" w:eastAsia="en-GB"/>
              </w:rPr>
            </w:pPr>
            <w:r w:rsidRPr="008C5C91">
              <w:rPr>
                <w:rFonts w:ascii="Times New Roman" w:eastAsia="Calibri" w:hAnsi="Times New Roman" w:cs="Times New Roman"/>
                <w:lang w:val="sr-Latn-CS" w:eastAsia="en-GB"/>
              </w:rPr>
              <w:t>Suva koža</w:t>
            </w:r>
          </w:p>
          <w:p w:rsidR="008C5C91" w:rsidRPr="008C5C91" w:rsidRDefault="008C5C91" w:rsidP="008C5C91">
            <w:pPr>
              <w:keepNext/>
              <w:spacing w:after="0"/>
              <w:jc w:val="both"/>
              <w:rPr>
                <w:rFonts w:ascii="Times New Roman" w:eastAsia="Calibri" w:hAnsi="Times New Roman" w:cs="Times New Roman"/>
                <w:lang w:val="sr-Latn-CS" w:eastAsia="en-GB"/>
              </w:rPr>
            </w:pPr>
            <w:r w:rsidRPr="008C5C91">
              <w:rPr>
                <w:rFonts w:ascii="Times New Roman" w:eastAsia="Calibri" w:hAnsi="Times New Roman" w:cs="Times New Roman"/>
                <w:lang w:val="sr-Latn-CS" w:eastAsia="en-GB"/>
              </w:rPr>
              <w:t>Fisure na koži</w:t>
            </w:r>
          </w:p>
          <w:p w:rsidR="008C5C91" w:rsidRPr="008C5C91" w:rsidRDefault="008C5C91" w:rsidP="008C5C91">
            <w:pPr>
              <w:keepNext/>
              <w:spacing w:after="0"/>
              <w:jc w:val="both"/>
              <w:rPr>
                <w:rFonts w:ascii="Times New Roman" w:eastAsia="Calibri" w:hAnsi="Times New Roman" w:cs="Times New Roman"/>
                <w:lang w:val="sr-Latn-CS" w:eastAsia="en-GB"/>
              </w:rPr>
            </w:pPr>
            <w:r w:rsidRPr="008C5C91">
              <w:rPr>
                <w:rFonts w:ascii="Times New Roman" w:eastAsia="Calibri" w:hAnsi="Times New Roman" w:cs="Times New Roman"/>
                <w:lang w:val="sr-Latn-CS" w:eastAsia="en-GB"/>
              </w:rPr>
              <w:t>Akne</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eastAsia="en-GB"/>
              </w:rPr>
              <w:t>Alopecija</w:t>
            </w:r>
          </w:p>
        </w:tc>
        <w:tc>
          <w:tcPr>
            <w:tcW w:w="1728"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 xml:space="preserve">Sindrom </w:t>
            </w:r>
            <w:r w:rsidRPr="008C5C91">
              <w:rPr>
                <w:rFonts w:ascii="Times New Roman" w:hAnsi="Times New Roman" w:cs="Times New Roman"/>
                <w:lang w:val="sr-Latn-CS"/>
              </w:rPr>
              <w:t>palmoplantarne eritrodisestezije</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Ulceracije kože</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Kraste</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Hipertrihoza</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Onihoklasis</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Poremećaji nokta</w:t>
            </w:r>
          </w:p>
          <w:p w:rsidR="008C5C91" w:rsidRPr="008C5C91" w:rsidRDefault="008C5C91" w:rsidP="008C5C91">
            <w:pPr>
              <w:spacing w:after="0"/>
              <w:jc w:val="both"/>
              <w:rPr>
                <w:rFonts w:ascii="Times New Roman" w:hAnsi="Times New Roman" w:cs="Times New Roman"/>
                <w:lang w:val="sr-Latn-CS"/>
              </w:rPr>
            </w:pPr>
            <w:r w:rsidRPr="008C5C91">
              <w:rPr>
                <w:rFonts w:ascii="Times New Roman" w:hAnsi="Times New Roman" w:cs="Times New Roman"/>
                <w:lang w:val="en-GB"/>
              </w:rPr>
              <w:t>Hiperhidroza</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RS"/>
              </w:rPr>
              <w:t>Dermatitis</w:t>
            </w:r>
          </w:p>
        </w:tc>
        <w:tc>
          <w:tcPr>
            <w:tcW w:w="1562" w:type="dxa"/>
            <w:shd w:val="clear" w:color="auto" w:fill="auto"/>
          </w:tcPr>
          <w:p w:rsidR="008C5C91" w:rsidRPr="008C5C91" w:rsidRDefault="008C5C91" w:rsidP="008C5C91">
            <w:pPr>
              <w:keepNext/>
              <w:spacing w:after="0"/>
              <w:jc w:val="both"/>
              <w:rPr>
                <w:rFonts w:ascii="Times New Roman" w:eastAsia="Calibri" w:hAnsi="Times New Roman" w:cs="Times New Roman"/>
                <w:vertAlign w:val="superscript"/>
                <w:lang w:val="sr-Latn-CS"/>
              </w:rPr>
            </w:pPr>
            <w:r w:rsidRPr="008C5C91">
              <w:rPr>
                <w:rFonts w:ascii="Times New Roman" w:eastAsia="Calibri" w:hAnsi="Times New Roman" w:cs="Times New Roman"/>
                <w:lang w:val="sr-Latn-CS"/>
              </w:rPr>
              <w:t>Angioedem</w:t>
            </w:r>
            <w:r w:rsidRPr="008C5C91">
              <w:rPr>
                <w:rFonts w:ascii="Times New Roman" w:eastAsia="Calibri" w:hAnsi="Times New Roman" w:cs="Times New Roman"/>
                <w:vertAlign w:val="superscript"/>
                <w:lang w:val="sr-Latn-CS"/>
              </w:rPr>
              <w:t>1</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Hirzutizam</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Urastanja noktiju</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Oniholiza</w:t>
            </w:r>
          </w:p>
        </w:tc>
        <w:tc>
          <w:tcPr>
            <w:tcW w:w="1417"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Nekroza kože</w:t>
            </w:r>
            <w:r w:rsidRPr="008C5C91">
              <w:rPr>
                <w:rFonts w:ascii="Times New Roman" w:eastAsia="Calibri" w:hAnsi="Times New Roman" w:cs="Times New Roman"/>
                <w:vertAlign w:val="superscript"/>
                <w:lang w:val="sr-Latn-CS"/>
              </w:rPr>
              <w:t>1</w:t>
            </w:r>
          </w:p>
          <w:p w:rsidR="008C5C91" w:rsidRPr="008C5C91" w:rsidRDefault="008C5C91" w:rsidP="008C5C91">
            <w:pPr>
              <w:spacing w:after="0"/>
              <w:jc w:val="both"/>
              <w:rPr>
                <w:rFonts w:ascii="Times New Roman" w:hAnsi="Times New Roman" w:cs="Times New Roman"/>
                <w:lang w:val="nb-NO"/>
              </w:rPr>
            </w:pPr>
            <w:r w:rsidRPr="008C5C91">
              <w:rPr>
                <w:rFonts w:ascii="Times New Roman" w:hAnsi="Times New Roman" w:cs="Times New Roman"/>
                <w:i/>
                <w:lang w:val="nb-NO"/>
              </w:rPr>
              <w:t>Stevens-Johnson-</w:t>
            </w:r>
            <w:r w:rsidRPr="008C5C91">
              <w:rPr>
                <w:rFonts w:ascii="Times New Roman" w:hAnsi="Times New Roman" w:cs="Times New Roman"/>
                <w:lang w:val="nb-NO"/>
              </w:rPr>
              <w:t>ov sindrom</w:t>
            </w:r>
            <w:r w:rsidRPr="008C5C91">
              <w:rPr>
                <w:rFonts w:ascii="Times New Roman" w:hAnsi="Times New Roman" w:cs="Times New Roman"/>
                <w:vertAlign w:val="superscript"/>
                <w:lang w:val="nb-NO"/>
              </w:rPr>
              <w:t>1</w:t>
            </w:r>
          </w:p>
          <w:p w:rsidR="008C5C91" w:rsidRPr="008C5C91" w:rsidRDefault="008C5C91" w:rsidP="008C5C91">
            <w:pPr>
              <w:spacing w:after="0"/>
              <w:jc w:val="both"/>
              <w:rPr>
                <w:rFonts w:ascii="Times New Roman" w:hAnsi="Times New Roman" w:cs="Times New Roman"/>
                <w:vertAlign w:val="superscript"/>
                <w:lang w:val="nb-NO"/>
              </w:rPr>
            </w:pPr>
            <w:r w:rsidRPr="008C5C91">
              <w:rPr>
                <w:rFonts w:ascii="Times New Roman" w:hAnsi="Times New Roman" w:cs="Times New Roman"/>
                <w:lang w:val="nb-NO"/>
              </w:rPr>
              <w:t>Toksična epidermalna nekroliza</w:t>
            </w:r>
            <w:r w:rsidRPr="008C5C91">
              <w:rPr>
                <w:rFonts w:ascii="Times New Roman" w:hAnsi="Times New Roman" w:cs="Times New Roman"/>
                <w:vertAlign w:val="superscript"/>
                <w:lang w:val="nb-NO"/>
              </w:rPr>
              <w:t>1</w:t>
            </w:r>
          </w:p>
          <w:p w:rsidR="008C5C91" w:rsidRPr="008C5C91" w:rsidRDefault="008C5C91" w:rsidP="008C5C91">
            <w:pPr>
              <w:keepNext/>
              <w:spacing w:after="0"/>
              <w:jc w:val="both"/>
              <w:rPr>
                <w:rFonts w:ascii="Times New Roman" w:eastAsia="Calibri" w:hAnsi="Times New Roman" w:cs="Times New Roman"/>
                <w:lang w:val="sr-Latn-CS"/>
              </w:rPr>
            </w:pP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c>
          <w:tcPr>
            <w:tcW w:w="1662" w:type="dxa"/>
            <w:shd w:val="clear" w:color="auto" w:fill="auto"/>
          </w:tcPr>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Poremećaji mišićno-skeletnog i vezivnog tkiva</w:t>
            </w:r>
          </w:p>
        </w:tc>
        <w:tc>
          <w:tcPr>
            <w:tcW w:w="1819"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Bol u leđima</w:t>
            </w:r>
          </w:p>
        </w:tc>
        <w:tc>
          <w:tcPr>
            <w:tcW w:w="1728" w:type="dxa"/>
            <w:shd w:val="clear" w:color="auto" w:fill="auto"/>
          </w:tcPr>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Bol u ekstremitetima</w:t>
            </w:r>
          </w:p>
        </w:tc>
        <w:tc>
          <w:tcPr>
            <w:tcW w:w="15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c>
          <w:tcPr>
            <w:tcW w:w="1662" w:type="dxa"/>
            <w:shd w:val="clear" w:color="auto" w:fill="auto"/>
          </w:tcPr>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Opšti poremećaji i poremećaji na mjestu primjene</w:t>
            </w:r>
          </w:p>
        </w:tc>
        <w:tc>
          <w:tcPr>
            <w:tcW w:w="1819"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Umor</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Pireksija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Astenija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 xml:space="preserve">Inflamacija mukoze </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Periferni edem</w:t>
            </w:r>
          </w:p>
        </w:tc>
        <w:tc>
          <w:tcPr>
            <w:tcW w:w="1728"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Bol u grudima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Bol</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Drhtavica</w:t>
            </w:r>
          </w:p>
        </w:tc>
        <w:tc>
          <w:tcPr>
            <w:tcW w:w="1562" w:type="dxa"/>
            <w:shd w:val="clear" w:color="auto" w:fill="auto"/>
          </w:tcPr>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Reakcije povezane sa primjenom infuzije</w:t>
            </w:r>
            <w:r w:rsidRPr="008C5C91">
              <w:rPr>
                <w:rFonts w:ascii="Times New Roman" w:eastAsia="Calibri" w:hAnsi="Times New Roman" w:cs="Times New Roman"/>
                <w:vertAlign w:val="superscript"/>
                <w:lang w:val="sr-Latn-CS"/>
              </w:rPr>
              <w:t>1</w:t>
            </w: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r w:rsidR="008C5C91" w:rsidRPr="008C5C91" w:rsidTr="00B528BA">
        <w:tc>
          <w:tcPr>
            <w:tcW w:w="16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Ispitivanja</w:t>
            </w:r>
          </w:p>
        </w:tc>
        <w:tc>
          <w:tcPr>
            <w:tcW w:w="1819"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eastAsia="en-GB"/>
              </w:rPr>
              <w:t>Smanjena tjelesna masa</w:t>
            </w:r>
          </w:p>
        </w:tc>
        <w:tc>
          <w:tcPr>
            <w:tcW w:w="1728" w:type="dxa"/>
            <w:shd w:val="clear" w:color="auto" w:fill="auto"/>
          </w:tcPr>
          <w:p w:rsidR="008C5C91" w:rsidRPr="008C5C91" w:rsidRDefault="008C5C91" w:rsidP="00A322D8">
            <w:pPr>
              <w:spacing w:after="0"/>
              <w:rPr>
                <w:rFonts w:ascii="Times New Roman" w:eastAsia="Calibri" w:hAnsi="Times New Roman" w:cs="Times New Roman"/>
                <w:lang w:val="sr-Latn-CS"/>
              </w:rPr>
            </w:pPr>
            <w:r w:rsidRPr="008C5C91">
              <w:rPr>
                <w:rFonts w:ascii="Times New Roman" w:eastAsia="Calibri" w:hAnsi="Times New Roman" w:cs="Times New Roman"/>
                <w:lang w:val="sr-Latn-CS"/>
              </w:rPr>
              <w:t>Smanjen nivo magnezijuma u krvi</w:t>
            </w:r>
          </w:p>
        </w:tc>
        <w:tc>
          <w:tcPr>
            <w:tcW w:w="1562"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417"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c>
          <w:tcPr>
            <w:tcW w:w="1276" w:type="dxa"/>
            <w:shd w:val="clear" w:color="auto" w:fill="auto"/>
          </w:tcPr>
          <w:p w:rsidR="008C5C91" w:rsidRPr="008C5C91" w:rsidRDefault="008C5C91" w:rsidP="008C5C91">
            <w:pPr>
              <w:spacing w:after="0"/>
              <w:jc w:val="both"/>
              <w:rPr>
                <w:rFonts w:ascii="Times New Roman" w:eastAsia="Calibri" w:hAnsi="Times New Roman" w:cs="Times New Roman"/>
                <w:lang w:val="sr-Latn-CS"/>
              </w:rPr>
            </w:pPr>
          </w:p>
        </w:tc>
      </w:tr>
    </w:tbl>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vertAlign w:val="superscript"/>
          <w:lang w:val="sr-Latn-CS"/>
        </w:rPr>
        <w:t xml:space="preserve">1 </w:t>
      </w:r>
      <w:r w:rsidRPr="008C5C91">
        <w:rPr>
          <w:rFonts w:ascii="Times New Roman" w:hAnsi="Times New Roman" w:cs="Times New Roman"/>
          <w:lang w:val="sr-Latn-CS"/>
        </w:rPr>
        <w:t xml:space="preserve">Vidjeti odjeljak </w:t>
      </w:r>
      <w:r w:rsidRPr="008C5C91">
        <w:rPr>
          <w:rFonts w:ascii="Times New Roman" w:hAnsi="Times New Roman" w:cs="Times New Roman"/>
          <w:lang w:val="nl-NL"/>
        </w:rPr>
        <w:t>”</w:t>
      </w:r>
      <w:r w:rsidRPr="008C5C91">
        <w:rPr>
          <w:rFonts w:ascii="Times New Roman" w:hAnsi="Times New Roman" w:cs="Times New Roman"/>
          <w:lang w:val="sr-Latn-CS"/>
        </w:rPr>
        <w:t xml:space="preserve">Opis odabranih neželjenih reakcija“ dolje </w:t>
      </w: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vertAlign w:val="superscript"/>
          <w:lang w:val="sr-Latn-CS"/>
        </w:rPr>
        <w:t>2</w:t>
      </w:r>
      <w:r w:rsidRPr="008C5C91">
        <w:rPr>
          <w:rFonts w:ascii="Times New Roman" w:hAnsi="Times New Roman" w:cs="Times New Roman"/>
          <w:lang w:val="sr-Latn-CS"/>
        </w:rPr>
        <w:t xml:space="preserve"> Osip podrazumijeva uobičajene termine vezane za toksičnost kože, eksfolijaciju kože, eksfolijativni osip, papularni osip, osip praćen svrabom, eritematozni osip, generalizovani osip, makularni osip, makulo-papularni osip, lezije na koži </w:t>
      </w:r>
    </w:p>
    <w:p w:rsidR="008C5C91" w:rsidRPr="008C5C91" w:rsidRDefault="008C5C91" w:rsidP="008C5C91">
      <w:pPr>
        <w:spacing w:after="0"/>
        <w:jc w:val="both"/>
        <w:rPr>
          <w:rFonts w:ascii="Times New Roman" w:hAnsi="Times New Roman" w:cs="Times New Roman"/>
          <w:lang w:val="sr-Latn-CS"/>
        </w:rPr>
      </w:pPr>
      <w:r w:rsidRPr="008C5C91">
        <w:rPr>
          <w:rFonts w:ascii="Times New Roman" w:hAnsi="Times New Roman" w:cs="Times New Roman"/>
          <w:vertAlign w:val="superscript"/>
          <w:lang w:val="sr-Latn-CS"/>
        </w:rPr>
        <w:t>3</w:t>
      </w:r>
      <w:r w:rsidRPr="008C5C91">
        <w:rPr>
          <w:rFonts w:ascii="Times New Roman" w:hAnsi="Times New Roman" w:cs="Times New Roman"/>
          <w:lang w:val="sr-Latn-CS"/>
        </w:rPr>
        <w:t xml:space="preserve"> </w:t>
      </w:r>
      <w:r w:rsidRPr="008C5C91">
        <w:rPr>
          <w:rFonts w:ascii="Times New Roman" w:hAnsi="Times New Roman" w:cs="Times New Roman"/>
          <w:noProof/>
          <w:lang w:val="nb-NO"/>
        </w:rPr>
        <w:t>Vidjeti</w:t>
      </w:r>
      <w:r w:rsidRPr="008C5C91">
        <w:rPr>
          <w:rFonts w:ascii="Times New Roman" w:hAnsi="Times New Roman" w:cs="Times New Roman"/>
          <w:noProof/>
          <w:lang w:val="sr-Latn-CS"/>
        </w:rPr>
        <w:t xml:space="preserve"> </w:t>
      </w:r>
      <w:r w:rsidRPr="008C5C91">
        <w:rPr>
          <w:rFonts w:ascii="Times New Roman" w:hAnsi="Times New Roman" w:cs="Times New Roman"/>
          <w:noProof/>
          <w:lang w:val="nb-NO"/>
        </w:rPr>
        <w:t>poglavlje</w:t>
      </w:r>
      <w:r w:rsidRPr="008C5C91">
        <w:rPr>
          <w:rFonts w:ascii="Times New Roman" w:hAnsi="Times New Roman" w:cs="Times New Roman"/>
          <w:noProof/>
          <w:lang w:val="sr-Latn-CS"/>
        </w:rPr>
        <w:t xml:space="preserve"> 4.4 </w:t>
      </w:r>
      <w:r w:rsidRPr="008C5C91">
        <w:rPr>
          <w:rFonts w:ascii="Times New Roman" w:hAnsi="Times New Roman" w:cs="Times New Roman"/>
          <w:noProof/>
          <w:lang w:val="nb-NO"/>
        </w:rPr>
        <w:t>Komplikacije</w:t>
      </w:r>
      <w:r w:rsidRPr="008C5C91">
        <w:rPr>
          <w:rFonts w:ascii="Times New Roman" w:hAnsi="Times New Roman" w:cs="Times New Roman"/>
          <w:noProof/>
          <w:lang w:val="sr-Latn-CS"/>
        </w:rPr>
        <w:t xml:space="preserve"> </w:t>
      </w:r>
      <w:r w:rsidRPr="008C5C91">
        <w:rPr>
          <w:rFonts w:ascii="Times New Roman" w:hAnsi="Times New Roman" w:cs="Times New Roman"/>
          <w:noProof/>
          <w:lang w:val="nb-NO"/>
        </w:rPr>
        <w:t>na</w:t>
      </w:r>
      <w:r w:rsidRPr="008C5C91">
        <w:rPr>
          <w:rFonts w:ascii="Times New Roman" w:hAnsi="Times New Roman" w:cs="Times New Roman"/>
          <w:noProof/>
          <w:lang w:val="sr-Latn-CS"/>
        </w:rPr>
        <w:t xml:space="preserve"> </w:t>
      </w:r>
      <w:r w:rsidRPr="008C5C91">
        <w:rPr>
          <w:rFonts w:ascii="Times New Roman" w:hAnsi="Times New Roman" w:cs="Times New Roman"/>
          <w:noProof/>
          <w:lang w:val="nb-NO"/>
        </w:rPr>
        <w:t>plu</w:t>
      </w:r>
      <w:r w:rsidRPr="008C5C91">
        <w:rPr>
          <w:rFonts w:ascii="Times New Roman" w:hAnsi="Times New Roman" w:cs="Times New Roman"/>
          <w:noProof/>
          <w:lang w:val="sr-Latn-CS"/>
        </w:rPr>
        <w:t>ć</w:t>
      </w:r>
      <w:r w:rsidRPr="008C5C91">
        <w:rPr>
          <w:rFonts w:ascii="Times New Roman" w:hAnsi="Times New Roman" w:cs="Times New Roman"/>
          <w:noProof/>
          <w:lang w:val="nb-NO"/>
        </w:rPr>
        <w:t>ima</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 Na osnovu raspoloživih podataka nije moguće utvrditi učestalost ispoljavanja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Bezbjednosni profil lijeka Vectibix u kombinaciji sa hemioterapijom se sastoji od prijavljenih neželjenih reakcija na Vectibix (u vidu monoterapije) i toksičnosti osnovnog hemioterapijskog režima. Nisu prijavljene nove toksičnosti, ili pogoršanje prethodnih toksičnosti izvan očekivanih dodatnih efekata. Reakcije na koži su bile najčešće prijavljene neželjene reakcije kod pacijenata koji su primali panitumumab u kombinaciji sa hemioterapijom. Druge vrste toksičnosti koje su primijećene sa povećanom učestalošću, a koje se odnose na monoterapiju, su uključivale hipomegnezijemiju, dijareju i stomatitis. Ove toksičnosti rijetko dovode do prekida terapije lijekom Vectibix ili hemioterapije.</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lastRenderedPageBreak/>
        <w:t>Opis odabranih neželjenih reakcija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i/>
          <w:lang w:val="sr-Latn-CS"/>
        </w:rPr>
      </w:pPr>
      <w:r w:rsidRPr="008C5C91">
        <w:rPr>
          <w:rFonts w:ascii="Times New Roman" w:hAnsi="Times New Roman" w:cs="Times New Roman"/>
          <w:i/>
          <w:lang w:val="sr-Latn-CS"/>
        </w:rPr>
        <w:t>Gastrointestinalni poremećaji</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Kada je prijavljena, dijareja je uglavnom bila blaga ili umjerena. Prijavljena je teška dijareja (NCI</w:t>
      </w:r>
      <w:r w:rsidRPr="008C5C91">
        <w:rPr>
          <w:rFonts w:ascii="Times New Roman" w:hAnsi="Times New Roman" w:cs="Times New Roman"/>
          <w:lang w:val="sr-Latn-CS"/>
        </w:rPr>
        <w:noBreakHyphen/>
        <w:t xml:space="preserve">CTC stepen 3 i 4 ) kod 2% pacijenata liječenih lijekom Vectibix u monoterapiji, a kod 17% pacijenata liječenih kombinacijom Vectibix i hemioterapije.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Bilo je izvještaja o akutnoj insuficijenciji bubrega kod pacijenata kod kojih je prijavljena dijareja i dehidratacija (vidjeti poglavlje 4.4).</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i/>
          <w:lang w:val="sr-Latn-CS"/>
        </w:rPr>
      </w:pPr>
      <w:r w:rsidRPr="008C5C91">
        <w:rPr>
          <w:rFonts w:ascii="Times New Roman" w:hAnsi="Times New Roman" w:cs="Times New Roman"/>
          <w:i/>
          <w:lang w:val="sr-Latn-CS"/>
        </w:rPr>
        <w:t>Reakcije povezane sa primjenom infuzije</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Reakcije povezane sa primjenom infuzije (koje se javljaju 24 sata nakon infuzije), koje mogu imati simptome kao što su drhtavica, temperatura ili dispneja, su prijavljene u mCRC kliničkim studijama (n = 2588) tokom monoterapije i u kombinaciji kod oko 4% pacijenata koji su primali lijek Vectibix, od kojih je &lt; 1% bilo teško (NCI-CTC stepen 3 i stepen 4).</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U jednoj kliničkoj studiji došlo je do pojave fatalnog angioedema kod jednog pacijenta sa rekurentnim i metastatskim karcinomom skvamoznih ćelija glave i vrata koji je liječen lijekom Vectibix. Ovaj fatalni događaj se desio nakon ponovnog izlaganja lijeku nakon prethodne epizode angioedema; obje epizode su se dogodile nakon više od 24 sata od primjene lijeka (vidjeti poglavlja 4.3 i 4.4). U post</w:t>
      </w:r>
      <w:r w:rsidRPr="008C5C91">
        <w:rPr>
          <w:rFonts w:ascii="Times New Roman" w:hAnsi="Times New Roman" w:cs="Times New Roman"/>
          <w:lang w:val="sr-Latn-CS"/>
        </w:rPr>
        <w:noBreakHyphen/>
        <w:t>marketinškom istraživanju su prijavljene reakcije preosjetljivosti koje se javljaju više od 24 sata nakon primjene infuzije.</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Za više informacija o liječenju reakcija nastalih usljed primjene infuzije, vidjeti poglavlje 4.4.</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i/>
          <w:lang w:val="sr-Latn-CS"/>
        </w:rPr>
      </w:pPr>
      <w:r w:rsidRPr="008C5C91">
        <w:rPr>
          <w:rFonts w:ascii="Times New Roman" w:hAnsi="Times New Roman" w:cs="Times New Roman"/>
          <w:i/>
          <w:lang w:val="sr-Latn-CS"/>
        </w:rPr>
        <w:t>Poremećaji kože i potkožnog tkiva</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Osip na koži se najčešće javljao na licu, grudima i leđima ali je mogao da se proširi na ekstremitete. Nakon razvoja teških reakcija na koži i potkožnom tkivu, prijavljene su infekcijske komplikacije uključujući i sepsu, koja je u rijetkim slučajevima dovela do fatalnog ishoda, celulitis i stvaranje lokalnih apscesa koji su zahtijevali inciziju ili drenažu. Srednje vrijeme do pojave prvog simptoma dermatološke reakcije bilo je 10 dana, a prosječno vrijeme do povlačenja simptoma nakon posljednje doze lijeka Vectibix</w:t>
      </w:r>
      <w:r w:rsidRPr="008C5C91">
        <w:rPr>
          <w:rFonts w:ascii="Times New Roman" w:hAnsi="Times New Roman" w:cs="Times New Roman"/>
          <w:vertAlign w:val="superscript"/>
          <w:lang w:val="sr-Latn-CS"/>
        </w:rPr>
        <w:t xml:space="preserve"> </w:t>
      </w:r>
      <w:r w:rsidRPr="008C5C91">
        <w:rPr>
          <w:rFonts w:ascii="Times New Roman" w:hAnsi="Times New Roman" w:cs="Times New Roman"/>
          <w:lang w:val="sr-Latn-CS"/>
        </w:rPr>
        <w:t>je bilo 28 dana.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Paronihijalno zapaljenje se dovodi u vezu sa oticanjem lateralnih ivica nokta na rukama i nogama.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lang w:val="sr-Latn-CS"/>
        </w:rPr>
        <w:t xml:space="preserve">Dermatološke reakcije (uključujući reakcije na noktima), koje su primijećene kod pacijenata koji su primali Vectibix ili druge EGFR inhibitore, su povezane sa farmakološkim efektima terapije.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U svim kliničkim studijama, reakcije na koži su se javile kod 93% pacijenata koji su primali Vectibix u obliku monoterapije ili u kombinaciji sa hemioterapijom (n = 2588). Ovi slučajevi su uglavnom podrazumijevali osip i akneiformni dermatitis i najčešće su bili blagog ili umjerenog karaktera. Teške (NCI-CTC stepen 3) reakcije na koži su prijavljene kod 34% a životno ugrožavajuće (NCI-CTC stepen 4) reakcije na koži kod &lt; 1% </w:t>
      </w:r>
      <w:r w:rsidRPr="008C5C91">
        <w:rPr>
          <w:rFonts w:ascii="Times New Roman" w:hAnsi="Times New Roman" w:cs="Times New Roman"/>
          <w:lang w:val="sr-Latn-CS"/>
        </w:rPr>
        <w:lastRenderedPageBreak/>
        <w:t>pacijenata koji su primali lijek Vectibix u kombinaciji sa hemioterapijom (n = 1536). Životno ugrožavajuće i fatalne komplikacije infekcija uključujući nekrotizirajući fasciitis i sepsu primijećeni su kod pacijenata koji su bili na terapiji lijekom Vectibix (vidjeti poglavlje 4.4).</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Informacije o liječenju dermatoloških reakcija, uključujući i preporuke o izmjeni doze, date su u poglavlju 4.4.</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U post-marketinškom periodu su prijavljeni rijetki slučajevi nekroze kože, </w:t>
      </w:r>
      <w:r w:rsidRPr="008C5C91">
        <w:rPr>
          <w:rFonts w:ascii="Times New Roman" w:hAnsi="Times New Roman" w:cs="Times New Roman"/>
          <w:i/>
          <w:lang w:val="sr-Latn-RS"/>
        </w:rPr>
        <w:t>Stevens</w:t>
      </w:r>
      <w:r w:rsidRPr="008C5C91">
        <w:rPr>
          <w:rFonts w:ascii="Times New Roman" w:hAnsi="Times New Roman" w:cs="Times New Roman"/>
          <w:i/>
          <w:lang w:val="sr-Latn-CS"/>
        </w:rPr>
        <w:t>-</w:t>
      </w:r>
      <w:r w:rsidRPr="008C5C91">
        <w:rPr>
          <w:rFonts w:ascii="Times New Roman" w:hAnsi="Times New Roman" w:cs="Times New Roman"/>
          <w:i/>
          <w:lang w:val="sr-Latn-RS"/>
        </w:rPr>
        <w:t>Johnsonov</w:t>
      </w:r>
      <w:r w:rsidRPr="008C5C91">
        <w:rPr>
          <w:rFonts w:ascii="Times New Roman" w:hAnsi="Times New Roman" w:cs="Times New Roman"/>
          <w:lang w:val="sr-Latn-RS"/>
        </w:rPr>
        <w:t>-og</w:t>
      </w:r>
      <w:r w:rsidRPr="008C5C91">
        <w:rPr>
          <w:rFonts w:ascii="Times New Roman" w:hAnsi="Times New Roman" w:cs="Times New Roman"/>
          <w:lang w:val="sr-Latn-CS"/>
        </w:rPr>
        <w:t xml:space="preserve"> </w:t>
      </w:r>
      <w:r w:rsidRPr="008C5C91">
        <w:rPr>
          <w:rFonts w:ascii="Times New Roman" w:hAnsi="Times New Roman" w:cs="Times New Roman"/>
          <w:lang w:val="sr-Latn-RS"/>
        </w:rPr>
        <w:t>sindorma</w:t>
      </w:r>
      <w:r w:rsidRPr="008C5C91">
        <w:rPr>
          <w:rFonts w:ascii="Times New Roman" w:hAnsi="Times New Roman" w:cs="Times New Roman"/>
          <w:lang w:val="sr-Latn-CS"/>
        </w:rPr>
        <w:t xml:space="preserve"> </w:t>
      </w:r>
      <w:r w:rsidRPr="008C5C91">
        <w:rPr>
          <w:rFonts w:ascii="Times New Roman" w:hAnsi="Times New Roman" w:cs="Times New Roman"/>
          <w:lang w:val="sr-Latn-RS"/>
        </w:rPr>
        <w:t>i</w:t>
      </w:r>
      <w:r w:rsidRPr="008C5C91">
        <w:rPr>
          <w:rFonts w:ascii="Times New Roman" w:hAnsi="Times New Roman" w:cs="Times New Roman"/>
          <w:lang w:val="sr-Latn-CS"/>
        </w:rPr>
        <w:t xml:space="preserve"> </w:t>
      </w:r>
      <w:r w:rsidRPr="008C5C91">
        <w:rPr>
          <w:rFonts w:ascii="Times New Roman" w:hAnsi="Times New Roman" w:cs="Times New Roman"/>
          <w:lang w:val="sr-Latn-RS"/>
        </w:rPr>
        <w:t>toksi</w:t>
      </w:r>
      <w:r w:rsidRPr="008C5C91">
        <w:rPr>
          <w:rFonts w:ascii="Times New Roman" w:hAnsi="Times New Roman" w:cs="Times New Roman"/>
          <w:lang w:val="sr-Latn-CS"/>
        </w:rPr>
        <w:t>č</w:t>
      </w:r>
      <w:r w:rsidRPr="008C5C91">
        <w:rPr>
          <w:rFonts w:ascii="Times New Roman" w:hAnsi="Times New Roman" w:cs="Times New Roman"/>
          <w:lang w:val="sr-Latn-RS"/>
        </w:rPr>
        <w:t>ne</w:t>
      </w:r>
      <w:r w:rsidRPr="008C5C91">
        <w:rPr>
          <w:rFonts w:ascii="Times New Roman" w:hAnsi="Times New Roman" w:cs="Times New Roman"/>
          <w:lang w:val="sr-Latn-CS"/>
        </w:rPr>
        <w:t xml:space="preserve"> </w:t>
      </w:r>
      <w:r w:rsidRPr="008C5C91">
        <w:rPr>
          <w:rFonts w:ascii="Times New Roman" w:hAnsi="Times New Roman" w:cs="Times New Roman"/>
          <w:lang w:val="sr-Latn-RS"/>
        </w:rPr>
        <w:t>epidermalne</w:t>
      </w:r>
      <w:r w:rsidRPr="008C5C91">
        <w:rPr>
          <w:rFonts w:ascii="Times New Roman" w:hAnsi="Times New Roman" w:cs="Times New Roman"/>
          <w:lang w:val="sr-Latn-CS"/>
        </w:rPr>
        <w:t xml:space="preserve"> </w:t>
      </w:r>
      <w:r w:rsidRPr="008C5C91">
        <w:rPr>
          <w:rFonts w:ascii="Times New Roman" w:hAnsi="Times New Roman" w:cs="Times New Roman"/>
          <w:lang w:val="sr-Latn-RS"/>
        </w:rPr>
        <w:t>nekrolize</w:t>
      </w:r>
      <w:r w:rsidRPr="008C5C91">
        <w:rPr>
          <w:rFonts w:ascii="Times New Roman" w:hAnsi="Times New Roman" w:cs="Times New Roman"/>
          <w:lang w:val="sr-Latn-CS"/>
        </w:rPr>
        <w:t xml:space="preserve"> (</w:t>
      </w:r>
      <w:r w:rsidRPr="008C5C91">
        <w:rPr>
          <w:rFonts w:ascii="Times New Roman" w:hAnsi="Times New Roman" w:cs="Times New Roman"/>
          <w:lang w:val="sr-Latn-RS"/>
        </w:rPr>
        <w:t>vidjeti</w:t>
      </w:r>
      <w:r w:rsidRPr="008C5C91">
        <w:rPr>
          <w:rFonts w:ascii="Times New Roman" w:hAnsi="Times New Roman" w:cs="Times New Roman"/>
          <w:lang w:val="sr-Latn-CS"/>
        </w:rPr>
        <w:t xml:space="preserve"> </w:t>
      </w:r>
      <w:r w:rsidRPr="008C5C91">
        <w:rPr>
          <w:rFonts w:ascii="Times New Roman" w:hAnsi="Times New Roman" w:cs="Times New Roman"/>
          <w:lang w:val="sr-Latn-RS"/>
        </w:rPr>
        <w:t>poglavlje</w:t>
      </w:r>
      <w:r w:rsidRPr="008C5C91">
        <w:rPr>
          <w:rFonts w:ascii="Times New Roman" w:hAnsi="Times New Roman" w:cs="Times New Roman"/>
          <w:lang w:val="sr-Latn-CS"/>
        </w:rPr>
        <w:t xml:space="preserve"> 4.4).</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i/>
          <w:lang w:val="sr-Latn-CS"/>
        </w:rPr>
      </w:pPr>
      <w:r w:rsidRPr="008C5C91">
        <w:rPr>
          <w:rFonts w:ascii="Times New Roman" w:hAnsi="Times New Roman" w:cs="Times New Roman"/>
          <w:i/>
          <w:lang w:val="sr-Latn-CS"/>
        </w:rPr>
        <w:t>Okularna toksičnost</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Primijećeni su slučajevi keratitisa koji nisu teški kod 0,2 do 0,7% pacijenata u kliničkim ispitivanjima. U post-marketinškom periodu su rijetko prijavljeni slučajevi teškog keratitisa i ulcerativnog keratitisa (vidjeti poglavlje 4.4).</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Druge posebne populacije</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Nije primijećena ukupna razlika u bezbjednosti i efikasnosti kod starijih pacijenata (≥ 65 godina) liječenih lijekom Vectibix u obliku monoterapije. Međutim, prijavljen je veći broj teških neželjenih reakcija kod starijih pacijenata liječenih lijekom Vectibix u kombinaciji sa FOLFIRI (45% u odnosu na 37%) ili FOLFOX (52% u odnosu na 37%) hemioterapijom u poređenju sa primjenom same hemioterapije (vidjeti poglavlje 4.4). Najveće povećanje zabilježeno je kod pojave dijareje kod pacijenata liječenih lijekom Vectibix u kombinaciji sa FOLFOX ili FOLFIRI, i dehidratacija i plućna embolija kod pacijenata liječenih kombinacijom Vectibix i FOLFIRI.</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Bezbjednost lijeka Vectibix nije proučavana kod pacijenata sa oslabljenom funkcijom bubrega ili jetre.</w:t>
      </w: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p>
    <w:p w:rsidR="008C5C91" w:rsidRPr="008C5C91" w:rsidRDefault="008C5C91" w:rsidP="008C5C91">
      <w:pPr>
        <w:spacing w:after="0"/>
        <w:jc w:val="both"/>
        <w:rPr>
          <w:rFonts w:ascii="Times New Roman" w:eastAsia="Calibri" w:hAnsi="Times New Roman" w:cs="Times New Roman"/>
          <w:u w:val="single"/>
          <w:lang w:val="sr-Latn-RS"/>
        </w:rPr>
      </w:pPr>
      <w:r w:rsidRPr="008C5C91">
        <w:rPr>
          <w:rFonts w:ascii="Times New Roman" w:eastAsia="Calibri" w:hAnsi="Times New Roman" w:cs="Times New Roman"/>
          <w:u w:val="single"/>
          <w:lang w:val="sr-Latn-RS"/>
        </w:rPr>
        <w:t>Prijavljivanje sumnji na neželjena dejstva</w:t>
      </w:r>
    </w:p>
    <w:p w:rsidR="008C5C91" w:rsidRPr="008C5C91" w:rsidRDefault="008C5C91" w:rsidP="008C5C91">
      <w:pPr>
        <w:spacing w:after="0"/>
        <w:jc w:val="both"/>
        <w:rPr>
          <w:rFonts w:ascii="Times New Roman" w:eastAsia="Calibri" w:hAnsi="Times New Roman" w:cs="Times New Roman"/>
          <w:lang w:val="sr-Latn-RS"/>
        </w:rPr>
      </w:pPr>
    </w:p>
    <w:p w:rsidR="008C5C91" w:rsidRPr="008C5C91" w:rsidRDefault="008C5C91" w:rsidP="008C5C91">
      <w:pPr>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8C5C91" w:rsidRPr="008C5C91" w:rsidRDefault="008C5C91" w:rsidP="008C5C91">
      <w:pPr>
        <w:pStyle w:val="NoSpacing"/>
        <w:jc w:val="both"/>
        <w:rPr>
          <w:rFonts w:eastAsia="Calibri"/>
          <w:sz w:val="22"/>
          <w:szCs w:val="22"/>
          <w:lang w:val="sr-Latn-RS"/>
        </w:rPr>
      </w:pPr>
    </w:p>
    <w:p w:rsidR="008C5C91" w:rsidRPr="008C5C91" w:rsidRDefault="008C5C91" w:rsidP="008C5C91">
      <w:pPr>
        <w:pStyle w:val="NoSpacing"/>
        <w:jc w:val="both"/>
        <w:rPr>
          <w:rFonts w:eastAsia="Calibri"/>
          <w:sz w:val="22"/>
          <w:szCs w:val="22"/>
          <w:lang w:val="sr-Latn-RS"/>
        </w:rPr>
      </w:pPr>
      <w:r w:rsidRPr="008C5C91">
        <w:rPr>
          <w:rFonts w:eastAsia="Calibri"/>
          <w:sz w:val="22"/>
          <w:szCs w:val="22"/>
          <w:lang w:val="sr-Latn-RS"/>
        </w:rPr>
        <w:t>Agencija za ljekove i medicinska sredstva Crne Gore</w:t>
      </w:r>
    </w:p>
    <w:p w:rsidR="008C5C91" w:rsidRPr="008C5C91" w:rsidRDefault="008C5C91" w:rsidP="008C5C91">
      <w:pPr>
        <w:pStyle w:val="NoSpacing"/>
        <w:jc w:val="both"/>
        <w:rPr>
          <w:rFonts w:eastAsia="Calibri"/>
          <w:sz w:val="22"/>
          <w:szCs w:val="22"/>
          <w:lang w:val="sr-Latn-RS"/>
        </w:rPr>
      </w:pPr>
      <w:r w:rsidRPr="008C5C91">
        <w:rPr>
          <w:rFonts w:eastAsia="Calibri"/>
          <w:sz w:val="22"/>
          <w:szCs w:val="22"/>
          <w:lang w:val="sr-Latn-RS"/>
        </w:rPr>
        <w:t>Odjeljenje za farmakovigilancu</w:t>
      </w:r>
    </w:p>
    <w:p w:rsidR="008C5C91" w:rsidRPr="008C5C91" w:rsidRDefault="008C5C91" w:rsidP="008C5C91">
      <w:pPr>
        <w:pStyle w:val="NoSpacing"/>
        <w:jc w:val="both"/>
        <w:rPr>
          <w:rFonts w:eastAsia="Calibri"/>
          <w:sz w:val="22"/>
          <w:szCs w:val="22"/>
          <w:lang w:val="sr-Latn-RS"/>
        </w:rPr>
      </w:pPr>
      <w:r w:rsidRPr="008C5C91">
        <w:rPr>
          <w:rFonts w:eastAsia="Calibri"/>
          <w:sz w:val="22"/>
          <w:szCs w:val="22"/>
          <w:lang w:val="sr-Latn-RS"/>
        </w:rPr>
        <w:t>Bulevar Ivana Crnojevića 64a, 81000 Podgorica</w:t>
      </w:r>
    </w:p>
    <w:p w:rsidR="008C5C91" w:rsidRPr="008C5C91" w:rsidRDefault="008C5C91" w:rsidP="008C5C91">
      <w:pPr>
        <w:pStyle w:val="NoSpacing"/>
        <w:jc w:val="both"/>
        <w:rPr>
          <w:rFonts w:eastAsia="Calibri"/>
          <w:sz w:val="22"/>
          <w:szCs w:val="22"/>
          <w:lang w:val="sr-Latn-RS"/>
        </w:rPr>
      </w:pPr>
    </w:p>
    <w:p w:rsidR="008C5C91" w:rsidRPr="008C5C91" w:rsidRDefault="008C5C91" w:rsidP="008C5C91">
      <w:pPr>
        <w:pStyle w:val="NoSpacing"/>
        <w:jc w:val="both"/>
        <w:rPr>
          <w:rFonts w:eastAsia="Calibri"/>
          <w:sz w:val="22"/>
          <w:szCs w:val="22"/>
          <w:lang w:val="sr-Latn-RS"/>
        </w:rPr>
      </w:pPr>
      <w:r w:rsidRPr="008C5C91">
        <w:rPr>
          <w:rFonts w:eastAsia="Calibri"/>
          <w:sz w:val="22"/>
          <w:szCs w:val="22"/>
          <w:lang w:val="sr-Latn-RS"/>
        </w:rPr>
        <w:t>tel: +382 (0) 20 310 280</w:t>
      </w:r>
    </w:p>
    <w:p w:rsidR="008C5C91" w:rsidRPr="008C5C91" w:rsidRDefault="008C5C91" w:rsidP="008C5C91">
      <w:pPr>
        <w:pStyle w:val="NoSpacing"/>
        <w:jc w:val="both"/>
        <w:rPr>
          <w:rFonts w:eastAsia="Calibri"/>
          <w:sz w:val="22"/>
          <w:szCs w:val="22"/>
          <w:lang w:val="sr-Latn-RS"/>
        </w:rPr>
      </w:pPr>
      <w:r w:rsidRPr="008C5C91">
        <w:rPr>
          <w:rFonts w:eastAsia="Calibri"/>
          <w:sz w:val="22"/>
          <w:szCs w:val="22"/>
          <w:lang w:val="sr-Latn-RS"/>
        </w:rPr>
        <w:t>fax: +382 (0) 20 310 581</w:t>
      </w:r>
    </w:p>
    <w:p w:rsidR="008C5C91" w:rsidRPr="008C5C91" w:rsidRDefault="00BE0997" w:rsidP="008C5C91">
      <w:pPr>
        <w:pStyle w:val="NoSpacing"/>
        <w:jc w:val="both"/>
        <w:rPr>
          <w:rFonts w:eastAsia="Calibri"/>
          <w:sz w:val="22"/>
          <w:szCs w:val="22"/>
          <w:lang w:val="sr-Latn-RS"/>
        </w:rPr>
      </w:pPr>
      <w:hyperlink r:id="rId8" w:history="1">
        <w:r w:rsidR="008C5C91" w:rsidRPr="008C5C91">
          <w:rPr>
            <w:rFonts w:eastAsia="Calibri"/>
            <w:color w:val="0000FF"/>
            <w:sz w:val="22"/>
            <w:szCs w:val="22"/>
            <w:u w:val="single"/>
            <w:lang w:val="sr-Latn-RS"/>
          </w:rPr>
          <w:t>www.calims.me</w:t>
        </w:r>
      </w:hyperlink>
    </w:p>
    <w:p w:rsidR="008C5C91" w:rsidRPr="008C5C91" w:rsidRDefault="00BE0997" w:rsidP="008C5C91">
      <w:pPr>
        <w:pStyle w:val="NoSpacing"/>
        <w:jc w:val="both"/>
        <w:rPr>
          <w:rFonts w:eastAsia="Calibri"/>
          <w:color w:val="0000FF"/>
          <w:sz w:val="22"/>
          <w:szCs w:val="22"/>
          <w:u w:val="single"/>
          <w:lang w:val="sr-Latn-RS"/>
        </w:rPr>
      </w:pPr>
      <w:hyperlink r:id="rId9" w:history="1">
        <w:r w:rsidR="008C5C91" w:rsidRPr="008C5C91">
          <w:rPr>
            <w:rFonts w:eastAsia="Calibri"/>
            <w:color w:val="0000FF"/>
            <w:sz w:val="22"/>
            <w:szCs w:val="22"/>
            <w:u w:val="single"/>
            <w:lang w:val="sr-Latn-RS"/>
          </w:rPr>
          <w:t>nezeljenadejstva@calims.me</w:t>
        </w:r>
      </w:hyperlink>
    </w:p>
    <w:p w:rsidR="008C5C91" w:rsidRPr="008C5C91" w:rsidRDefault="008C5C91" w:rsidP="008C5C91">
      <w:pPr>
        <w:pStyle w:val="NoSpacing"/>
        <w:jc w:val="both"/>
        <w:rPr>
          <w:rFonts w:eastAsia="Calibri"/>
          <w:sz w:val="22"/>
          <w:szCs w:val="22"/>
          <w:lang w:val="sr-Latn-RS"/>
        </w:rPr>
      </w:pPr>
      <w:r w:rsidRPr="008C5C91">
        <w:rPr>
          <w:rFonts w:eastAsia="Calibri"/>
          <w:sz w:val="22"/>
          <w:szCs w:val="22"/>
          <w:lang w:val="sr-Latn-RS"/>
        </w:rPr>
        <w:t>putem IS zdravstvene zaštite</w:t>
      </w:r>
    </w:p>
    <w:p w:rsidR="008C5C91" w:rsidRDefault="008C5C91" w:rsidP="008C5C91">
      <w:pPr>
        <w:tabs>
          <w:tab w:val="left" w:pos="540"/>
          <w:tab w:val="left" w:pos="569"/>
        </w:tabs>
        <w:spacing w:after="0"/>
        <w:jc w:val="both"/>
        <w:rPr>
          <w:rFonts w:ascii="Times New Roman" w:hAnsi="Times New Roman" w:cs="Times New Roman"/>
          <w:b/>
          <w:bCs/>
        </w:rPr>
      </w:pPr>
    </w:p>
    <w:p w:rsidR="00A322D8" w:rsidRPr="008C5C91" w:rsidRDefault="00A322D8" w:rsidP="008C5C91">
      <w:pPr>
        <w:tabs>
          <w:tab w:val="left" w:pos="540"/>
          <w:tab w:val="left" w:pos="569"/>
        </w:tabs>
        <w:spacing w:after="0"/>
        <w:jc w:val="both"/>
        <w:rPr>
          <w:rFonts w:ascii="Times New Roman" w:hAnsi="Times New Roman" w:cs="Times New Roman"/>
          <w:b/>
          <w:bCs/>
        </w:rPr>
      </w:pPr>
    </w:p>
    <w:p w:rsidR="008C5C91" w:rsidRPr="008C5C91" w:rsidRDefault="008C5C91" w:rsidP="008C5C91">
      <w:pPr>
        <w:tabs>
          <w:tab w:val="left" w:pos="540"/>
          <w:tab w:val="left" w:pos="569"/>
        </w:tabs>
        <w:spacing w:after="0"/>
        <w:jc w:val="both"/>
        <w:rPr>
          <w:rFonts w:ascii="Times New Roman" w:hAnsi="Times New Roman" w:cs="Times New Roman"/>
          <w:b/>
          <w:bCs/>
          <w:lang w:val="nb-NO"/>
        </w:rPr>
      </w:pPr>
      <w:r w:rsidRPr="008C5C91">
        <w:rPr>
          <w:rFonts w:ascii="Times New Roman" w:hAnsi="Times New Roman" w:cs="Times New Roman"/>
          <w:b/>
          <w:bCs/>
          <w:lang w:val="nb-NO"/>
        </w:rPr>
        <w:lastRenderedPageBreak/>
        <w:t xml:space="preserve">4.9. </w:t>
      </w:r>
      <w:r w:rsidRPr="008C5C91">
        <w:rPr>
          <w:rFonts w:ascii="Times New Roman" w:hAnsi="Times New Roman" w:cs="Times New Roman"/>
          <w:b/>
          <w:bCs/>
          <w:lang w:val="nb-NO"/>
        </w:rPr>
        <w:tab/>
        <w:t>Predoziranje i mjere koje je potrebno preduzeti</w:t>
      </w:r>
    </w:p>
    <w:p w:rsidR="008C5C91" w:rsidRPr="008C5C91" w:rsidRDefault="008C5C91" w:rsidP="008C5C91">
      <w:pPr>
        <w:tabs>
          <w:tab w:val="left" w:pos="540"/>
          <w:tab w:val="left" w:pos="569"/>
        </w:tabs>
        <w:spacing w:after="0"/>
        <w:jc w:val="both"/>
        <w:rPr>
          <w:rFonts w:ascii="Times New Roman" w:hAnsi="Times New Roman" w:cs="Times New Roman"/>
          <w:b/>
          <w:bCs/>
          <w:lang w:val="nb-NO"/>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U kliničkim studijama su testirane doze do 9 mg/kg. Postoje izvještaji o predoziranju dozama oko 2 puta većim od preporučenih terapijskih doza (12 mg/kg). Neželjene reakcije koje su primijećene obuhvataju toksičnost kože, dijareju, dehidrataciju i umor i u skladu su sa bezbjednosnim profilom pri primjeni preporučene doze.</w:t>
      </w: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 xml:space="preserve">5. </w:t>
      </w:r>
      <w:r w:rsidRPr="008C5C91">
        <w:rPr>
          <w:rFonts w:ascii="Times New Roman" w:hAnsi="Times New Roman" w:cs="Times New Roman"/>
          <w:b/>
          <w:bCs/>
          <w:lang w:val="sr-Latn-CS"/>
        </w:rPr>
        <w:tab/>
      </w:r>
      <w:r w:rsidRPr="008C5C91">
        <w:rPr>
          <w:rFonts w:ascii="Times New Roman" w:hAnsi="Times New Roman" w:cs="Times New Roman"/>
          <w:b/>
          <w:bCs/>
        </w:rPr>
        <w:t>FARMAKOLO</w:t>
      </w:r>
      <w:r w:rsidRPr="008C5C91">
        <w:rPr>
          <w:rFonts w:ascii="Times New Roman" w:hAnsi="Times New Roman" w:cs="Times New Roman"/>
          <w:b/>
          <w:bCs/>
          <w:lang w:val="sr-Latn-CS"/>
        </w:rPr>
        <w:t>Š</w:t>
      </w:r>
      <w:r w:rsidRPr="008C5C91">
        <w:rPr>
          <w:rFonts w:ascii="Times New Roman" w:hAnsi="Times New Roman" w:cs="Times New Roman"/>
          <w:b/>
          <w:bCs/>
        </w:rPr>
        <w:t>KI</w:t>
      </w:r>
      <w:r w:rsidRPr="008C5C91">
        <w:rPr>
          <w:rFonts w:ascii="Times New Roman" w:hAnsi="Times New Roman" w:cs="Times New Roman"/>
          <w:b/>
          <w:bCs/>
          <w:lang w:val="sr-Latn-CS"/>
        </w:rPr>
        <w:t xml:space="preserve"> </w:t>
      </w:r>
      <w:r w:rsidRPr="008C5C91">
        <w:rPr>
          <w:rFonts w:ascii="Times New Roman" w:hAnsi="Times New Roman" w:cs="Times New Roman"/>
          <w:b/>
          <w:bCs/>
        </w:rPr>
        <w:t>PODACI</w:t>
      </w: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 xml:space="preserve">5.1. </w:t>
      </w:r>
      <w:r w:rsidRPr="008C5C91">
        <w:rPr>
          <w:rFonts w:ascii="Times New Roman" w:hAnsi="Times New Roman" w:cs="Times New Roman"/>
          <w:b/>
          <w:bCs/>
          <w:lang w:val="sr-Latn-CS"/>
        </w:rPr>
        <w:tab/>
      </w:r>
      <w:r w:rsidRPr="008C5C91">
        <w:rPr>
          <w:rFonts w:ascii="Times New Roman" w:hAnsi="Times New Roman" w:cs="Times New Roman"/>
          <w:b/>
          <w:bCs/>
        </w:rPr>
        <w:t>Farmakodinamski</w:t>
      </w:r>
      <w:r w:rsidRPr="008C5C91">
        <w:rPr>
          <w:rFonts w:ascii="Times New Roman" w:hAnsi="Times New Roman" w:cs="Times New Roman"/>
          <w:b/>
          <w:bCs/>
          <w:lang w:val="sr-Latn-CS"/>
        </w:rPr>
        <w:t xml:space="preserve"> </w:t>
      </w:r>
      <w:r w:rsidRPr="008C5C91">
        <w:rPr>
          <w:rFonts w:ascii="Times New Roman" w:hAnsi="Times New Roman" w:cs="Times New Roman"/>
          <w:b/>
          <w:bCs/>
        </w:rPr>
        <w:t>podaci</w:t>
      </w: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p>
    <w:p w:rsidR="008C5C91" w:rsidRPr="008C5C91" w:rsidRDefault="008C5C91" w:rsidP="008C5C91">
      <w:pPr>
        <w:tabs>
          <w:tab w:val="left" w:pos="540"/>
          <w:tab w:val="left" w:pos="569"/>
        </w:tabs>
        <w:spacing w:after="0"/>
        <w:jc w:val="both"/>
        <w:rPr>
          <w:rFonts w:ascii="Times New Roman" w:hAnsi="Times New Roman" w:cs="Times New Roman"/>
          <w:bCs/>
          <w:lang w:val="sr-Latn-CS"/>
        </w:rPr>
      </w:pPr>
      <w:r w:rsidRPr="008C5C91">
        <w:rPr>
          <w:rFonts w:ascii="Times New Roman" w:hAnsi="Times New Roman" w:cs="Times New Roman"/>
          <w:bCs/>
        </w:rPr>
        <w:t>Farmakoterapijska</w:t>
      </w:r>
      <w:r w:rsidRPr="008C5C91">
        <w:rPr>
          <w:rFonts w:ascii="Times New Roman" w:hAnsi="Times New Roman" w:cs="Times New Roman"/>
          <w:bCs/>
          <w:lang w:val="sr-Latn-CS"/>
        </w:rPr>
        <w:t xml:space="preserve"> </w:t>
      </w:r>
      <w:r w:rsidRPr="008C5C91">
        <w:rPr>
          <w:rFonts w:ascii="Times New Roman" w:hAnsi="Times New Roman" w:cs="Times New Roman"/>
          <w:bCs/>
        </w:rPr>
        <w:t>grupa</w:t>
      </w:r>
      <w:r w:rsidRPr="008C5C91">
        <w:rPr>
          <w:rFonts w:ascii="Times New Roman" w:hAnsi="Times New Roman" w:cs="Times New Roman"/>
          <w:bCs/>
          <w:lang w:val="sr-Latn-CS"/>
        </w:rPr>
        <w:t>:</w:t>
      </w:r>
      <w:r w:rsidRPr="008C5C91">
        <w:rPr>
          <w:rFonts w:ascii="Times New Roman" w:hAnsi="Times New Roman" w:cs="Times New Roman"/>
          <w:lang w:val="sr-Latn-CS"/>
        </w:rPr>
        <w:t xml:space="preserve"> </w:t>
      </w:r>
      <w:r w:rsidRPr="008C5C91">
        <w:rPr>
          <w:rFonts w:ascii="Times New Roman" w:hAnsi="Times New Roman" w:cs="Times New Roman"/>
          <w:bCs/>
          <w:lang w:val="sr-Latn-CS"/>
        </w:rPr>
        <w:t>Antineoplastici, monoklonska antitela.</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Cs/>
          <w:lang w:val="sr-Latn-CS"/>
        </w:rPr>
      </w:pPr>
      <w:r w:rsidRPr="008C5C91">
        <w:rPr>
          <w:rFonts w:ascii="Times New Roman" w:hAnsi="Times New Roman" w:cs="Times New Roman"/>
          <w:bCs/>
        </w:rPr>
        <w:t>ATC</w:t>
      </w:r>
      <w:r w:rsidRPr="008C5C91">
        <w:rPr>
          <w:rFonts w:ascii="Times New Roman" w:hAnsi="Times New Roman" w:cs="Times New Roman"/>
          <w:bCs/>
          <w:lang w:val="sr-Latn-CS"/>
        </w:rPr>
        <w:t xml:space="preserve"> </w:t>
      </w:r>
      <w:r w:rsidRPr="008C5C91">
        <w:rPr>
          <w:rFonts w:ascii="Times New Roman" w:hAnsi="Times New Roman" w:cs="Times New Roman"/>
          <w:bCs/>
        </w:rPr>
        <w:t>kod</w:t>
      </w:r>
      <w:r w:rsidRPr="008C5C91">
        <w:rPr>
          <w:rFonts w:ascii="Times New Roman" w:hAnsi="Times New Roman" w:cs="Times New Roman"/>
          <w:bCs/>
          <w:lang w:val="sr-Latn-CS"/>
        </w:rPr>
        <w:t>:</w:t>
      </w:r>
      <w:r w:rsidRPr="008C5C91">
        <w:rPr>
          <w:rFonts w:ascii="Times New Roman" w:hAnsi="Times New Roman" w:cs="Times New Roman"/>
          <w:lang w:val="sr-Latn-CS"/>
        </w:rPr>
        <w:t xml:space="preserve"> L01XC08.</w:t>
      </w: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Mehanizam dejstva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Panitumumab je rekombinantno, humano IgG2 monoklonsko antitijelo koje se sa velikim afinitetom specifično vezuje za EGFR. EGFR je transmembranski glikoprotein koji pripada podvrsti receptora tipa I tirozin kinaze u koju spadaju EGFR (HER1/c-ErbB-1), HER2, HER3 i HER4. EGFR podstiče rast ćelija u normalnim epitelijalnim tkivima, uključujući kožu i folikul dlake, a može se ispoljiti-eksprimirati i na mnogim ćelijama tumora.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Panitumumab se vezuje za mjesto na EGFR receptoru za koji se vezuje normalan ligand i inhibiše autofosforilaciju receptora indukovanu svim poznatim EGFR ligandima. Vezivanje panitumumaba za EGFR dovodi do internalizacije receptora, inhibicije rasta ćelija, indukovanja apoptoze i smanjenog stvaranja interleukin 8 i vaskularnog endotelijalnog faktora rasta.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bCs/>
          <w:lang w:val="sr-Latn-CS"/>
        </w:rPr>
      </w:pPr>
      <w:r w:rsidRPr="008C5C91">
        <w:rPr>
          <w:rFonts w:ascii="Times New Roman" w:hAnsi="Times New Roman" w:cs="Times New Roman"/>
          <w:i/>
          <w:lang w:val="sr-Latn-CS"/>
        </w:rPr>
        <w:t>KRAS</w:t>
      </w:r>
      <w:r w:rsidRPr="008C5C91">
        <w:rPr>
          <w:rFonts w:ascii="Times New Roman" w:hAnsi="Times New Roman" w:cs="Times New Roman"/>
          <w:lang w:val="sr-Latn-CS"/>
        </w:rPr>
        <w:t xml:space="preserve"> (</w:t>
      </w:r>
      <w:r w:rsidRPr="008C5C91">
        <w:rPr>
          <w:rFonts w:ascii="Times New Roman" w:hAnsi="Times New Roman" w:cs="Times New Roman"/>
          <w:bCs/>
          <w:lang w:val="sr-Latn-CS"/>
        </w:rPr>
        <w:t xml:space="preserve">Kirsten rat sarcoma 2 viral oncogene homologue) i </w:t>
      </w:r>
      <w:r w:rsidRPr="008C5C91">
        <w:rPr>
          <w:rFonts w:ascii="Times New Roman" w:hAnsi="Times New Roman" w:cs="Times New Roman"/>
          <w:bCs/>
          <w:i/>
          <w:lang w:val="sr-Latn-CS"/>
        </w:rPr>
        <w:t xml:space="preserve">NRAS </w:t>
      </w:r>
      <w:r w:rsidRPr="008C5C91">
        <w:rPr>
          <w:rFonts w:ascii="Times New Roman" w:hAnsi="Times New Roman" w:cs="Times New Roman"/>
          <w:bCs/>
          <w:lang w:val="sr-Latn-CS"/>
        </w:rPr>
        <w:t xml:space="preserve">(Neuroblastoma </w:t>
      </w:r>
      <w:r w:rsidRPr="008C5C91">
        <w:rPr>
          <w:rFonts w:ascii="Times New Roman" w:hAnsi="Times New Roman" w:cs="Times New Roman"/>
          <w:bCs/>
          <w:i/>
          <w:lang w:val="sr-Latn-CS"/>
        </w:rPr>
        <w:t>RAS</w:t>
      </w:r>
      <w:r w:rsidRPr="008C5C91">
        <w:rPr>
          <w:rFonts w:ascii="Times New Roman" w:hAnsi="Times New Roman" w:cs="Times New Roman"/>
          <w:bCs/>
          <w:lang w:val="sr-Latn-CS"/>
        </w:rPr>
        <w:t xml:space="preserve"> viral oncogene homologue) su visoko povezani članovi familije </w:t>
      </w:r>
      <w:r w:rsidRPr="008C5C91">
        <w:rPr>
          <w:rFonts w:ascii="Times New Roman" w:hAnsi="Times New Roman" w:cs="Times New Roman"/>
          <w:bCs/>
          <w:i/>
          <w:lang w:val="sr-Latn-CS"/>
        </w:rPr>
        <w:t>RAS</w:t>
      </w:r>
      <w:r w:rsidRPr="008C5C91">
        <w:rPr>
          <w:rFonts w:ascii="Times New Roman" w:hAnsi="Times New Roman" w:cs="Times New Roman"/>
          <w:bCs/>
          <w:lang w:val="sr-Latn-CS"/>
        </w:rPr>
        <w:t xml:space="preserve"> onkogena. </w:t>
      </w:r>
      <w:r w:rsidRPr="008C5C91">
        <w:rPr>
          <w:rFonts w:ascii="Times New Roman" w:hAnsi="Times New Roman" w:cs="Times New Roman"/>
          <w:bCs/>
          <w:i/>
          <w:lang w:val="sr-Latn-CS"/>
        </w:rPr>
        <w:t>KRAS</w:t>
      </w:r>
      <w:r w:rsidRPr="008C5C91">
        <w:rPr>
          <w:rFonts w:ascii="Times New Roman" w:hAnsi="Times New Roman" w:cs="Times New Roman"/>
          <w:bCs/>
          <w:lang w:val="sr-Latn-CS"/>
        </w:rPr>
        <w:t xml:space="preserve"> i </w:t>
      </w:r>
      <w:r w:rsidRPr="008C5C91">
        <w:rPr>
          <w:rFonts w:ascii="Times New Roman" w:hAnsi="Times New Roman" w:cs="Times New Roman"/>
          <w:bCs/>
          <w:i/>
          <w:lang w:val="sr-Latn-CS"/>
        </w:rPr>
        <w:t>NRAS</w:t>
      </w:r>
      <w:r w:rsidRPr="008C5C91">
        <w:rPr>
          <w:rFonts w:ascii="Times New Roman" w:hAnsi="Times New Roman" w:cs="Times New Roman"/>
          <w:bCs/>
          <w:lang w:val="sr-Latn-CS"/>
        </w:rPr>
        <w:t xml:space="preserve"> geni kodiraju male GTP-vezujuće proteine koji su uključeni u transdukciju signala. Brojni stimulusi, uključujući i one nastale uslijed EGFR aktiviraju </w:t>
      </w:r>
      <w:r w:rsidRPr="008C5C91">
        <w:rPr>
          <w:rFonts w:ascii="Times New Roman" w:hAnsi="Times New Roman" w:cs="Times New Roman"/>
          <w:bCs/>
          <w:i/>
          <w:lang w:val="sr-Latn-CS"/>
        </w:rPr>
        <w:t>KRAS</w:t>
      </w:r>
      <w:r w:rsidRPr="008C5C91">
        <w:rPr>
          <w:rFonts w:ascii="Times New Roman" w:hAnsi="Times New Roman" w:cs="Times New Roman"/>
          <w:bCs/>
          <w:lang w:val="sr-Latn-CS"/>
        </w:rPr>
        <w:t xml:space="preserve"> i </w:t>
      </w:r>
      <w:r w:rsidRPr="008C5C91">
        <w:rPr>
          <w:rFonts w:ascii="Times New Roman" w:hAnsi="Times New Roman" w:cs="Times New Roman"/>
          <w:bCs/>
          <w:i/>
          <w:lang w:val="sr-Latn-CS"/>
        </w:rPr>
        <w:t>NRAS</w:t>
      </w:r>
      <w:r w:rsidRPr="008C5C91">
        <w:rPr>
          <w:rFonts w:ascii="Times New Roman" w:hAnsi="Times New Roman" w:cs="Times New Roman"/>
          <w:bCs/>
          <w:lang w:val="sr-Latn-CS"/>
        </w:rPr>
        <w:t xml:space="preserve"> što zatim stimuliše druge intracelularne proteine koji dalje dovode do proliferacije ćelija, preživljavanja ćelija i angiogeneze.</w:t>
      </w:r>
    </w:p>
    <w:p w:rsidR="008C5C91" w:rsidRPr="008C5C91" w:rsidRDefault="008C5C91" w:rsidP="008C5C91">
      <w:pPr>
        <w:tabs>
          <w:tab w:val="left" w:pos="284"/>
        </w:tabs>
        <w:spacing w:after="0"/>
        <w:jc w:val="both"/>
        <w:rPr>
          <w:rFonts w:ascii="Times New Roman" w:hAnsi="Times New Roman" w:cs="Times New Roman"/>
          <w:bCs/>
          <w:lang w:val="sr-Latn-CS"/>
        </w:rPr>
      </w:pPr>
    </w:p>
    <w:p w:rsidR="008C5C91" w:rsidRPr="008C5C91" w:rsidRDefault="008C5C91" w:rsidP="008C5C91">
      <w:pPr>
        <w:tabs>
          <w:tab w:val="left" w:pos="284"/>
        </w:tabs>
        <w:spacing w:after="0"/>
        <w:jc w:val="both"/>
        <w:rPr>
          <w:rFonts w:ascii="Times New Roman" w:hAnsi="Times New Roman" w:cs="Times New Roman"/>
          <w:bCs/>
          <w:lang w:val="sr-Latn-CS"/>
        </w:rPr>
      </w:pPr>
      <w:r w:rsidRPr="008C5C91">
        <w:rPr>
          <w:rFonts w:ascii="Times New Roman" w:hAnsi="Times New Roman" w:cs="Times New Roman"/>
          <w:bCs/>
          <w:lang w:val="sr-Latn-CS"/>
        </w:rPr>
        <w:t xml:space="preserve">Aktivirajuće mutacije u </w:t>
      </w:r>
      <w:r w:rsidRPr="008C5C91">
        <w:rPr>
          <w:rFonts w:ascii="Times New Roman" w:hAnsi="Times New Roman" w:cs="Times New Roman"/>
          <w:bCs/>
          <w:i/>
          <w:lang w:val="sr-Latn-CS"/>
        </w:rPr>
        <w:t>RAS</w:t>
      </w:r>
      <w:r w:rsidRPr="008C5C91">
        <w:rPr>
          <w:rFonts w:ascii="Times New Roman" w:hAnsi="Times New Roman" w:cs="Times New Roman"/>
          <w:bCs/>
          <w:lang w:val="sr-Latn-CS"/>
        </w:rPr>
        <w:t xml:space="preserve"> genima se često javljaju u mnogim tumorima kod ljudi i uključene su u onkogenezu i progresiju tumora.</w:t>
      </w:r>
    </w:p>
    <w:p w:rsidR="008C5C91" w:rsidRPr="008C5C91" w:rsidRDefault="008C5C91" w:rsidP="008C5C91">
      <w:pPr>
        <w:tabs>
          <w:tab w:val="left" w:pos="284"/>
        </w:tabs>
        <w:spacing w:after="0"/>
        <w:jc w:val="both"/>
        <w:rPr>
          <w:rFonts w:ascii="Times New Roman" w:hAnsi="Times New Roman" w:cs="Times New Roman"/>
          <w:bCs/>
          <w:u w:val="single"/>
          <w:lang w:val="sr-Latn-CS"/>
        </w:rPr>
      </w:pPr>
    </w:p>
    <w:p w:rsidR="008C5C91" w:rsidRPr="008C5C91" w:rsidRDefault="008C5C91" w:rsidP="008C5C91">
      <w:pPr>
        <w:tabs>
          <w:tab w:val="left" w:pos="284"/>
        </w:tabs>
        <w:spacing w:after="0"/>
        <w:jc w:val="both"/>
        <w:rPr>
          <w:rFonts w:ascii="Times New Roman" w:hAnsi="Times New Roman" w:cs="Times New Roman"/>
          <w:bCs/>
          <w:u w:val="single"/>
          <w:lang w:val="sr-Latn-CS"/>
        </w:rPr>
      </w:pPr>
      <w:r w:rsidRPr="008C5C91">
        <w:rPr>
          <w:rFonts w:ascii="Times New Roman" w:hAnsi="Times New Roman" w:cs="Times New Roman"/>
          <w:bCs/>
          <w:u w:val="single"/>
          <w:lang w:val="sr-Latn-CS"/>
        </w:rPr>
        <w:t>Farmakodinamski efekti</w:t>
      </w:r>
    </w:p>
    <w:p w:rsidR="008C5C91" w:rsidRPr="008C5C91" w:rsidRDefault="008C5C91" w:rsidP="008C5C91">
      <w:pPr>
        <w:tabs>
          <w:tab w:val="left" w:pos="284"/>
        </w:tabs>
        <w:spacing w:after="0"/>
        <w:jc w:val="both"/>
        <w:rPr>
          <w:rFonts w:ascii="Times New Roman" w:hAnsi="Times New Roman" w:cs="Times New Roman"/>
          <w:bCs/>
          <w:u w:val="single"/>
          <w:lang w:val="sr-Latn-CS"/>
        </w:rPr>
      </w:pPr>
    </w:p>
    <w:p w:rsidR="008C5C91" w:rsidRPr="008C5C91" w:rsidRDefault="008C5C91" w:rsidP="008C5C91">
      <w:pPr>
        <w:tabs>
          <w:tab w:val="left" w:pos="284"/>
        </w:tabs>
        <w:spacing w:after="0"/>
        <w:jc w:val="both"/>
        <w:rPr>
          <w:rFonts w:ascii="Times New Roman" w:hAnsi="Times New Roman" w:cs="Times New Roman"/>
          <w:bCs/>
          <w:lang w:val="sr-Latn-CS"/>
        </w:rPr>
      </w:pPr>
      <w:r w:rsidRPr="008C5C91">
        <w:rPr>
          <w:rFonts w:ascii="Times New Roman" w:hAnsi="Times New Roman" w:cs="Times New Roman"/>
          <w:bCs/>
          <w:i/>
          <w:lang w:val="sr-Latn-CS"/>
        </w:rPr>
        <w:t xml:space="preserve">In vitro </w:t>
      </w:r>
      <w:r w:rsidRPr="008C5C91">
        <w:rPr>
          <w:rFonts w:ascii="Times New Roman" w:hAnsi="Times New Roman" w:cs="Times New Roman"/>
          <w:bCs/>
          <w:lang w:val="sr-Latn-CS"/>
        </w:rPr>
        <w:t xml:space="preserve">analize i </w:t>
      </w:r>
      <w:r w:rsidRPr="008C5C91">
        <w:rPr>
          <w:rFonts w:ascii="Times New Roman" w:hAnsi="Times New Roman" w:cs="Times New Roman"/>
          <w:bCs/>
          <w:i/>
          <w:lang w:val="sr-Latn-CS"/>
        </w:rPr>
        <w:t>in vivo</w:t>
      </w:r>
      <w:r w:rsidRPr="008C5C91">
        <w:rPr>
          <w:rFonts w:ascii="Times New Roman" w:hAnsi="Times New Roman" w:cs="Times New Roman"/>
          <w:bCs/>
          <w:lang w:val="sr-Latn-CS"/>
        </w:rPr>
        <w:t xml:space="preserve"> studije na životinjama su pokazale da panitumumab inhibiše rast i preživljavanje ćelija tumora sa ekspresijom receptora EGFR. Nisu primijećeni anti-tumor efekti panitumumaba kod humanih tumor ksenografta kod kojih ne postoji ekspresija receptora EGFR. Dodavanje panitumumaba radioterapiji, hemioterapiji ili drugim ciljanim terapijskim ljekovima u studijama na životinjama dovelo je do porasta anti-</w:t>
      </w:r>
      <w:r w:rsidRPr="008C5C91">
        <w:rPr>
          <w:rFonts w:ascii="Times New Roman" w:hAnsi="Times New Roman" w:cs="Times New Roman"/>
          <w:bCs/>
          <w:lang w:val="sr-Latn-CS"/>
        </w:rPr>
        <w:lastRenderedPageBreak/>
        <w:t xml:space="preserve">tumorskog efekta u poređenju sa radioterapijom, hemioterapijom ili drugim ciljanim terapijskim ljekovima primijenjenim u obliku monoterapije. </w:t>
      </w:r>
    </w:p>
    <w:p w:rsidR="008C5C91" w:rsidRPr="008C5C91" w:rsidRDefault="008C5C91" w:rsidP="008C5C91">
      <w:pPr>
        <w:tabs>
          <w:tab w:val="left" w:pos="284"/>
        </w:tabs>
        <w:spacing w:after="0"/>
        <w:jc w:val="both"/>
        <w:rPr>
          <w:rFonts w:ascii="Times New Roman" w:hAnsi="Times New Roman" w:cs="Times New Roman"/>
          <w:bCs/>
          <w:lang w:val="sr-Latn-CS"/>
        </w:rPr>
      </w:pPr>
    </w:p>
    <w:p w:rsidR="008C5C91" w:rsidRPr="008C5C91" w:rsidRDefault="008C5C91" w:rsidP="008C5C91">
      <w:pPr>
        <w:tabs>
          <w:tab w:val="left" w:pos="284"/>
          <w:tab w:val="center" w:pos="4536"/>
          <w:tab w:val="right" w:pos="9072"/>
        </w:tabs>
        <w:spacing w:after="0"/>
        <w:jc w:val="both"/>
        <w:rPr>
          <w:rFonts w:ascii="Times New Roman" w:hAnsi="Times New Roman" w:cs="Times New Roman"/>
          <w:lang w:val="sr-Latn-CS"/>
        </w:rPr>
      </w:pPr>
      <w:r w:rsidRPr="008C5C91">
        <w:rPr>
          <w:rFonts w:ascii="Times New Roman" w:hAnsi="Times New Roman" w:cs="Times New Roman"/>
          <w:lang w:val="sr-Latn-CS"/>
        </w:rPr>
        <w:t>Dermatološke reakcije (uključujući reakcije na noktima) primijećene kod pacijenata liječenih lijekom Vectibix ili drugim EGFR inhibitorima su povezane sa farmakološkim efektima terapije (vidjeti poređenje u poglavljima 4.2 i 4.8).</w:t>
      </w:r>
    </w:p>
    <w:p w:rsidR="008C5C91" w:rsidRPr="008C5C91" w:rsidRDefault="008C5C91" w:rsidP="008C5C91">
      <w:pPr>
        <w:tabs>
          <w:tab w:val="left" w:pos="284"/>
        </w:tabs>
        <w:spacing w:after="0"/>
        <w:jc w:val="both"/>
        <w:rPr>
          <w:rFonts w:ascii="Times New Roman" w:hAnsi="Times New Roman" w:cs="Times New Roman"/>
          <w:bCs/>
          <w:lang w:val="sr-Latn-CS"/>
        </w:rPr>
      </w:pPr>
    </w:p>
    <w:p w:rsidR="008C5C91" w:rsidRPr="008C5C91" w:rsidRDefault="008C5C91" w:rsidP="008C5C91">
      <w:pPr>
        <w:tabs>
          <w:tab w:val="left" w:pos="284"/>
        </w:tabs>
        <w:spacing w:after="0"/>
        <w:jc w:val="both"/>
        <w:rPr>
          <w:rFonts w:ascii="Times New Roman" w:hAnsi="Times New Roman" w:cs="Times New Roman"/>
          <w:bCs/>
          <w:u w:val="single"/>
          <w:lang w:val="sr-Latn-CS"/>
        </w:rPr>
      </w:pPr>
      <w:r w:rsidRPr="008C5C91">
        <w:rPr>
          <w:rFonts w:ascii="Times New Roman" w:hAnsi="Times New Roman" w:cs="Times New Roman"/>
          <w:bCs/>
          <w:u w:val="single"/>
          <w:lang w:val="sr-Latn-CS"/>
        </w:rPr>
        <w:t>Imunogenost</w:t>
      </w:r>
    </w:p>
    <w:p w:rsidR="008C5C91" w:rsidRPr="008C5C91" w:rsidRDefault="008C5C91" w:rsidP="008C5C91">
      <w:pPr>
        <w:tabs>
          <w:tab w:val="left" w:pos="284"/>
        </w:tabs>
        <w:spacing w:after="0"/>
        <w:jc w:val="both"/>
        <w:rPr>
          <w:rFonts w:ascii="Times New Roman" w:hAnsi="Times New Roman" w:cs="Times New Roman"/>
          <w:bCs/>
          <w:u w:val="single"/>
          <w:lang w:val="sr-Latn-CS"/>
        </w:rPr>
      </w:pPr>
    </w:p>
    <w:p w:rsidR="008C5C91" w:rsidRPr="008C5C91" w:rsidRDefault="008C5C91" w:rsidP="008C5C91">
      <w:pPr>
        <w:tabs>
          <w:tab w:val="left" w:pos="284"/>
        </w:tabs>
        <w:spacing w:after="0"/>
        <w:jc w:val="both"/>
        <w:rPr>
          <w:rFonts w:ascii="Times New Roman" w:hAnsi="Times New Roman" w:cs="Times New Roman"/>
          <w:bCs/>
          <w:lang w:val="sr-Latn-CS"/>
        </w:rPr>
      </w:pPr>
      <w:r w:rsidRPr="008C5C91">
        <w:rPr>
          <w:rFonts w:ascii="Times New Roman" w:hAnsi="Times New Roman" w:cs="Times New Roman"/>
          <w:bCs/>
          <w:lang w:val="sr-Latn-CS"/>
        </w:rPr>
        <w:t xml:space="preserve">Kao i kod svih terapijskih proteina, i kod ovog lijeka postoji imunogeni potencijal. Podaci o razvoju anti-panitumumab antitijela su procjenjivani uz pomoć dva različita skrining imunoeseja za otkrivanje anti-panitumumab vezujućih antitijela (ELISA koja procjenjuje antitijela sa visokim afinitetom i Biosensor imunoesej koji ocjenjuje antitijela sa niskim i sa visokim afinitetom). Kod pacijenata kod kojih su serološki testovi bili pozitivni u bilo kom skrining imunoeseju, sprovedeno je </w:t>
      </w:r>
      <w:r w:rsidRPr="008C5C91">
        <w:rPr>
          <w:rFonts w:ascii="Times New Roman" w:hAnsi="Times New Roman" w:cs="Times New Roman"/>
          <w:bCs/>
          <w:i/>
          <w:lang w:val="sr-Latn-CS"/>
        </w:rPr>
        <w:t>in vitro</w:t>
      </w:r>
      <w:r w:rsidRPr="008C5C91">
        <w:rPr>
          <w:rFonts w:ascii="Times New Roman" w:hAnsi="Times New Roman" w:cs="Times New Roman"/>
          <w:bCs/>
          <w:lang w:val="sr-Latn-CS"/>
        </w:rPr>
        <w:t xml:space="preserve"> biološko testiranje kako bi se detektovala neutrališuća antitijela.</w:t>
      </w:r>
    </w:p>
    <w:p w:rsidR="008C5C91" w:rsidRPr="008C5C91" w:rsidRDefault="008C5C91" w:rsidP="008C5C91">
      <w:pPr>
        <w:tabs>
          <w:tab w:val="left" w:pos="284"/>
        </w:tabs>
        <w:spacing w:after="0"/>
        <w:jc w:val="both"/>
        <w:rPr>
          <w:rFonts w:ascii="Times New Roman" w:hAnsi="Times New Roman" w:cs="Times New Roman"/>
          <w:bCs/>
          <w:lang w:val="sr-Latn-CS"/>
        </w:rPr>
      </w:pPr>
    </w:p>
    <w:p w:rsidR="008C5C91" w:rsidRPr="008C5C91" w:rsidRDefault="008C5C91" w:rsidP="008C5C91">
      <w:pPr>
        <w:tabs>
          <w:tab w:val="left" w:pos="284"/>
        </w:tabs>
        <w:spacing w:after="0"/>
        <w:jc w:val="both"/>
        <w:rPr>
          <w:rFonts w:ascii="Times New Roman" w:hAnsi="Times New Roman" w:cs="Times New Roman"/>
          <w:bCs/>
          <w:lang w:val="sr-Latn-CS"/>
        </w:rPr>
      </w:pPr>
      <w:r w:rsidRPr="008C5C91">
        <w:rPr>
          <w:rFonts w:ascii="Times New Roman" w:hAnsi="Times New Roman" w:cs="Times New Roman"/>
          <w:bCs/>
          <w:lang w:val="sr-Latn-CS"/>
        </w:rPr>
        <w:t>U obliku monoterapije:</w:t>
      </w:r>
    </w:p>
    <w:p w:rsidR="008C5C91" w:rsidRPr="008C5C91" w:rsidRDefault="008C5C91" w:rsidP="008C5C91">
      <w:pPr>
        <w:numPr>
          <w:ilvl w:val="0"/>
          <w:numId w:val="11"/>
        </w:numPr>
        <w:tabs>
          <w:tab w:val="left" w:pos="567"/>
        </w:tabs>
        <w:spacing w:after="0" w:line="240" w:lineRule="auto"/>
        <w:ind w:left="567" w:hanging="567"/>
        <w:jc w:val="both"/>
        <w:rPr>
          <w:rFonts w:ascii="Times New Roman" w:hAnsi="Times New Roman" w:cs="Times New Roman"/>
          <w:bCs/>
          <w:lang w:val="sr-Latn-CS"/>
        </w:rPr>
      </w:pPr>
      <w:r w:rsidRPr="008C5C91">
        <w:rPr>
          <w:rFonts w:ascii="Times New Roman" w:hAnsi="Times New Roman" w:cs="Times New Roman"/>
          <w:bCs/>
          <w:lang w:val="sr-Latn-CS"/>
        </w:rPr>
        <w:t>Incidenca antitijela koja se vezuju (isključujući pacijente koji su imali pozitivan odgovor prije primjene doze i one koji su imali prolazan pozitivan odgovor) bila je &lt; 1% što je određeno disocijacijom kiselina ELISA i 3,8% što je određeno Biacore testom;</w:t>
      </w:r>
    </w:p>
    <w:p w:rsidR="008C5C91" w:rsidRPr="008C5C91" w:rsidRDefault="008C5C91" w:rsidP="008C5C91">
      <w:pPr>
        <w:numPr>
          <w:ilvl w:val="0"/>
          <w:numId w:val="11"/>
        </w:numPr>
        <w:tabs>
          <w:tab w:val="left" w:pos="567"/>
        </w:tabs>
        <w:spacing w:after="0" w:line="240" w:lineRule="auto"/>
        <w:ind w:left="567" w:hanging="567"/>
        <w:jc w:val="both"/>
        <w:rPr>
          <w:rFonts w:ascii="Times New Roman" w:hAnsi="Times New Roman" w:cs="Times New Roman"/>
          <w:bCs/>
          <w:lang w:val="sr-Latn-CS"/>
        </w:rPr>
      </w:pPr>
      <w:r w:rsidRPr="008C5C91">
        <w:rPr>
          <w:rFonts w:ascii="Times New Roman" w:hAnsi="Times New Roman" w:cs="Times New Roman"/>
          <w:bCs/>
          <w:lang w:val="sr-Latn-CS"/>
        </w:rPr>
        <w:t>Incidenca neutrališućih antitijela (isključujući pacijente koji su imali pozitivan odgovor prije primjene doze i one koji su imali prolazan pozitivan odgovor) bila je &lt; 1%;</w:t>
      </w:r>
    </w:p>
    <w:p w:rsidR="008C5C91" w:rsidRPr="008C5C91" w:rsidRDefault="008C5C91" w:rsidP="008C5C91">
      <w:pPr>
        <w:numPr>
          <w:ilvl w:val="0"/>
          <w:numId w:val="11"/>
        </w:numPr>
        <w:tabs>
          <w:tab w:val="left" w:pos="567"/>
        </w:tabs>
        <w:spacing w:after="0" w:line="240" w:lineRule="auto"/>
        <w:ind w:left="567" w:hanging="567"/>
        <w:jc w:val="both"/>
        <w:rPr>
          <w:rFonts w:ascii="Times New Roman" w:hAnsi="Times New Roman" w:cs="Times New Roman"/>
          <w:bCs/>
          <w:lang w:val="sr-Latn-CS"/>
        </w:rPr>
      </w:pPr>
      <w:r w:rsidRPr="008C5C91">
        <w:rPr>
          <w:rFonts w:ascii="Times New Roman" w:hAnsi="Times New Roman" w:cs="Times New Roman"/>
          <w:bCs/>
          <w:lang w:val="sr-Latn-CS"/>
        </w:rPr>
        <w:t xml:space="preserve">U poređenju sa pacijentima kod kojih nije došlo do razvoja antitela, nije primijećena povezanost između prisustva anti-panitumumab antitijela i farmakokinetike, efikasnosti i bezbjednosti. </w:t>
      </w:r>
    </w:p>
    <w:p w:rsidR="008C5C91" w:rsidRPr="008C5C91" w:rsidRDefault="008C5C91" w:rsidP="008C5C91">
      <w:pPr>
        <w:tabs>
          <w:tab w:val="left" w:pos="284"/>
        </w:tabs>
        <w:spacing w:after="0"/>
        <w:jc w:val="both"/>
        <w:rPr>
          <w:rFonts w:ascii="Times New Roman" w:hAnsi="Times New Roman" w:cs="Times New Roman"/>
          <w:bCs/>
          <w:lang w:val="sr-Latn-CS"/>
        </w:rPr>
      </w:pPr>
      <w:r w:rsidRPr="008C5C91">
        <w:rPr>
          <w:rFonts w:ascii="Times New Roman" w:hAnsi="Times New Roman" w:cs="Times New Roman"/>
          <w:bCs/>
          <w:lang w:val="sr-Latn-CS"/>
        </w:rPr>
        <w:t>U kombinovanoj hemioterapiji irinotekanom ili oksaliplatinom:</w:t>
      </w:r>
    </w:p>
    <w:p w:rsidR="008C5C91" w:rsidRPr="008C5C91" w:rsidRDefault="008C5C91" w:rsidP="008C5C91">
      <w:pPr>
        <w:numPr>
          <w:ilvl w:val="0"/>
          <w:numId w:val="11"/>
        </w:numPr>
        <w:tabs>
          <w:tab w:val="left" w:pos="567"/>
        </w:tabs>
        <w:spacing w:after="0" w:line="240" w:lineRule="auto"/>
        <w:ind w:left="567" w:hanging="567"/>
        <w:jc w:val="both"/>
        <w:rPr>
          <w:rFonts w:ascii="Times New Roman" w:hAnsi="Times New Roman" w:cs="Times New Roman"/>
          <w:bCs/>
          <w:lang w:val="sr-Latn-CS"/>
        </w:rPr>
      </w:pPr>
      <w:r w:rsidRPr="008C5C91">
        <w:rPr>
          <w:rFonts w:ascii="Times New Roman" w:hAnsi="Times New Roman" w:cs="Times New Roman"/>
          <w:bCs/>
          <w:lang w:val="sr-Latn-CS"/>
        </w:rPr>
        <w:t>Incidenca antitijela koja se vezuju (isključujući pacijente koji su imali pozitivan odgovor prije primjene doze) bila je 1% što je određeno disocijacijom kiselina ELISA i &lt; 1% što je određeno Biacore testom;</w:t>
      </w:r>
    </w:p>
    <w:p w:rsidR="008C5C91" w:rsidRPr="008C5C91" w:rsidRDefault="008C5C91" w:rsidP="008C5C91">
      <w:pPr>
        <w:numPr>
          <w:ilvl w:val="0"/>
          <w:numId w:val="11"/>
        </w:numPr>
        <w:tabs>
          <w:tab w:val="left" w:pos="567"/>
        </w:tabs>
        <w:spacing w:after="0" w:line="240" w:lineRule="auto"/>
        <w:ind w:left="567" w:hanging="567"/>
        <w:jc w:val="both"/>
        <w:rPr>
          <w:rFonts w:ascii="Times New Roman" w:hAnsi="Times New Roman" w:cs="Times New Roman"/>
          <w:bCs/>
          <w:lang w:val="sr-Latn-CS"/>
        </w:rPr>
      </w:pPr>
      <w:r w:rsidRPr="008C5C91">
        <w:rPr>
          <w:rFonts w:ascii="Times New Roman" w:hAnsi="Times New Roman" w:cs="Times New Roman"/>
          <w:bCs/>
          <w:lang w:val="sr-Latn-CS"/>
        </w:rPr>
        <w:t>Incidenca neutrališućih antitijela (isključujući pacijente koji su imali pozitivan odgovor prije primjene doze) bila je &lt; 1%;</w:t>
      </w:r>
    </w:p>
    <w:p w:rsidR="008C5C91" w:rsidRPr="008C5C91" w:rsidRDefault="008C5C91" w:rsidP="008C5C91">
      <w:pPr>
        <w:numPr>
          <w:ilvl w:val="0"/>
          <w:numId w:val="11"/>
        </w:numPr>
        <w:tabs>
          <w:tab w:val="left" w:pos="567"/>
        </w:tabs>
        <w:spacing w:after="0" w:line="240" w:lineRule="auto"/>
        <w:ind w:left="567" w:hanging="567"/>
        <w:jc w:val="both"/>
        <w:rPr>
          <w:rFonts w:ascii="Times New Roman" w:hAnsi="Times New Roman" w:cs="Times New Roman"/>
          <w:bCs/>
          <w:lang w:val="sr-Latn-CS"/>
        </w:rPr>
      </w:pPr>
      <w:r w:rsidRPr="008C5C91">
        <w:rPr>
          <w:rFonts w:ascii="Times New Roman" w:hAnsi="Times New Roman" w:cs="Times New Roman"/>
          <w:bCs/>
          <w:lang w:val="sr-Latn-CS"/>
        </w:rPr>
        <w:t>Nema dokaza o izmijenjenom bezbjednosnom profilu kod pacijenata koji su na testovima imali pozitivne rezultate na antitijela na Vectibix.</w:t>
      </w:r>
    </w:p>
    <w:p w:rsidR="008C5C91" w:rsidRPr="008C5C91" w:rsidRDefault="008C5C91" w:rsidP="008C5C91">
      <w:pPr>
        <w:tabs>
          <w:tab w:val="left" w:pos="284"/>
        </w:tabs>
        <w:spacing w:after="0"/>
        <w:jc w:val="both"/>
        <w:rPr>
          <w:rFonts w:ascii="Times New Roman" w:hAnsi="Times New Roman" w:cs="Times New Roman"/>
          <w:bCs/>
          <w:lang w:val="sr-Latn-CS"/>
        </w:rPr>
      </w:pPr>
    </w:p>
    <w:p w:rsidR="008C5C91" w:rsidRPr="008C5C91" w:rsidRDefault="008C5C91" w:rsidP="008C5C91">
      <w:pPr>
        <w:tabs>
          <w:tab w:val="left" w:pos="284"/>
        </w:tabs>
        <w:spacing w:after="0"/>
        <w:jc w:val="both"/>
        <w:rPr>
          <w:rFonts w:ascii="Times New Roman" w:hAnsi="Times New Roman" w:cs="Times New Roman"/>
          <w:bCs/>
          <w:lang w:val="sr-Latn-CS"/>
        </w:rPr>
      </w:pPr>
      <w:r w:rsidRPr="008C5C91">
        <w:rPr>
          <w:rFonts w:ascii="Times New Roman" w:hAnsi="Times New Roman" w:cs="Times New Roman"/>
          <w:bCs/>
          <w:lang w:val="sr-Latn-CS"/>
        </w:rPr>
        <w:t>Detekcija stvaranja antitijela zavisi od osjetljivosti i specifičnosti eseja. Na incidencu pozitivnog prisustva antitijela primijećenih u eseju može da utiče nekoliko faktora kao što je metodologija testa, rukovanje uzorcima, vrijeme uzimanja uzorka, istovremena primjena drugih ljekova, kao i osnovna bolest, te stoga, poređenje incidence antitijela sa drugim proizvodima može da bude nepouzdano.</w:t>
      </w:r>
    </w:p>
    <w:p w:rsidR="008C5C91" w:rsidRPr="008C5C91" w:rsidRDefault="008C5C91" w:rsidP="008C5C91">
      <w:pPr>
        <w:tabs>
          <w:tab w:val="left" w:pos="284"/>
        </w:tabs>
        <w:spacing w:after="0"/>
        <w:jc w:val="both"/>
        <w:rPr>
          <w:rFonts w:ascii="Times New Roman" w:hAnsi="Times New Roman" w:cs="Times New Roman"/>
          <w:bCs/>
          <w:lang w:val="sr-Latn-CS"/>
        </w:rPr>
      </w:pPr>
    </w:p>
    <w:p w:rsidR="008C5C91" w:rsidRPr="008C5C91" w:rsidRDefault="008C5C91" w:rsidP="008C5C91">
      <w:pPr>
        <w:tabs>
          <w:tab w:val="left" w:pos="284"/>
        </w:tabs>
        <w:spacing w:after="0"/>
        <w:jc w:val="both"/>
        <w:rPr>
          <w:rFonts w:ascii="Times New Roman" w:hAnsi="Times New Roman" w:cs="Times New Roman"/>
          <w:bCs/>
          <w:u w:val="single"/>
          <w:lang w:val="sr-Latn-CS"/>
        </w:rPr>
      </w:pPr>
      <w:r w:rsidRPr="008C5C91">
        <w:rPr>
          <w:rFonts w:ascii="Times New Roman" w:hAnsi="Times New Roman" w:cs="Times New Roman"/>
          <w:bCs/>
          <w:u w:val="single"/>
          <w:lang w:val="sr-Latn-CS"/>
        </w:rPr>
        <w:t>Klinička efikasnost monoterapije</w:t>
      </w:r>
    </w:p>
    <w:p w:rsidR="008C5C91" w:rsidRPr="008C5C91" w:rsidRDefault="008C5C91" w:rsidP="008C5C91">
      <w:pPr>
        <w:tabs>
          <w:tab w:val="left" w:pos="284"/>
        </w:tabs>
        <w:spacing w:after="0"/>
        <w:jc w:val="both"/>
        <w:rPr>
          <w:rFonts w:ascii="Times New Roman" w:hAnsi="Times New Roman" w:cs="Times New Roman"/>
          <w:bCs/>
          <w:u w:val="single"/>
          <w:lang w:val="sr-Latn-CS"/>
        </w:rPr>
      </w:pPr>
    </w:p>
    <w:p w:rsidR="008C5C91" w:rsidRPr="008C5C91" w:rsidRDefault="008C5C91" w:rsidP="008C5C91">
      <w:pPr>
        <w:tabs>
          <w:tab w:val="left" w:pos="284"/>
        </w:tabs>
        <w:spacing w:after="0"/>
        <w:jc w:val="both"/>
        <w:rPr>
          <w:rFonts w:ascii="Times New Roman" w:hAnsi="Times New Roman" w:cs="Times New Roman"/>
          <w:bCs/>
          <w:lang w:val="sr-Latn-CS"/>
        </w:rPr>
      </w:pPr>
      <w:r w:rsidRPr="008C5C91">
        <w:rPr>
          <w:rFonts w:ascii="Times New Roman" w:hAnsi="Times New Roman" w:cs="Times New Roman"/>
          <w:bCs/>
          <w:lang w:val="sr-Latn-CS"/>
        </w:rPr>
        <w:t>Efikasnost lijeka Vectibix u vidu monoterapije kod pacijenata sa metastatskim kolorektalnim karcinomom (mCRC) kod kojih je došlo do progresije bolesti tokom ili nakon prethodno primljene hemioterapije ispitivana je u u jednom otvorenom ispitivanju sa jednom grupom pacijenata (585 pacijenta)</w:t>
      </w:r>
      <w:r w:rsidRPr="008C5C91">
        <w:rPr>
          <w:rFonts w:ascii="Times New Roman" w:hAnsi="Times New Roman" w:cs="Times New Roman"/>
          <w:bCs/>
          <w:iCs/>
          <w:lang w:val="sr-Latn-CS"/>
        </w:rPr>
        <w:t xml:space="preserve"> </w:t>
      </w:r>
      <w:r w:rsidRPr="008C5C91">
        <w:rPr>
          <w:rFonts w:ascii="Times New Roman" w:hAnsi="Times New Roman" w:cs="Times New Roman"/>
          <w:bCs/>
          <w:iCs/>
          <w:lang w:val="sr-Latn-RS"/>
        </w:rPr>
        <w:t>i</w:t>
      </w:r>
      <w:r w:rsidRPr="008C5C91">
        <w:rPr>
          <w:rFonts w:ascii="Times New Roman" w:hAnsi="Times New Roman" w:cs="Times New Roman"/>
          <w:bCs/>
          <w:iCs/>
          <w:lang w:val="sr-Latn-CS"/>
        </w:rPr>
        <w:t xml:space="preserve"> </w:t>
      </w:r>
      <w:r w:rsidRPr="008C5C91">
        <w:rPr>
          <w:rFonts w:ascii="Times New Roman" w:hAnsi="Times New Roman" w:cs="Times New Roman"/>
          <w:bCs/>
          <w:iCs/>
          <w:lang w:val="sr-Latn-RS"/>
        </w:rPr>
        <w:t>u</w:t>
      </w:r>
      <w:r w:rsidRPr="008C5C91">
        <w:rPr>
          <w:rFonts w:ascii="Times New Roman" w:hAnsi="Times New Roman" w:cs="Times New Roman"/>
          <w:bCs/>
          <w:iCs/>
          <w:lang w:val="sr-Latn-CS"/>
        </w:rPr>
        <w:t xml:space="preserve"> </w:t>
      </w:r>
      <w:r w:rsidRPr="008C5C91">
        <w:rPr>
          <w:rFonts w:ascii="Times New Roman" w:hAnsi="Times New Roman" w:cs="Times New Roman"/>
          <w:bCs/>
          <w:iCs/>
          <w:lang w:val="sr-Latn-RS"/>
        </w:rPr>
        <w:t>dva</w:t>
      </w:r>
      <w:r w:rsidRPr="008C5C91">
        <w:rPr>
          <w:rFonts w:ascii="Times New Roman" w:hAnsi="Times New Roman" w:cs="Times New Roman"/>
          <w:bCs/>
          <w:iCs/>
          <w:lang w:val="sr-Latn-CS"/>
        </w:rPr>
        <w:t xml:space="preserve"> </w:t>
      </w:r>
      <w:r w:rsidRPr="008C5C91">
        <w:rPr>
          <w:rFonts w:ascii="Times New Roman" w:hAnsi="Times New Roman" w:cs="Times New Roman"/>
          <w:bCs/>
          <w:iCs/>
          <w:lang w:val="sr-Latn-RS"/>
        </w:rPr>
        <w:t>randomi</w:t>
      </w:r>
      <w:r w:rsidRPr="008C5C91">
        <w:rPr>
          <w:rFonts w:ascii="Times New Roman" w:hAnsi="Times New Roman" w:cs="Times New Roman"/>
          <w:bCs/>
          <w:iCs/>
          <w:lang w:val="sr-Latn-CS"/>
        </w:rPr>
        <w:t>zovana kontrolisana ispitivanja: u jednom je Vectibix kompariran sa najboljom suportivnom njegom (BSC – best supportive care) (463 pacijenta), a u drugom sa cetuksimabom (1010 pacijenata).</w:t>
      </w:r>
    </w:p>
    <w:p w:rsidR="008C5C91" w:rsidRPr="008C5C91" w:rsidRDefault="008C5C91" w:rsidP="008C5C91">
      <w:pPr>
        <w:tabs>
          <w:tab w:val="left" w:pos="284"/>
        </w:tabs>
        <w:spacing w:after="0"/>
        <w:jc w:val="both"/>
        <w:rPr>
          <w:rFonts w:ascii="Times New Roman" w:hAnsi="Times New Roman" w:cs="Times New Roman"/>
          <w:bCs/>
          <w:lang w:val="sr-Latn-CS"/>
        </w:rPr>
      </w:pPr>
      <w:r w:rsidRPr="008C5C91">
        <w:rPr>
          <w:rFonts w:ascii="Times New Roman" w:hAnsi="Times New Roman" w:cs="Times New Roman"/>
          <w:bCs/>
          <w:lang w:val="sr-Latn-CS"/>
        </w:rPr>
        <w:lastRenderedPageBreak/>
        <w:t xml:space="preserve">Multinacionalno, randomizovano kontrolisano ispitivanje sprovedeno je na 463 pacijenta sa metastatskim karcinomom kolona ili rektuma koji eksprimira EGFR pošto je potvrđeno da je došlo do neuspjeha sa terapijskim režimima koji sadrže oksaliplatin i irinotekan. Pacijenti su randomizovani 1:1 da primaju Vectibix u dozi od 6 mg/kg jednom u dvije nedjelje uz najbolju suportivnu njegu (koja ne podrazumijeva hemioterapiju) (BSC) ili da samo primaju BSC. Pacijenti su liječeni sve do pojave progresije bolesti ili neprihvatljive toksičnosti. Nakon progresije bolesti pacijenti koji su primali samo BSC prebačeni su, u nastavku studije na Vectibix u dozi od 6 mg/kg jednom u dvije nedjelje. </w:t>
      </w:r>
    </w:p>
    <w:p w:rsidR="008C5C91" w:rsidRPr="008C5C91" w:rsidRDefault="008C5C91" w:rsidP="008C5C91">
      <w:pPr>
        <w:tabs>
          <w:tab w:val="left" w:pos="284"/>
        </w:tabs>
        <w:spacing w:after="0"/>
        <w:jc w:val="both"/>
        <w:rPr>
          <w:rFonts w:ascii="Times New Roman" w:hAnsi="Times New Roman" w:cs="Times New Roman"/>
          <w:bCs/>
          <w:lang w:val="sr-Latn-CS"/>
        </w:rPr>
      </w:pPr>
    </w:p>
    <w:p w:rsidR="008C5C91" w:rsidRPr="008C5C91" w:rsidRDefault="008C5C91" w:rsidP="008C5C91">
      <w:pPr>
        <w:tabs>
          <w:tab w:val="left" w:pos="284"/>
        </w:tabs>
        <w:spacing w:after="0"/>
        <w:jc w:val="both"/>
        <w:rPr>
          <w:rFonts w:ascii="Times New Roman" w:eastAsia="MS Mincho" w:hAnsi="Times New Roman" w:cs="Times New Roman"/>
          <w:lang w:val="sr-Latn-CS" w:eastAsia="ja-JP"/>
        </w:rPr>
      </w:pPr>
      <w:r w:rsidRPr="008C5C91">
        <w:rPr>
          <w:rFonts w:ascii="Times New Roman" w:hAnsi="Times New Roman" w:cs="Times New Roman"/>
          <w:bCs/>
          <w:lang w:val="sr-Latn-CS"/>
        </w:rPr>
        <w:t xml:space="preserve">Primarni cilj studije bio je PFS. </w:t>
      </w:r>
      <w:r w:rsidRPr="008C5C91">
        <w:rPr>
          <w:rFonts w:ascii="Times New Roman" w:hAnsi="Times New Roman" w:cs="Times New Roman"/>
          <w:lang w:val="sr-Latn-CS"/>
        </w:rPr>
        <w:t xml:space="preserve">Studija je retrospektivno analizirana u odnosu na divlji tip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gena (ekson 2) i mutirani </w:t>
      </w:r>
      <w:r w:rsidRPr="008C5C91">
        <w:rPr>
          <w:rFonts w:ascii="Times New Roman" w:hAnsi="Times New Roman" w:cs="Times New Roman"/>
          <w:i/>
          <w:lang w:val="sr-Latn-CS"/>
        </w:rPr>
        <w:t xml:space="preserve">KRAS </w:t>
      </w:r>
      <w:r w:rsidRPr="008C5C91">
        <w:rPr>
          <w:rFonts w:ascii="Times New Roman" w:hAnsi="Times New Roman" w:cs="Times New Roman"/>
          <w:lang w:val="sr-Latn-CS"/>
        </w:rPr>
        <w:t>(ekson 2) gen. Uzorci tumora koji su dobijeni pri primarnoj resekciji kolorektalnog karcinoma analizirani su na potencijalno prisustvo sedam najčešćih aktivirajućih mutacija u kodonima 12 i 13</w:t>
      </w:r>
      <w:r w:rsidRPr="008C5C91">
        <w:rPr>
          <w:rFonts w:ascii="Times New Roman" w:eastAsia="MS Mincho" w:hAnsi="Times New Roman" w:cs="Times New Roman"/>
          <w:lang w:val="sr-Latn-CS" w:eastAsia="ja-JP"/>
        </w:rPr>
        <w:t xml:space="preserve"> </w:t>
      </w:r>
      <w:r w:rsidRPr="008C5C91">
        <w:rPr>
          <w:rFonts w:ascii="Times New Roman" w:eastAsia="MS Mincho" w:hAnsi="Times New Roman" w:cs="Times New Roman"/>
          <w:i/>
          <w:lang w:val="sr-Latn-CS" w:eastAsia="ja-JP"/>
        </w:rPr>
        <w:t>KRAS</w:t>
      </w:r>
      <w:r w:rsidRPr="008C5C91">
        <w:rPr>
          <w:rFonts w:ascii="Times New Roman" w:eastAsia="MS Mincho" w:hAnsi="Times New Roman" w:cs="Times New Roman"/>
          <w:lang w:val="sr-Latn-CS" w:eastAsia="ja-JP"/>
        </w:rPr>
        <w:t xml:space="preserve"> gena. Od 427 (92%) pacijenata kod kojih je ispitan </w:t>
      </w:r>
      <w:r w:rsidRPr="008C5C91">
        <w:rPr>
          <w:rFonts w:ascii="Times New Roman" w:eastAsia="MS Mincho" w:hAnsi="Times New Roman" w:cs="Times New Roman"/>
          <w:i/>
          <w:lang w:val="sr-Latn-CS" w:eastAsia="ja-JP"/>
        </w:rPr>
        <w:t>KRAS</w:t>
      </w:r>
      <w:r w:rsidRPr="008C5C91">
        <w:rPr>
          <w:rFonts w:ascii="Times New Roman" w:eastAsia="MS Mincho" w:hAnsi="Times New Roman" w:cs="Times New Roman"/>
          <w:lang w:val="sr-Latn-CS" w:eastAsia="ja-JP"/>
        </w:rPr>
        <w:t xml:space="preserve"> status, 184 pacijenta imalo je mutacije </w:t>
      </w:r>
      <w:r w:rsidRPr="008C5C91">
        <w:rPr>
          <w:rFonts w:ascii="Times New Roman" w:eastAsia="MS Mincho" w:hAnsi="Times New Roman" w:cs="Times New Roman"/>
          <w:i/>
          <w:lang w:val="sr-Latn-CS" w:eastAsia="ja-JP"/>
        </w:rPr>
        <w:t>KRAS</w:t>
      </w:r>
      <w:r w:rsidRPr="008C5C91">
        <w:rPr>
          <w:rFonts w:ascii="Times New Roman" w:eastAsia="MS Mincho" w:hAnsi="Times New Roman" w:cs="Times New Roman"/>
          <w:lang w:val="sr-Latn-CS" w:eastAsia="ja-JP"/>
        </w:rPr>
        <w:t xml:space="preserve"> gena. Rezultati analize efikasnosti prilagođene zbog mogućih grešaka uslijed neplaniranih procjena, dati su u tabeli ispod. Nije bilo razlike u ukupnom preživljavanju (OS) između grupa. </w:t>
      </w:r>
    </w:p>
    <w:p w:rsidR="008C5C91" w:rsidRPr="008C5C91" w:rsidRDefault="008C5C91" w:rsidP="008C5C91">
      <w:pPr>
        <w:tabs>
          <w:tab w:val="left" w:pos="284"/>
        </w:tabs>
        <w:spacing w:after="0"/>
        <w:jc w:val="both"/>
        <w:rPr>
          <w:rFonts w:ascii="Times New Roman" w:hAnsi="Times New Roman" w:cs="Times New Roman"/>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822"/>
        <w:gridCol w:w="1816"/>
        <w:gridCol w:w="1822"/>
        <w:gridCol w:w="1683"/>
      </w:tblGrid>
      <w:tr w:rsidR="008C5C91" w:rsidRPr="008C5C91" w:rsidTr="00B528BA">
        <w:tc>
          <w:tcPr>
            <w:tcW w:w="2158"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p>
        </w:tc>
        <w:tc>
          <w:tcPr>
            <w:tcW w:w="3638" w:type="dxa"/>
            <w:gridSpan w:val="2"/>
            <w:shd w:val="clear" w:color="auto" w:fill="auto"/>
          </w:tcPr>
          <w:p w:rsidR="008C5C91" w:rsidRPr="008C5C91" w:rsidRDefault="008C5C91" w:rsidP="00A322D8">
            <w:pPr>
              <w:keepNext/>
              <w:spacing w:after="0"/>
              <w:rPr>
                <w:rFonts w:ascii="Times New Roman" w:eastAsia="Calibri" w:hAnsi="Times New Roman" w:cs="Times New Roman"/>
                <w:lang w:val="sr-Latn-CS"/>
              </w:rPr>
            </w:pPr>
            <w:r w:rsidRPr="008C5C91">
              <w:rPr>
                <w:rFonts w:ascii="Times New Roman" w:eastAsia="Calibri" w:hAnsi="Times New Roman" w:cs="Times New Roman"/>
                <w:b/>
                <w:lang w:val="sr-Latn-CS"/>
              </w:rPr>
              <w:t xml:space="preserve">Populacija sa divljim tipom </w:t>
            </w:r>
            <w:r w:rsidRPr="008C5C91">
              <w:rPr>
                <w:rFonts w:ascii="Times New Roman" w:eastAsia="Calibri" w:hAnsi="Times New Roman" w:cs="Times New Roman"/>
                <w:b/>
                <w:i/>
                <w:lang w:val="sr-Latn-CS"/>
              </w:rPr>
              <w:t xml:space="preserve">KRAS </w:t>
            </w:r>
            <w:r w:rsidRPr="008C5C91">
              <w:rPr>
                <w:rFonts w:ascii="Times New Roman" w:eastAsia="Calibri" w:hAnsi="Times New Roman" w:cs="Times New Roman"/>
                <w:b/>
                <w:lang w:val="sr-Latn-CS"/>
              </w:rPr>
              <w:t>(ekson 2) gena</w:t>
            </w:r>
          </w:p>
        </w:tc>
        <w:tc>
          <w:tcPr>
            <w:tcW w:w="3505" w:type="dxa"/>
            <w:gridSpan w:val="2"/>
            <w:shd w:val="clear" w:color="auto" w:fill="auto"/>
          </w:tcPr>
          <w:p w:rsidR="008C5C91" w:rsidRPr="008C5C91" w:rsidRDefault="008C5C91" w:rsidP="00A322D8">
            <w:pPr>
              <w:keepNext/>
              <w:spacing w:after="0"/>
              <w:rPr>
                <w:rFonts w:ascii="Times New Roman" w:eastAsia="Calibri" w:hAnsi="Times New Roman" w:cs="Times New Roman"/>
                <w:lang w:val="sr-Latn-CS"/>
              </w:rPr>
            </w:pPr>
            <w:r w:rsidRPr="008C5C91">
              <w:rPr>
                <w:rFonts w:ascii="Times New Roman" w:eastAsia="Calibri" w:hAnsi="Times New Roman" w:cs="Times New Roman"/>
                <w:b/>
                <w:lang w:val="sr-Latn-CS"/>
              </w:rPr>
              <w:t xml:space="preserve">Populacija sa mutiranim </w:t>
            </w:r>
            <w:r w:rsidRPr="008C5C91">
              <w:rPr>
                <w:rFonts w:ascii="Times New Roman" w:eastAsia="Calibri" w:hAnsi="Times New Roman" w:cs="Times New Roman"/>
                <w:b/>
                <w:i/>
                <w:lang w:val="sr-Latn-CS"/>
              </w:rPr>
              <w:t xml:space="preserve">KRAS </w:t>
            </w:r>
            <w:r w:rsidRPr="008C5C91">
              <w:rPr>
                <w:rFonts w:ascii="Times New Roman" w:eastAsia="Calibri" w:hAnsi="Times New Roman" w:cs="Times New Roman"/>
                <w:b/>
                <w:lang w:val="sr-Latn-CS"/>
              </w:rPr>
              <w:t>(ekson 2) genom</w:t>
            </w:r>
          </w:p>
        </w:tc>
      </w:tr>
      <w:tr w:rsidR="008C5C91" w:rsidRPr="008C5C91" w:rsidTr="00B528BA">
        <w:tc>
          <w:tcPr>
            <w:tcW w:w="2158"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p>
        </w:tc>
        <w:tc>
          <w:tcPr>
            <w:tcW w:w="1822" w:type="dxa"/>
            <w:shd w:val="clear" w:color="auto" w:fill="auto"/>
          </w:tcPr>
          <w:p w:rsidR="008C5C91" w:rsidRPr="008C5C91" w:rsidRDefault="008C5C91" w:rsidP="00A322D8">
            <w:pPr>
              <w:keepNext/>
              <w:spacing w:after="0"/>
              <w:rPr>
                <w:rFonts w:ascii="Times New Roman" w:eastAsia="Calibri" w:hAnsi="Times New Roman" w:cs="Times New Roman"/>
                <w:lang w:val="sr-Latn-CS"/>
              </w:rPr>
            </w:pPr>
            <w:r w:rsidRPr="008C5C91">
              <w:rPr>
                <w:rFonts w:ascii="Times New Roman" w:eastAsia="Calibri" w:hAnsi="Times New Roman" w:cs="Times New Roman"/>
                <w:b/>
                <w:lang w:val="sr-Latn-CS"/>
              </w:rPr>
              <w:t>Vectibix plus BSC (n = 124)</w:t>
            </w:r>
          </w:p>
        </w:tc>
        <w:tc>
          <w:tcPr>
            <w:tcW w:w="1816"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b/>
                <w:lang w:val="sr-Latn-CS"/>
              </w:rPr>
              <w:t>BSC (n = 119)</w:t>
            </w:r>
          </w:p>
        </w:tc>
        <w:tc>
          <w:tcPr>
            <w:tcW w:w="1822" w:type="dxa"/>
            <w:shd w:val="clear" w:color="auto" w:fill="auto"/>
          </w:tcPr>
          <w:p w:rsidR="008C5C91" w:rsidRPr="008C5C91" w:rsidRDefault="008C5C91" w:rsidP="00A322D8">
            <w:pPr>
              <w:keepNext/>
              <w:spacing w:after="0"/>
              <w:rPr>
                <w:rFonts w:ascii="Times New Roman" w:eastAsia="Calibri" w:hAnsi="Times New Roman" w:cs="Times New Roman"/>
                <w:lang w:val="sr-Latn-CS"/>
              </w:rPr>
            </w:pPr>
            <w:r w:rsidRPr="008C5C91">
              <w:rPr>
                <w:rFonts w:ascii="Times New Roman" w:eastAsia="Calibri" w:hAnsi="Times New Roman" w:cs="Times New Roman"/>
                <w:b/>
                <w:lang w:val="sr-Latn-CS"/>
              </w:rPr>
              <w:t>Vectibix plus BSC (n = 84)</w:t>
            </w:r>
          </w:p>
        </w:tc>
        <w:tc>
          <w:tcPr>
            <w:tcW w:w="1683"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b/>
                <w:lang w:val="sr-Latn-CS"/>
              </w:rPr>
              <w:t>BSC (n = 100)</w:t>
            </w:r>
          </w:p>
        </w:tc>
      </w:tr>
      <w:tr w:rsidR="008C5C91" w:rsidRPr="008C5C91" w:rsidTr="00B528BA">
        <w:tc>
          <w:tcPr>
            <w:tcW w:w="2158"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b/>
                <w:lang w:val="sr-Latn-CS"/>
              </w:rPr>
              <w:t>ORR n(%)</w:t>
            </w:r>
          </w:p>
        </w:tc>
        <w:tc>
          <w:tcPr>
            <w:tcW w:w="1822"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17%</w:t>
            </w:r>
          </w:p>
        </w:tc>
        <w:tc>
          <w:tcPr>
            <w:tcW w:w="1816"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0%</w:t>
            </w:r>
          </w:p>
        </w:tc>
        <w:tc>
          <w:tcPr>
            <w:tcW w:w="1822"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0%</w:t>
            </w:r>
          </w:p>
        </w:tc>
        <w:tc>
          <w:tcPr>
            <w:tcW w:w="1683"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0%</w:t>
            </w:r>
          </w:p>
        </w:tc>
      </w:tr>
      <w:tr w:rsidR="008C5C91" w:rsidRPr="008C5C91" w:rsidTr="00B528BA">
        <w:tc>
          <w:tcPr>
            <w:tcW w:w="2158" w:type="dxa"/>
            <w:shd w:val="clear" w:color="auto" w:fill="auto"/>
          </w:tcPr>
          <w:p w:rsidR="008C5C91" w:rsidRPr="008C5C91" w:rsidRDefault="008C5C91" w:rsidP="00A322D8">
            <w:pPr>
              <w:keepNext/>
              <w:spacing w:after="0"/>
              <w:rPr>
                <w:rFonts w:ascii="Times New Roman" w:eastAsia="Calibri" w:hAnsi="Times New Roman" w:cs="Times New Roman"/>
                <w:lang w:val="sr-Latn-CS"/>
              </w:rPr>
            </w:pPr>
            <w:r w:rsidRPr="008C5C91">
              <w:rPr>
                <w:rFonts w:ascii="Times New Roman" w:eastAsia="Calibri" w:hAnsi="Times New Roman" w:cs="Times New Roman"/>
                <w:lang w:val="sr-Latn-CS"/>
              </w:rPr>
              <w:t>Stopa objektivnog odgovora (procjena istraživača)</w:t>
            </w:r>
            <w:r w:rsidRPr="008C5C91">
              <w:rPr>
                <w:rFonts w:ascii="Times New Roman" w:eastAsia="Calibri" w:hAnsi="Times New Roman" w:cs="Times New Roman"/>
                <w:vertAlign w:val="superscript"/>
                <w:lang w:val="sr-Latn-CS"/>
              </w:rPr>
              <w:t>a</w:t>
            </w:r>
            <w:r w:rsidRPr="008C5C91">
              <w:rPr>
                <w:rFonts w:ascii="Times New Roman" w:eastAsia="Calibri" w:hAnsi="Times New Roman" w:cs="Times New Roman"/>
                <w:lang w:val="sr-Latn-CS"/>
              </w:rPr>
              <w:t xml:space="preserve"> (95%CI)</w:t>
            </w:r>
          </w:p>
        </w:tc>
        <w:tc>
          <w:tcPr>
            <w:tcW w:w="3638" w:type="dxa"/>
            <w:gridSpan w:val="2"/>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22%</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(14, 32)</w:t>
            </w:r>
          </w:p>
        </w:tc>
        <w:tc>
          <w:tcPr>
            <w:tcW w:w="3505" w:type="dxa"/>
            <w:gridSpan w:val="2"/>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0%</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(0, 4)</w:t>
            </w:r>
          </w:p>
        </w:tc>
      </w:tr>
      <w:tr w:rsidR="008C5C91" w:rsidRPr="008C5C91" w:rsidTr="00B528BA">
        <w:tc>
          <w:tcPr>
            <w:tcW w:w="2158"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b/>
                <w:lang w:val="sr-Latn-CS"/>
              </w:rPr>
              <w:t>Stabilizacija bolesti</w:t>
            </w:r>
          </w:p>
        </w:tc>
        <w:tc>
          <w:tcPr>
            <w:tcW w:w="1822"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34%</w:t>
            </w:r>
          </w:p>
        </w:tc>
        <w:tc>
          <w:tcPr>
            <w:tcW w:w="1816"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12%</w:t>
            </w:r>
          </w:p>
        </w:tc>
        <w:tc>
          <w:tcPr>
            <w:tcW w:w="1822"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12%</w:t>
            </w:r>
          </w:p>
        </w:tc>
        <w:tc>
          <w:tcPr>
            <w:tcW w:w="1683"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8%</w:t>
            </w:r>
          </w:p>
        </w:tc>
      </w:tr>
      <w:tr w:rsidR="008C5C91" w:rsidRPr="008C5C91" w:rsidTr="00B528BA">
        <w:tc>
          <w:tcPr>
            <w:tcW w:w="2158" w:type="dxa"/>
            <w:shd w:val="clear" w:color="auto" w:fill="auto"/>
          </w:tcPr>
          <w:p w:rsidR="008C5C91" w:rsidRPr="008C5C91" w:rsidRDefault="008C5C91" w:rsidP="008C5C91">
            <w:pPr>
              <w:keepNext/>
              <w:spacing w:after="0"/>
              <w:jc w:val="both"/>
              <w:rPr>
                <w:rFonts w:ascii="Times New Roman" w:eastAsia="Calibri" w:hAnsi="Times New Roman" w:cs="Times New Roman"/>
              </w:rPr>
            </w:pPr>
            <w:r w:rsidRPr="008C5C91">
              <w:rPr>
                <w:rFonts w:ascii="Times New Roman" w:eastAsia="Calibri" w:hAnsi="Times New Roman" w:cs="Times New Roman"/>
                <w:b/>
                <w:lang w:val="sr-Latn-CS"/>
              </w:rPr>
              <w:t>PFS</w:t>
            </w:r>
          </w:p>
        </w:tc>
        <w:tc>
          <w:tcPr>
            <w:tcW w:w="7143" w:type="dxa"/>
            <w:gridSpan w:val="4"/>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p>
        </w:tc>
      </w:tr>
      <w:tr w:rsidR="008C5C91" w:rsidRPr="008C5C91" w:rsidTr="00B528BA">
        <w:tc>
          <w:tcPr>
            <w:tcW w:w="2158" w:type="dxa"/>
            <w:shd w:val="clear" w:color="auto" w:fill="auto"/>
          </w:tcPr>
          <w:p w:rsidR="008C5C91" w:rsidRPr="008C5C91" w:rsidRDefault="008C5C91" w:rsidP="00A322D8">
            <w:pPr>
              <w:keepNext/>
              <w:spacing w:after="0"/>
              <w:rPr>
                <w:rFonts w:ascii="Times New Roman" w:eastAsia="Calibri" w:hAnsi="Times New Roman" w:cs="Times New Roman"/>
                <w:lang w:val="sr-Latn-CS"/>
              </w:rPr>
            </w:pPr>
            <w:r w:rsidRPr="008C5C91">
              <w:rPr>
                <w:rFonts w:ascii="Times New Roman" w:eastAsia="Calibri" w:hAnsi="Times New Roman" w:cs="Times New Roman"/>
                <w:lang w:val="sr-Latn-CS"/>
              </w:rPr>
              <w:t>Koeficijent rizika (95% CI)</w:t>
            </w:r>
          </w:p>
        </w:tc>
        <w:tc>
          <w:tcPr>
            <w:tcW w:w="3638" w:type="dxa"/>
            <w:gridSpan w:val="2"/>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0,49 (0,37; 0,65)</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p &lt; 0,0001</w:t>
            </w:r>
          </w:p>
        </w:tc>
        <w:tc>
          <w:tcPr>
            <w:tcW w:w="3505" w:type="dxa"/>
            <w:gridSpan w:val="2"/>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1,07 (0,77; 1,48)</w:t>
            </w:r>
          </w:p>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p = 0,6880</w:t>
            </w:r>
          </w:p>
        </w:tc>
      </w:tr>
      <w:tr w:rsidR="008C5C91" w:rsidRPr="008C5C91" w:rsidTr="00B528BA">
        <w:tc>
          <w:tcPr>
            <w:tcW w:w="2158" w:type="dxa"/>
            <w:shd w:val="clear" w:color="auto" w:fill="auto"/>
          </w:tcPr>
          <w:p w:rsidR="008C5C91" w:rsidRPr="008C5C91" w:rsidRDefault="008C5C91" w:rsidP="00A322D8">
            <w:pPr>
              <w:keepNext/>
              <w:spacing w:after="0"/>
              <w:rPr>
                <w:rFonts w:ascii="Times New Roman" w:eastAsia="Calibri" w:hAnsi="Times New Roman" w:cs="Times New Roman"/>
                <w:lang w:val="sr-Latn-CS"/>
              </w:rPr>
            </w:pPr>
            <w:r w:rsidRPr="008C5C91">
              <w:rPr>
                <w:rFonts w:ascii="Times New Roman" w:eastAsia="Calibri" w:hAnsi="Times New Roman" w:cs="Times New Roman"/>
                <w:lang w:val="sr-Latn-CS"/>
              </w:rPr>
              <w:t>Srednja vrijednost (nedelje)</w:t>
            </w:r>
          </w:p>
        </w:tc>
        <w:tc>
          <w:tcPr>
            <w:tcW w:w="1822"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16,0</w:t>
            </w:r>
          </w:p>
        </w:tc>
        <w:tc>
          <w:tcPr>
            <w:tcW w:w="1816"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8,0</w:t>
            </w:r>
          </w:p>
        </w:tc>
        <w:tc>
          <w:tcPr>
            <w:tcW w:w="1822"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8,0</w:t>
            </w:r>
          </w:p>
        </w:tc>
        <w:tc>
          <w:tcPr>
            <w:tcW w:w="1683" w:type="dxa"/>
            <w:shd w:val="clear" w:color="auto" w:fill="auto"/>
          </w:tcPr>
          <w:p w:rsidR="008C5C91" w:rsidRPr="008C5C91" w:rsidRDefault="008C5C91" w:rsidP="008C5C91">
            <w:pPr>
              <w:keepNext/>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8,0</w:t>
            </w:r>
          </w:p>
        </w:tc>
      </w:tr>
    </w:tbl>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CI = interval pouzdanosti</w:t>
      </w: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vertAlign w:val="superscript"/>
          <w:lang w:val="sr-Latn-CS"/>
        </w:rPr>
        <w:t>a</w:t>
      </w:r>
      <w:r w:rsidRPr="008C5C91">
        <w:rPr>
          <w:rFonts w:ascii="Times New Roman" w:eastAsia="Calibri" w:hAnsi="Times New Roman" w:cs="Times New Roman"/>
          <w:lang w:val="sr-Latn-CS"/>
        </w:rPr>
        <w:t xml:space="preserve"> Kod pacijenata koji su poslije progresije bolesti prebačeni sa BSC na panitumumab (95% CI)</w:t>
      </w:r>
    </w:p>
    <w:p w:rsidR="008C5C91" w:rsidRPr="008C5C91" w:rsidRDefault="008C5C91" w:rsidP="008C5C91">
      <w:pPr>
        <w:spacing w:after="0"/>
        <w:jc w:val="both"/>
        <w:rPr>
          <w:rFonts w:ascii="Times New Roman" w:eastAsia="Calibri" w:hAnsi="Times New Roman" w:cs="Times New Roman"/>
          <w:lang w:val="sr-Latn-CS"/>
        </w:rPr>
      </w:pPr>
    </w:p>
    <w:p w:rsidR="008C5C91" w:rsidRPr="008C5C91" w:rsidRDefault="008C5C91" w:rsidP="008C5C91">
      <w:pPr>
        <w:spacing w:after="0"/>
        <w:jc w:val="both"/>
        <w:rPr>
          <w:rFonts w:ascii="Times New Roman" w:eastAsia="Calibri" w:hAnsi="Times New Roman" w:cs="Times New Roman"/>
          <w:lang w:val="sr-Latn-CS"/>
        </w:rPr>
      </w:pPr>
      <w:r w:rsidRPr="008C5C91">
        <w:rPr>
          <w:rFonts w:ascii="Times New Roman" w:eastAsia="Calibri" w:hAnsi="Times New Roman" w:cs="Times New Roman"/>
          <w:lang w:val="sr-Latn-CS"/>
        </w:rPr>
        <w:t xml:space="preserve">U jednoj eksplorativnoj analizi sačuvanih uzoraka tumora iz ove studije, kod 11 od 72 pacijenta (15%) sa divljim tipom </w:t>
      </w:r>
      <w:r w:rsidRPr="008C5C91">
        <w:rPr>
          <w:rFonts w:ascii="Times New Roman" w:eastAsia="Calibri" w:hAnsi="Times New Roman" w:cs="Times New Roman"/>
          <w:i/>
          <w:lang w:val="sr-Latn-CS"/>
        </w:rPr>
        <w:t>RAS</w:t>
      </w:r>
      <w:r w:rsidRPr="008C5C91">
        <w:rPr>
          <w:rFonts w:ascii="Times New Roman" w:eastAsia="Calibri" w:hAnsi="Times New Roman" w:cs="Times New Roman"/>
          <w:lang w:val="sr-Latn-CS"/>
        </w:rPr>
        <w:t xml:space="preserve"> tumora koji su primili panitumumab dobijen je objektivan odgovor u poređenju sa samo 1 od 95 pacijenata (1%) sa mutiranim </w:t>
      </w:r>
      <w:r w:rsidRPr="008C5C91">
        <w:rPr>
          <w:rFonts w:ascii="Times New Roman" w:eastAsia="Calibri" w:hAnsi="Times New Roman" w:cs="Times New Roman"/>
          <w:i/>
          <w:lang w:val="sr-Latn-CS"/>
        </w:rPr>
        <w:t>RAS</w:t>
      </w:r>
      <w:r w:rsidRPr="008C5C91">
        <w:rPr>
          <w:rFonts w:ascii="Times New Roman" w:eastAsia="Calibri" w:hAnsi="Times New Roman" w:cs="Times New Roman"/>
          <w:lang w:val="sr-Latn-CS"/>
        </w:rPr>
        <w:t xml:space="preserve"> tumorima. Pored toga, liječenje panitumumabom bilo je povezano sa poboljšanjem u PFS u poređenju sa BSC kod pacijenata sa divljim tipom </w:t>
      </w:r>
      <w:r w:rsidRPr="008C5C91">
        <w:rPr>
          <w:rFonts w:ascii="Times New Roman" w:eastAsia="Calibri" w:hAnsi="Times New Roman" w:cs="Times New Roman"/>
          <w:i/>
          <w:lang w:val="sr-Latn-CS"/>
        </w:rPr>
        <w:t>RAS</w:t>
      </w:r>
      <w:r w:rsidRPr="008C5C91">
        <w:rPr>
          <w:rFonts w:ascii="Times New Roman" w:eastAsia="Calibri" w:hAnsi="Times New Roman" w:cs="Times New Roman"/>
          <w:lang w:val="sr-Latn-CS"/>
        </w:rPr>
        <w:t xml:space="preserve"> tumora (HR = 0,38 [95% CI: 0,27, 0,56]), ali ne i kod pacijenata sa tumorima kod kojih su postojale </w:t>
      </w:r>
      <w:r w:rsidRPr="008C5C91">
        <w:rPr>
          <w:rFonts w:ascii="Times New Roman" w:eastAsia="Calibri" w:hAnsi="Times New Roman" w:cs="Times New Roman"/>
          <w:i/>
          <w:lang w:val="sr-Latn-CS"/>
        </w:rPr>
        <w:t xml:space="preserve">RAS </w:t>
      </w:r>
      <w:r w:rsidRPr="008C5C91">
        <w:rPr>
          <w:rFonts w:ascii="Times New Roman" w:eastAsia="Calibri" w:hAnsi="Times New Roman" w:cs="Times New Roman"/>
          <w:lang w:val="sr-Latn-CS"/>
        </w:rPr>
        <w:t>mutacije (HR = 0,98 [95% CI: 0,73, 1,31]).</w:t>
      </w:r>
    </w:p>
    <w:p w:rsidR="008C5C91" w:rsidRPr="008C5C91" w:rsidRDefault="008C5C91" w:rsidP="008C5C91">
      <w:pPr>
        <w:spacing w:after="0" w:line="240" w:lineRule="exact"/>
        <w:jc w:val="both"/>
        <w:rPr>
          <w:rFonts w:ascii="Times New Roman" w:eastAsia="Calibri" w:hAnsi="Times New Roman" w:cs="Times New Roman"/>
          <w:lang w:val="sr-Latn-CS"/>
        </w:rPr>
      </w:pPr>
    </w:p>
    <w:p w:rsidR="008C5C91" w:rsidRPr="008C5C91" w:rsidRDefault="008C5C91" w:rsidP="008C5C91">
      <w:pPr>
        <w:spacing w:after="0"/>
        <w:jc w:val="both"/>
        <w:rPr>
          <w:rFonts w:ascii="Times New Roman" w:eastAsia="Calibri" w:hAnsi="Times New Roman" w:cs="Times New Roman"/>
          <w:color w:val="000000"/>
          <w:lang w:val="sr-Latn-CS"/>
        </w:rPr>
      </w:pPr>
      <w:r w:rsidRPr="008C5C91">
        <w:rPr>
          <w:rFonts w:ascii="Times New Roman" w:eastAsia="Calibri" w:hAnsi="Times New Roman" w:cs="Times New Roman"/>
          <w:color w:val="000000"/>
          <w:lang w:val="sr-Latn-RS"/>
        </w:rPr>
        <w:t>Efikasnost</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lijeka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Vectibix</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je</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tako</w:t>
      </w:r>
      <w:r w:rsidRPr="008C5C91">
        <w:rPr>
          <w:rFonts w:ascii="Times New Roman" w:eastAsia="Calibri" w:hAnsi="Times New Roman" w:cs="Times New Roman"/>
          <w:color w:val="000000"/>
          <w:lang w:val="sr-Latn-CS"/>
        </w:rPr>
        <w:t>đ</w:t>
      </w:r>
      <w:r w:rsidRPr="008C5C91">
        <w:rPr>
          <w:rFonts w:ascii="Times New Roman" w:eastAsia="Calibri" w:hAnsi="Times New Roman" w:cs="Times New Roman"/>
          <w:color w:val="000000"/>
          <w:lang w:val="sr-Latn-RS"/>
        </w:rPr>
        <w:t>e</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ispitivana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u</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jednom</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otvorenom</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ispitivanju</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kod</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pacijenata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sa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mCRC</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sa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divljim</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tipom</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i/>
          <w:color w:val="000000"/>
          <w:lang w:val="sr-Latn-RS"/>
        </w:rPr>
        <w:t>KRAS</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gena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ekson</w:t>
      </w:r>
      <w:r w:rsidRPr="008C5C91">
        <w:rPr>
          <w:rFonts w:ascii="Times New Roman" w:eastAsia="Calibri" w:hAnsi="Times New Roman" w:cs="Times New Roman"/>
          <w:color w:val="000000"/>
          <w:lang w:val="sr-Latn-CS"/>
        </w:rPr>
        <w:t xml:space="preserve"> 2). </w:t>
      </w:r>
      <w:r w:rsidRPr="008C5C91">
        <w:rPr>
          <w:rFonts w:ascii="Times New Roman" w:eastAsia="Calibri" w:hAnsi="Times New Roman" w:cs="Times New Roman"/>
          <w:color w:val="000000"/>
          <w:lang w:val="sr-Latn-RS"/>
        </w:rPr>
        <w:t>Ukupno</w:t>
      </w:r>
      <w:r w:rsidRPr="008C5C91">
        <w:rPr>
          <w:rFonts w:ascii="Times New Roman" w:eastAsia="Calibri" w:hAnsi="Times New Roman" w:cs="Times New Roman"/>
          <w:color w:val="000000"/>
          <w:lang w:val="sr-Latn-CS"/>
        </w:rPr>
        <w:t xml:space="preserve"> 1010 </w:t>
      </w:r>
      <w:r w:rsidRPr="008C5C91">
        <w:rPr>
          <w:rFonts w:ascii="Times New Roman" w:eastAsia="Calibri" w:hAnsi="Times New Roman" w:cs="Times New Roman"/>
          <w:color w:val="000000"/>
          <w:lang w:val="sr-Latn-RS"/>
        </w:rPr>
        <w:t>pacijenata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koji nisu odgovorili na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hemioterapiju</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su</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randomizovani</w:t>
      </w:r>
      <w:r w:rsidRPr="008C5C91">
        <w:rPr>
          <w:rFonts w:ascii="Times New Roman" w:eastAsia="Calibri" w:hAnsi="Times New Roman" w:cs="Times New Roman"/>
          <w:color w:val="000000"/>
          <w:lang w:val="sr-Latn-CS"/>
        </w:rPr>
        <w:t xml:space="preserve"> 1:1 </w:t>
      </w:r>
      <w:r w:rsidRPr="008C5C91">
        <w:rPr>
          <w:rFonts w:ascii="Times New Roman" w:eastAsia="Calibri" w:hAnsi="Times New Roman" w:cs="Times New Roman"/>
          <w:color w:val="000000"/>
          <w:lang w:val="sr-Latn-RS"/>
        </w:rPr>
        <w:t>za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primanje</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Vectibixa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ili</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cetuksimaba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da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bi</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se</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utvrdilo</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da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li</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je</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Vectibix</w:t>
      </w:r>
      <w:r w:rsidRPr="008C5C91">
        <w:rPr>
          <w:rFonts w:ascii="Times New Roman" w:eastAsia="Calibri" w:hAnsi="Times New Roman" w:cs="Times New Roman"/>
          <w:color w:val="000000"/>
          <w:lang w:val="sr-Latn-CS"/>
        </w:rPr>
        <w:t xml:space="preserve"> ne</w:t>
      </w:r>
      <w:r w:rsidRPr="008C5C91">
        <w:rPr>
          <w:rFonts w:ascii="Times New Roman" w:eastAsia="Calibri" w:hAnsi="Times New Roman" w:cs="Times New Roman"/>
          <w:color w:val="000000"/>
          <w:lang w:val="sr-Latn-RS"/>
        </w:rPr>
        <w:t>inferioran</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u</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lastRenderedPageBreak/>
        <w:t>odnosu</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na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cetuksimab</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Primarni</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parametar efikasnosti</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je</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bilo</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OS</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Sekundarni</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parametri efikasnosti</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su</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uključivali</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PFS</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i</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stopu objektivnog</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odgovora</w:t>
      </w:r>
      <w:r w:rsidRPr="008C5C91">
        <w:rPr>
          <w:rFonts w:ascii="Times New Roman" w:eastAsia="Calibri" w:hAnsi="Times New Roman" w:cs="Times New Roman"/>
          <w:color w:val="000000"/>
          <w:lang w:val="sr-Latn-CS"/>
        </w:rPr>
        <w:t xml:space="preserve"> (</w:t>
      </w:r>
      <w:r w:rsidRPr="008C5C91">
        <w:rPr>
          <w:rFonts w:ascii="Times New Roman" w:eastAsia="Calibri" w:hAnsi="Times New Roman" w:cs="Times New Roman"/>
          <w:color w:val="000000"/>
          <w:lang w:val="sr-Latn-RS"/>
        </w:rPr>
        <w:t>ORR</w:t>
      </w:r>
      <w:r w:rsidRPr="008C5C91">
        <w:rPr>
          <w:rFonts w:ascii="Times New Roman" w:eastAsia="Calibri" w:hAnsi="Times New Roman" w:cs="Times New Roman"/>
          <w:color w:val="000000"/>
          <w:lang w:val="sr-Latn-CS"/>
        </w:rPr>
        <w:t>).</w:t>
      </w:r>
    </w:p>
    <w:p w:rsidR="008C5C91" w:rsidRPr="008C5C91" w:rsidRDefault="008C5C91" w:rsidP="008C5C91">
      <w:pPr>
        <w:spacing w:after="0"/>
        <w:jc w:val="both"/>
        <w:rPr>
          <w:rFonts w:ascii="Times New Roman" w:eastAsia="Calibri" w:hAnsi="Times New Roman" w:cs="Times New Roman"/>
          <w:lang w:val="sr-Latn-CS"/>
        </w:rPr>
      </w:pPr>
    </w:p>
    <w:p w:rsidR="008C5C91" w:rsidRPr="008C5C91" w:rsidRDefault="008C5C91" w:rsidP="008C5C91">
      <w:pPr>
        <w:keepNext/>
        <w:spacing w:after="0"/>
        <w:jc w:val="both"/>
        <w:rPr>
          <w:rFonts w:ascii="Times New Roman" w:eastAsia="Calibri" w:hAnsi="Times New Roman" w:cs="Times New Roman"/>
          <w:lang w:val="nb-NO"/>
        </w:rPr>
      </w:pPr>
      <w:r w:rsidRPr="008C5C91">
        <w:rPr>
          <w:rFonts w:ascii="Times New Roman" w:eastAsia="Calibri" w:hAnsi="Times New Roman" w:cs="Times New Roman"/>
          <w:lang w:val="nb-NO"/>
        </w:rPr>
        <w:t xml:space="preserve">Rezultati efikasnosti ove studije su prikazani u tabeli. </w:t>
      </w:r>
    </w:p>
    <w:p w:rsidR="008C5C91" w:rsidRPr="008C5C91" w:rsidRDefault="008C5C91" w:rsidP="008C5C91">
      <w:pPr>
        <w:tabs>
          <w:tab w:val="left" w:pos="284"/>
        </w:tabs>
        <w:spacing w:after="0"/>
        <w:jc w:val="both"/>
        <w:rPr>
          <w:rFonts w:ascii="Times New Roman" w:hAnsi="Times New Roman" w:cs="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041"/>
        <w:gridCol w:w="3479"/>
      </w:tblGrid>
      <w:tr w:rsidR="008C5C91" w:rsidRPr="008C5C91" w:rsidTr="00632EFB">
        <w:trPr>
          <w:cantSplit/>
          <w:trHeight w:val="512"/>
          <w:tblHeader/>
        </w:trPr>
        <w:tc>
          <w:tcPr>
            <w:tcW w:w="1610" w:type="pct"/>
            <w:shd w:val="clear" w:color="auto" w:fill="auto"/>
            <w:vAlign w:val="center"/>
          </w:tcPr>
          <w:p w:rsidR="008C5C91" w:rsidRPr="008C5C91" w:rsidRDefault="008C5C91" w:rsidP="008C5C91">
            <w:pPr>
              <w:keepNext/>
              <w:spacing w:after="0"/>
              <w:jc w:val="both"/>
              <w:rPr>
                <w:rFonts w:ascii="Times New Roman" w:eastAsia="Calibri" w:hAnsi="Times New Roman" w:cs="Times New Roman"/>
                <w:lang w:val="nb-NO"/>
              </w:rPr>
            </w:pPr>
            <w:r w:rsidRPr="008C5C91">
              <w:rPr>
                <w:rFonts w:ascii="Times New Roman" w:eastAsia="Calibri" w:hAnsi="Times New Roman" w:cs="Times New Roman"/>
                <w:b/>
                <w:bCs/>
                <w:lang w:val="nb-NO"/>
              </w:rPr>
              <w:t xml:space="preserve">Populacija sa divljim tipom </w:t>
            </w:r>
            <w:r w:rsidRPr="008C5C91">
              <w:rPr>
                <w:rFonts w:ascii="Times New Roman" w:eastAsia="Calibri" w:hAnsi="Times New Roman" w:cs="Times New Roman"/>
                <w:b/>
                <w:bCs/>
                <w:i/>
                <w:lang w:val="nb-NO"/>
              </w:rPr>
              <w:t>KRAS</w:t>
            </w:r>
            <w:r w:rsidRPr="008C5C91">
              <w:rPr>
                <w:rFonts w:ascii="Times New Roman" w:eastAsia="Calibri" w:hAnsi="Times New Roman" w:cs="Times New Roman"/>
                <w:b/>
                <w:bCs/>
                <w:lang w:val="nb-NO"/>
              </w:rPr>
              <w:t xml:space="preserve"> gena (ekson 2)</w:t>
            </w:r>
          </w:p>
        </w:tc>
        <w:tc>
          <w:tcPr>
            <w:tcW w:w="1581" w:type="pct"/>
            <w:shd w:val="clear" w:color="auto" w:fill="auto"/>
            <w:vAlign w:val="center"/>
          </w:tcPr>
          <w:p w:rsidR="008C5C91" w:rsidRPr="008C5C91" w:rsidRDefault="008C5C91" w:rsidP="008C5C91">
            <w:pPr>
              <w:keepNext/>
              <w:spacing w:after="0"/>
              <w:ind w:left="60" w:hanging="191"/>
              <w:jc w:val="both"/>
              <w:rPr>
                <w:rFonts w:ascii="Times New Roman" w:eastAsia="Calibri" w:hAnsi="Times New Roman" w:cs="Times New Roman"/>
                <w:b/>
                <w:bCs/>
                <w:lang w:val="sr-Latn-RS"/>
              </w:rPr>
            </w:pPr>
            <w:r w:rsidRPr="008C5C91">
              <w:rPr>
                <w:rFonts w:ascii="Times New Roman" w:eastAsia="Calibri" w:hAnsi="Times New Roman" w:cs="Times New Roman"/>
                <w:b/>
                <w:bCs/>
                <w:lang w:val="sr-Latn-RS"/>
              </w:rPr>
              <w:t xml:space="preserve">Vectibix </w:t>
            </w:r>
          </w:p>
          <w:p w:rsidR="008C5C91" w:rsidRPr="008C5C91" w:rsidRDefault="008C5C91" w:rsidP="008C5C91">
            <w:pPr>
              <w:keepNext/>
              <w:spacing w:after="0"/>
              <w:ind w:left="60" w:hanging="191"/>
              <w:jc w:val="both"/>
              <w:rPr>
                <w:rFonts w:ascii="Times New Roman" w:eastAsia="Calibri" w:hAnsi="Times New Roman" w:cs="Times New Roman"/>
                <w:lang w:val="sr-Latn-RS"/>
              </w:rPr>
            </w:pPr>
            <w:r w:rsidRPr="008C5C91">
              <w:rPr>
                <w:rFonts w:ascii="Times New Roman" w:eastAsia="Calibri" w:hAnsi="Times New Roman" w:cs="Times New Roman"/>
                <w:lang w:val="sr-Latn-RS"/>
              </w:rPr>
              <w:t>(n = 499)</w:t>
            </w:r>
          </w:p>
        </w:tc>
        <w:tc>
          <w:tcPr>
            <w:tcW w:w="1809" w:type="pct"/>
            <w:shd w:val="clear" w:color="auto" w:fill="auto"/>
            <w:vAlign w:val="center"/>
          </w:tcPr>
          <w:p w:rsidR="008C5C91" w:rsidRPr="008C5C91" w:rsidRDefault="008C5C91" w:rsidP="008C5C91">
            <w:pPr>
              <w:keepNext/>
              <w:spacing w:after="0"/>
              <w:jc w:val="both"/>
              <w:rPr>
                <w:rFonts w:ascii="Times New Roman" w:eastAsia="Calibri" w:hAnsi="Times New Roman" w:cs="Times New Roman"/>
                <w:b/>
                <w:lang w:val="sr-Latn-RS"/>
              </w:rPr>
            </w:pPr>
            <w:r w:rsidRPr="008C5C91">
              <w:rPr>
                <w:rFonts w:ascii="Times New Roman" w:eastAsia="Calibri" w:hAnsi="Times New Roman" w:cs="Times New Roman"/>
                <w:b/>
                <w:lang w:val="sr-Latn-RS"/>
              </w:rPr>
              <w:t>Cetuksimab</w:t>
            </w:r>
          </w:p>
          <w:p w:rsidR="008C5C91" w:rsidRPr="008C5C91" w:rsidRDefault="008C5C91" w:rsidP="008C5C91">
            <w:pPr>
              <w:keepNext/>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(n = 500)</w:t>
            </w:r>
          </w:p>
        </w:tc>
      </w:tr>
      <w:tr w:rsidR="008C5C91" w:rsidRPr="008C5C91" w:rsidTr="00632EFB">
        <w:trPr>
          <w:cantSplit/>
          <w:trHeight w:val="287"/>
        </w:trPr>
        <w:tc>
          <w:tcPr>
            <w:tcW w:w="5000" w:type="pct"/>
            <w:gridSpan w:val="3"/>
            <w:shd w:val="clear" w:color="auto" w:fill="auto"/>
          </w:tcPr>
          <w:p w:rsidR="008C5C91" w:rsidRPr="008C5C91" w:rsidRDefault="008C5C91" w:rsidP="008C5C91">
            <w:pPr>
              <w:spacing w:after="0"/>
              <w:jc w:val="both"/>
              <w:rPr>
                <w:rFonts w:ascii="Times New Roman" w:eastAsia="Calibri" w:hAnsi="Times New Roman" w:cs="Times New Roman"/>
                <w:b/>
                <w:lang w:val="sr-Latn-RS"/>
              </w:rPr>
            </w:pPr>
            <w:r w:rsidRPr="008C5C91">
              <w:rPr>
                <w:rFonts w:ascii="Times New Roman" w:eastAsia="Calibri" w:hAnsi="Times New Roman" w:cs="Times New Roman"/>
                <w:b/>
                <w:lang w:val="sr-Latn-RS"/>
              </w:rPr>
              <w:t>OS</w:t>
            </w:r>
          </w:p>
        </w:tc>
      </w:tr>
      <w:tr w:rsidR="008C5C91" w:rsidRPr="008C5C91" w:rsidTr="00632EFB">
        <w:trPr>
          <w:cantSplit/>
          <w:trHeight w:val="287"/>
        </w:trPr>
        <w:tc>
          <w:tcPr>
            <w:tcW w:w="1610" w:type="pct"/>
            <w:shd w:val="clear" w:color="auto" w:fill="auto"/>
          </w:tcPr>
          <w:p w:rsidR="008C5C91" w:rsidRPr="008C5C91" w:rsidRDefault="008C5C91" w:rsidP="00632EFB">
            <w:pPr>
              <w:spacing w:after="0"/>
              <w:rPr>
                <w:rFonts w:ascii="Times New Roman" w:eastAsia="Calibri" w:hAnsi="Times New Roman" w:cs="Times New Roman"/>
                <w:lang w:val="sr-Latn-RS"/>
              </w:rPr>
            </w:pPr>
            <w:r w:rsidRPr="008C5C91">
              <w:rPr>
                <w:rFonts w:ascii="Times New Roman" w:eastAsia="Calibri" w:hAnsi="Times New Roman" w:cs="Times New Roman"/>
                <w:lang w:val="sr-Latn-RS"/>
              </w:rPr>
              <w:t xml:space="preserve">Srednja vrijednost (mjeseci) (95% CI) </w:t>
            </w:r>
          </w:p>
        </w:tc>
        <w:tc>
          <w:tcPr>
            <w:tcW w:w="1581" w:type="pct"/>
            <w:shd w:val="clear" w:color="auto" w:fill="auto"/>
            <w:vAlign w:val="center"/>
          </w:tcPr>
          <w:p w:rsidR="008C5C91" w:rsidRPr="008C5C91" w:rsidRDefault="008C5C91" w:rsidP="008C5C91">
            <w:pPr>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10,4 (9,4; 11,6)</w:t>
            </w:r>
          </w:p>
        </w:tc>
        <w:tc>
          <w:tcPr>
            <w:tcW w:w="1809" w:type="pct"/>
            <w:shd w:val="clear" w:color="auto" w:fill="auto"/>
            <w:vAlign w:val="center"/>
          </w:tcPr>
          <w:p w:rsidR="008C5C91" w:rsidRPr="008C5C91" w:rsidRDefault="008C5C91" w:rsidP="008C5C91">
            <w:pPr>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10,0 (9,3; 11,0)</w:t>
            </w:r>
          </w:p>
        </w:tc>
      </w:tr>
      <w:tr w:rsidR="008C5C91" w:rsidRPr="008C5C91" w:rsidTr="00632EFB">
        <w:trPr>
          <w:cantSplit/>
          <w:trHeight w:val="287"/>
        </w:trPr>
        <w:tc>
          <w:tcPr>
            <w:tcW w:w="1610" w:type="pct"/>
            <w:shd w:val="clear" w:color="auto" w:fill="auto"/>
          </w:tcPr>
          <w:p w:rsidR="008C5C91" w:rsidRPr="008C5C91" w:rsidRDefault="008C5C91" w:rsidP="008C5C91">
            <w:pPr>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Koeficijent rizika (95% CI)</w:t>
            </w:r>
          </w:p>
        </w:tc>
        <w:tc>
          <w:tcPr>
            <w:tcW w:w="3390" w:type="pct"/>
            <w:gridSpan w:val="2"/>
            <w:shd w:val="clear" w:color="auto" w:fill="auto"/>
            <w:vAlign w:val="center"/>
          </w:tcPr>
          <w:p w:rsidR="008C5C91" w:rsidRPr="008C5C91" w:rsidRDefault="008C5C91" w:rsidP="008C5C91">
            <w:pPr>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0,97 (0,84; 1,11)</w:t>
            </w:r>
          </w:p>
        </w:tc>
      </w:tr>
      <w:tr w:rsidR="008C5C91" w:rsidRPr="008C5C91" w:rsidTr="00632EFB">
        <w:trPr>
          <w:cantSplit/>
          <w:trHeight w:val="287"/>
        </w:trPr>
        <w:tc>
          <w:tcPr>
            <w:tcW w:w="5000" w:type="pct"/>
            <w:gridSpan w:val="3"/>
            <w:shd w:val="clear" w:color="auto" w:fill="auto"/>
          </w:tcPr>
          <w:p w:rsidR="008C5C91" w:rsidRPr="008C5C91" w:rsidRDefault="008C5C91" w:rsidP="008C5C91">
            <w:pPr>
              <w:keepNext/>
              <w:spacing w:after="0"/>
              <w:jc w:val="both"/>
              <w:rPr>
                <w:rFonts w:ascii="Times New Roman" w:eastAsia="Calibri" w:hAnsi="Times New Roman" w:cs="Times New Roman"/>
                <w:b/>
                <w:lang w:val="sr-Latn-RS"/>
              </w:rPr>
            </w:pPr>
            <w:r w:rsidRPr="008C5C91">
              <w:rPr>
                <w:rFonts w:ascii="Times New Roman" w:eastAsia="Calibri" w:hAnsi="Times New Roman" w:cs="Times New Roman"/>
                <w:b/>
                <w:lang w:val="sr-Latn-RS"/>
              </w:rPr>
              <w:t>PFS</w:t>
            </w:r>
          </w:p>
        </w:tc>
      </w:tr>
      <w:tr w:rsidR="008C5C91" w:rsidRPr="008C5C91" w:rsidTr="00632EFB">
        <w:trPr>
          <w:cantSplit/>
          <w:trHeight w:val="287"/>
        </w:trPr>
        <w:tc>
          <w:tcPr>
            <w:tcW w:w="1610" w:type="pct"/>
            <w:shd w:val="clear" w:color="auto" w:fill="auto"/>
          </w:tcPr>
          <w:p w:rsidR="008C5C91" w:rsidRPr="008C5C91" w:rsidRDefault="008C5C91" w:rsidP="00632EFB">
            <w:pPr>
              <w:keepNext/>
              <w:spacing w:after="0"/>
              <w:rPr>
                <w:rFonts w:ascii="Times New Roman" w:eastAsia="Calibri" w:hAnsi="Times New Roman" w:cs="Times New Roman"/>
                <w:lang w:val="sr-Latn-RS"/>
              </w:rPr>
            </w:pPr>
            <w:r w:rsidRPr="008C5C91">
              <w:rPr>
                <w:rFonts w:ascii="Times New Roman" w:eastAsia="Calibri" w:hAnsi="Times New Roman" w:cs="Times New Roman"/>
                <w:lang w:val="sr-Latn-RS"/>
              </w:rPr>
              <w:t>Srednja vrijednost (mjeseci) (95% CI)</w:t>
            </w:r>
          </w:p>
        </w:tc>
        <w:tc>
          <w:tcPr>
            <w:tcW w:w="1581" w:type="pct"/>
            <w:shd w:val="clear" w:color="auto" w:fill="auto"/>
            <w:vAlign w:val="center"/>
          </w:tcPr>
          <w:p w:rsidR="008C5C91" w:rsidRPr="008C5C91" w:rsidRDefault="008C5C91" w:rsidP="008C5C91">
            <w:pPr>
              <w:keepNext/>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4,1 (3,2; 4,8)</w:t>
            </w:r>
          </w:p>
        </w:tc>
        <w:tc>
          <w:tcPr>
            <w:tcW w:w="1809" w:type="pct"/>
            <w:shd w:val="clear" w:color="auto" w:fill="auto"/>
            <w:vAlign w:val="center"/>
          </w:tcPr>
          <w:p w:rsidR="008C5C91" w:rsidRPr="008C5C91" w:rsidRDefault="008C5C91" w:rsidP="008C5C91">
            <w:pPr>
              <w:keepNext/>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4,4 (3,2; 4,8)</w:t>
            </w:r>
          </w:p>
        </w:tc>
      </w:tr>
      <w:tr w:rsidR="008C5C91" w:rsidRPr="008C5C91" w:rsidTr="00632EFB">
        <w:trPr>
          <w:cantSplit/>
          <w:trHeight w:val="287"/>
        </w:trPr>
        <w:tc>
          <w:tcPr>
            <w:tcW w:w="1610" w:type="pct"/>
            <w:shd w:val="clear" w:color="auto" w:fill="auto"/>
          </w:tcPr>
          <w:p w:rsidR="008C5C91" w:rsidRPr="008C5C91" w:rsidRDefault="008C5C91" w:rsidP="008C5C91">
            <w:pPr>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Koeficijent rizika (95% CI)</w:t>
            </w:r>
          </w:p>
        </w:tc>
        <w:tc>
          <w:tcPr>
            <w:tcW w:w="3390" w:type="pct"/>
            <w:gridSpan w:val="2"/>
            <w:shd w:val="clear" w:color="auto" w:fill="auto"/>
            <w:vAlign w:val="center"/>
          </w:tcPr>
          <w:p w:rsidR="008C5C91" w:rsidRPr="008C5C91" w:rsidRDefault="008C5C91" w:rsidP="008C5C91">
            <w:pPr>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1,00 (0,88; 1,14)</w:t>
            </w:r>
          </w:p>
        </w:tc>
      </w:tr>
      <w:tr w:rsidR="008C5C91" w:rsidRPr="008C5C91" w:rsidTr="00632EFB">
        <w:trPr>
          <w:cantSplit/>
          <w:trHeight w:val="287"/>
        </w:trPr>
        <w:tc>
          <w:tcPr>
            <w:tcW w:w="5000" w:type="pct"/>
            <w:gridSpan w:val="3"/>
            <w:shd w:val="clear" w:color="auto" w:fill="auto"/>
          </w:tcPr>
          <w:p w:rsidR="008C5C91" w:rsidRPr="008C5C91" w:rsidRDefault="008C5C91" w:rsidP="008C5C91">
            <w:pPr>
              <w:keepNext/>
              <w:spacing w:after="0"/>
              <w:jc w:val="both"/>
              <w:rPr>
                <w:rFonts w:ascii="Times New Roman" w:eastAsia="Calibri" w:hAnsi="Times New Roman" w:cs="Times New Roman"/>
                <w:b/>
                <w:lang w:val="sr-Latn-RS"/>
              </w:rPr>
            </w:pPr>
            <w:r w:rsidRPr="008C5C91">
              <w:rPr>
                <w:rFonts w:ascii="Times New Roman" w:eastAsia="Calibri" w:hAnsi="Times New Roman" w:cs="Times New Roman"/>
                <w:b/>
                <w:lang w:val="sr-Latn-RS"/>
              </w:rPr>
              <w:t>ORR</w:t>
            </w:r>
          </w:p>
        </w:tc>
      </w:tr>
      <w:tr w:rsidR="008C5C91" w:rsidRPr="008C5C91" w:rsidTr="00632EFB">
        <w:trPr>
          <w:cantSplit/>
          <w:trHeight w:val="287"/>
        </w:trPr>
        <w:tc>
          <w:tcPr>
            <w:tcW w:w="1610" w:type="pct"/>
            <w:shd w:val="clear" w:color="auto" w:fill="auto"/>
          </w:tcPr>
          <w:p w:rsidR="008C5C91" w:rsidRPr="008C5C91" w:rsidRDefault="008C5C91" w:rsidP="008C5C91">
            <w:pPr>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n (%) (95% CI)</w:t>
            </w:r>
          </w:p>
        </w:tc>
        <w:tc>
          <w:tcPr>
            <w:tcW w:w="1581" w:type="pct"/>
            <w:shd w:val="clear" w:color="auto" w:fill="auto"/>
            <w:vAlign w:val="center"/>
          </w:tcPr>
          <w:p w:rsidR="008C5C91" w:rsidRPr="008C5C91" w:rsidRDefault="008C5C91" w:rsidP="008C5C91">
            <w:pPr>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22% (18%, 26%)</w:t>
            </w:r>
          </w:p>
        </w:tc>
        <w:tc>
          <w:tcPr>
            <w:tcW w:w="1809" w:type="pct"/>
            <w:shd w:val="clear" w:color="auto" w:fill="auto"/>
          </w:tcPr>
          <w:p w:rsidR="008C5C91" w:rsidRPr="008C5C91" w:rsidRDefault="008C5C91" w:rsidP="008C5C91">
            <w:pPr>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20% (16%, 24%)</w:t>
            </w:r>
          </w:p>
        </w:tc>
      </w:tr>
      <w:tr w:rsidR="008C5C91" w:rsidRPr="008C5C91" w:rsidTr="00632EFB">
        <w:trPr>
          <w:cantSplit/>
          <w:trHeight w:val="287"/>
        </w:trPr>
        <w:tc>
          <w:tcPr>
            <w:tcW w:w="1610" w:type="pct"/>
            <w:shd w:val="clear" w:color="auto" w:fill="auto"/>
          </w:tcPr>
          <w:p w:rsidR="008C5C91" w:rsidRPr="008C5C91" w:rsidRDefault="008C5C91" w:rsidP="00632EFB">
            <w:pPr>
              <w:spacing w:after="0"/>
              <w:rPr>
                <w:rFonts w:ascii="Times New Roman" w:eastAsia="Calibri" w:hAnsi="Times New Roman" w:cs="Times New Roman"/>
                <w:lang w:val="sr-Latn-RS"/>
              </w:rPr>
            </w:pPr>
            <w:r w:rsidRPr="008C5C91">
              <w:rPr>
                <w:rFonts w:ascii="Times New Roman" w:eastAsia="Calibri" w:hAnsi="Times New Roman" w:cs="Times New Roman"/>
                <w:lang w:val="sr-Latn-RS"/>
              </w:rPr>
              <w:t>Koeficijent vjerovatnoće (95% CI)</w:t>
            </w:r>
          </w:p>
        </w:tc>
        <w:tc>
          <w:tcPr>
            <w:tcW w:w="3390" w:type="pct"/>
            <w:gridSpan w:val="2"/>
            <w:shd w:val="clear" w:color="auto" w:fill="auto"/>
            <w:vAlign w:val="center"/>
          </w:tcPr>
          <w:p w:rsidR="008C5C91" w:rsidRPr="008C5C91" w:rsidRDefault="008C5C91" w:rsidP="008C5C91">
            <w:pPr>
              <w:spacing w:after="0"/>
              <w:jc w:val="both"/>
              <w:rPr>
                <w:rFonts w:ascii="Times New Roman" w:eastAsia="Calibri" w:hAnsi="Times New Roman" w:cs="Times New Roman"/>
                <w:lang w:val="sr-Latn-RS"/>
              </w:rPr>
            </w:pPr>
            <w:r w:rsidRPr="008C5C91">
              <w:rPr>
                <w:rFonts w:ascii="Times New Roman" w:eastAsia="Calibri" w:hAnsi="Times New Roman" w:cs="Times New Roman"/>
                <w:lang w:val="sr-Latn-RS"/>
              </w:rPr>
              <w:t>1,15 (0,83; 1,58)</w:t>
            </w:r>
          </w:p>
        </w:tc>
      </w:tr>
    </w:tbl>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RS"/>
        </w:rPr>
        <w:t xml:space="preserve">Ukupno, bezbijednosni profil panitumumaba je bio sličan cetuksimabu, posebno po pitanju tokičnosti na koži. Međutim, reakcije na mjestu primjene infuzije su bile češće kod cetuksimaba (13% </w:t>
      </w:r>
      <w:r w:rsidRPr="008C5C91">
        <w:rPr>
          <w:rFonts w:ascii="Times New Roman" w:hAnsi="Times New Roman" w:cs="Times New Roman"/>
          <w:i/>
          <w:lang w:val="sr-Latn-RS"/>
        </w:rPr>
        <w:t>vs</w:t>
      </w:r>
      <w:r w:rsidRPr="008C5C91">
        <w:rPr>
          <w:rFonts w:ascii="Times New Roman" w:hAnsi="Times New Roman" w:cs="Times New Roman"/>
          <w:lang w:val="sr-Latn-RS"/>
        </w:rPr>
        <w:t xml:space="preserve"> 3%) dok se poremećaj elektrolita češće javljao kod panitumumaba, posebno hipomagnezijemija (29% </w:t>
      </w:r>
      <w:r w:rsidRPr="008C5C91">
        <w:rPr>
          <w:rFonts w:ascii="Times New Roman" w:hAnsi="Times New Roman" w:cs="Times New Roman"/>
          <w:i/>
          <w:lang w:val="sr-Latn-RS"/>
        </w:rPr>
        <w:t>vs</w:t>
      </w:r>
      <w:r w:rsidRPr="008C5C91">
        <w:rPr>
          <w:rFonts w:ascii="Times New Roman" w:hAnsi="Times New Roman" w:cs="Times New Roman"/>
          <w:lang w:val="sr-Latn-RS"/>
        </w:rPr>
        <w:t xml:space="preserve"> 19%).</w:t>
      </w:r>
    </w:p>
    <w:p w:rsidR="008C5C91" w:rsidRPr="008C5C91" w:rsidRDefault="008C5C91" w:rsidP="008C5C91">
      <w:pPr>
        <w:tabs>
          <w:tab w:val="left" w:pos="540"/>
          <w:tab w:val="left" w:pos="569"/>
        </w:tabs>
        <w:spacing w:after="0"/>
        <w:jc w:val="both"/>
        <w:rPr>
          <w:rFonts w:ascii="Times New Roman" w:hAnsi="Times New Roman" w:cs="Times New Roman"/>
          <w:b/>
          <w:bCs/>
          <w:lang w:val="sr-Latn-R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Klinička efikasnost u kombinaciji sa hemioterapijom</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Među pacijentima </w:t>
      </w:r>
      <w:r w:rsidRPr="008C5C91">
        <w:rPr>
          <w:rFonts w:ascii="Times New Roman" w:hAnsi="Times New Roman" w:cs="Times New Roman"/>
          <w:lang w:val="sr-Latn-RS"/>
        </w:rPr>
        <w:t xml:space="preserve">sa </w:t>
      </w:r>
      <w:r w:rsidRPr="008C5C91">
        <w:rPr>
          <w:rFonts w:ascii="Times New Roman" w:hAnsi="Times New Roman" w:cs="Times New Roman"/>
          <w:lang w:val="sr-Latn-CS"/>
        </w:rPr>
        <w:t xml:space="preserve">mCRC sa divljim tipom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gena, PFS, OS i ORR bili su poboljšani kod pacijenata koji su primali panitumumab u kombinaciji sa hemioterapijom (FOLFOX ili FOLFIRI) u poređenju sa onima koji su primali samo hemioterapiju. Kod pacijenata koji su pored </w:t>
      </w:r>
      <w:r w:rsidRPr="008C5C91">
        <w:rPr>
          <w:rFonts w:ascii="Times New Roman" w:hAnsi="Times New Roman" w:cs="Times New Roman"/>
          <w:i/>
          <w:lang w:val="sr-Latn-CS"/>
        </w:rPr>
        <w:t xml:space="preserve">KRAS </w:t>
      </w:r>
      <w:r w:rsidRPr="008C5C91">
        <w:rPr>
          <w:rFonts w:ascii="Times New Roman" w:hAnsi="Times New Roman" w:cs="Times New Roman"/>
          <w:lang w:val="sr-Latn-CS"/>
        </w:rPr>
        <w:t xml:space="preserve">ekson 2 imali dodatne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mutacije, nije bilo vjerovatno da će imati koristi od davanja panitumumaba u kombinaciji sa FOLFIRI, dok je uočen štetan efekat kod ovih pacijenata pri primjeni panitumumaba u kombinaciji sa FOLFOX. Utvrđeno je da je postojanje </w:t>
      </w:r>
      <w:r w:rsidRPr="008C5C91">
        <w:rPr>
          <w:rFonts w:ascii="Times New Roman" w:hAnsi="Times New Roman" w:cs="Times New Roman"/>
          <w:i/>
          <w:lang w:val="sr-Latn-CS"/>
        </w:rPr>
        <w:t>BRAF</w:t>
      </w:r>
      <w:r w:rsidRPr="008C5C91">
        <w:rPr>
          <w:rFonts w:ascii="Times New Roman" w:hAnsi="Times New Roman" w:cs="Times New Roman"/>
          <w:lang w:val="sr-Latn-CS"/>
        </w:rPr>
        <w:t xml:space="preserve"> mutacija na eksonu 15 pokazatelj lošijeg ishoda terapije. </w:t>
      </w:r>
      <w:r w:rsidRPr="008C5C91">
        <w:rPr>
          <w:rFonts w:ascii="Times New Roman" w:hAnsi="Times New Roman" w:cs="Times New Roman"/>
          <w:i/>
          <w:lang w:val="sr-Latn-CS"/>
        </w:rPr>
        <w:t>BRAF</w:t>
      </w:r>
      <w:r w:rsidRPr="008C5C91">
        <w:rPr>
          <w:rFonts w:ascii="Times New Roman" w:hAnsi="Times New Roman" w:cs="Times New Roman"/>
          <w:lang w:val="sr-Latn-CS"/>
        </w:rPr>
        <w:t xml:space="preserve"> mutacije ne predstavljaju prognostički faktor za ishod terapije panitumumabom u kombinaciji sa FOLFOX ili FOLFIRI.</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i/>
          <w:u w:val="single"/>
          <w:lang w:val="sr-Latn-CS"/>
        </w:rPr>
      </w:pPr>
      <w:r w:rsidRPr="008C5C91">
        <w:rPr>
          <w:rFonts w:ascii="Times New Roman" w:hAnsi="Times New Roman" w:cs="Times New Roman"/>
          <w:i/>
          <w:u w:val="single"/>
          <w:lang w:val="sr-Latn-CS"/>
        </w:rPr>
        <w:t>Prva linija terapije- kombinovana terapija sa FOLFOX</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Efikasnost lijeka Vectibix u kombinaciji sa okslaiplatinom, 5-fluorouracilom (5-FU) i leukovorinom (FOLFOX) je ispitivana u randomizovanoj, kontrolisanoj studiji na 1183 pacijenta sa mCRC, pri čemu je primarni parametar praćenja bio PFS. Drugi ključni parametri efikasnosti bili su OS, ORR, vrijeme do postizanja odgovora, vrijeme do progresije (TTP) i trajanje odgovora. Rezultati studije prospektivno su analiziranii odnosu na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(ekson 2) status tumora koji je bio ispitan kod 93% pacijenata.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lastRenderedPageBreak/>
        <w:t xml:space="preserve">Sprovedena je unapred definisana retrospektivna analiza podgrupe od 641 od ukupno 656 pacijenata sa divljm tipom </w:t>
      </w:r>
      <w:r w:rsidRPr="008C5C91">
        <w:rPr>
          <w:rFonts w:ascii="Times New Roman" w:hAnsi="Times New Roman" w:cs="Times New Roman"/>
          <w:i/>
          <w:lang w:val="sr-Latn-CS"/>
        </w:rPr>
        <w:t xml:space="preserve">KRAS </w:t>
      </w:r>
      <w:r w:rsidRPr="008C5C91">
        <w:rPr>
          <w:rFonts w:ascii="Times New Roman" w:hAnsi="Times New Roman" w:cs="Times New Roman"/>
          <w:lang w:val="sr-Latn-CS"/>
        </w:rPr>
        <w:t xml:space="preserve">(ekson 2) mCRC. Uzorci tumora pacijenata sa divljim tipom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ekson 2 (kodoni 12/13) gena su ispitani na dodatne</w:t>
      </w:r>
      <w:r w:rsidRPr="008C5C91">
        <w:rPr>
          <w:rFonts w:ascii="Times New Roman" w:hAnsi="Times New Roman" w:cs="Times New Roman"/>
          <w:i/>
          <w:lang w:val="sr-Latn-CS"/>
        </w:rPr>
        <w:t xml:space="preserve"> RAS</w:t>
      </w:r>
      <w:r w:rsidRPr="008C5C91">
        <w:rPr>
          <w:rFonts w:ascii="Times New Roman" w:hAnsi="Times New Roman" w:cs="Times New Roman"/>
          <w:lang w:val="sr-Latn-CS"/>
        </w:rPr>
        <w:t xml:space="preserve"> mutacije na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eksonu 3 (kodon 61) i eksonu 4 (kodoni 117/146) i </w:t>
      </w:r>
      <w:r w:rsidRPr="008C5C91">
        <w:rPr>
          <w:rFonts w:ascii="Times New Roman" w:hAnsi="Times New Roman" w:cs="Times New Roman"/>
          <w:i/>
          <w:lang w:val="sr-Latn-CS"/>
        </w:rPr>
        <w:t>NRAS</w:t>
      </w:r>
      <w:r w:rsidRPr="008C5C91">
        <w:rPr>
          <w:rFonts w:ascii="Times New Roman" w:hAnsi="Times New Roman" w:cs="Times New Roman"/>
          <w:lang w:val="sr-Latn-CS"/>
        </w:rPr>
        <w:t xml:space="preserve"> eksonu 2 (kodoni 12/13), eksonu 3 (kodon 61) i eksonu 4 (kodoni 117/146) i </w:t>
      </w:r>
      <w:r w:rsidRPr="008C5C91">
        <w:rPr>
          <w:rFonts w:ascii="Times New Roman" w:hAnsi="Times New Roman" w:cs="Times New Roman"/>
          <w:i/>
          <w:lang w:val="sr-Latn-CS"/>
        </w:rPr>
        <w:t>BRAF</w:t>
      </w:r>
      <w:r w:rsidRPr="008C5C91">
        <w:rPr>
          <w:rFonts w:ascii="Times New Roman" w:hAnsi="Times New Roman" w:cs="Times New Roman"/>
          <w:lang w:val="sr-Latn-CS"/>
        </w:rPr>
        <w:t xml:space="preserve"> eksonu 15 (kodon 600). Incidenca ovih dodatnih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mutacija u populaciji pacijenata sa divljim tipom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na eksonu 2 iznosila je oko 16%.</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Rezultati kod pacijenata sa divljim tipom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mCRC i mutiranim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mCRC dati su u tabeli ispod.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1887"/>
        <w:gridCol w:w="1887"/>
        <w:gridCol w:w="1887"/>
        <w:gridCol w:w="2236"/>
      </w:tblGrid>
      <w:tr w:rsidR="008C5C91" w:rsidRPr="008C5C91" w:rsidTr="00632EFB">
        <w:trPr>
          <w:cantSplit/>
          <w:trHeight w:val="287"/>
          <w:tblHeader/>
        </w:trPr>
        <w:tc>
          <w:tcPr>
            <w:tcW w:w="1742" w:type="dxa"/>
          </w:tcPr>
          <w:p w:rsidR="008C5C91" w:rsidRPr="008C5C91" w:rsidRDefault="008C5C91" w:rsidP="008C5C91">
            <w:pPr>
              <w:keepNext/>
              <w:spacing w:after="0" w:line="276" w:lineRule="auto"/>
              <w:jc w:val="both"/>
              <w:rPr>
                <w:rFonts w:ascii="Times New Roman" w:eastAsia="Calibri" w:hAnsi="Times New Roman" w:cs="Times New Roman"/>
                <w:b/>
                <w:lang w:val="sr-Latn-CS"/>
              </w:rPr>
            </w:pPr>
          </w:p>
        </w:tc>
        <w:tc>
          <w:tcPr>
            <w:tcW w:w="1887" w:type="dxa"/>
          </w:tcPr>
          <w:p w:rsidR="008C5C91" w:rsidRPr="008C5C91" w:rsidRDefault="008C5C91" w:rsidP="00632EFB">
            <w:pPr>
              <w:keepNext/>
              <w:spacing w:after="0" w:line="276" w:lineRule="auto"/>
              <w:rPr>
                <w:rFonts w:ascii="Times New Roman" w:eastAsia="Calibri" w:hAnsi="Times New Roman" w:cs="Times New Roman"/>
                <w:b/>
                <w:lang w:val="sr-Latn-CS"/>
              </w:rPr>
            </w:pPr>
            <w:r w:rsidRPr="008C5C91">
              <w:rPr>
                <w:rFonts w:ascii="Times New Roman" w:eastAsia="Calibri" w:hAnsi="Times New Roman" w:cs="Times New Roman"/>
                <w:b/>
                <w:bCs/>
                <w:lang w:val="sr-Latn-CS"/>
              </w:rPr>
              <w:t>Vectibix plus FOLFOX</w:t>
            </w:r>
          </w:p>
          <w:p w:rsidR="008C5C91" w:rsidRPr="008C5C91" w:rsidRDefault="008C5C91" w:rsidP="00632EFB">
            <w:pPr>
              <w:keepNext/>
              <w:spacing w:after="0" w:line="276" w:lineRule="auto"/>
              <w:rPr>
                <w:rFonts w:ascii="Times New Roman" w:eastAsia="Calibri" w:hAnsi="Times New Roman" w:cs="Times New Roman"/>
                <w:b/>
                <w:lang w:val="sr-Latn-CS"/>
              </w:rPr>
            </w:pPr>
            <w:r w:rsidRPr="008C5C91">
              <w:rPr>
                <w:rFonts w:ascii="Times New Roman" w:eastAsia="Calibri" w:hAnsi="Times New Roman" w:cs="Times New Roman"/>
                <w:b/>
                <w:lang w:val="sr-Latn-CS"/>
              </w:rPr>
              <w:t>(mjeseci)</w:t>
            </w:r>
          </w:p>
          <w:p w:rsidR="008C5C91" w:rsidRPr="008C5C91" w:rsidRDefault="008C5C91" w:rsidP="00632EFB">
            <w:pPr>
              <w:keepNext/>
              <w:spacing w:after="0" w:line="276" w:lineRule="auto"/>
              <w:rPr>
                <w:rFonts w:ascii="Times New Roman" w:eastAsia="Calibri" w:hAnsi="Times New Roman" w:cs="Times New Roman"/>
                <w:b/>
                <w:lang w:val="sr-Latn-CS"/>
              </w:rPr>
            </w:pPr>
            <w:r w:rsidRPr="008C5C91">
              <w:rPr>
                <w:rFonts w:ascii="Times New Roman" w:eastAsia="Calibri" w:hAnsi="Times New Roman" w:cs="Times New Roman"/>
                <w:b/>
                <w:lang w:val="sr-Latn-CS"/>
              </w:rPr>
              <w:t>Srednja vrijednost (95% CI)</w:t>
            </w:r>
          </w:p>
        </w:tc>
        <w:tc>
          <w:tcPr>
            <w:tcW w:w="1887" w:type="dxa"/>
          </w:tcPr>
          <w:p w:rsidR="008C5C91" w:rsidRPr="008C5C91" w:rsidRDefault="008C5C91" w:rsidP="00632EFB">
            <w:pPr>
              <w:keepNext/>
              <w:spacing w:after="0" w:line="276" w:lineRule="auto"/>
              <w:rPr>
                <w:rFonts w:ascii="Times New Roman" w:eastAsia="Calibri" w:hAnsi="Times New Roman" w:cs="Times New Roman"/>
                <w:b/>
                <w:bCs/>
                <w:lang w:val="sr-Latn-CS"/>
              </w:rPr>
            </w:pPr>
            <w:r w:rsidRPr="008C5C91">
              <w:rPr>
                <w:rFonts w:ascii="Times New Roman" w:eastAsia="Calibri" w:hAnsi="Times New Roman" w:cs="Times New Roman"/>
                <w:b/>
                <w:bCs/>
                <w:lang w:val="sr-Latn-CS"/>
              </w:rPr>
              <w:t>FOLFOX</w:t>
            </w:r>
          </w:p>
          <w:p w:rsidR="008C5C91" w:rsidRPr="008C5C91" w:rsidRDefault="008C5C91" w:rsidP="00632EFB">
            <w:pPr>
              <w:keepNext/>
              <w:spacing w:after="0" w:line="276" w:lineRule="auto"/>
              <w:rPr>
                <w:rFonts w:ascii="Times New Roman" w:eastAsia="Calibri" w:hAnsi="Times New Roman" w:cs="Times New Roman"/>
                <w:b/>
                <w:lang w:val="sr-Latn-CS"/>
              </w:rPr>
            </w:pPr>
            <w:r w:rsidRPr="008C5C91">
              <w:rPr>
                <w:rFonts w:ascii="Times New Roman" w:eastAsia="Calibri" w:hAnsi="Times New Roman" w:cs="Times New Roman"/>
                <w:b/>
                <w:lang w:val="sr-Latn-CS"/>
              </w:rPr>
              <w:t>(mjeseci)</w:t>
            </w:r>
          </w:p>
          <w:p w:rsidR="008C5C91" w:rsidRPr="008C5C91" w:rsidRDefault="008C5C91" w:rsidP="00632EFB">
            <w:pPr>
              <w:keepNext/>
              <w:spacing w:after="0" w:line="276" w:lineRule="auto"/>
              <w:rPr>
                <w:rFonts w:ascii="Times New Roman" w:eastAsia="Calibri" w:hAnsi="Times New Roman" w:cs="Times New Roman"/>
                <w:b/>
                <w:lang w:val="sr-Latn-CS"/>
              </w:rPr>
            </w:pPr>
            <w:r w:rsidRPr="008C5C91">
              <w:rPr>
                <w:rFonts w:ascii="Times New Roman" w:eastAsia="Calibri" w:hAnsi="Times New Roman" w:cs="Times New Roman"/>
                <w:b/>
                <w:lang w:val="sr-Latn-CS"/>
              </w:rPr>
              <w:t xml:space="preserve"> Srednja vrijednost (95% CI)</w:t>
            </w:r>
          </w:p>
        </w:tc>
        <w:tc>
          <w:tcPr>
            <w:tcW w:w="1887" w:type="dxa"/>
          </w:tcPr>
          <w:p w:rsidR="008C5C91" w:rsidRPr="008C5C91" w:rsidRDefault="008C5C91" w:rsidP="008C5C91">
            <w:pPr>
              <w:keepNext/>
              <w:spacing w:after="0" w:line="276" w:lineRule="auto"/>
              <w:jc w:val="both"/>
              <w:rPr>
                <w:rFonts w:ascii="Times New Roman" w:eastAsia="Calibri" w:hAnsi="Times New Roman" w:cs="Times New Roman"/>
                <w:b/>
                <w:lang w:val="sr-Latn-RS"/>
              </w:rPr>
            </w:pPr>
            <w:r w:rsidRPr="008C5C91">
              <w:rPr>
                <w:rFonts w:ascii="Times New Roman" w:eastAsia="Calibri" w:hAnsi="Times New Roman" w:cs="Times New Roman"/>
                <w:b/>
                <w:lang w:val="sr-Latn-RS"/>
              </w:rPr>
              <w:t>Razlika (mjeseci)</w:t>
            </w:r>
          </w:p>
        </w:tc>
        <w:tc>
          <w:tcPr>
            <w:tcW w:w="2236" w:type="dxa"/>
          </w:tcPr>
          <w:p w:rsidR="008C5C91" w:rsidRPr="008C5C91" w:rsidRDefault="008C5C91" w:rsidP="00632EFB">
            <w:pPr>
              <w:keepNext/>
              <w:spacing w:after="0" w:line="276" w:lineRule="auto"/>
              <w:rPr>
                <w:rFonts w:ascii="Times New Roman" w:eastAsia="Calibri" w:hAnsi="Times New Roman" w:cs="Times New Roman"/>
                <w:b/>
                <w:lang w:val="sr-Latn-RS"/>
              </w:rPr>
            </w:pPr>
            <w:r w:rsidRPr="008C5C91">
              <w:rPr>
                <w:rFonts w:ascii="Times New Roman" w:eastAsia="Calibri" w:hAnsi="Times New Roman" w:cs="Times New Roman"/>
                <w:b/>
                <w:lang w:val="sr-Latn-RS"/>
              </w:rPr>
              <w:t xml:space="preserve">Koeficijent rizika </w:t>
            </w:r>
            <w:r w:rsidRPr="008C5C91">
              <w:rPr>
                <w:rFonts w:ascii="Times New Roman" w:eastAsia="Calibri" w:hAnsi="Times New Roman" w:cs="Times New Roman"/>
                <w:b/>
                <w:lang w:val="sr-Latn-RS"/>
              </w:rPr>
              <w:br/>
              <w:t>(95% CI)</w:t>
            </w:r>
          </w:p>
        </w:tc>
      </w:tr>
      <w:tr w:rsidR="008C5C91" w:rsidRPr="008C5C91" w:rsidTr="00632EFB">
        <w:trPr>
          <w:cantSplit/>
          <w:trHeight w:val="287"/>
        </w:trPr>
        <w:tc>
          <w:tcPr>
            <w:tcW w:w="9639" w:type="dxa"/>
            <w:gridSpan w:val="5"/>
          </w:tcPr>
          <w:p w:rsidR="008C5C91" w:rsidRPr="008C5C91" w:rsidRDefault="008C5C91" w:rsidP="008C5C91">
            <w:pPr>
              <w:keepNext/>
              <w:spacing w:after="0" w:line="276" w:lineRule="auto"/>
              <w:jc w:val="both"/>
              <w:rPr>
                <w:rFonts w:ascii="Times New Roman" w:eastAsia="Calibri" w:hAnsi="Times New Roman" w:cs="Times New Roman"/>
                <w:lang w:val="nn-NO"/>
              </w:rPr>
            </w:pPr>
            <w:r w:rsidRPr="008C5C91">
              <w:rPr>
                <w:rFonts w:ascii="Times New Roman" w:eastAsia="Calibri" w:hAnsi="Times New Roman" w:cs="Times New Roman"/>
                <w:b/>
                <w:iCs/>
                <w:lang w:val="nn-NO"/>
              </w:rPr>
              <w:t xml:space="preserve">Populacija sa divljim tipom </w:t>
            </w:r>
            <w:r w:rsidRPr="008C5C91">
              <w:rPr>
                <w:rFonts w:ascii="Times New Roman" w:eastAsia="Calibri" w:hAnsi="Times New Roman" w:cs="Times New Roman"/>
                <w:b/>
                <w:i/>
                <w:iCs/>
                <w:lang w:val="nn-NO"/>
              </w:rPr>
              <w:t>RAS</w:t>
            </w:r>
            <w:r w:rsidRPr="008C5C91">
              <w:rPr>
                <w:rFonts w:ascii="Times New Roman" w:eastAsia="Calibri" w:hAnsi="Times New Roman" w:cs="Times New Roman"/>
                <w:b/>
                <w:iCs/>
                <w:lang w:val="nn-NO"/>
              </w:rPr>
              <w:t xml:space="preserve"> gena</w:t>
            </w:r>
          </w:p>
        </w:tc>
      </w:tr>
      <w:tr w:rsidR="008C5C91" w:rsidRPr="008C5C91" w:rsidTr="00632EFB">
        <w:trPr>
          <w:cantSplit/>
          <w:trHeight w:val="287"/>
        </w:trPr>
        <w:tc>
          <w:tcPr>
            <w:tcW w:w="1742" w:type="dxa"/>
          </w:tcPr>
          <w:p w:rsidR="008C5C91" w:rsidRPr="008C5C91" w:rsidRDefault="008C5C91" w:rsidP="008C5C91">
            <w:pPr>
              <w:keepNext/>
              <w:spacing w:after="0" w:line="276" w:lineRule="auto"/>
              <w:ind w:hanging="18"/>
              <w:jc w:val="both"/>
              <w:rPr>
                <w:rFonts w:ascii="Times New Roman" w:eastAsia="Calibri" w:hAnsi="Times New Roman" w:cs="Times New Roman"/>
                <w:lang w:val="sr-Latn-RS"/>
              </w:rPr>
            </w:pPr>
            <w:r w:rsidRPr="008C5C91">
              <w:rPr>
                <w:rFonts w:ascii="Times New Roman" w:eastAsia="Calibri" w:hAnsi="Times New Roman" w:cs="Times New Roman"/>
                <w:lang w:val="sr-Latn-RS"/>
              </w:rPr>
              <w:t>PFS</w:t>
            </w:r>
          </w:p>
        </w:tc>
        <w:tc>
          <w:tcPr>
            <w:tcW w:w="1887"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10,1</w:t>
            </w:r>
          </w:p>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(9,3;12,0)</w:t>
            </w:r>
          </w:p>
        </w:tc>
        <w:tc>
          <w:tcPr>
            <w:tcW w:w="1887"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7,9</w:t>
            </w:r>
          </w:p>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(7,2; 9,3)</w:t>
            </w:r>
          </w:p>
        </w:tc>
        <w:tc>
          <w:tcPr>
            <w:tcW w:w="1887"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2,2</w:t>
            </w:r>
          </w:p>
        </w:tc>
        <w:tc>
          <w:tcPr>
            <w:tcW w:w="2236"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0,72</w:t>
            </w:r>
          </w:p>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(0,58; 0,90)</w:t>
            </w:r>
          </w:p>
        </w:tc>
      </w:tr>
      <w:tr w:rsidR="008C5C91" w:rsidRPr="008C5C91" w:rsidTr="00632EFB">
        <w:trPr>
          <w:cantSplit/>
          <w:trHeight w:val="287"/>
        </w:trPr>
        <w:tc>
          <w:tcPr>
            <w:tcW w:w="1742" w:type="dxa"/>
          </w:tcPr>
          <w:p w:rsidR="008C5C91" w:rsidRPr="008C5C91" w:rsidRDefault="008C5C91" w:rsidP="008C5C91">
            <w:pPr>
              <w:keepNext/>
              <w:spacing w:after="0" w:line="276" w:lineRule="auto"/>
              <w:ind w:hanging="18"/>
              <w:jc w:val="both"/>
              <w:rPr>
                <w:rFonts w:ascii="Times New Roman" w:eastAsia="Calibri" w:hAnsi="Times New Roman" w:cs="Times New Roman"/>
                <w:lang w:val="sr-Latn-RS"/>
              </w:rPr>
            </w:pPr>
            <w:r w:rsidRPr="008C5C91">
              <w:rPr>
                <w:rFonts w:ascii="Times New Roman" w:eastAsia="Calibri" w:hAnsi="Times New Roman" w:cs="Times New Roman"/>
                <w:lang w:val="sr-Latn-RS"/>
              </w:rPr>
              <w:t>OS</w:t>
            </w:r>
          </w:p>
        </w:tc>
        <w:tc>
          <w:tcPr>
            <w:tcW w:w="1887"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26,0</w:t>
            </w:r>
          </w:p>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(21,7;30,4)</w:t>
            </w:r>
          </w:p>
        </w:tc>
        <w:tc>
          <w:tcPr>
            <w:tcW w:w="1887"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20,2</w:t>
            </w:r>
          </w:p>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(17,7; 23,1)</w:t>
            </w:r>
          </w:p>
        </w:tc>
        <w:tc>
          <w:tcPr>
            <w:tcW w:w="1887"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5,8</w:t>
            </w:r>
          </w:p>
        </w:tc>
        <w:tc>
          <w:tcPr>
            <w:tcW w:w="2236"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0,78</w:t>
            </w:r>
          </w:p>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(0,62; 0,99)</w:t>
            </w:r>
          </w:p>
        </w:tc>
      </w:tr>
      <w:tr w:rsidR="008C5C91" w:rsidRPr="008C5C91" w:rsidTr="00632EFB">
        <w:trPr>
          <w:cantSplit/>
          <w:trHeight w:val="287"/>
        </w:trPr>
        <w:tc>
          <w:tcPr>
            <w:tcW w:w="9639" w:type="dxa"/>
            <w:gridSpan w:val="5"/>
          </w:tcPr>
          <w:p w:rsidR="008C5C91" w:rsidRPr="008C5C91" w:rsidRDefault="008C5C91" w:rsidP="008C5C91">
            <w:pPr>
              <w:keepNext/>
              <w:spacing w:after="0" w:line="276" w:lineRule="auto"/>
              <w:jc w:val="both"/>
              <w:rPr>
                <w:rFonts w:ascii="Times New Roman" w:eastAsia="Calibri" w:hAnsi="Times New Roman" w:cs="Times New Roman"/>
                <w:lang w:val="fr-FR"/>
              </w:rPr>
            </w:pPr>
            <w:r w:rsidRPr="008C5C91">
              <w:rPr>
                <w:rFonts w:ascii="Times New Roman" w:eastAsia="Calibri" w:hAnsi="Times New Roman" w:cs="Times New Roman"/>
                <w:b/>
                <w:iCs/>
                <w:lang w:val="fr-FR"/>
              </w:rPr>
              <w:t xml:space="preserve">Populacija sa mutiranim </w:t>
            </w:r>
            <w:r w:rsidRPr="008C5C91">
              <w:rPr>
                <w:rFonts w:ascii="Times New Roman" w:eastAsia="Calibri" w:hAnsi="Times New Roman" w:cs="Times New Roman"/>
                <w:b/>
                <w:i/>
                <w:iCs/>
                <w:lang w:val="fr-FR"/>
              </w:rPr>
              <w:t>RAS</w:t>
            </w:r>
            <w:r w:rsidRPr="008C5C91">
              <w:rPr>
                <w:rFonts w:ascii="Times New Roman" w:eastAsia="Calibri" w:hAnsi="Times New Roman" w:cs="Times New Roman"/>
                <w:b/>
                <w:iCs/>
                <w:lang w:val="fr-FR"/>
              </w:rPr>
              <w:t xml:space="preserve"> genom</w:t>
            </w:r>
          </w:p>
        </w:tc>
      </w:tr>
      <w:tr w:rsidR="008C5C91" w:rsidRPr="008C5C91" w:rsidTr="00632EFB">
        <w:trPr>
          <w:cantSplit/>
          <w:trHeight w:val="287"/>
        </w:trPr>
        <w:tc>
          <w:tcPr>
            <w:tcW w:w="1742" w:type="dxa"/>
          </w:tcPr>
          <w:p w:rsidR="008C5C91" w:rsidRPr="008C5C91" w:rsidRDefault="008C5C91" w:rsidP="008C5C91">
            <w:pPr>
              <w:keepNext/>
              <w:spacing w:after="0" w:line="276" w:lineRule="auto"/>
              <w:ind w:hanging="18"/>
              <w:jc w:val="both"/>
              <w:rPr>
                <w:rFonts w:ascii="Times New Roman" w:eastAsia="Calibri" w:hAnsi="Times New Roman" w:cs="Times New Roman"/>
                <w:lang w:val="sr-Latn-RS"/>
              </w:rPr>
            </w:pPr>
            <w:r w:rsidRPr="008C5C91">
              <w:rPr>
                <w:rFonts w:ascii="Times New Roman" w:eastAsia="Calibri" w:hAnsi="Times New Roman" w:cs="Times New Roman"/>
                <w:lang w:val="sr-Latn-RS"/>
              </w:rPr>
              <w:t>PFS</w:t>
            </w:r>
          </w:p>
        </w:tc>
        <w:tc>
          <w:tcPr>
            <w:tcW w:w="1887"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7,3</w:t>
            </w:r>
          </w:p>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(6,3; 7,9)</w:t>
            </w:r>
          </w:p>
        </w:tc>
        <w:tc>
          <w:tcPr>
            <w:tcW w:w="1887"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8,7</w:t>
            </w:r>
          </w:p>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(7,6; 9,4)</w:t>
            </w:r>
          </w:p>
        </w:tc>
        <w:tc>
          <w:tcPr>
            <w:tcW w:w="1887"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-1,4</w:t>
            </w:r>
          </w:p>
        </w:tc>
        <w:tc>
          <w:tcPr>
            <w:tcW w:w="2236"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1,31</w:t>
            </w:r>
          </w:p>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(1,07; 1,60)</w:t>
            </w:r>
          </w:p>
        </w:tc>
      </w:tr>
      <w:tr w:rsidR="008C5C91" w:rsidRPr="008C5C91" w:rsidTr="00632EFB">
        <w:trPr>
          <w:cantSplit/>
          <w:trHeight w:val="287"/>
        </w:trPr>
        <w:tc>
          <w:tcPr>
            <w:tcW w:w="1742" w:type="dxa"/>
          </w:tcPr>
          <w:p w:rsidR="008C5C91" w:rsidRPr="008C5C91" w:rsidRDefault="008C5C91" w:rsidP="008C5C91">
            <w:pPr>
              <w:keepNext/>
              <w:spacing w:after="0" w:line="276" w:lineRule="auto"/>
              <w:ind w:hanging="18"/>
              <w:jc w:val="both"/>
              <w:rPr>
                <w:rFonts w:ascii="Times New Roman" w:eastAsia="Calibri" w:hAnsi="Times New Roman" w:cs="Times New Roman"/>
                <w:lang w:val="sr-Latn-RS"/>
              </w:rPr>
            </w:pPr>
            <w:r w:rsidRPr="008C5C91">
              <w:rPr>
                <w:rFonts w:ascii="Times New Roman" w:eastAsia="Calibri" w:hAnsi="Times New Roman" w:cs="Times New Roman"/>
                <w:lang w:val="sr-Latn-RS"/>
              </w:rPr>
              <w:t>OS</w:t>
            </w:r>
          </w:p>
        </w:tc>
        <w:tc>
          <w:tcPr>
            <w:tcW w:w="1887"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15,6</w:t>
            </w:r>
          </w:p>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(13,4; 17,9)</w:t>
            </w:r>
          </w:p>
        </w:tc>
        <w:tc>
          <w:tcPr>
            <w:tcW w:w="1887"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19,2</w:t>
            </w:r>
          </w:p>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(16,7; 21,8)</w:t>
            </w:r>
          </w:p>
        </w:tc>
        <w:tc>
          <w:tcPr>
            <w:tcW w:w="1887" w:type="dxa"/>
          </w:tcPr>
          <w:p w:rsidR="008C5C91" w:rsidRPr="008C5C91" w:rsidRDefault="008C5C91" w:rsidP="008C5C91">
            <w:pPr>
              <w:keepNext/>
              <w:spacing w:after="0" w:line="276" w:lineRule="auto"/>
              <w:jc w:val="both"/>
              <w:rPr>
                <w:rFonts w:ascii="Times New Roman" w:eastAsia="Calibri" w:hAnsi="Times New Roman" w:cs="Times New Roman"/>
                <w:lang w:val="sr-Latn-RS"/>
              </w:rPr>
            </w:pPr>
            <w:r w:rsidRPr="008C5C91">
              <w:rPr>
                <w:rFonts w:ascii="Times New Roman" w:eastAsia="Calibri" w:hAnsi="Times New Roman" w:cs="Times New Roman"/>
                <w:lang w:val="sr-Latn-RS"/>
              </w:rPr>
              <w:t>-3,6</w:t>
            </w:r>
          </w:p>
        </w:tc>
        <w:tc>
          <w:tcPr>
            <w:tcW w:w="2236" w:type="dxa"/>
          </w:tcPr>
          <w:p w:rsidR="008C5C91" w:rsidRPr="008C5C91" w:rsidRDefault="008C5C91" w:rsidP="008C5C91">
            <w:pPr>
              <w:keepNext/>
              <w:spacing w:after="0" w:line="276" w:lineRule="auto"/>
              <w:jc w:val="both"/>
              <w:rPr>
                <w:rFonts w:ascii="Times New Roman" w:eastAsia="Calibri" w:hAnsi="Times New Roman" w:cs="Times New Roman"/>
                <w:lang w:val="nn-NO"/>
              </w:rPr>
            </w:pPr>
            <w:r w:rsidRPr="008C5C91">
              <w:rPr>
                <w:rFonts w:ascii="Times New Roman" w:eastAsia="Calibri" w:hAnsi="Times New Roman" w:cs="Times New Roman"/>
                <w:lang w:val="nn-NO"/>
              </w:rPr>
              <w:t>1,25</w:t>
            </w:r>
          </w:p>
          <w:p w:rsidR="008C5C91" w:rsidRPr="008C5C91" w:rsidRDefault="008C5C91" w:rsidP="008C5C91">
            <w:pPr>
              <w:keepNext/>
              <w:spacing w:after="0" w:line="276" w:lineRule="auto"/>
              <w:jc w:val="both"/>
              <w:rPr>
                <w:rFonts w:ascii="Times New Roman" w:eastAsia="Calibri" w:hAnsi="Times New Roman" w:cs="Times New Roman"/>
                <w:lang w:val="nn-NO"/>
              </w:rPr>
            </w:pPr>
            <w:r w:rsidRPr="008C5C91">
              <w:rPr>
                <w:rFonts w:ascii="Times New Roman" w:eastAsia="Calibri" w:hAnsi="Times New Roman" w:cs="Times New Roman"/>
                <w:lang w:val="nn-NO"/>
              </w:rPr>
              <w:t>(1,02; 1,55)</w:t>
            </w:r>
          </w:p>
        </w:tc>
      </w:tr>
    </w:tbl>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Naknadno su otkrivene i dodatne mutacije na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i </w:t>
      </w:r>
      <w:r w:rsidRPr="008C5C91">
        <w:rPr>
          <w:rFonts w:ascii="Times New Roman" w:hAnsi="Times New Roman" w:cs="Times New Roman"/>
          <w:i/>
          <w:lang w:val="sr-Latn-CS"/>
        </w:rPr>
        <w:t>NRAS</w:t>
      </w:r>
      <w:r w:rsidRPr="008C5C91">
        <w:rPr>
          <w:rFonts w:ascii="Times New Roman" w:hAnsi="Times New Roman" w:cs="Times New Roman"/>
          <w:lang w:val="sr-Latn-CS"/>
        </w:rPr>
        <w:t xml:space="preserve"> eksonu 3 (kodon 59) (n = 7). Eksplorativnom analizom dobijeni su rezultati slični ovima prikazanim u gornjoj tabeli.</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b/>
          <w:u w:val="single"/>
          <w:lang w:val="sr-Latn-CS"/>
        </w:rPr>
      </w:pPr>
      <w:r w:rsidRPr="008C5C91">
        <w:rPr>
          <w:rFonts w:ascii="Times New Roman" w:hAnsi="Times New Roman" w:cs="Times New Roman"/>
          <w:i/>
          <w:u w:val="single"/>
          <w:lang w:val="sr-Latn-CS"/>
        </w:rPr>
        <w:t>Liječenje u kombinaciji sa FOLFIRI</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 w:val="center" w:pos="4536"/>
          <w:tab w:val="right" w:pos="9072"/>
        </w:tabs>
        <w:spacing w:after="0"/>
        <w:jc w:val="both"/>
        <w:rPr>
          <w:rFonts w:ascii="Times New Roman" w:hAnsi="Times New Roman" w:cs="Times New Roman"/>
          <w:lang w:val="sr-Latn-CS"/>
        </w:rPr>
      </w:pPr>
      <w:r w:rsidRPr="008C5C91">
        <w:rPr>
          <w:rFonts w:ascii="Times New Roman" w:hAnsi="Times New Roman" w:cs="Times New Roman"/>
          <w:lang w:val="sr-Latn-CS"/>
        </w:rPr>
        <w:t>Efikasnost lijeka Vectibix</w:t>
      </w:r>
      <w:r w:rsidRPr="008C5C91">
        <w:rPr>
          <w:rFonts w:ascii="Times New Roman" w:eastAsia="Calibri" w:hAnsi="Times New Roman" w:cs="Times New Roman"/>
          <w:lang w:val="sr-Latn-CS"/>
        </w:rPr>
        <w:t xml:space="preserve"> </w:t>
      </w:r>
      <w:r w:rsidRPr="008C5C91">
        <w:rPr>
          <w:rFonts w:ascii="Times New Roman" w:hAnsi="Times New Roman" w:cs="Times New Roman"/>
          <w:lang w:val="sr-Latn-CS"/>
        </w:rPr>
        <w:t xml:space="preserve">kao druge linije terapije mCRC, ispitivana je u kombinaciji sa irinotekanom, 5-fluorouracilom (5-FU) i leukovorinom (FOLFIRI) u randomizovanoj, kontrolisanoj studiji na 1186 pacijenta sa mCRC, pri čemu su primarni parametri efikasnosti bili OS i PFS. Drugi ključni parametri efikasnosti bili su ORR, vrijeme do postizanja odgovora, TTP i trajanje odgovora. Rezultati studije su prospektivno analizirani u odnosu na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(ekson 2) status tumora koji je bio ispitan kod 91% pacijenata. </w:t>
      </w:r>
    </w:p>
    <w:p w:rsidR="008C5C91" w:rsidRPr="008C5C91" w:rsidRDefault="008C5C91" w:rsidP="008C5C91">
      <w:pPr>
        <w:tabs>
          <w:tab w:val="left" w:pos="284"/>
          <w:tab w:val="center" w:pos="4536"/>
          <w:tab w:val="right" w:pos="9072"/>
        </w:tabs>
        <w:spacing w:after="0"/>
        <w:jc w:val="both"/>
        <w:rPr>
          <w:rFonts w:ascii="Times New Roman" w:hAnsi="Times New Roman" w:cs="Times New Roman"/>
          <w:lang w:val="sr-Latn-CS"/>
        </w:rPr>
      </w:pPr>
    </w:p>
    <w:p w:rsidR="008C5C91" w:rsidRPr="008C5C91" w:rsidRDefault="008C5C91" w:rsidP="008C5C91">
      <w:pPr>
        <w:tabs>
          <w:tab w:val="left" w:pos="284"/>
          <w:tab w:val="center" w:pos="4536"/>
          <w:tab w:val="right" w:pos="9072"/>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Sprovedena je unaprijed definisana retrospektivna analiza podgrupe od 586 od ukupno 597 pacijenata sa mCRC sa divljm tipom </w:t>
      </w:r>
      <w:r w:rsidRPr="008C5C91">
        <w:rPr>
          <w:rFonts w:ascii="Times New Roman" w:hAnsi="Times New Roman" w:cs="Times New Roman"/>
          <w:i/>
          <w:lang w:val="sr-Latn-CS"/>
        </w:rPr>
        <w:t xml:space="preserve">KRAS </w:t>
      </w:r>
      <w:r w:rsidRPr="008C5C91">
        <w:rPr>
          <w:rFonts w:ascii="Times New Roman" w:hAnsi="Times New Roman" w:cs="Times New Roman"/>
          <w:lang w:val="sr-Latn-CS"/>
        </w:rPr>
        <w:t>(ekson 2). Uzorci tumora ovih pacijenata ispitani su na dodatne</w:t>
      </w:r>
      <w:r w:rsidRPr="008C5C91">
        <w:rPr>
          <w:rFonts w:ascii="Times New Roman" w:hAnsi="Times New Roman" w:cs="Times New Roman"/>
          <w:i/>
          <w:lang w:val="sr-Latn-CS"/>
        </w:rPr>
        <w:t xml:space="preserve"> RAS</w:t>
      </w:r>
      <w:r w:rsidRPr="008C5C91">
        <w:rPr>
          <w:rFonts w:ascii="Times New Roman" w:hAnsi="Times New Roman" w:cs="Times New Roman"/>
          <w:lang w:val="sr-Latn-CS"/>
        </w:rPr>
        <w:t xml:space="preserve"> i </w:t>
      </w:r>
      <w:r w:rsidRPr="008C5C91">
        <w:rPr>
          <w:rFonts w:ascii="Times New Roman" w:hAnsi="Times New Roman" w:cs="Times New Roman"/>
          <w:i/>
          <w:lang w:val="sr-Latn-CS"/>
        </w:rPr>
        <w:t>BRAF</w:t>
      </w:r>
      <w:r w:rsidRPr="008C5C91">
        <w:rPr>
          <w:rFonts w:ascii="Times New Roman" w:hAnsi="Times New Roman" w:cs="Times New Roman"/>
          <w:lang w:val="sr-Latn-CS"/>
        </w:rPr>
        <w:t xml:space="preserve"> mutacije, kako je prethodno opisano. </w:t>
      </w:r>
      <w:r w:rsidRPr="008C5C91">
        <w:rPr>
          <w:rFonts w:ascii="Times New Roman" w:hAnsi="Times New Roman" w:cs="Times New Roman"/>
          <w:i/>
          <w:lang w:val="sr-Latn-CS"/>
        </w:rPr>
        <w:t>RAS/BRAF</w:t>
      </w:r>
      <w:r w:rsidRPr="008C5C91">
        <w:rPr>
          <w:rFonts w:ascii="Times New Roman" w:hAnsi="Times New Roman" w:cs="Times New Roman"/>
          <w:lang w:val="sr-Latn-CS"/>
        </w:rPr>
        <w:t xml:space="preserve"> status je utvrđen kod 85% (1014 od 1186 randomiziranih pacijenata). Incidenca pojave ovih dodatnih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mutacija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eksoni 3, 4 i </w:t>
      </w:r>
      <w:r w:rsidRPr="008C5C91">
        <w:rPr>
          <w:rFonts w:ascii="Times New Roman" w:hAnsi="Times New Roman" w:cs="Times New Roman"/>
          <w:i/>
          <w:lang w:val="sr-Latn-CS"/>
        </w:rPr>
        <w:t>NRAS</w:t>
      </w:r>
      <w:r w:rsidRPr="008C5C91">
        <w:rPr>
          <w:rFonts w:ascii="Times New Roman" w:hAnsi="Times New Roman" w:cs="Times New Roman"/>
          <w:lang w:val="sr-Latn-CS"/>
        </w:rPr>
        <w:t xml:space="preserve"> eksoni 2, 3, 4) kod populacije sa divljim tipom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(ekson 2) bila je približno 19%. Incidenca pojave </w:t>
      </w:r>
      <w:r w:rsidRPr="008C5C91">
        <w:rPr>
          <w:rFonts w:ascii="Times New Roman" w:hAnsi="Times New Roman" w:cs="Times New Roman"/>
          <w:i/>
          <w:lang w:val="sr-Latn-CS"/>
        </w:rPr>
        <w:t>BRAF</w:t>
      </w:r>
      <w:r w:rsidRPr="008C5C91">
        <w:rPr>
          <w:rFonts w:ascii="Times New Roman" w:hAnsi="Times New Roman" w:cs="Times New Roman"/>
          <w:lang w:val="sr-Latn-CS"/>
        </w:rPr>
        <w:t xml:space="preserve"> mutacije na </w:t>
      </w:r>
      <w:r w:rsidRPr="008C5C91">
        <w:rPr>
          <w:rFonts w:ascii="Times New Roman" w:hAnsi="Times New Roman" w:cs="Times New Roman"/>
          <w:lang w:val="sr-Latn-CS"/>
        </w:rPr>
        <w:lastRenderedPageBreak/>
        <w:t xml:space="preserve">eksonu 15 kod populacije sa divljim tipom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(ekson 2) bila je približno 8%. Rezultati efikasnosti kod pacijenata sa mCRC sa divljim tipom</w:t>
      </w:r>
      <w:r w:rsidRPr="008C5C91">
        <w:rPr>
          <w:rFonts w:ascii="Times New Roman" w:hAnsi="Times New Roman" w:cs="Times New Roman"/>
          <w:i/>
          <w:lang w:val="sr-Latn-CS"/>
        </w:rPr>
        <w:t xml:space="preserve"> RAS</w:t>
      </w:r>
      <w:r w:rsidRPr="008C5C91">
        <w:rPr>
          <w:rFonts w:ascii="Times New Roman" w:hAnsi="Times New Roman" w:cs="Times New Roman"/>
          <w:lang w:val="sr-Latn-CS"/>
        </w:rPr>
        <w:t xml:space="preserve"> i mCRC mutiranim </w:t>
      </w:r>
      <w:r w:rsidRPr="008C5C91">
        <w:rPr>
          <w:rFonts w:ascii="Times New Roman" w:hAnsi="Times New Roman" w:cs="Times New Roman"/>
          <w:i/>
          <w:lang w:val="sr-Latn-CS"/>
        </w:rPr>
        <w:t>RAS</w:t>
      </w:r>
      <w:r w:rsidRPr="008C5C91">
        <w:rPr>
          <w:rFonts w:ascii="Times New Roman" w:hAnsi="Times New Roman" w:cs="Times New Roman"/>
          <w:lang w:val="sr-Latn-CS"/>
        </w:rPr>
        <w:t xml:space="preserve"> prikazani su u donjoj tabeli.</w:t>
      </w:r>
    </w:p>
    <w:p w:rsidR="008C5C91" w:rsidRPr="008C5C91" w:rsidRDefault="008C5C91" w:rsidP="008C5C91">
      <w:pPr>
        <w:tabs>
          <w:tab w:val="left" w:pos="284"/>
          <w:tab w:val="center" w:pos="4536"/>
          <w:tab w:val="right" w:pos="9072"/>
        </w:tabs>
        <w:spacing w:after="0"/>
        <w:jc w:val="both"/>
        <w:rPr>
          <w:rFonts w:ascii="Times New Roman" w:hAnsi="Times New Roman" w:cs="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489"/>
        <w:gridCol w:w="2489"/>
        <w:gridCol w:w="2487"/>
      </w:tblGrid>
      <w:tr w:rsidR="008C5C91" w:rsidRPr="008C5C91" w:rsidTr="00B528BA">
        <w:trPr>
          <w:cantSplit/>
          <w:trHeight w:val="287"/>
          <w:tblHeader/>
        </w:trPr>
        <w:tc>
          <w:tcPr>
            <w:tcW w:w="1119" w:type="pct"/>
          </w:tcPr>
          <w:p w:rsidR="008C5C91" w:rsidRPr="008C5C91" w:rsidRDefault="008C5C91" w:rsidP="008C5C91">
            <w:pPr>
              <w:spacing w:after="0"/>
              <w:jc w:val="both"/>
              <w:rPr>
                <w:rFonts w:ascii="Times New Roman" w:hAnsi="Times New Roman" w:cs="Times New Roman"/>
                <w:b/>
                <w:lang w:val="sr-Latn-CS"/>
              </w:rPr>
            </w:pPr>
          </w:p>
        </w:tc>
        <w:tc>
          <w:tcPr>
            <w:tcW w:w="1294" w:type="pct"/>
          </w:tcPr>
          <w:p w:rsidR="008C5C91" w:rsidRPr="008C5C91" w:rsidRDefault="008C5C91" w:rsidP="00FB337D">
            <w:pPr>
              <w:spacing w:after="0"/>
              <w:rPr>
                <w:rFonts w:ascii="Times New Roman" w:hAnsi="Times New Roman" w:cs="Times New Roman"/>
                <w:b/>
                <w:lang w:val="sr-Latn-CS"/>
              </w:rPr>
            </w:pPr>
            <w:r w:rsidRPr="008C5C91">
              <w:rPr>
                <w:rFonts w:ascii="Times New Roman" w:hAnsi="Times New Roman" w:cs="Times New Roman"/>
                <w:b/>
                <w:bCs/>
                <w:lang w:val="en-GB"/>
              </w:rPr>
              <w:t>Vectibix</w:t>
            </w:r>
            <w:r w:rsidRPr="008C5C91">
              <w:rPr>
                <w:rFonts w:ascii="Times New Roman" w:hAnsi="Times New Roman" w:cs="Times New Roman"/>
                <w:b/>
                <w:bCs/>
                <w:lang w:val="sr-Latn-CS"/>
              </w:rPr>
              <w:t xml:space="preserve"> </w:t>
            </w:r>
            <w:r w:rsidRPr="008C5C91">
              <w:rPr>
                <w:rFonts w:ascii="Times New Roman" w:hAnsi="Times New Roman" w:cs="Times New Roman"/>
                <w:b/>
                <w:bCs/>
                <w:lang w:val="en-GB"/>
              </w:rPr>
              <w:t>plus</w:t>
            </w:r>
            <w:r w:rsidRPr="008C5C91">
              <w:rPr>
                <w:rFonts w:ascii="Times New Roman" w:hAnsi="Times New Roman" w:cs="Times New Roman"/>
                <w:b/>
                <w:bCs/>
                <w:lang w:val="sr-Latn-CS"/>
              </w:rPr>
              <w:t xml:space="preserve"> </w:t>
            </w:r>
            <w:r w:rsidRPr="008C5C91">
              <w:rPr>
                <w:rFonts w:ascii="Times New Roman" w:hAnsi="Times New Roman" w:cs="Times New Roman"/>
                <w:b/>
                <w:bCs/>
                <w:lang w:val="en-GB"/>
              </w:rPr>
              <w:t>FOLFIRI</w:t>
            </w:r>
          </w:p>
          <w:p w:rsidR="008C5C91" w:rsidRPr="008C5C91" w:rsidRDefault="008C5C91" w:rsidP="00FB337D">
            <w:pPr>
              <w:spacing w:after="0"/>
              <w:rPr>
                <w:rFonts w:ascii="Times New Roman" w:hAnsi="Times New Roman" w:cs="Times New Roman"/>
                <w:b/>
                <w:lang w:val="sr-Latn-CS"/>
              </w:rPr>
            </w:pPr>
            <w:r w:rsidRPr="008C5C91">
              <w:rPr>
                <w:rFonts w:ascii="Times New Roman" w:hAnsi="Times New Roman" w:cs="Times New Roman"/>
                <w:b/>
                <w:lang w:val="sr-Latn-CS"/>
              </w:rPr>
              <w:t>(</w:t>
            </w:r>
            <w:r w:rsidRPr="008C5C91">
              <w:rPr>
                <w:rFonts w:ascii="Times New Roman" w:hAnsi="Times New Roman" w:cs="Times New Roman"/>
                <w:b/>
                <w:lang w:val="en-GB"/>
              </w:rPr>
              <w:t>mjeseci</w:t>
            </w:r>
            <w:r w:rsidRPr="008C5C91">
              <w:rPr>
                <w:rFonts w:ascii="Times New Roman" w:hAnsi="Times New Roman" w:cs="Times New Roman"/>
                <w:b/>
                <w:lang w:val="sr-Latn-CS"/>
              </w:rPr>
              <w:t>)</w:t>
            </w:r>
          </w:p>
          <w:p w:rsidR="008C5C91" w:rsidRPr="008C5C91" w:rsidRDefault="008C5C91" w:rsidP="00FB337D">
            <w:pPr>
              <w:spacing w:after="0"/>
              <w:rPr>
                <w:rFonts w:ascii="Times New Roman" w:hAnsi="Times New Roman" w:cs="Times New Roman"/>
                <w:b/>
                <w:lang w:val="sr-Latn-CS"/>
              </w:rPr>
            </w:pPr>
            <w:r w:rsidRPr="008C5C91">
              <w:rPr>
                <w:rFonts w:ascii="Times New Roman" w:eastAsia="Calibri" w:hAnsi="Times New Roman" w:cs="Times New Roman"/>
                <w:b/>
                <w:lang w:val="sr-Latn-CS"/>
              </w:rPr>
              <w:t>Srednja vrijednost</w:t>
            </w:r>
            <w:r w:rsidRPr="008C5C91">
              <w:rPr>
                <w:rFonts w:ascii="Times New Roman" w:hAnsi="Times New Roman" w:cs="Times New Roman"/>
                <w:b/>
                <w:lang w:val="sr-Latn-CS"/>
              </w:rPr>
              <w:t xml:space="preserve"> (95% </w:t>
            </w:r>
            <w:r w:rsidRPr="008C5C91">
              <w:rPr>
                <w:rFonts w:ascii="Times New Roman" w:hAnsi="Times New Roman" w:cs="Times New Roman"/>
                <w:b/>
                <w:lang w:val="en-GB"/>
              </w:rPr>
              <w:t>CI</w:t>
            </w:r>
            <w:r w:rsidRPr="008C5C91">
              <w:rPr>
                <w:rFonts w:ascii="Times New Roman" w:hAnsi="Times New Roman" w:cs="Times New Roman"/>
                <w:b/>
                <w:lang w:val="sr-Latn-CS"/>
              </w:rPr>
              <w:t>)</w:t>
            </w:r>
          </w:p>
        </w:tc>
        <w:tc>
          <w:tcPr>
            <w:tcW w:w="1294" w:type="pct"/>
          </w:tcPr>
          <w:p w:rsidR="008C5C91" w:rsidRPr="008C5C91" w:rsidRDefault="008C5C91" w:rsidP="00FB337D">
            <w:pPr>
              <w:spacing w:after="0"/>
              <w:rPr>
                <w:rFonts w:ascii="Times New Roman" w:hAnsi="Times New Roman" w:cs="Times New Roman"/>
                <w:b/>
                <w:bCs/>
                <w:lang w:val="sr-Latn-CS"/>
              </w:rPr>
            </w:pPr>
            <w:r w:rsidRPr="008C5C91">
              <w:rPr>
                <w:rFonts w:ascii="Times New Roman" w:hAnsi="Times New Roman" w:cs="Times New Roman"/>
                <w:b/>
                <w:bCs/>
                <w:lang w:val="en-GB"/>
              </w:rPr>
              <w:t>FOLFIRI</w:t>
            </w:r>
          </w:p>
          <w:p w:rsidR="008C5C91" w:rsidRPr="008C5C91" w:rsidRDefault="008C5C91" w:rsidP="00FB337D">
            <w:pPr>
              <w:spacing w:after="0"/>
              <w:rPr>
                <w:rFonts w:ascii="Times New Roman" w:hAnsi="Times New Roman" w:cs="Times New Roman"/>
                <w:b/>
                <w:lang w:val="sr-Latn-CS"/>
              </w:rPr>
            </w:pPr>
            <w:r w:rsidRPr="008C5C91">
              <w:rPr>
                <w:rFonts w:ascii="Times New Roman" w:hAnsi="Times New Roman" w:cs="Times New Roman"/>
                <w:b/>
                <w:lang w:val="sr-Latn-CS"/>
              </w:rPr>
              <w:t>(</w:t>
            </w:r>
            <w:r w:rsidRPr="008C5C91">
              <w:rPr>
                <w:rFonts w:ascii="Times New Roman" w:hAnsi="Times New Roman" w:cs="Times New Roman"/>
                <w:b/>
                <w:lang w:val="en-GB"/>
              </w:rPr>
              <w:t>mjeseci</w:t>
            </w:r>
            <w:r w:rsidRPr="008C5C91">
              <w:rPr>
                <w:rFonts w:ascii="Times New Roman" w:hAnsi="Times New Roman" w:cs="Times New Roman"/>
                <w:b/>
                <w:lang w:val="sr-Latn-CS"/>
              </w:rPr>
              <w:t>)</w:t>
            </w:r>
          </w:p>
          <w:p w:rsidR="008C5C91" w:rsidRPr="008C5C91" w:rsidRDefault="008C5C91" w:rsidP="00FB337D">
            <w:pPr>
              <w:spacing w:after="0"/>
              <w:rPr>
                <w:rFonts w:ascii="Times New Roman" w:hAnsi="Times New Roman" w:cs="Times New Roman"/>
                <w:b/>
                <w:lang w:val="sr-Latn-CS"/>
              </w:rPr>
            </w:pPr>
            <w:r w:rsidRPr="008C5C91">
              <w:rPr>
                <w:rFonts w:ascii="Times New Roman" w:hAnsi="Times New Roman" w:cs="Times New Roman"/>
                <w:b/>
                <w:lang w:val="sr-Latn-CS"/>
              </w:rPr>
              <w:t xml:space="preserve"> </w:t>
            </w:r>
            <w:r w:rsidRPr="008C5C91">
              <w:rPr>
                <w:rFonts w:ascii="Times New Roman" w:eastAsia="Calibri" w:hAnsi="Times New Roman" w:cs="Times New Roman"/>
                <w:b/>
                <w:lang w:val="sr-Latn-CS"/>
              </w:rPr>
              <w:t>Srednja vrijednost</w:t>
            </w:r>
            <w:r w:rsidRPr="008C5C91">
              <w:rPr>
                <w:rFonts w:ascii="Times New Roman" w:hAnsi="Times New Roman" w:cs="Times New Roman"/>
                <w:b/>
                <w:lang w:val="sr-Latn-CS"/>
              </w:rPr>
              <w:t xml:space="preserve"> (95% </w:t>
            </w:r>
            <w:r w:rsidRPr="008C5C91">
              <w:rPr>
                <w:rFonts w:ascii="Times New Roman" w:hAnsi="Times New Roman" w:cs="Times New Roman"/>
                <w:b/>
                <w:lang w:val="en-GB"/>
              </w:rPr>
              <w:t>CI</w:t>
            </w:r>
            <w:r w:rsidRPr="008C5C91">
              <w:rPr>
                <w:rFonts w:ascii="Times New Roman" w:hAnsi="Times New Roman" w:cs="Times New Roman"/>
                <w:b/>
                <w:lang w:val="sr-Latn-CS"/>
              </w:rPr>
              <w:t>)</w:t>
            </w:r>
          </w:p>
        </w:tc>
        <w:tc>
          <w:tcPr>
            <w:tcW w:w="1293" w:type="pct"/>
          </w:tcPr>
          <w:p w:rsidR="008C5C91" w:rsidRPr="008C5C91" w:rsidRDefault="008C5C91" w:rsidP="00FB337D">
            <w:pPr>
              <w:spacing w:after="0"/>
              <w:rPr>
                <w:rFonts w:ascii="Times New Roman" w:hAnsi="Times New Roman" w:cs="Times New Roman"/>
                <w:b/>
                <w:lang w:val="en-GB"/>
              </w:rPr>
            </w:pPr>
            <w:r w:rsidRPr="008C5C91">
              <w:rPr>
                <w:rFonts w:ascii="Times New Roman" w:eastAsia="Calibri" w:hAnsi="Times New Roman" w:cs="Times New Roman"/>
                <w:b/>
                <w:lang w:val="sr-Latn-RS"/>
              </w:rPr>
              <w:t xml:space="preserve">Koeficijent rizika </w:t>
            </w:r>
            <w:r w:rsidRPr="008C5C91">
              <w:rPr>
                <w:rFonts w:ascii="Times New Roman" w:hAnsi="Times New Roman" w:cs="Times New Roman"/>
                <w:b/>
                <w:lang w:val="en-GB"/>
              </w:rPr>
              <w:t>(95% CI)</w:t>
            </w:r>
          </w:p>
        </w:tc>
      </w:tr>
      <w:tr w:rsidR="008C5C91" w:rsidRPr="008C5C91" w:rsidTr="00B528BA">
        <w:trPr>
          <w:cantSplit/>
          <w:trHeight w:val="287"/>
        </w:trPr>
        <w:tc>
          <w:tcPr>
            <w:tcW w:w="5000" w:type="pct"/>
            <w:gridSpan w:val="4"/>
          </w:tcPr>
          <w:p w:rsidR="008C5C91" w:rsidRPr="008C5C91" w:rsidRDefault="008C5C91" w:rsidP="008C5C91">
            <w:pPr>
              <w:spacing w:after="0"/>
              <w:jc w:val="both"/>
              <w:rPr>
                <w:rFonts w:ascii="Times New Roman" w:hAnsi="Times New Roman" w:cs="Times New Roman"/>
                <w:lang w:val="nb-NO"/>
              </w:rPr>
            </w:pPr>
            <w:r w:rsidRPr="008C5C91">
              <w:rPr>
                <w:rFonts w:ascii="Times New Roman" w:eastAsia="Calibri" w:hAnsi="Times New Roman" w:cs="Times New Roman"/>
                <w:b/>
                <w:iCs/>
                <w:lang w:val="nn-NO"/>
              </w:rPr>
              <w:t xml:space="preserve">Populacija sa divljim tipom </w:t>
            </w:r>
            <w:r w:rsidRPr="008C5C91">
              <w:rPr>
                <w:rFonts w:ascii="Times New Roman" w:eastAsia="Calibri" w:hAnsi="Times New Roman" w:cs="Times New Roman"/>
                <w:b/>
                <w:i/>
                <w:iCs/>
                <w:lang w:val="nn-NO"/>
              </w:rPr>
              <w:t xml:space="preserve">RAS </w:t>
            </w:r>
            <w:r w:rsidRPr="008C5C91">
              <w:rPr>
                <w:rFonts w:ascii="Times New Roman" w:eastAsia="Calibri" w:hAnsi="Times New Roman" w:cs="Times New Roman"/>
                <w:b/>
                <w:iCs/>
                <w:lang w:val="nn-NO"/>
              </w:rPr>
              <w:t>gena</w:t>
            </w:r>
          </w:p>
        </w:tc>
      </w:tr>
      <w:tr w:rsidR="008C5C91" w:rsidRPr="008C5C91" w:rsidTr="00B528BA">
        <w:trPr>
          <w:cantSplit/>
          <w:trHeight w:val="287"/>
        </w:trPr>
        <w:tc>
          <w:tcPr>
            <w:tcW w:w="1119" w:type="pct"/>
          </w:tcPr>
          <w:p w:rsidR="008C5C91" w:rsidRPr="008C5C91" w:rsidRDefault="008C5C91" w:rsidP="008C5C91">
            <w:pPr>
              <w:spacing w:after="0"/>
              <w:ind w:hanging="18"/>
              <w:jc w:val="both"/>
              <w:rPr>
                <w:rFonts w:ascii="Times New Roman" w:hAnsi="Times New Roman" w:cs="Times New Roman"/>
                <w:lang w:val="en-GB"/>
              </w:rPr>
            </w:pPr>
            <w:r w:rsidRPr="008C5C91">
              <w:rPr>
                <w:rFonts w:ascii="Times New Roman" w:hAnsi="Times New Roman" w:cs="Times New Roman"/>
                <w:lang w:val="en-GB"/>
              </w:rPr>
              <w:t>PFS</w:t>
            </w:r>
          </w:p>
        </w:tc>
        <w:tc>
          <w:tcPr>
            <w:tcW w:w="1294" w:type="pct"/>
          </w:tcPr>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6,4</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(5,5; 7,4)</w:t>
            </w:r>
          </w:p>
        </w:tc>
        <w:tc>
          <w:tcPr>
            <w:tcW w:w="1294" w:type="pct"/>
          </w:tcPr>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4,6</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(3,7; 5,6)</w:t>
            </w:r>
          </w:p>
        </w:tc>
        <w:tc>
          <w:tcPr>
            <w:tcW w:w="1293" w:type="pct"/>
          </w:tcPr>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0,70</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(0,54; 0,91)</w:t>
            </w:r>
          </w:p>
        </w:tc>
      </w:tr>
      <w:tr w:rsidR="008C5C91" w:rsidRPr="008C5C91" w:rsidTr="00B528BA">
        <w:trPr>
          <w:cantSplit/>
          <w:trHeight w:val="287"/>
        </w:trPr>
        <w:tc>
          <w:tcPr>
            <w:tcW w:w="1119" w:type="pct"/>
          </w:tcPr>
          <w:p w:rsidR="008C5C91" w:rsidRPr="008C5C91" w:rsidRDefault="008C5C91" w:rsidP="008C5C91">
            <w:pPr>
              <w:spacing w:after="0"/>
              <w:ind w:hanging="18"/>
              <w:jc w:val="both"/>
              <w:rPr>
                <w:rFonts w:ascii="Times New Roman" w:hAnsi="Times New Roman" w:cs="Times New Roman"/>
                <w:lang w:val="en-GB"/>
              </w:rPr>
            </w:pPr>
            <w:r w:rsidRPr="008C5C91">
              <w:rPr>
                <w:rFonts w:ascii="Times New Roman" w:hAnsi="Times New Roman" w:cs="Times New Roman"/>
                <w:lang w:val="en-GB"/>
              </w:rPr>
              <w:t>OS</w:t>
            </w:r>
          </w:p>
        </w:tc>
        <w:tc>
          <w:tcPr>
            <w:tcW w:w="1294" w:type="pct"/>
          </w:tcPr>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16,2</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(14,5; 19,7)</w:t>
            </w:r>
          </w:p>
        </w:tc>
        <w:tc>
          <w:tcPr>
            <w:tcW w:w="1294" w:type="pct"/>
          </w:tcPr>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13,9 (11,9; 16,0)</w:t>
            </w:r>
          </w:p>
        </w:tc>
        <w:tc>
          <w:tcPr>
            <w:tcW w:w="1293" w:type="pct"/>
          </w:tcPr>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0,81</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(0,63; 1,02)</w:t>
            </w:r>
          </w:p>
        </w:tc>
      </w:tr>
      <w:tr w:rsidR="008C5C91" w:rsidRPr="008C5C91" w:rsidTr="00B528BA">
        <w:trPr>
          <w:cantSplit/>
          <w:trHeight w:val="287"/>
        </w:trPr>
        <w:tc>
          <w:tcPr>
            <w:tcW w:w="5000" w:type="pct"/>
            <w:gridSpan w:val="4"/>
          </w:tcPr>
          <w:p w:rsidR="008C5C91" w:rsidRPr="008C5C91" w:rsidRDefault="008C5C91" w:rsidP="008C5C91">
            <w:pPr>
              <w:keepNext/>
              <w:spacing w:after="0"/>
              <w:jc w:val="both"/>
              <w:rPr>
                <w:rFonts w:ascii="Times New Roman" w:hAnsi="Times New Roman" w:cs="Times New Roman"/>
                <w:lang w:val="nb-NO"/>
              </w:rPr>
            </w:pPr>
            <w:r w:rsidRPr="008C5C91">
              <w:rPr>
                <w:rFonts w:ascii="Times New Roman" w:eastAsia="Calibri" w:hAnsi="Times New Roman" w:cs="Times New Roman"/>
                <w:b/>
                <w:iCs/>
                <w:lang w:val="fr-FR"/>
              </w:rPr>
              <w:t xml:space="preserve">Populacija sa mutiranim </w:t>
            </w:r>
            <w:r w:rsidRPr="008C5C91">
              <w:rPr>
                <w:rFonts w:ascii="Times New Roman" w:eastAsia="Calibri" w:hAnsi="Times New Roman" w:cs="Times New Roman"/>
                <w:b/>
                <w:i/>
                <w:iCs/>
                <w:lang w:val="fr-FR"/>
              </w:rPr>
              <w:t>RAS</w:t>
            </w:r>
            <w:r w:rsidRPr="008C5C91">
              <w:rPr>
                <w:rFonts w:ascii="Times New Roman" w:eastAsia="Calibri" w:hAnsi="Times New Roman" w:cs="Times New Roman"/>
                <w:b/>
                <w:iCs/>
                <w:lang w:val="fr-FR"/>
              </w:rPr>
              <w:t xml:space="preserve"> genom</w:t>
            </w:r>
          </w:p>
        </w:tc>
      </w:tr>
      <w:tr w:rsidR="008C5C91" w:rsidRPr="008C5C91" w:rsidTr="00B528BA">
        <w:trPr>
          <w:cantSplit/>
          <w:trHeight w:val="287"/>
        </w:trPr>
        <w:tc>
          <w:tcPr>
            <w:tcW w:w="1119" w:type="pct"/>
          </w:tcPr>
          <w:p w:rsidR="008C5C91" w:rsidRPr="008C5C91" w:rsidRDefault="008C5C91" w:rsidP="008C5C91">
            <w:pPr>
              <w:keepNext/>
              <w:spacing w:after="0"/>
              <w:ind w:hanging="17"/>
              <w:jc w:val="both"/>
              <w:rPr>
                <w:rFonts w:ascii="Times New Roman" w:hAnsi="Times New Roman" w:cs="Times New Roman"/>
                <w:lang w:val="en-GB"/>
              </w:rPr>
            </w:pPr>
            <w:r w:rsidRPr="008C5C91">
              <w:rPr>
                <w:rFonts w:ascii="Times New Roman" w:hAnsi="Times New Roman" w:cs="Times New Roman"/>
                <w:lang w:val="en-GB"/>
              </w:rPr>
              <w:t>PFS</w:t>
            </w:r>
          </w:p>
        </w:tc>
        <w:tc>
          <w:tcPr>
            <w:tcW w:w="1294" w:type="pct"/>
          </w:tcPr>
          <w:p w:rsidR="008C5C91" w:rsidRPr="008C5C91" w:rsidRDefault="008C5C91" w:rsidP="008C5C91">
            <w:pPr>
              <w:keepNext/>
              <w:spacing w:after="0"/>
              <w:jc w:val="both"/>
              <w:rPr>
                <w:rFonts w:ascii="Times New Roman" w:hAnsi="Times New Roman" w:cs="Times New Roman"/>
                <w:lang w:val="en-GB"/>
              </w:rPr>
            </w:pPr>
            <w:r w:rsidRPr="008C5C91">
              <w:rPr>
                <w:rFonts w:ascii="Times New Roman" w:hAnsi="Times New Roman" w:cs="Times New Roman"/>
                <w:lang w:val="en-GB"/>
              </w:rPr>
              <w:t>4,8</w:t>
            </w:r>
          </w:p>
          <w:p w:rsidR="008C5C91" w:rsidRPr="008C5C91" w:rsidRDefault="008C5C91" w:rsidP="008C5C91">
            <w:pPr>
              <w:keepNext/>
              <w:spacing w:after="0"/>
              <w:jc w:val="both"/>
              <w:rPr>
                <w:rFonts w:ascii="Times New Roman" w:hAnsi="Times New Roman" w:cs="Times New Roman"/>
                <w:lang w:val="en-GB"/>
              </w:rPr>
            </w:pPr>
            <w:r w:rsidRPr="008C5C91">
              <w:rPr>
                <w:rFonts w:ascii="Times New Roman" w:hAnsi="Times New Roman" w:cs="Times New Roman"/>
                <w:lang w:val="en-GB"/>
              </w:rPr>
              <w:t>(3,7; 5,5)</w:t>
            </w:r>
          </w:p>
        </w:tc>
        <w:tc>
          <w:tcPr>
            <w:tcW w:w="1294" w:type="pct"/>
          </w:tcPr>
          <w:p w:rsidR="008C5C91" w:rsidRPr="008C5C91" w:rsidRDefault="008C5C91" w:rsidP="008C5C91">
            <w:pPr>
              <w:keepNext/>
              <w:spacing w:after="0"/>
              <w:jc w:val="both"/>
              <w:rPr>
                <w:rFonts w:ascii="Times New Roman" w:hAnsi="Times New Roman" w:cs="Times New Roman"/>
                <w:lang w:val="en-GB"/>
              </w:rPr>
            </w:pPr>
            <w:r w:rsidRPr="008C5C91">
              <w:rPr>
                <w:rFonts w:ascii="Times New Roman" w:hAnsi="Times New Roman" w:cs="Times New Roman"/>
                <w:lang w:val="en-GB"/>
              </w:rPr>
              <w:t>4,0</w:t>
            </w:r>
          </w:p>
          <w:p w:rsidR="008C5C91" w:rsidRPr="008C5C91" w:rsidRDefault="008C5C91" w:rsidP="008C5C91">
            <w:pPr>
              <w:keepNext/>
              <w:spacing w:after="0"/>
              <w:jc w:val="both"/>
              <w:rPr>
                <w:rFonts w:ascii="Times New Roman" w:hAnsi="Times New Roman" w:cs="Times New Roman"/>
                <w:lang w:val="en-GB"/>
              </w:rPr>
            </w:pPr>
            <w:r w:rsidRPr="008C5C91">
              <w:rPr>
                <w:rFonts w:ascii="Times New Roman" w:hAnsi="Times New Roman" w:cs="Times New Roman"/>
                <w:lang w:val="en-GB"/>
              </w:rPr>
              <w:t>(3,6; 5,5)</w:t>
            </w:r>
          </w:p>
        </w:tc>
        <w:tc>
          <w:tcPr>
            <w:tcW w:w="1293" w:type="pct"/>
          </w:tcPr>
          <w:p w:rsidR="008C5C91" w:rsidRPr="008C5C91" w:rsidRDefault="008C5C91" w:rsidP="008C5C91">
            <w:pPr>
              <w:keepNext/>
              <w:spacing w:after="0"/>
              <w:jc w:val="both"/>
              <w:rPr>
                <w:rFonts w:ascii="Times New Roman" w:hAnsi="Times New Roman" w:cs="Times New Roman"/>
                <w:lang w:val="en-GB"/>
              </w:rPr>
            </w:pPr>
            <w:r w:rsidRPr="008C5C91">
              <w:rPr>
                <w:rFonts w:ascii="Times New Roman" w:hAnsi="Times New Roman" w:cs="Times New Roman"/>
                <w:lang w:val="en-GB"/>
              </w:rPr>
              <w:t>0,86</w:t>
            </w:r>
          </w:p>
          <w:p w:rsidR="008C5C91" w:rsidRPr="008C5C91" w:rsidRDefault="008C5C91" w:rsidP="008C5C91">
            <w:pPr>
              <w:keepNext/>
              <w:spacing w:after="0"/>
              <w:jc w:val="both"/>
              <w:rPr>
                <w:rFonts w:ascii="Times New Roman" w:hAnsi="Times New Roman" w:cs="Times New Roman"/>
                <w:lang w:val="en-GB"/>
              </w:rPr>
            </w:pPr>
            <w:r w:rsidRPr="008C5C91">
              <w:rPr>
                <w:rFonts w:ascii="Times New Roman" w:hAnsi="Times New Roman" w:cs="Times New Roman"/>
                <w:lang w:val="en-GB"/>
              </w:rPr>
              <w:t>(0,70; 1,05)</w:t>
            </w:r>
          </w:p>
        </w:tc>
      </w:tr>
      <w:tr w:rsidR="008C5C91" w:rsidRPr="008C5C91" w:rsidTr="00B528BA">
        <w:trPr>
          <w:cantSplit/>
          <w:trHeight w:val="287"/>
        </w:trPr>
        <w:tc>
          <w:tcPr>
            <w:tcW w:w="1119" w:type="pct"/>
          </w:tcPr>
          <w:p w:rsidR="008C5C91" w:rsidRPr="008C5C91" w:rsidRDefault="008C5C91" w:rsidP="008C5C91">
            <w:pPr>
              <w:spacing w:after="0"/>
              <w:ind w:hanging="18"/>
              <w:jc w:val="both"/>
              <w:rPr>
                <w:rFonts w:ascii="Times New Roman" w:hAnsi="Times New Roman" w:cs="Times New Roman"/>
                <w:lang w:val="en-GB"/>
              </w:rPr>
            </w:pPr>
            <w:r w:rsidRPr="008C5C91">
              <w:rPr>
                <w:rFonts w:ascii="Times New Roman" w:hAnsi="Times New Roman" w:cs="Times New Roman"/>
                <w:lang w:val="en-GB"/>
              </w:rPr>
              <w:t>OS</w:t>
            </w:r>
          </w:p>
        </w:tc>
        <w:tc>
          <w:tcPr>
            <w:tcW w:w="1294" w:type="pct"/>
          </w:tcPr>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11,8</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(10,4; 13,1)</w:t>
            </w:r>
          </w:p>
        </w:tc>
        <w:tc>
          <w:tcPr>
            <w:tcW w:w="1294" w:type="pct"/>
          </w:tcPr>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11,1</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(10,2; 12,4)</w:t>
            </w:r>
          </w:p>
        </w:tc>
        <w:tc>
          <w:tcPr>
            <w:tcW w:w="1293" w:type="pct"/>
          </w:tcPr>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0,91</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(0,76; 1,10)</w:t>
            </w:r>
          </w:p>
        </w:tc>
      </w:tr>
    </w:tbl>
    <w:p w:rsidR="008C5C91" w:rsidRPr="008C5C91" w:rsidRDefault="008C5C91" w:rsidP="008C5C91">
      <w:pPr>
        <w:tabs>
          <w:tab w:val="left" w:pos="284"/>
          <w:tab w:val="center" w:pos="4536"/>
          <w:tab w:val="right" w:pos="9072"/>
        </w:tabs>
        <w:spacing w:after="0"/>
        <w:jc w:val="both"/>
        <w:rPr>
          <w:rFonts w:ascii="Times New Roman" w:hAnsi="Times New Roman" w:cs="Times New Roman"/>
          <w:lang w:val="sr-Latn-CS"/>
        </w:rPr>
      </w:pPr>
    </w:p>
    <w:p w:rsidR="008C5C91" w:rsidRPr="008C5C91" w:rsidRDefault="008C5C91" w:rsidP="008C5C91">
      <w:pPr>
        <w:tabs>
          <w:tab w:val="left" w:pos="284"/>
          <w:tab w:val="center" w:pos="4536"/>
          <w:tab w:val="right" w:pos="9072"/>
        </w:tabs>
        <w:spacing w:after="0"/>
        <w:jc w:val="both"/>
        <w:rPr>
          <w:rFonts w:ascii="Times New Roman" w:hAnsi="Times New Roman" w:cs="Times New Roman"/>
          <w:lang w:val="sr-Latn-RS"/>
        </w:rPr>
      </w:pPr>
      <w:r w:rsidRPr="008C5C91">
        <w:rPr>
          <w:rFonts w:ascii="Times New Roman" w:hAnsi="Times New Roman" w:cs="Times New Roman"/>
          <w:lang w:val="sr-Latn-RS"/>
        </w:rPr>
        <w:t xml:space="preserve">Efikasnost lijeka Vectibix kao prve linije u kombinaciji s FOLFIRI-jem ispitana je u studiji s jednom grupom od 154 pacijenta u kojoj je primarni cilj ispitivanja bila stopa objektivnog odgovora (ORR). Drugi ključni parametri ispitivanja uključivali su PFS, vrijeme do odgovora, TTP i trajanje odgovora. </w:t>
      </w:r>
    </w:p>
    <w:p w:rsidR="008C5C91" w:rsidRPr="008C5C91" w:rsidRDefault="008C5C91" w:rsidP="008C5C91">
      <w:pPr>
        <w:tabs>
          <w:tab w:val="left" w:pos="284"/>
          <w:tab w:val="center" w:pos="4536"/>
          <w:tab w:val="right" w:pos="9072"/>
        </w:tabs>
        <w:spacing w:after="0"/>
        <w:jc w:val="both"/>
        <w:rPr>
          <w:rFonts w:ascii="Times New Roman" w:hAnsi="Times New Roman" w:cs="Times New Roman"/>
          <w:lang w:val="sr-Latn-RS"/>
        </w:rPr>
      </w:pPr>
    </w:p>
    <w:p w:rsidR="008C5C91" w:rsidRPr="008C5C91" w:rsidRDefault="008C5C91" w:rsidP="008C5C91">
      <w:pPr>
        <w:tabs>
          <w:tab w:val="left" w:pos="284"/>
          <w:tab w:val="center" w:pos="4536"/>
          <w:tab w:val="right" w:pos="9072"/>
        </w:tabs>
        <w:spacing w:after="0"/>
        <w:jc w:val="both"/>
        <w:rPr>
          <w:rFonts w:ascii="Times New Roman" w:hAnsi="Times New Roman" w:cs="Times New Roman"/>
          <w:lang w:val="sr-Latn-RS"/>
        </w:rPr>
      </w:pPr>
      <w:r w:rsidRPr="008C5C91">
        <w:rPr>
          <w:rFonts w:ascii="Times New Roman" w:hAnsi="Times New Roman" w:cs="Times New Roman"/>
          <w:lang w:val="sr-Latn-RS"/>
        </w:rPr>
        <w:t xml:space="preserve">Sprovedena je unaprijed definisana retrospektivna analiza podgrupe od 143 od ukupno 154 pacijenta sa mCRC sa divljim tipom </w:t>
      </w:r>
      <w:r w:rsidRPr="008C5C91">
        <w:rPr>
          <w:rFonts w:ascii="Times New Roman" w:hAnsi="Times New Roman" w:cs="Times New Roman"/>
          <w:i/>
          <w:lang w:val="sr-Latn-RS"/>
        </w:rPr>
        <w:t>KRAS</w:t>
      </w:r>
      <w:r w:rsidRPr="008C5C91">
        <w:rPr>
          <w:rFonts w:ascii="Times New Roman" w:hAnsi="Times New Roman" w:cs="Times New Roman"/>
          <w:lang w:val="sr-Latn-RS"/>
        </w:rPr>
        <w:t xml:space="preserve"> (ekson 2) čiji su uzorci tumora ispitani na dodatne </w:t>
      </w:r>
      <w:r w:rsidRPr="008C5C91">
        <w:rPr>
          <w:rFonts w:ascii="Times New Roman" w:hAnsi="Times New Roman" w:cs="Times New Roman"/>
          <w:i/>
          <w:lang w:val="sr-Latn-RS"/>
        </w:rPr>
        <w:t>RAS</w:t>
      </w:r>
      <w:r w:rsidRPr="008C5C91">
        <w:rPr>
          <w:rFonts w:ascii="Times New Roman" w:hAnsi="Times New Roman" w:cs="Times New Roman"/>
          <w:lang w:val="sr-Latn-RS"/>
        </w:rPr>
        <w:t xml:space="preserve"> mutacije. Incidenca tih dodatnih </w:t>
      </w:r>
      <w:r w:rsidRPr="008C5C91">
        <w:rPr>
          <w:rFonts w:ascii="Times New Roman" w:hAnsi="Times New Roman" w:cs="Times New Roman"/>
          <w:i/>
          <w:lang w:val="sr-Latn-RS"/>
        </w:rPr>
        <w:t xml:space="preserve">RAS </w:t>
      </w:r>
      <w:r w:rsidRPr="008C5C91">
        <w:rPr>
          <w:rFonts w:ascii="Times New Roman" w:hAnsi="Times New Roman" w:cs="Times New Roman"/>
          <w:lang w:val="sr-Latn-RS"/>
        </w:rPr>
        <w:t>mutacija (</w:t>
      </w:r>
      <w:r w:rsidRPr="008C5C91">
        <w:rPr>
          <w:rFonts w:ascii="Times New Roman" w:hAnsi="Times New Roman" w:cs="Times New Roman"/>
          <w:i/>
          <w:lang w:val="sr-Latn-RS"/>
        </w:rPr>
        <w:t>KRAS</w:t>
      </w:r>
      <w:r w:rsidRPr="008C5C91">
        <w:rPr>
          <w:rFonts w:ascii="Times New Roman" w:hAnsi="Times New Roman" w:cs="Times New Roman"/>
          <w:lang w:val="sr-Latn-RS"/>
        </w:rPr>
        <w:t xml:space="preserve"> eksoni 3, 4 i </w:t>
      </w:r>
      <w:r w:rsidRPr="008C5C91">
        <w:rPr>
          <w:rFonts w:ascii="Times New Roman" w:hAnsi="Times New Roman" w:cs="Times New Roman"/>
          <w:i/>
          <w:lang w:val="sr-Latn-RS"/>
        </w:rPr>
        <w:t>NRAS</w:t>
      </w:r>
      <w:r w:rsidRPr="008C5C91">
        <w:rPr>
          <w:rFonts w:ascii="Times New Roman" w:hAnsi="Times New Roman" w:cs="Times New Roman"/>
          <w:lang w:val="sr-Latn-RS"/>
        </w:rPr>
        <w:t xml:space="preserve"> eksoni 2, 3, 4) u populaciji s divljim tipom </w:t>
      </w:r>
      <w:r w:rsidRPr="008C5C91">
        <w:rPr>
          <w:rFonts w:ascii="Times New Roman" w:hAnsi="Times New Roman" w:cs="Times New Roman"/>
          <w:i/>
          <w:lang w:val="sr-Latn-RS"/>
        </w:rPr>
        <w:t>KRAS</w:t>
      </w:r>
      <w:r w:rsidRPr="008C5C91">
        <w:rPr>
          <w:rFonts w:ascii="Times New Roman" w:hAnsi="Times New Roman" w:cs="Times New Roman"/>
          <w:lang w:val="sr-Latn-RS"/>
        </w:rPr>
        <w:t xml:space="preserve"> (ekson 2) bila je približno 10%.</w:t>
      </w:r>
    </w:p>
    <w:p w:rsidR="008C5C91" w:rsidRPr="008C5C91" w:rsidRDefault="008C5C91" w:rsidP="008C5C91">
      <w:pPr>
        <w:tabs>
          <w:tab w:val="left" w:pos="284"/>
          <w:tab w:val="center" w:pos="4536"/>
          <w:tab w:val="right" w:pos="9072"/>
        </w:tabs>
        <w:spacing w:after="0"/>
        <w:jc w:val="both"/>
        <w:rPr>
          <w:rFonts w:ascii="Times New Roman" w:hAnsi="Times New Roman" w:cs="Times New Roman"/>
          <w:lang w:val="sr-Latn-RS"/>
        </w:rPr>
      </w:pPr>
    </w:p>
    <w:p w:rsidR="008C5C91" w:rsidRPr="008C5C91" w:rsidRDefault="008C5C91" w:rsidP="008C5C91">
      <w:pPr>
        <w:tabs>
          <w:tab w:val="left" w:pos="284"/>
          <w:tab w:val="center" w:pos="4536"/>
          <w:tab w:val="right" w:pos="9072"/>
        </w:tabs>
        <w:spacing w:after="0"/>
        <w:jc w:val="both"/>
        <w:rPr>
          <w:rFonts w:ascii="Times New Roman" w:hAnsi="Times New Roman" w:cs="Times New Roman"/>
          <w:lang w:val="sr-Latn-RS"/>
        </w:rPr>
      </w:pPr>
      <w:r w:rsidRPr="008C5C91">
        <w:rPr>
          <w:rFonts w:ascii="Times New Roman" w:hAnsi="Times New Roman" w:cs="Times New Roman"/>
          <w:lang w:val="sr-Latn-RS"/>
        </w:rPr>
        <w:t xml:space="preserve">Rezultati primarne analize kod pacijenata sa mCRC sa divljim tipom </w:t>
      </w:r>
      <w:r w:rsidRPr="008C5C91">
        <w:rPr>
          <w:rFonts w:ascii="Times New Roman" w:hAnsi="Times New Roman" w:cs="Times New Roman"/>
          <w:i/>
          <w:lang w:val="sr-Latn-RS"/>
        </w:rPr>
        <w:t>RAS</w:t>
      </w:r>
      <w:r w:rsidRPr="008C5C91">
        <w:rPr>
          <w:rFonts w:ascii="Times New Roman" w:hAnsi="Times New Roman" w:cs="Times New Roman"/>
          <w:lang w:val="sr-Latn-RS"/>
        </w:rPr>
        <w:t xml:space="preserve"> i mCRC mutiranim tipom </w:t>
      </w:r>
      <w:r w:rsidRPr="008C5C91">
        <w:rPr>
          <w:rFonts w:ascii="Times New Roman" w:hAnsi="Times New Roman" w:cs="Times New Roman"/>
          <w:i/>
          <w:lang w:val="sr-Latn-RS"/>
        </w:rPr>
        <w:t xml:space="preserve">RAS </w:t>
      </w:r>
      <w:r w:rsidRPr="008C5C91">
        <w:rPr>
          <w:rFonts w:ascii="Times New Roman" w:hAnsi="Times New Roman" w:cs="Times New Roman"/>
          <w:lang w:val="sr-Latn-RS"/>
        </w:rPr>
        <w:t>prikazani su u tabeli ispod.</w:t>
      </w:r>
    </w:p>
    <w:p w:rsidR="008C5C91" w:rsidRPr="008C5C91" w:rsidRDefault="008C5C91" w:rsidP="008C5C91">
      <w:pPr>
        <w:tabs>
          <w:tab w:val="left" w:pos="284"/>
          <w:tab w:val="center" w:pos="4536"/>
          <w:tab w:val="right" w:pos="9072"/>
        </w:tabs>
        <w:spacing w:after="0"/>
        <w:jc w:val="both"/>
        <w:rPr>
          <w:rFonts w:ascii="Times New Roman" w:hAnsi="Times New Roman" w:cs="Times New Roman"/>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2657"/>
      </w:tblGrid>
      <w:tr w:rsidR="008C5C91" w:rsidRPr="008C5C91" w:rsidTr="00B528BA">
        <w:tc>
          <w:tcPr>
            <w:tcW w:w="3936" w:type="dxa"/>
            <w:shd w:val="clear" w:color="auto" w:fill="auto"/>
          </w:tcPr>
          <w:p w:rsidR="008C5C91" w:rsidRPr="008C5C91" w:rsidRDefault="008C5C91" w:rsidP="008C5C91">
            <w:pPr>
              <w:spacing w:after="0"/>
              <w:jc w:val="both"/>
              <w:rPr>
                <w:rFonts w:ascii="Times New Roman" w:hAnsi="Times New Roman" w:cs="Times New Roman"/>
                <w:lang w:val="sr-Latn-RS"/>
              </w:rPr>
            </w:pPr>
          </w:p>
        </w:tc>
        <w:tc>
          <w:tcPr>
            <w:tcW w:w="5350" w:type="dxa"/>
            <w:gridSpan w:val="2"/>
            <w:shd w:val="clear" w:color="auto" w:fill="auto"/>
          </w:tcPr>
          <w:p w:rsidR="008C5C91" w:rsidRPr="008C5C91" w:rsidRDefault="008C5C91" w:rsidP="008C5C91">
            <w:pPr>
              <w:spacing w:after="0"/>
              <w:jc w:val="both"/>
              <w:rPr>
                <w:rFonts w:ascii="Times New Roman" w:hAnsi="Times New Roman" w:cs="Times New Roman"/>
                <w:b/>
                <w:lang w:val="en-GB"/>
              </w:rPr>
            </w:pPr>
            <w:r w:rsidRPr="008C5C91">
              <w:rPr>
                <w:rFonts w:ascii="Times New Roman" w:hAnsi="Times New Roman" w:cs="Times New Roman"/>
                <w:b/>
                <w:lang w:val="en-GB"/>
              </w:rPr>
              <w:t>Panitumumab + FOLFIRI</w:t>
            </w:r>
          </w:p>
        </w:tc>
      </w:tr>
      <w:tr w:rsidR="008C5C91" w:rsidRPr="008C5C91" w:rsidTr="00B528BA">
        <w:tc>
          <w:tcPr>
            <w:tcW w:w="3936" w:type="dxa"/>
            <w:shd w:val="clear" w:color="auto" w:fill="auto"/>
          </w:tcPr>
          <w:p w:rsidR="008C5C91" w:rsidRPr="008C5C91" w:rsidRDefault="008C5C91" w:rsidP="008C5C91">
            <w:pPr>
              <w:spacing w:after="0"/>
              <w:jc w:val="both"/>
              <w:rPr>
                <w:rFonts w:ascii="Times New Roman" w:hAnsi="Times New Roman" w:cs="Times New Roman"/>
                <w:lang w:val="en-GB"/>
              </w:rPr>
            </w:pPr>
          </w:p>
        </w:tc>
        <w:tc>
          <w:tcPr>
            <w:tcW w:w="2693" w:type="dxa"/>
            <w:shd w:val="clear" w:color="auto" w:fill="auto"/>
          </w:tcPr>
          <w:p w:rsidR="008C5C91" w:rsidRPr="008C5C91" w:rsidRDefault="008C5C91" w:rsidP="008C5C91">
            <w:pPr>
              <w:spacing w:after="0"/>
              <w:jc w:val="both"/>
              <w:rPr>
                <w:rFonts w:ascii="Times New Roman" w:hAnsi="Times New Roman" w:cs="Times New Roman"/>
                <w:b/>
                <w:lang w:val="en-GB"/>
              </w:rPr>
            </w:pPr>
            <w:r w:rsidRPr="008C5C91">
              <w:rPr>
                <w:rFonts w:ascii="Times New Roman" w:hAnsi="Times New Roman" w:cs="Times New Roman"/>
                <w:b/>
                <w:lang w:val="en-GB"/>
              </w:rPr>
              <w:t xml:space="preserve">Divlji tip </w:t>
            </w:r>
            <w:r w:rsidRPr="008C5C91">
              <w:rPr>
                <w:rFonts w:ascii="Times New Roman" w:hAnsi="Times New Roman" w:cs="Times New Roman"/>
                <w:b/>
                <w:i/>
                <w:lang w:val="en-GB"/>
              </w:rPr>
              <w:t>RAS</w:t>
            </w:r>
            <w:r w:rsidRPr="008C5C91">
              <w:rPr>
                <w:rFonts w:ascii="Times New Roman" w:hAnsi="Times New Roman" w:cs="Times New Roman"/>
                <w:b/>
                <w:lang w:val="en-GB"/>
              </w:rPr>
              <w:t xml:space="preserve"> </w:t>
            </w:r>
            <w:r w:rsidRPr="008C5C91">
              <w:rPr>
                <w:rFonts w:ascii="Times New Roman" w:hAnsi="Times New Roman" w:cs="Times New Roman"/>
                <w:b/>
                <w:lang w:val="en-GB" w:eastAsia="en-GB"/>
              </w:rPr>
              <w:t>(n = 69)</w:t>
            </w:r>
          </w:p>
        </w:tc>
        <w:tc>
          <w:tcPr>
            <w:tcW w:w="2657" w:type="dxa"/>
            <w:shd w:val="clear" w:color="auto" w:fill="auto"/>
          </w:tcPr>
          <w:p w:rsidR="008C5C91" w:rsidRPr="008C5C91" w:rsidRDefault="008C5C91" w:rsidP="008C5C91">
            <w:pPr>
              <w:spacing w:after="0"/>
              <w:jc w:val="both"/>
              <w:rPr>
                <w:rFonts w:ascii="Times New Roman" w:hAnsi="Times New Roman" w:cs="Times New Roman"/>
                <w:b/>
                <w:lang w:val="en-GB"/>
              </w:rPr>
            </w:pPr>
            <w:r w:rsidRPr="008C5C91">
              <w:rPr>
                <w:rFonts w:ascii="Times New Roman" w:hAnsi="Times New Roman" w:cs="Times New Roman"/>
                <w:b/>
                <w:lang w:val="en-GB"/>
              </w:rPr>
              <w:t xml:space="preserve">Mutirani </w:t>
            </w:r>
            <w:r w:rsidRPr="008C5C91">
              <w:rPr>
                <w:rFonts w:ascii="Times New Roman" w:hAnsi="Times New Roman" w:cs="Times New Roman"/>
                <w:b/>
                <w:i/>
                <w:lang w:val="en-GB"/>
              </w:rPr>
              <w:t xml:space="preserve">RAS </w:t>
            </w:r>
            <w:r w:rsidRPr="008C5C91">
              <w:rPr>
                <w:rFonts w:ascii="Times New Roman" w:hAnsi="Times New Roman" w:cs="Times New Roman"/>
                <w:b/>
                <w:lang w:val="en-GB" w:eastAsia="en-GB"/>
              </w:rPr>
              <w:t>(n = 74)</w:t>
            </w:r>
          </w:p>
        </w:tc>
      </w:tr>
      <w:tr w:rsidR="008C5C91" w:rsidRPr="008C5C91" w:rsidTr="00B528BA">
        <w:tc>
          <w:tcPr>
            <w:tcW w:w="3936" w:type="dxa"/>
            <w:shd w:val="clear" w:color="auto" w:fill="auto"/>
          </w:tcPr>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ORR (%)</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rPr>
              <w:t>(95% CI)</w:t>
            </w:r>
          </w:p>
        </w:tc>
        <w:tc>
          <w:tcPr>
            <w:tcW w:w="2693" w:type="dxa"/>
            <w:shd w:val="clear" w:color="auto" w:fill="auto"/>
          </w:tcPr>
          <w:p w:rsidR="008C5C91" w:rsidRPr="008C5C91" w:rsidRDefault="008C5C91" w:rsidP="008C5C91">
            <w:pPr>
              <w:autoSpaceDE w:val="0"/>
              <w:autoSpaceDN w:val="0"/>
              <w:adjustRightInd w:val="0"/>
              <w:spacing w:after="0"/>
              <w:jc w:val="both"/>
              <w:rPr>
                <w:rFonts w:ascii="Times New Roman" w:hAnsi="Times New Roman" w:cs="Times New Roman"/>
                <w:lang w:val="en-GB" w:eastAsia="en-GB"/>
              </w:rPr>
            </w:pPr>
            <w:r w:rsidRPr="008C5C91">
              <w:rPr>
                <w:rFonts w:ascii="Times New Roman" w:hAnsi="Times New Roman" w:cs="Times New Roman"/>
                <w:lang w:val="en-GB" w:eastAsia="en-GB"/>
              </w:rPr>
              <w:t>59</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eastAsia="en-GB"/>
              </w:rPr>
              <w:t>(46; 71)</w:t>
            </w:r>
          </w:p>
        </w:tc>
        <w:tc>
          <w:tcPr>
            <w:tcW w:w="2657" w:type="dxa"/>
            <w:shd w:val="clear" w:color="auto" w:fill="auto"/>
          </w:tcPr>
          <w:p w:rsidR="008C5C91" w:rsidRPr="008C5C91" w:rsidRDefault="008C5C91" w:rsidP="008C5C91">
            <w:pPr>
              <w:autoSpaceDE w:val="0"/>
              <w:autoSpaceDN w:val="0"/>
              <w:adjustRightInd w:val="0"/>
              <w:spacing w:after="0"/>
              <w:jc w:val="both"/>
              <w:rPr>
                <w:rFonts w:ascii="Times New Roman" w:hAnsi="Times New Roman" w:cs="Times New Roman"/>
                <w:lang w:val="en-GB" w:eastAsia="en-GB"/>
              </w:rPr>
            </w:pPr>
            <w:r w:rsidRPr="008C5C91">
              <w:rPr>
                <w:rFonts w:ascii="Times New Roman" w:hAnsi="Times New Roman" w:cs="Times New Roman"/>
                <w:lang w:val="en-GB" w:eastAsia="en-GB"/>
              </w:rPr>
              <w:t>41</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eastAsia="en-GB"/>
              </w:rPr>
              <w:t>(30; 53)</w:t>
            </w:r>
          </w:p>
        </w:tc>
      </w:tr>
      <w:tr w:rsidR="008C5C91" w:rsidRPr="008C5C91" w:rsidTr="00B528BA">
        <w:tc>
          <w:tcPr>
            <w:tcW w:w="3936" w:type="dxa"/>
            <w:shd w:val="clear" w:color="auto" w:fill="auto"/>
          </w:tcPr>
          <w:p w:rsidR="008C5C91" w:rsidRPr="008C5C91" w:rsidRDefault="008C5C91" w:rsidP="008C5C91">
            <w:pPr>
              <w:spacing w:after="0"/>
              <w:jc w:val="both"/>
              <w:rPr>
                <w:rFonts w:ascii="Times New Roman" w:hAnsi="Times New Roman" w:cs="Times New Roman"/>
                <w:lang w:val="fr-FR" w:eastAsia="en-GB"/>
              </w:rPr>
            </w:pPr>
            <w:r w:rsidRPr="008C5C91">
              <w:rPr>
                <w:rFonts w:ascii="Times New Roman" w:hAnsi="Times New Roman" w:cs="Times New Roman"/>
                <w:lang w:val="fr-FR"/>
              </w:rPr>
              <w:t xml:space="preserve">Srednja vrijednost PFS </w:t>
            </w:r>
            <w:r w:rsidRPr="008C5C91">
              <w:rPr>
                <w:rFonts w:ascii="Times New Roman" w:hAnsi="Times New Roman" w:cs="Times New Roman"/>
                <w:lang w:val="fr-FR" w:eastAsia="en-GB"/>
              </w:rPr>
              <w:t xml:space="preserve">(mjeseci) </w:t>
            </w:r>
          </w:p>
          <w:p w:rsidR="008C5C91" w:rsidRPr="008C5C91" w:rsidRDefault="008C5C91" w:rsidP="008C5C91">
            <w:pPr>
              <w:spacing w:after="0"/>
              <w:jc w:val="both"/>
              <w:rPr>
                <w:rFonts w:ascii="Times New Roman" w:hAnsi="Times New Roman" w:cs="Times New Roman"/>
                <w:lang w:val="fr-FR"/>
              </w:rPr>
            </w:pPr>
            <w:r w:rsidRPr="008C5C91">
              <w:rPr>
                <w:rFonts w:ascii="Times New Roman" w:hAnsi="Times New Roman" w:cs="Times New Roman"/>
                <w:lang w:val="fr-FR" w:eastAsia="en-GB"/>
              </w:rPr>
              <w:t xml:space="preserve">(95% CI) </w:t>
            </w:r>
          </w:p>
        </w:tc>
        <w:tc>
          <w:tcPr>
            <w:tcW w:w="2693" w:type="dxa"/>
            <w:shd w:val="clear" w:color="auto" w:fill="auto"/>
          </w:tcPr>
          <w:p w:rsidR="008C5C91" w:rsidRPr="008C5C91" w:rsidRDefault="008C5C91" w:rsidP="008C5C91">
            <w:pPr>
              <w:autoSpaceDE w:val="0"/>
              <w:autoSpaceDN w:val="0"/>
              <w:adjustRightInd w:val="0"/>
              <w:spacing w:after="0"/>
              <w:jc w:val="both"/>
              <w:rPr>
                <w:rFonts w:ascii="Times New Roman" w:hAnsi="Times New Roman" w:cs="Times New Roman"/>
                <w:lang w:val="en-GB" w:eastAsia="en-GB"/>
              </w:rPr>
            </w:pPr>
            <w:r w:rsidRPr="008C5C91">
              <w:rPr>
                <w:rFonts w:ascii="Times New Roman" w:hAnsi="Times New Roman" w:cs="Times New Roman"/>
                <w:lang w:val="en-GB" w:eastAsia="en-GB"/>
              </w:rPr>
              <w:t>11,2</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eastAsia="en-GB"/>
              </w:rPr>
              <w:t>(7,6; 14,8)</w:t>
            </w:r>
          </w:p>
        </w:tc>
        <w:tc>
          <w:tcPr>
            <w:tcW w:w="2657" w:type="dxa"/>
            <w:shd w:val="clear" w:color="auto" w:fill="auto"/>
          </w:tcPr>
          <w:p w:rsidR="008C5C91" w:rsidRPr="008C5C91" w:rsidRDefault="008C5C91" w:rsidP="008C5C91">
            <w:pPr>
              <w:autoSpaceDE w:val="0"/>
              <w:autoSpaceDN w:val="0"/>
              <w:adjustRightInd w:val="0"/>
              <w:spacing w:after="0"/>
              <w:jc w:val="both"/>
              <w:rPr>
                <w:rFonts w:ascii="Times New Roman" w:hAnsi="Times New Roman" w:cs="Times New Roman"/>
                <w:lang w:val="en-GB" w:eastAsia="en-GB"/>
              </w:rPr>
            </w:pPr>
            <w:r w:rsidRPr="008C5C91">
              <w:rPr>
                <w:rFonts w:ascii="Times New Roman" w:hAnsi="Times New Roman" w:cs="Times New Roman"/>
                <w:lang w:val="en-GB" w:eastAsia="en-GB"/>
              </w:rPr>
              <w:t>7,3</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eastAsia="en-GB"/>
              </w:rPr>
              <w:t>(5,8; 7,5)</w:t>
            </w:r>
          </w:p>
        </w:tc>
      </w:tr>
      <w:tr w:rsidR="008C5C91" w:rsidRPr="008C5C91" w:rsidTr="00B528BA">
        <w:tc>
          <w:tcPr>
            <w:tcW w:w="3936" w:type="dxa"/>
            <w:shd w:val="clear" w:color="auto" w:fill="auto"/>
          </w:tcPr>
          <w:p w:rsidR="008C5C91" w:rsidRPr="008C5C91" w:rsidRDefault="008C5C91" w:rsidP="008C5C91">
            <w:pPr>
              <w:spacing w:after="0"/>
              <w:jc w:val="both"/>
              <w:rPr>
                <w:rFonts w:ascii="Times New Roman" w:hAnsi="Times New Roman" w:cs="Times New Roman"/>
                <w:lang w:val="en-GB" w:eastAsia="en-GB"/>
              </w:rPr>
            </w:pPr>
            <w:r w:rsidRPr="008C5C91">
              <w:rPr>
                <w:rFonts w:ascii="Times New Roman" w:hAnsi="Times New Roman" w:cs="Times New Roman"/>
                <w:lang w:val="en-GB"/>
              </w:rPr>
              <w:t xml:space="preserve">Srednja vrijednost trajanja odgovora </w:t>
            </w:r>
            <w:r w:rsidRPr="008C5C91">
              <w:rPr>
                <w:rFonts w:ascii="Times New Roman" w:hAnsi="Times New Roman" w:cs="Times New Roman"/>
                <w:lang w:val="en-GB" w:eastAsia="en-GB"/>
              </w:rPr>
              <w:t>(mjeseci)</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eastAsia="en-GB"/>
              </w:rPr>
              <w:t>(95% CI)</w:t>
            </w:r>
          </w:p>
        </w:tc>
        <w:tc>
          <w:tcPr>
            <w:tcW w:w="2693" w:type="dxa"/>
            <w:shd w:val="clear" w:color="auto" w:fill="auto"/>
          </w:tcPr>
          <w:p w:rsidR="008C5C91" w:rsidRPr="008C5C91" w:rsidRDefault="008C5C91" w:rsidP="008C5C91">
            <w:pPr>
              <w:autoSpaceDE w:val="0"/>
              <w:autoSpaceDN w:val="0"/>
              <w:adjustRightInd w:val="0"/>
              <w:spacing w:after="0"/>
              <w:jc w:val="both"/>
              <w:rPr>
                <w:rFonts w:ascii="Times New Roman" w:hAnsi="Times New Roman" w:cs="Times New Roman"/>
                <w:lang w:val="en-GB" w:eastAsia="en-GB"/>
              </w:rPr>
            </w:pPr>
            <w:r w:rsidRPr="008C5C91">
              <w:rPr>
                <w:rFonts w:ascii="Times New Roman" w:hAnsi="Times New Roman" w:cs="Times New Roman"/>
                <w:lang w:val="en-GB" w:eastAsia="en-GB"/>
              </w:rPr>
              <w:t>13,0</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eastAsia="en-GB"/>
              </w:rPr>
              <w:t>(9,3; 15,7)</w:t>
            </w:r>
          </w:p>
        </w:tc>
        <w:tc>
          <w:tcPr>
            <w:tcW w:w="2657" w:type="dxa"/>
            <w:shd w:val="clear" w:color="auto" w:fill="auto"/>
          </w:tcPr>
          <w:p w:rsidR="008C5C91" w:rsidRPr="008C5C91" w:rsidRDefault="008C5C91" w:rsidP="008C5C91">
            <w:pPr>
              <w:autoSpaceDE w:val="0"/>
              <w:autoSpaceDN w:val="0"/>
              <w:adjustRightInd w:val="0"/>
              <w:spacing w:after="0"/>
              <w:jc w:val="both"/>
              <w:rPr>
                <w:rFonts w:ascii="Times New Roman" w:hAnsi="Times New Roman" w:cs="Times New Roman"/>
                <w:lang w:val="en-GB" w:eastAsia="en-GB"/>
              </w:rPr>
            </w:pPr>
            <w:r w:rsidRPr="008C5C91">
              <w:rPr>
                <w:rFonts w:ascii="Times New Roman" w:hAnsi="Times New Roman" w:cs="Times New Roman"/>
                <w:lang w:val="en-GB" w:eastAsia="en-GB"/>
              </w:rPr>
              <w:t>5,8</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eastAsia="en-GB"/>
              </w:rPr>
              <w:t>(3,9; 7,8)</w:t>
            </w:r>
          </w:p>
        </w:tc>
      </w:tr>
      <w:tr w:rsidR="008C5C91" w:rsidRPr="008C5C91" w:rsidTr="00B528BA">
        <w:tc>
          <w:tcPr>
            <w:tcW w:w="3936" w:type="dxa"/>
            <w:shd w:val="clear" w:color="auto" w:fill="auto"/>
          </w:tcPr>
          <w:p w:rsidR="008C5C91" w:rsidRPr="008C5C91" w:rsidRDefault="008C5C91" w:rsidP="008C5C91">
            <w:pPr>
              <w:spacing w:after="0"/>
              <w:jc w:val="both"/>
              <w:rPr>
                <w:rFonts w:ascii="Times New Roman" w:hAnsi="Times New Roman" w:cs="Times New Roman"/>
                <w:lang w:val="fr-FR" w:eastAsia="en-GB"/>
              </w:rPr>
            </w:pPr>
            <w:r w:rsidRPr="008C5C91">
              <w:rPr>
                <w:rFonts w:ascii="Times New Roman" w:hAnsi="Times New Roman" w:cs="Times New Roman"/>
                <w:lang w:val="fr-FR"/>
              </w:rPr>
              <w:t xml:space="preserve">Srednja vrijednost TTP </w:t>
            </w:r>
            <w:r w:rsidRPr="008C5C91">
              <w:rPr>
                <w:rFonts w:ascii="Times New Roman" w:hAnsi="Times New Roman" w:cs="Times New Roman"/>
                <w:lang w:val="fr-FR" w:eastAsia="en-GB"/>
              </w:rPr>
              <w:t xml:space="preserve">(mjeseci) </w:t>
            </w:r>
          </w:p>
          <w:p w:rsidR="008C5C91" w:rsidRPr="008C5C91" w:rsidRDefault="008C5C91" w:rsidP="008C5C91">
            <w:pPr>
              <w:spacing w:after="0"/>
              <w:jc w:val="both"/>
              <w:rPr>
                <w:rFonts w:ascii="Times New Roman" w:hAnsi="Times New Roman" w:cs="Times New Roman"/>
                <w:lang w:val="fr-FR"/>
              </w:rPr>
            </w:pPr>
            <w:r w:rsidRPr="008C5C91">
              <w:rPr>
                <w:rFonts w:ascii="Times New Roman" w:hAnsi="Times New Roman" w:cs="Times New Roman"/>
                <w:lang w:val="fr-FR" w:eastAsia="en-GB"/>
              </w:rPr>
              <w:t>(95% CI)</w:t>
            </w:r>
          </w:p>
        </w:tc>
        <w:tc>
          <w:tcPr>
            <w:tcW w:w="2693" w:type="dxa"/>
            <w:shd w:val="clear" w:color="auto" w:fill="auto"/>
          </w:tcPr>
          <w:p w:rsidR="008C5C91" w:rsidRPr="008C5C91" w:rsidRDefault="008C5C91" w:rsidP="008C5C91">
            <w:pPr>
              <w:autoSpaceDE w:val="0"/>
              <w:autoSpaceDN w:val="0"/>
              <w:adjustRightInd w:val="0"/>
              <w:spacing w:after="0"/>
              <w:jc w:val="both"/>
              <w:rPr>
                <w:rFonts w:ascii="Times New Roman" w:hAnsi="Times New Roman" w:cs="Times New Roman"/>
                <w:lang w:val="en-GB" w:eastAsia="en-GB"/>
              </w:rPr>
            </w:pPr>
            <w:r w:rsidRPr="008C5C91">
              <w:rPr>
                <w:rFonts w:ascii="Times New Roman" w:hAnsi="Times New Roman" w:cs="Times New Roman"/>
                <w:lang w:val="en-GB" w:eastAsia="en-GB"/>
              </w:rPr>
              <w:t>13,2</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eastAsia="en-GB"/>
              </w:rPr>
              <w:t>(7,8; 17,0)</w:t>
            </w:r>
          </w:p>
        </w:tc>
        <w:tc>
          <w:tcPr>
            <w:tcW w:w="2657" w:type="dxa"/>
            <w:shd w:val="clear" w:color="auto" w:fill="auto"/>
          </w:tcPr>
          <w:p w:rsidR="008C5C91" w:rsidRPr="008C5C91" w:rsidRDefault="008C5C91" w:rsidP="008C5C91">
            <w:pPr>
              <w:autoSpaceDE w:val="0"/>
              <w:autoSpaceDN w:val="0"/>
              <w:adjustRightInd w:val="0"/>
              <w:spacing w:after="0"/>
              <w:jc w:val="both"/>
              <w:rPr>
                <w:rFonts w:ascii="Times New Roman" w:hAnsi="Times New Roman" w:cs="Times New Roman"/>
                <w:lang w:val="en-GB" w:eastAsia="en-GB"/>
              </w:rPr>
            </w:pPr>
            <w:r w:rsidRPr="008C5C91">
              <w:rPr>
                <w:rFonts w:ascii="Times New Roman" w:hAnsi="Times New Roman" w:cs="Times New Roman"/>
                <w:lang w:val="en-GB" w:eastAsia="en-GB"/>
              </w:rPr>
              <w:t>7,3</w:t>
            </w:r>
          </w:p>
          <w:p w:rsidR="008C5C91" w:rsidRPr="008C5C91" w:rsidRDefault="008C5C91" w:rsidP="008C5C91">
            <w:pPr>
              <w:spacing w:after="0"/>
              <w:jc w:val="both"/>
              <w:rPr>
                <w:rFonts w:ascii="Times New Roman" w:hAnsi="Times New Roman" w:cs="Times New Roman"/>
                <w:lang w:val="en-GB"/>
              </w:rPr>
            </w:pPr>
            <w:r w:rsidRPr="008C5C91">
              <w:rPr>
                <w:rFonts w:ascii="Times New Roman" w:hAnsi="Times New Roman" w:cs="Times New Roman"/>
                <w:lang w:val="en-GB" w:eastAsia="en-GB"/>
              </w:rPr>
              <w:t>(6,1; 7,6)</w:t>
            </w:r>
          </w:p>
        </w:tc>
      </w:tr>
    </w:tbl>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i/>
          <w:u w:val="single"/>
          <w:lang w:val="sr-Latn-CS"/>
        </w:rPr>
      </w:pPr>
      <w:r w:rsidRPr="008C5C91">
        <w:rPr>
          <w:rFonts w:ascii="Times New Roman" w:hAnsi="Times New Roman" w:cs="Times New Roman"/>
          <w:i/>
          <w:u w:val="single"/>
          <w:lang w:val="sr-Latn-CS"/>
        </w:rPr>
        <w:lastRenderedPageBreak/>
        <w:t>Prva linija terapije – kombinacija sa bevacizumabom i hemioterapijom zasnovanom na oksaliplatinu ili irinotekanu</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U jednoj randomizovanoj, otvorenoj, kontrolisanoj kliničkoj studiji hemioterapija (oksaliplatin ili irinotekan) i bevacizumab su primjenjivani sa ili bez panitumumaba kao prva linija terapije pacijenata sa metastatskim kolorektalnim karcinomom (n = 1053 [n = 823 grupa sa oksaliplatinom, n = 230 grupa sa irinotekanom]). Liječenje panitumumabom je prekinuto zbog statistički značajnog smanjenja PFS u grupi koja je primala panitumumab, što je uočeno u periodičnoj analizi studije.</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Glavni cilj studije bilo je poređenje PFS u grupi sa oksaliplatinom. U finalnoj analizi, HR za PFS iznosio je 1,27 (95% CI: 1,06, 1,52). Srednje vrijeme preživljavanja bez progresije bolesti bilo je 10,0 (95% CI: 8,9, 11,0) mjeseci u grupi koja je primala panitumumab i 11,4 (95% CI: 10,5, 11,9) mjeseci u grupi koja nije primala panitumumab. U grupi koja je primala panitumumab došlo je do porasta mortaliteta. HR za OS iznosio je 1,43 (95% CI: 1,11, 1,83). Srednje vrijeme ukupnog preživljavanja je iznosilo 19,4 mjeseci (95%CI: 18,4, 20,8) u grupi koja je primala panitumumab i 24,5 mjeseci (95% CI: 20,4, 24,5) u grupi koja nije primala panitumumab.</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Dodatnom analizom efikasnosti u odnosu na status</w:t>
      </w:r>
      <w:r w:rsidRPr="008C5C91">
        <w:rPr>
          <w:rFonts w:ascii="Times New Roman" w:hAnsi="Times New Roman" w:cs="Times New Roman"/>
          <w:i/>
          <w:lang w:val="sr-Latn-CS"/>
        </w:rPr>
        <w:t xml:space="preserve"> KRAS</w:t>
      </w:r>
      <w:r w:rsidRPr="008C5C91">
        <w:rPr>
          <w:rFonts w:ascii="Times New Roman" w:hAnsi="Times New Roman" w:cs="Times New Roman"/>
          <w:lang w:val="sr-Latn-CS"/>
        </w:rPr>
        <w:t xml:space="preserve"> (ekson 2) gena nije identifikovana podgrupa pacijenata koji bi mogli imati koristi od terapije panitumumabom u kombinaciji sa bevacizumabom i hemioterapijom zasnovanom na oksaliplatinu ili irinotekanu. U podgrupi pacijenata sa divljim tipom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gena u okviru oksaliplatinske grupe, HR za PFS iznosio je 1,36 sa 95% CI: 1,04 – 1,77. U podgrupi pacijenata sa mutiranim</w:t>
      </w:r>
      <w:r w:rsidRPr="008C5C91">
        <w:rPr>
          <w:rFonts w:ascii="Times New Roman" w:hAnsi="Times New Roman" w:cs="Times New Roman"/>
          <w:i/>
          <w:lang w:val="sr-Latn-CS"/>
        </w:rPr>
        <w:t xml:space="preserve"> KRAS</w:t>
      </w:r>
      <w:r w:rsidRPr="008C5C91">
        <w:rPr>
          <w:rFonts w:ascii="Times New Roman" w:hAnsi="Times New Roman" w:cs="Times New Roman"/>
          <w:lang w:val="sr-Latn-CS"/>
        </w:rPr>
        <w:t xml:space="preserve"> genom, HR za PFS iznosio je 1,25 sa 95% CI: 0,91-1,71. Trend boljeg OS uočen je u kontrolnoj grupi kod pacijenata sa divljim tipom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gena u okviru oksaliplatin grupe (HR = 1,89; 95% CI: 1,30, 2,75). Takođe, trend lošijeg preživljavanja je uočen je pri primjeni panitumumaba sa irinotekanom bez obzira na mutacioni status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gena. Sve ukupno gledajući, panitumumab u kombinaciji sa hemioterapijom i bevacizumabom se karakteriše nepovoljnim korist/rizik odnosom bez obzira na tumorski </w:t>
      </w:r>
      <w:r w:rsidRPr="008C5C91">
        <w:rPr>
          <w:rFonts w:ascii="Times New Roman" w:hAnsi="Times New Roman" w:cs="Times New Roman"/>
          <w:i/>
          <w:lang w:val="sr-Latn-CS"/>
        </w:rPr>
        <w:t>KRAS</w:t>
      </w:r>
      <w:r w:rsidRPr="008C5C91">
        <w:rPr>
          <w:rFonts w:ascii="Times New Roman" w:hAnsi="Times New Roman" w:cs="Times New Roman"/>
          <w:lang w:val="sr-Latn-CS"/>
        </w:rPr>
        <w:t xml:space="preserve"> mutacioni status.</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Pedijatrijska populacija</w:t>
      </w:r>
    </w:p>
    <w:p w:rsidR="008C5C91" w:rsidRPr="008C5C91" w:rsidRDefault="008C5C91" w:rsidP="008C5C91">
      <w:pPr>
        <w:tabs>
          <w:tab w:val="left" w:pos="284"/>
        </w:tabs>
        <w:spacing w:after="0"/>
        <w:jc w:val="both"/>
        <w:rPr>
          <w:rFonts w:ascii="Times New Roman" w:hAnsi="Times New Roman" w:cs="Times New Roman"/>
          <w:u w:val="single"/>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Evropska agencija za lijekove je izuzela od obaveze podnošenja rezultata studija sa lijekom Vectibix kod svih podgrupa pedijatrijskih pacijenata sa kolorektalnim karcinomom (vidjeti poglavlje 4.2 Informacije o primjeni u pedijatrijskoj populaciji. </w:t>
      </w: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 xml:space="preserve">5.2. </w:t>
      </w:r>
      <w:r w:rsidRPr="008C5C91">
        <w:rPr>
          <w:rFonts w:ascii="Times New Roman" w:hAnsi="Times New Roman" w:cs="Times New Roman"/>
          <w:b/>
          <w:bCs/>
          <w:lang w:val="sr-Latn-CS"/>
        </w:rPr>
        <w:tab/>
      </w:r>
      <w:r w:rsidRPr="008C5C91">
        <w:rPr>
          <w:rFonts w:ascii="Times New Roman" w:hAnsi="Times New Roman" w:cs="Times New Roman"/>
          <w:b/>
          <w:bCs/>
        </w:rPr>
        <w:t>Farmakokineti</w:t>
      </w:r>
      <w:r w:rsidRPr="008C5C91">
        <w:rPr>
          <w:rFonts w:ascii="Times New Roman" w:hAnsi="Times New Roman" w:cs="Times New Roman"/>
          <w:b/>
          <w:bCs/>
          <w:lang w:val="sr-Latn-CS"/>
        </w:rPr>
        <w:t>č</w:t>
      </w:r>
      <w:r w:rsidRPr="008C5C91">
        <w:rPr>
          <w:rFonts w:ascii="Times New Roman" w:hAnsi="Times New Roman" w:cs="Times New Roman"/>
          <w:b/>
          <w:bCs/>
        </w:rPr>
        <w:t>ki</w:t>
      </w:r>
      <w:r w:rsidRPr="008C5C91">
        <w:rPr>
          <w:rFonts w:ascii="Times New Roman" w:hAnsi="Times New Roman" w:cs="Times New Roman"/>
          <w:b/>
          <w:bCs/>
          <w:lang w:val="sr-Latn-CS"/>
        </w:rPr>
        <w:t xml:space="preserve"> </w:t>
      </w:r>
      <w:r w:rsidRPr="008C5C91">
        <w:rPr>
          <w:rFonts w:ascii="Times New Roman" w:hAnsi="Times New Roman" w:cs="Times New Roman"/>
          <w:b/>
          <w:bCs/>
        </w:rPr>
        <w:t>podaci</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Kada se primjenjuje u vidu monoterapije ili u kombinaciji sa hemioterapijom, Vectibix ispoljava nelinearnu farmakokinetiku.</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Nakon primjene pojedinačne doze panitumumaba u vidu jednočasovne infuzije, površina ispod krive koncentracija-vrijeme (PIK) se povećala više u odnosu na dozno zavistan način primjene, a klirens (CL) panitumumaba se smanjio sa 30,6 na 4,6 ml/dan/kg sa povećanjem doze sa 0,75 na 9 mg/kg. Međutim, pri dozama iznad 2 mg/kg, vrijednost PIK panitumumaba se povećava uglavnom na dozno zavistan način. </w:t>
      </w: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lastRenderedPageBreak/>
        <w:t>Nakon preporučene primjene doznog režima (6 mg/kg na dvije nedjelje, u vidu jednočasovne infuzije), koncentracije panitumumaba su dostigle nivoe ravnotežnog stanja nakon treće infuzije sa prosječnom (±Standardnom Devijacijom [SD]) pikom i najvišim koncentracijama od 213</w:t>
      </w:r>
      <w:bookmarkStart w:id="1" w:name="_Hlk505677920"/>
      <w:r w:rsidRPr="008C5C91">
        <w:rPr>
          <w:rFonts w:ascii="Times New Roman" w:hAnsi="Times New Roman" w:cs="Times New Roman"/>
          <w:lang w:val="sr-Latn-CS"/>
        </w:rPr>
        <w:t>±</w:t>
      </w:r>
      <w:bookmarkEnd w:id="1"/>
      <w:r w:rsidRPr="008C5C91">
        <w:rPr>
          <w:rFonts w:ascii="Times New Roman" w:hAnsi="Times New Roman" w:cs="Times New Roman"/>
          <w:lang w:val="sr-Latn-CS"/>
        </w:rPr>
        <w:t>59 i najnižim 39±14 mcg/ml. Srednja vrijednost (±SD) PIK</w:t>
      </w:r>
      <w:r w:rsidRPr="008C5C91">
        <w:rPr>
          <w:rFonts w:ascii="Times New Roman" w:hAnsi="Times New Roman" w:cs="Times New Roman"/>
          <w:vertAlign w:val="subscript"/>
          <w:lang w:val="sr-Latn-CS"/>
        </w:rPr>
        <w:t>0-tau</w:t>
      </w:r>
      <w:r w:rsidRPr="008C5C91">
        <w:rPr>
          <w:rFonts w:ascii="Times New Roman" w:hAnsi="Times New Roman" w:cs="Times New Roman"/>
          <w:lang w:val="sr-Latn-CS"/>
        </w:rPr>
        <w:t xml:space="preserve"> je iznosila 1306±374 mcg•dan/ml a srednja vrijednost CL 4,9±1.4 ml/kg/dan. Poluvrijeme eliminacije je iznosilo približno 7,5 dana (od 3,6 do 10,9 dana).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Populaciona farmakokinetička analiza je sprovedena da bi se ispitao potencijalni efekat odabranih kovarijansi na farmakokinetiku panitumumaba. Rezultati ukazuju na to da uzrast (21-88), pol, vrsta tumora, rasa, funkcija jetre i bubrega, hemioterapijski lijek kao i intezitet bojenja membrane </w:t>
      </w:r>
      <w:r w:rsidRPr="008C5C91">
        <w:rPr>
          <w:rFonts w:ascii="Times New Roman" w:hAnsi="Times New Roman" w:cs="Times New Roman"/>
        </w:rPr>
        <w:t>EGFR</w:t>
      </w:r>
      <w:r w:rsidRPr="008C5C91">
        <w:rPr>
          <w:rFonts w:ascii="Times New Roman" w:hAnsi="Times New Roman" w:cs="Times New Roman"/>
          <w:lang w:val="sr-Latn-CS"/>
        </w:rPr>
        <w:t xml:space="preserve"> (1+, 2+, 3+) u ćelijama tumora nisu imali očigledan utjecaj na farmakokinetiku panitumumaba.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Nijesu sprovedene kliničke studije kojima bi se ispitala farmakokinetika panitumumaba kod pacijenata sa oslabljenom funkcijom bubrega ili jetre. </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 xml:space="preserve">5.3. </w:t>
      </w:r>
      <w:r w:rsidRPr="008C5C91">
        <w:rPr>
          <w:rFonts w:ascii="Times New Roman" w:hAnsi="Times New Roman" w:cs="Times New Roman"/>
          <w:b/>
          <w:bCs/>
          <w:lang w:val="sr-Latn-CS"/>
        </w:rPr>
        <w:tab/>
      </w:r>
      <w:r w:rsidRPr="008C5C91">
        <w:rPr>
          <w:rFonts w:ascii="Times New Roman" w:hAnsi="Times New Roman" w:cs="Times New Roman"/>
          <w:b/>
          <w:bCs/>
        </w:rPr>
        <w:t>Pretklini</w:t>
      </w:r>
      <w:r w:rsidRPr="008C5C91">
        <w:rPr>
          <w:rFonts w:ascii="Times New Roman" w:hAnsi="Times New Roman" w:cs="Times New Roman"/>
          <w:b/>
          <w:bCs/>
          <w:lang w:val="sr-Latn-CS"/>
        </w:rPr>
        <w:t>č</w:t>
      </w:r>
      <w:r w:rsidRPr="008C5C91">
        <w:rPr>
          <w:rFonts w:ascii="Times New Roman" w:hAnsi="Times New Roman" w:cs="Times New Roman"/>
          <w:b/>
          <w:bCs/>
        </w:rPr>
        <w:t>ki</w:t>
      </w:r>
      <w:r w:rsidRPr="008C5C91">
        <w:rPr>
          <w:rFonts w:ascii="Times New Roman" w:hAnsi="Times New Roman" w:cs="Times New Roman"/>
          <w:b/>
          <w:bCs/>
          <w:lang w:val="sr-Latn-CS"/>
        </w:rPr>
        <w:t xml:space="preserve"> </w:t>
      </w:r>
      <w:r w:rsidRPr="008C5C91">
        <w:rPr>
          <w:rFonts w:ascii="Times New Roman" w:hAnsi="Times New Roman" w:cs="Times New Roman"/>
          <w:b/>
          <w:bCs/>
        </w:rPr>
        <w:t>podaci</w:t>
      </w:r>
      <w:r w:rsidRPr="008C5C91">
        <w:rPr>
          <w:rFonts w:ascii="Times New Roman" w:hAnsi="Times New Roman" w:cs="Times New Roman"/>
          <w:b/>
          <w:bCs/>
          <w:lang w:val="sr-Latn-CS"/>
        </w:rPr>
        <w:t xml:space="preserve"> </w:t>
      </w:r>
      <w:r w:rsidRPr="008C5C91">
        <w:rPr>
          <w:rFonts w:ascii="Times New Roman" w:hAnsi="Times New Roman" w:cs="Times New Roman"/>
          <w:b/>
          <w:bCs/>
        </w:rPr>
        <w:t>o</w:t>
      </w:r>
      <w:r w:rsidRPr="008C5C91">
        <w:rPr>
          <w:rFonts w:ascii="Times New Roman" w:hAnsi="Times New Roman" w:cs="Times New Roman"/>
          <w:b/>
          <w:bCs/>
          <w:lang w:val="sr-Latn-CS"/>
        </w:rPr>
        <w:t xml:space="preserve"> </w:t>
      </w:r>
      <w:r w:rsidRPr="008C5C91">
        <w:rPr>
          <w:rFonts w:ascii="Times New Roman" w:hAnsi="Times New Roman" w:cs="Times New Roman"/>
          <w:b/>
          <w:bCs/>
        </w:rPr>
        <w:t>bezbjednosti</w:t>
      </w:r>
      <w:r w:rsidRPr="008C5C91">
        <w:rPr>
          <w:rFonts w:ascii="Times New Roman" w:hAnsi="Times New Roman" w:cs="Times New Roman"/>
          <w:b/>
          <w:bCs/>
          <w:lang w:val="sr-Latn-CS"/>
        </w:rPr>
        <w:t xml:space="preserve">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Neželjene reakcije primijećene kod životinja pri nivoima izloženosti sličnim kliničkim nivoima, koje mogu biti od važnosti za kliničku primjenu su sljedeće:</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Osip na koži i dijareja su bile najznačajnije reakcije primijećene u studijama toksičnosti ponovljene doze u trajanju do 26 nedjelja kod javanskih makaka majmuna (</w:t>
      </w:r>
      <w:r w:rsidRPr="008C5C91">
        <w:rPr>
          <w:rFonts w:ascii="Times New Roman" w:hAnsi="Times New Roman" w:cs="Times New Roman"/>
          <w:i/>
          <w:lang w:val="sr-Latn-CS"/>
        </w:rPr>
        <w:t xml:space="preserve">lat. </w:t>
      </w:r>
      <w:r w:rsidRPr="008C5C91">
        <w:rPr>
          <w:rFonts w:ascii="Times New Roman" w:hAnsi="Times New Roman" w:cs="Times New Roman"/>
          <w:bCs/>
          <w:i/>
          <w:lang w:val="sr-Latn-CS"/>
        </w:rPr>
        <w:t>Macaca fascicularis</w:t>
      </w:r>
      <w:r w:rsidRPr="008C5C91">
        <w:rPr>
          <w:rFonts w:ascii="Times New Roman" w:hAnsi="Times New Roman" w:cs="Times New Roman"/>
          <w:bCs/>
          <w:lang w:val="sr-Latn-CS"/>
        </w:rPr>
        <w:t>). Ovi rezultati su primijećeni pri dozama ekvivalentnim preporučenim dozama za primjenu kod ljudi i bile su reverzibilne po povlačenju lijeka panitumumab. Smatra se da su</w:t>
      </w:r>
      <w:r w:rsidRPr="008C5C91">
        <w:rPr>
          <w:rFonts w:ascii="Times New Roman" w:hAnsi="Times New Roman" w:cs="Times New Roman"/>
          <w:lang w:val="sr-Latn-CS"/>
        </w:rPr>
        <w:t xml:space="preserve"> osip na koži i dijareja primijećeni kod majmuna povezani sa farmakološkim dejstvom panitumumaba i da su slični reakcijama u studijama toksičnosti drugih anti-EGFR inhibitora.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Nisu sprovedene studije koje proučavaju mutageni i karcinogeni potencijal panitumumaba. </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Studije na životinjama nisu dovoljne za procjenu embrio-fetalnog razvoja budući da fetalna izloženost panitumumaba nije ispitivana. Pokazano je da panitumumab izaziva abortuse i/ili smrti fetusa kod javanskih makaka majmuna ukoliko se primjenjuje tokom perioda organogeneze u dozama sličnim preporučenim dozama za primjenu kod ljudi.</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Nisu sprovedene formalne studije reproduktivnosti kod muškaraca; međutim, mikroskopska procijena reproduktivnih organa kod mužjaka javanskih makaka majmuna sprovedena u okviru studija toksičnosti nakon ponovljene doze, pri primjeni doza do 5 puta većim od doza za primjenu kod ljudi izražene u mg/kg, nije pokazala razlike u odnosu na kontrolnu grupu mužjaka majmuna. Studije plodnosti sprovedene kod ženki javanskih makaka majmuna su pokazale da panitumumab može da izazove produžen menstrualni ciklus i/ili amenoreju i smanjenu stopu trudnoća koja se javila kod svih procjenjivanih doza.</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540"/>
          <w:tab w:val="left" w:pos="569"/>
        </w:tabs>
        <w:spacing w:after="0"/>
        <w:jc w:val="both"/>
        <w:rPr>
          <w:rFonts w:ascii="Times New Roman" w:hAnsi="Times New Roman" w:cs="Times New Roman"/>
          <w:bCs/>
          <w:lang w:val="sr-Latn-RS"/>
        </w:rPr>
      </w:pPr>
      <w:r w:rsidRPr="008C5C91">
        <w:rPr>
          <w:rFonts w:ascii="Times New Roman" w:hAnsi="Times New Roman" w:cs="Times New Roman"/>
          <w:lang w:val="sr-Latn-CS"/>
        </w:rPr>
        <w:t>Nisu sprovođene studije pre- i post-natalnog razvoja kod životinja pri primjeni lijeka panitumumab. Prije započinjanja Vectibix terapije treba informisati sve pacijente o potencijalnom riziku primjene panitumumaba na pre- i post-natalni razvoj.</w:t>
      </w: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 xml:space="preserve">6. </w:t>
      </w:r>
      <w:r w:rsidRPr="008C5C91">
        <w:rPr>
          <w:rFonts w:ascii="Times New Roman" w:hAnsi="Times New Roman" w:cs="Times New Roman"/>
          <w:b/>
          <w:bCs/>
          <w:lang w:val="sr-Latn-CS"/>
        </w:rPr>
        <w:tab/>
      </w:r>
      <w:r w:rsidRPr="008C5C91">
        <w:rPr>
          <w:rFonts w:ascii="Times New Roman" w:hAnsi="Times New Roman" w:cs="Times New Roman"/>
          <w:b/>
          <w:bCs/>
        </w:rPr>
        <w:t>FARMACEUTSKI</w:t>
      </w:r>
      <w:r w:rsidRPr="008C5C91">
        <w:rPr>
          <w:rFonts w:ascii="Times New Roman" w:hAnsi="Times New Roman" w:cs="Times New Roman"/>
          <w:b/>
          <w:bCs/>
          <w:lang w:val="sr-Latn-CS"/>
        </w:rPr>
        <w:t xml:space="preserve"> </w:t>
      </w:r>
      <w:r w:rsidRPr="008C5C91">
        <w:rPr>
          <w:rFonts w:ascii="Times New Roman" w:hAnsi="Times New Roman" w:cs="Times New Roman"/>
          <w:b/>
          <w:bCs/>
        </w:rPr>
        <w:t>PODACI</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 xml:space="preserve">6.1. </w:t>
      </w:r>
      <w:r w:rsidRPr="008C5C91">
        <w:rPr>
          <w:rFonts w:ascii="Times New Roman" w:hAnsi="Times New Roman" w:cs="Times New Roman"/>
          <w:b/>
          <w:bCs/>
          <w:lang w:val="sr-Latn-CS"/>
        </w:rPr>
        <w:tab/>
      </w:r>
      <w:r w:rsidRPr="008C5C91">
        <w:rPr>
          <w:rFonts w:ascii="Times New Roman" w:hAnsi="Times New Roman" w:cs="Times New Roman"/>
          <w:b/>
          <w:bCs/>
        </w:rPr>
        <w:t>Lista</w:t>
      </w:r>
      <w:r w:rsidRPr="008C5C91">
        <w:rPr>
          <w:rFonts w:ascii="Times New Roman" w:hAnsi="Times New Roman" w:cs="Times New Roman"/>
          <w:b/>
          <w:bCs/>
          <w:lang w:val="sr-Latn-CS"/>
        </w:rPr>
        <w:t xml:space="preserve"> </w:t>
      </w:r>
      <w:r w:rsidRPr="008C5C91">
        <w:rPr>
          <w:rFonts w:ascii="Times New Roman" w:hAnsi="Times New Roman" w:cs="Times New Roman"/>
          <w:b/>
          <w:bCs/>
        </w:rPr>
        <w:t>pomo</w:t>
      </w:r>
      <w:r w:rsidRPr="008C5C91">
        <w:rPr>
          <w:rFonts w:ascii="Times New Roman" w:hAnsi="Times New Roman" w:cs="Times New Roman"/>
          <w:b/>
          <w:bCs/>
          <w:lang w:val="sr-Latn-CS"/>
        </w:rPr>
        <w:t>ć</w:t>
      </w:r>
      <w:r w:rsidRPr="008C5C91">
        <w:rPr>
          <w:rFonts w:ascii="Times New Roman" w:hAnsi="Times New Roman" w:cs="Times New Roman"/>
          <w:b/>
          <w:bCs/>
        </w:rPr>
        <w:t>nih</w:t>
      </w:r>
      <w:r w:rsidRPr="008C5C91">
        <w:rPr>
          <w:rFonts w:ascii="Times New Roman" w:hAnsi="Times New Roman" w:cs="Times New Roman"/>
          <w:b/>
          <w:bCs/>
          <w:lang w:val="sr-Latn-CS"/>
        </w:rPr>
        <w:t xml:space="preserve"> </w:t>
      </w:r>
      <w:r w:rsidRPr="008C5C91">
        <w:rPr>
          <w:rFonts w:ascii="Times New Roman" w:hAnsi="Times New Roman" w:cs="Times New Roman"/>
          <w:b/>
          <w:bCs/>
        </w:rPr>
        <w:t>supstanci</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Natrijum hlorid</w:t>
      </w: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Natrijum acetat, trihidrat</w:t>
      </w: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Sirćetna kiselina, glacijalna (za podešavanje pH-vrijednosti)</w:t>
      </w:r>
    </w:p>
    <w:p w:rsidR="008C5C91" w:rsidRPr="008C5C91" w:rsidRDefault="008C5C91" w:rsidP="008C5C91">
      <w:pPr>
        <w:tabs>
          <w:tab w:val="left" w:pos="540"/>
          <w:tab w:val="left" w:pos="569"/>
        </w:tabs>
        <w:spacing w:after="0"/>
        <w:jc w:val="both"/>
        <w:rPr>
          <w:rFonts w:ascii="Times New Roman" w:hAnsi="Times New Roman" w:cs="Times New Roman"/>
          <w:lang w:val="sr-Latn-CS"/>
        </w:rPr>
      </w:pPr>
      <w:r w:rsidRPr="008C5C91">
        <w:rPr>
          <w:rFonts w:ascii="Times New Roman" w:hAnsi="Times New Roman" w:cs="Times New Roman"/>
          <w:lang w:val="sr-Latn-CS"/>
        </w:rPr>
        <w:t>Voda za injekcije</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 xml:space="preserve">6.2. </w:t>
      </w:r>
      <w:r w:rsidRPr="008C5C91">
        <w:rPr>
          <w:rFonts w:ascii="Times New Roman" w:hAnsi="Times New Roman" w:cs="Times New Roman"/>
          <w:b/>
          <w:bCs/>
          <w:lang w:val="sr-Latn-CS"/>
        </w:rPr>
        <w:tab/>
      </w:r>
      <w:r w:rsidRPr="008C5C91">
        <w:rPr>
          <w:rFonts w:ascii="Times New Roman" w:hAnsi="Times New Roman" w:cs="Times New Roman"/>
          <w:b/>
          <w:bCs/>
        </w:rPr>
        <w:t>Inkompatibilnosti</w:t>
      </w:r>
    </w:p>
    <w:p w:rsidR="008C5C91" w:rsidRPr="008C5C91" w:rsidRDefault="008C5C91" w:rsidP="008C5C91">
      <w:pPr>
        <w:tabs>
          <w:tab w:val="left" w:pos="540"/>
          <w:tab w:val="left" w:pos="569"/>
        </w:tabs>
        <w:spacing w:after="0"/>
        <w:jc w:val="both"/>
        <w:rPr>
          <w:rFonts w:ascii="Times New Roman" w:hAnsi="Times New Roman" w:cs="Times New Roman"/>
          <w:lang w:val="sr-Latn-CS"/>
        </w:rPr>
      </w:pPr>
    </w:p>
    <w:p w:rsidR="008C5C91" w:rsidRPr="008C5C91" w:rsidRDefault="008C5C91" w:rsidP="008C5C91">
      <w:pPr>
        <w:tabs>
          <w:tab w:val="left" w:pos="540"/>
          <w:tab w:val="left" w:pos="569"/>
        </w:tabs>
        <w:spacing w:after="0"/>
        <w:jc w:val="both"/>
        <w:rPr>
          <w:rFonts w:ascii="Times New Roman" w:hAnsi="Times New Roman" w:cs="Times New Roman"/>
          <w:lang w:val="sr-Latn-CS"/>
        </w:rPr>
      </w:pPr>
      <w:r w:rsidRPr="008C5C91">
        <w:rPr>
          <w:rFonts w:ascii="Times New Roman" w:hAnsi="Times New Roman" w:cs="Times New Roman"/>
          <w:lang w:val="sr-Latn-CS"/>
        </w:rPr>
        <w:t xml:space="preserve">Ovaj proizvod se ne smije miješati sa drugima ljekovima osim onim navedenim u poglavlju 6.6.  </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6.3.</w:t>
      </w:r>
      <w:r w:rsidRPr="008C5C91">
        <w:rPr>
          <w:rFonts w:ascii="Times New Roman" w:hAnsi="Times New Roman" w:cs="Times New Roman"/>
          <w:b/>
          <w:bCs/>
          <w:lang w:val="sr-Latn-CS"/>
        </w:rPr>
        <w:tab/>
      </w:r>
      <w:r w:rsidRPr="008C5C91">
        <w:rPr>
          <w:rFonts w:ascii="Times New Roman" w:hAnsi="Times New Roman" w:cs="Times New Roman"/>
          <w:b/>
          <w:bCs/>
        </w:rPr>
        <w:t>Rok</w:t>
      </w:r>
      <w:r w:rsidRPr="008C5C91">
        <w:rPr>
          <w:rFonts w:ascii="Times New Roman" w:hAnsi="Times New Roman" w:cs="Times New Roman"/>
          <w:b/>
          <w:bCs/>
          <w:lang w:val="sr-Latn-CS"/>
        </w:rPr>
        <w:t xml:space="preserve"> </w:t>
      </w:r>
      <w:r w:rsidRPr="008C5C91">
        <w:rPr>
          <w:rFonts w:ascii="Times New Roman" w:hAnsi="Times New Roman" w:cs="Times New Roman"/>
          <w:b/>
          <w:bCs/>
        </w:rPr>
        <w:t>upotrebe</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Rok upotrebe neotvorenog lijeka: 3 (tri) godine.</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540"/>
          <w:tab w:val="left" w:pos="569"/>
        </w:tabs>
        <w:spacing w:after="0"/>
        <w:jc w:val="both"/>
        <w:rPr>
          <w:rFonts w:ascii="Times New Roman" w:hAnsi="Times New Roman" w:cs="Times New Roman"/>
          <w:lang w:val="sr-Latn-CS"/>
        </w:rPr>
      </w:pPr>
      <w:r w:rsidRPr="008C5C91">
        <w:rPr>
          <w:rFonts w:ascii="Times New Roman" w:hAnsi="Times New Roman" w:cs="Times New Roman"/>
          <w:lang w:val="sr-Latn-CS"/>
        </w:rPr>
        <w:t>Rok upotrebe nakon prvog otvaranja lijeka: Upotrijebiti odmah.</w:t>
      </w:r>
    </w:p>
    <w:p w:rsidR="008C5C91" w:rsidRPr="008C5C91" w:rsidRDefault="008C5C91" w:rsidP="008C5C91">
      <w:pPr>
        <w:tabs>
          <w:tab w:val="left" w:pos="540"/>
          <w:tab w:val="left" w:pos="569"/>
        </w:tabs>
        <w:spacing w:after="0"/>
        <w:jc w:val="both"/>
        <w:rPr>
          <w:rFonts w:ascii="Times New Roman" w:hAnsi="Times New Roman" w:cs="Times New Roman"/>
          <w:lang w:val="sr-Latn-CS"/>
        </w:rPr>
      </w:pPr>
    </w:p>
    <w:p w:rsidR="008C5C91" w:rsidRPr="008C5C91" w:rsidRDefault="008C5C91" w:rsidP="008C5C91">
      <w:pPr>
        <w:tabs>
          <w:tab w:val="left" w:pos="540"/>
          <w:tab w:val="left" w:pos="569"/>
        </w:tabs>
        <w:spacing w:after="0"/>
        <w:jc w:val="both"/>
        <w:rPr>
          <w:rFonts w:ascii="Times New Roman" w:hAnsi="Times New Roman" w:cs="Times New Roman"/>
          <w:u w:val="single"/>
          <w:lang w:val="sr-Latn-CS"/>
        </w:rPr>
      </w:pPr>
      <w:r w:rsidRPr="008C5C91">
        <w:rPr>
          <w:rFonts w:ascii="Times New Roman" w:hAnsi="Times New Roman" w:cs="Times New Roman"/>
          <w:u w:val="single"/>
          <w:lang w:val="sr-Latn-CS"/>
        </w:rPr>
        <w:t>Pripremljeni rastvor</w:t>
      </w:r>
    </w:p>
    <w:p w:rsidR="008C5C91" w:rsidRPr="008C5C91" w:rsidRDefault="008C5C91" w:rsidP="008C5C91">
      <w:pPr>
        <w:tabs>
          <w:tab w:val="left" w:pos="540"/>
          <w:tab w:val="left" w:pos="569"/>
        </w:tabs>
        <w:spacing w:after="0"/>
        <w:jc w:val="both"/>
        <w:rPr>
          <w:rFonts w:ascii="Times New Roman" w:hAnsi="Times New Roman" w:cs="Times New Roman"/>
          <w:u w:val="single"/>
          <w:lang w:val="sr-Latn-CS"/>
        </w:rPr>
      </w:pPr>
    </w:p>
    <w:p w:rsidR="008C5C91" w:rsidRPr="008C5C91" w:rsidRDefault="008C5C91" w:rsidP="008C5C91">
      <w:pPr>
        <w:tabs>
          <w:tab w:val="left" w:pos="540"/>
          <w:tab w:val="left" w:pos="569"/>
        </w:tabs>
        <w:spacing w:after="0"/>
        <w:jc w:val="both"/>
        <w:rPr>
          <w:rFonts w:ascii="Times New Roman" w:hAnsi="Times New Roman" w:cs="Times New Roman"/>
          <w:bCs/>
          <w:lang w:val="sr-Latn-CS"/>
        </w:rPr>
      </w:pPr>
      <w:r w:rsidRPr="008C5C91">
        <w:rPr>
          <w:rFonts w:ascii="Times New Roman" w:hAnsi="Times New Roman" w:cs="Times New Roman"/>
          <w:lang w:val="sr-Latn-CS"/>
        </w:rPr>
        <w:t>Vectibix ne sadrži konzervanse niti bakteriostatska sredstva. Proizvod treba upotrijebiti odmah po razblaženju. Ukoliko se ne upotrijebi odmah, vrijeme i uslovi čuvanja, prije primjene, odgovornost su korisnika i ne treba da iznose više od 24 sata na temperaturi od 2°C - 8°C. Razblaženi proizvod se ne smije zamrzavati.</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t xml:space="preserve">6.4. </w:t>
      </w:r>
      <w:r w:rsidRPr="008C5C91">
        <w:rPr>
          <w:rFonts w:ascii="Times New Roman" w:hAnsi="Times New Roman" w:cs="Times New Roman"/>
          <w:b/>
          <w:bCs/>
          <w:lang w:val="sr-Latn-CS"/>
        </w:rPr>
        <w:tab/>
      </w:r>
      <w:r w:rsidRPr="008C5C91">
        <w:rPr>
          <w:rFonts w:ascii="Times New Roman" w:hAnsi="Times New Roman" w:cs="Times New Roman"/>
          <w:b/>
          <w:bCs/>
        </w:rPr>
        <w:t>Posebne</w:t>
      </w:r>
      <w:r w:rsidRPr="008C5C91">
        <w:rPr>
          <w:rFonts w:ascii="Times New Roman" w:hAnsi="Times New Roman" w:cs="Times New Roman"/>
          <w:b/>
          <w:bCs/>
          <w:lang w:val="sr-Latn-CS"/>
        </w:rPr>
        <w:t xml:space="preserve"> </w:t>
      </w:r>
      <w:r w:rsidRPr="008C5C91">
        <w:rPr>
          <w:rFonts w:ascii="Times New Roman" w:hAnsi="Times New Roman" w:cs="Times New Roman"/>
          <w:b/>
          <w:bCs/>
        </w:rPr>
        <w:t>mjere</w:t>
      </w:r>
      <w:r w:rsidRPr="008C5C91">
        <w:rPr>
          <w:rFonts w:ascii="Times New Roman" w:hAnsi="Times New Roman" w:cs="Times New Roman"/>
          <w:b/>
          <w:bCs/>
          <w:lang w:val="sr-Latn-CS"/>
        </w:rPr>
        <w:t xml:space="preserve"> </w:t>
      </w:r>
      <w:r w:rsidRPr="008C5C91">
        <w:rPr>
          <w:rFonts w:ascii="Times New Roman" w:hAnsi="Times New Roman" w:cs="Times New Roman"/>
          <w:b/>
          <w:bCs/>
        </w:rPr>
        <w:t>upozorenja</w:t>
      </w:r>
      <w:r w:rsidRPr="008C5C91">
        <w:rPr>
          <w:rFonts w:ascii="Times New Roman" w:hAnsi="Times New Roman" w:cs="Times New Roman"/>
          <w:b/>
          <w:bCs/>
          <w:lang w:val="sr-Latn-CS"/>
        </w:rPr>
        <w:t xml:space="preserve"> </w:t>
      </w:r>
      <w:r w:rsidRPr="008C5C91">
        <w:rPr>
          <w:rFonts w:ascii="Times New Roman" w:hAnsi="Times New Roman" w:cs="Times New Roman"/>
          <w:b/>
          <w:bCs/>
        </w:rPr>
        <w:t>pri</w:t>
      </w:r>
      <w:r w:rsidRPr="008C5C91">
        <w:rPr>
          <w:rFonts w:ascii="Times New Roman" w:hAnsi="Times New Roman" w:cs="Times New Roman"/>
          <w:b/>
          <w:bCs/>
          <w:lang w:val="sr-Latn-CS"/>
        </w:rPr>
        <w:t xml:space="preserve"> č</w:t>
      </w:r>
      <w:r w:rsidRPr="008C5C91">
        <w:rPr>
          <w:rFonts w:ascii="Times New Roman" w:hAnsi="Times New Roman" w:cs="Times New Roman"/>
          <w:b/>
          <w:bCs/>
        </w:rPr>
        <w:t>uvanju</w:t>
      </w:r>
      <w:r w:rsidRPr="008C5C91">
        <w:rPr>
          <w:rFonts w:ascii="Times New Roman" w:hAnsi="Times New Roman" w:cs="Times New Roman"/>
          <w:b/>
          <w:bCs/>
          <w:lang w:val="sr-Latn-CS"/>
        </w:rPr>
        <w:t xml:space="preserve"> </w:t>
      </w:r>
      <w:r w:rsidRPr="008C5C91">
        <w:rPr>
          <w:rFonts w:ascii="Times New Roman" w:hAnsi="Times New Roman" w:cs="Times New Roman"/>
          <w:b/>
          <w:bCs/>
        </w:rPr>
        <w:t>lijeka</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Čuvati u frižideru (2°C - 8°C).</w:t>
      </w: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Ne zamrzavati.</w:t>
      </w: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Čuvati u originalnom pakovanju radi zaštite od svjetlosti.</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Uslovi čuvanja razblaženog lijeka navedeni su u poglavlju 6.3.</w:t>
      </w:r>
    </w:p>
    <w:p w:rsidR="008C5C91" w:rsidRPr="008C5C91" w:rsidRDefault="008C5C91" w:rsidP="008C5C91">
      <w:pPr>
        <w:tabs>
          <w:tab w:val="left" w:pos="540"/>
          <w:tab w:val="left" w:pos="569"/>
        </w:tabs>
        <w:spacing w:after="0"/>
        <w:jc w:val="both"/>
        <w:rPr>
          <w:rFonts w:ascii="Times New Roman" w:hAnsi="Times New Roman" w:cs="Times New Roman"/>
          <w:bCs/>
          <w:lang w:val="nb-NO"/>
        </w:rPr>
      </w:pPr>
    </w:p>
    <w:p w:rsidR="008C5C91" w:rsidRPr="008C5C91" w:rsidRDefault="008C5C91" w:rsidP="008C5C91">
      <w:pPr>
        <w:keepNext/>
        <w:tabs>
          <w:tab w:val="left" w:pos="540"/>
          <w:tab w:val="left" w:pos="569"/>
        </w:tabs>
        <w:spacing w:after="0"/>
        <w:jc w:val="both"/>
        <w:rPr>
          <w:rFonts w:ascii="Times New Roman" w:hAnsi="Times New Roman" w:cs="Times New Roman"/>
          <w:b/>
          <w:bCs/>
          <w:lang w:val="nb-NO"/>
        </w:rPr>
      </w:pPr>
      <w:r w:rsidRPr="008C5C91">
        <w:rPr>
          <w:rFonts w:ascii="Times New Roman" w:hAnsi="Times New Roman" w:cs="Times New Roman"/>
          <w:b/>
          <w:bCs/>
          <w:lang w:val="nb-NO"/>
        </w:rPr>
        <w:t xml:space="preserve">6.5. </w:t>
      </w:r>
      <w:r w:rsidRPr="008C5C91">
        <w:rPr>
          <w:rFonts w:ascii="Times New Roman" w:hAnsi="Times New Roman" w:cs="Times New Roman"/>
          <w:b/>
          <w:bCs/>
          <w:lang w:val="nb-NO"/>
        </w:rPr>
        <w:tab/>
        <w:t>Vrsta i sadržaj pakovanja</w:t>
      </w:r>
    </w:p>
    <w:p w:rsidR="008C5C91" w:rsidRPr="008C5C91" w:rsidRDefault="008C5C91" w:rsidP="008C5C91">
      <w:pPr>
        <w:tabs>
          <w:tab w:val="left" w:pos="540"/>
          <w:tab w:val="left" w:pos="569"/>
        </w:tabs>
        <w:spacing w:after="0"/>
        <w:jc w:val="both"/>
        <w:rPr>
          <w:rFonts w:ascii="Times New Roman" w:hAnsi="Times New Roman" w:cs="Times New Roman"/>
          <w:bCs/>
          <w:lang w:val="nb-NO"/>
        </w:rPr>
      </w:pP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Bočica od stakla tipa I sa elastomernim zatvaračem, aluminijumskim poklopcem i flip-off plastičnom kapicom.</w:t>
      </w:r>
    </w:p>
    <w:p w:rsidR="008C5C91" w:rsidRPr="008C5C91" w:rsidRDefault="008C5C91" w:rsidP="008C5C91">
      <w:pPr>
        <w:tabs>
          <w:tab w:val="left" w:pos="284"/>
        </w:tabs>
        <w:spacing w:after="0"/>
        <w:jc w:val="both"/>
        <w:rPr>
          <w:rFonts w:ascii="Times New Roman" w:hAnsi="Times New Roman" w:cs="Times New Roman"/>
          <w:lang w:val="sr-Latn-CS"/>
        </w:rPr>
      </w:pPr>
      <w:r w:rsidRPr="008C5C91">
        <w:rPr>
          <w:rFonts w:ascii="Times New Roman" w:hAnsi="Times New Roman" w:cs="Times New Roman"/>
          <w:lang w:val="sr-Latn-CS"/>
        </w:rPr>
        <w:t>Jedna bočica sadrži: 100 mg panitumumaba u 5 ml, ili 400 mg panitumumaba u 20 ml koncentrata za rastvor za infuziju.</w:t>
      </w:r>
    </w:p>
    <w:p w:rsidR="008C5C91" w:rsidRPr="008C5C91" w:rsidRDefault="008C5C91" w:rsidP="008C5C91">
      <w:pPr>
        <w:tabs>
          <w:tab w:val="left" w:pos="284"/>
        </w:tabs>
        <w:spacing w:after="0"/>
        <w:jc w:val="both"/>
        <w:rPr>
          <w:rFonts w:ascii="Times New Roman" w:hAnsi="Times New Roman" w:cs="Times New Roman"/>
          <w:lang w:val="sr-Latn-CS"/>
        </w:rPr>
      </w:pPr>
    </w:p>
    <w:p w:rsidR="008C5C91" w:rsidRPr="008C5C91" w:rsidRDefault="008C5C91" w:rsidP="008C5C91">
      <w:pPr>
        <w:spacing w:after="0"/>
        <w:ind w:right="-1"/>
        <w:jc w:val="both"/>
        <w:rPr>
          <w:rFonts w:ascii="Times New Roman" w:hAnsi="Times New Roman" w:cs="Times New Roman"/>
          <w:lang w:val="en-GB"/>
        </w:rPr>
      </w:pPr>
      <w:r w:rsidRPr="008C5C91">
        <w:rPr>
          <w:rFonts w:ascii="Times New Roman" w:hAnsi="Times New Roman" w:cs="Times New Roman"/>
          <w:lang w:val="en-GB"/>
        </w:rPr>
        <w:t>Pakovanja sa jednom bočicom.</w:t>
      </w:r>
    </w:p>
    <w:p w:rsidR="008C5C91" w:rsidRDefault="008C5C91" w:rsidP="008C5C91">
      <w:pPr>
        <w:spacing w:after="0"/>
        <w:ind w:right="-1"/>
        <w:jc w:val="both"/>
        <w:rPr>
          <w:rFonts w:ascii="Times New Roman" w:hAnsi="Times New Roman" w:cs="Times New Roman"/>
          <w:bCs/>
          <w:lang w:val="sr-Latn-CS"/>
        </w:rPr>
      </w:pPr>
    </w:p>
    <w:p w:rsidR="00C74F16" w:rsidRPr="008C5C91" w:rsidRDefault="00C74F16" w:rsidP="008C5C91">
      <w:pPr>
        <w:spacing w:after="0"/>
        <w:ind w:right="-1"/>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b/>
          <w:bCs/>
          <w:lang w:val="sr-Latn-CS"/>
        </w:rPr>
      </w:pPr>
      <w:r w:rsidRPr="008C5C91">
        <w:rPr>
          <w:rFonts w:ascii="Times New Roman" w:hAnsi="Times New Roman" w:cs="Times New Roman"/>
          <w:b/>
          <w:bCs/>
          <w:lang w:val="sr-Latn-CS"/>
        </w:rPr>
        <w:lastRenderedPageBreak/>
        <w:t xml:space="preserve">6.6. </w:t>
      </w:r>
      <w:r w:rsidRPr="008C5C91">
        <w:rPr>
          <w:rFonts w:ascii="Times New Roman" w:hAnsi="Times New Roman" w:cs="Times New Roman"/>
          <w:b/>
          <w:bCs/>
          <w:lang w:val="sr-Latn-CS"/>
        </w:rPr>
        <w:tab/>
      </w:r>
      <w:r w:rsidRPr="008C5C91">
        <w:rPr>
          <w:rFonts w:ascii="Times New Roman" w:hAnsi="Times New Roman" w:cs="Times New Roman"/>
          <w:b/>
          <w:bCs/>
        </w:rPr>
        <w:t>Posebne</w:t>
      </w:r>
      <w:r w:rsidRPr="008C5C91">
        <w:rPr>
          <w:rFonts w:ascii="Times New Roman" w:hAnsi="Times New Roman" w:cs="Times New Roman"/>
          <w:b/>
          <w:bCs/>
          <w:lang w:val="sr-Latn-CS"/>
        </w:rPr>
        <w:t xml:space="preserve"> </w:t>
      </w:r>
      <w:r w:rsidRPr="008C5C91">
        <w:rPr>
          <w:rFonts w:ascii="Times New Roman" w:hAnsi="Times New Roman" w:cs="Times New Roman"/>
          <w:b/>
          <w:bCs/>
        </w:rPr>
        <w:t>mjere</w:t>
      </w:r>
      <w:r w:rsidRPr="008C5C91">
        <w:rPr>
          <w:rFonts w:ascii="Times New Roman" w:hAnsi="Times New Roman" w:cs="Times New Roman"/>
          <w:b/>
          <w:bCs/>
          <w:lang w:val="sr-Latn-CS"/>
        </w:rPr>
        <w:t xml:space="preserve"> </w:t>
      </w:r>
      <w:r w:rsidRPr="008C5C91">
        <w:rPr>
          <w:rFonts w:ascii="Times New Roman" w:hAnsi="Times New Roman" w:cs="Times New Roman"/>
          <w:b/>
          <w:bCs/>
        </w:rPr>
        <w:t>opreza</w:t>
      </w:r>
      <w:r w:rsidRPr="008C5C91">
        <w:rPr>
          <w:rFonts w:ascii="Times New Roman" w:hAnsi="Times New Roman" w:cs="Times New Roman"/>
          <w:b/>
          <w:bCs/>
          <w:lang w:val="sr-Latn-CS"/>
        </w:rPr>
        <w:t xml:space="preserve"> </w:t>
      </w:r>
      <w:r w:rsidRPr="008C5C91">
        <w:rPr>
          <w:rFonts w:ascii="Times New Roman" w:hAnsi="Times New Roman" w:cs="Times New Roman"/>
          <w:b/>
          <w:bCs/>
        </w:rPr>
        <w:t>pri</w:t>
      </w:r>
      <w:r w:rsidRPr="008C5C91">
        <w:rPr>
          <w:rFonts w:ascii="Times New Roman" w:hAnsi="Times New Roman" w:cs="Times New Roman"/>
          <w:b/>
          <w:bCs/>
          <w:lang w:val="sr-Latn-CS"/>
        </w:rPr>
        <w:t xml:space="preserve"> </w:t>
      </w:r>
      <w:r w:rsidRPr="008C5C91">
        <w:rPr>
          <w:rFonts w:ascii="Times New Roman" w:hAnsi="Times New Roman" w:cs="Times New Roman"/>
          <w:b/>
          <w:bCs/>
        </w:rPr>
        <w:t>odlaganju</w:t>
      </w:r>
      <w:r w:rsidRPr="008C5C91">
        <w:rPr>
          <w:rFonts w:ascii="Times New Roman" w:hAnsi="Times New Roman" w:cs="Times New Roman"/>
          <w:b/>
          <w:bCs/>
          <w:lang w:val="sr-Latn-CS"/>
        </w:rPr>
        <w:t xml:space="preserve"> </w:t>
      </w:r>
      <w:r w:rsidRPr="008C5C91">
        <w:rPr>
          <w:rFonts w:ascii="Times New Roman" w:hAnsi="Times New Roman" w:cs="Times New Roman"/>
          <w:b/>
          <w:bCs/>
        </w:rPr>
        <w:t>materijala</w:t>
      </w:r>
      <w:r w:rsidRPr="008C5C91">
        <w:rPr>
          <w:rFonts w:ascii="Times New Roman" w:hAnsi="Times New Roman" w:cs="Times New Roman"/>
          <w:b/>
          <w:bCs/>
          <w:lang w:val="sr-Latn-CS"/>
        </w:rPr>
        <w:t xml:space="preserve"> </w:t>
      </w:r>
      <w:r w:rsidRPr="008C5C91">
        <w:rPr>
          <w:rFonts w:ascii="Times New Roman" w:hAnsi="Times New Roman" w:cs="Times New Roman"/>
          <w:b/>
          <w:bCs/>
        </w:rPr>
        <w:t>koji</w:t>
      </w:r>
      <w:r w:rsidRPr="008C5C91">
        <w:rPr>
          <w:rFonts w:ascii="Times New Roman" w:hAnsi="Times New Roman" w:cs="Times New Roman"/>
          <w:b/>
          <w:bCs/>
          <w:lang w:val="sr-Latn-CS"/>
        </w:rPr>
        <w:t xml:space="preserve"> </w:t>
      </w:r>
      <w:r w:rsidRPr="008C5C91">
        <w:rPr>
          <w:rFonts w:ascii="Times New Roman" w:hAnsi="Times New Roman" w:cs="Times New Roman"/>
          <w:b/>
          <w:bCs/>
        </w:rPr>
        <w:t>treba</w:t>
      </w:r>
      <w:r w:rsidRPr="008C5C91">
        <w:rPr>
          <w:rFonts w:ascii="Times New Roman" w:hAnsi="Times New Roman" w:cs="Times New Roman"/>
          <w:b/>
          <w:bCs/>
          <w:lang w:val="sr-Latn-CS"/>
        </w:rPr>
        <w:t xml:space="preserve"> </w:t>
      </w:r>
      <w:r w:rsidRPr="008C5C91">
        <w:rPr>
          <w:rFonts w:ascii="Times New Roman" w:hAnsi="Times New Roman" w:cs="Times New Roman"/>
          <w:b/>
          <w:bCs/>
        </w:rPr>
        <w:t>odbaciti</w:t>
      </w:r>
      <w:r w:rsidRPr="008C5C91">
        <w:rPr>
          <w:rFonts w:ascii="Times New Roman" w:hAnsi="Times New Roman" w:cs="Times New Roman"/>
          <w:b/>
          <w:bCs/>
          <w:lang w:val="sr-Latn-CS"/>
        </w:rPr>
        <w:t xml:space="preserve"> </w:t>
      </w:r>
      <w:r w:rsidRPr="008C5C91">
        <w:rPr>
          <w:rFonts w:ascii="Times New Roman" w:hAnsi="Times New Roman" w:cs="Times New Roman"/>
          <w:b/>
          <w:bCs/>
        </w:rPr>
        <w:t>nakon</w:t>
      </w:r>
      <w:r w:rsidRPr="008C5C91">
        <w:rPr>
          <w:rFonts w:ascii="Times New Roman" w:hAnsi="Times New Roman" w:cs="Times New Roman"/>
          <w:b/>
          <w:bCs/>
          <w:lang w:val="sr-Latn-CS"/>
        </w:rPr>
        <w:t xml:space="preserve"> </w:t>
      </w:r>
      <w:r w:rsidRPr="008C5C91">
        <w:rPr>
          <w:rFonts w:ascii="Times New Roman" w:hAnsi="Times New Roman" w:cs="Times New Roman"/>
          <w:b/>
          <w:bCs/>
        </w:rPr>
        <w:t>primjene</w:t>
      </w:r>
      <w:r w:rsidRPr="008C5C91">
        <w:rPr>
          <w:rFonts w:ascii="Times New Roman" w:hAnsi="Times New Roman" w:cs="Times New Roman"/>
          <w:b/>
          <w:bCs/>
          <w:lang w:val="sr-Latn-CS"/>
        </w:rPr>
        <w:t xml:space="preserve"> </w:t>
      </w:r>
      <w:r w:rsidRPr="008C5C91">
        <w:rPr>
          <w:rFonts w:ascii="Times New Roman" w:hAnsi="Times New Roman" w:cs="Times New Roman"/>
          <w:b/>
          <w:bCs/>
        </w:rPr>
        <w:t>lijeka</w:t>
      </w:r>
      <w:r w:rsidRPr="008C5C91">
        <w:rPr>
          <w:rFonts w:ascii="Times New Roman" w:hAnsi="Times New Roman" w:cs="Times New Roman"/>
          <w:b/>
          <w:bCs/>
          <w:lang w:val="sr-Latn-CS"/>
        </w:rPr>
        <w:t xml:space="preserve"> </w:t>
      </w:r>
    </w:p>
    <w:p w:rsidR="008C5C91" w:rsidRPr="008C5C91" w:rsidRDefault="008C5C91" w:rsidP="008C5C91">
      <w:pPr>
        <w:tabs>
          <w:tab w:val="left" w:pos="540"/>
          <w:tab w:val="left" w:pos="569"/>
        </w:tabs>
        <w:spacing w:after="0"/>
        <w:jc w:val="both"/>
        <w:rPr>
          <w:rFonts w:ascii="Times New Roman" w:hAnsi="Times New Roman" w:cs="Times New Roman"/>
          <w:bCs/>
          <w:lang w:val="sr-Latn-CS"/>
        </w:rPr>
      </w:pPr>
    </w:p>
    <w:p w:rsidR="008C5C91" w:rsidRPr="008C5C91" w:rsidRDefault="008C5C91" w:rsidP="008C5C91">
      <w:pPr>
        <w:tabs>
          <w:tab w:val="left" w:pos="540"/>
          <w:tab w:val="left" w:pos="569"/>
        </w:tabs>
        <w:spacing w:after="0"/>
        <w:jc w:val="both"/>
        <w:rPr>
          <w:rFonts w:ascii="Times New Roman" w:hAnsi="Times New Roman" w:cs="Times New Roman"/>
          <w:lang w:val="sr-Latn-RS"/>
        </w:rPr>
      </w:pPr>
      <w:bookmarkStart w:id="2" w:name="_Hlk501362573"/>
      <w:r w:rsidRPr="008C5C91">
        <w:rPr>
          <w:rFonts w:ascii="Times New Roman" w:hAnsi="Times New Roman" w:cs="Times New Roman"/>
          <w:lang w:val="sr-Latn-RS"/>
        </w:rPr>
        <w:t xml:space="preserve">Vectibix je namijenjen samo za jednokratnu upotrebu. Vectibix treba da razblaži zdravstveni radnik u 9 mg/ml (0,9%) rastvoru natrijum hlorida za injekcije primjenom aseptične tehnike. </w:t>
      </w:r>
      <w:r w:rsidRPr="008C5C91">
        <w:rPr>
          <w:rFonts w:ascii="Times New Roman" w:hAnsi="Times New Roman" w:cs="Times New Roman"/>
          <w:u w:val="single"/>
          <w:lang w:val="sr-Latn-RS"/>
        </w:rPr>
        <w:t>Bočicu nemojte tresti, niti snažno mućkati.</w:t>
      </w:r>
      <w:r w:rsidRPr="008C5C91">
        <w:rPr>
          <w:rFonts w:ascii="Times New Roman" w:hAnsi="Times New Roman" w:cs="Times New Roman"/>
          <w:lang w:val="sr-Latn-RS"/>
        </w:rPr>
        <w:t xml:space="preserve"> Vectibix treba vizuelno pregledati prije primjene. Rastvor treba da bude bezbojan i može da sadrži vidljive providne do bijele amorfne proteinske čestice (koje će se ukloniti tokom in-line filtracije). Nemojte da primjenjujete Vectibix ukoliko ne izgleda kao što je opisano iznad. Koristeći samo hipodermalnu iglu promjera 21 G ili manjeg, izvucite potrebnu količinu lijeka Vectibix za dozu od 6 mg/kg. Ne koristite sredstva koja ne sadrže igle (npr. adaptere za bočice) za izvlačenje sadržaja bočice. Razblažite u ukupnoj zapremini od 100 ml. Finalna koncentracija ne treba da pređe 10 mg/ml. Doze veće od 1000 mg treba razblažiti u 150 ml 9 mg/ml (0,9%) rastvora natrijum hlorida za injekcije (vidjeti poglavlje 4.2). Razblaženi rastvor treba promiješati nježnim okretanjem bočice, ne treba je mućkati. </w:t>
      </w:r>
    </w:p>
    <w:p w:rsidR="008C5C91" w:rsidRPr="008C5C91" w:rsidRDefault="008C5C91" w:rsidP="008C5C91">
      <w:pPr>
        <w:tabs>
          <w:tab w:val="left" w:pos="540"/>
          <w:tab w:val="left" w:pos="569"/>
        </w:tabs>
        <w:spacing w:after="0"/>
        <w:jc w:val="both"/>
        <w:rPr>
          <w:rFonts w:ascii="Times New Roman" w:hAnsi="Times New Roman" w:cs="Times New Roman"/>
          <w:lang w:val="sr-Latn-RS"/>
        </w:rPr>
      </w:pPr>
    </w:p>
    <w:p w:rsidR="008C5C91" w:rsidRPr="008C5C91" w:rsidRDefault="008C5C91" w:rsidP="008C5C91">
      <w:pPr>
        <w:tabs>
          <w:tab w:val="left" w:pos="540"/>
          <w:tab w:val="left" w:pos="569"/>
        </w:tabs>
        <w:spacing w:after="0"/>
        <w:jc w:val="both"/>
        <w:rPr>
          <w:rFonts w:ascii="Times New Roman" w:hAnsi="Times New Roman" w:cs="Times New Roman"/>
          <w:lang w:val="sr-Latn-RS"/>
        </w:rPr>
      </w:pPr>
      <w:r w:rsidRPr="008C5C91">
        <w:rPr>
          <w:rFonts w:ascii="Times New Roman" w:hAnsi="Times New Roman" w:cs="Times New Roman"/>
          <w:lang w:val="sr-Latn-RS"/>
        </w:rPr>
        <w:t xml:space="preserve">Nakon jednokratne upotrebe odbaciti bočicu i preostalu količinu lijeka u bočici. </w:t>
      </w:r>
    </w:p>
    <w:p w:rsidR="008C5C91" w:rsidRPr="008C5C91" w:rsidRDefault="008C5C91" w:rsidP="008C5C91">
      <w:pPr>
        <w:tabs>
          <w:tab w:val="left" w:pos="540"/>
          <w:tab w:val="left" w:pos="569"/>
        </w:tabs>
        <w:spacing w:after="0"/>
        <w:jc w:val="both"/>
        <w:rPr>
          <w:rFonts w:ascii="Times New Roman" w:hAnsi="Times New Roman" w:cs="Times New Roman"/>
          <w:lang w:val="sr-Latn-RS"/>
        </w:rPr>
      </w:pPr>
    </w:p>
    <w:p w:rsidR="008C5C91" w:rsidRPr="008C5C91" w:rsidRDefault="008C5C91" w:rsidP="008C5C91">
      <w:pPr>
        <w:tabs>
          <w:tab w:val="left" w:pos="540"/>
          <w:tab w:val="left" w:pos="569"/>
        </w:tabs>
        <w:spacing w:after="0"/>
        <w:jc w:val="both"/>
        <w:rPr>
          <w:rFonts w:ascii="Times New Roman" w:hAnsi="Times New Roman" w:cs="Times New Roman"/>
          <w:lang w:val="sr-Latn-RS"/>
        </w:rPr>
      </w:pPr>
      <w:r w:rsidRPr="008C5C91" w:rsidDel="00F22871">
        <w:rPr>
          <w:rFonts w:ascii="Times New Roman" w:hAnsi="Times New Roman" w:cs="Times New Roman"/>
          <w:lang w:val="sr-Latn-RS"/>
        </w:rPr>
        <w:t>N</w:t>
      </w:r>
      <w:r w:rsidRPr="008C5C91">
        <w:rPr>
          <w:rFonts w:ascii="Times New Roman" w:hAnsi="Times New Roman" w:cs="Times New Roman"/>
          <w:lang w:val="sr-Latn-RS"/>
        </w:rPr>
        <w:t xml:space="preserve">isu primjećene inkompatibilnosti između lijeka Vectibix i 9 mg/ml (0,9%) rastvora natrijum hlorida za injekcije u infuzionim kesama od polivinil hlorida ili poliolefina. </w:t>
      </w:r>
    </w:p>
    <w:bookmarkEnd w:id="2"/>
    <w:p w:rsidR="008C5C91" w:rsidRPr="008C5C91" w:rsidRDefault="008C5C91" w:rsidP="008C5C91">
      <w:pPr>
        <w:tabs>
          <w:tab w:val="left" w:pos="540"/>
          <w:tab w:val="left" w:pos="569"/>
        </w:tabs>
        <w:spacing w:after="0"/>
        <w:jc w:val="both"/>
        <w:rPr>
          <w:rFonts w:ascii="Times New Roman" w:hAnsi="Times New Roman" w:cs="Times New Roman"/>
          <w:bCs/>
          <w:lang w:val="sr-Latn-RS"/>
        </w:rPr>
      </w:pPr>
    </w:p>
    <w:p w:rsidR="008C5C91" w:rsidRPr="008C5C91" w:rsidRDefault="008C5C91" w:rsidP="008C5C91">
      <w:pPr>
        <w:tabs>
          <w:tab w:val="left" w:pos="567"/>
        </w:tabs>
        <w:spacing w:after="0"/>
        <w:jc w:val="both"/>
        <w:rPr>
          <w:rFonts w:ascii="Times New Roman" w:hAnsi="Times New Roman" w:cs="Times New Roman"/>
          <w:lang w:val="sr-Latn-RS"/>
        </w:rPr>
      </w:pPr>
      <w:r w:rsidRPr="008C5C91">
        <w:rPr>
          <w:rFonts w:ascii="Times New Roman" w:hAnsi="Times New Roman" w:cs="Times New Roman"/>
          <w:lang w:val="sr-Latn-RS"/>
        </w:rPr>
        <w:t>Svaki neupotrijebljeni lijek ili neupotrijebljeni materijal se uništava u skladu sa lokalnim propisima.</w:t>
      </w:r>
    </w:p>
    <w:p w:rsidR="008C5C91" w:rsidRPr="008C5C91" w:rsidRDefault="008C5C91" w:rsidP="008C5C91">
      <w:pPr>
        <w:tabs>
          <w:tab w:val="left" w:pos="540"/>
          <w:tab w:val="left" w:pos="569"/>
        </w:tabs>
        <w:spacing w:after="0"/>
        <w:jc w:val="both"/>
        <w:rPr>
          <w:rFonts w:ascii="Times New Roman" w:hAnsi="Times New Roman" w:cs="Times New Roman"/>
          <w:bCs/>
          <w:lang w:val="sr-Latn-RS"/>
        </w:rPr>
      </w:pPr>
    </w:p>
    <w:p w:rsidR="008C5C91" w:rsidRPr="008C5C91" w:rsidRDefault="008C5C91" w:rsidP="008C5C91">
      <w:pPr>
        <w:tabs>
          <w:tab w:val="left" w:pos="540"/>
          <w:tab w:val="left" w:pos="569"/>
        </w:tabs>
        <w:spacing w:after="0"/>
        <w:jc w:val="both"/>
        <w:rPr>
          <w:rFonts w:ascii="Times New Roman" w:hAnsi="Times New Roman" w:cs="Times New Roman"/>
          <w:b/>
          <w:bCs/>
          <w:lang w:val="nb-NO"/>
        </w:rPr>
      </w:pPr>
      <w:r w:rsidRPr="008C5C91">
        <w:rPr>
          <w:rFonts w:ascii="Times New Roman" w:hAnsi="Times New Roman" w:cs="Times New Roman"/>
          <w:b/>
          <w:bCs/>
          <w:lang w:val="nb-NO"/>
        </w:rPr>
        <w:t xml:space="preserve">6.7. </w:t>
      </w:r>
      <w:r w:rsidRPr="008C5C91">
        <w:rPr>
          <w:rFonts w:ascii="Times New Roman" w:hAnsi="Times New Roman" w:cs="Times New Roman"/>
          <w:b/>
          <w:bCs/>
          <w:lang w:val="nb-NO"/>
        </w:rPr>
        <w:tab/>
        <w:t>Režim izdavanja lijeka</w:t>
      </w:r>
    </w:p>
    <w:p w:rsidR="008C5C91" w:rsidRPr="008C5C91" w:rsidRDefault="008C5C91" w:rsidP="008C5C91">
      <w:pPr>
        <w:tabs>
          <w:tab w:val="left" w:pos="540"/>
          <w:tab w:val="left" w:pos="569"/>
        </w:tabs>
        <w:spacing w:after="0"/>
        <w:jc w:val="both"/>
        <w:rPr>
          <w:rFonts w:ascii="Times New Roman" w:hAnsi="Times New Roman" w:cs="Times New Roman"/>
          <w:bCs/>
          <w:lang w:val="nb-NO"/>
        </w:rPr>
      </w:pPr>
    </w:p>
    <w:p w:rsidR="008C5C91" w:rsidRPr="008C5C91" w:rsidRDefault="008C5C91" w:rsidP="008C5C91">
      <w:pPr>
        <w:tabs>
          <w:tab w:val="left" w:pos="540"/>
          <w:tab w:val="left" w:pos="569"/>
        </w:tabs>
        <w:spacing w:after="0"/>
        <w:jc w:val="both"/>
        <w:rPr>
          <w:rFonts w:ascii="Times New Roman" w:hAnsi="Times New Roman" w:cs="Times New Roman"/>
          <w:bCs/>
          <w:lang w:val="nb-NO"/>
        </w:rPr>
      </w:pPr>
      <w:r w:rsidRPr="008C5C91">
        <w:rPr>
          <w:rFonts w:ascii="Times New Roman" w:hAnsi="Times New Roman" w:cs="Times New Roman"/>
          <w:bCs/>
          <w:lang w:val="nb-NO"/>
        </w:rPr>
        <w:t>Ograničen recept.</w:t>
      </w:r>
    </w:p>
    <w:p w:rsidR="008C5C91" w:rsidRPr="008C5C91" w:rsidRDefault="008C5C91" w:rsidP="008C5C91">
      <w:pPr>
        <w:tabs>
          <w:tab w:val="left" w:pos="540"/>
          <w:tab w:val="left" w:pos="569"/>
        </w:tabs>
        <w:spacing w:after="0"/>
        <w:jc w:val="both"/>
        <w:rPr>
          <w:rFonts w:ascii="Times New Roman" w:hAnsi="Times New Roman" w:cs="Times New Roman"/>
          <w:bCs/>
          <w:lang w:val="nb-NO"/>
        </w:rPr>
      </w:pPr>
    </w:p>
    <w:p w:rsidR="008C5C91" w:rsidRPr="008C5C91" w:rsidRDefault="008C5C91" w:rsidP="008C5C91">
      <w:pPr>
        <w:tabs>
          <w:tab w:val="left" w:pos="540"/>
          <w:tab w:val="left" w:pos="569"/>
        </w:tabs>
        <w:spacing w:after="0"/>
        <w:jc w:val="both"/>
        <w:rPr>
          <w:rFonts w:ascii="Times New Roman" w:hAnsi="Times New Roman" w:cs="Times New Roman"/>
          <w:bCs/>
          <w:lang w:val="nb-NO"/>
        </w:rPr>
      </w:pPr>
    </w:p>
    <w:p w:rsidR="008C5C91" w:rsidRPr="008C5C91" w:rsidRDefault="008C5C91" w:rsidP="008C5C91">
      <w:pPr>
        <w:tabs>
          <w:tab w:val="left" w:pos="540"/>
          <w:tab w:val="left" w:pos="569"/>
        </w:tabs>
        <w:spacing w:after="0"/>
        <w:jc w:val="both"/>
        <w:rPr>
          <w:rFonts w:ascii="Times New Roman" w:hAnsi="Times New Roman" w:cs="Times New Roman"/>
          <w:b/>
          <w:bCs/>
          <w:lang w:val="nb-NO"/>
        </w:rPr>
      </w:pPr>
      <w:r w:rsidRPr="008C5C91">
        <w:rPr>
          <w:rFonts w:ascii="Times New Roman" w:hAnsi="Times New Roman" w:cs="Times New Roman"/>
          <w:b/>
          <w:bCs/>
          <w:lang w:val="nb-NO"/>
        </w:rPr>
        <w:t xml:space="preserve">7. </w:t>
      </w:r>
      <w:r w:rsidRPr="008C5C91">
        <w:rPr>
          <w:rFonts w:ascii="Times New Roman" w:hAnsi="Times New Roman" w:cs="Times New Roman"/>
          <w:b/>
          <w:bCs/>
          <w:lang w:val="nb-NO"/>
        </w:rPr>
        <w:tab/>
        <w:t xml:space="preserve">NOSILAC DOZVOLE </w:t>
      </w:r>
    </w:p>
    <w:p w:rsidR="008C5C91" w:rsidRPr="008C5C91" w:rsidRDefault="008C5C91" w:rsidP="008C5C91">
      <w:pPr>
        <w:tabs>
          <w:tab w:val="left" w:pos="540"/>
          <w:tab w:val="left" w:pos="569"/>
        </w:tabs>
        <w:spacing w:after="0"/>
        <w:jc w:val="both"/>
        <w:rPr>
          <w:rFonts w:ascii="Times New Roman" w:hAnsi="Times New Roman" w:cs="Times New Roman"/>
          <w:bCs/>
          <w:lang w:val="nb-NO"/>
        </w:rPr>
      </w:pPr>
    </w:p>
    <w:p w:rsidR="008C5C91" w:rsidRPr="008C5C91" w:rsidRDefault="008C5C91" w:rsidP="008C5C91">
      <w:pPr>
        <w:tabs>
          <w:tab w:val="left" w:pos="540"/>
          <w:tab w:val="left" w:pos="569"/>
        </w:tabs>
        <w:spacing w:after="0"/>
        <w:jc w:val="both"/>
        <w:rPr>
          <w:rFonts w:ascii="Times New Roman" w:hAnsi="Times New Roman" w:cs="Times New Roman"/>
          <w:bCs/>
        </w:rPr>
      </w:pPr>
      <w:r w:rsidRPr="008C5C91">
        <w:rPr>
          <w:rFonts w:ascii="Times New Roman" w:hAnsi="Times New Roman" w:cs="Times New Roman"/>
          <w:bCs/>
        </w:rPr>
        <w:t>Amicus Pharma d.o.o. Podgorica</w:t>
      </w:r>
    </w:p>
    <w:p w:rsidR="008C5C91" w:rsidRPr="008C5C91" w:rsidRDefault="008C5C91" w:rsidP="008C5C91">
      <w:pPr>
        <w:tabs>
          <w:tab w:val="left" w:pos="540"/>
          <w:tab w:val="left" w:pos="569"/>
        </w:tabs>
        <w:spacing w:after="0"/>
        <w:jc w:val="both"/>
        <w:rPr>
          <w:rFonts w:ascii="Times New Roman" w:hAnsi="Times New Roman" w:cs="Times New Roman"/>
          <w:bCs/>
        </w:rPr>
      </w:pPr>
      <w:r w:rsidRPr="008C5C91">
        <w:rPr>
          <w:rFonts w:ascii="Times New Roman" w:hAnsi="Times New Roman" w:cs="Times New Roman"/>
          <w:bCs/>
        </w:rPr>
        <w:t>Moskovska 63-4</w:t>
      </w:r>
    </w:p>
    <w:p w:rsidR="008C5C91" w:rsidRPr="008C5C91" w:rsidRDefault="008C5C91" w:rsidP="008C5C91">
      <w:pPr>
        <w:tabs>
          <w:tab w:val="left" w:pos="540"/>
          <w:tab w:val="left" w:pos="569"/>
        </w:tabs>
        <w:spacing w:after="0"/>
        <w:jc w:val="both"/>
        <w:rPr>
          <w:rFonts w:ascii="Times New Roman" w:hAnsi="Times New Roman" w:cs="Times New Roman"/>
          <w:bCs/>
          <w:lang w:val="nb-NO"/>
        </w:rPr>
      </w:pPr>
      <w:r w:rsidRPr="008C5C91">
        <w:rPr>
          <w:rFonts w:ascii="Times New Roman" w:hAnsi="Times New Roman" w:cs="Times New Roman"/>
          <w:bCs/>
          <w:lang w:val="nb-NO"/>
        </w:rPr>
        <w:t>Podgorica, Crna Gora</w:t>
      </w:r>
    </w:p>
    <w:p w:rsidR="008C5C91" w:rsidRPr="008C5C91" w:rsidRDefault="008C5C91" w:rsidP="008C5C91">
      <w:pPr>
        <w:tabs>
          <w:tab w:val="left" w:pos="540"/>
          <w:tab w:val="left" w:pos="569"/>
        </w:tabs>
        <w:spacing w:after="0"/>
        <w:jc w:val="both"/>
        <w:rPr>
          <w:rFonts w:ascii="Times New Roman" w:hAnsi="Times New Roman" w:cs="Times New Roman"/>
          <w:bCs/>
          <w:lang w:val="nb-NO"/>
        </w:rPr>
      </w:pPr>
    </w:p>
    <w:p w:rsidR="008C5C91" w:rsidRPr="008C5C91" w:rsidRDefault="008C5C91" w:rsidP="008C5C91">
      <w:pPr>
        <w:tabs>
          <w:tab w:val="left" w:pos="540"/>
          <w:tab w:val="left" w:pos="569"/>
        </w:tabs>
        <w:spacing w:after="0"/>
        <w:jc w:val="both"/>
        <w:rPr>
          <w:rFonts w:ascii="Times New Roman" w:hAnsi="Times New Roman" w:cs="Times New Roman"/>
          <w:bCs/>
          <w:lang w:val="nb-NO"/>
        </w:rPr>
      </w:pPr>
    </w:p>
    <w:p w:rsidR="008C5C91" w:rsidRPr="008C5C91" w:rsidRDefault="008C5C91" w:rsidP="008C5C91">
      <w:pPr>
        <w:tabs>
          <w:tab w:val="left" w:pos="540"/>
          <w:tab w:val="left" w:pos="569"/>
        </w:tabs>
        <w:spacing w:after="0"/>
        <w:jc w:val="both"/>
        <w:rPr>
          <w:rFonts w:ascii="Times New Roman" w:hAnsi="Times New Roman" w:cs="Times New Roman"/>
          <w:b/>
          <w:bCs/>
          <w:lang w:val="nb-NO"/>
        </w:rPr>
      </w:pPr>
      <w:r w:rsidRPr="008C5C91">
        <w:rPr>
          <w:rFonts w:ascii="Times New Roman" w:hAnsi="Times New Roman" w:cs="Times New Roman"/>
          <w:b/>
          <w:bCs/>
          <w:lang w:val="nb-NO"/>
        </w:rPr>
        <w:t xml:space="preserve">8. </w:t>
      </w:r>
      <w:r w:rsidRPr="008C5C91">
        <w:rPr>
          <w:rFonts w:ascii="Times New Roman" w:hAnsi="Times New Roman" w:cs="Times New Roman"/>
          <w:b/>
          <w:bCs/>
          <w:lang w:val="nb-NO"/>
        </w:rPr>
        <w:tab/>
        <w:t>BROJ PRVE DOZVOLE/ OBNOVE DOZVOLE</w:t>
      </w:r>
    </w:p>
    <w:p w:rsidR="008C5C91" w:rsidRPr="008C5C91" w:rsidRDefault="008C5C91" w:rsidP="008C5C91">
      <w:pPr>
        <w:tabs>
          <w:tab w:val="left" w:pos="540"/>
          <w:tab w:val="left" w:pos="569"/>
        </w:tabs>
        <w:spacing w:after="0"/>
        <w:jc w:val="both"/>
        <w:rPr>
          <w:rFonts w:ascii="Times New Roman" w:hAnsi="Times New Roman" w:cs="Times New Roman"/>
          <w:bCs/>
          <w:lang w:val="nb-NO"/>
        </w:rPr>
      </w:pPr>
    </w:p>
    <w:p w:rsidR="008C5C91" w:rsidRPr="008C5C91" w:rsidRDefault="008C5C91" w:rsidP="008C5C91">
      <w:pPr>
        <w:tabs>
          <w:tab w:val="left" w:pos="540"/>
          <w:tab w:val="left" w:pos="569"/>
        </w:tabs>
        <w:spacing w:after="0"/>
        <w:jc w:val="both"/>
        <w:rPr>
          <w:rFonts w:ascii="Times New Roman" w:hAnsi="Times New Roman" w:cs="Times New Roman"/>
          <w:bCs/>
          <w:lang w:val="nb-NO"/>
        </w:rPr>
      </w:pPr>
      <w:r w:rsidRPr="008C5C91">
        <w:rPr>
          <w:rFonts w:ascii="Times New Roman" w:hAnsi="Times New Roman" w:cs="Times New Roman"/>
          <w:bCs/>
          <w:lang w:val="nb-NO"/>
        </w:rPr>
        <w:t>Vectibix®, koncentrat za rastvor za infuziju, 20 mg/ml, bočica staklena, 1 x 5 ml:</w:t>
      </w:r>
      <w:r w:rsidR="00EA142D">
        <w:rPr>
          <w:rFonts w:ascii="Times New Roman" w:hAnsi="Times New Roman" w:cs="Times New Roman"/>
          <w:bCs/>
          <w:lang w:val="nb-NO"/>
        </w:rPr>
        <w:t xml:space="preserve"> </w:t>
      </w:r>
      <w:r w:rsidR="00EA142D" w:rsidRPr="00EA142D">
        <w:rPr>
          <w:rFonts w:ascii="Times New Roman" w:hAnsi="Times New Roman" w:cs="Times New Roman"/>
          <w:bCs/>
          <w:lang w:val="nb-NO"/>
        </w:rPr>
        <w:t>2030/17/418 - 8317</w:t>
      </w:r>
    </w:p>
    <w:p w:rsidR="008C5C91" w:rsidRPr="008C5C91" w:rsidRDefault="008C5C91" w:rsidP="008C5C91">
      <w:pPr>
        <w:tabs>
          <w:tab w:val="left" w:pos="540"/>
          <w:tab w:val="left" w:pos="569"/>
        </w:tabs>
        <w:spacing w:after="0"/>
        <w:jc w:val="both"/>
        <w:rPr>
          <w:rFonts w:ascii="Times New Roman" w:hAnsi="Times New Roman" w:cs="Times New Roman"/>
          <w:bCs/>
          <w:lang w:val="nb-NO"/>
        </w:rPr>
      </w:pPr>
      <w:r w:rsidRPr="008C5C91">
        <w:rPr>
          <w:rFonts w:ascii="Times New Roman" w:hAnsi="Times New Roman" w:cs="Times New Roman"/>
          <w:bCs/>
          <w:lang w:val="nb-NO"/>
        </w:rPr>
        <w:t>Vectibix®, koncentrat za rastvor za infuziju, 20 mg/ml, bočica staklena, 1 x 20 ml:</w:t>
      </w:r>
      <w:r w:rsidR="00EA142D">
        <w:rPr>
          <w:rFonts w:ascii="Times New Roman" w:hAnsi="Times New Roman" w:cs="Times New Roman"/>
          <w:bCs/>
          <w:lang w:val="nb-NO"/>
        </w:rPr>
        <w:t xml:space="preserve"> </w:t>
      </w:r>
      <w:r w:rsidR="00EA142D" w:rsidRPr="00EA142D">
        <w:rPr>
          <w:rFonts w:ascii="Times New Roman" w:hAnsi="Times New Roman" w:cs="Times New Roman"/>
          <w:bCs/>
          <w:lang w:val="nb-NO"/>
        </w:rPr>
        <w:t>2030/17/419 - 8190</w:t>
      </w:r>
    </w:p>
    <w:p w:rsidR="008C5C91" w:rsidRPr="008C5C91" w:rsidRDefault="008C5C91" w:rsidP="008C5C91">
      <w:pPr>
        <w:tabs>
          <w:tab w:val="left" w:pos="540"/>
          <w:tab w:val="left" w:pos="569"/>
        </w:tabs>
        <w:spacing w:after="0"/>
        <w:jc w:val="both"/>
        <w:rPr>
          <w:rFonts w:ascii="Times New Roman" w:hAnsi="Times New Roman" w:cs="Times New Roman"/>
          <w:bCs/>
          <w:lang w:val="nb-NO"/>
        </w:rPr>
      </w:pPr>
    </w:p>
    <w:p w:rsidR="008C5C91" w:rsidRPr="008C5C91" w:rsidRDefault="00C7567D" w:rsidP="00C7567D">
      <w:pPr>
        <w:tabs>
          <w:tab w:val="left" w:pos="7200"/>
        </w:tabs>
        <w:spacing w:after="0"/>
        <w:jc w:val="both"/>
        <w:rPr>
          <w:rFonts w:ascii="Times New Roman" w:hAnsi="Times New Roman" w:cs="Times New Roman"/>
          <w:bCs/>
          <w:lang w:val="nb-NO"/>
        </w:rPr>
      </w:pPr>
      <w:r>
        <w:rPr>
          <w:rFonts w:ascii="Times New Roman" w:hAnsi="Times New Roman" w:cs="Times New Roman"/>
          <w:bCs/>
          <w:lang w:val="nb-NO"/>
        </w:rPr>
        <w:tab/>
      </w:r>
    </w:p>
    <w:p w:rsidR="008C5C91" w:rsidRPr="008C5C91" w:rsidRDefault="008C5C91" w:rsidP="008C5C91">
      <w:pPr>
        <w:keepNext/>
        <w:tabs>
          <w:tab w:val="left" w:pos="540"/>
          <w:tab w:val="left" w:pos="569"/>
        </w:tabs>
        <w:spacing w:after="0"/>
        <w:jc w:val="both"/>
        <w:rPr>
          <w:rFonts w:ascii="Times New Roman" w:hAnsi="Times New Roman" w:cs="Times New Roman"/>
          <w:b/>
          <w:bCs/>
          <w:lang w:val="nb-NO"/>
        </w:rPr>
      </w:pPr>
      <w:r w:rsidRPr="008C5C91">
        <w:rPr>
          <w:rFonts w:ascii="Times New Roman" w:hAnsi="Times New Roman" w:cs="Times New Roman"/>
          <w:b/>
          <w:bCs/>
          <w:lang w:val="nb-NO"/>
        </w:rPr>
        <w:t xml:space="preserve">9. </w:t>
      </w:r>
      <w:r w:rsidRPr="008C5C91">
        <w:rPr>
          <w:rFonts w:ascii="Times New Roman" w:hAnsi="Times New Roman" w:cs="Times New Roman"/>
          <w:b/>
          <w:bCs/>
          <w:lang w:val="nb-NO"/>
        </w:rPr>
        <w:tab/>
        <w:t>DATUM PRVE DOZVOLE/ DATUM OBNOVE DOZVOLE</w:t>
      </w:r>
    </w:p>
    <w:p w:rsidR="008C5C91" w:rsidRPr="008C5C91" w:rsidRDefault="008C5C91" w:rsidP="008C5C91">
      <w:pPr>
        <w:keepNext/>
        <w:tabs>
          <w:tab w:val="left" w:pos="540"/>
          <w:tab w:val="left" w:pos="569"/>
        </w:tabs>
        <w:spacing w:after="0"/>
        <w:jc w:val="both"/>
        <w:rPr>
          <w:rFonts w:ascii="Times New Roman" w:hAnsi="Times New Roman" w:cs="Times New Roman"/>
          <w:bCs/>
          <w:lang w:val="nb-NO"/>
        </w:rPr>
      </w:pPr>
    </w:p>
    <w:p w:rsidR="008C5C91" w:rsidRPr="008C5C91" w:rsidRDefault="008C5C91" w:rsidP="008C5C91">
      <w:pPr>
        <w:tabs>
          <w:tab w:val="left" w:pos="540"/>
          <w:tab w:val="left" w:pos="569"/>
        </w:tabs>
        <w:spacing w:after="0"/>
        <w:jc w:val="both"/>
        <w:rPr>
          <w:rFonts w:ascii="Times New Roman" w:hAnsi="Times New Roman" w:cs="Times New Roman"/>
          <w:bCs/>
          <w:lang w:val="nb-NO"/>
        </w:rPr>
      </w:pPr>
      <w:r w:rsidRPr="008C5C91">
        <w:rPr>
          <w:rFonts w:ascii="Times New Roman" w:hAnsi="Times New Roman" w:cs="Times New Roman"/>
          <w:bCs/>
          <w:lang w:val="nb-NO"/>
        </w:rPr>
        <w:t>Vectibix®, koncentrat za rastvor za infuziju, 20 mg/ml, bočica staklena, 1 x 5 ml:</w:t>
      </w:r>
      <w:r w:rsidR="00EA142D">
        <w:rPr>
          <w:rFonts w:ascii="Times New Roman" w:hAnsi="Times New Roman" w:cs="Times New Roman"/>
          <w:bCs/>
          <w:lang w:val="nb-NO"/>
        </w:rPr>
        <w:t xml:space="preserve"> 06.12.2017. godine</w:t>
      </w:r>
    </w:p>
    <w:p w:rsidR="008C5C91" w:rsidRPr="008C5C91" w:rsidRDefault="008C5C91" w:rsidP="008C5C91">
      <w:pPr>
        <w:tabs>
          <w:tab w:val="left" w:pos="540"/>
          <w:tab w:val="left" w:pos="569"/>
        </w:tabs>
        <w:spacing w:after="0"/>
        <w:jc w:val="both"/>
        <w:rPr>
          <w:rFonts w:ascii="Times New Roman" w:hAnsi="Times New Roman" w:cs="Times New Roman"/>
          <w:bCs/>
          <w:lang w:val="nb-NO"/>
        </w:rPr>
      </w:pPr>
      <w:r w:rsidRPr="008C5C91">
        <w:rPr>
          <w:rFonts w:ascii="Times New Roman" w:hAnsi="Times New Roman" w:cs="Times New Roman"/>
          <w:bCs/>
          <w:lang w:val="nb-NO"/>
        </w:rPr>
        <w:t>Vectibix®, koncentrat za rastvor za infuziju, 20 mg/ml, bočica staklena, 1 x 20 ml:</w:t>
      </w:r>
      <w:r w:rsidR="00EA142D">
        <w:rPr>
          <w:rFonts w:ascii="Times New Roman" w:hAnsi="Times New Roman" w:cs="Times New Roman"/>
          <w:bCs/>
          <w:lang w:val="nb-NO"/>
        </w:rPr>
        <w:t xml:space="preserve"> 06.12.2017. godine</w:t>
      </w:r>
    </w:p>
    <w:p w:rsidR="008C5C91" w:rsidRPr="008C5C91" w:rsidRDefault="008C5C91" w:rsidP="008C5C91">
      <w:pPr>
        <w:tabs>
          <w:tab w:val="left" w:pos="540"/>
          <w:tab w:val="left" w:pos="569"/>
        </w:tabs>
        <w:spacing w:after="0"/>
        <w:jc w:val="both"/>
        <w:rPr>
          <w:rFonts w:ascii="Times New Roman" w:hAnsi="Times New Roman" w:cs="Times New Roman"/>
          <w:bCs/>
          <w:lang w:val="nb-NO"/>
        </w:rPr>
      </w:pPr>
    </w:p>
    <w:p w:rsidR="008C5C91" w:rsidRPr="008C5C91" w:rsidRDefault="008C5C91" w:rsidP="008C5C91">
      <w:pPr>
        <w:tabs>
          <w:tab w:val="left" w:pos="540"/>
          <w:tab w:val="left" w:pos="569"/>
        </w:tabs>
        <w:spacing w:after="0"/>
        <w:jc w:val="both"/>
        <w:rPr>
          <w:rFonts w:ascii="Times New Roman" w:hAnsi="Times New Roman" w:cs="Times New Roman"/>
          <w:bCs/>
          <w:lang w:val="nb-NO"/>
        </w:rPr>
      </w:pPr>
    </w:p>
    <w:p w:rsidR="008C5C91" w:rsidRDefault="008C5C91" w:rsidP="008C5C91">
      <w:pPr>
        <w:tabs>
          <w:tab w:val="left" w:pos="540"/>
          <w:tab w:val="left" w:pos="569"/>
        </w:tabs>
        <w:spacing w:after="0"/>
        <w:ind w:left="540" w:hanging="540"/>
        <w:jc w:val="both"/>
        <w:rPr>
          <w:rFonts w:ascii="Times New Roman" w:hAnsi="Times New Roman" w:cs="Times New Roman"/>
          <w:b/>
          <w:bCs/>
          <w:lang w:val="nb-NO"/>
        </w:rPr>
      </w:pPr>
      <w:r w:rsidRPr="008C5C91">
        <w:rPr>
          <w:rFonts w:ascii="Times New Roman" w:hAnsi="Times New Roman" w:cs="Times New Roman"/>
          <w:b/>
          <w:bCs/>
          <w:lang w:val="nb-NO"/>
        </w:rPr>
        <w:t xml:space="preserve">10. </w:t>
      </w:r>
      <w:r w:rsidRPr="008C5C91">
        <w:rPr>
          <w:rFonts w:ascii="Times New Roman" w:hAnsi="Times New Roman" w:cs="Times New Roman"/>
          <w:b/>
          <w:bCs/>
          <w:lang w:val="nb-NO"/>
        </w:rPr>
        <w:tab/>
        <w:t>DATUM POSLJEDNJE REVIZIJE TEKSTA SAŽETKA OSNOVNIH KARAKTERISTIKA LIJEKA</w:t>
      </w:r>
    </w:p>
    <w:p w:rsidR="00EA142D" w:rsidRDefault="00EA142D" w:rsidP="008C5C91">
      <w:pPr>
        <w:tabs>
          <w:tab w:val="left" w:pos="540"/>
          <w:tab w:val="left" w:pos="569"/>
        </w:tabs>
        <w:spacing w:after="0"/>
        <w:ind w:left="540" w:hanging="540"/>
        <w:jc w:val="both"/>
        <w:rPr>
          <w:rFonts w:ascii="Times New Roman" w:hAnsi="Times New Roman" w:cs="Times New Roman"/>
          <w:b/>
          <w:bCs/>
          <w:lang w:val="nb-NO"/>
        </w:rPr>
      </w:pPr>
    </w:p>
    <w:p w:rsidR="00EA142D" w:rsidRPr="00EA142D" w:rsidRDefault="00EA142D" w:rsidP="008C5C91">
      <w:pPr>
        <w:tabs>
          <w:tab w:val="left" w:pos="540"/>
          <w:tab w:val="left" w:pos="569"/>
        </w:tabs>
        <w:spacing w:after="0"/>
        <w:ind w:left="540" w:hanging="540"/>
        <w:jc w:val="both"/>
        <w:rPr>
          <w:rFonts w:ascii="Times New Roman" w:hAnsi="Times New Roman" w:cs="Times New Roman"/>
          <w:lang w:val="pl-PL"/>
        </w:rPr>
      </w:pPr>
      <w:r w:rsidRPr="00EA142D">
        <w:rPr>
          <w:rFonts w:ascii="Times New Roman" w:hAnsi="Times New Roman" w:cs="Times New Roman"/>
          <w:bCs/>
          <w:lang w:val="nb-NO"/>
        </w:rPr>
        <w:t>Decembar, 2017. godine</w:t>
      </w:r>
    </w:p>
    <w:p w:rsidR="009318B4" w:rsidRPr="008C5C91" w:rsidRDefault="009318B4" w:rsidP="008C5C91">
      <w:pPr>
        <w:spacing w:after="0"/>
        <w:jc w:val="both"/>
        <w:rPr>
          <w:rFonts w:ascii="Times New Roman" w:hAnsi="Times New Roman" w:cs="Times New Roman"/>
        </w:rPr>
      </w:pPr>
    </w:p>
    <w:p w:rsidR="009318B4" w:rsidRPr="008C5C91" w:rsidRDefault="00747C4B" w:rsidP="008C5C91">
      <w:pPr>
        <w:tabs>
          <w:tab w:val="left" w:pos="6150"/>
        </w:tabs>
        <w:spacing w:after="0"/>
        <w:jc w:val="both"/>
        <w:rPr>
          <w:rFonts w:ascii="Times New Roman" w:hAnsi="Times New Roman" w:cs="Times New Roman"/>
        </w:rPr>
      </w:pPr>
      <w:r w:rsidRPr="008C5C91">
        <w:rPr>
          <w:rFonts w:ascii="Times New Roman" w:hAnsi="Times New Roman" w:cs="Times New Roman"/>
        </w:rPr>
        <w:tab/>
      </w:r>
    </w:p>
    <w:p w:rsidR="009318B4" w:rsidRPr="008C5C91" w:rsidRDefault="009318B4" w:rsidP="008C5C91">
      <w:pPr>
        <w:spacing w:after="0"/>
        <w:jc w:val="both"/>
        <w:rPr>
          <w:rFonts w:ascii="Times New Roman" w:hAnsi="Times New Roman" w:cs="Times New Roman"/>
        </w:rPr>
      </w:pPr>
    </w:p>
    <w:p w:rsidR="00F1527C" w:rsidRPr="008C5C91" w:rsidRDefault="00F1527C" w:rsidP="008C5C91">
      <w:pPr>
        <w:spacing w:after="0"/>
        <w:jc w:val="both"/>
        <w:rPr>
          <w:rFonts w:ascii="Times New Roman" w:hAnsi="Times New Roman" w:cs="Times New Roman"/>
        </w:rPr>
      </w:pPr>
    </w:p>
    <w:p w:rsidR="00F1527C" w:rsidRPr="008C5C91" w:rsidRDefault="00F1527C" w:rsidP="008C5C91">
      <w:pPr>
        <w:spacing w:after="0"/>
        <w:jc w:val="both"/>
        <w:rPr>
          <w:rFonts w:ascii="Times New Roman" w:hAnsi="Times New Roman" w:cs="Times New Roman"/>
        </w:rPr>
      </w:pPr>
    </w:p>
    <w:p w:rsidR="00F1527C" w:rsidRPr="008C5C91" w:rsidRDefault="00F1527C" w:rsidP="008C5C91">
      <w:pPr>
        <w:spacing w:after="0"/>
        <w:jc w:val="both"/>
        <w:rPr>
          <w:rFonts w:ascii="Times New Roman" w:hAnsi="Times New Roman" w:cs="Times New Roman"/>
        </w:rPr>
      </w:pPr>
    </w:p>
    <w:p w:rsidR="00F1527C" w:rsidRPr="008C5C91" w:rsidRDefault="00F1527C" w:rsidP="008C5C91">
      <w:pPr>
        <w:spacing w:after="0"/>
        <w:jc w:val="both"/>
        <w:rPr>
          <w:rFonts w:ascii="Times New Roman" w:hAnsi="Times New Roman" w:cs="Times New Roman"/>
        </w:rPr>
      </w:pPr>
    </w:p>
    <w:p w:rsidR="00F1527C" w:rsidRPr="008C5C91" w:rsidRDefault="00F1527C" w:rsidP="008C5C91">
      <w:pPr>
        <w:spacing w:after="0"/>
        <w:jc w:val="both"/>
        <w:rPr>
          <w:rFonts w:ascii="Times New Roman" w:hAnsi="Times New Roman" w:cs="Times New Roman"/>
        </w:rPr>
      </w:pPr>
    </w:p>
    <w:p w:rsidR="00F1527C" w:rsidRPr="008C5C91" w:rsidRDefault="00F1527C" w:rsidP="008C5C91">
      <w:pPr>
        <w:spacing w:after="0"/>
        <w:jc w:val="both"/>
        <w:rPr>
          <w:rFonts w:ascii="Times New Roman" w:hAnsi="Times New Roman" w:cs="Times New Roman"/>
        </w:rPr>
      </w:pPr>
    </w:p>
    <w:p w:rsidR="00F1527C" w:rsidRPr="008C5C91" w:rsidRDefault="00F1527C" w:rsidP="008C5C91">
      <w:pPr>
        <w:spacing w:after="0"/>
        <w:jc w:val="both"/>
        <w:rPr>
          <w:rFonts w:ascii="Times New Roman" w:hAnsi="Times New Roman" w:cs="Times New Roman"/>
        </w:rPr>
      </w:pPr>
    </w:p>
    <w:p w:rsidR="00F1527C" w:rsidRPr="008C5C91" w:rsidRDefault="00F1527C" w:rsidP="008C5C91">
      <w:pPr>
        <w:spacing w:after="0"/>
        <w:jc w:val="both"/>
        <w:rPr>
          <w:rFonts w:ascii="Times New Roman" w:hAnsi="Times New Roman" w:cs="Times New Roman"/>
        </w:rPr>
      </w:pPr>
    </w:p>
    <w:p w:rsidR="00F1527C" w:rsidRPr="008C5C91" w:rsidRDefault="00F1527C" w:rsidP="008C5C91">
      <w:pPr>
        <w:spacing w:after="0"/>
        <w:jc w:val="both"/>
        <w:rPr>
          <w:rFonts w:ascii="Times New Roman" w:hAnsi="Times New Roman" w:cs="Times New Roman"/>
        </w:rPr>
      </w:pPr>
    </w:p>
    <w:p w:rsidR="00F1527C" w:rsidRPr="008C5C91" w:rsidRDefault="00F1527C" w:rsidP="008C5C91">
      <w:pPr>
        <w:spacing w:after="0"/>
        <w:jc w:val="both"/>
        <w:rPr>
          <w:rFonts w:ascii="Times New Roman" w:hAnsi="Times New Roman" w:cs="Times New Roman"/>
        </w:rPr>
      </w:pPr>
    </w:p>
    <w:p w:rsidR="00F1527C" w:rsidRPr="008C5C91" w:rsidRDefault="00F1527C" w:rsidP="008C5C91">
      <w:pPr>
        <w:spacing w:after="0"/>
        <w:jc w:val="both"/>
        <w:rPr>
          <w:rFonts w:ascii="Times New Roman" w:hAnsi="Times New Roman" w:cs="Times New Roman"/>
        </w:rPr>
      </w:pPr>
    </w:p>
    <w:p w:rsidR="00F1527C" w:rsidRPr="008C5C91" w:rsidRDefault="00F1527C" w:rsidP="008C5C91">
      <w:pPr>
        <w:spacing w:after="0"/>
        <w:jc w:val="both"/>
        <w:rPr>
          <w:rFonts w:ascii="Times New Roman" w:hAnsi="Times New Roman" w:cs="Times New Roman"/>
        </w:rPr>
      </w:pPr>
    </w:p>
    <w:p w:rsidR="00F1527C" w:rsidRPr="008C5C91" w:rsidRDefault="00F1527C" w:rsidP="008C5C91">
      <w:pPr>
        <w:tabs>
          <w:tab w:val="left" w:pos="2751"/>
        </w:tabs>
        <w:spacing w:after="0"/>
        <w:jc w:val="both"/>
        <w:rPr>
          <w:rFonts w:ascii="Times New Roman" w:hAnsi="Times New Roman" w:cs="Times New Roman"/>
        </w:rPr>
      </w:pPr>
    </w:p>
    <w:p w:rsidR="00F1527C" w:rsidRPr="008C5C91" w:rsidRDefault="00F1527C" w:rsidP="008C5C91">
      <w:pPr>
        <w:tabs>
          <w:tab w:val="left" w:pos="2751"/>
        </w:tabs>
        <w:spacing w:after="0"/>
        <w:jc w:val="both"/>
        <w:rPr>
          <w:rFonts w:ascii="Times New Roman" w:hAnsi="Times New Roman" w:cs="Times New Roman"/>
        </w:rPr>
      </w:pPr>
    </w:p>
    <w:p w:rsidR="00F1527C" w:rsidRPr="008C5C91" w:rsidRDefault="00F1527C" w:rsidP="008C5C91">
      <w:pPr>
        <w:tabs>
          <w:tab w:val="left" w:pos="2751"/>
        </w:tabs>
        <w:spacing w:after="0"/>
        <w:jc w:val="both"/>
        <w:rPr>
          <w:rFonts w:ascii="Times New Roman" w:hAnsi="Times New Roman" w:cs="Times New Roman"/>
        </w:rPr>
      </w:pPr>
    </w:p>
    <w:p w:rsidR="009318B4" w:rsidRPr="008C5C91" w:rsidRDefault="00F1527C" w:rsidP="008C5C91">
      <w:pPr>
        <w:tabs>
          <w:tab w:val="left" w:pos="2751"/>
        </w:tabs>
        <w:spacing w:after="0"/>
        <w:jc w:val="both"/>
        <w:rPr>
          <w:rFonts w:ascii="Times New Roman" w:hAnsi="Times New Roman" w:cs="Times New Roman"/>
        </w:rPr>
      </w:pPr>
      <w:r w:rsidRPr="008C5C91">
        <w:rPr>
          <w:rFonts w:ascii="Times New Roman" w:hAnsi="Times New Roman" w:cs="Times New Roman"/>
        </w:rPr>
        <w:tab/>
      </w:r>
    </w:p>
    <w:sectPr w:rsidR="009318B4" w:rsidRPr="008C5C91"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997" w:rsidRDefault="00BE0997" w:rsidP="00FF2B5A">
      <w:pPr>
        <w:spacing w:after="0" w:line="240" w:lineRule="auto"/>
      </w:pPr>
      <w:r>
        <w:separator/>
      </w:r>
    </w:p>
  </w:endnote>
  <w:endnote w:type="continuationSeparator" w:id="0">
    <w:p w:rsidR="00BE0997" w:rsidRDefault="00BE099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76D85">
      <w:rPr>
        <w:rFonts w:ascii="Times New Roman" w:eastAsia="Times New Roman" w:hAnsi="Times New Roman" w:cs="Times New Roman"/>
        <w:noProof/>
        <w:sz w:val="20"/>
        <w:szCs w:val="20"/>
        <w:lang w:val="sr-Latn-ME"/>
      </w:rPr>
      <w:t>20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76D85">
      <w:rPr>
        <w:rFonts w:ascii="Times New Roman" w:eastAsia="Times New Roman" w:hAnsi="Times New Roman" w:cs="Times New Roman"/>
        <w:noProof/>
        <w:sz w:val="20"/>
        <w:szCs w:val="20"/>
        <w:lang w:val="sr-Latn-ME"/>
      </w:rPr>
      <w:t>25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997" w:rsidRDefault="00BE0997" w:rsidP="00FF2B5A">
      <w:pPr>
        <w:spacing w:after="0" w:line="240" w:lineRule="auto"/>
      </w:pPr>
      <w:r>
        <w:separator/>
      </w:r>
    </w:p>
  </w:footnote>
  <w:footnote w:type="continuationSeparator" w:id="0">
    <w:p w:rsidR="00BE0997" w:rsidRDefault="00BE0997"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843F2A"/>
    <w:multiLevelType w:val="hybridMultilevel"/>
    <w:tmpl w:val="C7B0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AA11BC"/>
    <w:multiLevelType w:val="hybridMultilevel"/>
    <w:tmpl w:val="431AA4A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3"/>
  </w:num>
  <w:num w:numId="2">
    <w:abstractNumId w:val="9"/>
  </w:num>
  <w:num w:numId="3">
    <w:abstractNumId w:val="0"/>
  </w:num>
  <w:num w:numId="4">
    <w:abstractNumId w:val="8"/>
  </w:num>
  <w:num w:numId="5">
    <w:abstractNumId w:val="5"/>
  </w:num>
  <w:num w:numId="6">
    <w:abstractNumId w:val="1"/>
  </w:num>
  <w:num w:numId="7">
    <w:abstractNumId w:val="7"/>
  </w:num>
  <w:num w:numId="8">
    <w:abstractNumId w:val="4"/>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388B"/>
    <w:rsid w:val="00116FE6"/>
    <w:rsid w:val="00461135"/>
    <w:rsid w:val="00632EFB"/>
    <w:rsid w:val="00747C4B"/>
    <w:rsid w:val="00883AF2"/>
    <w:rsid w:val="008C5C91"/>
    <w:rsid w:val="009318B4"/>
    <w:rsid w:val="00934541"/>
    <w:rsid w:val="00A06058"/>
    <w:rsid w:val="00A322D8"/>
    <w:rsid w:val="00B234CE"/>
    <w:rsid w:val="00B34AF2"/>
    <w:rsid w:val="00BE0997"/>
    <w:rsid w:val="00C4240B"/>
    <w:rsid w:val="00C74F16"/>
    <w:rsid w:val="00C7567D"/>
    <w:rsid w:val="00D337DD"/>
    <w:rsid w:val="00D45AFE"/>
    <w:rsid w:val="00E0627A"/>
    <w:rsid w:val="00EA142D"/>
    <w:rsid w:val="00EB2A93"/>
    <w:rsid w:val="00F1527C"/>
    <w:rsid w:val="00F76D85"/>
    <w:rsid w:val="00FB337D"/>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C5C91"/>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8C5C91"/>
    <w:rPr>
      <w:rFonts w:ascii="Arial" w:eastAsia="Times New Roman" w:hAnsi="Arial" w:cs="Arial"/>
      <w:i/>
      <w:iCs/>
      <w:color w:val="999999"/>
      <w:sz w:val="18"/>
      <w:szCs w:val="24"/>
    </w:rPr>
  </w:style>
  <w:style w:type="character" w:styleId="PageNumber">
    <w:name w:val="page number"/>
    <w:basedOn w:val="DefaultParagraphFont"/>
    <w:rsid w:val="008C5C91"/>
  </w:style>
  <w:style w:type="numbering" w:styleId="111111">
    <w:name w:val="Outline List 2"/>
    <w:basedOn w:val="NoList"/>
    <w:rsid w:val="008C5C91"/>
    <w:pPr>
      <w:numPr>
        <w:numId w:val="3"/>
      </w:numPr>
    </w:pPr>
  </w:style>
  <w:style w:type="character" w:styleId="CommentReference">
    <w:name w:val="annotation reference"/>
    <w:semiHidden/>
    <w:rsid w:val="008C5C91"/>
    <w:rPr>
      <w:sz w:val="16"/>
      <w:szCs w:val="16"/>
    </w:rPr>
  </w:style>
  <w:style w:type="paragraph" w:styleId="CommentText">
    <w:name w:val="annotation text"/>
    <w:basedOn w:val="Normal"/>
    <w:link w:val="CommentTextChar"/>
    <w:uiPriority w:val="99"/>
    <w:rsid w:val="008C5C9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C5C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C5C91"/>
    <w:rPr>
      <w:b/>
      <w:bCs/>
    </w:rPr>
  </w:style>
  <w:style w:type="character" w:customStyle="1" w:styleId="CommentSubjectChar">
    <w:name w:val="Comment Subject Char"/>
    <w:basedOn w:val="CommentTextChar"/>
    <w:link w:val="CommentSubject"/>
    <w:semiHidden/>
    <w:rsid w:val="008C5C9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C5C9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C5C91"/>
    <w:rPr>
      <w:rFonts w:ascii="Tahoma" w:eastAsia="Times New Roman" w:hAnsi="Tahoma" w:cs="Tahoma"/>
      <w:sz w:val="16"/>
      <w:szCs w:val="16"/>
    </w:rPr>
  </w:style>
  <w:style w:type="paragraph" w:styleId="NoSpacing">
    <w:name w:val="No Spacing"/>
    <w:uiPriority w:val="1"/>
    <w:qFormat/>
    <w:rsid w:val="008C5C91"/>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8C5C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E9AE7-2997-4CFD-95D4-515118D2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25</Pages>
  <Words>8114</Words>
  <Characters>46252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54258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14</cp:revision>
  <dcterms:created xsi:type="dcterms:W3CDTF">2017-06-23T08:04:00Z</dcterms:created>
  <dcterms:modified xsi:type="dcterms:W3CDTF">2018-03-06T09:21:00Z</dcterms:modified>
</cp:coreProperties>
</file>