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37" w:rsidRPr="00750E3C" w:rsidRDefault="000A2337" w:rsidP="000A2337">
      <w:pPr>
        <w:spacing w:before="1000"/>
        <w:rPr>
          <w:rFonts w:cs="Arial"/>
          <w:sz w:val="22"/>
        </w:rPr>
      </w:pPr>
    </w:p>
    <w:p w:rsidR="000A2337" w:rsidRPr="00750E3C" w:rsidRDefault="000A2337" w:rsidP="000A2337">
      <w:pPr>
        <w:pStyle w:val="Header"/>
        <w:tabs>
          <w:tab w:val="left" w:pos="284"/>
        </w:tabs>
        <w:rPr>
          <w:rFonts w:cs="Arial"/>
          <w:sz w:val="22"/>
        </w:rPr>
      </w:pPr>
    </w:p>
    <w:tbl>
      <w:tblPr>
        <w:tblpPr w:leftFromText="180" w:rightFromText="180" w:vertAnchor="text" w:horzAnchor="margin" w:tblpY="-133"/>
        <w:tblW w:w="9360" w:type="dxa"/>
        <w:tblLayout w:type="fixed"/>
        <w:tblLook w:val="0000" w:firstRow="0" w:lastRow="0" w:firstColumn="0" w:lastColumn="0" w:noHBand="0" w:noVBand="0"/>
      </w:tblPr>
      <w:tblGrid>
        <w:gridCol w:w="2160"/>
        <w:gridCol w:w="7200"/>
      </w:tblGrid>
      <w:tr w:rsidR="000A2337" w:rsidRPr="00750E3C" w:rsidTr="00161AB3">
        <w:trPr>
          <w:trHeight w:val="530"/>
        </w:trPr>
        <w:tc>
          <w:tcPr>
            <w:tcW w:w="9360" w:type="dxa"/>
            <w:gridSpan w:val="2"/>
            <w:vAlign w:val="center"/>
          </w:tcPr>
          <w:p w:rsidR="000A2337" w:rsidRPr="007351FF" w:rsidRDefault="000A2337" w:rsidP="00161AB3">
            <w:pPr>
              <w:jc w:val="center"/>
              <w:rPr>
                <w:rFonts w:cs="Arial"/>
                <w:b/>
                <w:bCs/>
                <w:iCs/>
                <w:sz w:val="22"/>
                <w:u w:val="single"/>
              </w:rPr>
            </w:pPr>
            <w:r w:rsidRPr="007351FF">
              <w:rPr>
                <w:rFonts w:cs="Arial"/>
                <w:b/>
                <w:bCs/>
                <w:iCs/>
                <w:sz w:val="22"/>
                <w:u w:val="single"/>
              </w:rPr>
              <w:t>SAŽETAK KARAKTERISTIKA LIJEKA</w:t>
            </w:r>
          </w:p>
        </w:tc>
      </w:tr>
      <w:tr w:rsidR="000A2337" w:rsidRPr="00EE1855" w:rsidTr="00161AB3">
        <w:trPr>
          <w:trHeight w:val="1969"/>
        </w:trPr>
        <w:tc>
          <w:tcPr>
            <w:tcW w:w="9360" w:type="dxa"/>
            <w:gridSpan w:val="2"/>
            <w:vAlign w:val="bottom"/>
          </w:tcPr>
          <w:p w:rsidR="000A2337" w:rsidRPr="00D20097" w:rsidRDefault="000A2337" w:rsidP="00161AB3">
            <w:pPr>
              <w:spacing w:after="40"/>
              <w:jc w:val="center"/>
              <w:rPr>
                <w:rFonts w:cs="Arial"/>
                <w:bCs/>
                <w:sz w:val="22"/>
              </w:rPr>
            </w:pPr>
            <w:r>
              <w:rPr>
                <w:b/>
                <w:bCs/>
                <w:sz w:val="22"/>
              </w:rPr>
              <w:t>IMATINIB TEVA</w:t>
            </w:r>
            <w:r w:rsidRPr="00D20097">
              <w:rPr>
                <w:rFonts w:cs="Arial"/>
                <w:bCs/>
                <w:sz w:val="22"/>
              </w:rPr>
              <w:t>, film tablet</w:t>
            </w:r>
            <w:r w:rsidR="00BD1F48">
              <w:rPr>
                <w:rFonts w:cs="Arial"/>
                <w:bCs/>
                <w:sz w:val="22"/>
              </w:rPr>
              <w:t>a</w:t>
            </w:r>
            <w:r w:rsidRPr="00D20097">
              <w:rPr>
                <w:rFonts w:cs="Arial"/>
                <w:bCs/>
                <w:sz w:val="22"/>
              </w:rPr>
              <w:t>, 100 mg</w:t>
            </w:r>
            <w:r>
              <w:rPr>
                <w:rFonts w:cs="Arial"/>
                <w:bCs/>
                <w:sz w:val="22"/>
              </w:rPr>
              <w:t>,</w:t>
            </w:r>
          </w:p>
          <w:p w:rsidR="000A2337" w:rsidRPr="00D20097" w:rsidRDefault="000A2337" w:rsidP="00161AB3">
            <w:pPr>
              <w:spacing w:after="40"/>
              <w:jc w:val="center"/>
              <w:rPr>
                <w:rFonts w:cs="Arial"/>
                <w:b/>
                <w:bCs/>
                <w:sz w:val="22"/>
                <w:u w:val="single"/>
              </w:rPr>
            </w:pPr>
            <w:r w:rsidRPr="00D20097">
              <w:rPr>
                <w:rFonts w:cs="Arial"/>
                <w:bCs/>
                <w:sz w:val="22"/>
              </w:rPr>
              <w:t xml:space="preserve">blister, </w:t>
            </w:r>
            <w:r>
              <w:rPr>
                <w:rFonts w:cs="Arial"/>
                <w:bCs/>
                <w:sz w:val="22"/>
              </w:rPr>
              <w:t xml:space="preserve">12 </w:t>
            </w:r>
            <w:r w:rsidRPr="00D20097">
              <w:rPr>
                <w:rFonts w:cs="Arial"/>
                <w:bCs/>
                <w:sz w:val="22"/>
              </w:rPr>
              <w:t>x</w:t>
            </w:r>
            <w:r>
              <w:rPr>
                <w:rFonts w:cs="Arial"/>
                <w:bCs/>
                <w:sz w:val="22"/>
              </w:rPr>
              <w:t xml:space="preserve"> </w:t>
            </w:r>
            <w:r w:rsidRPr="00D20097">
              <w:rPr>
                <w:rFonts w:cs="Arial"/>
                <w:bCs/>
                <w:sz w:val="22"/>
              </w:rPr>
              <w:t>10 film tableta</w:t>
            </w:r>
            <w:r w:rsidRPr="00D20097">
              <w:rPr>
                <w:rFonts w:cs="Arial"/>
                <w:b/>
                <w:bCs/>
                <w:sz w:val="22"/>
                <w:u w:val="single"/>
              </w:rPr>
              <w:t xml:space="preserve"> </w:t>
            </w:r>
          </w:p>
          <w:p w:rsidR="000A2337" w:rsidRPr="00D20097" w:rsidRDefault="000A2337" w:rsidP="00161AB3">
            <w:pPr>
              <w:spacing w:after="40"/>
              <w:jc w:val="center"/>
              <w:rPr>
                <w:rFonts w:cs="Arial"/>
                <w:b/>
                <w:bCs/>
                <w:sz w:val="22"/>
                <w:u w:val="single"/>
              </w:rPr>
            </w:pPr>
          </w:p>
          <w:p w:rsidR="000A2337" w:rsidRPr="00ED38AE" w:rsidRDefault="000A2337" w:rsidP="00161AB3">
            <w:pPr>
              <w:spacing w:after="40"/>
              <w:jc w:val="center"/>
              <w:rPr>
                <w:rFonts w:cs="Arial"/>
                <w:bCs/>
                <w:sz w:val="22"/>
                <w:lang w:val="de-DE"/>
              </w:rPr>
            </w:pPr>
          </w:p>
        </w:tc>
      </w:tr>
      <w:tr w:rsidR="000A2337" w:rsidRPr="00EE1855" w:rsidTr="00161AB3">
        <w:trPr>
          <w:trHeight w:val="1225"/>
        </w:trPr>
        <w:tc>
          <w:tcPr>
            <w:tcW w:w="9360" w:type="dxa"/>
            <w:gridSpan w:val="2"/>
          </w:tcPr>
          <w:p w:rsidR="000A2337" w:rsidRPr="00EE1855" w:rsidRDefault="000A2337" w:rsidP="00161AB3">
            <w:pPr>
              <w:pStyle w:val="Heading2"/>
              <w:rPr>
                <w:rFonts w:ascii="Times New Roman" w:hAnsi="Times New Roman"/>
                <w:sz w:val="22"/>
                <w:lang w:val="de-DE"/>
              </w:rPr>
            </w:pPr>
          </w:p>
        </w:tc>
      </w:tr>
      <w:tr w:rsidR="000A2337" w:rsidRPr="00EE1855" w:rsidTr="00161AB3">
        <w:tc>
          <w:tcPr>
            <w:tcW w:w="2160" w:type="dxa"/>
            <w:vAlign w:val="bottom"/>
          </w:tcPr>
          <w:p w:rsidR="000A2337" w:rsidRPr="00750E3C" w:rsidRDefault="000A2337" w:rsidP="00161AB3">
            <w:pPr>
              <w:spacing w:before="200"/>
              <w:jc w:val="right"/>
              <w:rPr>
                <w:rFonts w:cs="Arial"/>
                <w:sz w:val="22"/>
              </w:rPr>
            </w:pPr>
            <w:r w:rsidRPr="00750E3C">
              <w:rPr>
                <w:rFonts w:cs="Arial"/>
                <w:sz w:val="22"/>
              </w:rPr>
              <w:t>Proizvođač:</w:t>
            </w:r>
          </w:p>
        </w:tc>
        <w:tc>
          <w:tcPr>
            <w:tcW w:w="7200" w:type="dxa"/>
            <w:vAlign w:val="bottom"/>
          </w:tcPr>
          <w:p w:rsidR="000A2337" w:rsidRPr="00EE1855" w:rsidRDefault="000A2337" w:rsidP="00161AB3">
            <w:pPr>
              <w:spacing w:before="200"/>
              <w:ind w:left="72" w:hanging="72"/>
              <w:rPr>
                <w:rFonts w:cs="Arial"/>
                <w:b/>
                <w:bCs/>
                <w:sz w:val="22"/>
                <w:lang w:val="de-DE"/>
              </w:rPr>
            </w:pPr>
            <w:r w:rsidRPr="001E25AC">
              <w:rPr>
                <w:b/>
                <w:sz w:val="22"/>
                <w:lang w:val="pt-BR"/>
              </w:rPr>
              <w:t>PLIVA Hrvatska d.o.o.</w:t>
            </w:r>
          </w:p>
        </w:tc>
      </w:tr>
      <w:tr w:rsidR="000A2337" w:rsidRPr="00750E3C" w:rsidTr="00161AB3">
        <w:tc>
          <w:tcPr>
            <w:tcW w:w="2160" w:type="dxa"/>
            <w:vAlign w:val="bottom"/>
          </w:tcPr>
          <w:p w:rsidR="000A2337" w:rsidRPr="00750E3C" w:rsidRDefault="000A2337" w:rsidP="00161AB3">
            <w:pPr>
              <w:spacing w:before="200"/>
              <w:jc w:val="right"/>
              <w:rPr>
                <w:rFonts w:cs="Arial"/>
                <w:sz w:val="22"/>
              </w:rPr>
            </w:pPr>
            <w:r w:rsidRPr="00750E3C">
              <w:rPr>
                <w:rFonts w:cs="Arial"/>
                <w:sz w:val="22"/>
              </w:rPr>
              <w:t>Adresa:</w:t>
            </w:r>
          </w:p>
        </w:tc>
        <w:tc>
          <w:tcPr>
            <w:tcW w:w="7200" w:type="dxa"/>
            <w:vAlign w:val="center"/>
          </w:tcPr>
          <w:p w:rsidR="000A2337" w:rsidRPr="00F24B80" w:rsidRDefault="000A2337" w:rsidP="00161AB3">
            <w:pPr>
              <w:spacing w:before="200"/>
              <w:ind w:left="72" w:hanging="72"/>
              <w:rPr>
                <w:rFonts w:ascii="Arial" w:hAnsi="Arial" w:cs="Arial"/>
                <w:sz w:val="22"/>
                <w:szCs w:val="22"/>
              </w:rPr>
            </w:pPr>
            <w:r w:rsidRPr="001E25AC">
              <w:rPr>
                <w:b/>
                <w:sz w:val="22"/>
                <w:lang w:val="pt-BR"/>
              </w:rPr>
              <w:t>Pri</w:t>
            </w:r>
            <w:r>
              <w:rPr>
                <w:b/>
                <w:sz w:val="22"/>
                <w:lang w:val="pt-BR"/>
              </w:rPr>
              <w:t>laz baruna Filipovića 25,</w:t>
            </w:r>
            <w:r w:rsidRPr="001E25AC">
              <w:rPr>
                <w:b/>
                <w:sz w:val="22"/>
                <w:lang w:val="pt-BR"/>
              </w:rPr>
              <w:t xml:space="preserve"> </w:t>
            </w:r>
            <w:r w:rsidR="00BD1F48" w:rsidRPr="00337B4B">
              <w:rPr>
                <w:b/>
                <w:sz w:val="22"/>
                <w:szCs w:val="22"/>
                <w:lang w:val="pt-BR"/>
              </w:rPr>
              <w:t xml:space="preserve">10 000 </w:t>
            </w:r>
            <w:r w:rsidRPr="001E25AC">
              <w:rPr>
                <w:b/>
                <w:sz w:val="22"/>
                <w:lang w:val="pt-BR"/>
              </w:rPr>
              <w:t>Zagreb, Hrvatska</w:t>
            </w:r>
          </w:p>
        </w:tc>
      </w:tr>
      <w:tr w:rsidR="000A2337" w:rsidRPr="003A00BF" w:rsidTr="00161AB3">
        <w:tc>
          <w:tcPr>
            <w:tcW w:w="2160" w:type="dxa"/>
            <w:vAlign w:val="bottom"/>
          </w:tcPr>
          <w:p w:rsidR="000A2337" w:rsidRPr="00750E3C" w:rsidRDefault="000A2337" w:rsidP="00161AB3">
            <w:pPr>
              <w:spacing w:before="200"/>
              <w:jc w:val="right"/>
              <w:rPr>
                <w:rFonts w:cs="Arial"/>
                <w:sz w:val="22"/>
              </w:rPr>
            </w:pPr>
            <w:r w:rsidRPr="00750E3C">
              <w:rPr>
                <w:rFonts w:cs="Arial"/>
                <w:sz w:val="22"/>
              </w:rPr>
              <w:t>Podnosilac zaht</w:t>
            </w:r>
            <w:r>
              <w:rPr>
                <w:rFonts w:cs="Arial"/>
                <w:sz w:val="22"/>
              </w:rPr>
              <w:t>j</w:t>
            </w:r>
            <w:r w:rsidRPr="00750E3C">
              <w:rPr>
                <w:rFonts w:cs="Arial"/>
                <w:sz w:val="22"/>
              </w:rPr>
              <w:t>eva:</w:t>
            </w:r>
          </w:p>
        </w:tc>
        <w:tc>
          <w:tcPr>
            <w:tcW w:w="7200" w:type="dxa"/>
            <w:vAlign w:val="bottom"/>
          </w:tcPr>
          <w:p w:rsidR="000A2337" w:rsidRPr="003A00BF" w:rsidRDefault="00736177" w:rsidP="00161AB3">
            <w:pPr>
              <w:spacing w:before="200"/>
              <w:ind w:left="72" w:hanging="72"/>
              <w:rPr>
                <w:rFonts w:cs="Arial"/>
                <w:b/>
                <w:bCs/>
                <w:sz w:val="22"/>
                <w:lang w:val="pt-BR"/>
              </w:rPr>
            </w:pPr>
            <w:r>
              <w:rPr>
                <w:b/>
                <w:bCs/>
                <w:sz w:val="22"/>
                <w:szCs w:val="22"/>
                <w:lang w:val="en-US" w:eastAsia="sr-Latn-ME"/>
              </w:rPr>
              <w:t>Evropa Lek Pharma d.o.o. Podgorica</w:t>
            </w:r>
          </w:p>
        </w:tc>
      </w:tr>
      <w:tr w:rsidR="000A2337" w:rsidRPr="003A00BF" w:rsidTr="00161AB3">
        <w:tc>
          <w:tcPr>
            <w:tcW w:w="2160" w:type="dxa"/>
            <w:vAlign w:val="bottom"/>
          </w:tcPr>
          <w:p w:rsidR="000A2337" w:rsidRPr="00750E3C" w:rsidRDefault="000A2337" w:rsidP="00161AB3">
            <w:pPr>
              <w:spacing w:before="200"/>
              <w:jc w:val="right"/>
              <w:rPr>
                <w:rFonts w:cs="Arial"/>
                <w:sz w:val="22"/>
              </w:rPr>
            </w:pPr>
            <w:r w:rsidRPr="00750E3C">
              <w:rPr>
                <w:rFonts w:cs="Arial"/>
                <w:sz w:val="22"/>
              </w:rPr>
              <w:t>Adresa:</w:t>
            </w:r>
          </w:p>
        </w:tc>
        <w:tc>
          <w:tcPr>
            <w:tcW w:w="7200" w:type="dxa"/>
            <w:vAlign w:val="bottom"/>
          </w:tcPr>
          <w:p w:rsidR="000A2337" w:rsidRPr="003A00BF" w:rsidRDefault="00736177" w:rsidP="00653451">
            <w:pPr>
              <w:spacing w:before="200"/>
              <w:ind w:left="72" w:hanging="72"/>
              <w:rPr>
                <w:rFonts w:cs="Arial"/>
                <w:b/>
                <w:bCs/>
                <w:sz w:val="22"/>
                <w:lang w:val="pt-BR"/>
              </w:rPr>
            </w:pPr>
            <w:r>
              <w:rPr>
                <w:b/>
                <w:bCs/>
                <w:sz w:val="22"/>
                <w:szCs w:val="22"/>
                <w:lang w:val="en-US" w:eastAsia="sr-Latn-ME"/>
              </w:rPr>
              <w:t>Kritskog odreda 4/1, 81000 Podgorica, Crna Gora</w:t>
            </w:r>
          </w:p>
        </w:tc>
      </w:tr>
    </w:tbl>
    <w:p w:rsidR="000A2337" w:rsidRPr="00B27012" w:rsidRDefault="000A2337" w:rsidP="000A2337">
      <w:pPr>
        <w:jc w:val="both"/>
        <w:rPr>
          <w:noProof/>
          <w:sz w:val="22"/>
          <w:szCs w:val="22"/>
          <w:lang w:val="hr-HR"/>
        </w:rPr>
      </w:pPr>
      <w:r w:rsidRPr="003A00BF">
        <w:rPr>
          <w:rFonts w:cs="Arial"/>
          <w:sz w:val="22"/>
          <w:lang w:val="pt-BR"/>
        </w:rPr>
        <w:br w:type="page"/>
      </w:r>
    </w:p>
    <w:tbl>
      <w:tblPr>
        <w:tblW w:w="10188" w:type="dxa"/>
        <w:tblLayout w:type="fixed"/>
        <w:tblLook w:val="0000" w:firstRow="0" w:lastRow="0" w:firstColumn="0" w:lastColumn="0" w:noHBand="0" w:noVBand="0"/>
      </w:tblPr>
      <w:tblGrid>
        <w:gridCol w:w="828"/>
        <w:gridCol w:w="360"/>
        <w:gridCol w:w="1620"/>
        <w:gridCol w:w="7380"/>
      </w:tblGrid>
      <w:tr w:rsidR="000A2337" w:rsidRPr="003A00BF" w:rsidTr="000A2337">
        <w:trPr>
          <w:trHeight w:val="284"/>
        </w:trPr>
        <w:tc>
          <w:tcPr>
            <w:tcW w:w="10188" w:type="dxa"/>
            <w:gridSpan w:val="4"/>
            <w:shd w:val="clear" w:color="auto" w:fill="auto"/>
            <w:vAlign w:val="center"/>
          </w:tcPr>
          <w:p w:rsidR="000A2337" w:rsidRPr="00750E3C" w:rsidRDefault="000A2337" w:rsidP="00DB0487">
            <w:pPr>
              <w:pStyle w:val="Header"/>
              <w:tabs>
                <w:tab w:val="left" w:pos="284"/>
              </w:tabs>
              <w:jc w:val="both"/>
              <w:rPr>
                <w:rFonts w:cs="Arial"/>
                <w:b/>
                <w:bCs/>
                <w:sz w:val="22"/>
                <w:lang w:val="sr-Latn-CS"/>
              </w:rPr>
            </w:pPr>
            <w:r w:rsidRPr="003A00BF">
              <w:rPr>
                <w:rFonts w:cs="Arial"/>
                <w:b/>
                <w:bCs/>
                <w:sz w:val="22"/>
                <w:lang w:val="pt-BR"/>
              </w:rPr>
              <w:lastRenderedPageBreak/>
              <w:t xml:space="preserve">1. </w:t>
            </w:r>
            <w:r>
              <w:rPr>
                <w:rFonts w:cs="Arial"/>
                <w:b/>
                <w:bCs/>
                <w:sz w:val="22"/>
                <w:lang w:val="pt-BR"/>
              </w:rPr>
              <w:t>NAZIV</w:t>
            </w:r>
            <w:r w:rsidRPr="00750E3C">
              <w:rPr>
                <w:rFonts w:cs="Arial"/>
                <w:b/>
                <w:bCs/>
                <w:sz w:val="22"/>
                <w:lang w:val="sr-Latn-CS"/>
              </w:rPr>
              <w:t xml:space="preserve"> </w:t>
            </w:r>
            <w:r>
              <w:rPr>
                <w:rFonts w:cs="Arial"/>
                <w:b/>
                <w:bCs/>
                <w:sz w:val="22"/>
                <w:lang w:val="sr-Latn-CS"/>
              </w:rPr>
              <w:t xml:space="preserve">LIJEKA </w:t>
            </w:r>
          </w:p>
        </w:tc>
      </w:tr>
      <w:tr w:rsidR="000A2337" w:rsidRPr="00750E3C" w:rsidTr="00161AB3">
        <w:trPr>
          <w:trHeight w:val="525"/>
        </w:trPr>
        <w:tc>
          <w:tcPr>
            <w:tcW w:w="10188" w:type="dxa"/>
            <w:gridSpan w:val="4"/>
            <w:vAlign w:val="center"/>
          </w:tcPr>
          <w:p w:rsidR="00DB0487" w:rsidRDefault="00DB0487" w:rsidP="00DB0487">
            <w:pPr>
              <w:pStyle w:val="Text"/>
              <w:spacing w:before="0" w:after="0" w:line="240" w:lineRule="atLeast"/>
              <w:ind w:right="357"/>
              <w:jc w:val="both"/>
              <w:rPr>
                <w:noProof/>
                <w:sz w:val="22"/>
                <w:szCs w:val="22"/>
                <w:lang w:val="sr-Latn-CS"/>
              </w:rPr>
            </w:pPr>
          </w:p>
          <w:p w:rsidR="000A2337" w:rsidRPr="00637D6A" w:rsidRDefault="000A2337" w:rsidP="00DB0487">
            <w:pPr>
              <w:pStyle w:val="Text"/>
              <w:spacing w:before="0" w:after="120" w:line="240" w:lineRule="auto"/>
              <w:ind w:right="357"/>
              <w:jc w:val="both"/>
              <w:rPr>
                <w:noProof/>
                <w:sz w:val="22"/>
                <w:szCs w:val="22"/>
                <w:lang w:val="sr-Latn-CS"/>
              </w:rPr>
            </w:pPr>
            <w:r>
              <w:rPr>
                <w:noProof/>
                <w:sz w:val="22"/>
                <w:szCs w:val="22"/>
                <w:lang w:val="sr-Latn-CS"/>
              </w:rPr>
              <w:t xml:space="preserve">Imatinib Teva </w:t>
            </w:r>
            <w:r w:rsidRPr="0090077F">
              <w:rPr>
                <w:noProof/>
                <w:sz w:val="22"/>
                <w:szCs w:val="22"/>
                <w:lang w:val="sr-Latn-CS"/>
              </w:rPr>
              <w:t>100 mg film tablete</w:t>
            </w:r>
          </w:p>
        </w:tc>
      </w:tr>
      <w:tr w:rsidR="000A2337" w:rsidRPr="00750E3C" w:rsidTr="00161AB3">
        <w:tc>
          <w:tcPr>
            <w:tcW w:w="828" w:type="dxa"/>
          </w:tcPr>
          <w:p w:rsidR="000A2337" w:rsidRPr="00750E3C" w:rsidRDefault="000A2337" w:rsidP="007351FF">
            <w:pPr>
              <w:pStyle w:val="Header"/>
              <w:tabs>
                <w:tab w:val="left" w:pos="284"/>
              </w:tabs>
              <w:jc w:val="both"/>
              <w:rPr>
                <w:rFonts w:cs="Arial"/>
                <w:sz w:val="22"/>
              </w:rPr>
            </w:pPr>
            <w:r w:rsidRPr="00750E3C">
              <w:rPr>
                <w:rFonts w:cs="Arial"/>
                <w:sz w:val="22"/>
              </w:rPr>
              <w:t>INN:</w:t>
            </w:r>
          </w:p>
        </w:tc>
        <w:tc>
          <w:tcPr>
            <w:tcW w:w="9360" w:type="dxa"/>
            <w:gridSpan w:val="3"/>
            <w:vAlign w:val="center"/>
          </w:tcPr>
          <w:p w:rsidR="000A2337" w:rsidRPr="00750E3C" w:rsidRDefault="000A2337" w:rsidP="007351FF">
            <w:pPr>
              <w:pStyle w:val="Header"/>
              <w:tabs>
                <w:tab w:val="left" w:pos="284"/>
              </w:tabs>
              <w:jc w:val="both"/>
              <w:rPr>
                <w:rFonts w:cs="Arial"/>
                <w:sz w:val="22"/>
              </w:rPr>
            </w:pPr>
            <w:r>
              <w:rPr>
                <w:bCs/>
                <w:sz w:val="22"/>
                <w:szCs w:val="22"/>
              </w:rPr>
              <w:t>i</w:t>
            </w:r>
            <w:r w:rsidRPr="00750E3C">
              <w:rPr>
                <w:bCs/>
                <w:sz w:val="22"/>
                <w:szCs w:val="22"/>
              </w:rPr>
              <w:t>matinib</w:t>
            </w:r>
          </w:p>
        </w:tc>
      </w:tr>
      <w:tr w:rsidR="000A2337" w:rsidRPr="00750E3C" w:rsidTr="00161AB3">
        <w:tc>
          <w:tcPr>
            <w:tcW w:w="10188" w:type="dxa"/>
            <w:gridSpan w:val="4"/>
          </w:tcPr>
          <w:p w:rsidR="000A2337" w:rsidRPr="00750E3C" w:rsidRDefault="000A2337" w:rsidP="007351FF">
            <w:pPr>
              <w:pStyle w:val="Header"/>
              <w:tabs>
                <w:tab w:val="left" w:pos="284"/>
              </w:tabs>
              <w:jc w:val="both"/>
              <w:rPr>
                <w:rFonts w:cs="Arial"/>
                <w:sz w:val="22"/>
              </w:rPr>
            </w:pPr>
          </w:p>
        </w:tc>
      </w:tr>
      <w:tr w:rsidR="000A2337" w:rsidRPr="00DB0487" w:rsidTr="000A2337">
        <w:tc>
          <w:tcPr>
            <w:tcW w:w="10188" w:type="dxa"/>
            <w:gridSpan w:val="4"/>
            <w:shd w:val="clear" w:color="auto" w:fill="auto"/>
            <w:vAlign w:val="center"/>
          </w:tcPr>
          <w:p w:rsidR="000A2337" w:rsidRPr="00DB0487" w:rsidRDefault="000A2337" w:rsidP="00DB0487">
            <w:pPr>
              <w:pStyle w:val="Header"/>
              <w:tabs>
                <w:tab w:val="left" w:pos="284"/>
              </w:tabs>
              <w:jc w:val="both"/>
              <w:rPr>
                <w:rFonts w:cs="Arial"/>
                <w:b/>
                <w:bCs/>
                <w:sz w:val="22"/>
                <w:lang w:val="pt-BR"/>
              </w:rPr>
            </w:pPr>
            <w:r w:rsidRPr="00DB0487">
              <w:rPr>
                <w:rFonts w:cs="Arial"/>
                <w:b/>
                <w:bCs/>
                <w:sz w:val="22"/>
                <w:lang w:val="pt-BR"/>
              </w:rPr>
              <w:t>2. KVALITATIVNI I KVANTITATIVNI SASTAV</w:t>
            </w:r>
          </w:p>
        </w:tc>
      </w:tr>
      <w:tr w:rsidR="000A2337" w:rsidRPr="00707F98" w:rsidTr="007351FF">
        <w:trPr>
          <w:trHeight w:val="877"/>
        </w:trPr>
        <w:tc>
          <w:tcPr>
            <w:tcW w:w="10188" w:type="dxa"/>
            <w:gridSpan w:val="4"/>
            <w:vAlign w:val="center"/>
          </w:tcPr>
          <w:p w:rsidR="00DB0487" w:rsidRDefault="00DB0487" w:rsidP="00DB0487">
            <w:pPr>
              <w:pStyle w:val="Text"/>
              <w:spacing w:before="0" w:after="0" w:line="240" w:lineRule="atLeast"/>
              <w:ind w:right="357"/>
              <w:jc w:val="both"/>
              <w:rPr>
                <w:noProof/>
                <w:sz w:val="22"/>
                <w:szCs w:val="22"/>
                <w:lang w:val="sr-Latn-CS"/>
              </w:rPr>
            </w:pPr>
          </w:p>
          <w:p w:rsidR="000A2337" w:rsidRPr="0034257A" w:rsidRDefault="000A2337" w:rsidP="007351FF">
            <w:pPr>
              <w:pStyle w:val="Text"/>
              <w:jc w:val="both"/>
              <w:rPr>
                <w:noProof/>
                <w:sz w:val="22"/>
                <w:szCs w:val="22"/>
                <w:lang w:val="sr-Latn-CS"/>
              </w:rPr>
            </w:pPr>
            <w:r w:rsidRPr="0034257A">
              <w:rPr>
                <w:noProof/>
                <w:sz w:val="22"/>
                <w:szCs w:val="22"/>
                <w:lang w:val="sr-Latn-CS"/>
              </w:rPr>
              <w:t>Jedna film tableta sadrži 100 mg imatiniba (</w:t>
            </w:r>
            <w:r>
              <w:rPr>
                <w:noProof/>
                <w:sz w:val="22"/>
                <w:szCs w:val="22"/>
                <w:lang w:val="sr-Latn-CS"/>
              </w:rPr>
              <w:t>u obliku imatinib mesilata)</w:t>
            </w:r>
            <w:r w:rsidRPr="0034257A">
              <w:rPr>
                <w:noProof/>
                <w:sz w:val="22"/>
                <w:szCs w:val="22"/>
                <w:lang w:val="sr-Latn-CS"/>
              </w:rPr>
              <w:t>.</w:t>
            </w:r>
          </w:p>
          <w:p w:rsidR="000A2337" w:rsidRDefault="000A2337" w:rsidP="00637D6A">
            <w:pPr>
              <w:pStyle w:val="Text"/>
              <w:spacing w:before="0" w:after="0" w:line="240" w:lineRule="auto"/>
              <w:ind w:right="357"/>
              <w:jc w:val="both"/>
              <w:rPr>
                <w:noProof/>
                <w:sz w:val="28"/>
                <w:lang w:val="sr-Latn-CS"/>
              </w:rPr>
            </w:pPr>
            <w:r w:rsidRPr="00E84988">
              <w:rPr>
                <w:noProof/>
                <w:sz w:val="22"/>
                <w:szCs w:val="22"/>
                <w:lang w:val="sr-Latn-CS"/>
              </w:rPr>
              <w:t>Za spisak pomoćnih supstanci, vidjeti odjeljak 6.1.</w:t>
            </w:r>
          </w:p>
          <w:p w:rsidR="000A2337" w:rsidRPr="00707F98" w:rsidRDefault="000A2337" w:rsidP="007351FF">
            <w:pPr>
              <w:pStyle w:val="Header"/>
              <w:tabs>
                <w:tab w:val="left" w:pos="284"/>
              </w:tabs>
              <w:jc w:val="both"/>
              <w:rPr>
                <w:rFonts w:cs="Arial"/>
                <w:sz w:val="22"/>
              </w:rPr>
            </w:pPr>
          </w:p>
        </w:tc>
      </w:tr>
      <w:tr w:rsidR="000A2337" w:rsidRPr="00750E3C" w:rsidTr="000A2337">
        <w:tc>
          <w:tcPr>
            <w:tcW w:w="10188" w:type="dxa"/>
            <w:gridSpan w:val="4"/>
            <w:shd w:val="clear" w:color="auto" w:fill="auto"/>
            <w:vAlign w:val="center"/>
          </w:tcPr>
          <w:p w:rsidR="000A2337" w:rsidRPr="00DB0487" w:rsidRDefault="000A2337" w:rsidP="00DB0487">
            <w:pPr>
              <w:pStyle w:val="Header"/>
              <w:tabs>
                <w:tab w:val="left" w:pos="284"/>
              </w:tabs>
              <w:jc w:val="both"/>
              <w:rPr>
                <w:rFonts w:cs="Arial"/>
                <w:b/>
                <w:bCs/>
                <w:sz w:val="22"/>
                <w:lang w:val="pt-BR"/>
              </w:rPr>
            </w:pPr>
            <w:r w:rsidRPr="00DB0487">
              <w:rPr>
                <w:rFonts w:cs="Arial"/>
                <w:b/>
                <w:bCs/>
                <w:sz w:val="22"/>
                <w:lang w:val="pt-BR"/>
              </w:rPr>
              <w:t>3. FARMACEUTSKI OBLIK</w:t>
            </w:r>
          </w:p>
        </w:tc>
      </w:tr>
      <w:tr w:rsidR="000A2337" w:rsidRPr="003A00BF" w:rsidTr="00161AB3">
        <w:trPr>
          <w:trHeight w:val="1145"/>
        </w:trPr>
        <w:tc>
          <w:tcPr>
            <w:tcW w:w="10188" w:type="dxa"/>
            <w:gridSpan w:val="4"/>
            <w:vAlign w:val="center"/>
          </w:tcPr>
          <w:p w:rsidR="00DB0487" w:rsidRDefault="00DB0487" w:rsidP="00DB0487">
            <w:pPr>
              <w:pStyle w:val="Text"/>
              <w:spacing w:before="0" w:after="0" w:line="240" w:lineRule="atLeast"/>
              <w:ind w:right="357"/>
              <w:jc w:val="both"/>
              <w:rPr>
                <w:noProof/>
                <w:sz w:val="22"/>
                <w:szCs w:val="22"/>
                <w:lang w:val="sr-Latn-CS"/>
              </w:rPr>
            </w:pPr>
          </w:p>
          <w:p w:rsidR="000A2337" w:rsidRPr="00912B4F" w:rsidRDefault="000A2337" w:rsidP="00637D6A">
            <w:pPr>
              <w:pStyle w:val="Text"/>
              <w:spacing w:before="0" w:after="120" w:line="240" w:lineRule="auto"/>
              <w:ind w:right="357"/>
              <w:jc w:val="both"/>
              <w:rPr>
                <w:noProof/>
                <w:sz w:val="22"/>
                <w:szCs w:val="22"/>
                <w:lang w:val="sr-Latn-CS"/>
              </w:rPr>
            </w:pPr>
            <w:r w:rsidRPr="00912B4F">
              <w:rPr>
                <w:noProof/>
                <w:sz w:val="22"/>
                <w:szCs w:val="22"/>
                <w:lang w:val="sr-Latn-CS"/>
              </w:rPr>
              <w:t>Film tablet</w:t>
            </w:r>
            <w:r>
              <w:rPr>
                <w:noProof/>
                <w:sz w:val="22"/>
                <w:szCs w:val="22"/>
                <w:lang w:val="sr-Latn-CS"/>
              </w:rPr>
              <w:t>a</w:t>
            </w:r>
            <w:r w:rsidRPr="00912B4F">
              <w:rPr>
                <w:noProof/>
                <w:sz w:val="22"/>
                <w:szCs w:val="22"/>
                <w:lang w:val="sr-Latn-CS"/>
              </w:rPr>
              <w:t>.</w:t>
            </w:r>
          </w:p>
          <w:p w:rsidR="000A2337" w:rsidRDefault="000A2337" w:rsidP="00DB0487">
            <w:pPr>
              <w:pStyle w:val="Text"/>
              <w:spacing w:before="0" w:after="120" w:line="240" w:lineRule="auto"/>
              <w:ind w:left="0" w:right="357" w:firstLine="0"/>
              <w:jc w:val="both"/>
              <w:rPr>
                <w:noProof/>
                <w:sz w:val="22"/>
                <w:szCs w:val="22"/>
                <w:lang w:val="sr-Latn-CS"/>
              </w:rPr>
            </w:pPr>
            <w:r>
              <w:rPr>
                <w:noProof/>
                <w:sz w:val="22"/>
                <w:szCs w:val="22"/>
                <w:lang w:val="sr-Latn-CS"/>
              </w:rPr>
              <w:t>Tamno žute do narandžastosmeđe okrugle film tablete, sa podionom crtom na jednoj strani. Oznake "IT" i "1" su utisnute sa svake strane podione crte na jednoj strani.</w:t>
            </w:r>
          </w:p>
          <w:p w:rsidR="000A2337" w:rsidRPr="00E4013F" w:rsidRDefault="000A2337" w:rsidP="00637D6A">
            <w:pPr>
              <w:pStyle w:val="Text"/>
              <w:spacing w:before="0" w:after="0" w:line="240" w:lineRule="auto"/>
              <w:ind w:right="357"/>
              <w:jc w:val="both"/>
              <w:rPr>
                <w:noProof/>
                <w:sz w:val="22"/>
                <w:szCs w:val="22"/>
                <w:lang w:val="sr-Latn-CS"/>
              </w:rPr>
            </w:pPr>
            <w:r>
              <w:rPr>
                <w:noProof/>
                <w:sz w:val="22"/>
                <w:szCs w:val="22"/>
                <w:lang w:val="sr-Latn-CS"/>
              </w:rPr>
              <w:t>Tableta se može podijeliti na jednake doze.</w:t>
            </w:r>
          </w:p>
        </w:tc>
      </w:tr>
      <w:tr w:rsidR="000A2337" w:rsidRPr="003A00BF" w:rsidTr="00161AB3">
        <w:tc>
          <w:tcPr>
            <w:tcW w:w="10188" w:type="dxa"/>
            <w:gridSpan w:val="4"/>
            <w:vAlign w:val="center"/>
          </w:tcPr>
          <w:p w:rsidR="000A2337" w:rsidRPr="003A00BF" w:rsidRDefault="000A2337" w:rsidP="00161AB3">
            <w:pPr>
              <w:pStyle w:val="Header"/>
              <w:tabs>
                <w:tab w:val="left" w:pos="284"/>
              </w:tabs>
              <w:rPr>
                <w:rFonts w:cs="Arial"/>
                <w:b/>
                <w:bCs/>
                <w:sz w:val="22"/>
                <w:lang w:val="sr-Latn-CS"/>
              </w:rPr>
            </w:pPr>
          </w:p>
        </w:tc>
      </w:tr>
      <w:tr w:rsidR="000A2337" w:rsidRPr="00750E3C" w:rsidTr="000A2337">
        <w:tc>
          <w:tcPr>
            <w:tcW w:w="10188" w:type="dxa"/>
            <w:gridSpan w:val="4"/>
            <w:shd w:val="clear" w:color="auto" w:fill="auto"/>
            <w:vAlign w:val="center"/>
          </w:tcPr>
          <w:p w:rsidR="000A2337" w:rsidRPr="00750E3C" w:rsidRDefault="000A2337" w:rsidP="00DB0487">
            <w:pPr>
              <w:pStyle w:val="Header"/>
              <w:tabs>
                <w:tab w:val="left" w:pos="284"/>
              </w:tabs>
              <w:spacing w:after="120"/>
              <w:rPr>
                <w:rFonts w:cs="Arial"/>
                <w:b/>
                <w:bCs/>
                <w:sz w:val="22"/>
              </w:rPr>
            </w:pPr>
            <w:r w:rsidRPr="00750E3C">
              <w:rPr>
                <w:rFonts w:cs="Arial"/>
                <w:b/>
                <w:bCs/>
                <w:sz w:val="22"/>
              </w:rPr>
              <w:t>4. KLINIČKI PODACI</w:t>
            </w:r>
          </w:p>
        </w:tc>
      </w:tr>
      <w:tr w:rsidR="000A2337" w:rsidRPr="00750E3C" w:rsidTr="00161AB3">
        <w:tc>
          <w:tcPr>
            <w:tcW w:w="10188" w:type="dxa"/>
            <w:gridSpan w:val="4"/>
            <w:vAlign w:val="center"/>
          </w:tcPr>
          <w:p w:rsidR="000A2337" w:rsidRPr="00750E3C" w:rsidRDefault="000A2337" w:rsidP="00DB0487">
            <w:pPr>
              <w:pStyle w:val="Header"/>
              <w:tabs>
                <w:tab w:val="left" w:pos="284"/>
              </w:tabs>
              <w:rPr>
                <w:rFonts w:cs="Arial"/>
                <w:b/>
                <w:bCs/>
                <w:sz w:val="22"/>
              </w:rPr>
            </w:pPr>
            <w:r w:rsidRPr="00750E3C">
              <w:rPr>
                <w:rFonts w:cs="Arial"/>
                <w:b/>
                <w:bCs/>
                <w:sz w:val="22"/>
              </w:rPr>
              <w:t>4.1. Terapijske indikacije</w:t>
            </w:r>
          </w:p>
        </w:tc>
      </w:tr>
      <w:tr w:rsidR="000A2337" w:rsidRPr="009D18B1" w:rsidTr="00161AB3">
        <w:trPr>
          <w:trHeight w:val="1145"/>
        </w:trPr>
        <w:tc>
          <w:tcPr>
            <w:tcW w:w="10188" w:type="dxa"/>
            <w:gridSpan w:val="4"/>
            <w:vAlign w:val="center"/>
          </w:tcPr>
          <w:p w:rsidR="000A2337" w:rsidRPr="003A00BF" w:rsidRDefault="000A2337" w:rsidP="00DB0487">
            <w:pPr>
              <w:pStyle w:val="Header"/>
              <w:tabs>
                <w:tab w:val="left" w:pos="284"/>
              </w:tabs>
              <w:jc w:val="both"/>
              <w:rPr>
                <w:b/>
                <w:bCs/>
                <w:sz w:val="22"/>
                <w:lang w:val="pt-BR"/>
              </w:rPr>
            </w:pPr>
          </w:p>
          <w:p w:rsidR="000A2337" w:rsidRDefault="000A2337" w:rsidP="00DB0487">
            <w:pPr>
              <w:pStyle w:val="Header"/>
              <w:tabs>
                <w:tab w:val="left" w:pos="284"/>
              </w:tabs>
              <w:jc w:val="both"/>
              <w:rPr>
                <w:bCs/>
                <w:sz w:val="22"/>
                <w:szCs w:val="22"/>
                <w:lang w:val="pt-BR"/>
              </w:rPr>
            </w:pPr>
            <w:bookmarkStart w:id="0" w:name="OLE_LINK1"/>
            <w:r>
              <w:rPr>
                <w:bCs/>
                <w:sz w:val="22"/>
                <w:lang w:val="pt-BR"/>
              </w:rPr>
              <w:t>Imatinib</w:t>
            </w:r>
            <w:r w:rsidRPr="005737EE">
              <w:rPr>
                <w:bCs/>
                <w:sz w:val="22"/>
                <w:szCs w:val="22"/>
                <w:vertAlign w:val="superscript"/>
                <w:lang w:val="pt-BR"/>
              </w:rPr>
              <w:t xml:space="preserve"> </w:t>
            </w:r>
            <w:r>
              <w:rPr>
                <w:bCs/>
                <w:sz w:val="22"/>
                <w:szCs w:val="22"/>
                <w:lang w:val="pt-BR"/>
              </w:rPr>
              <w:t>Teva</w:t>
            </w:r>
            <w:r w:rsidRPr="005737EE">
              <w:rPr>
                <w:bCs/>
                <w:sz w:val="22"/>
                <w:szCs w:val="22"/>
                <w:vertAlign w:val="superscript"/>
                <w:lang w:val="pt-BR"/>
              </w:rPr>
              <w:t xml:space="preserve"> </w:t>
            </w:r>
            <w:r w:rsidRPr="005737EE">
              <w:rPr>
                <w:bCs/>
                <w:sz w:val="22"/>
                <w:szCs w:val="22"/>
                <w:lang w:val="pt-BR"/>
              </w:rPr>
              <w:t>je indikovan</w:t>
            </w:r>
            <w:r w:rsidRPr="003A00BF">
              <w:rPr>
                <w:bCs/>
                <w:sz w:val="22"/>
                <w:szCs w:val="22"/>
                <w:lang w:val="pt-BR"/>
              </w:rPr>
              <w:t xml:space="preserve"> </w:t>
            </w:r>
            <w:r>
              <w:rPr>
                <w:bCs/>
                <w:sz w:val="22"/>
                <w:szCs w:val="22"/>
                <w:lang w:val="pt-BR"/>
              </w:rPr>
              <w:t>za liječenje</w:t>
            </w:r>
            <w:r w:rsidRPr="003A00BF">
              <w:rPr>
                <w:bCs/>
                <w:sz w:val="22"/>
                <w:szCs w:val="22"/>
                <w:lang w:val="pt-BR"/>
              </w:rPr>
              <w:t xml:space="preserve">: </w:t>
            </w:r>
          </w:p>
          <w:p w:rsidR="000A2337" w:rsidRPr="009D18B1" w:rsidRDefault="000A2337" w:rsidP="00161AB3">
            <w:pPr>
              <w:pStyle w:val="Header"/>
              <w:numPr>
                <w:ilvl w:val="0"/>
                <w:numId w:val="3"/>
              </w:numPr>
              <w:tabs>
                <w:tab w:val="left" w:pos="284"/>
              </w:tabs>
              <w:ind w:left="284" w:hanging="284"/>
              <w:jc w:val="both"/>
              <w:rPr>
                <w:bCs/>
                <w:sz w:val="22"/>
                <w:szCs w:val="22"/>
                <w:lang w:val="pt-BR"/>
              </w:rPr>
            </w:pPr>
            <w:r>
              <w:rPr>
                <w:bCs/>
                <w:sz w:val="22"/>
                <w:szCs w:val="22"/>
                <w:lang w:val="pt-BR"/>
              </w:rPr>
              <w:t>P</w:t>
            </w:r>
            <w:r w:rsidRPr="009D18B1">
              <w:rPr>
                <w:bCs/>
                <w:sz w:val="22"/>
                <w:szCs w:val="22"/>
                <w:lang w:val="pt-BR"/>
              </w:rPr>
              <w:t>edijatrijskih pacijenata sa novodi</w:t>
            </w:r>
            <w:r>
              <w:rPr>
                <w:bCs/>
                <w:sz w:val="22"/>
                <w:szCs w:val="22"/>
                <w:lang w:val="pt-BR"/>
              </w:rPr>
              <w:t>jagnosti</w:t>
            </w:r>
            <w:r w:rsidRPr="009D18B1">
              <w:rPr>
                <w:bCs/>
                <w:sz w:val="22"/>
                <w:szCs w:val="22"/>
                <w:lang w:val="pt-BR"/>
              </w:rPr>
              <w:t xml:space="preserve">kovanom </w:t>
            </w:r>
            <w:r>
              <w:rPr>
                <w:bCs/>
                <w:sz w:val="22"/>
                <w:szCs w:val="22"/>
                <w:lang w:val="pt-BR"/>
              </w:rPr>
              <w:t>hroničnom mijeloidnom leukemijom (</w:t>
            </w:r>
            <w:r w:rsidRPr="009D18B1">
              <w:rPr>
                <w:bCs/>
                <w:sz w:val="22"/>
                <w:szCs w:val="22"/>
                <w:lang w:val="pt-BR"/>
              </w:rPr>
              <w:t>CML</w:t>
            </w:r>
            <w:r>
              <w:rPr>
                <w:bCs/>
                <w:sz w:val="22"/>
                <w:szCs w:val="22"/>
                <w:lang w:val="pt-BR"/>
              </w:rPr>
              <w:t>-chronic myeloid leukaemia) sa pozitivnim Philadelphia (Ph+)</w:t>
            </w:r>
            <w:r w:rsidRPr="009D18B1">
              <w:rPr>
                <w:bCs/>
                <w:sz w:val="22"/>
                <w:szCs w:val="22"/>
                <w:lang w:val="pt-BR"/>
              </w:rPr>
              <w:t xml:space="preserve"> hromozom</w:t>
            </w:r>
            <w:r>
              <w:rPr>
                <w:bCs/>
                <w:sz w:val="22"/>
                <w:szCs w:val="22"/>
                <w:lang w:val="pt-BR"/>
              </w:rPr>
              <w:t>om</w:t>
            </w:r>
            <w:r w:rsidRPr="009D18B1">
              <w:rPr>
                <w:bCs/>
                <w:sz w:val="22"/>
                <w:szCs w:val="22"/>
                <w:lang w:val="pt-BR"/>
              </w:rPr>
              <w:t xml:space="preserve"> (bcr-abl)</w:t>
            </w:r>
            <w:r>
              <w:rPr>
                <w:bCs/>
                <w:sz w:val="22"/>
                <w:szCs w:val="22"/>
                <w:lang w:val="pt-BR"/>
              </w:rPr>
              <w:t>, kod kojih se</w:t>
            </w:r>
            <w:r w:rsidRPr="009D18B1">
              <w:rPr>
                <w:bCs/>
                <w:sz w:val="22"/>
                <w:szCs w:val="22"/>
                <w:lang w:val="pt-BR"/>
              </w:rPr>
              <w:t xml:space="preserve"> transplantacija ko</w:t>
            </w:r>
            <w:r>
              <w:rPr>
                <w:bCs/>
                <w:sz w:val="22"/>
                <w:szCs w:val="22"/>
                <w:lang w:val="pt-BR"/>
              </w:rPr>
              <w:t>st</w:t>
            </w:r>
            <w:r w:rsidRPr="009D18B1">
              <w:rPr>
                <w:bCs/>
                <w:sz w:val="22"/>
                <w:szCs w:val="22"/>
                <w:lang w:val="pt-BR"/>
              </w:rPr>
              <w:t xml:space="preserve">ne srži ne smatra prvom linijom terapije </w:t>
            </w:r>
          </w:p>
          <w:p w:rsidR="000A2337" w:rsidRDefault="000A2337" w:rsidP="00161AB3">
            <w:pPr>
              <w:pStyle w:val="Header"/>
              <w:numPr>
                <w:ilvl w:val="0"/>
                <w:numId w:val="3"/>
              </w:numPr>
              <w:tabs>
                <w:tab w:val="left" w:pos="284"/>
              </w:tabs>
              <w:ind w:left="284" w:hanging="284"/>
              <w:jc w:val="both"/>
              <w:rPr>
                <w:bCs/>
                <w:sz w:val="22"/>
                <w:szCs w:val="22"/>
                <w:lang w:val="pt-BR"/>
              </w:rPr>
            </w:pPr>
            <w:r>
              <w:rPr>
                <w:bCs/>
                <w:sz w:val="22"/>
                <w:szCs w:val="22"/>
                <w:lang w:val="pt-BR"/>
              </w:rPr>
              <w:t>P</w:t>
            </w:r>
            <w:r w:rsidRPr="009D18B1">
              <w:rPr>
                <w:bCs/>
                <w:sz w:val="22"/>
                <w:szCs w:val="22"/>
                <w:lang w:val="pt-BR"/>
              </w:rPr>
              <w:t>edijatrijskih pacijenata sa Ph +CML</w:t>
            </w:r>
            <w:r>
              <w:rPr>
                <w:bCs/>
                <w:sz w:val="22"/>
                <w:szCs w:val="22"/>
                <w:lang w:val="pt-BR"/>
              </w:rPr>
              <w:t>-om</w:t>
            </w:r>
            <w:r w:rsidRPr="009D18B1">
              <w:rPr>
                <w:bCs/>
                <w:sz w:val="22"/>
                <w:szCs w:val="22"/>
                <w:lang w:val="pt-BR"/>
              </w:rPr>
              <w:t xml:space="preserve"> u hroničnoj fazi nakon neusp</w:t>
            </w:r>
            <w:r>
              <w:rPr>
                <w:bCs/>
                <w:sz w:val="22"/>
                <w:szCs w:val="22"/>
                <w:lang w:val="pt-BR"/>
              </w:rPr>
              <w:t>j</w:t>
            </w:r>
            <w:r w:rsidRPr="009D18B1">
              <w:rPr>
                <w:bCs/>
                <w:sz w:val="22"/>
                <w:szCs w:val="22"/>
                <w:lang w:val="pt-BR"/>
              </w:rPr>
              <w:t>eha terapije interferon</w:t>
            </w:r>
            <w:r>
              <w:rPr>
                <w:bCs/>
                <w:sz w:val="22"/>
                <w:szCs w:val="22"/>
                <w:lang w:val="pt-BR"/>
              </w:rPr>
              <w:t xml:space="preserve">om-alfa, ili u </w:t>
            </w:r>
            <w:r w:rsidRPr="009D18B1">
              <w:rPr>
                <w:bCs/>
                <w:sz w:val="22"/>
                <w:szCs w:val="22"/>
                <w:lang w:val="pt-BR"/>
              </w:rPr>
              <w:t xml:space="preserve">ubrzanoj fazi ili blastnoj krizi  </w:t>
            </w:r>
          </w:p>
          <w:p w:rsidR="000A2337" w:rsidRDefault="000A2337" w:rsidP="00161AB3">
            <w:pPr>
              <w:pStyle w:val="Header"/>
              <w:numPr>
                <w:ilvl w:val="0"/>
                <w:numId w:val="3"/>
              </w:numPr>
              <w:tabs>
                <w:tab w:val="left" w:pos="284"/>
              </w:tabs>
              <w:ind w:left="284" w:hanging="284"/>
              <w:jc w:val="both"/>
              <w:rPr>
                <w:bCs/>
                <w:sz w:val="22"/>
                <w:szCs w:val="22"/>
                <w:lang w:val="pt-BR"/>
              </w:rPr>
            </w:pPr>
            <w:r>
              <w:rPr>
                <w:bCs/>
                <w:sz w:val="22"/>
                <w:szCs w:val="22"/>
                <w:lang w:val="pt-BR"/>
              </w:rPr>
              <w:t>Odra</w:t>
            </w:r>
            <w:r w:rsidRPr="009D18B1">
              <w:rPr>
                <w:bCs/>
                <w:sz w:val="22"/>
                <w:szCs w:val="22"/>
                <w:lang w:val="pt-BR"/>
              </w:rPr>
              <w:t>s</w:t>
            </w:r>
            <w:r>
              <w:rPr>
                <w:bCs/>
                <w:sz w:val="22"/>
                <w:szCs w:val="22"/>
                <w:lang w:val="pt-BR"/>
              </w:rPr>
              <w:t>l</w:t>
            </w:r>
            <w:r w:rsidRPr="009D18B1">
              <w:rPr>
                <w:bCs/>
                <w:sz w:val="22"/>
                <w:szCs w:val="22"/>
                <w:lang w:val="pt-BR"/>
              </w:rPr>
              <w:t>ih pacijenata sa Ph +CML</w:t>
            </w:r>
            <w:r>
              <w:rPr>
                <w:bCs/>
                <w:sz w:val="22"/>
                <w:szCs w:val="22"/>
                <w:lang w:val="pt-BR"/>
              </w:rPr>
              <w:t>-om</w:t>
            </w:r>
            <w:r w:rsidRPr="009D18B1">
              <w:rPr>
                <w:bCs/>
                <w:sz w:val="22"/>
                <w:szCs w:val="22"/>
                <w:lang w:val="pt-BR"/>
              </w:rPr>
              <w:t xml:space="preserve"> u blastnoj krizi  </w:t>
            </w:r>
          </w:p>
          <w:p w:rsidR="000A2337" w:rsidRPr="00161AB3" w:rsidRDefault="000A2337" w:rsidP="00161AB3">
            <w:pPr>
              <w:pStyle w:val="Header"/>
              <w:numPr>
                <w:ilvl w:val="0"/>
                <w:numId w:val="3"/>
              </w:numPr>
              <w:tabs>
                <w:tab w:val="left" w:pos="284"/>
              </w:tabs>
              <w:ind w:left="284" w:hanging="284"/>
              <w:jc w:val="both"/>
              <w:rPr>
                <w:bCs/>
                <w:sz w:val="22"/>
                <w:szCs w:val="22"/>
                <w:lang w:val="pt-BR"/>
              </w:rPr>
            </w:pPr>
            <w:r w:rsidRPr="00161AB3">
              <w:rPr>
                <w:bCs/>
                <w:sz w:val="22"/>
                <w:szCs w:val="22"/>
                <w:lang w:val="pt-BR"/>
              </w:rPr>
              <w:t>Odraslih i pedijatrijskih pacijenata sa novodijagnostikovanom akutnom limfoblastnom leukemijom sa pozitivnim Philadelphia hromozomom (Ph+ ALL –</w:t>
            </w:r>
            <w:r w:rsidR="00161AB3">
              <w:rPr>
                <w:bCs/>
                <w:sz w:val="22"/>
                <w:szCs w:val="22"/>
                <w:lang w:val="pt-BR"/>
              </w:rPr>
              <w:t xml:space="preserve"> </w:t>
            </w:r>
            <w:r w:rsidRPr="00161AB3">
              <w:rPr>
                <w:bCs/>
                <w:sz w:val="22"/>
                <w:szCs w:val="22"/>
                <w:lang w:val="pt-BR"/>
              </w:rPr>
              <w:t xml:space="preserve">acute lymphoblastic leukaemia) zajedno sa hemioterapijom </w:t>
            </w:r>
          </w:p>
          <w:p w:rsidR="000A2337" w:rsidRPr="00161AB3" w:rsidRDefault="000A2337" w:rsidP="00161AB3">
            <w:pPr>
              <w:pStyle w:val="Header"/>
              <w:numPr>
                <w:ilvl w:val="0"/>
                <w:numId w:val="3"/>
              </w:numPr>
              <w:tabs>
                <w:tab w:val="left" w:pos="284"/>
              </w:tabs>
              <w:ind w:left="284" w:hanging="284"/>
              <w:jc w:val="both"/>
              <w:rPr>
                <w:bCs/>
                <w:sz w:val="22"/>
                <w:szCs w:val="22"/>
                <w:lang w:val="pt-BR"/>
              </w:rPr>
            </w:pPr>
            <w:r w:rsidRPr="00161AB3">
              <w:rPr>
                <w:bCs/>
                <w:sz w:val="22"/>
                <w:szCs w:val="22"/>
                <w:lang w:val="pt-BR"/>
              </w:rPr>
              <w:t>Odraslih pacijenata sa recidivirajućom ili refraktarnom Ph+ALL kao monoterapija</w:t>
            </w:r>
          </w:p>
          <w:p w:rsidR="000A2337" w:rsidRPr="00161AB3" w:rsidRDefault="000A2337" w:rsidP="00161AB3">
            <w:pPr>
              <w:pStyle w:val="Header"/>
              <w:numPr>
                <w:ilvl w:val="0"/>
                <w:numId w:val="3"/>
              </w:numPr>
              <w:tabs>
                <w:tab w:val="left" w:pos="284"/>
              </w:tabs>
              <w:ind w:left="284" w:hanging="284"/>
              <w:jc w:val="both"/>
              <w:rPr>
                <w:bCs/>
                <w:sz w:val="22"/>
                <w:szCs w:val="22"/>
                <w:lang w:val="pt-BR"/>
              </w:rPr>
            </w:pPr>
            <w:r w:rsidRPr="00161AB3">
              <w:rPr>
                <w:bCs/>
                <w:sz w:val="22"/>
                <w:szCs w:val="22"/>
                <w:lang w:val="pt-BR"/>
              </w:rPr>
              <w:t>Odraslih pacijenata sa mijelodisplastičnom/mijeloproliferativnom bolešću (MDS/MPD myelodisplastic/myeloproliferative diseases) povezanom sa preraspodjelom gena za receptor trombocitnog faktora rasta (PDGFR-platelet derived growth factor receptor)</w:t>
            </w:r>
          </w:p>
          <w:p w:rsidR="000A2337" w:rsidRPr="00161AB3" w:rsidRDefault="000A2337" w:rsidP="00161AB3">
            <w:pPr>
              <w:pStyle w:val="Header"/>
              <w:numPr>
                <w:ilvl w:val="0"/>
                <w:numId w:val="3"/>
              </w:numPr>
              <w:tabs>
                <w:tab w:val="left" w:pos="284"/>
              </w:tabs>
              <w:ind w:left="284" w:hanging="284"/>
              <w:jc w:val="both"/>
              <w:rPr>
                <w:bCs/>
                <w:sz w:val="22"/>
                <w:szCs w:val="22"/>
                <w:lang w:val="pt-BR"/>
              </w:rPr>
            </w:pPr>
            <w:r w:rsidRPr="00161AB3">
              <w:rPr>
                <w:bCs/>
                <w:sz w:val="22"/>
                <w:szCs w:val="22"/>
                <w:lang w:val="pt-BR"/>
              </w:rPr>
              <w:t>Odraslih pacijenata sa uznapredovalim hipereozinofilnim sindromom (HES-hypereosinofilic syndrome)  i/ili hroničnom eozinofilnom leukemijom (CEL-chronic eosinophilic leukaemia) sa FIP1L1-PDGFRalfa preraspodjelom.</w:t>
            </w:r>
          </w:p>
          <w:p w:rsidR="000A2337" w:rsidRDefault="000A2337" w:rsidP="00DB0487">
            <w:pPr>
              <w:pStyle w:val="Header"/>
              <w:tabs>
                <w:tab w:val="left" w:pos="284"/>
              </w:tabs>
              <w:jc w:val="both"/>
              <w:rPr>
                <w:sz w:val="22"/>
                <w:lang w:val="pt-BR"/>
              </w:rPr>
            </w:pPr>
          </w:p>
          <w:p w:rsidR="000A2337" w:rsidRDefault="000A2337" w:rsidP="00DB0487">
            <w:pPr>
              <w:pStyle w:val="Header"/>
              <w:tabs>
                <w:tab w:val="left" w:pos="284"/>
              </w:tabs>
              <w:jc w:val="both"/>
              <w:rPr>
                <w:bCs/>
                <w:sz w:val="22"/>
                <w:szCs w:val="22"/>
                <w:lang w:val="da-DK"/>
              </w:rPr>
            </w:pPr>
            <w:r>
              <w:rPr>
                <w:sz w:val="22"/>
                <w:lang w:val="pt-BR"/>
              </w:rPr>
              <w:t>Efekat lijeka</w:t>
            </w:r>
            <w:r>
              <w:rPr>
                <w:bCs/>
                <w:sz w:val="22"/>
                <w:szCs w:val="22"/>
                <w:lang w:val="da-DK"/>
              </w:rPr>
              <w:t xml:space="preserve"> imatiniba na ishod transplantacije kostne srži nije utvrđen.</w:t>
            </w:r>
          </w:p>
          <w:p w:rsidR="000A2337" w:rsidRDefault="000A2337" w:rsidP="00DB0487">
            <w:pPr>
              <w:pStyle w:val="Header"/>
              <w:tabs>
                <w:tab w:val="left" w:pos="284"/>
              </w:tabs>
              <w:jc w:val="both"/>
              <w:rPr>
                <w:b/>
                <w:bCs/>
                <w:sz w:val="22"/>
                <w:lang w:val="pt-BR"/>
              </w:rPr>
            </w:pPr>
          </w:p>
          <w:p w:rsidR="000A2337" w:rsidRPr="00AA60BB" w:rsidRDefault="000A2337" w:rsidP="00DB0487">
            <w:pPr>
              <w:pStyle w:val="Header"/>
              <w:tabs>
                <w:tab w:val="left" w:pos="284"/>
              </w:tabs>
              <w:jc w:val="both"/>
              <w:rPr>
                <w:bCs/>
                <w:sz w:val="22"/>
                <w:szCs w:val="22"/>
                <w:lang w:val="da-DK"/>
              </w:rPr>
            </w:pPr>
            <w:r>
              <w:rPr>
                <w:bCs/>
                <w:sz w:val="22"/>
                <w:lang w:val="pt-BR"/>
              </w:rPr>
              <w:t>Imatinib</w:t>
            </w:r>
            <w:r w:rsidRPr="00AA60BB">
              <w:rPr>
                <w:bCs/>
                <w:sz w:val="22"/>
                <w:szCs w:val="22"/>
                <w:vertAlign w:val="superscript"/>
                <w:lang w:val="pt-BR"/>
              </w:rPr>
              <w:t xml:space="preserve"> </w:t>
            </w:r>
            <w:r>
              <w:rPr>
                <w:bCs/>
                <w:sz w:val="22"/>
                <w:szCs w:val="22"/>
                <w:lang w:val="pt-BR"/>
              </w:rPr>
              <w:t xml:space="preserve">Teva </w:t>
            </w:r>
            <w:r w:rsidRPr="00AA60BB">
              <w:rPr>
                <w:bCs/>
                <w:sz w:val="22"/>
                <w:szCs w:val="22"/>
                <w:vertAlign w:val="superscript"/>
                <w:lang w:val="pt-BR"/>
              </w:rPr>
              <w:t xml:space="preserve"> </w:t>
            </w:r>
            <w:r w:rsidRPr="00AA60BB">
              <w:rPr>
                <w:bCs/>
                <w:sz w:val="22"/>
                <w:szCs w:val="22"/>
                <w:lang w:val="pt-BR"/>
              </w:rPr>
              <w:t xml:space="preserve">je takođe indikovan </w:t>
            </w:r>
            <w:r>
              <w:rPr>
                <w:bCs/>
                <w:sz w:val="22"/>
                <w:szCs w:val="22"/>
                <w:lang w:val="pt-BR"/>
              </w:rPr>
              <w:t>za</w:t>
            </w:r>
            <w:r w:rsidRPr="00AA60BB">
              <w:rPr>
                <w:bCs/>
                <w:sz w:val="22"/>
                <w:szCs w:val="22"/>
                <w:lang w:val="pt-BR"/>
              </w:rPr>
              <w:t>:</w:t>
            </w:r>
          </w:p>
          <w:p w:rsidR="000A2337" w:rsidRDefault="000A2337" w:rsidP="00161AB3">
            <w:pPr>
              <w:pStyle w:val="Header"/>
              <w:numPr>
                <w:ilvl w:val="0"/>
                <w:numId w:val="3"/>
              </w:numPr>
              <w:tabs>
                <w:tab w:val="left" w:pos="284"/>
              </w:tabs>
              <w:ind w:left="284" w:hanging="284"/>
              <w:jc w:val="both"/>
              <w:rPr>
                <w:sz w:val="22"/>
                <w:lang w:val="pt-BR"/>
              </w:rPr>
            </w:pPr>
            <w:r>
              <w:rPr>
                <w:sz w:val="22"/>
                <w:lang w:val="pt-BR"/>
              </w:rPr>
              <w:t>Liječenje odraslih pacijenata</w:t>
            </w:r>
            <w:r w:rsidRPr="003A00BF">
              <w:rPr>
                <w:sz w:val="22"/>
                <w:lang w:val="pt-BR"/>
              </w:rPr>
              <w:t xml:space="preserve"> sa </w:t>
            </w:r>
            <w:r>
              <w:rPr>
                <w:sz w:val="22"/>
                <w:lang w:val="pt-BR"/>
              </w:rPr>
              <w:t>inoperabilnim dermatofibrosarkomom protuberans</w:t>
            </w:r>
            <w:r w:rsidRPr="003A00BF">
              <w:rPr>
                <w:sz w:val="22"/>
                <w:lang w:val="pt-BR"/>
              </w:rPr>
              <w:t xml:space="preserve"> (DFSP</w:t>
            </w:r>
            <w:r>
              <w:rPr>
                <w:sz w:val="22"/>
                <w:lang w:val="pt-BR"/>
              </w:rPr>
              <w:t>-dermatofibrosarcoma protuberans</w:t>
            </w:r>
            <w:r w:rsidRPr="003A00BF">
              <w:rPr>
                <w:sz w:val="22"/>
                <w:lang w:val="pt-BR"/>
              </w:rPr>
              <w:t>)</w:t>
            </w:r>
            <w:r>
              <w:rPr>
                <w:sz w:val="22"/>
                <w:lang w:val="pt-BR"/>
              </w:rPr>
              <w:t xml:space="preserve"> i odraslih pacijenata sa rekurentnim i /ili metastatskim DFSP-om koji nijesu podobni za operativni zahvat.</w:t>
            </w:r>
          </w:p>
          <w:p w:rsidR="000A2337" w:rsidRDefault="000A2337" w:rsidP="00DB0487">
            <w:pPr>
              <w:pStyle w:val="Header"/>
              <w:tabs>
                <w:tab w:val="left" w:pos="284"/>
              </w:tabs>
              <w:jc w:val="both"/>
              <w:rPr>
                <w:color w:val="000000"/>
                <w:sz w:val="22"/>
                <w:szCs w:val="22"/>
                <w:lang w:val="sr-Latn-CS"/>
              </w:rPr>
            </w:pPr>
            <w:r>
              <w:rPr>
                <w:sz w:val="22"/>
                <w:lang w:val="pt-BR"/>
              </w:rPr>
              <w:lastRenderedPageBreak/>
              <w:t>Efikasnost</w:t>
            </w:r>
            <w:r w:rsidRPr="009D18B1">
              <w:rPr>
                <w:sz w:val="22"/>
                <w:lang w:val="pt-BR"/>
              </w:rPr>
              <w:t xml:space="preserve"> </w:t>
            </w:r>
            <w:r>
              <w:rPr>
                <w:bCs/>
                <w:sz w:val="22"/>
                <w:szCs w:val="22"/>
                <w:lang w:val="da-DK"/>
              </w:rPr>
              <w:t>imatiniba</w:t>
            </w:r>
            <w:r>
              <w:rPr>
                <w:bCs/>
                <w:sz w:val="22"/>
                <w:szCs w:val="22"/>
                <w:vertAlign w:val="superscript"/>
                <w:lang w:val="da-DK"/>
              </w:rPr>
              <w:t xml:space="preserve"> </w:t>
            </w:r>
            <w:r>
              <w:rPr>
                <w:bCs/>
                <w:sz w:val="22"/>
                <w:szCs w:val="22"/>
                <w:lang w:val="da-DK"/>
              </w:rPr>
              <w:t>k</w:t>
            </w:r>
            <w:r w:rsidRPr="009D18B1">
              <w:rPr>
                <w:sz w:val="22"/>
                <w:lang w:val="pt-BR"/>
              </w:rPr>
              <w:t>od odrasl</w:t>
            </w:r>
            <w:r>
              <w:rPr>
                <w:sz w:val="22"/>
                <w:lang w:val="pt-BR"/>
              </w:rPr>
              <w:t xml:space="preserve">ih i pedijatrijskih pacijenata </w:t>
            </w:r>
            <w:r w:rsidRPr="009D18B1">
              <w:rPr>
                <w:bCs/>
                <w:sz w:val="22"/>
                <w:szCs w:val="22"/>
                <w:lang w:val="pt-BR"/>
              </w:rPr>
              <w:t xml:space="preserve">bazira se na </w:t>
            </w:r>
            <w:r>
              <w:rPr>
                <w:bCs/>
                <w:sz w:val="22"/>
                <w:szCs w:val="22"/>
                <w:lang w:val="pt-BR"/>
              </w:rPr>
              <w:t>ukupnim hematološkim i citogenetskim stopama</w:t>
            </w:r>
            <w:r w:rsidRPr="009D18B1">
              <w:rPr>
                <w:bCs/>
                <w:sz w:val="22"/>
                <w:szCs w:val="22"/>
                <w:lang w:val="pt-BR"/>
              </w:rPr>
              <w:t xml:space="preserve"> odgovora i preživljavanju bez progresije bolesti </w:t>
            </w:r>
            <w:r>
              <w:rPr>
                <w:bCs/>
                <w:sz w:val="22"/>
                <w:szCs w:val="22"/>
                <w:lang w:val="pt-BR"/>
              </w:rPr>
              <w:t>kod pacijenata sa</w:t>
            </w:r>
            <w:r w:rsidRPr="009D18B1">
              <w:rPr>
                <w:bCs/>
                <w:sz w:val="22"/>
                <w:szCs w:val="22"/>
                <w:lang w:val="pt-BR"/>
              </w:rPr>
              <w:t xml:space="preserve"> CML</w:t>
            </w:r>
            <w:r>
              <w:rPr>
                <w:bCs/>
                <w:sz w:val="22"/>
                <w:szCs w:val="22"/>
                <w:lang w:val="pt-BR"/>
              </w:rPr>
              <w:t>-om, na hematološkim i citogenetskim</w:t>
            </w:r>
            <w:r w:rsidRPr="009D18B1">
              <w:rPr>
                <w:bCs/>
                <w:sz w:val="22"/>
                <w:szCs w:val="22"/>
                <w:lang w:val="pt-BR"/>
              </w:rPr>
              <w:t xml:space="preserve"> </w:t>
            </w:r>
            <w:r>
              <w:rPr>
                <w:bCs/>
                <w:sz w:val="22"/>
                <w:szCs w:val="22"/>
                <w:lang w:val="pt-BR"/>
              </w:rPr>
              <w:t>stopama</w:t>
            </w:r>
            <w:r w:rsidRPr="009D18B1">
              <w:rPr>
                <w:bCs/>
                <w:sz w:val="22"/>
                <w:szCs w:val="22"/>
                <w:lang w:val="pt-BR"/>
              </w:rPr>
              <w:t xml:space="preserve"> odgovora </w:t>
            </w:r>
            <w:r>
              <w:rPr>
                <w:bCs/>
                <w:sz w:val="22"/>
                <w:szCs w:val="22"/>
                <w:lang w:val="pt-BR"/>
              </w:rPr>
              <w:t>kod pacijenata sa</w:t>
            </w:r>
            <w:r w:rsidRPr="009D18B1">
              <w:rPr>
                <w:bCs/>
                <w:sz w:val="22"/>
                <w:szCs w:val="22"/>
                <w:lang w:val="pt-BR"/>
              </w:rPr>
              <w:t xml:space="preserve">  </w:t>
            </w:r>
            <w:r>
              <w:rPr>
                <w:sz w:val="22"/>
                <w:lang w:val="pt-BR"/>
              </w:rPr>
              <w:t>Ph+ALL i MDS/MPD, na hematološkim</w:t>
            </w:r>
            <w:r w:rsidRPr="009D18B1">
              <w:rPr>
                <w:sz w:val="22"/>
                <w:lang w:val="pt-BR"/>
              </w:rPr>
              <w:t xml:space="preserve"> </w:t>
            </w:r>
            <w:r>
              <w:rPr>
                <w:sz w:val="22"/>
                <w:lang w:val="pt-BR"/>
              </w:rPr>
              <w:t>stopama</w:t>
            </w:r>
            <w:r w:rsidRPr="009D18B1">
              <w:rPr>
                <w:sz w:val="22"/>
                <w:lang w:val="pt-BR"/>
              </w:rPr>
              <w:t xml:space="preserve"> odgovora</w:t>
            </w:r>
            <w:r>
              <w:rPr>
                <w:sz w:val="22"/>
                <w:lang w:val="pt-BR"/>
              </w:rPr>
              <w:t xml:space="preserve"> kod pacijenata sa </w:t>
            </w:r>
            <w:r w:rsidRPr="009D18B1">
              <w:rPr>
                <w:sz w:val="22"/>
                <w:lang w:val="pt-BR"/>
              </w:rPr>
              <w:t>HES/CEL</w:t>
            </w:r>
            <w:r>
              <w:rPr>
                <w:sz w:val="22"/>
                <w:lang w:val="pt-BR"/>
              </w:rPr>
              <w:t>-om, na objektivnim</w:t>
            </w:r>
            <w:r w:rsidRPr="009D18B1">
              <w:rPr>
                <w:sz w:val="22"/>
                <w:lang w:val="pt-BR"/>
              </w:rPr>
              <w:t xml:space="preserve"> </w:t>
            </w:r>
            <w:r>
              <w:rPr>
                <w:sz w:val="22"/>
                <w:lang w:val="pt-BR"/>
              </w:rPr>
              <w:t xml:space="preserve">stopama </w:t>
            </w:r>
            <w:r w:rsidRPr="009D18B1">
              <w:rPr>
                <w:sz w:val="22"/>
                <w:lang w:val="pt-BR"/>
              </w:rPr>
              <w:t xml:space="preserve">odgovora kod odraslih pacijenata </w:t>
            </w:r>
            <w:r>
              <w:rPr>
                <w:sz w:val="22"/>
                <w:lang w:val="pt-BR"/>
              </w:rPr>
              <w:t xml:space="preserve">sa </w:t>
            </w:r>
            <w:r w:rsidRPr="009D18B1">
              <w:rPr>
                <w:sz w:val="22"/>
                <w:lang w:val="pt-BR"/>
              </w:rPr>
              <w:t>DFSP</w:t>
            </w:r>
            <w:r>
              <w:rPr>
                <w:sz w:val="22"/>
                <w:lang w:val="pt-BR"/>
              </w:rPr>
              <w:t>-om</w:t>
            </w:r>
            <w:r w:rsidRPr="00407BA6">
              <w:rPr>
                <w:sz w:val="22"/>
                <w:lang w:val="pt-BR"/>
              </w:rPr>
              <w:t>.</w:t>
            </w:r>
            <w:r>
              <w:rPr>
                <w:sz w:val="22"/>
                <w:lang w:val="pt-BR"/>
              </w:rPr>
              <w:t xml:space="preserve"> </w:t>
            </w:r>
            <w:r>
              <w:rPr>
                <w:color w:val="000000"/>
                <w:sz w:val="22"/>
                <w:szCs w:val="22"/>
                <w:lang w:val="sr-Latn-CS"/>
              </w:rPr>
              <w:t xml:space="preserve">Iskustvo sa </w:t>
            </w:r>
            <w:r>
              <w:rPr>
                <w:bCs/>
                <w:sz w:val="22"/>
                <w:szCs w:val="22"/>
                <w:lang w:val="da-DK"/>
              </w:rPr>
              <w:t>imatinibom</w:t>
            </w:r>
            <w:r>
              <w:rPr>
                <w:bCs/>
                <w:sz w:val="22"/>
                <w:szCs w:val="22"/>
                <w:vertAlign w:val="superscript"/>
                <w:lang w:val="da-DK"/>
              </w:rPr>
              <w:t xml:space="preserve"> </w:t>
            </w:r>
            <w:r w:rsidRPr="009D18B1">
              <w:rPr>
                <w:bCs/>
                <w:sz w:val="22"/>
                <w:szCs w:val="22"/>
                <w:vertAlign w:val="superscript"/>
                <w:lang w:val="pt-BR"/>
              </w:rPr>
              <w:t xml:space="preserve"> </w:t>
            </w:r>
            <w:r w:rsidRPr="00FA7225">
              <w:rPr>
                <w:color w:val="000000"/>
                <w:sz w:val="22"/>
                <w:szCs w:val="22"/>
                <w:lang w:val="sr-Latn-CS"/>
              </w:rPr>
              <w:t xml:space="preserve">kod </w:t>
            </w:r>
            <w:r>
              <w:rPr>
                <w:color w:val="000000"/>
                <w:sz w:val="22"/>
                <w:szCs w:val="22"/>
                <w:lang w:val="sr-Latn-CS"/>
              </w:rPr>
              <w:t>pacijenata</w:t>
            </w:r>
            <w:r w:rsidRPr="00FA7225">
              <w:rPr>
                <w:color w:val="000000"/>
                <w:sz w:val="22"/>
                <w:szCs w:val="22"/>
                <w:lang w:val="sr-Latn-CS"/>
              </w:rPr>
              <w:t xml:space="preserve"> sa </w:t>
            </w:r>
            <w:smartTag w:uri="urn:schemas-microsoft-com:office:smarttags" w:element="stockticker">
              <w:r w:rsidRPr="00FA7225">
                <w:rPr>
                  <w:color w:val="000000"/>
                  <w:sz w:val="22"/>
                  <w:szCs w:val="22"/>
                  <w:lang w:val="sr-Latn-CS"/>
                </w:rPr>
                <w:t>MDS</w:t>
              </w:r>
            </w:smartTag>
            <w:r>
              <w:rPr>
                <w:color w:val="000000"/>
                <w:sz w:val="22"/>
                <w:szCs w:val="22"/>
                <w:lang w:val="sr-Latn-CS"/>
              </w:rPr>
              <w:t xml:space="preserve">/MPD-om povezanim </w:t>
            </w:r>
            <w:r w:rsidRPr="00FA7225">
              <w:rPr>
                <w:color w:val="000000"/>
                <w:sz w:val="22"/>
                <w:szCs w:val="22"/>
                <w:lang w:val="sr-Latn-CS"/>
              </w:rPr>
              <w:t xml:space="preserve">sa </w:t>
            </w:r>
            <w:r>
              <w:rPr>
                <w:sz w:val="22"/>
                <w:lang w:val="pt-BR"/>
              </w:rPr>
              <w:t>preraspodjelom</w:t>
            </w:r>
            <w:r w:rsidRPr="009D18B1">
              <w:rPr>
                <w:sz w:val="22"/>
                <w:lang w:val="pt-BR"/>
              </w:rPr>
              <w:t xml:space="preserve"> gena</w:t>
            </w:r>
            <w:r w:rsidRPr="00FA7225">
              <w:rPr>
                <w:color w:val="000000"/>
                <w:sz w:val="22"/>
                <w:szCs w:val="22"/>
                <w:lang w:val="sr-Latn-CS"/>
              </w:rPr>
              <w:t xml:space="preserve"> </w:t>
            </w:r>
            <w:r>
              <w:rPr>
                <w:color w:val="000000"/>
                <w:sz w:val="22"/>
                <w:szCs w:val="22"/>
                <w:lang w:val="sr-Latn-CS"/>
              </w:rPr>
              <w:t xml:space="preserve">za </w:t>
            </w:r>
            <w:r w:rsidRPr="00FA7225">
              <w:rPr>
                <w:color w:val="000000"/>
                <w:sz w:val="22"/>
                <w:szCs w:val="22"/>
                <w:lang w:val="sr-Latn-CS"/>
              </w:rPr>
              <w:t xml:space="preserve">PDGFR je vrlo </w:t>
            </w:r>
            <w:r>
              <w:rPr>
                <w:color w:val="000000"/>
                <w:sz w:val="22"/>
                <w:szCs w:val="22"/>
                <w:lang w:val="sr-Latn-CS"/>
              </w:rPr>
              <w:t xml:space="preserve">ograničeno </w:t>
            </w:r>
            <w:r w:rsidRPr="009D18B1">
              <w:rPr>
                <w:sz w:val="22"/>
                <w:lang w:val="pt-BR"/>
              </w:rPr>
              <w:t>(</w:t>
            </w:r>
            <w:r>
              <w:rPr>
                <w:sz w:val="22"/>
                <w:lang w:val="pt-BR"/>
              </w:rPr>
              <w:t>vidjet</w:t>
            </w:r>
            <w:r w:rsidRPr="009D18B1">
              <w:rPr>
                <w:sz w:val="22"/>
                <w:lang w:val="pt-BR"/>
              </w:rPr>
              <w:t xml:space="preserve">i </w:t>
            </w:r>
            <w:r>
              <w:rPr>
                <w:sz w:val="22"/>
                <w:lang w:val="pt-BR"/>
              </w:rPr>
              <w:t>odjelj</w:t>
            </w:r>
            <w:r w:rsidRPr="009D18B1">
              <w:rPr>
                <w:sz w:val="22"/>
                <w:lang w:val="pt-BR"/>
              </w:rPr>
              <w:t xml:space="preserve">ak 5.1). </w:t>
            </w:r>
            <w:r>
              <w:rPr>
                <w:color w:val="000000"/>
                <w:sz w:val="22"/>
                <w:szCs w:val="22"/>
                <w:lang w:val="sr-Latn-CS"/>
              </w:rPr>
              <w:t>Ne postoje kontrolisane studije koje pokazuju</w:t>
            </w:r>
            <w:r w:rsidRPr="00FA7225">
              <w:rPr>
                <w:color w:val="000000"/>
                <w:sz w:val="22"/>
                <w:szCs w:val="22"/>
                <w:lang w:val="sr-Latn-CS"/>
              </w:rPr>
              <w:t xml:space="preserve"> kliničku korist ili povećan</w:t>
            </w:r>
            <w:r>
              <w:rPr>
                <w:color w:val="000000"/>
                <w:sz w:val="22"/>
                <w:szCs w:val="22"/>
                <w:lang w:val="sr-Latn-CS"/>
              </w:rPr>
              <w:t>o</w:t>
            </w:r>
            <w:r w:rsidRPr="00FA7225">
              <w:rPr>
                <w:color w:val="000000"/>
                <w:sz w:val="22"/>
                <w:szCs w:val="22"/>
                <w:lang w:val="sr-Latn-CS"/>
              </w:rPr>
              <w:t xml:space="preserve"> preživljavanj</w:t>
            </w:r>
            <w:r>
              <w:rPr>
                <w:color w:val="000000"/>
                <w:sz w:val="22"/>
                <w:szCs w:val="22"/>
                <w:lang w:val="sr-Latn-CS"/>
              </w:rPr>
              <w:t>e</w:t>
            </w:r>
            <w:r w:rsidRPr="00FA7225">
              <w:rPr>
                <w:color w:val="000000"/>
                <w:sz w:val="22"/>
                <w:szCs w:val="22"/>
                <w:lang w:val="sr-Latn-CS"/>
              </w:rPr>
              <w:t xml:space="preserve"> kod ovih bolesti.</w:t>
            </w:r>
            <w:bookmarkEnd w:id="0"/>
          </w:p>
          <w:p w:rsidR="000A2337" w:rsidRPr="009D18B1" w:rsidRDefault="000A2337" w:rsidP="00DB0487">
            <w:pPr>
              <w:pStyle w:val="Header"/>
              <w:tabs>
                <w:tab w:val="left" w:pos="284"/>
              </w:tabs>
              <w:jc w:val="both"/>
              <w:rPr>
                <w:rFonts w:cs="Arial"/>
                <w:sz w:val="22"/>
                <w:lang w:val="pt-BR"/>
              </w:rPr>
            </w:pPr>
          </w:p>
        </w:tc>
      </w:tr>
      <w:tr w:rsidR="000A2337" w:rsidRPr="00750E3C" w:rsidTr="00161AB3">
        <w:tc>
          <w:tcPr>
            <w:tcW w:w="10188" w:type="dxa"/>
            <w:gridSpan w:val="4"/>
            <w:vAlign w:val="center"/>
          </w:tcPr>
          <w:p w:rsidR="000A2337" w:rsidRPr="00750E3C" w:rsidRDefault="000A2337" w:rsidP="00DB0487">
            <w:pPr>
              <w:pStyle w:val="Header"/>
              <w:tabs>
                <w:tab w:val="left" w:pos="284"/>
              </w:tabs>
              <w:jc w:val="both"/>
              <w:rPr>
                <w:rFonts w:cs="Arial"/>
                <w:b/>
                <w:bCs/>
                <w:sz w:val="22"/>
              </w:rPr>
            </w:pPr>
            <w:r w:rsidRPr="00750E3C">
              <w:rPr>
                <w:rFonts w:cs="Arial"/>
                <w:b/>
                <w:bCs/>
                <w:sz w:val="22"/>
              </w:rPr>
              <w:lastRenderedPageBreak/>
              <w:t xml:space="preserve">4.2. Doziranje i način </w:t>
            </w:r>
            <w:r>
              <w:rPr>
                <w:rFonts w:cs="Arial"/>
                <w:b/>
                <w:bCs/>
                <w:sz w:val="22"/>
              </w:rPr>
              <w:t>primjen</w:t>
            </w:r>
            <w:r w:rsidRPr="00750E3C">
              <w:rPr>
                <w:rFonts w:cs="Arial"/>
                <w:b/>
                <w:bCs/>
                <w:sz w:val="22"/>
              </w:rPr>
              <w:t>e</w:t>
            </w:r>
          </w:p>
        </w:tc>
      </w:tr>
      <w:tr w:rsidR="000A2337" w:rsidRPr="00750E3C" w:rsidTr="00161AB3">
        <w:trPr>
          <w:trHeight w:val="1145"/>
        </w:trPr>
        <w:tc>
          <w:tcPr>
            <w:tcW w:w="10188" w:type="dxa"/>
            <w:gridSpan w:val="4"/>
            <w:vAlign w:val="center"/>
          </w:tcPr>
          <w:p w:rsidR="000A2337" w:rsidRDefault="000A2337" w:rsidP="00161AB3">
            <w:pPr>
              <w:pStyle w:val="Header"/>
              <w:tabs>
                <w:tab w:val="left" w:pos="284"/>
              </w:tabs>
              <w:rPr>
                <w:rFonts w:cs="Arial"/>
                <w:sz w:val="22"/>
                <w:szCs w:val="22"/>
              </w:rPr>
            </w:pPr>
          </w:p>
          <w:p w:rsidR="000A2337" w:rsidRDefault="000A2337" w:rsidP="00161AB3">
            <w:pPr>
              <w:pStyle w:val="Header"/>
              <w:tabs>
                <w:tab w:val="left" w:pos="284"/>
              </w:tabs>
              <w:jc w:val="both"/>
              <w:rPr>
                <w:rFonts w:cs="Arial"/>
                <w:sz w:val="22"/>
                <w:szCs w:val="22"/>
              </w:rPr>
            </w:pPr>
            <w:r w:rsidRPr="00750E3C">
              <w:rPr>
                <w:rFonts w:cs="Arial"/>
                <w:sz w:val="22"/>
                <w:szCs w:val="22"/>
              </w:rPr>
              <w:t xml:space="preserve">Terapiju treba da započne </w:t>
            </w:r>
            <w:r>
              <w:rPr>
                <w:rFonts w:cs="Arial"/>
                <w:sz w:val="22"/>
                <w:szCs w:val="22"/>
              </w:rPr>
              <w:t>ljek</w:t>
            </w:r>
            <w:r w:rsidRPr="00750E3C">
              <w:rPr>
                <w:rFonts w:cs="Arial"/>
                <w:sz w:val="22"/>
                <w:szCs w:val="22"/>
              </w:rPr>
              <w:t xml:space="preserve">ar koji ima iskustva u </w:t>
            </w:r>
            <w:r>
              <w:rPr>
                <w:rFonts w:cs="Arial"/>
                <w:sz w:val="22"/>
                <w:szCs w:val="22"/>
              </w:rPr>
              <w:t>liječenju</w:t>
            </w:r>
            <w:r w:rsidRPr="00750E3C">
              <w:rPr>
                <w:rFonts w:cs="Arial"/>
                <w:sz w:val="22"/>
                <w:szCs w:val="22"/>
              </w:rPr>
              <w:t xml:space="preserve"> pacije</w:t>
            </w:r>
            <w:r>
              <w:rPr>
                <w:rFonts w:cs="Arial"/>
                <w:sz w:val="22"/>
                <w:szCs w:val="22"/>
              </w:rPr>
              <w:t>nata sa hematološkim malignim bolestima, odnosno</w:t>
            </w:r>
            <w:r w:rsidRPr="00750E3C">
              <w:rPr>
                <w:rFonts w:cs="Arial"/>
                <w:sz w:val="22"/>
                <w:szCs w:val="22"/>
              </w:rPr>
              <w:t xml:space="preserve"> malignim sarkom</w:t>
            </w:r>
            <w:r>
              <w:rPr>
                <w:rFonts w:cs="Arial"/>
                <w:sz w:val="22"/>
                <w:szCs w:val="22"/>
              </w:rPr>
              <w:t>ima.</w:t>
            </w:r>
          </w:p>
          <w:p w:rsidR="000A2337" w:rsidRDefault="000A2337" w:rsidP="00161AB3">
            <w:pPr>
              <w:pStyle w:val="Header"/>
              <w:tabs>
                <w:tab w:val="left" w:pos="284"/>
              </w:tabs>
              <w:jc w:val="both"/>
              <w:rPr>
                <w:rFonts w:cs="Arial"/>
                <w:sz w:val="22"/>
                <w:szCs w:val="22"/>
              </w:rPr>
            </w:pPr>
            <w:r w:rsidRPr="00750E3C">
              <w:rPr>
                <w:rFonts w:cs="Arial"/>
                <w:sz w:val="22"/>
                <w:szCs w:val="22"/>
              </w:rPr>
              <w:t xml:space="preserve"> </w:t>
            </w:r>
          </w:p>
          <w:p w:rsidR="000A2337" w:rsidRDefault="000A2337" w:rsidP="00161AB3">
            <w:pPr>
              <w:pStyle w:val="Header"/>
              <w:tabs>
                <w:tab w:val="left" w:pos="284"/>
              </w:tabs>
              <w:jc w:val="both"/>
              <w:rPr>
                <w:rFonts w:cs="Arial"/>
                <w:sz w:val="22"/>
                <w:szCs w:val="22"/>
                <w:lang w:val="da-DK"/>
              </w:rPr>
            </w:pPr>
            <w:r w:rsidRPr="00674EAB">
              <w:rPr>
                <w:rFonts w:cs="Arial"/>
                <w:sz w:val="22"/>
                <w:szCs w:val="22"/>
              </w:rPr>
              <w:t xml:space="preserve">Za doze </w:t>
            </w:r>
            <w:r>
              <w:rPr>
                <w:rFonts w:cs="Arial"/>
                <w:sz w:val="22"/>
                <w:szCs w:val="22"/>
              </w:rPr>
              <w:t>od</w:t>
            </w:r>
            <w:r w:rsidRPr="00674EAB">
              <w:rPr>
                <w:rFonts w:cs="Arial"/>
                <w:sz w:val="22"/>
                <w:szCs w:val="22"/>
              </w:rPr>
              <w:t xml:space="preserve"> 400 mg i </w:t>
            </w:r>
            <w:r>
              <w:rPr>
                <w:rFonts w:cs="Arial"/>
                <w:sz w:val="22"/>
                <w:szCs w:val="22"/>
              </w:rPr>
              <w:t>više</w:t>
            </w:r>
            <w:r w:rsidRPr="00674EAB">
              <w:rPr>
                <w:rFonts w:cs="Arial"/>
                <w:sz w:val="22"/>
                <w:szCs w:val="22"/>
              </w:rPr>
              <w:t xml:space="preserve"> (</w:t>
            </w:r>
            <w:r>
              <w:rPr>
                <w:rFonts w:cs="Arial"/>
                <w:sz w:val="22"/>
                <w:szCs w:val="22"/>
              </w:rPr>
              <w:t>vidjet</w:t>
            </w:r>
            <w:r w:rsidRPr="00674EAB">
              <w:rPr>
                <w:rFonts w:cs="Arial"/>
                <w:sz w:val="22"/>
                <w:szCs w:val="22"/>
              </w:rPr>
              <w:t xml:space="preserve">i </w:t>
            </w:r>
            <w:r>
              <w:rPr>
                <w:rFonts w:cs="Arial"/>
                <w:sz w:val="22"/>
                <w:szCs w:val="22"/>
              </w:rPr>
              <w:t>niže navedenu preporuku</w:t>
            </w:r>
            <w:r w:rsidRPr="00674EAB">
              <w:rPr>
                <w:rFonts w:cs="Arial"/>
                <w:sz w:val="22"/>
                <w:szCs w:val="22"/>
              </w:rPr>
              <w:t xml:space="preserve"> doziranj</w:t>
            </w:r>
            <w:r>
              <w:rPr>
                <w:rFonts w:cs="Arial"/>
                <w:sz w:val="22"/>
                <w:szCs w:val="22"/>
              </w:rPr>
              <w:t>a</w:t>
            </w:r>
            <w:r w:rsidRPr="00674EAB">
              <w:rPr>
                <w:rFonts w:cs="Arial"/>
                <w:sz w:val="22"/>
                <w:szCs w:val="22"/>
              </w:rPr>
              <w:t>) dostupna je</w:t>
            </w:r>
            <w:r>
              <w:rPr>
                <w:rFonts w:cs="Arial"/>
                <w:sz w:val="22"/>
                <w:szCs w:val="22"/>
              </w:rPr>
              <w:t xml:space="preserve"> film </w:t>
            </w:r>
            <w:r w:rsidRPr="00674EAB">
              <w:rPr>
                <w:rFonts w:cs="Arial"/>
                <w:sz w:val="22"/>
                <w:szCs w:val="22"/>
              </w:rPr>
              <w:t xml:space="preserve">tableta od </w:t>
            </w:r>
            <w:r>
              <w:rPr>
                <w:rFonts w:cs="Arial"/>
                <w:sz w:val="22"/>
                <w:szCs w:val="22"/>
              </w:rPr>
              <w:t xml:space="preserve">400 </w:t>
            </w:r>
            <w:r w:rsidRPr="00674EAB">
              <w:rPr>
                <w:rFonts w:cs="Arial"/>
                <w:sz w:val="22"/>
                <w:szCs w:val="22"/>
              </w:rPr>
              <w:t>mg</w:t>
            </w:r>
            <w:r>
              <w:rPr>
                <w:rFonts w:cs="Arial"/>
                <w:sz w:val="22"/>
                <w:szCs w:val="22"/>
              </w:rPr>
              <w:t>.</w:t>
            </w:r>
          </w:p>
          <w:p w:rsidR="000A2337" w:rsidRDefault="000A2337" w:rsidP="00161AB3">
            <w:pPr>
              <w:pStyle w:val="Header"/>
              <w:tabs>
                <w:tab w:val="left" w:pos="284"/>
              </w:tabs>
              <w:jc w:val="both"/>
              <w:rPr>
                <w:rFonts w:cs="Arial"/>
                <w:sz w:val="22"/>
                <w:szCs w:val="22"/>
                <w:lang w:val="da-DK"/>
              </w:rPr>
            </w:pPr>
          </w:p>
          <w:p w:rsidR="000A2337" w:rsidRDefault="000A2337" w:rsidP="00161AB3">
            <w:pPr>
              <w:pStyle w:val="Header"/>
              <w:tabs>
                <w:tab w:val="left" w:pos="284"/>
              </w:tabs>
              <w:jc w:val="both"/>
              <w:rPr>
                <w:rFonts w:cs="Arial"/>
                <w:sz w:val="22"/>
                <w:szCs w:val="22"/>
                <w:lang w:val="da-DK"/>
              </w:rPr>
            </w:pPr>
            <w:r>
              <w:rPr>
                <w:rFonts w:cs="Arial"/>
                <w:sz w:val="22"/>
                <w:szCs w:val="22"/>
                <w:lang w:val="da-DK"/>
              </w:rPr>
              <w:t>Preporučenu dozu</w:t>
            </w:r>
            <w:r w:rsidRPr="00750E3C">
              <w:rPr>
                <w:rFonts w:cs="Arial"/>
                <w:sz w:val="22"/>
                <w:szCs w:val="22"/>
                <w:lang w:val="da-DK"/>
              </w:rPr>
              <w:t xml:space="preserve"> </w:t>
            </w:r>
            <w:r>
              <w:rPr>
                <w:rFonts w:cs="Arial"/>
                <w:sz w:val="22"/>
                <w:szCs w:val="22"/>
                <w:lang w:val="da-DK"/>
              </w:rPr>
              <w:t>treba primjenjivati</w:t>
            </w:r>
            <w:r w:rsidRPr="00750E3C">
              <w:rPr>
                <w:rFonts w:cs="Arial"/>
                <w:sz w:val="22"/>
                <w:szCs w:val="22"/>
                <w:lang w:val="da-DK"/>
              </w:rPr>
              <w:t xml:space="preserve"> oraln</w:t>
            </w:r>
            <w:r>
              <w:rPr>
                <w:rFonts w:cs="Arial"/>
                <w:sz w:val="22"/>
                <w:szCs w:val="22"/>
                <w:lang w:val="da-DK"/>
              </w:rPr>
              <w:t xml:space="preserve">o, uz obrok i veliku čašu vode, kako bi se rizik od gastrointestinalnih iritacija sveo na najmanju moguću mjeru. </w:t>
            </w:r>
            <w:r w:rsidRPr="00617E21">
              <w:rPr>
                <w:color w:val="000000"/>
                <w:sz w:val="22"/>
                <w:szCs w:val="22"/>
                <w:lang w:val="sr-Latn-CS"/>
              </w:rPr>
              <w:t xml:space="preserve">Doze od </w:t>
            </w:r>
            <w:r>
              <w:rPr>
                <w:color w:val="000000"/>
                <w:sz w:val="22"/>
                <w:szCs w:val="22"/>
                <w:lang w:val="sr-Latn-CS"/>
              </w:rPr>
              <w:t>400 mg ili 600 mg treba da se primjenju</w:t>
            </w:r>
            <w:r w:rsidRPr="00617E21">
              <w:rPr>
                <w:color w:val="000000"/>
                <w:sz w:val="22"/>
                <w:szCs w:val="22"/>
                <w:lang w:val="sr-Latn-CS"/>
              </w:rPr>
              <w:t xml:space="preserve">ju jednom dnevno, dok </w:t>
            </w:r>
            <w:r>
              <w:rPr>
                <w:color w:val="000000"/>
                <w:sz w:val="22"/>
                <w:szCs w:val="22"/>
                <w:lang w:val="sr-Latn-CS"/>
              </w:rPr>
              <w:t>dnevnu dozu od 800 mg treba davati po</w:t>
            </w:r>
            <w:r w:rsidRPr="00617E21">
              <w:rPr>
                <w:color w:val="000000"/>
                <w:sz w:val="22"/>
                <w:szCs w:val="22"/>
                <w:lang w:val="sr-Latn-CS"/>
              </w:rPr>
              <w:t xml:space="preserve"> 400 mg dva</w:t>
            </w:r>
            <w:r>
              <w:rPr>
                <w:color w:val="000000"/>
                <w:sz w:val="22"/>
                <w:szCs w:val="22"/>
                <w:lang w:val="sr-Latn-CS"/>
              </w:rPr>
              <w:t xml:space="preserve"> </w:t>
            </w:r>
            <w:r w:rsidRPr="00617E21">
              <w:rPr>
                <w:color w:val="000000"/>
                <w:sz w:val="22"/>
                <w:szCs w:val="22"/>
                <w:lang w:val="sr-Latn-CS"/>
              </w:rPr>
              <w:t>put</w:t>
            </w:r>
            <w:r>
              <w:rPr>
                <w:color w:val="000000"/>
                <w:sz w:val="22"/>
                <w:szCs w:val="22"/>
                <w:lang w:val="sr-Latn-CS"/>
              </w:rPr>
              <w:t>a</w:t>
            </w:r>
            <w:r w:rsidRPr="00617E21">
              <w:rPr>
                <w:color w:val="000000"/>
                <w:sz w:val="22"/>
                <w:szCs w:val="22"/>
                <w:lang w:val="sr-Latn-CS"/>
              </w:rPr>
              <w:t xml:space="preserve"> dn</w:t>
            </w:r>
            <w:r>
              <w:rPr>
                <w:color w:val="000000"/>
                <w:sz w:val="22"/>
                <w:szCs w:val="22"/>
                <w:lang w:val="sr-Latn-CS"/>
              </w:rPr>
              <w:t>evno</w:t>
            </w:r>
            <w:r w:rsidRPr="00617E21">
              <w:rPr>
                <w:color w:val="000000"/>
                <w:sz w:val="22"/>
                <w:szCs w:val="22"/>
                <w:lang w:val="sr-Latn-CS"/>
              </w:rPr>
              <w:t>, ujutro i uveče</w:t>
            </w:r>
            <w:r w:rsidRPr="00750E3C">
              <w:rPr>
                <w:rFonts w:cs="Arial"/>
                <w:sz w:val="22"/>
                <w:szCs w:val="22"/>
                <w:lang w:val="da-DK"/>
              </w:rPr>
              <w:t>.</w:t>
            </w:r>
          </w:p>
          <w:p w:rsidR="000A2337" w:rsidRDefault="000A2337" w:rsidP="00161AB3">
            <w:pPr>
              <w:pStyle w:val="Header"/>
              <w:tabs>
                <w:tab w:val="left" w:pos="284"/>
              </w:tabs>
              <w:jc w:val="both"/>
              <w:rPr>
                <w:rFonts w:cs="Arial"/>
                <w:sz w:val="22"/>
                <w:szCs w:val="22"/>
                <w:lang w:val="da-DK"/>
              </w:rPr>
            </w:pPr>
          </w:p>
          <w:p w:rsidR="000A2337" w:rsidRPr="00617E21" w:rsidRDefault="000A2337" w:rsidP="00161AB3">
            <w:pPr>
              <w:shd w:val="clear" w:color="auto" w:fill="FFFFFF"/>
              <w:jc w:val="both"/>
              <w:rPr>
                <w:sz w:val="22"/>
                <w:szCs w:val="22"/>
                <w:lang w:val="sr-Latn-CS"/>
              </w:rPr>
            </w:pPr>
            <w:r>
              <w:rPr>
                <w:color w:val="000000"/>
                <w:sz w:val="22"/>
                <w:szCs w:val="22"/>
                <w:lang w:val="sr-Latn-CS"/>
              </w:rPr>
              <w:t>Pacijentima</w:t>
            </w:r>
            <w:r w:rsidRPr="00617E21">
              <w:rPr>
                <w:color w:val="000000"/>
                <w:sz w:val="22"/>
                <w:szCs w:val="22"/>
                <w:lang w:val="sr-Latn-CS"/>
              </w:rPr>
              <w:t xml:space="preserve"> koji ne</w:t>
            </w:r>
            <w:r>
              <w:rPr>
                <w:color w:val="000000"/>
                <w:sz w:val="22"/>
                <w:szCs w:val="22"/>
                <w:lang w:val="sr-Latn-CS"/>
              </w:rPr>
              <w:t xml:space="preserve"> mogu da gutaju film tablete, tablete se</w:t>
            </w:r>
            <w:r w:rsidRPr="00617E21">
              <w:rPr>
                <w:color w:val="000000"/>
                <w:sz w:val="22"/>
                <w:szCs w:val="22"/>
                <w:lang w:val="sr-Latn-CS"/>
              </w:rPr>
              <w:t xml:space="preserve"> mo</w:t>
            </w:r>
            <w:r>
              <w:rPr>
                <w:color w:val="000000"/>
                <w:sz w:val="22"/>
                <w:szCs w:val="22"/>
                <w:lang w:val="sr-Latn-CS"/>
              </w:rPr>
              <w:t>gu</w:t>
            </w:r>
            <w:r w:rsidRPr="00617E21">
              <w:rPr>
                <w:color w:val="000000"/>
                <w:sz w:val="22"/>
                <w:szCs w:val="22"/>
                <w:lang w:val="sr-Latn-CS"/>
              </w:rPr>
              <w:t xml:space="preserve"> rastvoriti u čaši </w:t>
            </w:r>
            <w:r>
              <w:rPr>
                <w:color w:val="000000"/>
                <w:sz w:val="22"/>
                <w:szCs w:val="22"/>
                <w:lang w:val="sr-Latn-CS"/>
              </w:rPr>
              <w:t xml:space="preserve">mineralne </w:t>
            </w:r>
            <w:r w:rsidRPr="00617E21">
              <w:rPr>
                <w:color w:val="000000"/>
                <w:sz w:val="22"/>
                <w:szCs w:val="22"/>
                <w:lang w:val="sr-Latn-CS"/>
              </w:rPr>
              <w:t xml:space="preserve">vode ili </w:t>
            </w:r>
            <w:r>
              <w:rPr>
                <w:color w:val="000000"/>
                <w:sz w:val="22"/>
                <w:szCs w:val="22"/>
                <w:lang w:val="sr-Latn-CS"/>
              </w:rPr>
              <w:t>soka od jabuke. Potreban broj tableta treba staviti u odgovarajuću količinu napitka (oko 50 ml za tabletu od 100 mg  i 200 ml za tabletu od 400 mg) i promiješati kašikom. Suspenzija se mora  popiti odmah  nakon potpunog rastvaranja tablete(a).</w:t>
            </w:r>
          </w:p>
          <w:p w:rsidR="000A2337" w:rsidRDefault="000A2337" w:rsidP="00161AB3">
            <w:pPr>
              <w:pStyle w:val="Header"/>
              <w:tabs>
                <w:tab w:val="left" w:pos="284"/>
              </w:tabs>
              <w:jc w:val="both"/>
              <w:rPr>
                <w:bCs/>
                <w:sz w:val="22"/>
                <w:szCs w:val="22"/>
                <w:lang w:val="da-DK"/>
              </w:rPr>
            </w:pPr>
          </w:p>
          <w:p w:rsidR="000A2337" w:rsidRPr="00563932" w:rsidRDefault="000A2337" w:rsidP="00161AB3">
            <w:pPr>
              <w:pStyle w:val="Header"/>
              <w:tabs>
                <w:tab w:val="left" w:pos="284"/>
              </w:tabs>
              <w:jc w:val="both"/>
              <w:rPr>
                <w:rFonts w:cs="Arial"/>
                <w:sz w:val="22"/>
                <w:szCs w:val="22"/>
                <w:u w:val="single"/>
                <w:lang w:val="da-DK"/>
              </w:rPr>
            </w:pPr>
            <w:r w:rsidRPr="00FB5802">
              <w:rPr>
                <w:rFonts w:cs="Arial"/>
                <w:sz w:val="22"/>
                <w:szCs w:val="22"/>
                <w:u w:val="single"/>
                <w:lang w:val="da-DK"/>
              </w:rPr>
              <w:t>Doziranje za CML kod odraslih pacijenata</w:t>
            </w:r>
            <w:r w:rsidRPr="00563932">
              <w:rPr>
                <w:rFonts w:cs="Arial"/>
                <w:sz w:val="22"/>
                <w:szCs w:val="22"/>
                <w:u w:val="single"/>
                <w:lang w:val="da-DK"/>
              </w:rPr>
              <w:t xml:space="preserve"> </w:t>
            </w:r>
          </w:p>
          <w:p w:rsidR="000A2337" w:rsidRDefault="000A2337" w:rsidP="00161AB3">
            <w:pPr>
              <w:pStyle w:val="Header"/>
              <w:tabs>
                <w:tab w:val="left" w:pos="284"/>
              </w:tabs>
              <w:jc w:val="both"/>
              <w:rPr>
                <w:bCs/>
                <w:sz w:val="22"/>
                <w:szCs w:val="22"/>
                <w:lang w:val="da-DK"/>
              </w:rPr>
            </w:pPr>
            <w:r>
              <w:rPr>
                <w:bCs/>
                <w:sz w:val="22"/>
                <w:szCs w:val="22"/>
                <w:lang w:val="da-DK"/>
              </w:rPr>
              <w:t>Za odrasle pacijente u blast</w:t>
            </w:r>
            <w:r w:rsidRPr="00E45C92">
              <w:rPr>
                <w:bCs/>
                <w:sz w:val="22"/>
                <w:szCs w:val="22"/>
                <w:lang w:val="da-DK"/>
              </w:rPr>
              <w:t xml:space="preserve">noj </w:t>
            </w:r>
            <w:r>
              <w:rPr>
                <w:bCs/>
                <w:sz w:val="22"/>
                <w:szCs w:val="22"/>
                <w:lang w:val="da-DK"/>
              </w:rPr>
              <w:t xml:space="preserve">krizi preporučena doza lijeka Imatinib Teva iznosi </w:t>
            </w:r>
            <w:bookmarkStart w:id="1" w:name="_GoBack"/>
            <w:r>
              <w:rPr>
                <w:bCs/>
                <w:sz w:val="22"/>
                <w:szCs w:val="22"/>
                <w:lang w:val="da-DK"/>
              </w:rPr>
              <w:t>60</w:t>
            </w:r>
            <w:bookmarkEnd w:id="1"/>
            <w:r>
              <w:rPr>
                <w:bCs/>
                <w:sz w:val="22"/>
                <w:szCs w:val="22"/>
                <w:lang w:val="da-DK"/>
              </w:rPr>
              <w:t>0 mg/dan. Blast</w:t>
            </w:r>
            <w:r w:rsidRPr="00E45C92">
              <w:rPr>
                <w:bCs/>
                <w:sz w:val="22"/>
                <w:szCs w:val="22"/>
                <w:lang w:val="da-DK"/>
              </w:rPr>
              <w:t>na</w:t>
            </w:r>
            <w:r>
              <w:rPr>
                <w:bCs/>
                <w:sz w:val="22"/>
                <w:szCs w:val="22"/>
                <w:lang w:val="da-DK"/>
              </w:rPr>
              <w:t xml:space="preserve"> </w:t>
            </w:r>
            <w:r w:rsidRPr="00E45C92">
              <w:rPr>
                <w:bCs/>
                <w:sz w:val="22"/>
                <w:szCs w:val="22"/>
                <w:lang w:val="da-DK"/>
              </w:rPr>
              <w:t xml:space="preserve">kriza </w:t>
            </w:r>
            <w:r>
              <w:rPr>
                <w:bCs/>
                <w:sz w:val="22"/>
                <w:szCs w:val="22"/>
                <w:lang w:val="da-DK"/>
              </w:rPr>
              <w:t>se definiše</w:t>
            </w:r>
            <w:r w:rsidRPr="00E45C92">
              <w:rPr>
                <w:bCs/>
                <w:sz w:val="22"/>
                <w:szCs w:val="22"/>
                <w:lang w:val="da-DK"/>
              </w:rPr>
              <w:t xml:space="preserve"> kao prisutnost </w:t>
            </w:r>
            <w:r>
              <w:rPr>
                <w:bCs/>
                <w:sz w:val="22"/>
                <w:szCs w:val="22"/>
                <w:lang w:val="da-DK"/>
              </w:rPr>
              <w:t>≥</w:t>
            </w:r>
            <w:r w:rsidRPr="00E45C92">
              <w:rPr>
                <w:bCs/>
                <w:sz w:val="22"/>
                <w:szCs w:val="22"/>
                <w:lang w:val="da-DK"/>
              </w:rPr>
              <w:t>30% blast</w:t>
            </w:r>
            <w:r>
              <w:rPr>
                <w:bCs/>
                <w:sz w:val="22"/>
                <w:szCs w:val="22"/>
                <w:lang w:val="da-DK"/>
              </w:rPr>
              <w:t>ocit</w:t>
            </w:r>
            <w:r w:rsidRPr="00E45C92">
              <w:rPr>
                <w:bCs/>
                <w:sz w:val="22"/>
                <w:szCs w:val="22"/>
                <w:lang w:val="da-DK"/>
              </w:rPr>
              <w:t>a u krvi ili ko</w:t>
            </w:r>
            <w:r>
              <w:rPr>
                <w:bCs/>
                <w:sz w:val="22"/>
                <w:szCs w:val="22"/>
                <w:lang w:val="da-DK"/>
              </w:rPr>
              <w:t>st</w:t>
            </w:r>
            <w:r w:rsidRPr="00E45C92">
              <w:rPr>
                <w:bCs/>
                <w:sz w:val="22"/>
                <w:szCs w:val="22"/>
                <w:lang w:val="da-DK"/>
              </w:rPr>
              <w:t>noj srži ili postojanje ekstramedularne</w:t>
            </w:r>
            <w:r>
              <w:rPr>
                <w:bCs/>
                <w:sz w:val="22"/>
                <w:szCs w:val="22"/>
                <w:lang w:val="da-DK"/>
              </w:rPr>
              <w:t xml:space="preserve"> </w:t>
            </w:r>
            <w:r w:rsidRPr="00E45C92">
              <w:rPr>
                <w:bCs/>
                <w:sz w:val="22"/>
                <w:szCs w:val="22"/>
                <w:lang w:val="da-DK"/>
              </w:rPr>
              <w:t>bolesti osim hepatosplenomegalije.</w:t>
            </w:r>
          </w:p>
          <w:p w:rsidR="000A2337" w:rsidRPr="00E45C92" w:rsidRDefault="000A2337" w:rsidP="00161AB3">
            <w:pPr>
              <w:pStyle w:val="Header"/>
              <w:tabs>
                <w:tab w:val="left" w:pos="284"/>
              </w:tabs>
              <w:jc w:val="both"/>
              <w:rPr>
                <w:bCs/>
                <w:sz w:val="22"/>
                <w:szCs w:val="22"/>
                <w:lang w:val="da-DK"/>
              </w:rPr>
            </w:pPr>
            <w:r w:rsidRPr="008414FB">
              <w:rPr>
                <w:bCs/>
                <w:sz w:val="22"/>
                <w:szCs w:val="22"/>
                <w:lang w:val="da-DK"/>
              </w:rPr>
              <w:t>Trajanje liječenja: u kliničkim ispitivanjima se liječenje imatinibom nastavljalo sve do progresije</w:t>
            </w:r>
            <w:r>
              <w:rPr>
                <w:bCs/>
                <w:sz w:val="22"/>
                <w:szCs w:val="22"/>
                <w:lang w:val="da-DK"/>
              </w:rPr>
              <w:t xml:space="preserve"> bolesti. Efekat</w:t>
            </w:r>
            <w:r w:rsidRPr="008414FB">
              <w:rPr>
                <w:bCs/>
                <w:sz w:val="22"/>
                <w:szCs w:val="22"/>
                <w:lang w:val="da-DK"/>
              </w:rPr>
              <w:t xml:space="preserve"> prekida liječenja nakon postizanja potpunog citogenetskog odgovora nije ispitivan.</w:t>
            </w:r>
          </w:p>
          <w:p w:rsidR="000A2337" w:rsidRPr="00FD6BAA" w:rsidRDefault="000A2337" w:rsidP="00161AB3">
            <w:pPr>
              <w:pStyle w:val="Header"/>
              <w:tabs>
                <w:tab w:val="left" w:pos="284"/>
              </w:tabs>
              <w:jc w:val="both"/>
              <w:rPr>
                <w:bCs/>
                <w:sz w:val="22"/>
                <w:szCs w:val="22"/>
                <w:lang w:val="da-DK"/>
              </w:rPr>
            </w:pPr>
            <w:r w:rsidRPr="008414FB">
              <w:rPr>
                <w:bCs/>
                <w:sz w:val="22"/>
                <w:szCs w:val="22"/>
                <w:lang w:val="da-DK"/>
              </w:rPr>
              <w:t xml:space="preserve">Povećanja doze od </w:t>
            </w:r>
            <w:r>
              <w:rPr>
                <w:bCs/>
                <w:sz w:val="22"/>
                <w:szCs w:val="22"/>
                <w:lang w:val="da-DK"/>
              </w:rPr>
              <w:t>600 mg do maksimalno 800 mg (primijenjen</w:t>
            </w:r>
            <w:r w:rsidRPr="008414FB">
              <w:rPr>
                <w:bCs/>
                <w:sz w:val="22"/>
                <w:szCs w:val="22"/>
                <w:lang w:val="da-DK"/>
              </w:rPr>
              <w:t>o kao 400 mg dva</w:t>
            </w:r>
            <w:r>
              <w:rPr>
                <w:bCs/>
                <w:sz w:val="22"/>
                <w:szCs w:val="22"/>
                <w:lang w:val="da-DK"/>
              </w:rPr>
              <w:t xml:space="preserve"> </w:t>
            </w:r>
            <w:r w:rsidRPr="008414FB">
              <w:rPr>
                <w:bCs/>
                <w:sz w:val="22"/>
                <w:szCs w:val="22"/>
                <w:lang w:val="da-DK"/>
              </w:rPr>
              <w:t>put</w:t>
            </w:r>
            <w:r>
              <w:rPr>
                <w:bCs/>
                <w:sz w:val="22"/>
                <w:szCs w:val="22"/>
                <w:lang w:val="da-DK"/>
              </w:rPr>
              <w:t>a d</w:t>
            </w:r>
            <w:r w:rsidRPr="008414FB">
              <w:rPr>
                <w:bCs/>
                <w:sz w:val="22"/>
                <w:szCs w:val="22"/>
                <w:lang w:val="da-DK"/>
              </w:rPr>
              <w:t>n</w:t>
            </w:r>
            <w:r>
              <w:rPr>
                <w:bCs/>
                <w:sz w:val="22"/>
                <w:szCs w:val="22"/>
                <w:lang w:val="da-DK"/>
              </w:rPr>
              <w:t>evno) kod</w:t>
            </w:r>
            <w:r w:rsidRPr="008414FB">
              <w:rPr>
                <w:bCs/>
                <w:sz w:val="22"/>
                <w:szCs w:val="22"/>
                <w:lang w:val="da-DK"/>
              </w:rPr>
              <w:t xml:space="preserve"> </w:t>
            </w:r>
            <w:r>
              <w:rPr>
                <w:bCs/>
                <w:sz w:val="22"/>
                <w:szCs w:val="22"/>
                <w:lang w:val="da-DK"/>
              </w:rPr>
              <w:t>pacijenat</w:t>
            </w:r>
            <w:r w:rsidRPr="008414FB">
              <w:rPr>
                <w:bCs/>
                <w:sz w:val="22"/>
                <w:szCs w:val="22"/>
                <w:lang w:val="da-DK"/>
              </w:rPr>
              <w:t>a s</w:t>
            </w:r>
            <w:r>
              <w:rPr>
                <w:bCs/>
                <w:sz w:val="22"/>
                <w:szCs w:val="22"/>
                <w:lang w:val="da-DK"/>
              </w:rPr>
              <w:t>a blast</w:t>
            </w:r>
            <w:r w:rsidRPr="008414FB">
              <w:rPr>
                <w:bCs/>
                <w:sz w:val="22"/>
                <w:szCs w:val="22"/>
                <w:lang w:val="da-DK"/>
              </w:rPr>
              <w:t>nom krizom mož</w:t>
            </w:r>
            <w:r>
              <w:rPr>
                <w:bCs/>
                <w:sz w:val="22"/>
                <w:szCs w:val="22"/>
                <w:lang w:val="da-DK"/>
              </w:rPr>
              <w:t>e se razmotriti u odsustvu teškog neželjenog dejstva</w:t>
            </w:r>
            <w:r w:rsidRPr="008414FB">
              <w:rPr>
                <w:bCs/>
                <w:sz w:val="22"/>
                <w:szCs w:val="22"/>
                <w:lang w:val="da-DK"/>
              </w:rPr>
              <w:t xml:space="preserve"> </w:t>
            </w:r>
            <w:r>
              <w:rPr>
                <w:bCs/>
                <w:sz w:val="22"/>
                <w:szCs w:val="22"/>
                <w:lang w:val="da-DK"/>
              </w:rPr>
              <w:t>povezanog</w:t>
            </w:r>
            <w:r w:rsidRPr="008414FB">
              <w:rPr>
                <w:bCs/>
                <w:sz w:val="22"/>
                <w:szCs w:val="22"/>
                <w:lang w:val="da-DK"/>
              </w:rPr>
              <w:t xml:space="preserve"> s</w:t>
            </w:r>
            <w:r>
              <w:rPr>
                <w:bCs/>
                <w:sz w:val="22"/>
                <w:szCs w:val="22"/>
                <w:lang w:val="da-DK"/>
              </w:rPr>
              <w:t>a</w:t>
            </w:r>
            <w:r w:rsidRPr="008414FB">
              <w:rPr>
                <w:bCs/>
                <w:sz w:val="22"/>
                <w:szCs w:val="22"/>
                <w:lang w:val="da-DK"/>
              </w:rPr>
              <w:t xml:space="preserve"> lijekom i teške</w:t>
            </w:r>
            <w:r>
              <w:rPr>
                <w:bCs/>
                <w:sz w:val="22"/>
                <w:szCs w:val="22"/>
                <w:lang w:val="da-DK"/>
              </w:rPr>
              <w:t xml:space="preserve"> </w:t>
            </w:r>
            <w:r w:rsidRPr="008414FB">
              <w:rPr>
                <w:bCs/>
                <w:sz w:val="22"/>
                <w:szCs w:val="22"/>
                <w:lang w:val="da-DK"/>
              </w:rPr>
              <w:t>neutropenije ili trombocitopenije nepovezane s</w:t>
            </w:r>
            <w:r>
              <w:rPr>
                <w:bCs/>
                <w:sz w:val="22"/>
                <w:szCs w:val="22"/>
                <w:lang w:val="da-DK"/>
              </w:rPr>
              <w:t>a</w:t>
            </w:r>
            <w:r w:rsidRPr="008414FB">
              <w:rPr>
                <w:bCs/>
                <w:sz w:val="22"/>
                <w:szCs w:val="22"/>
                <w:lang w:val="da-DK"/>
              </w:rPr>
              <w:t xml:space="preserve"> leukemijom u sljedećim situacijama: progresija bolesti</w:t>
            </w:r>
            <w:r>
              <w:rPr>
                <w:bCs/>
                <w:sz w:val="22"/>
                <w:szCs w:val="22"/>
                <w:lang w:val="da-DK"/>
              </w:rPr>
              <w:t xml:space="preserve"> </w:t>
            </w:r>
            <w:r w:rsidRPr="008414FB">
              <w:rPr>
                <w:bCs/>
                <w:sz w:val="22"/>
                <w:szCs w:val="22"/>
                <w:lang w:val="da-DK"/>
              </w:rPr>
              <w:t>(u bilo kojem trenutku); neuspjeh u postizanju zadovoljavajućeg hematološkog odgovora nakon</w:t>
            </w:r>
            <w:r>
              <w:rPr>
                <w:bCs/>
                <w:sz w:val="22"/>
                <w:szCs w:val="22"/>
                <w:lang w:val="da-DK"/>
              </w:rPr>
              <w:t xml:space="preserve"> </w:t>
            </w:r>
            <w:r w:rsidRPr="008414FB">
              <w:rPr>
                <w:bCs/>
                <w:sz w:val="22"/>
                <w:szCs w:val="22"/>
                <w:lang w:val="da-DK"/>
              </w:rPr>
              <w:t>liječenja u trajanju od najmanje 3 mjeseca; neuspjeh u postizanju citogenetskog odgovora nakon</w:t>
            </w:r>
            <w:r>
              <w:rPr>
                <w:bCs/>
                <w:sz w:val="22"/>
                <w:szCs w:val="22"/>
                <w:lang w:val="da-DK"/>
              </w:rPr>
              <w:t xml:space="preserve"> </w:t>
            </w:r>
            <w:r w:rsidRPr="008414FB">
              <w:rPr>
                <w:bCs/>
                <w:sz w:val="22"/>
                <w:szCs w:val="22"/>
                <w:lang w:val="da-DK"/>
              </w:rPr>
              <w:t xml:space="preserve">12 mjeseci liječenja; ili gubitak ranije postignutoga hematološkog i/ili citogenetskog odgovora. </w:t>
            </w:r>
            <w:r>
              <w:rPr>
                <w:color w:val="000000"/>
                <w:sz w:val="22"/>
                <w:szCs w:val="22"/>
                <w:lang w:val="sr-Latn-CS"/>
              </w:rPr>
              <w:t>Nakon povećanja doze pacijente</w:t>
            </w:r>
            <w:r w:rsidRPr="00617E21">
              <w:rPr>
                <w:color w:val="000000"/>
                <w:sz w:val="22"/>
                <w:szCs w:val="22"/>
                <w:lang w:val="sr-Latn-CS"/>
              </w:rPr>
              <w:t xml:space="preserve"> treba pažljivo pratiti </w:t>
            </w:r>
            <w:r>
              <w:rPr>
                <w:color w:val="000000"/>
                <w:sz w:val="22"/>
                <w:szCs w:val="22"/>
                <w:lang w:val="sr-Latn-CS"/>
              </w:rPr>
              <w:t>s obzirom na potencijal</w:t>
            </w:r>
            <w:r w:rsidRPr="00617E21">
              <w:rPr>
                <w:color w:val="000000"/>
                <w:sz w:val="22"/>
                <w:szCs w:val="22"/>
                <w:lang w:val="sr-Latn-CS"/>
              </w:rPr>
              <w:t xml:space="preserve"> za povećanu incidencu neželjenih dejstava pri višim dozama.</w:t>
            </w:r>
          </w:p>
          <w:p w:rsidR="000A2337" w:rsidRDefault="000A2337" w:rsidP="00161AB3">
            <w:pPr>
              <w:shd w:val="clear" w:color="auto" w:fill="FFFFFF"/>
              <w:rPr>
                <w:color w:val="000000"/>
                <w:sz w:val="22"/>
                <w:szCs w:val="22"/>
                <w:u w:val="single"/>
                <w:lang w:val="sr-Latn-CS"/>
              </w:rPr>
            </w:pPr>
          </w:p>
          <w:p w:rsidR="000A2337" w:rsidRDefault="000A2337" w:rsidP="00161AB3">
            <w:pPr>
              <w:shd w:val="clear" w:color="auto" w:fill="FFFFFF"/>
              <w:rPr>
                <w:color w:val="000000"/>
                <w:sz w:val="22"/>
                <w:szCs w:val="22"/>
                <w:u w:val="single"/>
                <w:lang w:val="sr-Latn-CS"/>
              </w:rPr>
            </w:pPr>
            <w:r>
              <w:rPr>
                <w:color w:val="000000"/>
                <w:sz w:val="22"/>
                <w:szCs w:val="22"/>
                <w:u w:val="single"/>
                <w:lang w:val="sr-Latn-CS"/>
              </w:rPr>
              <w:t>Doziranje za CML kod pedijatrijskih pacijenata</w:t>
            </w:r>
          </w:p>
          <w:p w:rsidR="00161AB3" w:rsidRDefault="00161AB3" w:rsidP="00161AB3">
            <w:pPr>
              <w:shd w:val="clear" w:color="auto" w:fill="FFFFFF"/>
              <w:jc w:val="both"/>
              <w:rPr>
                <w:color w:val="000000"/>
                <w:sz w:val="22"/>
                <w:szCs w:val="22"/>
                <w:lang w:val="sr-Latn-CS"/>
              </w:rPr>
            </w:pPr>
          </w:p>
          <w:p w:rsidR="000A2337" w:rsidRDefault="000A2337" w:rsidP="00161AB3">
            <w:pPr>
              <w:shd w:val="clear" w:color="auto" w:fill="FFFFFF"/>
              <w:jc w:val="both"/>
              <w:rPr>
                <w:color w:val="000000"/>
                <w:sz w:val="22"/>
                <w:szCs w:val="22"/>
                <w:lang w:val="sr-Latn-CS"/>
              </w:rPr>
            </w:pPr>
            <w:r w:rsidRPr="00617E21">
              <w:rPr>
                <w:color w:val="000000"/>
                <w:sz w:val="22"/>
                <w:szCs w:val="22"/>
                <w:lang w:val="sr-Latn-CS"/>
              </w:rPr>
              <w:t>Doziranje kod d</w:t>
            </w:r>
            <w:r>
              <w:rPr>
                <w:color w:val="000000"/>
                <w:sz w:val="22"/>
                <w:szCs w:val="22"/>
                <w:lang w:val="sr-Latn-CS"/>
              </w:rPr>
              <w:t>j</w:t>
            </w:r>
            <w:r w:rsidRPr="00617E21">
              <w:rPr>
                <w:color w:val="000000"/>
                <w:sz w:val="22"/>
                <w:szCs w:val="22"/>
                <w:lang w:val="sr-Latn-CS"/>
              </w:rPr>
              <w:t xml:space="preserve">ece treba da bude zasnovano na </w:t>
            </w:r>
            <w:r>
              <w:rPr>
                <w:color w:val="000000"/>
                <w:sz w:val="22"/>
                <w:szCs w:val="22"/>
                <w:lang w:val="sr-Latn-CS"/>
              </w:rPr>
              <w:t>tjel</w:t>
            </w:r>
            <w:r w:rsidRPr="00617E21">
              <w:rPr>
                <w:color w:val="000000"/>
                <w:sz w:val="22"/>
                <w:szCs w:val="22"/>
                <w:lang w:val="sr-Latn-CS"/>
              </w:rPr>
              <w:t>esnoj površini (mg/m</w:t>
            </w:r>
            <w:r w:rsidRPr="00617E21">
              <w:rPr>
                <w:color w:val="000000"/>
                <w:sz w:val="22"/>
                <w:szCs w:val="22"/>
                <w:vertAlign w:val="superscript"/>
                <w:lang w:val="sr-Latn-CS"/>
              </w:rPr>
              <w:t>2</w:t>
            </w:r>
            <w:r w:rsidRPr="00617E21">
              <w:rPr>
                <w:color w:val="000000"/>
                <w:sz w:val="22"/>
                <w:szCs w:val="22"/>
                <w:lang w:val="sr-Latn-CS"/>
              </w:rPr>
              <w:t>). Doza od 340 mg/m</w:t>
            </w:r>
            <w:r w:rsidRPr="00617E21">
              <w:rPr>
                <w:color w:val="000000"/>
                <w:sz w:val="22"/>
                <w:szCs w:val="22"/>
                <w:vertAlign w:val="superscript"/>
                <w:lang w:val="sr-Latn-CS"/>
              </w:rPr>
              <w:t>2</w:t>
            </w:r>
            <w:r w:rsidRPr="00617E21">
              <w:rPr>
                <w:color w:val="000000"/>
                <w:sz w:val="22"/>
                <w:szCs w:val="22"/>
                <w:lang w:val="sr-Latn-CS"/>
              </w:rPr>
              <w:t xml:space="preserve"> </w:t>
            </w:r>
            <w:r w:rsidRPr="00EE7EFE">
              <w:rPr>
                <w:sz w:val="22"/>
                <w:szCs w:val="22"/>
                <w:lang w:val="sr-Latn-CS"/>
              </w:rPr>
              <w:t xml:space="preserve">dnevno se preporučuje za </w:t>
            </w:r>
            <w:r>
              <w:rPr>
                <w:sz w:val="22"/>
                <w:szCs w:val="22"/>
                <w:lang w:val="sr-Latn-CS"/>
              </w:rPr>
              <w:t>djec</w:t>
            </w:r>
            <w:r w:rsidRPr="00EE7EFE">
              <w:rPr>
                <w:sz w:val="22"/>
                <w:szCs w:val="22"/>
                <w:lang w:val="sr-Latn-CS"/>
              </w:rPr>
              <w:t xml:space="preserve">u sa hroničnom fazom </w:t>
            </w:r>
            <w:r>
              <w:rPr>
                <w:sz w:val="22"/>
                <w:szCs w:val="22"/>
                <w:lang w:val="sr-Latn-CS"/>
              </w:rPr>
              <w:t>C</w:t>
            </w:r>
            <w:r w:rsidRPr="00EE7EFE">
              <w:rPr>
                <w:sz w:val="22"/>
                <w:szCs w:val="22"/>
                <w:lang w:val="sr-Latn-CS"/>
              </w:rPr>
              <w:t>ML</w:t>
            </w:r>
            <w:r>
              <w:rPr>
                <w:sz w:val="22"/>
                <w:szCs w:val="22"/>
                <w:lang w:val="sr-Latn-CS"/>
              </w:rPr>
              <w:t>-a</w:t>
            </w:r>
            <w:r w:rsidRPr="00EE7EFE">
              <w:rPr>
                <w:sz w:val="22"/>
                <w:szCs w:val="22"/>
                <w:lang w:val="sr-Latn-CS"/>
              </w:rPr>
              <w:t xml:space="preserve"> i uznapredovalom fazom </w:t>
            </w:r>
            <w:r>
              <w:rPr>
                <w:sz w:val="22"/>
                <w:szCs w:val="22"/>
                <w:lang w:val="sr-Latn-CS"/>
              </w:rPr>
              <w:t>C</w:t>
            </w:r>
            <w:r w:rsidRPr="00EE7EFE">
              <w:rPr>
                <w:sz w:val="22"/>
                <w:szCs w:val="22"/>
                <w:lang w:val="sr-Latn-CS"/>
              </w:rPr>
              <w:t>ML</w:t>
            </w:r>
            <w:r>
              <w:rPr>
                <w:sz w:val="22"/>
                <w:szCs w:val="22"/>
                <w:lang w:val="sr-Latn-CS"/>
              </w:rPr>
              <w:t>-a</w:t>
            </w:r>
            <w:r w:rsidRPr="00EE7EFE">
              <w:rPr>
                <w:sz w:val="22"/>
                <w:szCs w:val="22"/>
                <w:lang w:val="sr-Latn-CS"/>
              </w:rPr>
              <w:t xml:space="preserve"> (</w:t>
            </w:r>
            <w:r>
              <w:rPr>
                <w:sz w:val="22"/>
                <w:szCs w:val="22"/>
                <w:lang w:val="sr-Latn-CS"/>
              </w:rPr>
              <w:t>ne smije se prekoračiti ukupna</w:t>
            </w:r>
            <w:r w:rsidRPr="00617E21">
              <w:rPr>
                <w:color w:val="000000"/>
                <w:sz w:val="22"/>
                <w:szCs w:val="22"/>
                <w:lang w:val="sr-Latn-CS"/>
              </w:rPr>
              <w:t xml:space="preserve"> doza od 800 mg). </w:t>
            </w:r>
            <w:r>
              <w:rPr>
                <w:color w:val="000000"/>
                <w:sz w:val="22"/>
                <w:szCs w:val="22"/>
                <w:lang w:val="sr-Latn-CS"/>
              </w:rPr>
              <w:t>Terapija</w:t>
            </w:r>
            <w:r w:rsidRPr="00617E21">
              <w:rPr>
                <w:color w:val="000000"/>
                <w:sz w:val="22"/>
                <w:szCs w:val="22"/>
                <w:lang w:val="sr-Latn-CS"/>
              </w:rPr>
              <w:t xml:space="preserve"> se može </w:t>
            </w:r>
            <w:r>
              <w:rPr>
                <w:color w:val="000000"/>
                <w:sz w:val="22"/>
                <w:szCs w:val="22"/>
                <w:lang w:val="sr-Latn-CS"/>
              </w:rPr>
              <w:t>primjenjiva</w:t>
            </w:r>
            <w:r w:rsidRPr="00617E21">
              <w:rPr>
                <w:color w:val="000000"/>
                <w:sz w:val="22"/>
                <w:szCs w:val="22"/>
                <w:lang w:val="sr-Latn-CS"/>
              </w:rPr>
              <w:t>ti u vidu jedne dnevne doze ili se dnevna doza može pod</w:t>
            </w:r>
            <w:r>
              <w:rPr>
                <w:color w:val="000000"/>
                <w:sz w:val="22"/>
                <w:szCs w:val="22"/>
                <w:lang w:val="sr-Latn-CS"/>
              </w:rPr>
              <w:t>ij</w:t>
            </w:r>
            <w:r w:rsidRPr="00617E21">
              <w:rPr>
                <w:color w:val="000000"/>
                <w:sz w:val="22"/>
                <w:szCs w:val="22"/>
                <w:lang w:val="sr-Latn-CS"/>
              </w:rPr>
              <w:t>eliti u dv</w:t>
            </w:r>
            <w:r>
              <w:rPr>
                <w:color w:val="000000"/>
                <w:sz w:val="22"/>
                <w:szCs w:val="22"/>
                <w:lang w:val="sr-Latn-CS"/>
              </w:rPr>
              <w:t>ije doze</w:t>
            </w:r>
            <w:r w:rsidRPr="00617E21">
              <w:rPr>
                <w:color w:val="000000"/>
                <w:sz w:val="22"/>
                <w:szCs w:val="22"/>
                <w:lang w:val="sr-Latn-CS"/>
              </w:rPr>
              <w:t>– jedno ujutro, a drugo uveče. P</w:t>
            </w:r>
            <w:r>
              <w:rPr>
                <w:color w:val="000000"/>
                <w:sz w:val="22"/>
                <w:szCs w:val="22"/>
                <w:lang w:val="sr-Latn-CS"/>
              </w:rPr>
              <w:t>ostojeća pre</w:t>
            </w:r>
            <w:r w:rsidRPr="00617E21">
              <w:rPr>
                <w:color w:val="000000"/>
                <w:sz w:val="22"/>
                <w:szCs w:val="22"/>
                <w:lang w:val="sr-Latn-CS"/>
              </w:rPr>
              <w:t>poru</w:t>
            </w:r>
            <w:r>
              <w:rPr>
                <w:color w:val="000000"/>
                <w:sz w:val="22"/>
                <w:szCs w:val="22"/>
                <w:lang w:val="sr-Latn-CS"/>
              </w:rPr>
              <w:t>ka</w:t>
            </w:r>
            <w:r w:rsidRPr="00617E21">
              <w:rPr>
                <w:color w:val="000000"/>
                <w:sz w:val="22"/>
                <w:szCs w:val="22"/>
                <w:lang w:val="sr-Latn-CS"/>
              </w:rPr>
              <w:t xml:space="preserve"> doz</w:t>
            </w:r>
            <w:r>
              <w:rPr>
                <w:color w:val="000000"/>
                <w:sz w:val="22"/>
                <w:szCs w:val="22"/>
                <w:lang w:val="sr-Latn-CS"/>
              </w:rPr>
              <w:t>iranja je</w:t>
            </w:r>
            <w:r w:rsidRPr="00617E21">
              <w:rPr>
                <w:color w:val="000000"/>
                <w:sz w:val="22"/>
                <w:szCs w:val="22"/>
                <w:lang w:val="sr-Latn-CS"/>
              </w:rPr>
              <w:t xml:space="preserve"> zasnovana na malom broju pedijatrijskih </w:t>
            </w:r>
            <w:r>
              <w:rPr>
                <w:color w:val="000000"/>
                <w:sz w:val="22"/>
                <w:szCs w:val="22"/>
                <w:lang w:val="sr-Latn-CS"/>
              </w:rPr>
              <w:t>pacijenata</w:t>
            </w:r>
            <w:r w:rsidRPr="00617E21">
              <w:rPr>
                <w:color w:val="000000"/>
                <w:sz w:val="22"/>
                <w:szCs w:val="22"/>
                <w:lang w:val="sr-Latn-CS"/>
              </w:rPr>
              <w:t xml:space="preserve"> (</w:t>
            </w:r>
            <w:r>
              <w:rPr>
                <w:color w:val="000000"/>
                <w:sz w:val="22"/>
                <w:szCs w:val="22"/>
                <w:lang w:val="sr-Latn-CS"/>
              </w:rPr>
              <w:t>vidjet</w:t>
            </w:r>
            <w:r w:rsidRPr="00617E21">
              <w:rPr>
                <w:color w:val="000000"/>
                <w:sz w:val="22"/>
                <w:szCs w:val="22"/>
                <w:lang w:val="sr-Latn-CS"/>
              </w:rPr>
              <w:t xml:space="preserve">i </w:t>
            </w:r>
            <w:r>
              <w:rPr>
                <w:color w:val="000000"/>
                <w:sz w:val="22"/>
                <w:szCs w:val="22"/>
                <w:lang w:val="sr-Latn-CS"/>
              </w:rPr>
              <w:t>odjelj</w:t>
            </w:r>
            <w:r w:rsidRPr="00617E21">
              <w:rPr>
                <w:color w:val="000000"/>
                <w:sz w:val="22"/>
                <w:szCs w:val="22"/>
                <w:lang w:val="sr-Latn-CS"/>
              </w:rPr>
              <w:t>ak 5.1 i 5.2).</w:t>
            </w:r>
          </w:p>
          <w:p w:rsidR="000A2337" w:rsidRDefault="000A2337" w:rsidP="00161AB3">
            <w:pPr>
              <w:shd w:val="clear" w:color="auto" w:fill="FFFFFF"/>
              <w:jc w:val="both"/>
              <w:rPr>
                <w:color w:val="000000"/>
                <w:sz w:val="22"/>
                <w:szCs w:val="22"/>
                <w:lang w:val="sr-Latn-CS"/>
              </w:rPr>
            </w:pPr>
            <w:r>
              <w:rPr>
                <w:color w:val="000000"/>
                <w:sz w:val="22"/>
                <w:szCs w:val="22"/>
                <w:lang w:val="sr-Latn-CS"/>
              </w:rPr>
              <w:t>Nema</w:t>
            </w:r>
            <w:r w:rsidRPr="00617E21">
              <w:rPr>
                <w:color w:val="000000"/>
                <w:sz w:val="22"/>
                <w:szCs w:val="22"/>
                <w:lang w:val="sr-Latn-CS"/>
              </w:rPr>
              <w:t xml:space="preserve"> iskustava sa </w:t>
            </w:r>
            <w:r>
              <w:rPr>
                <w:color w:val="000000"/>
                <w:sz w:val="22"/>
                <w:szCs w:val="22"/>
                <w:lang w:val="sr-Latn-CS"/>
              </w:rPr>
              <w:t>liječenjem</w:t>
            </w:r>
            <w:r w:rsidRPr="00617E21">
              <w:rPr>
                <w:color w:val="000000"/>
                <w:sz w:val="22"/>
                <w:szCs w:val="22"/>
                <w:lang w:val="sr-Latn-CS"/>
              </w:rPr>
              <w:t xml:space="preserve"> </w:t>
            </w:r>
            <w:r>
              <w:rPr>
                <w:color w:val="000000"/>
                <w:sz w:val="22"/>
                <w:szCs w:val="22"/>
                <w:lang w:val="sr-Latn-CS"/>
              </w:rPr>
              <w:t xml:space="preserve">djece mlađe </w:t>
            </w:r>
            <w:r w:rsidRPr="00617E21">
              <w:rPr>
                <w:color w:val="000000"/>
                <w:sz w:val="22"/>
                <w:szCs w:val="22"/>
                <w:lang w:val="sr-Latn-CS"/>
              </w:rPr>
              <w:t>od 2 godine starosti.</w:t>
            </w:r>
          </w:p>
          <w:p w:rsidR="000A2337" w:rsidRDefault="000A2337" w:rsidP="00161AB3">
            <w:pPr>
              <w:shd w:val="clear" w:color="auto" w:fill="FFFFFF"/>
              <w:jc w:val="both"/>
              <w:rPr>
                <w:color w:val="000000"/>
                <w:sz w:val="22"/>
                <w:szCs w:val="22"/>
                <w:lang w:val="sr-Latn-CS"/>
              </w:rPr>
            </w:pPr>
          </w:p>
          <w:p w:rsidR="000A2337" w:rsidRPr="00617E21" w:rsidRDefault="000A2337" w:rsidP="00161AB3">
            <w:pPr>
              <w:shd w:val="clear" w:color="auto" w:fill="FFFFFF"/>
              <w:jc w:val="both"/>
              <w:rPr>
                <w:sz w:val="22"/>
                <w:szCs w:val="22"/>
                <w:lang w:val="sr-Latn-CS"/>
              </w:rPr>
            </w:pPr>
            <w:r w:rsidRPr="00617E21">
              <w:rPr>
                <w:color w:val="000000"/>
                <w:sz w:val="22"/>
                <w:szCs w:val="22"/>
                <w:lang w:val="sr-Latn-CS"/>
              </w:rPr>
              <w:lastRenderedPageBreak/>
              <w:t>Povećanje doze od 340 mg/m</w:t>
            </w:r>
            <w:r w:rsidRPr="00617E21">
              <w:rPr>
                <w:color w:val="000000"/>
                <w:sz w:val="22"/>
                <w:szCs w:val="22"/>
                <w:vertAlign w:val="superscript"/>
                <w:lang w:val="sr-Latn-CS"/>
              </w:rPr>
              <w:t>2</w:t>
            </w:r>
            <w:r w:rsidRPr="00617E21">
              <w:rPr>
                <w:color w:val="000000"/>
                <w:sz w:val="22"/>
                <w:szCs w:val="22"/>
                <w:lang w:val="sr-Latn-CS"/>
              </w:rPr>
              <w:t xml:space="preserve"> dnevno do 570 mg/m</w:t>
            </w:r>
            <w:r w:rsidRPr="00617E21">
              <w:rPr>
                <w:color w:val="000000"/>
                <w:sz w:val="22"/>
                <w:szCs w:val="22"/>
                <w:vertAlign w:val="superscript"/>
                <w:lang w:val="sr-Latn-CS"/>
              </w:rPr>
              <w:t>2</w:t>
            </w:r>
            <w:r w:rsidRPr="00617E21">
              <w:rPr>
                <w:color w:val="000000"/>
                <w:sz w:val="22"/>
                <w:szCs w:val="22"/>
                <w:lang w:val="sr-Latn-CS"/>
              </w:rPr>
              <w:t xml:space="preserve"> dnevno (ne </w:t>
            </w:r>
            <w:r>
              <w:rPr>
                <w:color w:val="000000"/>
                <w:sz w:val="22"/>
                <w:szCs w:val="22"/>
                <w:lang w:val="sr-Latn-CS"/>
              </w:rPr>
              <w:t>smije se prekoračiti</w:t>
            </w:r>
            <w:r w:rsidRPr="00617E21">
              <w:rPr>
                <w:color w:val="000000"/>
                <w:sz w:val="22"/>
                <w:szCs w:val="22"/>
                <w:lang w:val="sr-Latn-CS"/>
              </w:rPr>
              <w:t xml:space="preserve"> ukupna doza od 800 mg) može</w:t>
            </w:r>
            <w:r>
              <w:rPr>
                <w:color w:val="000000"/>
                <w:sz w:val="22"/>
                <w:szCs w:val="22"/>
                <w:lang w:val="sr-Latn-CS"/>
              </w:rPr>
              <w:t xml:space="preserve"> se razmotriti kod djece kod kojih</w:t>
            </w:r>
            <w:r w:rsidRPr="00617E21">
              <w:rPr>
                <w:color w:val="000000"/>
                <w:sz w:val="22"/>
                <w:szCs w:val="22"/>
                <w:lang w:val="sr-Latn-CS"/>
              </w:rPr>
              <w:t xml:space="preserve"> nema</w:t>
            </w:r>
            <w:r>
              <w:rPr>
                <w:color w:val="000000"/>
                <w:sz w:val="22"/>
                <w:szCs w:val="22"/>
                <w:lang w:val="sr-Latn-CS"/>
              </w:rPr>
              <w:t xml:space="preserve"> </w:t>
            </w:r>
            <w:r w:rsidRPr="00617E21">
              <w:rPr>
                <w:color w:val="000000"/>
                <w:sz w:val="22"/>
                <w:szCs w:val="22"/>
                <w:lang w:val="sr-Latn-CS"/>
              </w:rPr>
              <w:t xml:space="preserve">teških </w:t>
            </w:r>
            <w:r>
              <w:rPr>
                <w:color w:val="000000"/>
                <w:sz w:val="22"/>
                <w:szCs w:val="22"/>
                <w:lang w:val="sr-Latn-CS"/>
              </w:rPr>
              <w:t>neželjenih reakcija na lijek, ni teške,</w:t>
            </w:r>
            <w:r w:rsidRPr="00617E21">
              <w:rPr>
                <w:color w:val="000000"/>
                <w:sz w:val="22"/>
                <w:szCs w:val="22"/>
                <w:lang w:val="sr-Latn-CS"/>
              </w:rPr>
              <w:t xml:space="preserve"> za leukemiju neve</w:t>
            </w:r>
            <w:r>
              <w:rPr>
                <w:color w:val="000000"/>
                <w:sz w:val="22"/>
                <w:szCs w:val="22"/>
                <w:lang w:val="sr-Latn-CS"/>
              </w:rPr>
              <w:t>zane, neutropenije ili trombocitopenije</w:t>
            </w:r>
            <w:r w:rsidRPr="00617E21">
              <w:rPr>
                <w:color w:val="000000"/>
                <w:sz w:val="22"/>
                <w:szCs w:val="22"/>
                <w:lang w:val="sr-Latn-CS"/>
              </w:rPr>
              <w:t xml:space="preserve"> u sl</w:t>
            </w:r>
            <w:r>
              <w:rPr>
                <w:color w:val="000000"/>
                <w:sz w:val="22"/>
                <w:szCs w:val="22"/>
                <w:lang w:val="sr-Latn-CS"/>
              </w:rPr>
              <w:t>j</w:t>
            </w:r>
            <w:r w:rsidRPr="00617E21">
              <w:rPr>
                <w:color w:val="000000"/>
                <w:sz w:val="22"/>
                <w:szCs w:val="22"/>
                <w:lang w:val="sr-Latn-CS"/>
              </w:rPr>
              <w:t>edećim okolnostima: progresija bolesti (u bilo koje</w:t>
            </w:r>
            <w:r>
              <w:rPr>
                <w:color w:val="000000"/>
                <w:sz w:val="22"/>
                <w:szCs w:val="22"/>
                <w:lang w:val="sr-Latn-CS"/>
              </w:rPr>
              <w:t>m trenutku</w:t>
            </w:r>
            <w:r w:rsidRPr="00617E21">
              <w:rPr>
                <w:color w:val="000000"/>
                <w:sz w:val="22"/>
                <w:szCs w:val="22"/>
                <w:lang w:val="sr-Latn-CS"/>
              </w:rPr>
              <w:t>); ne</w:t>
            </w:r>
            <w:r>
              <w:rPr>
                <w:color w:val="000000"/>
                <w:sz w:val="22"/>
                <w:szCs w:val="22"/>
                <w:lang w:val="sr-Latn-CS"/>
              </w:rPr>
              <w:t>uspjeh</w:t>
            </w:r>
            <w:r w:rsidRPr="00617E21">
              <w:rPr>
                <w:color w:val="000000"/>
                <w:sz w:val="22"/>
                <w:szCs w:val="22"/>
                <w:lang w:val="sr-Latn-CS"/>
              </w:rPr>
              <w:t xml:space="preserve"> </w:t>
            </w:r>
            <w:r>
              <w:rPr>
                <w:color w:val="000000"/>
                <w:sz w:val="22"/>
                <w:szCs w:val="22"/>
                <w:lang w:val="sr-Latn-CS"/>
              </w:rPr>
              <w:t>u postizanju</w:t>
            </w:r>
            <w:r w:rsidRPr="00617E21">
              <w:rPr>
                <w:color w:val="000000"/>
                <w:sz w:val="22"/>
                <w:szCs w:val="22"/>
                <w:lang w:val="sr-Latn-CS"/>
              </w:rPr>
              <w:t xml:space="preserve"> zadov</w:t>
            </w:r>
            <w:r>
              <w:rPr>
                <w:color w:val="000000"/>
                <w:sz w:val="22"/>
                <w:szCs w:val="22"/>
                <w:lang w:val="sr-Latn-CS"/>
              </w:rPr>
              <w:t>oljavajućeg hematološkog odgovora nakon liječenja u trajanju od</w:t>
            </w:r>
            <w:r w:rsidRPr="00617E21">
              <w:rPr>
                <w:color w:val="000000"/>
                <w:sz w:val="22"/>
                <w:szCs w:val="22"/>
                <w:lang w:val="sr-Latn-CS"/>
              </w:rPr>
              <w:t xml:space="preserve"> najmanje 3 </w:t>
            </w:r>
            <w:r>
              <w:rPr>
                <w:color w:val="000000"/>
                <w:sz w:val="22"/>
                <w:szCs w:val="22"/>
                <w:lang w:val="sr-Latn-CS"/>
              </w:rPr>
              <w:t>mjeseca; neuspjeh u postizanju citogenetskog odgovora  nakon 12 mjeseci terapije; ili gubitak</w:t>
            </w:r>
            <w:r w:rsidRPr="00617E21">
              <w:rPr>
                <w:color w:val="000000"/>
                <w:sz w:val="22"/>
                <w:szCs w:val="22"/>
                <w:lang w:val="sr-Latn-CS"/>
              </w:rPr>
              <w:t xml:space="preserve"> prethodno postignutog hematološkog i/ili c</w:t>
            </w:r>
            <w:r>
              <w:rPr>
                <w:color w:val="000000"/>
                <w:sz w:val="22"/>
                <w:szCs w:val="22"/>
                <w:lang w:val="sr-Latn-CS"/>
              </w:rPr>
              <w:t xml:space="preserve">itogenetskog odgovora. Pacijente </w:t>
            </w:r>
            <w:r w:rsidRPr="00617E21">
              <w:rPr>
                <w:color w:val="000000"/>
                <w:sz w:val="22"/>
                <w:szCs w:val="22"/>
                <w:lang w:val="sr-Latn-CS"/>
              </w:rPr>
              <w:t xml:space="preserve">treba pažljivo pratiti nakon povećavanja doza s obzirom na potencijal za povećanu incidencu neželjenih </w:t>
            </w:r>
            <w:r>
              <w:rPr>
                <w:color w:val="000000"/>
                <w:sz w:val="22"/>
                <w:szCs w:val="22"/>
                <w:lang w:val="sr-Latn-CS"/>
              </w:rPr>
              <w:t>reakcija</w:t>
            </w:r>
            <w:r w:rsidRPr="00617E21">
              <w:rPr>
                <w:color w:val="000000"/>
                <w:sz w:val="22"/>
                <w:szCs w:val="22"/>
                <w:lang w:val="sr-Latn-CS"/>
              </w:rPr>
              <w:t xml:space="preserve"> pri višim dozama.</w:t>
            </w:r>
          </w:p>
          <w:p w:rsidR="000A2337" w:rsidRDefault="000A2337" w:rsidP="00161AB3">
            <w:pPr>
              <w:shd w:val="clear" w:color="auto" w:fill="FFFFFF"/>
              <w:jc w:val="both"/>
              <w:rPr>
                <w:color w:val="000000"/>
                <w:sz w:val="22"/>
                <w:szCs w:val="22"/>
                <w:u w:val="single"/>
                <w:lang w:val="sr-Latn-CS"/>
              </w:rPr>
            </w:pPr>
          </w:p>
          <w:p w:rsidR="000A2337" w:rsidRPr="00901199" w:rsidRDefault="000A2337" w:rsidP="00161AB3">
            <w:pPr>
              <w:shd w:val="clear" w:color="auto" w:fill="FFFFFF"/>
              <w:jc w:val="both"/>
              <w:rPr>
                <w:color w:val="000000"/>
                <w:sz w:val="22"/>
                <w:szCs w:val="22"/>
                <w:u w:val="single"/>
                <w:lang w:val="sr-Latn-CS"/>
              </w:rPr>
            </w:pPr>
            <w:r>
              <w:rPr>
                <w:color w:val="000000"/>
                <w:sz w:val="22"/>
                <w:szCs w:val="22"/>
                <w:u w:val="single"/>
                <w:lang w:val="sr-Latn-CS"/>
              </w:rPr>
              <w:t>D</w:t>
            </w:r>
            <w:r w:rsidRPr="00901199">
              <w:rPr>
                <w:color w:val="000000"/>
                <w:sz w:val="22"/>
                <w:szCs w:val="22"/>
                <w:u w:val="single"/>
                <w:lang w:val="sr-Latn-CS"/>
              </w:rPr>
              <w:t xml:space="preserve">oziranje za Ph+ </w:t>
            </w:r>
            <w:smartTag w:uri="urn:schemas-microsoft-com:office:smarttags" w:element="stockticker">
              <w:r w:rsidRPr="00901199">
                <w:rPr>
                  <w:color w:val="000000"/>
                  <w:sz w:val="22"/>
                  <w:szCs w:val="22"/>
                  <w:u w:val="single"/>
                  <w:lang w:val="sr-Latn-CS"/>
                </w:rPr>
                <w:t>ALL</w:t>
              </w:r>
            </w:smartTag>
          </w:p>
          <w:p w:rsidR="000A2337" w:rsidRDefault="000A2337" w:rsidP="00161AB3">
            <w:pPr>
              <w:shd w:val="clear" w:color="auto" w:fill="FFFFFF"/>
              <w:jc w:val="both"/>
              <w:rPr>
                <w:color w:val="000000"/>
                <w:sz w:val="22"/>
                <w:szCs w:val="22"/>
                <w:lang w:val="sr-Latn-CS"/>
              </w:rPr>
            </w:pPr>
            <w:r>
              <w:rPr>
                <w:color w:val="000000"/>
                <w:sz w:val="22"/>
                <w:szCs w:val="22"/>
                <w:lang w:val="sr-Latn-CS"/>
              </w:rPr>
              <w:t>Za odrasle pacijente sa Ph+</w:t>
            </w:r>
            <w:smartTag w:uri="urn:schemas-microsoft-com:office:smarttags" w:element="stockticker">
              <w:r w:rsidRPr="00901199">
                <w:rPr>
                  <w:color w:val="000000"/>
                  <w:sz w:val="22"/>
                  <w:szCs w:val="22"/>
                  <w:lang w:val="sr-Latn-CS"/>
                </w:rPr>
                <w:t>ALL</w:t>
              </w:r>
              <w:r>
                <w:rPr>
                  <w:color w:val="000000"/>
                  <w:sz w:val="22"/>
                  <w:szCs w:val="22"/>
                  <w:lang w:val="sr-Latn-CS"/>
                </w:rPr>
                <w:t>-om</w:t>
              </w:r>
            </w:smartTag>
            <w:r w:rsidRPr="00901199">
              <w:rPr>
                <w:color w:val="000000"/>
                <w:sz w:val="22"/>
                <w:szCs w:val="22"/>
                <w:lang w:val="sr-Latn-CS"/>
              </w:rPr>
              <w:t xml:space="preserve"> </w:t>
            </w:r>
            <w:r>
              <w:rPr>
                <w:color w:val="000000"/>
                <w:sz w:val="22"/>
                <w:szCs w:val="22"/>
                <w:lang w:val="sr-Latn-CS"/>
              </w:rPr>
              <w:t>p</w:t>
            </w:r>
            <w:r w:rsidRPr="00901199">
              <w:rPr>
                <w:color w:val="000000"/>
                <w:sz w:val="22"/>
                <w:szCs w:val="22"/>
                <w:lang w:val="sr-Latn-CS"/>
              </w:rPr>
              <w:t xml:space="preserve">reporučena doza </w:t>
            </w:r>
            <w:r>
              <w:rPr>
                <w:color w:val="000000"/>
                <w:sz w:val="22"/>
                <w:szCs w:val="22"/>
                <w:lang w:val="sr-Latn-CS"/>
              </w:rPr>
              <w:t xml:space="preserve">lijeka </w:t>
            </w:r>
            <w:r>
              <w:rPr>
                <w:bCs/>
                <w:sz w:val="22"/>
                <w:szCs w:val="22"/>
                <w:lang w:val="da-DK"/>
              </w:rPr>
              <w:t>Imatinib Teva</w:t>
            </w:r>
            <w:r w:rsidRPr="00750E3C">
              <w:rPr>
                <w:bCs/>
                <w:sz w:val="22"/>
                <w:szCs w:val="22"/>
                <w:vertAlign w:val="superscript"/>
                <w:lang w:val="da-DK"/>
              </w:rPr>
              <w:t xml:space="preserve"> </w:t>
            </w:r>
            <w:r>
              <w:rPr>
                <w:color w:val="000000"/>
                <w:sz w:val="22"/>
                <w:szCs w:val="22"/>
                <w:lang w:val="sr-Latn-CS"/>
              </w:rPr>
              <w:t>je 600 mg/dan</w:t>
            </w:r>
            <w:r w:rsidRPr="00901199">
              <w:rPr>
                <w:color w:val="000000"/>
                <w:sz w:val="22"/>
                <w:szCs w:val="22"/>
                <w:lang w:val="sr-Latn-CS"/>
              </w:rPr>
              <w:t xml:space="preserve">. </w:t>
            </w:r>
            <w:r>
              <w:rPr>
                <w:color w:val="000000"/>
                <w:sz w:val="22"/>
                <w:szCs w:val="22"/>
                <w:lang w:val="sr-Latn-CS"/>
              </w:rPr>
              <w:t>Specijalisti hematolozi uključeni u liječenje</w:t>
            </w:r>
            <w:r w:rsidRPr="00901199">
              <w:rPr>
                <w:color w:val="000000"/>
                <w:sz w:val="22"/>
                <w:szCs w:val="22"/>
                <w:lang w:val="sr-Latn-CS"/>
              </w:rPr>
              <w:t xml:space="preserve"> ove bolesti treba da nadgledaju terapiju tokom svih faza</w:t>
            </w:r>
            <w:r>
              <w:rPr>
                <w:color w:val="000000"/>
                <w:sz w:val="22"/>
                <w:szCs w:val="22"/>
                <w:lang w:val="sr-Latn-CS"/>
              </w:rPr>
              <w:t xml:space="preserve"> liječenja.</w:t>
            </w:r>
          </w:p>
          <w:p w:rsidR="000A2337" w:rsidRPr="00901199" w:rsidRDefault="000A2337" w:rsidP="00161AB3">
            <w:pPr>
              <w:shd w:val="clear" w:color="auto" w:fill="FFFFFF"/>
              <w:jc w:val="both"/>
              <w:rPr>
                <w:sz w:val="22"/>
                <w:szCs w:val="22"/>
                <w:lang w:val="sr-Latn-CS"/>
              </w:rPr>
            </w:pPr>
          </w:p>
          <w:p w:rsidR="000A2337" w:rsidRPr="001325ED" w:rsidRDefault="000A2337" w:rsidP="00161AB3">
            <w:pPr>
              <w:shd w:val="clear" w:color="auto" w:fill="FFFFFF"/>
              <w:jc w:val="both"/>
              <w:rPr>
                <w:color w:val="000000"/>
                <w:sz w:val="22"/>
                <w:szCs w:val="22"/>
                <w:lang w:val="sr-Latn-CS"/>
              </w:rPr>
            </w:pPr>
            <w:r>
              <w:rPr>
                <w:color w:val="000000"/>
                <w:sz w:val="22"/>
                <w:szCs w:val="22"/>
                <w:lang w:val="sr-Latn-CS"/>
              </w:rPr>
              <w:t>Plan terapije</w:t>
            </w:r>
            <w:r w:rsidRPr="00901199">
              <w:rPr>
                <w:color w:val="000000"/>
                <w:sz w:val="22"/>
                <w:szCs w:val="22"/>
                <w:lang w:val="sr-Latn-CS"/>
              </w:rPr>
              <w:t xml:space="preserve">: Na osnovu postojećih podataka, </w:t>
            </w:r>
            <w:r>
              <w:rPr>
                <w:bCs/>
                <w:sz w:val="22"/>
                <w:szCs w:val="22"/>
                <w:lang w:val="da-DK"/>
              </w:rPr>
              <w:t>imatinib</w:t>
            </w:r>
            <w:r w:rsidRPr="00901199">
              <w:rPr>
                <w:color w:val="000000"/>
                <w:sz w:val="22"/>
                <w:szCs w:val="22"/>
                <w:lang w:val="sr-Latn-CS"/>
              </w:rPr>
              <w:t xml:space="preserve"> </w:t>
            </w:r>
            <w:r>
              <w:rPr>
                <w:color w:val="000000"/>
                <w:sz w:val="22"/>
                <w:szCs w:val="22"/>
                <w:lang w:val="sr-Latn-CS"/>
              </w:rPr>
              <w:t>se pokazao</w:t>
            </w:r>
            <w:r w:rsidRPr="00901199">
              <w:rPr>
                <w:color w:val="000000"/>
                <w:sz w:val="22"/>
                <w:szCs w:val="22"/>
                <w:lang w:val="sr-Latn-CS"/>
              </w:rPr>
              <w:t xml:space="preserve"> efikasan i bezb</w:t>
            </w:r>
            <w:r>
              <w:rPr>
                <w:color w:val="000000"/>
                <w:sz w:val="22"/>
                <w:szCs w:val="22"/>
                <w:lang w:val="sr-Latn-CS"/>
              </w:rPr>
              <w:t>j</w:t>
            </w:r>
            <w:r w:rsidRPr="00901199">
              <w:rPr>
                <w:color w:val="000000"/>
                <w:sz w:val="22"/>
                <w:szCs w:val="22"/>
                <w:lang w:val="sr-Latn-CS"/>
              </w:rPr>
              <w:t xml:space="preserve">edan </w:t>
            </w:r>
            <w:r>
              <w:rPr>
                <w:color w:val="000000"/>
                <w:sz w:val="22"/>
                <w:szCs w:val="22"/>
                <w:lang w:val="sr-Latn-CS"/>
              </w:rPr>
              <w:t xml:space="preserve">u dozi od </w:t>
            </w:r>
            <w:r w:rsidRPr="00901199">
              <w:rPr>
                <w:color w:val="000000"/>
                <w:sz w:val="22"/>
                <w:szCs w:val="22"/>
                <w:lang w:val="sr-Latn-CS"/>
              </w:rPr>
              <w:t>600 mg/dan u kombinaciji sa hemoterapijom u fazi indukci</w:t>
            </w:r>
            <w:r>
              <w:rPr>
                <w:color w:val="000000"/>
                <w:sz w:val="22"/>
                <w:szCs w:val="22"/>
                <w:lang w:val="sr-Latn-CS"/>
              </w:rPr>
              <w:t>je, fazi</w:t>
            </w:r>
            <w:r w:rsidRPr="00901199">
              <w:rPr>
                <w:color w:val="000000"/>
                <w:sz w:val="22"/>
                <w:szCs w:val="22"/>
                <w:lang w:val="sr-Latn-CS"/>
              </w:rPr>
              <w:t xml:space="preserve"> konsolidacije i </w:t>
            </w:r>
            <w:r>
              <w:rPr>
                <w:color w:val="000000"/>
                <w:sz w:val="22"/>
                <w:szCs w:val="22"/>
                <w:lang w:val="sr-Latn-CS"/>
              </w:rPr>
              <w:t xml:space="preserve">fazi </w:t>
            </w:r>
            <w:r w:rsidRPr="00901199">
              <w:rPr>
                <w:color w:val="000000"/>
                <w:sz w:val="22"/>
                <w:szCs w:val="22"/>
                <w:lang w:val="sr-Latn-CS"/>
              </w:rPr>
              <w:t>održavanja hemo</w:t>
            </w:r>
            <w:r>
              <w:rPr>
                <w:color w:val="000000"/>
                <w:sz w:val="22"/>
                <w:szCs w:val="22"/>
                <w:lang w:val="sr-Latn-CS"/>
              </w:rPr>
              <w:t>terapije (vidjeti odjeljak 5.1) kod odraslih pacijenata sa novodijagnostikovano</w:t>
            </w:r>
            <w:r w:rsidRPr="00901199">
              <w:rPr>
                <w:color w:val="000000"/>
                <w:sz w:val="22"/>
                <w:szCs w:val="22"/>
                <w:lang w:val="sr-Latn-CS"/>
              </w:rPr>
              <w:t xml:space="preserve">m Ph+ </w:t>
            </w:r>
            <w:smartTag w:uri="urn:schemas-microsoft-com:office:smarttags" w:element="stockticker">
              <w:r w:rsidRPr="00901199">
                <w:rPr>
                  <w:color w:val="000000"/>
                  <w:sz w:val="22"/>
                  <w:szCs w:val="22"/>
                  <w:lang w:val="sr-Latn-CS"/>
                </w:rPr>
                <w:t>ALL</w:t>
              </w:r>
            </w:smartTag>
            <w:r w:rsidRPr="00901199">
              <w:rPr>
                <w:color w:val="000000"/>
                <w:sz w:val="22"/>
                <w:szCs w:val="22"/>
                <w:lang w:val="sr-Latn-CS"/>
              </w:rPr>
              <w:t xml:space="preserve">. Trajanje terapije </w:t>
            </w:r>
            <w:r>
              <w:rPr>
                <w:color w:val="000000"/>
                <w:sz w:val="22"/>
                <w:szCs w:val="22"/>
                <w:lang w:val="sr-Latn-CS"/>
              </w:rPr>
              <w:t xml:space="preserve">lijekom </w:t>
            </w:r>
            <w:r>
              <w:rPr>
                <w:bCs/>
                <w:sz w:val="22"/>
                <w:szCs w:val="22"/>
                <w:lang w:val="da-DK"/>
              </w:rPr>
              <w:t>Imatinib</w:t>
            </w:r>
            <w:r w:rsidRPr="00901199">
              <w:rPr>
                <w:color w:val="000000"/>
                <w:sz w:val="22"/>
                <w:szCs w:val="22"/>
                <w:lang w:val="sr-Latn-CS"/>
              </w:rPr>
              <w:t xml:space="preserve"> </w:t>
            </w:r>
            <w:r>
              <w:rPr>
                <w:color w:val="000000"/>
                <w:sz w:val="22"/>
                <w:szCs w:val="22"/>
                <w:lang w:val="sr-Latn-CS"/>
              </w:rPr>
              <w:t xml:space="preserve">Teva </w:t>
            </w:r>
            <w:r w:rsidRPr="00901199">
              <w:rPr>
                <w:color w:val="000000"/>
                <w:sz w:val="22"/>
                <w:szCs w:val="22"/>
                <w:lang w:val="sr-Latn-CS"/>
              </w:rPr>
              <w:t xml:space="preserve">može </w:t>
            </w:r>
            <w:r>
              <w:rPr>
                <w:color w:val="000000"/>
                <w:sz w:val="22"/>
                <w:szCs w:val="22"/>
                <w:lang w:val="sr-Latn-CS"/>
              </w:rPr>
              <w:t>se razlikovati s obzirom</w:t>
            </w:r>
            <w:r w:rsidRPr="00901199">
              <w:rPr>
                <w:color w:val="000000"/>
                <w:sz w:val="22"/>
                <w:szCs w:val="22"/>
                <w:lang w:val="sr-Latn-CS"/>
              </w:rPr>
              <w:t xml:space="preserve"> </w:t>
            </w:r>
            <w:r>
              <w:rPr>
                <w:color w:val="000000"/>
                <w:sz w:val="22"/>
                <w:szCs w:val="22"/>
                <w:lang w:val="sr-Latn-CS"/>
              </w:rPr>
              <w:t>na odabrani</w:t>
            </w:r>
            <w:r w:rsidRPr="00901199">
              <w:rPr>
                <w:color w:val="000000"/>
                <w:sz w:val="22"/>
                <w:szCs w:val="22"/>
                <w:lang w:val="sr-Latn-CS"/>
              </w:rPr>
              <w:t xml:space="preserve"> program </w:t>
            </w:r>
            <w:r>
              <w:rPr>
                <w:color w:val="000000"/>
                <w:sz w:val="22"/>
                <w:szCs w:val="22"/>
                <w:lang w:val="sr-Latn-CS"/>
              </w:rPr>
              <w:t>liječ</w:t>
            </w:r>
            <w:r w:rsidRPr="00901199">
              <w:rPr>
                <w:color w:val="000000"/>
                <w:sz w:val="22"/>
                <w:szCs w:val="22"/>
                <w:lang w:val="sr-Latn-CS"/>
              </w:rPr>
              <w:t xml:space="preserve">enja, ali </w:t>
            </w:r>
            <w:r>
              <w:rPr>
                <w:color w:val="000000"/>
                <w:sz w:val="22"/>
                <w:szCs w:val="22"/>
                <w:lang w:val="sr-Latn-CS"/>
              </w:rPr>
              <w:t>uglavnom,</w:t>
            </w:r>
            <w:r w:rsidRPr="00901199">
              <w:rPr>
                <w:color w:val="000000"/>
                <w:sz w:val="22"/>
                <w:szCs w:val="22"/>
                <w:lang w:val="sr-Latn-CS"/>
              </w:rPr>
              <w:t xml:space="preserve"> duž</w:t>
            </w:r>
            <w:r>
              <w:rPr>
                <w:color w:val="000000"/>
                <w:sz w:val="22"/>
                <w:szCs w:val="22"/>
                <w:lang w:val="sr-Latn-CS"/>
              </w:rPr>
              <w:t>e</w:t>
            </w:r>
            <w:r w:rsidRPr="00901199">
              <w:rPr>
                <w:color w:val="000000"/>
                <w:sz w:val="22"/>
                <w:szCs w:val="22"/>
                <w:lang w:val="sr-Latn-CS"/>
              </w:rPr>
              <w:t xml:space="preserve"> izlaganj</w:t>
            </w:r>
            <w:r>
              <w:rPr>
                <w:color w:val="000000"/>
                <w:sz w:val="22"/>
                <w:szCs w:val="22"/>
                <w:lang w:val="sr-Latn-CS"/>
              </w:rPr>
              <w:t>e</w:t>
            </w:r>
            <w:r w:rsidRPr="00901199">
              <w:rPr>
                <w:color w:val="000000"/>
                <w:sz w:val="22"/>
                <w:szCs w:val="22"/>
                <w:lang w:val="sr-Latn-CS"/>
              </w:rPr>
              <w:t xml:space="preserve"> </w:t>
            </w:r>
            <w:r>
              <w:rPr>
                <w:color w:val="000000"/>
                <w:sz w:val="22"/>
                <w:szCs w:val="22"/>
                <w:lang w:val="sr-Latn-CS"/>
              </w:rPr>
              <w:t xml:space="preserve">lijeku </w:t>
            </w:r>
            <w:r>
              <w:rPr>
                <w:bCs/>
                <w:sz w:val="22"/>
                <w:szCs w:val="22"/>
                <w:lang w:val="da-DK"/>
              </w:rPr>
              <w:t>Imatinib Teva</w:t>
            </w:r>
            <w:r>
              <w:rPr>
                <w:bCs/>
                <w:sz w:val="22"/>
                <w:szCs w:val="22"/>
                <w:vertAlign w:val="superscript"/>
                <w:lang w:val="da-DK"/>
              </w:rPr>
              <w:t xml:space="preserve"> </w:t>
            </w:r>
            <w:r w:rsidRPr="00750E3C">
              <w:rPr>
                <w:bCs/>
                <w:sz w:val="22"/>
                <w:szCs w:val="22"/>
                <w:vertAlign w:val="superscript"/>
                <w:lang w:val="da-DK"/>
              </w:rPr>
              <w:t xml:space="preserve"> </w:t>
            </w:r>
            <w:r>
              <w:rPr>
                <w:color w:val="000000"/>
                <w:sz w:val="22"/>
                <w:szCs w:val="22"/>
                <w:lang w:val="sr-Latn-CS"/>
              </w:rPr>
              <w:t>je d</w:t>
            </w:r>
            <w:r w:rsidRPr="00901199">
              <w:rPr>
                <w:color w:val="000000"/>
                <w:sz w:val="22"/>
                <w:szCs w:val="22"/>
                <w:lang w:val="sr-Latn-CS"/>
              </w:rPr>
              <w:t>a</w:t>
            </w:r>
            <w:r>
              <w:rPr>
                <w:color w:val="000000"/>
                <w:sz w:val="22"/>
                <w:szCs w:val="22"/>
                <w:lang w:val="sr-Latn-CS"/>
              </w:rPr>
              <w:t>lo</w:t>
            </w:r>
            <w:r w:rsidRPr="00901199">
              <w:rPr>
                <w:color w:val="000000"/>
                <w:sz w:val="22"/>
                <w:szCs w:val="22"/>
                <w:lang w:val="sr-Latn-CS"/>
              </w:rPr>
              <w:t xml:space="preserve"> bolje rezultate.</w:t>
            </w:r>
          </w:p>
          <w:p w:rsidR="000A2337" w:rsidRPr="001C3D7A" w:rsidRDefault="000A2337" w:rsidP="00161AB3">
            <w:pPr>
              <w:shd w:val="clear" w:color="auto" w:fill="FFFFFF"/>
              <w:jc w:val="both"/>
              <w:rPr>
                <w:sz w:val="22"/>
                <w:szCs w:val="22"/>
                <w:lang w:val="sr-Latn-CS"/>
              </w:rPr>
            </w:pPr>
            <w:r>
              <w:rPr>
                <w:color w:val="000000"/>
                <w:sz w:val="22"/>
                <w:szCs w:val="22"/>
                <w:lang w:val="sr-Latn-CS"/>
              </w:rPr>
              <w:t>Kod odraslih pacijenata</w:t>
            </w:r>
            <w:r w:rsidRPr="00901199">
              <w:rPr>
                <w:color w:val="000000"/>
                <w:sz w:val="22"/>
                <w:szCs w:val="22"/>
                <w:lang w:val="sr-Latn-CS"/>
              </w:rPr>
              <w:t xml:space="preserve"> sa relapsom bolesti ili refraktarnom Ph+</w:t>
            </w:r>
            <w:smartTag w:uri="urn:schemas-microsoft-com:office:smarttags" w:element="stockticker">
              <w:r w:rsidRPr="00901199">
                <w:rPr>
                  <w:color w:val="000000"/>
                  <w:sz w:val="22"/>
                  <w:szCs w:val="22"/>
                  <w:lang w:val="sr-Latn-CS"/>
                </w:rPr>
                <w:t>ALL</w:t>
              </w:r>
            </w:smartTag>
            <w:r w:rsidRPr="00901199">
              <w:rPr>
                <w:color w:val="000000"/>
                <w:sz w:val="22"/>
                <w:szCs w:val="22"/>
                <w:lang w:val="sr-Latn-CS"/>
              </w:rPr>
              <w:t xml:space="preserve"> monoterapija</w:t>
            </w:r>
            <w:r>
              <w:rPr>
                <w:color w:val="000000"/>
                <w:sz w:val="22"/>
                <w:szCs w:val="22"/>
                <w:lang w:val="sr-Latn-CS"/>
              </w:rPr>
              <w:t xml:space="preserve"> </w:t>
            </w:r>
            <w:r>
              <w:rPr>
                <w:bCs/>
                <w:sz w:val="22"/>
                <w:szCs w:val="22"/>
                <w:lang w:val="da-DK"/>
              </w:rPr>
              <w:t>imatinibom</w:t>
            </w:r>
            <w:r>
              <w:rPr>
                <w:bCs/>
                <w:sz w:val="22"/>
                <w:szCs w:val="22"/>
                <w:vertAlign w:val="superscript"/>
                <w:lang w:val="da-DK"/>
              </w:rPr>
              <w:t xml:space="preserve"> </w:t>
            </w:r>
            <w:r>
              <w:rPr>
                <w:color w:val="000000"/>
                <w:sz w:val="22"/>
                <w:szCs w:val="22"/>
                <w:lang w:val="sr-Latn-CS"/>
              </w:rPr>
              <w:t>u dozi od</w:t>
            </w:r>
            <w:r w:rsidRPr="00901199">
              <w:rPr>
                <w:color w:val="000000"/>
                <w:sz w:val="22"/>
                <w:szCs w:val="22"/>
                <w:lang w:val="sr-Latn-CS"/>
              </w:rPr>
              <w:t xml:space="preserve"> 600 mg/dan je </w:t>
            </w:r>
            <w:r>
              <w:rPr>
                <w:color w:val="000000"/>
                <w:sz w:val="22"/>
                <w:szCs w:val="22"/>
                <w:lang w:val="sr-Latn-CS"/>
              </w:rPr>
              <w:t>bezbje</w:t>
            </w:r>
            <w:r w:rsidRPr="00901199">
              <w:rPr>
                <w:color w:val="000000"/>
                <w:sz w:val="22"/>
                <w:szCs w:val="22"/>
                <w:lang w:val="sr-Latn-CS"/>
              </w:rPr>
              <w:t>dna, efikasna i može se davati sve do</w:t>
            </w:r>
            <w:r>
              <w:rPr>
                <w:color w:val="000000"/>
                <w:sz w:val="22"/>
                <w:szCs w:val="22"/>
                <w:lang w:val="sr-Latn-CS"/>
              </w:rPr>
              <w:t xml:space="preserve"> </w:t>
            </w:r>
            <w:r w:rsidRPr="001C3D7A">
              <w:rPr>
                <w:sz w:val="22"/>
                <w:szCs w:val="22"/>
                <w:lang w:val="sr-Latn-CS"/>
              </w:rPr>
              <w:t>pojave progresije bolesti.</w:t>
            </w:r>
          </w:p>
          <w:p w:rsidR="000A2337" w:rsidRDefault="000A2337" w:rsidP="00161AB3">
            <w:pPr>
              <w:shd w:val="clear" w:color="auto" w:fill="FFFFFF"/>
              <w:jc w:val="both"/>
              <w:rPr>
                <w:sz w:val="22"/>
                <w:szCs w:val="22"/>
                <w:u w:val="single"/>
                <w:lang w:val="sr-Latn-CS"/>
              </w:rPr>
            </w:pPr>
          </w:p>
          <w:p w:rsidR="000A2337" w:rsidRPr="00306711" w:rsidRDefault="000A2337" w:rsidP="00161AB3">
            <w:pPr>
              <w:shd w:val="clear" w:color="auto" w:fill="FFFFFF"/>
              <w:jc w:val="both"/>
              <w:rPr>
                <w:sz w:val="22"/>
                <w:szCs w:val="22"/>
                <w:u w:val="single"/>
                <w:lang w:val="sr-Latn-CS"/>
              </w:rPr>
            </w:pPr>
            <w:r>
              <w:rPr>
                <w:sz w:val="22"/>
                <w:szCs w:val="22"/>
                <w:u w:val="single"/>
                <w:lang w:val="sr-Latn-CS"/>
              </w:rPr>
              <w:t>Doziranje za Ph+ ALL kod</w:t>
            </w:r>
            <w:r w:rsidRPr="00306711">
              <w:rPr>
                <w:sz w:val="22"/>
                <w:szCs w:val="22"/>
                <w:u w:val="single"/>
                <w:lang w:val="sr-Latn-CS"/>
              </w:rPr>
              <w:t xml:space="preserve"> djece</w:t>
            </w:r>
          </w:p>
          <w:p w:rsidR="000A2337" w:rsidRDefault="000A2337" w:rsidP="00161AB3">
            <w:pPr>
              <w:shd w:val="clear" w:color="auto" w:fill="FFFFFF"/>
              <w:jc w:val="both"/>
              <w:rPr>
                <w:color w:val="000000"/>
                <w:sz w:val="22"/>
                <w:szCs w:val="22"/>
                <w:lang w:val="sr-Latn-CS"/>
              </w:rPr>
            </w:pPr>
            <w:r>
              <w:rPr>
                <w:color w:val="000000"/>
                <w:sz w:val="22"/>
                <w:szCs w:val="22"/>
                <w:lang w:val="sr-Latn-CS"/>
              </w:rPr>
              <w:t>D</w:t>
            </w:r>
            <w:r w:rsidRPr="00306711">
              <w:rPr>
                <w:color w:val="000000"/>
                <w:sz w:val="22"/>
                <w:szCs w:val="22"/>
                <w:lang w:val="sr-Latn-CS"/>
              </w:rPr>
              <w:t>oziranje</w:t>
            </w:r>
            <w:r>
              <w:rPr>
                <w:color w:val="000000"/>
                <w:sz w:val="22"/>
                <w:szCs w:val="22"/>
                <w:lang w:val="sr-Latn-CS"/>
              </w:rPr>
              <w:t xml:space="preserve"> kod djece</w:t>
            </w:r>
            <w:r w:rsidRPr="00306711">
              <w:rPr>
                <w:color w:val="000000"/>
                <w:sz w:val="22"/>
                <w:szCs w:val="22"/>
                <w:lang w:val="sr-Latn-CS"/>
              </w:rPr>
              <w:t xml:space="preserve"> treba </w:t>
            </w:r>
            <w:r>
              <w:rPr>
                <w:color w:val="000000"/>
                <w:sz w:val="22"/>
                <w:szCs w:val="22"/>
                <w:lang w:val="sr-Latn-CS"/>
              </w:rPr>
              <w:t>da se zasniva</w:t>
            </w:r>
            <w:r w:rsidRPr="00306711">
              <w:rPr>
                <w:color w:val="000000"/>
                <w:sz w:val="22"/>
                <w:szCs w:val="22"/>
                <w:lang w:val="sr-Latn-CS"/>
              </w:rPr>
              <w:t xml:space="preserve"> na veličini površine tijela (mg/m</w:t>
            </w:r>
            <w:r w:rsidRPr="00306711">
              <w:rPr>
                <w:color w:val="000000"/>
                <w:sz w:val="22"/>
                <w:szCs w:val="22"/>
                <w:vertAlign w:val="superscript"/>
                <w:lang w:val="sr-Latn-CS"/>
              </w:rPr>
              <w:t>2</w:t>
            </w:r>
            <w:r w:rsidRPr="00306711">
              <w:rPr>
                <w:color w:val="000000"/>
                <w:sz w:val="22"/>
                <w:szCs w:val="22"/>
                <w:lang w:val="sr-Latn-CS"/>
              </w:rPr>
              <w:t>). Doza od 340 mg/m</w:t>
            </w:r>
            <w:r w:rsidRPr="00306711">
              <w:rPr>
                <w:color w:val="000000"/>
                <w:sz w:val="22"/>
                <w:szCs w:val="22"/>
                <w:vertAlign w:val="superscript"/>
                <w:lang w:val="sr-Latn-CS"/>
              </w:rPr>
              <w:t>2</w:t>
            </w:r>
            <w:r w:rsidRPr="00306711">
              <w:rPr>
                <w:color w:val="000000"/>
                <w:sz w:val="22"/>
                <w:szCs w:val="22"/>
                <w:lang w:val="sr-Latn-CS"/>
              </w:rPr>
              <w:t xml:space="preserve"> d</w:t>
            </w:r>
            <w:r>
              <w:rPr>
                <w:color w:val="000000"/>
                <w:sz w:val="22"/>
                <w:szCs w:val="22"/>
                <w:lang w:val="sr-Latn-CS"/>
              </w:rPr>
              <w:t>nevno se  preporučuje</w:t>
            </w:r>
            <w:r w:rsidRPr="00306711">
              <w:rPr>
                <w:color w:val="000000"/>
                <w:sz w:val="22"/>
                <w:szCs w:val="22"/>
                <w:lang w:val="sr-Latn-CS"/>
              </w:rPr>
              <w:t xml:space="preserve"> za djecu s</w:t>
            </w:r>
            <w:r>
              <w:rPr>
                <w:color w:val="000000"/>
                <w:sz w:val="22"/>
                <w:szCs w:val="22"/>
                <w:lang w:val="sr-Latn-CS"/>
              </w:rPr>
              <w:t>a</w:t>
            </w:r>
            <w:r w:rsidRPr="00306711">
              <w:rPr>
                <w:color w:val="000000"/>
                <w:sz w:val="22"/>
                <w:szCs w:val="22"/>
                <w:lang w:val="sr-Latn-CS"/>
              </w:rPr>
              <w:t xml:space="preserve"> Ph+ ALL (ne smije se prekoračiti ukupna doza od 600 mg).</w:t>
            </w:r>
          </w:p>
          <w:p w:rsidR="000A2337" w:rsidRPr="00306711" w:rsidRDefault="000A2337" w:rsidP="00161AB3">
            <w:pPr>
              <w:shd w:val="clear" w:color="auto" w:fill="FFFFFF"/>
              <w:jc w:val="both"/>
              <w:rPr>
                <w:color w:val="000000"/>
                <w:sz w:val="22"/>
                <w:szCs w:val="22"/>
                <w:lang w:val="sr-Latn-CS"/>
              </w:rPr>
            </w:pPr>
          </w:p>
          <w:p w:rsidR="000A2337" w:rsidRPr="001C3D7A" w:rsidRDefault="000A2337" w:rsidP="00161AB3">
            <w:pPr>
              <w:shd w:val="clear" w:color="auto" w:fill="FFFFFF"/>
              <w:jc w:val="both"/>
              <w:rPr>
                <w:sz w:val="22"/>
                <w:szCs w:val="22"/>
                <w:lang w:val="sr-Latn-CS"/>
              </w:rPr>
            </w:pPr>
            <w:r w:rsidRPr="001C3D7A">
              <w:rPr>
                <w:sz w:val="22"/>
                <w:szCs w:val="22"/>
                <w:u w:val="single"/>
                <w:lang w:val="sr-Latn-CS"/>
              </w:rPr>
              <w:t xml:space="preserve">Doziranje za </w:t>
            </w:r>
            <w:smartTag w:uri="urn:schemas-microsoft-com:office:smarttags" w:element="stockticker">
              <w:r w:rsidRPr="001C3D7A">
                <w:rPr>
                  <w:sz w:val="22"/>
                  <w:szCs w:val="22"/>
                  <w:u w:val="single"/>
                  <w:lang w:val="sr-Latn-CS"/>
                </w:rPr>
                <w:t>MDS</w:t>
              </w:r>
            </w:smartTag>
            <w:r w:rsidRPr="001C3D7A">
              <w:rPr>
                <w:sz w:val="22"/>
                <w:szCs w:val="22"/>
                <w:u w:val="single"/>
                <w:lang w:val="sr-Latn-CS"/>
              </w:rPr>
              <w:t>/MPD</w:t>
            </w:r>
          </w:p>
          <w:p w:rsidR="000A2337" w:rsidRDefault="000A2337" w:rsidP="00161AB3">
            <w:pPr>
              <w:shd w:val="clear" w:color="auto" w:fill="FFFFFF"/>
              <w:jc w:val="both"/>
              <w:rPr>
                <w:sz w:val="22"/>
                <w:szCs w:val="22"/>
                <w:lang w:val="sr-Latn-CS"/>
              </w:rPr>
            </w:pPr>
            <w:r>
              <w:rPr>
                <w:sz w:val="22"/>
                <w:szCs w:val="22"/>
                <w:lang w:val="sr-Latn-CS"/>
              </w:rPr>
              <w:t>Z</w:t>
            </w:r>
            <w:r w:rsidRPr="001C3D7A">
              <w:rPr>
                <w:sz w:val="22"/>
                <w:szCs w:val="22"/>
                <w:lang w:val="sr-Latn-CS"/>
              </w:rPr>
              <w:t xml:space="preserve">a </w:t>
            </w:r>
            <w:r>
              <w:rPr>
                <w:sz w:val="22"/>
                <w:szCs w:val="22"/>
                <w:lang w:val="sr-Latn-CS"/>
              </w:rPr>
              <w:t xml:space="preserve">odrasle </w:t>
            </w:r>
            <w:r w:rsidRPr="001C3D7A">
              <w:rPr>
                <w:sz w:val="22"/>
                <w:szCs w:val="22"/>
                <w:lang w:val="sr-Latn-CS"/>
              </w:rPr>
              <w:t xml:space="preserve">pacijente sa </w:t>
            </w:r>
            <w:smartTag w:uri="urn:schemas-microsoft-com:office:smarttags" w:element="stockticker">
              <w:r w:rsidRPr="001C3D7A">
                <w:rPr>
                  <w:sz w:val="22"/>
                  <w:szCs w:val="22"/>
                  <w:lang w:val="sr-Latn-CS"/>
                </w:rPr>
                <w:t>MDS</w:t>
              </w:r>
            </w:smartTag>
            <w:r w:rsidRPr="001C3D7A">
              <w:rPr>
                <w:sz w:val="22"/>
                <w:szCs w:val="22"/>
                <w:lang w:val="sr-Latn-CS"/>
              </w:rPr>
              <w:t>/MPD</w:t>
            </w:r>
            <w:r>
              <w:rPr>
                <w:sz w:val="22"/>
                <w:szCs w:val="22"/>
                <w:lang w:val="sr-Latn-CS"/>
              </w:rPr>
              <w:t>-om</w:t>
            </w:r>
            <w:r w:rsidRPr="001C3D7A">
              <w:rPr>
                <w:sz w:val="22"/>
                <w:szCs w:val="22"/>
                <w:lang w:val="sr-Latn-CS"/>
              </w:rPr>
              <w:t xml:space="preserve"> </w:t>
            </w:r>
            <w:r>
              <w:rPr>
                <w:sz w:val="22"/>
                <w:szCs w:val="22"/>
                <w:lang w:val="sr-Latn-CS"/>
              </w:rPr>
              <w:t>p</w:t>
            </w:r>
            <w:r w:rsidRPr="001C3D7A">
              <w:rPr>
                <w:sz w:val="22"/>
                <w:szCs w:val="22"/>
                <w:lang w:val="sr-Latn-CS"/>
              </w:rPr>
              <w:t>reporučen</w:t>
            </w:r>
            <w:r>
              <w:rPr>
                <w:sz w:val="22"/>
                <w:szCs w:val="22"/>
                <w:lang w:val="sr-Latn-CS"/>
              </w:rPr>
              <w:t>a</w:t>
            </w:r>
            <w:r w:rsidRPr="001C3D7A">
              <w:rPr>
                <w:sz w:val="22"/>
                <w:szCs w:val="22"/>
                <w:lang w:val="sr-Latn-CS"/>
              </w:rPr>
              <w:t xml:space="preserve"> doza </w:t>
            </w:r>
            <w:r>
              <w:rPr>
                <w:sz w:val="22"/>
                <w:szCs w:val="22"/>
                <w:lang w:val="sr-Latn-CS"/>
              </w:rPr>
              <w:t>lijek</w:t>
            </w:r>
            <w:r w:rsidRPr="001C3D7A">
              <w:rPr>
                <w:sz w:val="22"/>
                <w:szCs w:val="22"/>
                <w:lang w:val="sr-Latn-CS"/>
              </w:rPr>
              <w:t xml:space="preserve">a </w:t>
            </w:r>
            <w:r>
              <w:rPr>
                <w:sz w:val="22"/>
                <w:szCs w:val="22"/>
                <w:lang w:val="da-DK"/>
              </w:rPr>
              <w:t>Imatinib Teva</w:t>
            </w:r>
            <w:r w:rsidRPr="001C3D7A">
              <w:rPr>
                <w:bCs/>
                <w:sz w:val="22"/>
                <w:szCs w:val="22"/>
                <w:lang w:val="da-DK"/>
              </w:rPr>
              <w:t xml:space="preserve"> </w:t>
            </w:r>
            <w:r w:rsidRPr="001C3D7A">
              <w:rPr>
                <w:sz w:val="22"/>
                <w:szCs w:val="22"/>
                <w:lang w:val="sr-Latn-CS"/>
              </w:rPr>
              <w:t>je 400 mg/dan.</w:t>
            </w:r>
          </w:p>
          <w:p w:rsidR="000A2337" w:rsidRPr="001C3D7A" w:rsidRDefault="000A2337" w:rsidP="00161AB3">
            <w:pPr>
              <w:shd w:val="clear" w:color="auto" w:fill="FFFFFF"/>
              <w:jc w:val="both"/>
              <w:rPr>
                <w:sz w:val="22"/>
                <w:szCs w:val="22"/>
                <w:lang w:val="sr-Latn-CS"/>
              </w:rPr>
            </w:pPr>
          </w:p>
          <w:p w:rsidR="000A2337" w:rsidRPr="00901199" w:rsidRDefault="000A2337" w:rsidP="00161AB3">
            <w:pPr>
              <w:shd w:val="clear" w:color="auto" w:fill="FFFFFF"/>
              <w:jc w:val="both"/>
              <w:rPr>
                <w:sz w:val="22"/>
                <w:szCs w:val="22"/>
                <w:lang w:val="sr-Latn-CS"/>
              </w:rPr>
            </w:pPr>
            <w:r w:rsidRPr="001C3D7A">
              <w:rPr>
                <w:sz w:val="22"/>
                <w:szCs w:val="22"/>
                <w:lang w:val="sr-Latn-CS"/>
              </w:rPr>
              <w:t xml:space="preserve">Trajanje </w:t>
            </w:r>
            <w:r>
              <w:rPr>
                <w:sz w:val="22"/>
                <w:szCs w:val="22"/>
                <w:lang w:val="sr-Latn-CS"/>
              </w:rPr>
              <w:t>terapije</w:t>
            </w:r>
            <w:r w:rsidRPr="001C3D7A">
              <w:rPr>
                <w:sz w:val="22"/>
                <w:szCs w:val="22"/>
                <w:lang w:val="sr-Latn-CS"/>
              </w:rPr>
              <w:t xml:space="preserve">: u jedinom do danas obavljenom kliničkom ispitivanju, </w:t>
            </w:r>
            <w:r>
              <w:rPr>
                <w:sz w:val="22"/>
                <w:szCs w:val="22"/>
                <w:lang w:val="sr-Latn-CS"/>
              </w:rPr>
              <w:t>terapija</w:t>
            </w:r>
            <w:r w:rsidRPr="001C3D7A">
              <w:rPr>
                <w:sz w:val="22"/>
                <w:szCs w:val="22"/>
                <w:lang w:val="sr-Latn-CS"/>
              </w:rPr>
              <w:t xml:space="preserve"> </w:t>
            </w:r>
            <w:r>
              <w:rPr>
                <w:sz w:val="22"/>
                <w:szCs w:val="22"/>
                <w:lang w:val="sr-Latn-CS"/>
              </w:rPr>
              <w:t>lijek</w:t>
            </w:r>
            <w:r w:rsidRPr="001C3D7A">
              <w:rPr>
                <w:sz w:val="22"/>
                <w:szCs w:val="22"/>
                <w:lang w:val="sr-Latn-CS"/>
              </w:rPr>
              <w:t xml:space="preserve">om </w:t>
            </w:r>
            <w:r>
              <w:rPr>
                <w:sz w:val="22"/>
                <w:szCs w:val="22"/>
                <w:lang w:val="da-DK"/>
              </w:rPr>
              <w:t>Imatinib Teva</w:t>
            </w:r>
            <w:r w:rsidRPr="001C3D7A">
              <w:rPr>
                <w:bCs/>
                <w:sz w:val="22"/>
                <w:szCs w:val="22"/>
                <w:lang w:val="da-DK"/>
              </w:rPr>
              <w:t xml:space="preserve"> </w:t>
            </w:r>
            <w:r w:rsidRPr="001C3D7A">
              <w:rPr>
                <w:sz w:val="22"/>
                <w:szCs w:val="22"/>
                <w:lang w:val="sr-Latn-CS"/>
              </w:rPr>
              <w:t>se nastavlja do progresije bolesti (</w:t>
            </w:r>
            <w:r>
              <w:rPr>
                <w:sz w:val="22"/>
                <w:szCs w:val="22"/>
                <w:lang w:val="sr-Latn-CS"/>
              </w:rPr>
              <w:t>vidjet</w:t>
            </w:r>
            <w:r w:rsidRPr="001C3D7A">
              <w:rPr>
                <w:sz w:val="22"/>
                <w:szCs w:val="22"/>
                <w:lang w:val="sr-Latn-CS"/>
              </w:rPr>
              <w:t xml:space="preserve">i </w:t>
            </w:r>
            <w:r>
              <w:rPr>
                <w:sz w:val="22"/>
                <w:szCs w:val="22"/>
                <w:lang w:val="sr-Latn-CS"/>
              </w:rPr>
              <w:t>odjelj</w:t>
            </w:r>
            <w:r w:rsidRPr="001C3D7A">
              <w:rPr>
                <w:sz w:val="22"/>
                <w:szCs w:val="22"/>
                <w:lang w:val="sr-Latn-CS"/>
              </w:rPr>
              <w:t>ak 5.1). U vr</w:t>
            </w:r>
            <w:r>
              <w:rPr>
                <w:sz w:val="22"/>
                <w:szCs w:val="22"/>
                <w:lang w:val="sr-Latn-CS"/>
              </w:rPr>
              <w:t>ij</w:t>
            </w:r>
            <w:r w:rsidRPr="001C3D7A">
              <w:rPr>
                <w:sz w:val="22"/>
                <w:szCs w:val="22"/>
                <w:lang w:val="sr-Latn-CS"/>
              </w:rPr>
              <w:t xml:space="preserve">eme analize, medijana dužine </w:t>
            </w:r>
            <w:r>
              <w:rPr>
                <w:sz w:val="22"/>
                <w:szCs w:val="22"/>
                <w:lang w:val="sr-Latn-CS"/>
              </w:rPr>
              <w:t>terapije</w:t>
            </w:r>
            <w:r w:rsidRPr="001C3D7A" w:rsidDel="00C11355">
              <w:rPr>
                <w:sz w:val="22"/>
                <w:szCs w:val="22"/>
                <w:lang w:val="sr-Latn-CS"/>
              </w:rPr>
              <w:t xml:space="preserve"> </w:t>
            </w:r>
            <w:r w:rsidRPr="001C3D7A">
              <w:rPr>
                <w:sz w:val="22"/>
                <w:szCs w:val="22"/>
                <w:lang w:val="sr-Latn-CS"/>
              </w:rPr>
              <w:t>bila je 47 m</w:t>
            </w:r>
            <w:r>
              <w:rPr>
                <w:sz w:val="22"/>
                <w:szCs w:val="22"/>
                <w:lang w:val="sr-Latn-CS"/>
              </w:rPr>
              <w:t>j</w:t>
            </w:r>
            <w:r w:rsidRPr="001C3D7A">
              <w:rPr>
                <w:sz w:val="22"/>
                <w:szCs w:val="22"/>
                <w:lang w:val="sr-Latn-CS"/>
              </w:rPr>
              <w:t>eseci</w:t>
            </w:r>
            <w:r w:rsidRPr="00901199">
              <w:rPr>
                <w:color w:val="000000"/>
                <w:sz w:val="22"/>
                <w:szCs w:val="22"/>
                <w:lang w:val="sr-Latn-CS"/>
              </w:rPr>
              <w:t xml:space="preserve"> (24 dana - 60 </w:t>
            </w:r>
            <w:r>
              <w:rPr>
                <w:color w:val="000000"/>
                <w:sz w:val="22"/>
                <w:szCs w:val="22"/>
                <w:lang w:val="sr-Latn-CS"/>
              </w:rPr>
              <w:t>mjesec</w:t>
            </w:r>
            <w:r w:rsidRPr="00901199">
              <w:rPr>
                <w:color w:val="000000"/>
                <w:sz w:val="22"/>
                <w:szCs w:val="22"/>
                <w:lang w:val="sr-Latn-CS"/>
              </w:rPr>
              <w:t>i).</w:t>
            </w:r>
          </w:p>
          <w:p w:rsidR="000A2337" w:rsidRDefault="000A2337" w:rsidP="00161AB3">
            <w:pPr>
              <w:shd w:val="clear" w:color="auto" w:fill="FFFFFF"/>
              <w:jc w:val="both"/>
              <w:rPr>
                <w:color w:val="000000"/>
                <w:sz w:val="22"/>
                <w:szCs w:val="22"/>
                <w:u w:val="single"/>
                <w:lang w:val="sr-Latn-CS"/>
              </w:rPr>
            </w:pPr>
          </w:p>
          <w:p w:rsidR="000A2337" w:rsidRPr="00901199" w:rsidRDefault="000A2337" w:rsidP="00161AB3">
            <w:pPr>
              <w:shd w:val="clear" w:color="auto" w:fill="FFFFFF"/>
              <w:jc w:val="both"/>
              <w:rPr>
                <w:sz w:val="22"/>
                <w:szCs w:val="22"/>
                <w:lang w:val="sr-Latn-CS"/>
              </w:rPr>
            </w:pPr>
            <w:r w:rsidRPr="00901199">
              <w:rPr>
                <w:color w:val="000000"/>
                <w:sz w:val="22"/>
                <w:szCs w:val="22"/>
                <w:u w:val="single"/>
                <w:lang w:val="sr-Latn-CS"/>
              </w:rPr>
              <w:t>Doziranje za HES/</w:t>
            </w:r>
            <w:r>
              <w:rPr>
                <w:color w:val="000000"/>
                <w:sz w:val="22"/>
                <w:szCs w:val="22"/>
                <w:u w:val="single"/>
                <w:lang w:val="sr-Latn-CS"/>
              </w:rPr>
              <w:t>C</w:t>
            </w:r>
            <w:r w:rsidRPr="00901199">
              <w:rPr>
                <w:color w:val="000000"/>
                <w:sz w:val="22"/>
                <w:szCs w:val="22"/>
                <w:u w:val="single"/>
                <w:lang w:val="sr-Latn-CS"/>
              </w:rPr>
              <w:t>EL</w:t>
            </w:r>
          </w:p>
          <w:p w:rsidR="000A2337" w:rsidRDefault="000A2337" w:rsidP="00161AB3">
            <w:pPr>
              <w:shd w:val="clear" w:color="auto" w:fill="FFFFFF"/>
              <w:jc w:val="both"/>
              <w:rPr>
                <w:color w:val="000000"/>
                <w:sz w:val="22"/>
                <w:szCs w:val="22"/>
                <w:lang w:val="sr-Latn-CS"/>
              </w:rPr>
            </w:pPr>
            <w:r>
              <w:rPr>
                <w:color w:val="000000"/>
                <w:sz w:val="22"/>
                <w:szCs w:val="22"/>
                <w:lang w:val="sr-Latn-CS"/>
              </w:rPr>
              <w:t>Za odrasle pacijente</w:t>
            </w:r>
            <w:r w:rsidRPr="00901199">
              <w:rPr>
                <w:color w:val="000000"/>
                <w:sz w:val="22"/>
                <w:szCs w:val="22"/>
                <w:lang w:val="sr-Latn-CS"/>
              </w:rPr>
              <w:t xml:space="preserve"> sa HES/</w:t>
            </w:r>
            <w:r>
              <w:rPr>
                <w:color w:val="000000"/>
                <w:sz w:val="22"/>
                <w:szCs w:val="22"/>
                <w:lang w:val="sr-Latn-CS"/>
              </w:rPr>
              <w:t>C</w:t>
            </w:r>
            <w:r w:rsidRPr="00901199">
              <w:rPr>
                <w:color w:val="000000"/>
                <w:sz w:val="22"/>
                <w:szCs w:val="22"/>
                <w:lang w:val="sr-Latn-CS"/>
              </w:rPr>
              <w:t>EL</w:t>
            </w:r>
            <w:r>
              <w:rPr>
                <w:color w:val="000000"/>
                <w:sz w:val="22"/>
                <w:szCs w:val="22"/>
                <w:lang w:val="sr-Latn-CS"/>
              </w:rPr>
              <w:t>-om p</w:t>
            </w:r>
            <w:r w:rsidRPr="00901199">
              <w:rPr>
                <w:color w:val="000000"/>
                <w:sz w:val="22"/>
                <w:szCs w:val="22"/>
                <w:lang w:val="sr-Latn-CS"/>
              </w:rPr>
              <w:t xml:space="preserve">reporučena doza </w:t>
            </w:r>
            <w:r>
              <w:rPr>
                <w:color w:val="000000"/>
                <w:sz w:val="22"/>
                <w:szCs w:val="22"/>
                <w:lang w:val="sr-Latn-CS"/>
              </w:rPr>
              <w:t xml:space="preserve">lijeka </w:t>
            </w:r>
            <w:r>
              <w:rPr>
                <w:sz w:val="22"/>
                <w:szCs w:val="22"/>
                <w:lang w:val="da-DK"/>
              </w:rPr>
              <w:t>Imatinib</w:t>
            </w:r>
            <w:r w:rsidRPr="00750E3C">
              <w:rPr>
                <w:bCs/>
                <w:sz w:val="22"/>
                <w:szCs w:val="22"/>
                <w:lang w:val="da-DK"/>
              </w:rPr>
              <w:t xml:space="preserve"> </w:t>
            </w:r>
            <w:r>
              <w:rPr>
                <w:bCs/>
                <w:sz w:val="22"/>
                <w:szCs w:val="22"/>
                <w:lang w:val="da-DK"/>
              </w:rPr>
              <w:t xml:space="preserve">Teva iznosi </w:t>
            </w:r>
            <w:r>
              <w:rPr>
                <w:color w:val="000000"/>
                <w:sz w:val="22"/>
                <w:szCs w:val="22"/>
                <w:lang w:val="sr-Latn-CS"/>
              </w:rPr>
              <w:t>100 mg/dan</w:t>
            </w:r>
            <w:r w:rsidRPr="00901199">
              <w:rPr>
                <w:color w:val="000000"/>
                <w:sz w:val="22"/>
                <w:szCs w:val="22"/>
                <w:lang w:val="sr-Latn-CS"/>
              </w:rPr>
              <w:t>.</w:t>
            </w:r>
          </w:p>
          <w:p w:rsidR="000A2337" w:rsidRPr="00901199" w:rsidRDefault="000A2337" w:rsidP="00161AB3">
            <w:pPr>
              <w:shd w:val="clear" w:color="auto" w:fill="FFFFFF"/>
              <w:jc w:val="both"/>
              <w:rPr>
                <w:sz w:val="22"/>
                <w:szCs w:val="22"/>
                <w:lang w:val="sr-Latn-CS"/>
              </w:rPr>
            </w:pPr>
          </w:p>
          <w:p w:rsidR="000A2337" w:rsidRDefault="000A2337" w:rsidP="00161AB3">
            <w:pPr>
              <w:shd w:val="clear" w:color="auto" w:fill="FFFFFF"/>
              <w:jc w:val="both"/>
              <w:rPr>
                <w:color w:val="000000"/>
                <w:sz w:val="22"/>
                <w:szCs w:val="22"/>
                <w:lang w:val="sr-Latn-CS"/>
              </w:rPr>
            </w:pPr>
            <w:r w:rsidRPr="00901199">
              <w:rPr>
                <w:color w:val="000000"/>
                <w:sz w:val="22"/>
                <w:szCs w:val="22"/>
                <w:lang w:val="sr-Latn-CS"/>
              </w:rPr>
              <w:t xml:space="preserve">Povećanje doze od 100 mg do 400 mg </w:t>
            </w:r>
            <w:r>
              <w:rPr>
                <w:color w:val="000000"/>
                <w:sz w:val="22"/>
                <w:szCs w:val="22"/>
                <w:lang w:val="sr-Latn-CS"/>
              </w:rPr>
              <w:t xml:space="preserve">se može </w:t>
            </w:r>
            <w:r w:rsidRPr="00901199">
              <w:rPr>
                <w:color w:val="000000"/>
                <w:sz w:val="22"/>
                <w:szCs w:val="22"/>
                <w:lang w:val="sr-Latn-CS"/>
              </w:rPr>
              <w:t>razmotriti u odsustvu neželjenih dejstava</w:t>
            </w:r>
            <w:r>
              <w:rPr>
                <w:color w:val="000000"/>
                <w:sz w:val="22"/>
                <w:szCs w:val="22"/>
                <w:lang w:val="sr-Latn-CS"/>
              </w:rPr>
              <w:t>,</w:t>
            </w:r>
            <w:r w:rsidRPr="00901199">
              <w:rPr>
                <w:color w:val="000000"/>
                <w:sz w:val="22"/>
                <w:szCs w:val="22"/>
                <w:lang w:val="sr-Latn-CS"/>
              </w:rPr>
              <w:t xml:space="preserve"> ako </w:t>
            </w:r>
            <w:r>
              <w:rPr>
                <w:color w:val="000000"/>
                <w:sz w:val="22"/>
                <w:szCs w:val="22"/>
                <w:lang w:val="sr-Latn-CS"/>
              </w:rPr>
              <w:t>procjen</w:t>
            </w:r>
            <w:r w:rsidRPr="00901199">
              <w:rPr>
                <w:color w:val="000000"/>
                <w:sz w:val="22"/>
                <w:szCs w:val="22"/>
                <w:lang w:val="sr-Latn-CS"/>
              </w:rPr>
              <w:t>e p</w:t>
            </w:r>
            <w:r>
              <w:rPr>
                <w:color w:val="000000"/>
                <w:sz w:val="22"/>
                <w:szCs w:val="22"/>
                <w:lang w:val="sr-Latn-CS"/>
              </w:rPr>
              <w:t>okažu nezadovoljavajući odgovor</w:t>
            </w:r>
            <w:r w:rsidRPr="00901199">
              <w:rPr>
                <w:color w:val="000000"/>
                <w:sz w:val="22"/>
                <w:szCs w:val="22"/>
                <w:lang w:val="sr-Latn-CS"/>
              </w:rPr>
              <w:t xml:space="preserve"> na terapiju.</w:t>
            </w:r>
          </w:p>
          <w:p w:rsidR="000A2337" w:rsidRDefault="000A2337" w:rsidP="00161AB3">
            <w:pPr>
              <w:shd w:val="clear" w:color="auto" w:fill="FFFFFF"/>
              <w:jc w:val="both"/>
              <w:rPr>
                <w:color w:val="000000"/>
                <w:sz w:val="22"/>
                <w:szCs w:val="22"/>
                <w:lang w:val="sr-Latn-CS"/>
              </w:rPr>
            </w:pPr>
          </w:p>
          <w:p w:rsidR="000A2337" w:rsidRPr="00901199" w:rsidRDefault="000A2337" w:rsidP="00161AB3">
            <w:pPr>
              <w:shd w:val="clear" w:color="auto" w:fill="FFFFFF"/>
              <w:jc w:val="both"/>
              <w:rPr>
                <w:sz w:val="22"/>
                <w:szCs w:val="22"/>
                <w:lang w:val="sr-Latn-CS"/>
              </w:rPr>
            </w:pPr>
            <w:r>
              <w:rPr>
                <w:color w:val="000000"/>
                <w:sz w:val="22"/>
                <w:szCs w:val="22"/>
                <w:lang w:val="sr-Latn-CS"/>
              </w:rPr>
              <w:t>Liječenje treba nastaviti sve dok pacijent ima koristi od liječenja.</w:t>
            </w:r>
          </w:p>
          <w:p w:rsidR="000A2337" w:rsidRDefault="000A2337" w:rsidP="00161AB3">
            <w:pPr>
              <w:shd w:val="clear" w:color="auto" w:fill="FFFFFF"/>
              <w:jc w:val="both"/>
              <w:rPr>
                <w:color w:val="000000"/>
                <w:sz w:val="22"/>
                <w:szCs w:val="22"/>
                <w:u w:val="single"/>
                <w:lang w:val="sr-Latn-CS"/>
              </w:rPr>
            </w:pPr>
          </w:p>
          <w:p w:rsidR="000A2337" w:rsidRPr="00306711" w:rsidRDefault="000A2337" w:rsidP="00161AB3">
            <w:pPr>
              <w:shd w:val="clear" w:color="auto" w:fill="FFFFFF"/>
              <w:jc w:val="both"/>
              <w:rPr>
                <w:color w:val="000000"/>
                <w:sz w:val="22"/>
                <w:szCs w:val="22"/>
                <w:u w:val="single"/>
                <w:lang w:val="sr-Latn-CS"/>
              </w:rPr>
            </w:pPr>
            <w:r w:rsidRPr="00306711">
              <w:rPr>
                <w:color w:val="000000"/>
                <w:sz w:val="22"/>
                <w:szCs w:val="22"/>
                <w:u w:val="single"/>
                <w:lang w:val="sr-Latn-CS"/>
              </w:rPr>
              <w:t>Doziranje za DFSP</w:t>
            </w:r>
          </w:p>
          <w:p w:rsidR="000A2337" w:rsidRPr="00306711" w:rsidRDefault="000A2337" w:rsidP="00161AB3">
            <w:pPr>
              <w:shd w:val="clear" w:color="auto" w:fill="FFFFFF"/>
              <w:jc w:val="both"/>
              <w:rPr>
                <w:color w:val="000000"/>
                <w:sz w:val="22"/>
                <w:szCs w:val="22"/>
                <w:lang w:val="sr-Latn-CS"/>
              </w:rPr>
            </w:pPr>
            <w:r w:rsidRPr="00306711">
              <w:rPr>
                <w:color w:val="000000"/>
                <w:sz w:val="22"/>
                <w:szCs w:val="22"/>
                <w:lang w:val="sr-Latn-CS"/>
              </w:rPr>
              <w:t xml:space="preserve">Za odrasle </w:t>
            </w:r>
            <w:r>
              <w:rPr>
                <w:color w:val="000000"/>
                <w:sz w:val="22"/>
                <w:szCs w:val="22"/>
                <w:lang w:val="sr-Latn-CS"/>
              </w:rPr>
              <w:t>pacijent</w:t>
            </w:r>
            <w:r w:rsidRPr="00306711">
              <w:rPr>
                <w:color w:val="000000"/>
                <w:sz w:val="22"/>
                <w:szCs w:val="22"/>
                <w:lang w:val="sr-Latn-CS"/>
              </w:rPr>
              <w:t>e s</w:t>
            </w:r>
            <w:r>
              <w:rPr>
                <w:color w:val="000000"/>
                <w:sz w:val="22"/>
                <w:szCs w:val="22"/>
                <w:lang w:val="sr-Latn-CS"/>
              </w:rPr>
              <w:t>a</w:t>
            </w:r>
            <w:r w:rsidRPr="00306711">
              <w:rPr>
                <w:color w:val="000000"/>
                <w:sz w:val="22"/>
                <w:szCs w:val="22"/>
                <w:lang w:val="sr-Latn-CS"/>
              </w:rPr>
              <w:t xml:space="preserve"> DFSP-om preporučena doza Imatiniba Teva iznosi 800 mg/dan.</w:t>
            </w:r>
          </w:p>
          <w:p w:rsidR="000A2337" w:rsidRPr="00633D2B" w:rsidRDefault="000A2337" w:rsidP="00161AB3">
            <w:pPr>
              <w:shd w:val="clear" w:color="auto" w:fill="FFFFFF"/>
              <w:rPr>
                <w:sz w:val="22"/>
                <w:szCs w:val="22"/>
                <w:lang w:val="sr-Latn-CS"/>
              </w:rPr>
            </w:pPr>
          </w:p>
          <w:p w:rsidR="000A2337" w:rsidRPr="001635F5" w:rsidRDefault="000A2337" w:rsidP="00161AB3">
            <w:pPr>
              <w:shd w:val="clear" w:color="auto" w:fill="FFFFFF"/>
              <w:jc w:val="both"/>
              <w:rPr>
                <w:sz w:val="22"/>
                <w:szCs w:val="22"/>
                <w:lang w:val="sr-Latn-CS"/>
              </w:rPr>
            </w:pPr>
            <w:r>
              <w:rPr>
                <w:color w:val="000000"/>
                <w:sz w:val="22"/>
                <w:szCs w:val="22"/>
                <w:u w:val="single"/>
                <w:lang w:val="sr-Latn-CS"/>
              </w:rPr>
              <w:t>Podešavanje doze zbog</w:t>
            </w:r>
            <w:r w:rsidRPr="001635F5">
              <w:rPr>
                <w:color w:val="000000"/>
                <w:sz w:val="22"/>
                <w:szCs w:val="22"/>
                <w:u w:val="single"/>
                <w:lang w:val="sr-Latn-CS"/>
              </w:rPr>
              <w:t xml:space="preserve"> neželjenih reakcija</w:t>
            </w:r>
            <w:r>
              <w:rPr>
                <w:color w:val="000000"/>
                <w:sz w:val="22"/>
                <w:szCs w:val="22"/>
                <w:u w:val="single"/>
                <w:lang w:val="sr-Latn-CS"/>
              </w:rPr>
              <w:t xml:space="preserve"> </w:t>
            </w:r>
          </w:p>
          <w:p w:rsidR="000A2337" w:rsidRPr="001635F5" w:rsidRDefault="000A2337" w:rsidP="00161AB3">
            <w:pPr>
              <w:shd w:val="clear" w:color="auto" w:fill="FFFFFF"/>
              <w:jc w:val="both"/>
              <w:rPr>
                <w:sz w:val="22"/>
                <w:szCs w:val="22"/>
                <w:lang w:val="sr-Latn-CS"/>
              </w:rPr>
            </w:pPr>
            <w:r w:rsidRPr="001635F5">
              <w:rPr>
                <w:i/>
                <w:iCs/>
                <w:color w:val="000000"/>
                <w:sz w:val="22"/>
                <w:szCs w:val="22"/>
                <w:lang w:val="sr-Latn-CS"/>
              </w:rPr>
              <w:t>Nehematološke neželjene reakcije</w:t>
            </w:r>
          </w:p>
          <w:p w:rsidR="000A2337" w:rsidRDefault="000A2337" w:rsidP="00161AB3">
            <w:pPr>
              <w:shd w:val="clear" w:color="auto" w:fill="FFFFFF"/>
              <w:jc w:val="both"/>
              <w:rPr>
                <w:sz w:val="22"/>
                <w:szCs w:val="22"/>
                <w:lang w:val="sr-Latn-CS"/>
              </w:rPr>
            </w:pPr>
            <w:r w:rsidRPr="001635F5">
              <w:rPr>
                <w:color w:val="000000"/>
                <w:sz w:val="22"/>
                <w:szCs w:val="22"/>
                <w:lang w:val="sr-Latn-CS"/>
              </w:rPr>
              <w:t xml:space="preserve">Ako se </w:t>
            </w:r>
            <w:r>
              <w:rPr>
                <w:color w:val="000000"/>
                <w:sz w:val="22"/>
                <w:szCs w:val="22"/>
                <w:lang w:val="sr-Latn-CS"/>
              </w:rPr>
              <w:t xml:space="preserve">tokom primjene imatiniba </w:t>
            </w:r>
            <w:r w:rsidRPr="001635F5">
              <w:rPr>
                <w:color w:val="000000"/>
                <w:sz w:val="22"/>
                <w:szCs w:val="22"/>
                <w:lang w:val="sr-Latn-CS"/>
              </w:rPr>
              <w:t xml:space="preserve">razvije teška nehematološka neželjena reakcija, </w:t>
            </w:r>
            <w:r>
              <w:rPr>
                <w:color w:val="000000"/>
                <w:sz w:val="22"/>
                <w:szCs w:val="22"/>
                <w:lang w:val="sr-Latn-CS"/>
              </w:rPr>
              <w:t>terapija se mora prekinuti do oporavka od neželjene reakcije</w:t>
            </w:r>
            <w:r>
              <w:rPr>
                <w:sz w:val="22"/>
                <w:szCs w:val="22"/>
                <w:lang w:val="sr-Latn-CS"/>
              </w:rPr>
              <w:t>. Nakon toga se liječenje može nastaviti</w:t>
            </w:r>
            <w:r w:rsidRPr="001C3D7A">
              <w:rPr>
                <w:sz w:val="22"/>
                <w:szCs w:val="22"/>
                <w:lang w:val="sr-Latn-CS"/>
              </w:rPr>
              <w:t>, zavisno od početne težine neželjenog dejstva.</w:t>
            </w:r>
          </w:p>
          <w:p w:rsidR="000A2337" w:rsidRDefault="000A2337" w:rsidP="00161AB3">
            <w:pPr>
              <w:shd w:val="clear" w:color="auto" w:fill="FFFFFF"/>
              <w:jc w:val="both"/>
              <w:rPr>
                <w:color w:val="000000"/>
                <w:sz w:val="22"/>
                <w:szCs w:val="22"/>
                <w:lang w:val="sr-Latn-CS"/>
              </w:rPr>
            </w:pPr>
            <w:r w:rsidRPr="001635F5">
              <w:rPr>
                <w:color w:val="000000"/>
                <w:sz w:val="22"/>
                <w:szCs w:val="22"/>
                <w:lang w:val="sr-Latn-CS"/>
              </w:rPr>
              <w:lastRenderedPageBreak/>
              <w:t xml:space="preserve">Ukoliko dođe do povećanja bilirubina </w:t>
            </w:r>
            <w:r>
              <w:rPr>
                <w:color w:val="000000"/>
                <w:sz w:val="22"/>
                <w:szCs w:val="22"/>
                <w:lang w:val="sr-Latn-CS"/>
              </w:rPr>
              <w:t xml:space="preserve"> za &gt;</w:t>
            </w:r>
            <w:r>
              <w:rPr>
                <w:bCs/>
                <w:sz w:val="22"/>
                <w:szCs w:val="22"/>
                <w:lang w:val="sl-SI"/>
              </w:rPr>
              <w:t xml:space="preserve"> </w:t>
            </w:r>
            <w:r w:rsidRPr="00750E3C">
              <w:rPr>
                <w:bCs/>
                <w:sz w:val="22"/>
                <w:szCs w:val="22"/>
                <w:lang w:val="sl-SI"/>
              </w:rPr>
              <w:t xml:space="preserve">3 </w:t>
            </w:r>
            <w:r>
              <w:rPr>
                <w:bCs/>
                <w:sz w:val="22"/>
                <w:szCs w:val="22"/>
                <w:lang w:val="sl-SI"/>
              </w:rPr>
              <w:t xml:space="preserve">x </w:t>
            </w:r>
            <w:r w:rsidRPr="001635F5">
              <w:rPr>
                <w:color w:val="000000"/>
                <w:sz w:val="22"/>
                <w:szCs w:val="22"/>
                <w:lang w:val="sr-Latn-CS"/>
              </w:rPr>
              <w:t>institucionaln</w:t>
            </w:r>
            <w:r>
              <w:rPr>
                <w:color w:val="000000"/>
                <w:sz w:val="22"/>
                <w:szCs w:val="22"/>
                <w:lang w:val="sr-Latn-CS"/>
              </w:rPr>
              <w:t>a</w:t>
            </w:r>
            <w:r w:rsidRPr="001635F5">
              <w:rPr>
                <w:color w:val="000000"/>
                <w:sz w:val="22"/>
                <w:szCs w:val="22"/>
                <w:lang w:val="sr-Latn-CS"/>
              </w:rPr>
              <w:t xml:space="preserve"> gornj</w:t>
            </w:r>
            <w:r>
              <w:rPr>
                <w:color w:val="000000"/>
                <w:sz w:val="22"/>
                <w:szCs w:val="22"/>
                <w:lang w:val="sr-Latn-CS"/>
              </w:rPr>
              <w:t>a</w:t>
            </w:r>
            <w:r w:rsidRPr="001635F5">
              <w:rPr>
                <w:color w:val="000000"/>
                <w:sz w:val="22"/>
                <w:szCs w:val="22"/>
                <w:lang w:val="sr-Latn-CS"/>
              </w:rPr>
              <w:t xml:space="preserve"> granic</w:t>
            </w:r>
            <w:r>
              <w:rPr>
                <w:color w:val="000000"/>
                <w:sz w:val="22"/>
                <w:szCs w:val="22"/>
                <w:lang w:val="sr-Latn-CS"/>
              </w:rPr>
              <w:t xml:space="preserve">a </w:t>
            </w:r>
            <w:r w:rsidRPr="001635F5">
              <w:rPr>
                <w:color w:val="000000"/>
                <w:sz w:val="22"/>
                <w:szCs w:val="22"/>
                <w:lang w:val="sr-Latn-CS"/>
              </w:rPr>
              <w:t>normale</w:t>
            </w:r>
            <w:r>
              <w:rPr>
                <w:color w:val="000000"/>
                <w:sz w:val="22"/>
                <w:szCs w:val="22"/>
                <w:lang w:val="sr-Latn-CS"/>
              </w:rPr>
              <w:t xml:space="preserve"> (IULN-institutional upper limit of normal) </w:t>
            </w:r>
            <w:r w:rsidRPr="001635F5">
              <w:rPr>
                <w:color w:val="000000"/>
                <w:sz w:val="22"/>
                <w:szCs w:val="22"/>
                <w:lang w:val="sr-Latn-CS"/>
              </w:rPr>
              <w:t xml:space="preserve">ili </w:t>
            </w:r>
            <w:r>
              <w:rPr>
                <w:color w:val="000000"/>
                <w:sz w:val="22"/>
                <w:szCs w:val="22"/>
                <w:lang w:val="sr-Latn-CS"/>
              </w:rPr>
              <w:t xml:space="preserve">ako se jave </w:t>
            </w:r>
            <w:r w:rsidRPr="001635F5">
              <w:rPr>
                <w:color w:val="000000"/>
                <w:sz w:val="22"/>
                <w:szCs w:val="22"/>
                <w:lang w:val="sr-Latn-CS"/>
              </w:rPr>
              <w:t>transaminaz</w:t>
            </w:r>
            <w:r>
              <w:rPr>
                <w:color w:val="000000"/>
                <w:sz w:val="22"/>
                <w:szCs w:val="22"/>
                <w:lang w:val="sr-Latn-CS"/>
              </w:rPr>
              <w:t>e jetre &gt;5 x IULN</w:t>
            </w:r>
            <w:r w:rsidRPr="001635F5">
              <w:rPr>
                <w:color w:val="000000"/>
                <w:sz w:val="22"/>
                <w:szCs w:val="22"/>
                <w:lang w:val="sr-Latn-CS"/>
              </w:rPr>
              <w:t xml:space="preserve">, </w:t>
            </w:r>
            <w:r>
              <w:rPr>
                <w:bCs/>
                <w:sz w:val="22"/>
                <w:szCs w:val="22"/>
                <w:lang w:val="sl-SI"/>
              </w:rPr>
              <w:t>primjenu i</w:t>
            </w:r>
            <w:r>
              <w:rPr>
                <w:bCs/>
                <w:sz w:val="22"/>
                <w:szCs w:val="22"/>
                <w:lang w:val="da-DK"/>
              </w:rPr>
              <w:t>matiniba</w:t>
            </w:r>
            <w:r>
              <w:rPr>
                <w:bCs/>
                <w:sz w:val="22"/>
                <w:szCs w:val="22"/>
                <w:vertAlign w:val="superscript"/>
                <w:lang w:val="da-DK"/>
              </w:rPr>
              <w:t xml:space="preserve"> </w:t>
            </w:r>
            <w:r w:rsidRPr="00750E3C">
              <w:rPr>
                <w:bCs/>
                <w:sz w:val="22"/>
                <w:szCs w:val="22"/>
                <w:vertAlign w:val="superscript"/>
                <w:lang w:val="da-DK"/>
              </w:rPr>
              <w:t xml:space="preserve"> </w:t>
            </w:r>
            <w:r w:rsidRPr="00750E3C">
              <w:rPr>
                <w:bCs/>
                <w:sz w:val="22"/>
                <w:szCs w:val="22"/>
                <w:lang w:val="sl-SI"/>
              </w:rPr>
              <w:t xml:space="preserve">treba </w:t>
            </w:r>
            <w:r>
              <w:rPr>
                <w:bCs/>
                <w:sz w:val="22"/>
                <w:szCs w:val="22"/>
                <w:lang w:val="sl-SI"/>
              </w:rPr>
              <w:t xml:space="preserve">prekinuti sve </w:t>
            </w:r>
            <w:r w:rsidRPr="001635F5">
              <w:rPr>
                <w:color w:val="000000"/>
                <w:sz w:val="22"/>
                <w:szCs w:val="22"/>
                <w:lang w:val="sr-Latn-CS"/>
              </w:rPr>
              <w:t>dok se nivoi bilirubina ne vrate na</w:t>
            </w:r>
            <w:r>
              <w:rPr>
                <w:color w:val="000000"/>
                <w:sz w:val="22"/>
                <w:szCs w:val="22"/>
                <w:lang w:val="sr-Latn-CS"/>
              </w:rPr>
              <w:t xml:space="preserve"> vrijednost</w:t>
            </w:r>
            <w:r w:rsidRPr="001635F5">
              <w:rPr>
                <w:color w:val="000000"/>
                <w:sz w:val="22"/>
                <w:szCs w:val="22"/>
                <w:lang w:val="sr-Latn-CS"/>
              </w:rPr>
              <w:t xml:space="preserve"> &lt; 1,5 </w:t>
            </w:r>
            <w:r>
              <w:rPr>
                <w:bCs/>
                <w:sz w:val="22"/>
                <w:szCs w:val="22"/>
                <w:lang w:val="sl-SI"/>
              </w:rPr>
              <w:t>x</w:t>
            </w:r>
            <w:r>
              <w:rPr>
                <w:color w:val="000000"/>
                <w:sz w:val="22"/>
                <w:szCs w:val="22"/>
                <w:lang w:val="sr-Latn-CS"/>
              </w:rPr>
              <w:t xml:space="preserve"> IULN, a nivoi transaminaza na vrijednost</w:t>
            </w:r>
            <w:r w:rsidRPr="001635F5">
              <w:rPr>
                <w:color w:val="000000"/>
                <w:sz w:val="22"/>
                <w:szCs w:val="22"/>
                <w:lang w:val="sr-Latn-CS"/>
              </w:rPr>
              <w:t xml:space="preserve"> &lt; 2,5</w:t>
            </w:r>
            <w:r>
              <w:rPr>
                <w:bCs/>
                <w:sz w:val="22"/>
                <w:szCs w:val="22"/>
                <w:lang w:val="sl-SI"/>
              </w:rPr>
              <w:t xml:space="preserve"> x</w:t>
            </w:r>
            <w:r w:rsidRPr="001635F5">
              <w:rPr>
                <w:color w:val="000000"/>
                <w:sz w:val="22"/>
                <w:szCs w:val="22"/>
                <w:lang w:val="sr-Latn-CS"/>
              </w:rPr>
              <w:t xml:space="preserve"> IULN. </w:t>
            </w:r>
            <w:r>
              <w:rPr>
                <w:color w:val="000000"/>
                <w:sz w:val="22"/>
                <w:szCs w:val="22"/>
                <w:lang w:val="sr-Latn-CS"/>
              </w:rPr>
              <w:t>Terapija i</w:t>
            </w:r>
            <w:r>
              <w:rPr>
                <w:bCs/>
                <w:sz w:val="22"/>
                <w:szCs w:val="22"/>
                <w:lang w:val="da-DK"/>
              </w:rPr>
              <w:t>matinibom</w:t>
            </w:r>
            <w:r>
              <w:rPr>
                <w:bCs/>
                <w:sz w:val="22"/>
                <w:szCs w:val="22"/>
                <w:vertAlign w:val="superscript"/>
                <w:lang w:val="da-DK"/>
              </w:rPr>
              <w:t xml:space="preserve"> </w:t>
            </w:r>
            <w:r w:rsidRPr="00750E3C">
              <w:rPr>
                <w:bCs/>
                <w:sz w:val="22"/>
                <w:szCs w:val="22"/>
                <w:vertAlign w:val="superscript"/>
                <w:lang w:val="da-DK"/>
              </w:rPr>
              <w:t xml:space="preserve"> </w:t>
            </w:r>
            <w:r w:rsidRPr="001635F5">
              <w:rPr>
                <w:color w:val="000000"/>
                <w:sz w:val="22"/>
                <w:szCs w:val="22"/>
                <w:lang w:val="sr-Latn-CS"/>
              </w:rPr>
              <w:t xml:space="preserve">se potom može nastaviti sa smanjenom dnevnom dozom. </w:t>
            </w:r>
            <w:r>
              <w:rPr>
                <w:color w:val="000000"/>
                <w:sz w:val="22"/>
                <w:szCs w:val="22"/>
                <w:lang w:val="sr-Latn-CS"/>
              </w:rPr>
              <w:t>Dozu k</w:t>
            </w:r>
            <w:r w:rsidRPr="001635F5">
              <w:rPr>
                <w:color w:val="000000"/>
                <w:sz w:val="22"/>
                <w:szCs w:val="22"/>
                <w:lang w:val="sr-Latn-CS"/>
              </w:rPr>
              <w:t>od odraslih</w:t>
            </w:r>
            <w:r>
              <w:rPr>
                <w:color w:val="000000"/>
                <w:sz w:val="22"/>
                <w:szCs w:val="22"/>
                <w:lang w:val="sr-Latn-CS"/>
              </w:rPr>
              <w:t xml:space="preserve"> treba </w:t>
            </w:r>
            <w:r w:rsidRPr="001635F5">
              <w:rPr>
                <w:color w:val="000000"/>
                <w:sz w:val="22"/>
                <w:szCs w:val="22"/>
                <w:lang w:val="sr-Latn-CS"/>
              </w:rPr>
              <w:t>smanji</w:t>
            </w:r>
            <w:r>
              <w:rPr>
                <w:color w:val="000000"/>
                <w:sz w:val="22"/>
                <w:szCs w:val="22"/>
                <w:lang w:val="sr-Latn-CS"/>
              </w:rPr>
              <w:t>ti</w:t>
            </w:r>
            <w:r w:rsidRPr="001635F5">
              <w:rPr>
                <w:color w:val="000000"/>
                <w:sz w:val="22"/>
                <w:szCs w:val="22"/>
                <w:lang w:val="sr-Latn-CS"/>
              </w:rPr>
              <w:t xml:space="preserve"> </w:t>
            </w:r>
            <w:r>
              <w:rPr>
                <w:color w:val="000000"/>
                <w:sz w:val="22"/>
                <w:szCs w:val="22"/>
                <w:lang w:val="sr-Latn-CS"/>
              </w:rPr>
              <w:t>sa</w:t>
            </w:r>
            <w:r w:rsidRPr="001635F5">
              <w:rPr>
                <w:color w:val="000000"/>
                <w:sz w:val="22"/>
                <w:szCs w:val="22"/>
                <w:lang w:val="sr-Latn-CS"/>
              </w:rPr>
              <w:t xml:space="preserve"> 400 </w:t>
            </w:r>
            <w:r>
              <w:rPr>
                <w:color w:val="000000"/>
                <w:sz w:val="22"/>
                <w:szCs w:val="22"/>
                <w:lang w:val="sr-Latn-CS"/>
              </w:rPr>
              <w:t>mg na</w:t>
            </w:r>
            <w:r w:rsidRPr="001635F5">
              <w:rPr>
                <w:color w:val="000000"/>
                <w:sz w:val="22"/>
                <w:szCs w:val="22"/>
                <w:lang w:val="sr-Latn-CS"/>
              </w:rPr>
              <w:t xml:space="preserve"> 300 mg ili</w:t>
            </w:r>
            <w:r>
              <w:rPr>
                <w:color w:val="000000"/>
                <w:sz w:val="22"/>
                <w:szCs w:val="22"/>
                <w:lang w:val="sr-Latn-CS"/>
              </w:rPr>
              <w:t xml:space="preserve"> sa</w:t>
            </w:r>
            <w:r w:rsidRPr="001635F5">
              <w:rPr>
                <w:color w:val="000000"/>
                <w:sz w:val="22"/>
                <w:szCs w:val="22"/>
                <w:lang w:val="sr-Latn-CS"/>
              </w:rPr>
              <w:t xml:space="preserve"> 600</w:t>
            </w:r>
            <w:r>
              <w:rPr>
                <w:color w:val="000000"/>
                <w:sz w:val="22"/>
                <w:szCs w:val="22"/>
                <w:lang w:val="sr-Latn-CS"/>
              </w:rPr>
              <w:t xml:space="preserve"> mg</w:t>
            </w:r>
            <w:r w:rsidRPr="001635F5">
              <w:rPr>
                <w:color w:val="000000"/>
                <w:sz w:val="22"/>
                <w:szCs w:val="22"/>
                <w:lang w:val="sr-Latn-CS"/>
              </w:rPr>
              <w:t xml:space="preserve"> </w:t>
            </w:r>
            <w:r>
              <w:rPr>
                <w:color w:val="000000"/>
                <w:sz w:val="22"/>
                <w:szCs w:val="22"/>
                <w:lang w:val="sr-Latn-CS"/>
              </w:rPr>
              <w:t>na</w:t>
            </w:r>
            <w:r w:rsidRPr="001635F5">
              <w:rPr>
                <w:color w:val="000000"/>
                <w:sz w:val="22"/>
                <w:szCs w:val="22"/>
                <w:lang w:val="sr-Latn-CS"/>
              </w:rPr>
              <w:t xml:space="preserve"> 400 mg, </w:t>
            </w:r>
            <w:r>
              <w:rPr>
                <w:color w:val="000000"/>
                <w:sz w:val="22"/>
                <w:szCs w:val="22"/>
                <w:lang w:val="sr-Latn-CS"/>
              </w:rPr>
              <w:t>ili sa</w:t>
            </w:r>
            <w:r w:rsidRPr="001635F5">
              <w:rPr>
                <w:color w:val="000000"/>
                <w:sz w:val="22"/>
                <w:szCs w:val="22"/>
                <w:lang w:val="sr-Latn-CS"/>
              </w:rPr>
              <w:t xml:space="preserve"> 800 mg </w:t>
            </w:r>
            <w:r>
              <w:rPr>
                <w:color w:val="000000"/>
                <w:sz w:val="22"/>
                <w:szCs w:val="22"/>
                <w:lang w:val="sr-Latn-CS"/>
              </w:rPr>
              <w:t>na</w:t>
            </w:r>
            <w:r w:rsidRPr="001635F5">
              <w:rPr>
                <w:color w:val="000000"/>
                <w:sz w:val="22"/>
                <w:szCs w:val="22"/>
                <w:lang w:val="sr-Latn-CS"/>
              </w:rPr>
              <w:t xml:space="preserve"> 600 mg, a kod </w:t>
            </w:r>
            <w:r>
              <w:rPr>
                <w:color w:val="000000"/>
                <w:sz w:val="22"/>
                <w:szCs w:val="22"/>
                <w:lang w:val="sr-Latn-CS"/>
              </w:rPr>
              <w:t>djec</w:t>
            </w:r>
            <w:r w:rsidRPr="001635F5">
              <w:rPr>
                <w:color w:val="000000"/>
                <w:sz w:val="22"/>
                <w:szCs w:val="22"/>
                <w:lang w:val="sr-Latn-CS"/>
              </w:rPr>
              <w:t xml:space="preserve">e </w:t>
            </w:r>
            <w:r>
              <w:rPr>
                <w:color w:val="000000"/>
                <w:sz w:val="22"/>
                <w:szCs w:val="22"/>
                <w:lang w:val="sr-Latn-CS"/>
              </w:rPr>
              <w:t>sa 340 na</w:t>
            </w:r>
            <w:r w:rsidRPr="001635F5">
              <w:rPr>
                <w:color w:val="000000"/>
                <w:sz w:val="22"/>
                <w:szCs w:val="22"/>
                <w:lang w:val="sr-Latn-CS"/>
              </w:rPr>
              <w:t xml:space="preserve"> 260 mg/m</w:t>
            </w:r>
            <w:r w:rsidRPr="001635F5">
              <w:rPr>
                <w:color w:val="000000"/>
                <w:sz w:val="22"/>
                <w:szCs w:val="22"/>
                <w:vertAlign w:val="superscript"/>
                <w:lang w:val="sr-Latn-CS"/>
              </w:rPr>
              <w:t>2</w:t>
            </w:r>
            <w:r w:rsidRPr="001635F5">
              <w:rPr>
                <w:color w:val="000000"/>
                <w:sz w:val="22"/>
                <w:szCs w:val="22"/>
                <w:lang w:val="sr-Latn-CS"/>
              </w:rPr>
              <w:t>/dan.</w:t>
            </w:r>
          </w:p>
          <w:p w:rsidR="000A2337" w:rsidRPr="001635F5" w:rsidRDefault="000A2337" w:rsidP="00161AB3">
            <w:pPr>
              <w:shd w:val="clear" w:color="auto" w:fill="FFFFFF"/>
              <w:jc w:val="both"/>
              <w:rPr>
                <w:sz w:val="22"/>
                <w:szCs w:val="22"/>
                <w:lang w:val="sr-Latn-CS"/>
              </w:rPr>
            </w:pPr>
          </w:p>
          <w:p w:rsidR="000A2337" w:rsidRPr="001635F5" w:rsidRDefault="000A2337" w:rsidP="00161AB3">
            <w:pPr>
              <w:shd w:val="clear" w:color="auto" w:fill="FFFFFF"/>
              <w:jc w:val="both"/>
              <w:rPr>
                <w:sz w:val="22"/>
                <w:szCs w:val="22"/>
                <w:lang w:val="sr-Latn-CS"/>
              </w:rPr>
            </w:pPr>
            <w:r w:rsidRPr="001635F5">
              <w:rPr>
                <w:i/>
                <w:iCs/>
                <w:color w:val="000000"/>
                <w:sz w:val="22"/>
                <w:szCs w:val="22"/>
                <w:lang w:val="sr-Latn-CS"/>
              </w:rPr>
              <w:t>Hematološke neželjene reakcije</w:t>
            </w:r>
          </w:p>
          <w:p w:rsidR="000A2337" w:rsidRDefault="000A2337" w:rsidP="00161AB3">
            <w:pPr>
              <w:shd w:val="clear" w:color="auto" w:fill="FFFFFF"/>
              <w:jc w:val="both"/>
              <w:rPr>
                <w:color w:val="000000"/>
                <w:sz w:val="22"/>
                <w:szCs w:val="22"/>
                <w:lang w:val="sr-Latn-CS"/>
              </w:rPr>
            </w:pPr>
            <w:r>
              <w:rPr>
                <w:color w:val="000000"/>
                <w:sz w:val="22"/>
                <w:szCs w:val="22"/>
                <w:lang w:val="sr-Latn-CS"/>
              </w:rPr>
              <w:t>U slučaju teške neutropenije i trombocitopenije</w:t>
            </w:r>
            <w:r w:rsidRPr="001635F5">
              <w:rPr>
                <w:color w:val="000000"/>
                <w:sz w:val="22"/>
                <w:szCs w:val="22"/>
                <w:lang w:val="sr-Latn-CS"/>
              </w:rPr>
              <w:t xml:space="preserve"> </w:t>
            </w:r>
            <w:r>
              <w:rPr>
                <w:color w:val="000000"/>
                <w:sz w:val="22"/>
                <w:szCs w:val="22"/>
                <w:lang w:val="sr-Latn-CS"/>
              </w:rPr>
              <w:t>p</w:t>
            </w:r>
            <w:r w:rsidRPr="001635F5">
              <w:rPr>
                <w:color w:val="000000"/>
                <w:sz w:val="22"/>
                <w:szCs w:val="22"/>
                <w:lang w:val="sr-Latn-CS"/>
              </w:rPr>
              <w:t>reporučuje se smanjivanje doze ili prekid</w:t>
            </w:r>
            <w:r>
              <w:rPr>
                <w:color w:val="000000"/>
                <w:sz w:val="22"/>
                <w:szCs w:val="22"/>
                <w:lang w:val="sr-Latn-CS"/>
              </w:rPr>
              <w:t xml:space="preserve"> terapije kao što je prikaza</w:t>
            </w:r>
            <w:r w:rsidRPr="001635F5">
              <w:rPr>
                <w:color w:val="000000"/>
                <w:sz w:val="22"/>
                <w:szCs w:val="22"/>
                <w:lang w:val="sr-Latn-CS"/>
              </w:rPr>
              <w:t xml:space="preserve">no u tabeli </w:t>
            </w:r>
            <w:r>
              <w:rPr>
                <w:color w:val="000000"/>
                <w:sz w:val="22"/>
                <w:szCs w:val="22"/>
                <w:lang w:val="sr-Latn-CS"/>
              </w:rPr>
              <w:t>niže</w:t>
            </w:r>
            <w:r w:rsidRPr="001635F5">
              <w:rPr>
                <w:color w:val="000000"/>
                <w:sz w:val="22"/>
                <w:szCs w:val="22"/>
                <w:lang w:val="sr-Latn-CS"/>
              </w:rPr>
              <w:t>.</w:t>
            </w:r>
          </w:p>
          <w:p w:rsidR="000A2337" w:rsidRPr="001635F5" w:rsidRDefault="000A2337" w:rsidP="00161AB3">
            <w:pPr>
              <w:shd w:val="clear" w:color="auto" w:fill="FFFFFF"/>
              <w:jc w:val="both"/>
              <w:rPr>
                <w:sz w:val="22"/>
                <w:szCs w:val="22"/>
                <w:lang w:val="sr-Latn-CS"/>
              </w:rPr>
            </w:pPr>
          </w:p>
          <w:p w:rsidR="000A2337" w:rsidRDefault="000A2337" w:rsidP="00161AB3">
            <w:pPr>
              <w:shd w:val="clear" w:color="auto" w:fill="FFFFFF"/>
              <w:jc w:val="both"/>
              <w:rPr>
                <w:color w:val="000000"/>
                <w:sz w:val="22"/>
                <w:szCs w:val="22"/>
                <w:lang w:val="sr-Latn-CS"/>
              </w:rPr>
            </w:pPr>
            <w:r>
              <w:rPr>
                <w:color w:val="000000"/>
                <w:sz w:val="22"/>
                <w:szCs w:val="22"/>
                <w:lang w:val="sr-Latn-CS"/>
              </w:rPr>
              <w:t>Podešavanje doze zbog neutropenije i trombocitopenije</w:t>
            </w:r>
            <w:r w:rsidRPr="001635F5">
              <w:rPr>
                <w:color w:val="000000"/>
                <w:sz w:val="22"/>
                <w:szCs w:val="22"/>
                <w:lang w:val="sr-Latn-CS"/>
              </w:rPr>
              <w:t>:</w:t>
            </w:r>
          </w:p>
          <w:p w:rsidR="000A2337" w:rsidRDefault="000A2337" w:rsidP="00161AB3">
            <w:pPr>
              <w:shd w:val="clear" w:color="auto" w:fill="FFFFFF"/>
              <w:rPr>
                <w:color w:val="000000"/>
                <w:sz w:val="22"/>
                <w:szCs w:val="22"/>
                <w:lang w:val="sr-Latn-CS"/>
              </w:rPr>
            </w:pPr>
          </w:p>
          <w:tbl>
            <w:tblPr>
              <w:tblW w:w="0" w:type="auto"/>
              <w:jc w:val="center"/>
              <w:tblLayout w:type="fixed"/>
              <w:tblCellMar>
                <w:left w:w="40" w:type="dxa"/>
                <w:right w:w="40" w:type="dxa"/>
              </w:tblCellMar>
              <w:tblLook w:val="0000" w:firstRow="0" w:lastRow="0" w:firstColumn="0" w:lastColumn="0" w:noHBand="0" w:noVBand="0"/>
            </w:tblPr>
            <w:tblGrid>
              <w:gridCol w:w="2813"/>
              <w:gridCol w:w="2268"/>
              <w:gridCol w:w="4562"/>
            </w:tblGrid>
            <w:tr w:rsidR="000A2337" w:rsidRPr="00601926" w:rsidTr="00161AB3">
              <w:trPr>
                <w:jc w:val="center"/>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 xml:space="preserve">HES/CEL </w:t>
                  </w:r>
                </w:p>
                <w:p w:rsidR="000A2337" w:rsidRPr="00601926" w:rsidRDefault="000A2337" w:rsidP="00161AB3">
                  <w:pPr>
                    <w:shd w:val="clear" w:color="auto" w:fill="FFFFFF"/>
                    <w:rPr>
                      <w:sz w:val="22"/>
                      <w:szCs w:val="22"/>
                      <w:lang w:val="sr-Latn-CS"/>
                    </w:rPr>
                  </w:pPr>
                  <w:r w:rsidRPr="00601926">
                    <w:rPr>
                      <w:color w:val="000000"/>
                      <w:sz w:val="22"/>
                      <w:szCs w:val="22"/>
                      <w:lang w:val="sr-Latn-CS"/>
                    </w:rPr>
                    <w:t>(početna doza 100 mg)</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601926">
                    <w:rPr>
                      <w:color w:val="000000"/>
                      <w:sz w:val="22"/>
                      <w:szCs w:val="22"/>
                      <w:lang w:val="sr-Latn-CS"/>
                    </w:rPr>
                    <w:t xml:space="preserve">ANC &lt; 1,0 </w:t>
                  </w:r>
                  <w:r>
                    <w:rPr>
                      <w:color w:val="000000"/>
                      <w:sz w:val="22"/>
                      <w:szCs w:val="22"/>
                      <w:lang w:val="sr-Latn-CS"/>
                    </w:rPr>
                    <w:t>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 xml:space="preserve">/l </w:t>
                  </w:r>
                </w:p>
                <w:p w:rsidR="000A2337" w:rsidRDefault="000A2337" w:rsidP="00161AB3">
                  <w:pPr>
                    <w:shd w:val="clear" w:color="auto" w:fill="FFFFFF"/>
                    <w:rPr>
                      <w:color w:val="000000"/>
                      <w:sz w:val="22"/>
                      <w:szCs w:val="22"/>
                      <w:lang w:val="sr-Latn-CS"/>
                    </w:rPr>
                  </w:pPr>
                  <w:r w:rsidRPr="00601926">
                    <w:rPr>
                      <w:color w:val="000000"/>
                      <w:sz w:val="22"/>
                      <w:szCs w:val="22"/>
                      <w:lang w:val="sr-Latn-CS"/>
                    </w:rPr>
                    <w:t xml:space="preserve">i/ili </w:t>
                  </w:r>
                </w:p>
                <w:p w:rsidR="000A2337" w:rsidRPr="00601926" w:rsidRDefault="000A2337" w:rsidP="00161AB3">
                  <w:pPr>
                    <w:shd w:val="clear" w:color="auto" w:fill="FFFFFF"/>
                    <w:rPr>
                      <w:sz w:val="22"/>
                      <w:szCs w:val="22"/>
                      <w:lang w:val="sr-Latn-CS"/>
                    </w:rPr>
                  </w:pPr>
                  <w:r>
                    <w:rPr>
                      <w:color w:val="000000"/>
                      <w:sz w:val="22"/>
                      <w:szCs w:val="22"/>
                      <w:lang w:val="sr-Latn-CS"/>
                    </w:rPr>
                    <w:t>trombociti &lt; 50 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/l</w:t>
                  </w:r>
                </w:p>
              </w:tc>
              <w:tc>
                <w:tcPr>
                  <w:tcW w:w="4562" w:type="dxa"/>
                  <w:tcBorders>
                    <w:top w:val="single" w:sz="6" w:space="0" w:color="auto"/>
                    <w:left w:val="single" w:sz="6" w:space="0" w:color="auto"/>
                    <w:bottom w:val="single" w:sz="6" w:space="0" w:color="auto"/>
                    <w:right w:val="single" w:sz="6" w:space="0" w:color="auto"/>
                  </w:tcBorders>
                  <w:shd w:val="clear" w:color="auto" w:fill="FFFFFF"/>
                </w:tcPr>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 xml:space="preserve">1.  Prekinuti </w:t>
                  </w:r>
                  <w:r>
                    <w:rPr>
                      <w:color w:val="000000"/>
                      <w:sz w:val="22"/>
                      <w:szCs w:val="22"/>
                      <w:lang w:val="sr-Latn-CS"/>
                    </w:rPr>
                    <w:t>terapiju i</w:t>
                  </w:r>
                  <w:r>
                    <w:rPr>
                      <w:bCs/>
                      <w:sz w:val="22"/>
                      <w:szCs w:val="22"/>
                      <w:lang w:val="da-DK"/>
                    </w:rPr>
                    <w:t>matinibom</w:t>
                  </w:r>
                  <w:r>
                    <w:rPr>
                      <w:color w:val="000000"/>
                      <w:sz w:val="22"/>
                      <w:szCs w:val="22"/>
                      <w:lang w:val="sr-Latn-CS"/>
                    </w:rPr>
                    <w:t xml:space="preserve"> dok ne bude ANC ≥ 1,5 x</w:t>
                  </w:r>
                  <w:r w:rsidRPr="00601926">
                    <w:rPr>
                      <w:color w:val="000000"/>
                      <w:sz w:val="22"/>
                      <w:szCs w:val="22"/>
                      <w:lang w:val="sr-Latn-CS"/>
                    </w:rPr>
                    <w:t xml:space="preserve"> 10</w:t>
                  </w:r>
                  <w:r w:rsidRPr="00601926">
                    <w:rPr>
                      <w:color w:val="000000"/>
                      <w:sz w:val="22"/>
                      <w:szCs w:val="22"/>
                      <w:vertAlign w:val="superscript"/>
                      <w:lang w:val="sr-Latn-CS"/>
                    </w:rPr>
                    <w:t>9</w:t>
                  </w:r>
                  <w:r>
                    <w:rPr>
                      <w:color w:val="000000"/>
                      <w:sz w:val="22"/>
                      <w:szCs w:val="22"/>
                      <w:lang w:val="sr-Latn-CS"/>
                    </w:rPr>
                    <w:t>/l a trombociti ≥ 75 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 xml:space="preserve">/l. </w:t>
                  </w:r>
                </w:p>
                <w:p w:rsidR="000A2337" w:rsidRPr="00601926" w:rsidRDefault="000A2337" w:rsidP="00161AB3">
                  <w:pPr>
                    <w:shd w:val="clear" w:color="auto" w:fill="FFFFFF"/>
                    <w:ind w:left="278" w:hanging="278"/>
                    <w:rPr>
                      <w:color w:val="000000"/>
                      <w:sz w:val="22"/>
                      <w:szCs w:val="22"/>
                      <w:lang w:val="sr-Latn-CS"/>
                    </w:rPr>
                  </w:pPr>
                  <w:r w:rsidRPr="00601926">
                    <w:rPr>
                      <w:color w:val="000000"/>
                      <w:sz w:val="22"/>
                      <w:szCs w:val="22"/>
                      <w:lang w:val="sr-Latn-CS"/>
                    </w:rPr>
                    <w:t xml:space="preserve">2.  Nastaviti </w:t>
                  </w:r>
                  <w:r>
                    <w:rPr>
                      <w:color w:val="000000"/>
                      <w:sz w:val="22"/>
                      <w:szCs w:val="22"/>
                      <w:lang w:val="sr-Latn-CS"/>
                    </w:rPr>
                    <w:t>terapiju i</w:t>
                  </w:r>
                  <w:r>
                    <w:rPr>
                      <w:bCs/>
                      <w:sz w:val="22"/>
                      <w:szCs w:val="22"/>
                      <w:lang w:val="da-DK"/>
                    </w:rPr>
                    <w:t>matinibom</w:t>
                  </w:r>
                  <w:r>
                    <w:rPr>
                      <w:bCs/>
                      <w:sz w:val="22"/>
                      <w:szCs w:val="22"/>
                      <w:vertAlign w:val="superscript"/>
                      <w:lang w:val="da-DK"/>
                    </w:rPr>
                    <w:t xml:space="preserve"> </w:t>
                  </w:r>
                  <w:r w:rsidRPr="00601926">
                    <w:rPr>
                      <w:color w:val="000000"/>
                      <w:sz w:val="22"/>
                      <w:szCs w:val="22"/>
                      <w:lang w:val="sr-Latn-CS"/>
                    </w:rPr>
                    <w:t>prethodnom dozom (tj. pr</w:t>
                  </w:r>
                  <w:r>
                    <w:rPr>
                      <w:color w:val="000000"/>
                      <w:sz w:val="22"/>
                      <w:szCs w:val="22"/>
                      <w:lang w:val="sr-Latn-CS"/>
                    </w:rPr>
                    <w:t>ij</w:t>
                  </w:r>
                  <w:r w:rsidRPr="00601926">
                    <w:rPr>
                      <w:color w:val="000000"/>
                      <w:sz w:val="22"/>
                      <w:szCs w:val="22"/>
                      <w:lang w:val="sr-Latn-CS"/>
                    </w:rPr>
                    <w:t>e teške neželjene reakcije).</w:t>
                  </w:r>
                </w:p>
              </w:tc>
            </w:tr>
            <w:tr w:rsidR="000A2337" w:rsidRPr="00601926" w:rsidTr="00161AB3">
              <w:trPr>
                <w:jc w:val="center"/>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smartTag w:uri="urn:schemas-microsoft-com:office:smarttags" w:element="stockticker">
                    <w:r w:rsidRPr="00601926">
                      <w:rPr>
                        <w:color w:val="000000"/>
                        <w:sz w:val="22"/>
                        <w:szCs w:val="22"/>
                        <w:lang w:val="sr-Latn-CS"/>
                      </w:rPr>
                      <w:t>MDS</w:t>
                    </w:r>
                  </w:smartTag>
                  <w:r w:rsidRPr="00601926">
                    <w:rPr>
                      <w:color w:val="000000"/>
                      <w:sz w:val="22"/>
                      <w:szCs w:val="22"/>
                      <w:lang w:val="sr-Latn-CS"/>
                    </w:rPr>
                    <w:t xml:space="preserve">/MPD </w:t>
                  </w:r>
                </w:p>
                <w:p w:rsidR="000A2337" w:rsidRPr="00601926" w:rsidRDefault="000A2337" w:rsidP="00161AB3">
                  <w:pPr>
                    <w:shd w:val="clear" w:color="auto" w:fill="FFFFFF"/>
                    <w:rPr>
                      <w:sz w:val="22"/>
                      <w:szCs w:val="22"/>
                      <w:lang w:val="sr-Latn-CS"/>
                    </w:rPr>
                  </w:pPr>
                  <w:r>
                    <w:rPr>
                      <w:color w:val="000000"/>
                      <w:sz w:val="22"/>
                      <w:szCs w:val="22"/>
                      <w:lang w:val="sr-Latn-CS"/>
                    </w:rPr>
                    <w:t>(početna doza 400 mg) HES/CEL (doza</w:t>
                  </w:r>
                  <w:r w:rsidRPr="00601926">
                    <w:rPr>
                      <w:color w:val="000000"/>
                      <w:sz w:val="22"/>
                      <w:szCs w:val="22"/>
                      <w:lang w:val="sr-Latn-CS"/>
                    </w:rPr>
                    <w:t xml:space="preserve"> od 400 mg)</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601926">
                    <w:rPr>
                      <w:color w:val="000000"/>
                      <w:sz w:val="22"/>
                      <w:szCs w:val="22"/>
                      <w:lang w:val="sr-Latn-CS"/>
                    </w:rPr>
                    <w:t>ANC &lt; 1,0 x 10</w:t>
                  </w:r>
                  <w:r w:rsidRPr="00601926">
                    <w:rPr>
                      <w:color w:val="000000"/>
                      <w:sz w:val="22"/>
                      <w:szCs w:val="22"/>
                      <w:vertAlign w:val="superscript"/>
                      <w:lang w:val="sr-Latn-CS"/>
                    </w:rPr>
                    <w:t>9</w:t>
                  </w:r>
                  <w:r w:rsidRPr="00601926">
                    <w:rPr>
                      <w:color w:val="000000"/>
                      <w:sz w:val="22"/>
                      <w:szCs w:val="22"/>
                      <w:lang w:val="sr-Latn-CS"/>
                    </w:rPr>
                    <w:t xml:space="preserve">/l </w:t>
                  </w:r>
                </w:p>
                <w:p w:rsidR="000A2337" w:rsidRDefault="000A2337" w:rsidP="00161AB3">
                  <w:pPr>
                    <w:shd w:val="clear" w:color="auto" w:fill="FFFFFF"/>
                    <w:rPr>
                      <w:color w:val="000000"/>
                      <w:sz w:val="22"/>
                      <w:szCs w:val="22"/>
                      <w:lang w:val="sr-Latn-CS"/>
                    </w:rPr>
                  </w:pPr>
                  <w:r w:rsidRPr="00601926">
                    <w:rPr>
                      <w:color w:val="000000"/>
                      <w:sz w:val="22"/>
                      <w:szCs w:val="22"/>
                      <w:lang w:val="sr-Latn-CS"/>
                    </w:rPr>
                    <w:t xml:space="preserve">i/ili </w:t>
                  </w:r>
                </w:p>
                <w:p w:rsidR="000A2337" w:rsidRPr="00601926" w:rsidRDefault="000A2337" w:rsidP="00161AB3">
                  <w:pPr>
                    <w:shd w:val="clear" w:color="auto" w:fill="FFFFFF"/>
                    <w:rPr>
                      <w:sz w:val="22"/>
                      <w:szCs w:val="22"/>
                      <w:lang w:val="sr-Latn-CS"/>
                    </w:rPr>
                  </w:pPr>
                  <w:r w:rsidRPr="00601926">
                    <w:rPr>
                      <w:color w:val="000000"/>
                      <w:sz w:val="22"/>
                      <w:szCs w:val="22"/>
                      <w:lang w:val="sr-Latn-CS"/>
                    </w:rPr>
                    <w:t>trombociti &lt; 50 × 10</w:t>
                  </w:r>
                  <w:r w:rsidRPr="00601926">
                    <w:rPr>
                      <w:color w:val="000000"/>
                      <w:sz w:val="22"/>
                      <w:szCs w:val="22"/>
                      <w:vertAlign w:val="superscript"/>
                      <w:lang w:val="sr-Latn-CS"/>
                    </w:rPr>
                    <w:t>9</w:t>
                  </w:r>
                  <w:r w:rsidRPr="00601926">
                    <w:rPr>
                      <w:color w:val="000000"/>
                      <w:sz w:val="22"/>
                      <w:szCs w:val="22"/>
                      <w:lang w:val="sr-Latn-CS"/>
                    </w:rPr>
                    <w:t>/l</w:t>
                  </w:r>
                </w:p>
              </w:tc>
              <w:tc>
                <w:tcPr>
                  <w:tcW w:w="4562" w:type="dxa"/>
                  <w:tcBorders>
                    <w:top w:val="single" w:sz="6" w:space="0" w:color="auto"/>
                    <w:left w:val="single" w:sz="6" w:space="0" w:color="auto"/>
                    <w:bottom w:val="single" w:sz="6" w:space="0" w:color="auto"/>
                    <w:right w:val="single" w:sz="6" w:space="0" w:color="auto"/>
                  </w:tcBorders>
                  <w:shd w:val="clear" w:color="auto" w:fill="FFFFFF"/>
                </w:tcPr>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 xml:space="preserve">1.  Prekinuti </w:t>
                  </w:r>
                  <w:r>
                    <w:rPr>
                      <w:color w:val="000000"/>
                      <w:sz w:val="22"/>
                      <w:szCs w:val="22"/>
                      <w:lang w:val="sr-Latn-CS"/>
                    </w:rPr>
                    <w:t>terapiju i</w:t>
                  </w:r>
                  <w:r>
                    <w:rPr>
                      <w:bCs/>
                      <w:sz w:val="22"/>
                      <w:szCs w:val="22"/>
                      <w:lang w:val="da-DK"/>
                    </w:rPr>
                    <w:t>matinibom</w:t>
                  </w:r>
                  <w:r w:rsidRPr="00601926">
                    <w:rPr>
                      <w:color w:val="000000"/>
                      <w:sz w:val="22"/>
                      <w:szCs w:val="22"/>
                      <w:lang w:val="sr-Latn-CS"/>
                    </w:rPr>
                    <w:t xml:space="preserve"> dok ne bude ANC ≥ 1,5 x 10</w:t>
                  </w:r>
                  <w:r w:rsidRPr="00601926">
                    <w:rPr>
                      <w:color w:val="000000"/>
                      <w:sz w:val="22"/>
                      <w:szCs w:val="22"/>
                      <w:vertAlign w:val="superscript"/>
                      <w:lang w:val="sr-Latn-CS"/>
                    </w:rPr>
                    <w:t>9</w:t>
                  </w:r>
                  <w:r w:rsidRPr="00601926">
                    <w:rPr>
                      <w:color w:val="000000"/>
                      <w:sz w:val="22"/>
                      <w:szCs w:val="22"/>
                      <w:lang w:val="sr-Latn-CS"/>
                    </w:rPr>
                    <w:t>/l a trombociti ≥ 75 × 10</w:t>
                  </w:r>
                  <w:r w:rsidRPr="00601926">
                    <w:rPr>
                      <w:color w:val="000000"/>
                      <w:sz w:val="22"/>
                      <w:szCs w:val="22"/>
                      <w:vertAlign w:val="superscript"/>
                      <w:lang w:val="sr-Latn-CS"/>
                    </w:rPr>
                    <w:t>9</w:t>
                  </w:r>
                  <w:r w:rsidRPr="00601926">
                    <w:rPr>
                      <w:color w:val="000000"/>
                      <w:sz w:val="22"/>
                      <w:szCs w:val="22"/>
                      <w:lang w:val="sr-Latn-CS"/>
                    </w:rPr>
                    <w:t xml:space="preserve">/l. </w:t>
                  </w:r>
                </w:p>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 xml:space="preserve">2.  Nastaviti </w:t>
                  </w:r>
                  <w:r>
                    <w:rPr>
                      <w:color w:val="000000"/>
                      <w:sz w:val="22"/>
                      <w:szCs w:val="22"/>
                      <w:lang w:val="sr-Latn-CS"/>
                    </w:rPr>
                    <w:t>terapiju i</w:t>
                  </w:r>
                  <w:r>
                    <w:rPr>
                      <w:bCs/>
                      <w:sz w:val="22"/>
                      <w:szCs w:val="22"/>
                      <w:lang w:val="da-DK"/>
                    </w:rPr>
                    <w:t>matinibom</w:t>
                  </w:r>
                  <w:r>
                    <w:rPr>
                      <w:bCs/>
                      <w:sz w:val="22"/>
                      <w:szCs w:val="22"/>
                      <w:vertAlign w:val="superscript"/>
                      <w:lang w:val="da-DK"/>
                    </w:rPr>
                    <w:t xml:space="preserve"> </w:t>
                  </w:r>
                  <w:r w:rsidRPr="00601926">
                    <w:rPr>
                      <w:color w:val="000000"/>
                      <w:sz w:val="22"/>
                      <w:szCs w:val="22"/>
                      <w:lang w:val="sr-Latn-CS"/>
                    </w:rPr>
                    <w:t>prethodnom dozom (tj. pr</w:t>
                  </w:r>
                  <w:r>
                    <w:rPr>
                      <w:color w:val="000000"/>
                      <w:sz w:val="22"/>
                      <w:szCs w:val="22"/>
                      <w:lang w:val="sr-Latn-CS"/>
                    </w:rPr>
                    <w:t>ij</w:t>
                  </w:r>
                  <w:r w:rsidRPr="00601926">
                    <w:rPr>
                      <w:color w:val="000000"/>
                      <w:sz w:val="22"/>
                      <w:szCs w:val="22"/>
                      <w:lang w:val="sr-Latn-CS"/>
                    </w:rPr>
                    <w:t xml:space="preserve">e teške neželjene reakcije). </w:t>
                  </w:r>
                </w:p>
                <w:p w:rsidR="000A2337" w:rsidRDefault="000A2337" w:rsidP="00161AB3">
                  <w:pPr>
                    <w:shd w:val="clear" w:color="auto" w:fill="FFFFFF"/>
                    <w:ind w:left="278" w:hanging="278"/>
                    <w:rPr>
                      <w:color w:val="000000"/>
                      <w:sz w:val="22"/>
                      <w:szCs w:val="22"/>
                      <w:lang w:val="sr-Latn-CS"/>
                    </w:rPr>
                  </w:pPr>
                  <w:r w:rsidRPr="00601926">
                    <w:rPr>
                      <w:color w:val="000000"/>
                      <w:sz w:val="22"/>
                      <w:szCs w:val="22"/>
                      <w:lang w:val="sr-Latn-CS"/>
                    </w:rPr>
                    <w:t>3.  U slučaju recidiva ANC &lt; 1,0 × 10</w:t>
                  </w:r>
                  <w:r w:rsidRPr="00601926">
                    <w:rPr>
                      <w:color w:val="000000"/>
                      <w:sz w:val="22"/>
                      <w:szCs w:val="22"/>
                      <w:vertAlign w:val="superscript"/>
                      <w:lang w:val="sr-Latn-CS"/>
                    </w:rPr>
                    <w:t>9</w:t>
                  </w:r>
                  <w:r w:rsidRPr="00601926">
                    <w:rPr>
                      <w:color w:val="000000"/>
                      <w:sz w:val="22"/>
                      <w:szCs w:val="22"/>
                      <w:lang w:val="sr-Latn-CS"/>
                    </w:rPr>
                    <w:t>/l i/ili trombociti &lt; 50 × 10</w:t>
                  </w:r>
                  <w:r w:rsidRPr="00601926">
                    <w:rPr>
                      <w:color w:val="000000"/>
                      <w:sz w:val="22"/>
                      <w:szCs w:val="22"/>
                      <w:vertAlign w:val="superscript"/>
                      <w:lang w:val="sr-Latn-CS"/>
                    </w:rPr>
                    <w:t>9</w:t>
                  </w:r>
                  <w:r w:rsidRPr="00601926">
                    <w:rPr>
                      <w:color w:val="000000"/>
                      <w:sz w:val="22"/>
                      <w:szCs w:val="22"/>
                      <w:lang w:val="sr-Latn-CS"/>
                    </w:rPr>
                    <w:t xml:space="preserve">/l, ponoviti korak 1 i nastaviti </w:t>
                  </w:r>
                  <w:r>
                    <w:rPr>
                      <w:color w:val="000000"/>
                      <w:sz w:val="22"/>
                      <w:szCs w:val="22"/>
                      <w:lang w:val="sr-Latn-CS"/>
                    </w:rPr>
                    <w:t>terapiju i</w:t>
                  </w:r>
                  <w:r>
                    <w:rPr>
                      <w:bCs/>
                      <w:sz w:val="22"/>
                      <w:szCs w:val="22"/>
                      <w:lang w:val="da-DK"/>
                    </w:rPr>
                    <w:t>matinibom</w:t>
                  </w:r>
                  <w:r>
                    <w:rPr>
                      <w:bCs/>
                      <w:sz w:val="22"/>
                      <w:szCs w:val="22"/>
                      <w:vertAlign w:val="superscript"/>
                      <w:lang w:val="da-DK"/>
                    </w:rPr>
                    <w:t xml:space="preserve"> </w:t>
                  </w:r>
                  <w:r w:rsidRPr="00601926">
                    <w:rPr>
                      <w:color w:val="000000"/>
                      <w:sz w:val="22"/>
                      <w:szCs w:val="22"/>
                      <w:lang w:val="sr-Latn-CS"/>
                    </w:rPr>
                    <w:t xml:space="preserve"> sa smanjenom dozom od 300 mg.</w:t>
                  </w:r>
                </w:p>
                <w:p w:rsidR="00161AB3" w:rsidRPr="00601926" w:rsidRDefault="00161AB3" w:rsidP="00161AB3">
                  <w:pPr>
                    <w:shd w:val="clear" w:color="auto" w:fill="FFFFFF"/>
                    <w:ind w:left="278" w:hanging="278"/>
                    <w:rPr>
                      <w:color w:val="000000"/>
                      <w:sz w:val="22"/>
                      <w:szCs w:val="22"/>
                      <w:lang w:val="sr-Latn-CS"/>
                    </w:rPr>
                  </w:pPr>
                </w:p>
              </w:tc>
            </w:tr>
            <w:tr w:rsidR="000A2337" w:rsidRPr="00601926" w:rsidTr="00161AB3">
              <w:trPr>
                <w:jc w:val="center"/>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Hronična faza CML kod pedijatrijskih pacijenata</w:t>
                  </w:r>
                </w:p>
                <w:p w:rsidR="000A2337" w:rsidRPr="00601926" w:rsidRDefault="000A2337" w:rsidP="00161AB3">
                  <w:pPr>
                    <w:shd w:val="clear" w:color="auto" w:fill="FFFFFF"/>
                    <w:rPr>
                      <w:sz w:val="22"/>
                      <w:szCs w:val="22"/>
                      <w:lang w:val="sr-Latn-CS"/>
                    </w:rPr>
                  </w:pPr>
                  <w:r>
                    <w:rPr>
                      <w:color w:val="000000"/>
                      <w:sz w:val="22"/>
                      <w:szCs w:val="22"/>
                      <w:lang w:val="sr-Latn-CS"/>
                    </w:rPr>
                    <w:t xml:space="preserve"> (doza</w:t>
                  </w:r>
                  <w:r w:rsidRPr="00601926">
                    <w:rPr>
                      <w:color w:val="000000"/>
                      <w:sz w:val="22"/>
                      <w:szCs w:val="22"/>
                      <w:lang w:val="sr-Latn-CS"/>
                    </w:rPr>
                    <w:t xml:space="preserve"> 340 mg/m</w:t>
                  </w:r>
                  <w:r w:rsidRPr="00601926">
                    <w:rPr>
                      <w:color w:val="000000"/>
                      <w:sz w:val="22"/>
                      <w:szCs w:val="22"/>
                      <w:vertAlign w:val="superscript"/>
                      <w:lang w:val="sr-Latn-CS"/>
                    </w:rPr>
                    <w:t>2</w:t>
                  </w:r>
                  <w:r w:rsidRPr="00601926">
                    <w:rPr>
                      <w:color w:val="000000"/>
                      <w:sz w:val="22"/>
                      <w:szCs w:val="22"/>
                      <w:lang w:val="sr-Latn-CS"/>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601926">
                    <w:rPr>
                      <w:color w:val="000000"/>
                      <w:sz w:val="22"/>
                      <w:szCs w:val="22"/>
                      <w:lang w:val="sr-Latn-CS"/>
                    </w:rPr>
                    <w:t>ANC &lt; 1,0 × 10</w:t>
                  </w:r>
                  <w:r w:rsidRPr="00601926">
                    <w:rPr>
                      <w:color w:val="000000"/>
                      <w:sz w:val="22"/>
                      <w:szCs w:val="22"/>
                      <w:vertAlign w:val="superscript"/>
                      <w:lang w:val="sr-Latn-CS"/>
                    </w:rPr>
                    <w:t>9</w:t>
                  </w:r>
                  <w:r w:rsidRPr="00601926">
                    <w:rPr>
                      <w:color w:val="000000"/>
                      <w:sz w:val="22"/>
                      <w:szCs w:val="22"/>
                      <w:lang w:val="sr-Latn-CS"/>
                    </w:rPr>
                    <w:t xml:space="preserve">/l </w:t>
                  </w:r>
                </w:p>
                <w:p w:rsidR="000A2337" w:rsidRDefault="000A2337" w:rsidP="00161AB3">
                  <w:pPr>
                    <w:shd w:val="clear" w:color="auto" w:fill="FFFFFF"/>
                    <w:rPr>
                      <w:color w:val="000000"/>
                      <w:sz w:val="22"/>
                      <w:szCs w:val="22"/>
                      <w:lang w:val="sr-Latn-CS"/>
                    </w:rPr>
                  </w:pPr>
                  <w:r w:rsidRPr="00601926">
                    <w:rPr>
                      <w:color w:val="000000"/>
                      <w:sz w:val="22"/>
                      <w:szCs w:val="22"/>
                      <w:lang w:val="sr-Latn-CS"/>
                    </w:rPr>
                    <w:t xml:space="preserve">i/ili </w:t>
                  </w:r>
                </w:p>
                <w:p w:rsidR="000A2337" w:rsidRPr="00601926" w:rsidRDefault="000A2337" w:rsidP="00161AB3">
                  <w:pPr>
                    <w:shd w:val="clear" w:color="auto" w:fill="FFFFFF"/>
                    <w:rPr>
                      <w:sz w:val="22"/>
                      <w:szCs w:val="22"/>
                      <w:lang w:val="sr-Latn-CS"/>
                    </w:rPr>
                  </w:pPr>
                  <w:r w:rsidRPr="00601926">
                    <w:rPr>
                      <w:color w:val="000000"/>
                      <w:sz w:val="22"/>
                      <w:szCs w:val="22"/>
                      <w:lang w:val="sr-Latn-CS"/>
                    </w:rPr>
                    <w:t>trombociti &lt; 50 × 10</w:t>
                  </w:r>
                  <w:r w:rsidRPr="00601926">
                    <w:rPr>
                      <w:color w:val="000000"/>
                      <w:sz w:val="22"/>
                      <w:szCs w:val="22"/>
                      <w:vertAlign w:val="superscript"/>
                      <w:lang w:val="sr-Latn-CS"/>
                    </w:rPr>
                    <w:t>9</w:t>
                  </w:r>
                  <w:r w:rsidRPr="00601926">
                    <w:rPr>
                      <w:color w:val="000000"/>
                      <w:sz w:val="22"/>
                      <w:szCs w:val="22"/>
                      <w:lang w:val="sr-Latn-CS"/>
                    </w:rPr>
                    <w:t>/l</w:t>
                  </w:r>
                </w:p>
              </w:tc>
              <w:tc>
                <w:tcPr>
                  <w:tcW w:w="4562" w:type="dxa"/>
                  <w:tcBorders>
                    <w:top w:val="single" w:sz="6" w:space="0" w:color="auto"/>
                    <w:left w:val="single" w:sz="6" w:space="0" w:color="auto"/>
                    <w:bottom w:val="single" w:sz="6" w:space="0" w:color="auto"/>
                    <w:right w:val="single" w:sz="6" w:space="0" w:color="auto"/>
                  </w:tcBorders>
                  <w:shd w:val="clear" w:color="auto" w:fill="FFFFFF"/>
                </w:tcPr>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 xml:space="preserve">1.  Prekinuti </w:t>
                  </w:r>
                  <w:r>
                    <w:rPr>
                      <w:color w:val="000000"/>
                      <w:sz w:val="22"/>
                      <w:szCs w:val="22"/>
                      <w:lang w:val="sr-Latn-CS"/>
                    </w:rPr>
                    <w:t>terapiju imatinibom dok ne bude ANC ≥ 1,5 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/l</w:t>
                  </w:r>
                  <w:r>
                    <w:rPr>
                      <w:color w:val="000000"/>
                      <w:sz w:val="22"/>
                      <w:szCs w:val="22"/>
                      <w:lang w:val="sr-Latn-CS"/>
                    </w:rPr>
                    <w:t xml:space="preserve"> a trombociti ≥ 75 x</w:t>
                  </w:r>
                  <w:r w:rsidRPr="00601926">
                    <w:rPr>
                      <w:color w:val="000000"/>
                      <w:sz w:val="22"/>
                      <w:szCs w:val="22"/>
                      <w:lang w:val="sr-Latn-CS"/>
                    </w:rPr>
                    <w:t>10</w:t>
                  </w:r>
                  <w:r w:rsidRPr="00601926">
                    <w:rPr>
                      <w:color w:val="000000"/>
                      <w:sz w:val="22"/>
                      <w:szCs w:val="22"/>
                      <w:vertAlign w:val="superscript"/>
                      <w:lang w:val="sr-Latn-CS"/>
                    </w:rPr>
                    <w:t>9</w:t>
                  </w:r>
                  <w:r w:rsidRPr="00601926">
                    <w:rPr>
                      <w:color w:val="000000"/>
                      <w:sz w:val="22"/>
                      <w:szCs w:val="22"/>
                      <w:lang w:val="sr-Latn-CS"/>
                    </w:rPr>
                    <w:t>/l.</w:t>
                  </w:r>
                </w:p>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 xml:space="preserve">2. Nastaviti </w:t>
                  </w:r>
                  <w:r>
                    <w:rPr>
                      <w:color w:val="000000"/>
                      <w:sz w:val="22"/>
                      <w:szCs w:val="22"/>
                      <w:lang w:val="sr-Latn-CS"/>
                    </w:rPr>
                    <w:t>terapiju</w:t>
                  </w:r>
                  <w:r w:rsidRPr="00601926">
                    <w:rPr>
                      <w:color w:val="000000"/>
                      <w:sz w:val="22"/>
                      <w:szCs w:val="22"/>
                      <w:lang w:val="sr-Latn-CS"/>
                    </w:rPr>
                    <w:t xml:space="preserve"> </w:t>
                  </w:r>
                  <w:r>
                    <w:rPr>
                      <w:color w:val="000000"/>
                      <w:sz w:val="22"/>
                      <w:szCs w:val="22"/>
                      <w:lang w:val="sr-Latn-CS"/>
                    </w:rPr>
                    <w:t>i</w:t>
                  </w:r>
                  <w:r>
                    <w:rPr>
                      <w:bCs/>
                      <w:sz w:val="22"/>
                      <w:szCs w:val="22"/>
                      <w:lang w:val="da-DK"/>
                    </w:rPr>
                    <w:t>matinibom</w:t>
                  </w:r>
                  <w:r>
                    <w:rPr>
                      <w:bCs/>
                      <w:sz w:val="22"/>
                      <w:szCs w:val="22"/>
                      <w:vertAlign w:val="superscript"/>
                      <w:lang w:val="da-DK"/>
                    </w:rPr>
                    <w:t xml:space="preserve"> </w:t>
                  </w:r>
                  <w:r w:rsidRPr="00601926">
                    <w:rPr>
                      <w:color w:val="000000"/>
                      <w:sz w:val="22"/>
                      <w:szCs w:val="22"/>
                      <w:lang w:val="sr-Latn-CS"/>
                    </w:rPr>
                    <w:t>prethodnom dozom (tj. pr</w:t>
                  </w:r>
                  <w:r>
                    <w:rPr>
                      <w:color w:val="000000"/>
                      <w:sz w:val="22"/>
                      <w:szCs w:val="22"/>
                      <w:lang w:val="sr-Latn-CS"/>
                    </w:rPr>
                    <w:t>ij</w:t>
                  </w:r>
                  <w:r w:rsidRPr="00601926">
                    <w:rPr>
                      <w:color w:val="000000"/>
                      <w:sz w:val="22"/>
                      <w:szCs w:val="22"/>
                      <w:lang w:val="sr-Latn-CS"/>
                    </w:rPr>
                    <w:t>e teške neželjene reakcije).</w:t>
                  </w:r>
                </w:p>
                <w:p w:rsidR="000A2337" w:rsidRDefault="000A2337" w:rsidP="00161AB3">
                  <w:pPr>
                    <w:shd w:val="clear" w:color="auto" w:fill="FFFFFF"/>
                    <w:tabs>
                      <w:tab w:val="left" w:pos="278"/>
                    </w:tabs>
                    <w:ind w:left="278" w:hanging="278"/>
                    <w:rPr>
                      <w:color w:val="000000"/>
                      <w:sz w:val="22"/>
                      <w:szCs w:val="22"/>
                      <w:lang w:val="sr-Latn-CS"/>
                    </w:rPr>
                  </w:pPr>
                  <w:r>
                    <w:rPr>
                      <w:color w:val="000000"/>
                      <w:sz w:val="22"/>
                      <w:szCs w:val="22"/>
                      <w:lang w:val="sr-Latn-CS"/>
                    </w:rPr>
                    <w:t>3.  U slučaju recidiva ANC &lt; 1,0 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/l i/ili</w:t>
                  </w:r>
                </w:p>
                <w:p w:rsidR="000A2337" w:rsidRDefault="000A2337" w:rsidP="00161AB3">
                  <w:pPr>
                    <w:shd w:val="clear" w:color="auto" w:fill="FFFFFF"/>
                    <w:tabs>
                      <w:tab w:val="left" w:pos="278"/>
                    </w:tabs>
                    <w:ind w:left="278" w:hanging="278"/>
                    <w:rPr>
                      <w:color w:val="000000"/>
                      <w:sz w:val="22"/>
                      <w:szCs w:val="22"/>
                      <w:lang w:val="sr-Latn-CS"/>
                    </w:rPr>
                  </w:pPr>
                  <w:r>
                    <w:rPr>
                      <w:color w:val="000000"/>
                      <w:sz w:val="22"/>
                      <w:szCs w:val="22"/>
                      <w:lang w:val="sr-Latn-CS"/>
                    </w:rPr>
                    <w:t xml:space="preserve">    </w:t>
                  </w:r>
                  <w:r w:rsidRPr="00601926">
                    <w:rPr>
                      <w:color w:val="000000"/>
                      <w:sz w:val="22"/>
                      <w:szCs w:val="22"/>
                      <w:lang w:val="sr-Latn-CS"/>
                    </w:rPr>
                    <w:t xml:space="preserve"> trombociti &lt; 50 </w:t>
                  </w:r>
                  <w:r>
                    <w:rPr>
                      <w:color w:val="000000"/>
                      <w:sz w:val="22"/>
                      <w:szCs w:val="22"/>
                      <w:lang w:val="sr-Latn-CS"/>
                    </w:rPr>
                    <w:t>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 xml:space="preserve">/l, ponoviti korak 1 i nastaviti </w:t>
                  </w:r>
                  <w:r>
                    <w:rPr>
                      <w:color w:val="000000"/>
                      <w:sz w:val="22"/>
                      <w:szCs w:val="22"/>
                      <w:lang w:val="sr-Latn-CS"/>
                    </w:rPr>
                    <w:t>terapiju imatinibom</w:t>
                  </w:r>
                  <w:r>
                    <w:rPr>
                      <w:bCs/>
                      <w:sz w:val="22"/>
                      <w:szCs w:val="22"/>
                      <w:vertAlign w:val="superscript"/>
                      <w:lang w:val="da-DK"/>
                    </w:rPr>
                    <w:t xml:space="preserve"> </w:t>
                  </w:r>
                  <w:r w:rsidRPr="00601926">
                    <w:rPr>
                      <w:color w:val="000000"/>
                      <w:sz w:val="22"/>
                      <w:szCs w:val="22"/>
                      <w:lang w:val="sr-Latn-CS"/>
                    </w:rPr>
                    <w:t>sa smanjenom dozom od 260 mg/m</w:t>
                  </w:r>
                  <w:r w:rsidRPr="00601926">
                    <w:rPr>
                      <w:color w:val="000000"/>
                      <w:sz w:val="22"/>
                      <w:szCs w:val="22"/>
                      <w:vertAlign w:val="superscript"/>
                      <w:lang w:val="sr-Latn-CS"/>
                    </w:rPr>
                    <w:t>2</w:t>
                  </w:r>
                  <w:r w:rsidRPr="00601926">
                    <w:rPr>
                      <w:color w:val="000000"/>
                      <w:sz w:val="22"/>
                      <w:szCs w:val="22"/>
                      <w:lang w:val="sr-Latn-CS"/>
                    </w:rPr>
                    <w:t>.</w:t>
                  </w:r>
                </w:p>
                <w:p w:rsidR="00161AB3" w:rsidRPr="00601926" w:rsidRDefault="00161AB3" w:rsidP="00161AB3">
                  <w:pPr>
                    <w:shd w:val="clear" w:color="auto" w:fill="FFFFFF"/>
                    <w:tabs>
                      <w:tab w:val="left" w:pos="278"/>
                    </w:tabs>
                    <w:ind w:left="278" w:hanging="278"/>
                    <w:rPr>
                      <w:color w:val="000000"/>
                      <w:sz w:val="22"/>
                      <w:szCs w:val="22"/>
                      <w:lang w:val="sr-Latn-CS"/>
                    </w:rPr>
                  </w:pPr>
                </w:p>
              </w:tc>
            </w:tr>
            <w:tr w:rsidR="000A2337" w:rsidRPr="00601926" w:rsidTr="00161AB3">
              <w:trPr>
                <w:jc w:val="center"/>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0A2337" w:rsidRPr="00601926" w:rsidRDefault="000A2337" w:rsidP="00161AB3">
                  <w:pPr>
                    <w:shd w:val="clear" w:color="auto" w:fill="FFFFFF"/>
                    <w:rPr>
                      <w:sz w:val="22"/>
                      <w:szCs w:val="22"/>
                      <w:lang w:val="sr-Latn-CS"/>
                    </w:rPr>
                  </w:pPr>
                  <w:r>
                    <w:rPr>
                      <w:color w:val="000000"/>
                      <w:sz w:val="22"/>
                      <w:szCs w:val="22"/>
                      <w:lang w:val="sr-Latn-CS"/>
                    </w:rPr>
                    <w:t>B</w:t>
                  </w:r>
                  <w:r w:rsidRPr="00601926">
                    <w:rPr>
                      <w:color w:val="000000"/>
                      <w:sz w:val="22"/>
                      <w:szCs w:val="22"/>
                      <w:lang w:val="sr-Latn-CS"/>
                    </w:rPr>
                    <w:t xml:space="preserve">lastna kriza i Ph+ </w:t>
                  </w:r>
                  <w:smartTag w:uri="urn:schemas-microsoft-com:office:smarttags" w:element="stockticker">
                    <w:r w:rsidRPr="00601926">
                      <w:rPr>
                        <w:color w:val="000000"/>
                        <w:sz w:val="22"/>
                        <w:szCs w:val="22"/>
                        <w:lang w:val="sr-Latn-CS"/>
                      </w:rPr>
                      <w:t>ALL</w:t>
                    </w:r>
                  </w:smartTag>
                  <w:r w:rsidRPr="00601926">
                    <w:rPr>
                      <w:color w:val="000000"/>
                      <w:sz w:val="22"/>
                      <w:szCs w:val="22"/>
                      <w:lang w:val="sr-Latn-CS"/>
                    </w:rPr>
                    <w:t xml:space="preserve"> (početna doza 600 mg)</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601926">
                    <w:rPr>
                      <w:color w:val="000000"/>
                      <w:sz w:val="22"/>
                      <w:szCs w:val="22"/>
                      <w:vertAlign w:val="superscript"/>
                      <w:lang w:val="sr-Latn-CS"/>
                    </w:rPr>
                    <w:t>a</w:t>
                  </w:r>
                  <w:r>
                    <w:rPr>
                      <w:color w:val="000000"/>
                      <w:sz w:val="22"/>
                      <w:szCs w:val="22"/>
                      <w:lang w:val="sr-Latn-CS"/>
                    </w:rPr>
                    <w:t>ANC &lt; 0,5 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/l</w:t>
                  </w:r>
                </w:p>
                <w:p w:rsidR="000A2337" w:rsidRDefault="000A2337" w:rsidP="00161AB3">
                  <w:pPr>
                    <w:shd w:val="clear" w:color="auto" w:fill="FFFFFF"/>
                    <w:rPr>
                      <w:color w:val="000000"/>
                      <w:sz w:val="22"/>
                      <w:szCs w:val="22"/>
                      <w:lang w:val="sr-Latn-CS"/>
                    </w:rPr>
                  </w:pPr>
                  <w:r w:rsidRPr="00601926">
                    <w:rPr>
                      <w:color w:val="000000"/>
                      <w:sz w:val="22"/>
                      <w:szCs w:val="22"/>
                      <w:lang w:val="sr-Latn-CS"/>
                    </w:rPr>
                    <w:t xml:space="preserve"> i/ili</w:t>
                  </w:r>
                </w:p>
                <w:p w:rsidR="000A2337" w:rsidRPr="00601926" w:rsidRDefault="000A2337" w:rsidP="00161AB3">
                  <w:pPr>
                    <w:shd w:val="clear" w:color="auto" w:fill="FFFFFF"/>
                    <w:rPr>
                      <w:sz w:val="22"/>
                      <w:szCs w:val="22"/>
                      <w:lang w:val="sr-Latn-CS"/>
                    </w:rPr>
                  </w:pPr>
                  <w:r>
                    <w:rPr>
                      <w:color w:val="000000"/>
                      <w:sz w:val="22"/>
                      <w:szCs w:val="22"/>
                      <w:lang w:val="sr-Latn-CS"/>
                    </w:rPr>
                    <w:t xml:space="preserve"> trombociti &lt; 10 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/l</w:t>
                  </w:r>
                </w:p>
              </w:tc>
              <w:tc>
                <w:tcPr>
                  <w:tcW w:w="4562" w:type="dxa"/>
                  <w:tcBorders>
                    <w:top w:val="single" w:sz="6" w:space="0" w:color="auto"/>
                    <w:left w:val="single" w:sz="6" w:space="0" w:color="auto"/>
                    <w:bottom w:val="single" w:sz="6" w:space="0" w:color="auto"/>
                    <w:right w:val="single" w:sz="6" w:space="0" w:color="auto"/>
                  </w:tcBorders>
                  <w:shd w:val="clear" w:color="auto" w:fill="FFFFFF"/>
                </w:tcPr>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1. Prov</w:t>
                  </w:r>
                  <w:r>
                    <w:rPr>
                      <w:color w:val="000000"/>
                      <w:sz w:val="22"/>
                      <w:szCs w:val="22"/>
                      <w:lang w:val="sr-Latn-CS"/>
                    </w:rPr>
                    <w:t>j</w:t>
                  </w:r>
                  <w:r w:rsidRPr="00601926">
                    <w:rPr>
                      <w:color w:val="000000"/>
                      <w:sz w:val="22"/>
                      <w:szCs w:val="22"/>
                      <w:lang w:val="sr-Latn-CS"/>
                    </w:rPr>
                    <w:t xml:space="preserve">eriti da li je citopenija </w:t>
                  </w:r>
                  <w:r>
                    <w:rPr>
                      <w:color w:val="000000"/>
                      <w:sz w:val="22"/>
                      <w:szCs w:val="22"/>
                      <w:lang w:val="sr-Latn-CS"/>
                    </w:rPr>
                    <w:t>povezana sa leukemijom (aspirat</w:t>
                  </w:r>
                  <w:r w:rsidRPr="00601926">
                    <w:rPr>
                      <w:color w:val="000000"/>
                      <w:sz w:val="22"/>
                      <w:szCs w:val="22"/>
                      <w:lang w:val="sr-Latn-CS"/>
                    </w:rPr>
                    <w:t xml:space="preserve"> ili biopsija</w:t>
                  </w:r>
                  <w:r>
                    <w:rPr>
                      <w:color w:val="000000"/>
                      <w:sz w:val="22"/>
                      <w:szCs w:val="22"/>
                      <w:lang w:val="sr-Latn-CS"/>
                    </w:rPr>
                    <w:t xml:space="preserve"> kostne srži</w:t>
                  </w:r>
                  <w:r w:rsidRPr="00601926">
                    <w:rPr>
                      <w:color w:val="000000"/>
                      <w:sz w:val="22"/>
                      <w:szCs w:val="22"/>
                      <w:lang w:val="sr-Latn-CS"/>
                    </w:rPr>
                    <w:t>).</w:t>
                  </w:r>
                </w:p>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2. Ako citopenija nije povezana s</w:t>
                  </w:r>
                  <w:r>
                    <w:rPr>
                      <w:color w:val="000000"/>
                      <w:sz w:val="22"/>
                      <w:szCs w:val="22"/>
                      <w:lang w:val="sr-Latn-CS"/>
                    </w:rPr>
                    <w:t>a</w:t>
                  </w:r>
                  <w:r w:rsidRPr="00601926">
                    <w:rPr>
                      <w:color w:val="000000"/>
                      <w:sz w:val="22"/>
                      <w:szCs w:val="22"/>
                      <w:lang w:val="sr-Latn-CS"/>
                    </w:rPr>
                    <w:t xml:space="preserve"> leukemijom, redukovati dozu </w:t>
                  </w:r>
                  <w:r>
                    <w:rPr>
                      <w:color w:val="000000"/>
                      <w:sz w:val="22"/>
                      <w:szCs w:val="22"/>
                      <w:lang w:val="sr-Latn-CS"/>
                    </w:rPr>
                    <w:t>i</w:t>
                  </w:r>
                  <w:r>
                    <w:rPr>
                      <w:bCs/>
                      <w:sz w:val="22"/>
                      <w:szCs w:val="22"/>
                      <w:lang w:val="da-DK"/>
                    </w:rPr>
                    <w:t>matiniba</w:t>
                  </w:r>
                  <w:r w:rsidRPr="00601926">
                    <w:rPr>
                      <w:color w:val="000000"/>
                      <w:sz w:val="22"/>
                      <w:szCs w:val="22"/>
                      <w:lang w:val="sr-Latn-CS"/>
                    </w:rPr>
                    <w:t xml:space="preserve"> do 400 mg.</w:t>
                  </w:r>
                </w:p>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 xml:space="preserve">3. Ako citopenija </w:t>
                  </w:r>
                  <w:r>
                    <w:rPr>
                      <w:color w:val="000000"/>
                      <w:sz w:val="22"/>
                      <w:szCs w:val="22"/>
                      <w:lang w:val="sr-Latn-CS"/>
                    </w:rPr>
                    <w:t>potraje</w:t>
                  </w:r>
                  <w:r w:rsidRPr="00601926">
                    <w:rPr>
                      <w:color w:val="000000"/>
                      <w:sz w:val="22"/>
                      <w:szCs w:val="22"/>
                      <w:lang w:val="sr-Latn-CS"/>
                    </w:rPr>
                    <w:t xml:space="preserve"> 2 ned</w:t>
                  </w:r>
                  <w:r>
                    <w:rPr>
                      <w:color w:val="000000"/>
                      <w:sz w:val="22"/>
                      <w:szCs w:val="22"/>
                      <w:lang w:val="sr-Latn-CS"/>
                    </w:rPr>
                    <w:t>j</w:t>
                  </w:r>
                  <w:r w:rsidRPr="00601926">
                    <w:rPr>
                      <w:color w:val="000000"/>
                      <w:sz w:val="22"/>
                      <w:szCs w:val="22"/>
                      <w:lang w:val="sr-Latn-CS"/>
                    </w:rPr>
                    <w:t xml:space="preserve">elje, </w:t>
                  </w:r>
                  <w:r>
                    <w:rPr>
                      <w:color w:val="000000"/>
                      <w:sz w:val="22"/>
                      <w:szCs w:val="22"/>
                      <w:lang w:val="sr-Latn-CS"/>
                    </w:rPr>
                    <w:t>dozu ponovo smanjiti na</w:t>
                  </w:r>
                  <w:r w:rsidRPr="00601926">
                    <w:rPr>
                      <w:color w:val="000000"/>
                      <w:sz w:val="22"/>
                      <w:szCs w:val="22"/>
                      <w:lang w:val="sr-Latn-CS"/>
                    </w:rPr>
                    <w:t xml:space="preserve"> 300 mg.</w:t>
                  </w:r>
                </w:p>
                <w:p w:rsidR="000A2337" w:rsidRDefault="000A2337" w:rsidP="00161AB3">
                  <w:pPr>
                    <w:shd w:val="clear" w:color="auto" w:fill="FFFFFF"/>
                    <w:ind w:left="278" w:hanging="278"/>
                    <w:rPr>
                      <w:color w:val="000000"/>
                      <w:sz w:val="22"/>
                      <w:szCs w:val="22"/>
                      <w:lang w:val="sr-Latn-CS"/>
                    </w:rPr>
                  </w:pPr>
                  <w:r w:rsidRPr="00601926">
                    <w:rPr>
                      <w:color w:val="000000"/>
                      <w:sz w:val="22"/>
                      <w:szCs w:val="22"/>
                      <w:lang w:val="sr-Latn-CS"/>
                    </w:rPr>
                    <w:t xml:space="preserve">4. Ako citopenija </w:t>
                  </w:r>
                  <w:r>
                    <w:rPr>
                      <w:color w:val="000000"/>
                      <w:sz w:val="22"/>
                      <w:szCs w:val="22"/>
                      <w:lang w:val="sr-Latn-CS"/>
                    </w:rPr>
                    <w:t xml:space="preserve">potraje </w:t>
                  </w:r>
                  <w:r w:rsidRPr="00601926">
                    <w:rPr>
                      <w:color w:val="000000"/>
                      <w:sz w:val="22"/>
                      <w:szCs w:val="22"/>
                      <w:lang w:val="sr-Latn-CS"/>
                    </w:rPr>
                    <w:t xml:space="preserve">4 </w:t>
                  </w:r>
                  <w:r>
                    <w:rPr>
                      <w:color w:val="000000"/>
                      <w:sz w:val="22"/>
                      <w:szCs w:val="22"/>
                      <w:lang w:val="sr-Latn-CS"/>
                    </w:rPr>
                    <w:t>nedjelje</w:t>
                  </w:r>
                  <w:r w:rsidRPr="00601926">
                    <w:rPr>
                      <w:color w:val="000000"/>
                      <w:sz w:val="22"/>
                      <w:szCs w:val="22"/>
                      <w:lang w:val="sr-Latn-CS"/>
                    </w:rPr>
                    <w:t xml:space="preserve"> i </w:t>
                  </w:r>
                  <w:r>
                    <w:rPr>
                      <w:color w:val="000000"/>
                      <w:sz w:val="22"/>
                      <w:szCs w:val="22"/>
                      <w:lang w:val="sr-Latn-CS"/>
                    </w:rPr>
                    <w:t>još uvijek nije povezana sa</w:t>
                  </w:r>
                  <w:r w:rsidRPr="00601926">
                    <w:rPr>
                      <w:color w:val="000000"/>
                      <w:sz w:val="22"/>
                      <w:szCs w:val="22"/>
                      <w:lang w:val="sr-Latn-CS"/>
                    </w:rPr>
                    <w:t xml:space="preserve"> leukemijom, prekinuti </w:t>
                  </w:r>
                  <w:r>
                    <w:rPr>
                      <w:color w:val="000000"/>
                      <w:sz w:val="22"/>
                      <w:szCs w:val="22"/>
                      <w:lang w:val="sr-Latn-CS"/>
                    </w:rPr>
                    <w:t>primjenu i</w:t>
                  </w:r>
                  <w:r>
                    <w:rPr>
                      <w:bCs/>
                      <w:sz w:val="22"/>
                      <w:szCs w:val="22"/>
                      <w:lang w:val="da-DK"/>
                    </w:rPr>
                    <w:t>matiniba sve</w:t>
                  </w:r>
                  <w:r>
                    <w:rPr>
                      <w:bCs/>
                      <w:sz w:val="22"/>
                      <w:szCs w:val="22"/>
                      <w:vertAlign w:val="superscript"/>
                      <w:lang w:val="da-DK"/>
                    </w:rPr>
                    <w:t xml:space="preserve"> </w:t>
                  </w:r>
                  <w:r w:rsidRPr="00601926">
                    <w:rPr>
                      <w:color w:val="000000"/>
                      <w:sz w:val="22"/>
                      <w:szCs w:val="22"/>
                      <w:lang w:val="sr-Latn-CS"/>
                    </w:rPr>
                    <w:t xml:space="preserve"> dok ne bude</w:t>
                  </w:r>
                  <w:r>
                    <w:rPr>
                      <w:color w:val="000000"/>
                      <w:sz w:val="22"/>
                      <w:szCs w:val="22"/>
                      <w:lang w:val="sr-Latn-CS"/>
                    </w:rPr>
                    <w:t xml:space="preserve"> ANC ≥ 1 x</w:t>
                  </w:r>
                  <w:r w:rsidRPr="00601926">
                    <w:rPr>
                      <w:color w:val="000000"/>
                      <w:sz w:val="22"/>
                      <w:szCs w:val="22"/>
                      <w:lang w:val="sr-Latn-CS"/>
                    </w:rPr>
                    <w:t xml:space="preserve"> 10</w:t>
                  </w:r>
                  <w:r w:rsidRPr="00601926">
                    <w:rPr>
                      <w:color w:val="000000"/>
                      <w:sz w:val="22"/>
                      <w:szCs w:val="22"/>
                      <w:vertAlign w:val="superscript"/>
                      <w:lang w:val="sr-Latn-CS"/>
                    </w:rPr>
                    <w:t>9</w:t>
                  </w:r>
                  <w:r>
                    <w:rPr>
                      <w:color w:val="000000"/>
                      <w:sz w:val="22"/>
                      <w:szCs w:val="22"/>
                      <w:lang w:val="sr-Latn-CS"/>
                    </w:rPr>
                    <w:t>/l a trombociti &gt; 20 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 xml:space="preserve">/l, potom nastaviti </w:t>
                  </w:r>
                  <w:r>
                    <w:rPr>
                      <w:color w:val="000000"/>
                      <w:sz w:val="22"/>
                      <w:szCs w:val="22"/>
                      <w:lang w:val="sr-Latn-CS"/>
                    </w:rPr>
                    <w:t>terapiju  u dozi od</w:t>
                  </w:r>
                  <w:r w:rsidRPr="00601926">
                    <w:rPr>
                      <w:color w:val="000000"/>
                      <w:sz w:val="22"/>
                      <w:szCs w:val="22"/>
                      <w:lang w:val="sr-Latn-CS"/>
                    </w:rPr>
                    <w:t xml:space="preserve"> 300 mg.</w:t>
                  </w:r>
                </w:p>
                <w:p w:rsidR="00161AB3" w:rsidRPr="00601926" w:rsidRDefault="00161AB3" w:rsidP="00161AB3">
                  <w:pPr>
                    <w:shd w:val="clear" w:color="auto" w:fill="FFFFFF"/>
                    <w:ind w:left="278" w:hanging="278"/>
                    <w:rPr>
                      <w:color w:val="000000"/>
                      <w:sz w:val="22"/>
                      <w:szCs w:val="22"/>
                      <w:lang w:val="sr-Latn-CS"/>
                    </w:rPr>
                  </w:pPr>
                </w:p>
              </w:tc>
            </w:tr>
            <w:tr w:rsidR="000A2337" w:rsidRPr="00601926" w:rsidTr="00161AB3">
              <w:trPr>
                <w:jc w:val="center"/>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0A2337" w:rsidRPr="00601926" w:rsidRDefault="000A2337" w:rsidP="00161AB3">
                  <w:pPr>
                    <w:shd w:val="clear" w:color="auto" w:fill="FFFFFF"/>
                    <w:rPr>
                      <w:sz w:val="22"/>
                      <w:szCs w:val="22"/>
                      <w:lang w:val="sr-Latn-CS"/>
                    </w:rPr>
                  </w:pPr>
                  <w:r>
                    <w:rPr>
                      <w:color w:val="000000"/>
                      <w:sz w:val="22"/>
                      <w:szCs w:val="22"/>
                      <w:lang w:val="sr-Latn-CS"/>
                    </w:rPr>
                    <w:lastRenderedPageBreak/>
                    <w:t>Ubrzana faza C</w:t>
                  </w:r>
                  <w:r w:rsidRPr="00601926">
                    <w:rPr>
                      <w:color w:val="000000"/>
                      <w:sz w:val="22"/>
                      <w:szCs w:val="22"/>
                      <w:lang w:val="sr-Latn-CS"/>
                    </w:rPr>
                    <w:t>ML</w:t>
                  </w:r>
                  <w:r>
                    <w:rPr>
                      <w:color w:val="000000"/>
                      <w:sz w:val="22"/>
                      <w:szCs w:val="22"/>
                      <w:lang w:val="sr-Latn-CS"/>
                    </w:rPr>
                    <w:t>-a</w:t>
                  </w:r>
                  <w:r w:rsidRPr="00601926">
                    <w:rPr>
                      <w:color w:val="000000"/>
                      <w:sz w:val="22"/>
                      <w:szCs w:val="22"/>
                      <w:lang w:val="sr-Latn-CS"/>
                    </w:rPr>
                    <w:t xml:space="preserve"> i blastna kriza </w:t>
                  </w:r>
                  <w:r>
                    <w:rPr>
                      <w:color w:val="000000"/>
                      <w:sz w:val="22"/>
                      <w:szCs w:val="22"/>
                      <w:lang w:val="sr-Latn-CS"/>
                    </w:rPr>
                    <w:t xml:space="preserve">kod pedijatrijskih pacijenata </w:t>
                  </w:r>
                  <w:r w:rsidRPr="00601926">
                    <w:rPr>
                      <w:color w:val="000000"/>
                      <w:sz w:val="22"/>
                      <w:szCs w:val="22"/>
                      <w:lang w:val="sr-Latn-CS"/>
                    </w:rPr>
                    <w:t>(početna doza 340 mg/m</w:t>
                  </w:r>
                  <w:r w:rsidRPr="00601926">
                    <w:rPr>
                      <w:color w:val="000000"/>
                      <w:sz w:val="22"/>
                      <w:szCs w:val="22"/>
                      <w:vertAlign w:val="superscript"/>
                      <w:lang w:val="sr-Latn-CS"/>
                    </w:rPr>
                    <w:t>2</w:t>
                  </w:r>
                  <w:r w:rsidRPr="00601926">
                    <w:rPr>
                      <w:color w:val="000000"/>
                      <w:sz w:val="22"/>
                      <w:szCs w:val="22"/>
                      <w:lang w:val="sr-Latn-CS"/>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601926">
                    <w:rPr>
                      <w:color w:val="000000"/>
                      <w:sz w:val="22"/>
                      <w:szCs w:val="22"/>
                      <w:vertAlign w:val="superscript"/>
                      <w:lang w:val="sr-Latn-CS"/>
                    </w:rPr>
                    <w:t>a</w:t>
                  </w:r>
                  <w:r w:rsidRPr="00601926">
                    <w:rPr>
                      <w:color w:val="000000"/>
                      <w:sz w:val="22"/>
                      <w:szCs w:val="22"/>
                      <w:lang w:val="sr-Latn-CS"/>
                    </w:rPr>
                    <w:t xml:space="preserve">ANC &lt; 0,5 </w:t>
                  </w:r>
                  <w:r>
                    <w:rPr>
                      <w:color w:val="000000"/>
                      <w:sz w:val="22"/>
                      <w:szCs w:val="22"/>
                      <w:lang w:val="sr-Latn-CS"/>
                    </w:rPr>
                    <w:t>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 xml:space="preserve">/l </w:t>
                  </w:r>
                </w:p>
                <w:p w:rsidR="000A2337" w:rsidRDefault="000A2337" w:rsidP="00161AB3">
                  <w:pPr>
                    <w:shd w:val="clear" w:color="auto" w:fill="FFFFFF"/>
                    <w:rPr>
                      <w:color w:val="000000"/>
                      <w:sz w:val="22"/>
                      <w:szCs w:val="22"/>
                      <w:lang w:val="sr-Latn-CS"/>
                    </w:rPr>
                  </w:pPr>
                  <w:r w:rsidRPr="00601926">
                    <w:rPr>
                      <w:color w:val="000000"/>
                      <w:sz w:val="22"/>
                      <w:szCs w:val="22"/>
                      <w:lang w:val="sr-Latn-CS"/>
                    </w:rPr>
                    <w:t>i/ili</w:t>
                  </w:r>
                </w:p>
                <w:p w:rsidR="000A2337" w:rsidRPr="00601926" w:rsidRDefault="000A2337" w:rsidP="00161AB3">
                  <w:pPr>
                    <w:shd w:val="clear" w:color="auto" w:fill="FFFFFF"/>
                    <w:rPr>
                      <w:sz w:val="22"/>
                      <w:szCs w:val="22"/>
                      <w:lang w:val="sr-Latn-CS"/>
                    </w:rPr>
                  </w:pPr>
                  <w:r w:rsidRPr="00601926">
                    <w:rPr>
                      <w:color w:val="000000"/>
                      <w:sz w:val="22"/>
                      <w:szCs w:val="22"/>
                      <w:lang w:val="sr-Latn-CS"/>
                    </w:rPr>
                    <w:t xml:space="preserve"> trombociti &lt; 10 </w:t>
                  </w:r>
                  <w:r>
                    <w:rPr>
                      <w:color w:val="000000"/>
                      <w:sz w:val="22"/>
                      <w:szCs w:val="22"/>
                      <w:lang w:val="sr-Latn-CS"/>
                    </w:rPr>
                    <w:t>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/l</w:t>
                  </w:r>
                </w:p>
              </w:tc>
              <w:tc>
                <w:tcPr>
                  <w:tcW w:w="4562" w:type="dxa"/>
                  <w:tcBorders>
                    <w:top w:val="single" w:sz="6" w:space="0" w:color="auto"/>
                    <w:left w:val="single" w:sz="6" w:space="0" w:color="auto"/>
                    <w:bottom w:val="single" w:sz="6" w:space="0" w:color="auto"/>
                    <w:right w:val="single" w:sz="6" w:space="0" w:color="auto"/>
                  </w:tcBorders>
                  <w:shd w:val="clear" w:color="auto" w:fill="FFFFFF"/>
                </w:tcPr>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1. Prov</w:t>
                  </w:r>
                  <w:r>
                    <w:rPr>
                      <w:color w:val="000000"/>
                      <w:sz w:val="22"/>
                      <w:szCs w:val="22"/>
                      <w:lang w:val="sr-Latn-CS"/>
                    </w:rPr>
                    <w:t>j</w:t>
                  </w:r>
                  <w:r w:rsidRPr="00601926">
                    <w:rPr>
                      <w:color w:val="000000"/>
                      <w:sz w:val="22"/>
                      <w:szCs w:val="22"/>
                      <w:lang w:val="sr-Latn-CS"/>
                    </w:rPr>
                    <w:t xml:space="preserve">eriti da li je citopenija </w:t>
                  </w:r>
                  <w:r>
                    <w:rPr>
                      <w:color w:val="000000"/>
                      <w:sz w:val="22"/>
                      <w:szCs w:val="22"/>
                      <w:lang w:val="sr-Latn-CS"/>
                    </w:rPr>
                    <w:t>povezana sa leukemijom (aspirat</w:t>
                  </w:r>
                  <w:r w:rsidRPr="00601926">
                    <w:rPr>
                      <w:color w:val="000000"/>
                      <w:sz w:val="22"/>
                      <w:szCs w:val="22"/>
                      <w:lang w:val="sr-Latn-CS"/>
                    </w:rPr>
                    <w:t xml:space="preserve"> ili biopsija</w:t>
                  </w:r>
                  <w:r>
                    <w:rPr>
                      <w:color w:val="000000"/>
                      <w:sz w:val="22"/>
                      <w:szCs w:val="22"/>
                      <w:lang w:val="sr-Latn-CS"/>
                    </w:rPr>
                    <w:t xml:space="preserve"> kostne srži</w:t>
                  </w:r>
                  <w:r w:rsidRPr="00601926">
                    <w:rPr>
                      <w:color w:val="000000"/>
                      <w:sz w:val="22"/>
                      <w:szCs w:val="22"/>
                      <w:lang w:val="sr-Latn-CS"/>
                    </w:rPr>
                    <w:t xml:space="preserve">). </w:t>
                  </w:r>
                </w:p>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 xml:space="preserve">2. Ako citopenija nije povezana s leukemijom, redukovati dozu </w:t>
                  </w:r>
                  <w:r>
                    <w:rPr>
                      <w:color w:val="000000"/>
                      <w:sz w:val="22"/>
                      <w:szCs w:val="22"/>
                      <w:lang w:val="sr-Latn-CS"/>
                    </w:rPr>
                    <w:t>i</w:t>
                  </w:r>
                  <w:r>
                    <w:rPr>
                      <w:bCs/>
                      <w:sz w:val="22"/>
                      <w:szCs w:val="22"/>
                      <w:lang w:val="da-DK"/>
                    </w:rPr>
                    <w:t>matiniba</w:t>
                  </w:r>
                  <w:r>
                    <w:rPr>
                      <w:bCs/>
                      <w:sz w:val="22"/>
                      <w:szCs w:val="22"/>
                      <w:vertAlign w:val="superscript"/>
                      <w:lang w:val="da-DK"/>
                    </w:rPr>
                    <w:t xml:space="preserve"> </w:t>
                  </w:r>
                  <w:r>
                    <w:rPr>
                      <w:color w:val="000000"/>
                      <w:sz w:val="22"/>
                      <w:szCs w:val="22"/>
                      <w:lang w:val="sr-Latn-CS"/>
                    </w:rPr>
                    <w:t xml:space="preserve"> na</w:t>
                  </w:r>
                  <w:r w:rsidRPr="00601926">
                    <w:rPr>
                      <w:color w:val="000000"/>
                      <w:sz w:val="22"/>
                      <w:szCs w:val="22"/>
                      <w:lang w:val="sr-Latn-CS"/>
                    </w:rPr>
                    <w:t xml:space="preserve"> 260 mg/m</w:t>
                  </w:r>
                  <w:r w:rsidRPr="00601926">
                    <w:rPr>
                      <w:color w:val="000000"/>
                      <w:sz w:val="22"/>
                      <w:szCs w:val="22"/>
                      <w:vertAlign w:val="superscript"/>
                      <w:lang w:val="sr-Latn-CS"/>
                    </w:rPr>
                    <w:t>2</w:t>
                  </w:r>
                  <w:r w:rsidRPr="00601926">
                    <w:rPr>
                      <w:color w:val="000000"/>
                      <w:sz w:val="22"/>
                      <w:szCs w:val="22"/>
                      <w:lang w:val="sr-Latn-CS"/>
                    </w:rPr>
                    <w:t xml:space="preserve">. </w:t>
                  </w:r>
                </w:p>
                <w:p w:rsidR="000A2337" w:rsidRPr="00601926" w:rsidRDefault="000A2337" w:rsidP="00161AB3">
                  <w:pPr>
                    <w:shd w:val="clear" w:color="auto" w:fill="FFFFFF"/>
                    <w:tabs>
                      <w:tab w:val="left" w:pos="278"/>
                    </w:tabs>
                    <w:ind w:left="278" w:hanging="278"/>
                    <w:rPr>
                      <w:color w:val="000000"/>
                      <w:sz w:val="22"/>
                      <w:szCs w:val="22"/>
                      <w:lang w:val="sr-Latn-CS"/>
                    </w:rPr>
                  </w:pPr>
                  <w:r>
                    <w:rPr>
                      <w:color w:val="000000"/>
                      <w:sz w:val="22"/>
                      <w:szCs w:val="22"/>
                      <w:lang w:val="sr-Latn-CS"/>
                    </w:rPr>
                    <w:t>3. Ako citopenija potraje</w:t>
                  </w:r>
                  <w:r w:rsidRPr="00601926">
                    <w:rPr>
                      <w:color w:val="000000"/>
                      <w:sz w:val="22"/>
                      <w:szCs w:val="22"/>
                      <w:lang w:val="sr-Latn-CS"/>
                    </w:rPr>
                    <w:t xml:space="preserve"> 2 </w:t>
                  </w:r>
                  <w:r>
                    <w:rPr>
                      <w:color w:val="000000"/>
                      <w:sz w:val="22"/>
                      <w:szCs w:val="22"/>
                      <w:lang w:val="sr-Latn-CS"/>
                    </w:rPr>
                    <w:t>nedjelj</w:t>
                  </w:r>
                  <w:r w:rsidRPr="00601926">
                    <w:rPr>
                      <w:color w:val="000000"/>
                      <w:sz w:val="22"/>
                      <w:szCs w:val="22"/>
                      <w:lang w:val="sr-Latn-CS"/>
                    </w:rPr>
                    <w:t xml:space="preserve">e, </w:t>
                  </w:r>
                  <w:r>
                    <w:rPr>
                      <w:color w:val="000000"/>
                      <w:sz w:val="22"/>
                      <w:szCs w:val="22"/>
                      <w:lang w:val="sr-Latn-CS"/>
                    </w:rPr>
                    <w:t>dozu dodatno redukovati na</w:t>
                  </w:r>
                  <w:r w:rsidRPr="00601926">
                    <w:rPr>
                      <w:color w:val="000000"/>
                      <w:sz w:val="22"/>
                      <w:szCs w:val="22"/>
                      <w:lang w:val="sr-Latn-CS"/>
                    </w:rPr>
                    <w:t xml:space="preserve"> 200 mg/m</w:t>
                  </w:r>
                  <w:r w:rsidRPr="00601926">
                    <w:rPr>
                      <w:color w:val="000000"/>
                      <w:sz w:val="22"/>
                      <w:szCs w:val="22"/>
                      <w:vertAlign w:val="superscript"/>
                      <w:lang w:val="sr-Latn-CS"/>
                    </w:rPr>
                    <w:t>2</w:t>
                  </w:r>
                  <w:r w:rsidRPr="00601926">
                    <w:rPr>
                      <w:color w:val="000000"/>
                      <w:sz w:val="22"/>
                      <w:szCs w:val="22"/>
                      <w:lang w:val="sr-Latn-CS"/>
                    </w:rPr>
                    <w:t xml:space="preserve">. </w:t>
                  </w:r>
                </w:p>
                <w:p w:rsidR="00161AB3" w:rsidRPr="00601926" w:rsidRDefault="000A2337" w:rsidP="00161AB3">
                  <w:pPr>
                    <w:shd w:val="clear" w:color="auto" w:fill="FFFFFF"/>
                    <w:ind w:left="278" w:hanging="278"/>
                    <w:rPr>
                      <w:color w:val="000000"/>
                      <w:sz w:val="22"/>
                      <w:szCs w:val="22"/>
                      <w:lang w:val="sr-Latn-CS"/>
                    </w:rPr>
                  </w:pPr>
                  <w:r>
                    <w:rPr>
                      <w:color w:val="000000"/>
                      <w:sz w:val="22"/>
                      <w:szCs w:val="22"/>
                      <w:lang w:val="sr-Latn-CS"/>
                    </w:rPr>
                    <w:t>4. Ako citopenija potraje</w:t>
                  </w:r>
                  <w:r w:rsidRPr="00601926">
                    <w:rPr>
                      <w:color w:val="000000"/>
                      <w:sz w:val="22"/>
                      <w:szCs w:val="22"/>
                      <w:lang w:val="sr-Latn-CS"/>
                    </w:rPr>
                    <w:t xml:space="preserve"> 4 </w:t>
                  </w:r>
                  <w:r>
                    <w:rPr>
                      <w:color w:val="000000"/>
                      <w:sz w:val="22"/>
                      <w:szCs w:val="22"/>
                      <w:lang w:val="sr-Latn-CS"/>
                    </w:rPr>
                    <w:t>nedjelj</w:t>
                  </w:r>
                  <w:r w:rsidRPr="00601926">
                    <w:rPr>
                      <w:color w:val="000000"/>
                      <w:sz w:val="22"/>
                      <w:szCs w:val="22"/>
                      <w:lang w:val="sr-Latn-CS"/>
                    </w:rPr>
                    <w:t xml:space="preserve">e i </w:t>
                  </w:r>
                  <w:r>
                    <w:rPr>
                      <w:color w:val="000000"/>
                      <w:sz w:val="22"/>
                      <w:szCs w:val="22"/>
                      <w:lang w:val="sr-Latn-CS"/>
                    </w:rPr>
                    <w:t xml:space="preserve">još uvijek </w:t>
                  </w:r>
                  <w:r w:rsidRPr="00601926">
                    <w:rPr>
                      <w:color w:val="000000"/>
                      <w:sz w:val="22"/>
                      <w:szCs w:val="22"/>
                      <w:lang w:val="sr-Latn-CS"/>
                    </w:rPr>
                    <w:t>n</w:t>
                  </w:r>
                  <w:r>
                    <w:rPr>
                      <w:color w:val="000000"/>
                      <w:sz w:val="22"/>
                      <w:szCs w:val="22"/>
                      <w:lang w:val="sr-Latn-CS"/>
                    </w:rPr>
                    <w:t>ij</w:t>
                  </w:r>
                  <w:r w:rsidRPr="00601926">
                    <w:rPr>
                      <w:color w:val="000000"/>
                      <w:sz w:val="22"/>
                      <w:szCs w:val="22"/>
                      <w:lang w:val="sr-Latn-CS"/>
                    </w:rPr>
                    <w:t xml:space="preserve">e </w:t>
                  </w:r>
                  <w:r>
                    <w:rPr>
                      <w:color w:val="000000"/>
                      <w:sz w:val="22"/>
                      <w:szCs w:val="22"/>
                      <w:lang w:val="sr-Latn-CS"/>
                    </w:rPr>
                    <w:t>po</w:t>
                  </w:r>
                  <w:r w:rsidRPr="00601926">
                    <w:rPr>
                      <w:color w:val="000000"/>
                      <w:sz w:val="22"/>
                      <w:szCs w:val="22"/>
                      <w:lang w:val="sr-Latn-CS"/>
                    </w:rPr>
                    <w:t>vez</w:t>
                  </w:r>
                  <w:r>
                    <w:rPr>
                      <w:color w:val="000000"/>
                      <w:sz w:val="22"/>
                      <w:szCs w:val="22"/>
                      <w:lang w:val="sr-Latn-CS"/>
                    </w:rPr>
                    <w:t>ana</w:t>
                  </w:r>
                  <w:r w:rsidRPr="00601926">
                    <w:rPr>
                      <w:color w:val="000000"/>
                      <w:sz w:val="22"/>
                      <w:szCs w:val="22"/>
                      <w:lang w:val="sr-Latn-CS"/>
                    </w:rPr>
                    <w:t xml:space="preserve"> s</w:t>
                  </w:r>
                  <w:r>
                    <w:rPr>
                      <w:color w:val="000000"/>
                      <w:sz w:val="22"/>
                      <w:szCs w:val="22"/>
                      <w:lang w:val="sr-Latn-CS"/>
                    </w:rPr>
                    <w:t>a</w:t>
                  </w:r>
                  <w:r w:rsidRPr="00601926">
                    <w:rPr>
                      <w:color w:val="000000"/>
                      <w:sz w:val="22"/>
                      <w:szCs w:val="22"/>
                      <w:lang w:val="sr-Latn-CS"/>
                    </w:rPr>
                    <w:t xml:space="preserve"> leukemijom, prekinuti </w:t>
                  </w:r>
                  <w:r>
                    <w:rPr>
                      <w:color w:val="000000"/>
                      <w:sz w:val="22"/>
                      <w:szCs w:val="22"/>
                      <w:lang w:val="sr-Latn-CS"/>
                    </w:rPr>
                    <w:t>primjenu imatiniba</w:t>
                  </w:r>
                  <w:r w:rsidRPr="00601926">
                    <w:rPr>
                      <w:color w:val="000000"/>
                      <w:sz w:val="22"/>
                      <w:szCs w:val="22"/>
                      <w:lang w:val="sr-Latn-CS"/>
                    </w:rPr>
                    <w:t xml:space="preserve"> </w:t>
                  </w:r>
                  <w:r>
                    <w:rPr>
                      <w:color w:val="000000"/>
                      <w:sz w:val="22"/>
                      <w:szCs w:val="22"/>
                      <w:lang w:val="sr-Latn-CS"/>
                    </w:rPr>
                    <w:t xml:space="preserve">sve </w:t>
                  </w:r>
                  <w:r w:rsidRPr="00601926">
                    <w:rPr>
                      <w:color w:val="000000"/>
                      <w:sz w:val="22"/>
                      <w:szCs w:val="22"/>
                      <w:lang w:val="sr-Latn-CS"/>
                    </w:rPr>
                    <w:t xml:space="preserve">dok ne bude ANC ≥ 1 </w:t>
                  </w:r>
                  <w:r>
                    <w:rPr>
                      <w:color w:val="000000"/>
                      <w:sz w:val="22"/>
                      <w:szCs w:val="22"/>
                      <w:lang w:val="sr-Latn-CS"/>
                    </w:rPr>
                    <w:t>x</w:t>
                  </w:r>
                  <w:r w:rsidRPr="00601926">
                    <w:rPr>
                      <w:color w:val="000000"/>
                      <w:sz w:val="22"/>
                      <w:szCs w:val="22"/>
                      <w:lang w:val="sr-Latn-CS"/>
                    </w:rPr>
                    <w:t xml:space="preserve"> 10</w:t>
                  </w:r>
                  <w:r w:rsidRPr="00601926">
                    <w:rPr>
                      <w:color w:val="000000"/>
                      <w:sz w:val="22"/>
                      <w:szCs w:val="22"/>
                      <w:vertAlign w:val="superscript"/>
                      <w:lang w:val="sr-Latn-CS"/>
                    </w:rPr>
                    <w:t>9</w:t>
                  </w:r>
                  <w:r>
                    <w:rPr>
                      <w:color w:val="000000"/>
                      <w:sz w:val="22"/>
                      <w:szCs w:val="22"/>
                      <w:lang w:val="sr-Latn-CS"/>
                    </w:rPr>
                    <w:t>/l a trombociti ≥ 20 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 xml:space="preserve">/l, potom nastaviti </w:t>
                  </w:r>
                  <w:r>
                    <w:rPr>
                      <w:color w:val="000000"/>
                      <w:sz w:val="22"/>
                      <w:szCs w:val="22"/>
                      <w:lang w:val="sr-Latn-CS"/>
                    </w:rPr>
                    <w:t>terapiju u dozi od</w:t>
                  </w:r>
                  <w:r w:rsidRPr="00601926">
                    <w:rPr>
                      <w:color w:val="000000"/>
                      <w:sz w:val="22"/>
                      <w:szCs w:val="22"/>
                      <w:lang w:val="sr-Latn-CS"/>
                    </w:rPr>
                    <w:t xml:space="preserve"> 200 mg/m</w:t>
                  </w:r>
                  <w:r w:rsidRPr="00601926">
                    <w:rPr>
                      <w:color w:val="000000"/>
                      <w:sz w:val="22"/>
                      <w:szCs w:val="22"/>
                      <w:vertAlign w:val="superscript"/>
                      <w:lang w:val="sr-Latn-CS"/>
                    </w:rPr>
                    <w:t>2</w:t>
                  </w:r>
                  <w:r w:rsidRPr="00601926">
                    <w:rPr>
                      <w:color w:val="000000"/>
                      <w:sz w:val="22"/>
                      <w:szCs w:val="22"/>
                      <w:lang w:val="sr-Latn-CS"/>
                    </w:rPr>
                    <w:t>.</w:t>
                  </w:r>
                </w:p>
              </w:tc>
            </w:tr>
            <w:tr w:rsidR="000A2337" w:rsidRPr="00601926" w:rsidTr="00161AB3">
              <w:trPr>
                <w:jc w:val="center"/>
              </w:trPr>
              <w:tc>
                <w:tcPr>
                  <w:tcW w:w="2813" w:type="dxa"/>
                  <w:tcBorders>
                    <w:top w:val="single" w:sz="6" w:space="0" w:color="auto"/>
                    <w:left w:val="single" w:sz="6" w:space="0" w:color="auto"/>
                    <w:bottom w:val="single" w:sz="6" w:space="0" w:color="auto"/>
                    <w:right w:val="single" w:sz="6" w:space="0" w:color="auto"/>
                  </w:tcBorders>
                  <w:shd w:val="clear" w:color="auto" w:fill="FFFFFF"/>
                </w:tcPr>
                <w:p w:rsidR="000A2337" w:rsidRPr="00601926" w:rsidRDefault="000A2337" w:rsidP="00161AB3">
                  <w:pPr>
                    <w:shd w:val="clear" w:color="auto" w:fill="FFFFFF"/>
                    <w:rPr>
                      <w:sz w:val="22"/>
                      <w:szCs w:val="22"/>
                      <w:lang w:val="sr-Latn-CS"/>
                    </w:rPr>
                  </w:pPr>
                  <w:r w:rsidRPr="00601926">
                    <w:rPr>
                      <w:color w:val="000000"/>
                      <w:sz w:val="22"/>
                      <w:szCs w:val="22"/>
                      <w:lang w:val="sr-Latn-CS"/>
                    </w:rPr>
                    <w:t>DFSP</w:t>
                  </w:r>
                </w:p>
                <w:p w:rsidR="000A2337" w:rsidRPr="00601926" w:rsidRDefault="000A2337" w:rsidP="00161AB3">
                  <w:pPr>
                    <w:shd w:val="clear" w:color="auto" w:fill="FFFFFF"/>
                    <w:rPr>
                      <w:sz w:val="22"/>
                      <w:szCs w:val="22"/>
                      <w:lang w:val="sr-Latn-CS"/>
                    </w:rPr>
                  </w:pPr>
                  <w:r>
                    <w:rPr>
                      <w:color w:val="000000"/>
                      <w:sz w:val="22"/>
                      <w:szCs w:val="22"/>
                      <w:lang w:val="sr-Latn-CS"/>
                    </w:rPr>
                    <w:t>(doza od</w:t>
                  </w:r>
                  <w:r w:rsidRPr="00601926">
                    <w:rPr>
                      <w:color w:val="000000"/>
                      <w:sz w:val="22"/>
                      <w:szCs w:val="22"/>
                      <w:lang w:val="sr-Latn-CS"/>
                    </w:rPr>
                    <w:t xml:space="preserve"> 800 mg)</w:t>
                  </w:r>
                </w:p>
                <w:p w:rsidR="000A2337" w:rsidRPr="00601926" w:rsidRDefault="000A2337" w:rsidP="00161AB3">
                  <w:pPr>
                    <w:shd w:val="clear" w:color="auto" w:fill="FFFFFF"/>
                    <w:jc w:val="right"/>
                    <w:rPr>
                      <w:sz w:val="22"/>
                      <w:szCs w:val="22"/>
                      <w:lang w:val="sr-Latn-CS"/>
                    </w:rPr>
                  </w:pPr>
                  <w:r w:rsidRPr="00601926">
                    <w:rPr>
                      <w:color w:val="000000"/>
                      <w:sz w:val="22"/>
                      <w:szCs w:val="22"/>
                      <w:lang w:val="sr-Latn-CS"/>
                    </w:rPr>
                    <w:t xml:space="preserve"> </w:t>
                  </w:r>
                </w:p>
                <w:p w:rsidR="000A2337" w:rsidRPr="00601926" w:rsidRDefault="000A2337" w:rsidP="00161AB3">
                  <w:pPr>
                    <w:shd w:val="clear" w:color="auto" w:fill="FFFFFF"/>
                    <w:rPr>
                      <w:sz w:val="22"/>
                      <w:szCs w:val="22"/>
                      <w:lang w:val="sr-Latn-CS"/>
                    </w:rPr>
                  </w:pPr>
                </w:p>
                <w:p w:rsidR="000A2337" w:rsidRPr="00601926" w:rsidRDefault="000A2337" w:rsidP="00161AB3">
                  <w:pPr>
                    <w:shd w:val="clear" w:color="auto" w:fill="FFFFFF"/>
                    <w:jc w:val="right"/>
                    <w:rPr>
                      <w:color w:val="000000"/>
                      <w:sz w:val="22"/>
                      <w:szCs w:val="22"/>
                      <w:lang w:val="sr-Latn-CS"/>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A2337" w:rsidRPr="00601926" w:rsidRDefault="000A2337" w:rsidP="00161AB3">
                  <w:pPr>
                    <w:shd w:val="clear" w:color="auto" w:fill="FFFFFF"/>
                    <w:rPr>
                      <w:sz w:val="22"/>
                      <w:szCs w:val="22"/>
                      <w:lang w:val="sr-Latn-CS"/>
                    </w:rPr>
                  </w:pPr>
                  <w:r>
                    <w:rPr>
                      <w:color w:val="000000"/>
                      <w:sz w:val="22"/>
                      <w:szCs w:val="22"/>
                      <w:lang w:val="sr-Latn-CS"/>
                    </w:rPr>
                    <w:t>ANC &lt; 1,0 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/l</w:t>
                  </w:r>
                </w:p>
                <w:p w:rsidR="000A2337" w:rsidRDefault="000A2337" w:rsidP="00161AB3">
                  <w:pPr>
                    <w:shd w:val="clear" w:color="auto" w:fill="FFFFFF"/>
                    <w:rPr>
                      <w:color w:val="000000"/>
                      <w:sz w:val="22"/>
                      <w:szCs w:val="22"/>
                      <w:lang w:val="sr-Latn-CS"/>
                    </w:rPr>
                  </w:pPr>
                  <w:r w:rsidRPr="00601926">
                    <w:rPr>
                      <w:color w:val="000000"/>
                      <w:sz w:val="22"/>
                      <w:szCs w:val="22"/>
                      <w:lang w:val="sr-Latn-CS"/>
                    </w:rPr>
                    <w:t xml:space="preserve">i/ili </w:t>
                  </w:r>
                </w:p>
                <w:p w:rsidR="000A2337" w:rsidRPr="00601926" w:rsidRDefault="000A2337" w:rsidP="00161AB3">
                  <w:pPr>
                    <w:shd w:val="clear" w:color="auto" w:fill="FFFFFF"/>
                    <w:rPr>
                      <w:color w:val="000000"/>
                      <w:sz w:val="22"/>
                      <w:szCs w:val="22"/>
                      <w:vertAlign w:val="superscript"/>
                      <w:lang w:val="sr-Latn-CS"/>
                    </w:rPr>
                  </w:pPr>
                  <w:r>
                    <w:rPr>
                      <w:color w:val="000000"/>
                      <w:sz w:val="22"/>
                      <w:szCs w:val="22"/>
                      <w:lang w:val="sr-Latn-CS"/>
                    </w:rPr>
                    <w:t>trombociti &lt; 50 x</w:t>
                  </w:r>
                  <w:r w:rsidRPr="00601926">
                    <w:rPr>
                      <w:color w:val="000000"/>
                      <w:sz w:val="22"/>
                      <w:szCs w:val="22"/>
                      <w:lang w:val="sr-Latn-CS"/>
                    </w:rPr>
                    <w:t xml:space="preserve"> 10</w:t>
                  </w:r>
                  <w:r w:rsidRPr="00601926">
                    <w:rPr>
                      <w:color w:val="000000"/>
                      <w:sz w:val="22"/>
                      <w:szCs w:val="22"/>
                      <w:vertAlign w:val="superscript"/>
                      <w:lang w:val="sr-Latn-CS"/>
                    </w:rPr>
                    <w:t>9</w:t>
                  </w:r>
                  <w:r w:rsidRPr="00601926">
                    <w:rPr>
                      <w:color w:val="000000"/>
                      <w:sz w:val="22"/>
                      <w:szCs w:val="22"/>
                      <w:lang w:val="sr-Latn-CS"/>
                    </w:rPr>
                    <w:t>/l</w:t>
                  </w:r>
                </w:p>
              </w:tc>
              <w:tc>
                <w:tcPr>
                  <w:tcW w:w="4562" w:type="dxa"/>
                  <w:tcBorders>
                    <w:top w:val="single" w:sz="6" w:space="0" w:color="auto"/>
                    <w:left w:val="single" w:sz="6" w:space="0" w:color="auto"/>
                    <w:bottom w:val="single" w:sz="6" w:space="0" w:color="auto"/>
                    <w:right w:val="single" w:sz="6" w:space="0" w:color="auto"/>
                  </w:tcBorders>
                  <w:shd w:val="clear" w:color="auto" w:fill="FFFFFF"/>
                </w:tcPr>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 xml:space="preserve">1. Prekinuti </w:t>
                  </w:r>
                  <w:r>
                    <w:rPr>
                      <w:color w:val="000000"/>
                      <w:sz w:val="22"/>
                      <w:szCs w:val="22"/>
                      <w:lang w:val="sr-Latn-CS"/>
                    </w:rPr>
                    <w:t>terapiju i</w:t>
                  </w:r>
                  <w:r>
                    <w:rPr>
                      <w:bCs/>
                      <w:sz w:val="22"/>
                      <w:szCs w:val="22"/>
                      <w:lang w:val="da-DK"/>
                    </w:rPr>
                    <w:t>matinibom</w:t>
                  </w:r>
                  <w:r>
                    <w:rPr>
                      <w:bCs/>
                      <w:sz w:val="22"/>
                      <w:szCs w:val="22"/>
                      <w:vertAlign w:val="superscript"/>
                      <w:lang w:val="da-DK"/>
                    </w:rPr>
                    <w:t xml:space="preserve"> </w:t>
                  </w:r>
                  <w:r w:rsidRPr="00601926">
                    <w:rPr>
                      <w:color w:val="000000"/>
                      <w:sz w:val="22"/>
                      <w:szCs w:val="22"/>
                      <w:lang w:val="sr-Latn-CS"/>
                    </w:rPr>
                    <w:t xml:space="preserve"> dok</w:t>
                  </w:r>
                  <w:r>
                    <w:rPr>
                      <w:color w:val="000000"/>
                      <w:sz w:val="22"/>
                      <w:szCs w:val="22"/>
                      <w:lang w:val="sr-Latn-CS"/>
                    </w:rPr>
                    <w:t xml:space="preserve"> ne bude ANC ≥ 1,5 x</w:t>
                  </w:r>
                  <w:r w:rsidRPr="00601926">
                    <w:rPr>
                      <w:color w:val="000000"/>
                      <w:sz w:val="22"/>
                      <w:szCs w:val="22"/>
                      <w:lang w:val="sr-Latn-CS"/>
                    </w:rPr>
                    <w:t xml:space="preserve"> 10</w:t>
                  </w:r>
                  <w:r>
                    <w:rPr>
                      <w:color w:val="000000"/>
                      <w:sz w:val="22"/>
                      <w:szCs w:val="22"/>
                      <w:vertAlign w:val="superscript"/>
                      <w:lang w:val="sr-Latn-CS"/>
                    </w:rPr>
                    <w:t>9</w:t>
                  </w:r>
                  <w:r>
                    <w:rPr>
                      <w:color w:val="000000"/>
                      <w:sz w:val="22"/>
                      <w:szCs w:val="22"/>
                      <w:lang w:val="sr-Latn-CS"/>
                    </w:rPr>
                    <w:t>/l a trombociti ≥ 75x</w:t>
                  </w:r>
                  <w:r w:rsidRPr="00601926">
                    <w:rPr>
                      <w:color w:val="000000"/>
                      <w:sz w:val="22"/>
                      <w:szCs w:val="22"/>
                      <w:lang w:val="sr-Latn-CS"/>
                    </w:rPr>
                    <w:t>10</w:t>
                  </w:r>
                  <w:r>
                    <w:rPr>
                      <w:color w:val="000000"/>
                      <w:sz w:val="22"/>
                      <w:szCs w:val="22"/>
                      <w:vertAlign w:val="superscript"/>
                      <w:lang w:val="sr-Latn-CS"/>
                    </w:rPr>
                    <w:t>9</w:t>
                  </w:r>
                  <w:r w:rsidRPr="00601926">
                    <w:rPr>
                      <w:color w:val="000000"/>
                      <w:sz w:val="22"/>
                      <w:szCs w:val="22"/>
                      <w:lang w:val="sr-Latn-CS"/>
                    </w:rPr>
                    <w:t>/l.</w:t>
                  </w:r>
                </w:p>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 xml:space="preserve">2. Nastaviti </w:t>
                  </w:r>
                  <w:r>
                    <w:rPr>
                      <w:color w:val="000000"/>
                      <w:sz w:val="22"/>
                      <w:szCs w:val="22"/>
                      <w:lang w:val="sr-Latn-CS"/>
                    </w:rPr>
                    <w:t>terapiju</w:t>
                  </w:r>
                  <w:r w:rsidRPr="00601926">
                    <w:rPr>
                      <w:color w:val="000000"/>
                      <w:sz w:val="22"/>
                      <w:szCs w:val="22"/>
                      <w:lang w:val="sr-Latn-CS"/>
                    </w:rPr>
                    <w:t xml:space="preserve"> </w:t>
                  </w:r>
                  <w:r>
                    <w:rPr>
                      <w:color w:val="000000"/>
                      <w:sz w:val="22"/>
                      <w:szCs w:val="22"/>
                      <w:lang w:val="sr-Latn-CS"/>
                    </w:rPr>
                    <w:t>i</w:t>
                  </w:r>
                  <w:r>
                    <w:rPr>
                      <w:bCs/>
                      <w:sz w:val="22"/>
                      <w:szCs w:val="22"/>
                      <w:lang w:val="da-DK"/>
                    </w:rPr>
                    <w:t>matinibom</w:t>
                  </w:r>
                  <w:r>
                    <w:rPr>
                      <w:bCs/>
                      <w:sz w:val="22"/>
                      <w:szCs w:val="22"/>
                      <w:vertAlign w:val="superscript"/>
                      <w:lang w:val="da-DK"/>
                    </w:rPr>
                    <w:t xml:space="preserve"> </w:t>
                  </w:r>
                  <w:r w:rsidRPr="00601926">
                    <w:rPr>
                      <w:color w:val="000000"/>
                      <w:sz w:val="22"/>
                      <w:szCs w:val="22"/>
                      <w:lang w:val="sr-Latn-CS"/>
                    </w:rPr>
                    <w:t>sa 600 mg.</w:t>
                  </w:r>
                </w:p>
                <w:p w:rsidR="000A2337" w:rsidRPr="00601926" w:rsidRDefault="000A2337" w:rsidP="00161AB3">
                  <w:pPr>
                    <w:shd w:val="clear" w:color="auto" w:fill="FFFFFF"/>
                    <w:tabs>
                      <w:tab w:val="left" w:pos="278"/>
                    </w:tabs>
                    <w:ind w:left="278" w:hanging="278"/>
                    <w:rPr>
                      <w:color w:val="000000"/>
                      <w:sz w:val="22"/>
                      <w:szCs w:val="22"/>
                      <w:lang w:val="sr-Latn-CS"/>
                    </w:rPr>
                  </w:pPr>
                  <w:r w:rsidRPr="00601926">
                    <w:rPr>
                      <w:color w:val="000000"/>
                      <w:sz w:val="22"/>
                      <w:szCs w:val="22"/>
                      <w:lang w:val="sr-Latn-CS"/>
                    </w:rPr>
                    <w:t>3. U slučaju recidiva ANC</w:t>
                  </w:r>
                  <w:r>
                    <w:rPr>
                      <w:color w:val="000000"/>
                      <w:sz w:val="22"/>
                      <w:szCs w:val="22"/>
                      <w:lang w:val="sr-Latn-CS"/>
                    </w:rPr>
                    <w:t xml:space="preserve"> &lt;1,0 x</w:t>
                  </w:r>
                  <w:r w:rsidRPr="00601926">
                    <w:rPr>
                      <w:color w:val="000000"/>
                      <w:sz w:val="22"/>
                      <w:szCs w:val="22"/>
                      <w:lang w:val="sr-Latn-CS"/>
                    </w:rPr>
                    <w:t xml:space="preserve"> 10</w:t>
                  </w:r>
                  <w:r>
                    <w:rPr>
                      <w:color w:val="000000"/>
                      <w:sz w:val="22"/>
                      <w:szCs w:val="22"/>
                      <w:vertAlign w:val="superscript"/>
                      <w:lang w:val="sr-Latn-CS"/>
                    </w:rPr>
                    <w:t>9</w:t>
                  </w:r>
                  <w:r w:rsidRPr="00601926">
                    <w:rPr>
                      <w:color w:val="000000"/>
                      <w:sz w:val="22"/>
                      <w:szCs w:val="22"/>
                      <w:lang w:val="sr-Latn-CS"/>
                    </w:rPr>
                    <w:t>/l</w:t>
                  </w:r>
                </w:p>
                <w:p w:rsidR="000A2337" w:rsidRPr="00601926" w:rsidRDefault="000A2337" w:rsidP="00161AB3">
                  <w:pPr>
                    <w:shd w:val="clear" w:color="auto" w:fill="FFFFFF"/>
                    <w:tabs>
                      <w:tab w:val="left" w:pos="278"/>
                    </w:tabs>
                    <w:rPr>
                      <w:color w:val="000000"/>
                      <w:sz w:val="22"/>
                      <w:szCs w:val="22"/>
                      <w:lang w:val="sr-Latn-CS"/>
                    </w:rPr>
                  </w:pPr>
                  <w:r>
                    <w:rPr>
                      <w:color w:val="000000"/>
                      <w:sz w:val="22"/>
                      <w:szCs w:val="22"/>
                      <w:lang w:val="sr-Latn-CS"/>
                    </w:rPr>
                    <w:t xml:space="preserve">      </w:t>
                  </w:r>
                  <w:r w:rsidRPr="00601926">
                    <w:rPr>
                      <w:color w:val="000000"/>
                      <w:sz w:val="22"/>
                      <w:szCs w:val="22"/>
                      <w:lang w:val="sr-Latn-CS"/>
                    </w:rPr>
                    <w:t>i/ili trombociti</w:t>
                  </w:r>
                  <w:r>
                    <w:rPr>
                      <w:color w:val="000000"/>
                      <w:sz w:val="22"/>
                      <w:szCs w:val="22"/>
                      <w:lang w:val="sr-Latn-CS"/>
                    </w:rPr>
                    <w:t xml:space="preserve"> &lt; 50 x</w:t>
                  </w:r>
                  <w:r w:rsidRPr="00601926">
                    <w:rPr>
                      <w:color w:val="000000"/>
                      <w:sz w:val="22"/>
                      <w:szCs w:val="22"/>
                      <w:lang w:val="sr-Latn-CS"/>
                    </w:rPr>
                    <w:t xml:space="preserve"> 10</w:t>
                  </w:r>
                  <w:r>
                    <w:rPr>
                      <w:color w:val="000000"/>
                      <w:sz w:val="22"/>
                      <w:szCs w:val="22"/>
                      <w:vertAlign w:val="superscript"/>
                      <w:lang w:val="sr-Latn-CS"/>
                    </w:rPr>
                    <w:t>9</w:t>
                  </w:r>
                  <w:r w:rsidRPr="00601926">
                    <w:rPr>
                      <w:color w:val="000000"/>
                      <w:sz w:val="22"/>
                      <w:szCs w:val="22"/>
                      <w:lang w:val="sr-Latn-CS"/>
                    </w:rPr>
                    <w:t>/l</w:t>
                  </w:r>
                  <w:r>
                    <w:rPr>
                      <w:color w:val="000000"/>
                      <w:sz w:val="22"/>
                      <w:szCs w:val="22"/>
                      <w:lang w:val="sr-Latn-CS"/>
                    </w:rPr>
                    <w:t xml:space="preserve"> ponoviti</w:t>
                  </w:r>
                </w:p>
                <w:p w:rsidR="00161AB3" w:rsidRPr="00601926" w:rsidRDefault="000A2337" w:rsidP="00161AB3">
                  <w:pPr>
                    <w:shd w:val="clear" w:color="auto" w:fill="FFFFFF"/>
                    <w:ind w:left="278" w:hanging="278"/>
                    <w:rPr>
                      <w:color w:val="000000"/>
                      <w:sz w:val="22"/>
                      <w:szCs w:val="22"/>
                      <w:lang w:val="sr-Latn-CS"/>
                    </w:rPr>
                  </w:pPr>
                  <w:r>
                    <w:rPr>
                      <w:color w:val="000000"/>
                      <w:sz w:val="22"/>
                      <w:szCs w:val="22"/>
                      <w:lang w:val="sr-Latn-CS"/>
                    </w:rPr>
                    <w:t xml:space="preserve">      </w:t>
                  </w:r>
                  <w:r w:rsidRPr="00601926">
                    <w:rPr>
                      <w:color w:val="000000"/>
                      <w:sz w:val="22"/>
                      <w:szCs w:val="22"/>
                      <w:lang w:val="sr-Latn-CS"/>
                    </w:rPr>
                    <w:t xml:space="preserve">korak 1 i nastaviti </w:t>
                  </w:r>
                  <w:r>
                    <w:rPr>
                      <w:color w:val="000000"/>
                      <w:sz w:val="22"/>
                      <w:szCs w:val="22"/>
                      <w:lang w:val="sr-Latn-CS"/>
                    </w:rPr>
                    <w:t>terapiju i</w:t>
                  </w:r>
                  <w:r>
                    <w:rPr>
                      <w:bCs/>
                      <w:sz w:val="22"/>
                      <w:szCs w:val="22"/>
                      <w:lang w:val="da-DK"/>
                    </w:rPr>
                    <w:t>matinibom</w:t>
                  </w:r>
                  <w:r>
                    <w:rPr>
                      <w:bCs/>
                      <w:sz w:val="22"/>
                      <w:szCs w:val="22"/>
                      <w:vertAlign w:val="superscript"/>
                      <w:lang w:val="da-DK"/>
                    </w:rPr>
                    <w:t xml:space="preserve"> </w:t>
                  </w:r>
                  <w:r>
                    <w:rPr>
                      <w:bCs/>
                      <w:sz w:val="22"/>
                      <w:szCs w:val="22"/>
                      <w:lang w:val="da-DK"/>
                    </w:rPr>
                    <w:t xml:space="preserve">u </w:t>
                  </w:r>
                  <w:r>
                    <w:rPr>
                      <w:color w:val="000000"/>
                      <w:sz w:val="22"/>
                      <w:szCs w:val="22"/>
                      <w:lang w:val="sr-Latn-CS"/>
                    </w:rPr>
                    <w:t xml:space="preserve">smanjenoj </w:t>
                  </w:r>
                  <w:r w:rsidRPr="00601926">
                    <w:rPr>
                      <w:color w:val="000000"/>
                      <w:sz w:val="22"/>
                      <w:szCs w:val="22"/>
                      <w:lang w:val="sr-Latn-CS"/>
                    </w:rPr>
                    <w:t>doz</w:t>
                  </w:r>
                  <w:r>
                    <w:rPr>
                      <w:color w:val="000000"/>
                      <w:sz w:val="22"/>
                      <w:szCs w:val="22"/>
                      <w:lang w:val="sr-Latn-CS"/>
                    </w:rPr>
                    <w:t>i</w:t>
                  </w:r>
                  <w:r w:rsidRPr="00601926">
                    <w:rPr>
                      <w:color w:val="000000"/>
                      <w:sz w:val="22"/>
                      <w:szCs w:val="22"/>
                      <w:lang w:val="sr-Latn-CS"/>
                    </w:rPr>
                    <w:t xml:space="preserve"> od 4</w:t>
                  </w:r>
                  <w:r>
                    <w:rPr>
                      <w:color w:val="000000"/>
                      <w:sz w:val="22"/>
                      <w:szCs w:val="22"/>
                      <w:lang w:val="sr-Latn-CS"/>
                    </w:rPr>
                    <w:t>0</w:t>
                  </w:r>
                  <w:r w:rsidRPr="00601926">
                    <w:rPr>
                      <w:color w:val="000000"/>
                      <w:sz w:val="22"/>
                      <w:szCs w:val="22"/>
                      <w:lang w:val="sr-Latn-CS"/>
                    </w:rPr>
                    <w:t>0 mg.</w:t>
                  </w:r>
                </w:p>
              </w:tc>
            </w:tr>
            <w:tr w:rsidR="000A2337" w:rsidRPr="00601926" w:rsidTr="00161AB3">
              <w:trPr>
                <w:jc w:val="center"/>
              </w:trPr>
              <w:tc>
                <w:tcPr>
                  <w:tcW w:w="9643" w:type="dxa"/>
                  <w:gridSpan w:val="3"/>
                  <w:tcBorders>
                    <w:top w:val="single" w:sz="6" w:space="0" w:color="auto"/>
                    <w:left w:val="single" w:sz="6" w:space="0" w:color="auto"/>
                    <w:bottom w:val="single" w:sz="4" w:space="0" w:color="auto"/>
                    <w:right w:val="single" w:sz="6" w:space="0" w:color="auto"/>
                  </w:tcBorders>
                  <w:shd w:val="clear" w:color="auto" w:fill="FFFFFF"/>
                </w:tcPr>
                <w:p w:rsidR="000A2337" w:rsidRPr="00601926" w:rsidRDefault="000A2337" w:rsidP="00161AB3">
                  <w:pPr>
                    <w:shd w:val="clear" w:color="auto" w:fill="FFFFFF"/>
                    <w:rPr>
                      <w:sz w:val="22"/>
                      <w:szCs w:val="22"/>
                      <w:lang w:val="sr-Latn-CS"/>
                    </w:rPr>
                  </w:pPr>
                  <w:r w:rsidRPr="00601926">
                    <w:rPr>
                      <w:color w:val="000000"/>
                      <w:sz w:val="22"/>
                      <w:szCs w:val="22"/>
                      <w:lang w:val="sr-Latn-CS"/>
                    </w:rPr>
                    <w:t xml:space="preserve">ANC </w:t>
                  </w:r>
                  <w:r>
                    <w:rPr>
                      <w:color w:val="000000"/>
                      <w:sz w:val="22"/>
                      <w:szCs w:val="22"/>
                      <w:lang w:val="sr-Latn-CS"/>
                    </w:rPr>
                    <w:t xml:space="preserve"> (absolute neutrophil count) </w:t>
                  </w:r>
                  <w:r w:rsidRPr="00601926">
                    <w:rPr>
                      <w:color w:val="000000"/>
                      <w:sz w:val="22"/>
                      <w:szCs w:val="22"/>
                      <w:lang w:val="sr-Latn-CS"/>
                    </w:rPr>
                    <w:t>= apsolutni broj neutrofila</w:t>
                  </w:r>
                </w:p>
                <w:p w:rsidR="000A2337" w:rsidRPr="00601926" w:rsidRDefault="000A2337" w:rsidP="00161AB3">
                  <w:pPr>
                    <w:shd w:val="clear" w:color="auto" w:fill="FFFFFF"/>
                    <w:rPr>
                      <w:color w:val="000000"/>
                      <w:sz w:val="22"/>
                      <w:szCs w:val="22"/>
                      <w:lang w:val="sr-Latn-CS"/>
                    </w:rPr>
                  </w:pPr>
                  <w:r w:rsidRPr="00601926">
                    <w:rPr>
                      <w:color w:val="000000"/>
                      <w:sz w:val="22"/>
                      <w:szCs w:val="22"/>
                      <w:vertAlign w:val="superscript"/>
                      <w:lang w:val="sr-Latn-CS"/>
                    </w:rPr>
                    <w:t>a</w:t>
                  </w:r>
                  <w:r w:rsidRPr="00601926">
                    <w:rPr>
                      <w:color w:val="000000"/>
                      <w:sz w:val="22"/>
                      <w:szCs w:val="22"/>
                      <w:lang w:val="sr-Latn-CS"/>
                    </w:rPr>
                    <w:t xml:space="preserve"> javlja se nakon </w:t>
                  </w:r>
                  <w:r>
                    <w:rPr>
                      <w:color w:val="000000"/>
                      <w:sz w:val="22"/>
                      <w:szCs w:val="22"/>
                      <w:lang w:val="sr-Latn-CS"/>
                    </w:rPr>
                    <w:t xml:space="preserve">najmanje </w:t>
                  </w:r>
                  <w:r w:rsidRPr="00601926">
                    <w:rPr>
                      <w:color w:val="000000"/>
                      <w:sz w:val="22"/>
                      <w:szCs w:val="22"/>
                      <w:lang w:val="sr-Latn-CS"/>
                    </w:rPr>
                    <w:t xml:space="preserve">jednog </w:t>
                  </w:r>
                  <w:r>
                    <w:rPr>
                      <w:color w:val="000000"/>
                      <w:sz w:val="22"/>
                      <w:szCs w:val="22"/>
                      <w:lang w:val="sr-Latn-CS"/>
                    </w:rPr>
                    <w:t>mjesec</w:t>
                  </w:r>
                  <w:r w:rsidRPr="00601926">
                    <w:rPr>
                      <w:color w:val="000000"/>
                      <w:sz w:val="22"/>
                      <w:szCs w:val="22"/>
                      <w:lang w:val="sr-Latn-CS"/>
                    </w:rPr>
                    <w:t xml:space="preserve">a </w:t>
                  </w:r>
                  <w:r>
                    <w:rPr>
                      <w:color w:val="000000"/>
                      <w:sz w:val="22"/>
                      <w:szCs w:val="22"/>
                      <w:lang w:val="sr-Latn-CS"/>
                    </w:rPr>
                    <w:t>terapije</w:t>
                  </w:r>
                </w:p>
              </w:tc>
            </w:tr>
          </w:tbl>
          <w:p w:rsidR="000A2337" w:rsidRDefault="000A2337" w:rsidP="00161AB3">
            <w:pPr>
              <w:shd w:val="clear" w:color="auto" w:fill="FFFFFF"/>
              <w:rPr>
                <w:color w:val="000000"/>
                <w:sz w:val="22"/>
                <w:szCs w:val="22"/>
                <w:u w:val="single"/>
                <w:lang w:val="sr-Latn-CS"/>
              </w:rPr>
            </w:pPr>
          </w:p>
          <w:p w:rsidR="000A2337" w:rsidRPr="000537F5" w:rsidRDefault="000A2337" w:rsidP="00161AB3">
            <w:pPr>
              <w:shd w:val="clear" w:color="auto" w:fill="FFFFFF"/>
              <w:jc w:val="both"/>
              <w:rPr>
                <w:color w:val="000000"/>
                <w:sz w:val="22"/>
                <w:szCs w:val="22"/>
                <w:u w:val="single"/>
                <w:lang w:val="sr-Latn-CS"/>
              </w:rPr>
            </w:pPr>
            <w:r w:rsidRPr="000537F5">
              <w:rPr>
                <w:color w:val="000000"/>
                <w:sz w:val="22"/>
                <w:szCs w:val="22"/>
                <w:u w:val="single"/>
                <w:lang w:val="sr-Latn-CS"/>
              </w:rPr>
              <w:t>Posebne populacije</w:t>
            </w:r>
          </w:p>
          <w:p w:rsidR="000A2337" w:rsidRDefault="000A2337" w:rsidP="00161AB3">
            <w:pPr>
              <w:shd w:val="clear" w:color="auto" w:fill="FFFFFF"/>
              <w:jc w:val="both"/>
              <w:rPr>
                <w:color w:val="000000"/>
                <w:sz w:val="22"/>
                <w:szCs w:val="22"/>
                <w:lang w:val="sr-Latn-CS"/>
              </w:rPr>
            </w:pPr>
            <w:r>
              <w:rPr>
                <w:color w:val="000000"/>
                <w:sz w:val="22"/>
                <w:szCs w:val="22"/>
                <w:lang w:val="sr-Latn-CS"/>
              </w:rPr>
              <w:t>Primjen</w:t>
            </w:r>
            <w:r w:rsidRPr="009507D9">
              <w:rPr>
                <w:color w:val="000000"/>
                <w:sz w:val="22"/>
                <w:szCs w:val="22"/>
                <w:lang w:val="sr-Latn-CS"/>
              </w:rPr>
              <w:t>a</w:t>
            </w:r>
            <w:r>
              <w:rPr>
                <w:color w:val="000000"/>
                <w:sz w:val="22"/>
                <w:szCs w:val="22"/>
                <w:lang w:val="sr-Latn-CS"/>
              </w:rPr>
              <w:t xml:space="preserve"> u pedijatriji: n</w:t>
            </w:r>
            <w:r w:rsidRPr="009507D9">
              <w:rPr>
                <w:color w:val="000000"/>
                <w:sz w:val="22"/>
                <w:szCs w:val="22"/>
                <w:lang w:val="sr-Latn-CS"/>
              </w:rPr>
              <w:t xml:space="preserve">ema </w:t>
            </w:r>
            <w:r>
              <w:rPr>
                <w:color w:val="000000"/>
                <w:sz w:val="22"/>
                <w:szCs w:val="22"/>
                <w:lang w:val="sr-Latn-CS"/>
              </w:rPr>
              <w:t>iskustava kod djece oboljele od C</w:t>
            </w:r>
            <w:r w:rsidRPr="009507D9">
              <w:rPr>
                <w:color w:val="000000"/>
                <w:sz w:val="22"/>
                <w:szCs w:val="22"/>
                <w:lang w:val="sr-Latn-CS"/>
              </w:rPr>
              <w:t>ML</w:t>
            </w:r>
            <w:r>
              <w:rPr>
                <w:color w:val="000000"/>
                <w:sz w:val="22"/>
                <w:szCs w:val="22"/>
                <w:lang w:val="sr-Latn-CS"/>
              </w:rPr>
              <w:t>-a</w:t>
            </w:r>
            <w:r w:rsidRPr="009507D9">
              <w:rPr>
                <w:color w:val="000000"/>
                <w:sz w:val="22"/>
                <w:szCs w:val="22"/>
                <w:lang w:val="sr-Latn-CS"/>
              </w:rPr>
              <w:t xml:space="preserve"> </w:t>
            </w:r>
            <w:r>
              <w:rPr>
                <w:color w:val="000000"/>
                <w:sz w:val="22"/>
                <w:szCs w:val="22"/>
                <w:lang w:val="sr-Latn-CS"/>
              </w:rPr>
              <w:t xml:space="preserve">mlađe od </w:t>
            </w:r>
            <w:r w:rsidRPr="009507D9">
              <w:rPr>
                <w:color w:val="000000"/>
                <w:sz w:val="22"/>
                <w:szCs w:val="22"/>
                <w:lang w:val="sr-Latn-CS"/>
              </w:rPr>
              <w:t xml:space="preserve">2 godine starosti </w:t>
            </w:r>
            <w:r>
              <w:rPr>
                <w:color w:val="000000"/>
                <w:sz w:val="22"/>
                <w:szCs w:val="22"/>
                <w:lang w:val="sr-Latn-CS"/>
              </w:rPr>
              <w:t xml:space="preserve">i djece mlađe od 1 godine sa </w:t>
            </w:r>
            <w:r w:rsidRPr="009507D9">
              <w:rPr>
                <w:color w:val="000000"/>
                <w:sz w:val="22"/>
                <w:szCs w:val="22"/>
                <w:lang w:val="sr-Latn-CS"/>
              </w:rPr>
              <w:t xml:space="preserve">Ph+ </w:t>
            </w:r>
            <w:smartTag w:uri="urn:schemas-microsoft-com:office:smarttags" w:element="stockticker">
              <w:r w:rsidRPr="009507D9">
                <w:rPr>
                  <w:color w:val="000000"/>
                  <w:sz w:val="22"/>
                  <w:szCs w:val="22"/>
                  <w:lang w:val="sr-Latn-CS"/>
                </w:rPr>
                <w:t>ALL</w:t>
              </w:r>
              <w:r>
                <w:rPr>
                  <w:color w:val="000000"/>
                  <w:sz w:val="22"/>
                  <w:szCs w:val="22"/>
                  <w:lang w:val="sr-Latn-CS"/>
                </w:rPr>
                <w:t>-om</w:t>
              </w:r>
            </w:smartTag>
            <w:r w:rsidRPr="009507D9">
              <w:rPr>
                <w:color w:val="000000"/>
                <w:sz w:val="22"/>
                <w:szCs w:val="22"/>
                <w:lang w:val="sr-Latn-CS"/>
              </w:rPr>
              <w:t xml:space="preserve"> (</w:t>
            </w:r>
            <w:r>
              <w:rPr>
                <w:color w:val="000000"/>
                <w:sz w:val="22"/>
                <w:szCs w:val="22"/>
                <w:lang w:val="sr-Latn-CS"/>
              </w:rPr>
              <w:t>vidjet</w:t>
            </w:r>
            <w:r w:rsidRPr="009507D9">
              <w:rPr>
                <w:color w:val="000000"/>
                <w:sz w:val="22"/>
                <w:szCs w:val="22"/>
                <w:lang w:val="sr-Latn-CS"/>
              </w:rPr>
              <w:t xml:space="preserve">i </w:t>
            </w:r>
            <w:r>
              <w:rPr>
                <w:color w:val="000000"/>
                <w:sz w:val="22"/>
                <w:szCs w:val="22"/>
                <w:lang w:val="sr-Latn-CS"/>
              </w:rPr>
              <w:t>odjelj</w:t>
            </w:r>
            <w:r w:rsidRPr="009507D9">
              <w:rPr>
                <w:color w:val="000000"/>
                <w:sz w:val="22"/>
                <w:szCs w:val="22"/>
                <w:lang w:val="sr-Latn-CS"/>
              </w:rPr>
              <w:t xml:space="preserve">ak 5.1). Postoji </w:t>
            </w:r>
            <w:r>
              <w:rPr>
                <w:color w:val="000000"/>
                <w:sz w:val="22"/>
                <w:szCs w:val="22"/>
                <w:lang w:val="sr-Latn-CS"/>
              </w:rPr>
              <w:t xml:space="preserve">vrlo </w:t>
            </w:r>
            <w:r w:rsidRPr="009507D9">
              <w:rPr>
                <w:color w:val="000000"/>
                <w:sz w:val="22"/>
                <w:szCs w:val="22"/>
                <w:lang w:val="sr-Latn-CS"/>
              </w:rPr>
              <w:t xml:space="preserve">ograničeno iskustvo kod </w:t>
            </w:r>
            <w:r>
              <w:rPr>
                <w:color w:val="000000"/>
                <w:sz w:val="22"/>
                <w:szCs w:val="22"/>
                <w:lang w:val="sr-Latn-CS"/>
              </w:rPr>
              <w:t>djec</w:t>
            </w:r>
            <w:r w:rsidRPr="009507D9">
              <w:rPr>
                <w:color w:val="000000"/>
                <w:sz w:val="22"/>
                <w:szCs w:val="22"/>
                <w:lang w:val="sr-Latn-CS"/>
              </w:rPr>
              <w:t xml:space="preserve">e sa </w:t>
            </w:r>
            <w:smartTag w:uri="urn:schemas-microsoft-com:office:smarttags" w:element="stockticker">
              <w:r w:rsidRPr="009507D9">
                <w:rPr>
                  <w:color w:val="000000"/>
                  <w:sz w:val="22"/>
                  <w:szCs w:val="22"/>
                  <w:lang w:val="sr-Latn-CS"/>
                </w:rPr>
                <w:t>MDS</w:t>
              </w:r>
            </w:smartTag>
            <w:r>
              <w:rPr>
                <w:color w:val="000000"/>
                <w:sz w:val="22"/>
                <w:szCs w:val="22"/>
                <w:lang w:val="sr-Latn-CS"/>
              </w:rPr>
              <w:t>/MPD-om</w:t>
            </w:r>
            <w:r w:rsidRPr="009507D9">
              <w:rPr>
                <w:color w:val="000000"/>
                <w:sz w:val="22"/>
                <w:szCs w:val="22"/>
                <w:lang w:val="sr-Latn-CS"/>
              </w:rPr>
              <w:t xml:space="preserve"> DFSP</w:t>
            </w:r>
            <w:r>
              <w:rPr>
                <w:color w:val="000000"/>
                <w:sz w:val="22"/>
                <w:szCs w:val="22"/>
                <w:lang w:val="sr-Latn-CS"/>
              </w:rPr>
              <w:t xml:space="preserve">-om i </w:t>
            </w:r>
            <w:r w:rsidRPr="009507D9">
              <w:rPr>
                <w:color w:val="000000"/>
                <w:sz w:val="22"/>
                <w:szCs w:val="22"/>
                <w:lang w:val="sr-Latn-CS"/>
              </w:rPr>
              <w:t>HES/</w:t>
            </w:r>
            <w:r>
              <w:rPr>
                <w:color w:val="000000"/>
                <w:sz w:val="22"/>
                <w:szCs w:val="22"/>
                <w:lang w:val="sr-Latn-CS"/>
              </w:rPr>
              <w:t>C</w:t>
            </w:r>
            <w:r w:rsidRPr="009507D9">
              <w:rPr>
                <w:color w:val="000000"/>
                <w:sz w:val="22"/>
                <w:szCs w:val="22"/>
                <w:lang w:val="sr-Latn-CS"/>
              </w:rPr>
              <w:t>EL</w:t>
            </w:r>
            <w:r>
              <w:rPr>
                <w:color w:val="000000"/>
                <w:sz w:val="22"/>
                <w:szCs w:val="22"/>
                <w:lang w:val="sr-Latn-CS"/>
              </w:rPr>
              <w:t>-om</w:t>
            </w:r>
            <w:r w:rsidRPr="009507D9">
              <w:rPr>
                <w:color w:val="000000"/>
                <w:sz w:val="22"/>
                <w:szCs w:val="22"/>
                <w:lang w:val="sr-Latn-CS"/>
              </w:rPr>
              <w:t>.</w:t>
            </w:r>
          </w:p>
          <w:p w:rsidR="000A2337" w:rsidRDefault="000A2337" w:rsidP="00161AB3">
            <w:pPr>
              <w:shd w:val="clear" w:color="auto" w:fill="FFFFFF"/>
              <w:jc w:val="both"/>
              <w:rPr>
                <w:color w:val="000000"/>
                <w:sz w:val="22"/>
                <w:szCs w:val="22"/>
                <w:lang w:val="sr-Latn-CS"/>
              </w:rPr>
            </w:pPr>
          </w:p>
          <w:p w:rsidR="000A2337" w:rsidRDefault="000A2337" w:rsidP="00161AB3">
            <w:pPr>
              <w:shd w:val="clear" w:color="auto" w:fill="FFFFFF"/>
              <w:jc w:val="both"/>
              <w:rPr>
                <w:color w:val="000000"/>
                <w:sz w:val="22"/>
                <w:szCs w:val="22"/>
                <w:lang w:val="sr-Latn-CS"/>
              </w:rPr>
            </w:pPr>
            <w:r>
              <w:rPr>
                <w:color w:val="000000"/>
                <w:sz w:val="22"/>
                <w:szCs w:val="22"/>
                <w:lang w:val="sr-Latn-CS"/>
              </w:rPr>
              <w:t>Bezbjed</w:t>
            </w:r>
            <w:r w:rsidRPr="0065664F">
              <w:rPr>
                <w:color w:val="000000"/>
                <w:sz w:val="22"/>
                <w:szCs w:val="22"/>
                <w:lang w:val="sr-Latn-CS"/>
              </w:rPr>
              <w:t xml:space="preserve">nost i </w:t>
            </w:r>
            <w:r>
              <w:rPr>
                <w:color w:val="000000"/>
                <w:sz w:val="22"/>
                <w:szCs w:val="22"/>
                <w:lang w:val="sr-Latn-CS"/>
              </w:rPr>
              <w:t>efikas</w:t>
            </w:r>
            <w:r w:rsidRPr="0065664F">
              <w:rPr>
                <w:color w:val="000000"/>
                <w:sz w:val="22"/>
                <w:szCs w:val="22"/>
                <w:lang w:val="sr-Latn-CS"/>
              </w:rPr>
              <w:t xml:space="preserve">nost imatiniba </w:t>
            </w:r>
            <w:r>
              <w:rPr>
                <w:color w:val="000000"/>
                <w:sz w:val="22"/>
                <w:szCs w:val="22"/>
                <w:lang w:val="sr-Latn-CS"/>
              </w:rPr>
              <w:t>kod</w:t>
            </w:r>
            <w:r w:rsidRPr="0065664F">
              <w:rPr>
                <w:color w:val="000000"/>
                <w:sz w:val="22"/>
                <w:szCs w:val="22"/>
                <w:lang w:val="sr-Latn-CS"/>
              </w:rPr>
              <w:t xml:space="preserve"> djece s</w:t>
            </w:r>
            <w:r>
              <w:rPr>
                <w:color w:val="000000"/>
                <w:sz w:val="22"/>
                <w:szCs w:val="22"/>
                <w:lang w:val="sr-Latn-CS"/>
              </w:rPr>
              <w:t>a MDS/MPD-om, DFSP-om i HES/c</w:t>
            </w:r>
            <w:r w:rsidRPr="0065664F">
              <w:rPr>
                <w:color w:val="000000"/>
                <w:sz w:val="22"/>
                <w:szCs w:val="22"/>
                <w:lang w:val="sr-Latn-CS"/>
              </w:rPr>
              <w:t>EL-om mlađe od</w:t>
            </w:r>
            <w:r>
              <w:rPr>
                <w:color w:val="000000"/>
                <w:sz w:val="22"/>
                <w:szCs w:val="22"/>
                <w:lang w:val="sr-Latn-CS"/>
              </w:rPr>
              <w:t xml:space="preserve"> </w:t>
            </w:r>
            <w:r w:rsidRPr="0065664F">
              <w:rPr>
                <w:color w:val="000000"/>
                <w:sz w:val="22"/>
                <w:szCs w:val="22"/>
                <w:lang w:val="sr-Latn-CS"/>
              </w:rPr>
              <w:t>18 godina ni</w:t>
            </w:r>
            <w:r>
              <w:rPr>
                <w:color w:val="000000"/>
                <w:sz w:val="22"/>
                <w:szCs w:val="22"/>
                <w:lang w:val="sr-Latn-CS"/>
              </w:rPr>
              <w:t>je</w:t>
            </w:r>
            <w:r w:rsidRPr="0065664F">
              <w:rPr>
                <w:color w:val="000000"/>
                <w:sz w:val="22"/>
                <w:szCs w:val="22"/>
                <w:lang w:val="sr-Latn-CS"/>
              </w:rPr>
              <w:t>su utvrđene u k</w:t>
            </w:r>
            <w:r>
              <w:rPr>
                <w:color w:val="000000"/>
                <w:sz w:val="22"/>
                <w:szCs w:val="22"/>
                <w:lang w:val="sr-Latn-CS"/>
              </w:rPr>
              <w:t>liničkim ispitivanjima. Trenut</w:t>
            </w:r>
            <w:r w:rsidRPr="0065664F">
              <w:rPr>
                <w:color w:val="000000"/>
                <w:sz w:val="22"/>
                <w:szCs w:val="22"/>
                <w:lang w:val="sr-Latn-CS"/>
              </w:rPr>
              <w:t>no dostupni objavljeni podaci sažeti su u</w:t>
            </w:r>
            <w:r>
              <w:rPr>
                <w:color w:val="000000"/>
                <w:sz w:val="22"/>
                <w:szCs w:val="22"/>
                <w:lang w:val="sr-Latn-CS"/>
              </w:rPr>
              <w:t xml:space="preserve"> </w:t>
            </w:r>
            <w:r w:rsidRPr="0065664F">
              <w:rPr>
                <w:color w:val="000000"/>
                <w:sz w:val="22"/>
                <w:szCs w:val="22"/>
                <w:lang w:val="sr-Latn-CS"/>
              </w:rPr>
              <w:t>dijelu 5.1, ali ne mogu se dati nikakve preporuke o doziranju.</w:t>
            </w:r>
          </w:p>
          <w:p w:rsidR="000A2337" w:rsidRPr="009507D9" w:rsidRDefault="000A2337" w:rsidP="00161AB3">
            <w:pPr>
              <w:shd w:val="clear" w:color="auto" w:fill="FFFFFF"/>
              <w:jc w:val="both"/>
              <w:rPr>
                <w:sz w:val="22"/>
                <w:szCs w:val="22"/>
                <w:lang w:val="sr-Latn-CS"/>
              </w:rPr>
            </w:pPr>
          </w:p>
          <w:p w:rsidR="000A2337" w:rsidRPr="009507D9" w:rsidRDefault="000A2337" w:rsidP="00161AB3">
            <w:pPr>
              <w:shd w:val="clear" w:color="auto" w:fill="FFFFFF"/>
              <w:jc w:val="both"/>
              <w:rPr>
                <w:sz w:val="22"/>
                <w:szCs w:val="22"/>
                <w:lang w:val="sr-Latn-CS"/>
              </w:rPr>
            </w:pPr>
            <w:r w:rsidRPr="00886863">
              <w:rPr>
                <w:i/>
                <w:color w:val="000000"/>
                <w:sz w:val="22"/>
                <w:szCs w:val="22"/>
                <w:lang w:val="sr-Latn-CS"/>
              </w:rPr>
              <w:t>Insuficijencija jetre:</w:t>
            </w:r>
            <w:r w:rsidRPr="009507D9">
              <w:rPr>
                <w:color w:val="000000"/>
                <w:sz w:val="22"/>
                <w:szCs w:val="22"/>
                <w:lang w:val="sr-Latn-CS"/>
              </w:rPr>
              <w:t xml:space="preserve"> Imatinib se </w:t>
            </w:r>
            <w:r>
              <w:rPr>
                <w:color w:val="000000"/>
                <w:sz w:val="22"/>
                <w:szCs w:val="22"/>
                <w:lang w:val="sr-Latn-CS"/>
              </w:rPr>
              <w:t>uglavnom</w:t>
            </w:r>
            <w:r w:rsidRPr="009507D9">
              <w:rPr>
                <w:color w:val="000000"/>
                <w:sz w:val="22"/>
                <w:szCs w:val="22"/>
                <w:lang w:val="sr-Latn-CS"/>
              </w:rPr>
              <w:t xml:space="preserve"> metaboli</w:t>
            </w:r>
            <w:r>
              <w:rPr>
                <w:color w:val="000000"/>
                <w:sz w:val="22"/>
                <w:szCs w:val="22"/>
                <w:lang w:val="sr-Latn-CS"/>
              </w:rPr>
              <w:t>še</w:t>
            </w:r>
            <w:r w:rsidRPr="009507D9">
              <w:rPr>
                <w:color w:val="000000"/>
                <w:sz w:val="22"/>
                <w:szCs w:val="22"/>
                <w:lang w:val="sr-Latn-CS"/>
              </w:rPr>
              <w:t xml:space="preserve"> pr</w:t>
            </w:r>
            <w:r>
              <w:rPr>
                <w:color w:val="000000"/>
                <w:sz w:val="22"/>
                <w:szCs w:val="22"/>
                <w:lang w:val="sr-Latn-CS"/>
              </w:rPr>
              <w:t>eko jetre. Pacijentima</w:t>
            </w:r>
            <w:r w:rsidRPr="009507D9">
              <w:rPr>
                <w:color w:val="000000"/>
                <w:sz w:val="22"/>
                <w:szCs w:val="22"/>
                <w:lang w:val="sr-Latn-CS"/>
              </w:rPr>
              <w:t xml:space="preserve"> sa blagom, um</w:t>
            </w:r>
            <w:r>
              <w:rPr>
                <w:color w:val="000000"/>
                <w:sz w:val="22"/>
                <w:szCs w:val="22"/>
                <w:lang w:val="sr-Latn-CS"/>
              </w:rPr>
              <w:t>j</w:t>
            </w:r>
            <w:r w:rsidRPr="009507D9">
              <w:rPr>
                <w:color w:val="000000"/>
                <w:sz w:val="22"/>
                <w:szCs w:val="22"/>
                <w:lang w:val="sr-Latn-CS"/>
              </w:rPr>
              <w:t>erenom ili teškom disfunkcijom jetre treba dati minimalnu preporučenu dozu od 400 mg dnevno. Doza se može redukovati ako s</w:t>
            </w:r>
            <w:r>
              <w:rPr>
                <w:color w:val="000000"/>
                <w:sz w:val="22"/>
                <w:szCs w:val="22"/>
                <w:lang w:val="sr-Latn-CS"/>
              </w:rPr>
              <w:t>e</w:t>
            </w:r>
            <w:r w:rsidRPr="009507D9">
              <w:rPr>
                <w:color w:val="000000"/>
                <w:sz w:val="22"/>
                <w:szCs w:val="22"/>
                <w:lang w:val="sr-Latn-CS"/>
              </w:rPr>
              <w:t xml:space="preserve"> </w:t>
            </w:r>
            <w:r>
              <w:rPr>
                <w:color w:val="000000"/>
                <w:sz w:val="22"/>
                <w:szCs w:val="22"/>
                <w:lang w:val="sr-Latn-CS"/>
              </w:rPr>
              <w:t>lijek</w:t>
            </w:r>
            <w:r w:rsidRPr="009507D9">
              <w:rPr>
                <w:color w:val="000000"/>
                <w:sz w:val="22"/>
                <w:szCs w:val="22"/>
                <w:lang w:val="sr-Latn-CS"/>
              </w:rPr>
              <w:t xml:space="preserve"> ne podnosi (</w:t>
            </w:r>
            <w:r>
              <w:rPr>
                <w:color w:val="000000"/>
                <w:sz w:val="22"/>
                <w:szCs w:val="22"/>
                <w:lang w:val="sr-Latn-CS"/>
              </w:rPr>
              <w:t>vidjet</w:t>
            </w:r>
            <w:r w:rsidRPr="009507D9">
              <w:rPr>
                <w:color w:val="000000"/>
                <w:sz w:val="22"/>
                <w:szCs w:val="22"/>
                <w:lang w:val="sr-Latn-CS"/>
              </w:rPr>
              <w:t xml:space="preserve">i </w:t>
            </w:r>
            <w:r>
              <w:rPr>
                <w:color w:val="000000"/>
                <w:sz w:val="22"/>
                <w:szCs w:val="22"/>
                <w:lang w:val="sr-Latn-CS"/>
              </w:rPr>
              <w:t>odjelj</w:t>
            </w:r>
            <w:r w:rsidRPr="009507D9">
              <w:rPr>
                <w:color w:val="000000"/>
                <w:sz w:val="22"/>
                <w:szCs w:val="22"/>
                <w:lang w:val="sr-Latn-CS"/>
              </w:rPr>
              <w:t>ke 4.4, 4.8</w:t>
            </w:r>
            <w:r>
              <w:rPr>
                <w:color w:val="000000"/>
                <w:sz w:val="22"/>
                <w:szCs w:val="22"/>
                <w:lang w:val="sr-Latn-CS"/>
              </w:rPr>
              <w:t>.</w:t>
            </w:r>
            <w:r w:rsidRPr="009507D9">
              <w:rPr>
                <w:color w:val="000000"/>
                <w:sz w:val="22"/>
                <w:szCs w:val="22"/>
                <w:lang w:val="sr-Latn-CS"/>
              </w:rPr>
              <w:t xml:space="preserve"> i 5.2</w:t>
            </w:r>
            <w:r>
              <w:rPr>
                <w:color w:val="000000"/>
                <w:sz w:val="22"/>
                <w:szCs w:val="22"/>
                <w:lang w:val="sr-Latn-CS"/>
              </w:rPr>
              <w:t>.</w:t>
            </w:r>
            <w:r w:rsidRPr="009507D9">
              <w:rPr>
                <w:color w:val="000000"/>
                <w:sz w:val="22"/>
                <w:szCs w:val="22"/>
                <w:lang w:val="sr-Latn-CS"/>
              </w:rPr>
              <w:t>).</w:t>
            </w:r>
          </w:p>
          <w:p w:rsidR="00DC787C" w:rsidRDefault="00DC787C" w:rsidP="00161AB3">
            <w:pPr>
              <w:shd w:val="clear" w:color="auto" w:fill="FFFFFF"/>
              <w:jc w:val="both"/>
              <w:rPr>
                <w:color w:val="000000"/>
                <w:sz w:val="22"/>
                <w:szCs w:val="22"/>
                <w:lang w:val="sr-Latn-CS"/>
              </w:rPr>
            </w:pPr>
          </w:p>
          <w:p w:rsidR="000A2337" w:rsidRDefault="000A2337" w:rsidP="00161AB3">
            <w:pPr>
              <w:shd w:val="clear" w:color="auto" w:fill="FFFFFF"/>
              <w:jc w:val="both"/>
              <w:rPr>
                <w:color w:val="000000"/>
                <w:sz w:val="22"/>
                <w:szCs w:val="22"/>
                <w:lang w:val="sr-Latn-CS"/>
              </w:rPr>
            </w:pPr>
            <w:r w:rsidRPr="009507D9">
              <w:rPr>
                <w:color w:val="000000"/>
                <w:sz w:val="22"/>
                <w:szCs w:val="22"/>
                <w:lang w:val="sr-Latn-CS"/>
              </w:rPr>
              <w:t>Klasifikacija disfunkcije jetre:</w:t>
            </w:r>
          </w:p>
          <w:p w:rsidR="00161AB3" w:rsidRDefault="00161AB3" w:rsidP="00161AB3">
            <w:pPr>
              <w:shd w:val="clear" w:color="auto" w:fill="FFFFFF"/>
              <w:jc w:val="both"/>
              <w:rPr>
                <w:rFonts w:cs="Arial"/>
                <w:sz w:val="22"/>
                <w:lang w:val="da-DK"/>
              </w:rPr>
            </w:pPr>
          </w:p>
          <w:tbl>
            <w:tblPr>
              <w:tblW w:w="0" w:type="auto"/>
              <w:tblInd w:w="40" w:type="dxa"/>
              <w:tblLayout w:type="fixed"/>
              <w:tblCellMar>
                <w:left w:w="40" w:type="dxa"/>
                <w:right w:w="40" w:type="dxa"/>
              </w:tblCellMar>
              <w:tblLook w:val="0000" w:firstRow="0" w:lastRow="0" w:firstColumn="0" w:lastColumn="0" w:noHBand="0" w:noVBand="0"/>
            </w:tblPr>
            <w:tblGrid>
              <w:gridCol w:w="3178"/>
              <w:gridCol w:w="5578"/>
            </w:tblGrid>
            <w:tr w:rsidR="000A2337" w:rsidRPr="00D373AD" w:rsidTr="00161AB3">
              <w:trPr>
                <w:trHeight w:hRule="exact" w:val="259"/>
              </w:trPr>
              <w:tc>
                <w:tcPr>
                  <w:tcW w:w="3178" w:type="dxa"/>
                  <w:tcBorders>
                    <w:top w:val="single" w:sz="6" w:space="0" w:color="auto"/>
                    <w:left w:val="single" w:sz="6" w:space="0" w:color="auto"/>
                    <w:bottom w:val="single" w:sz="6" w:space="0" w:color="auto"/>
                    <w:right w:val="single" w:sz="6" w:space="0" w:color="auto"/>
                  </w:tcBorders>
                  <w:shd w:val="clear" w:color="auto" w:fill="FFFFFF"/>
                </w:tcPr>
                <w:p w:rsidR="000A2337" w:rsidRPr="00D373AD" w:rsidRDefault="000A2337" w:rsidP="00161AB3">
                  <w:pPr>
                    <w:shd w:val="clear" w:color="auto" w:fill="FFFFFF"/>
                    <w:rPr>
                      <w:sz w:val="22"/>
                      <w:szCs w:val="22"/>
                      <w:lang w:val="sr-Latn-CS"/>
                    </w:rPr>
                  </w:pPr>
                  <w:r w:rsidRPr="00D373AD">
                    <w:rPr>
                      <w:color w:val="000000"/>
                      <w:sz w:val="22"/>
                      <w:szCs w:val="22"/>
                      <w:lang w:val="sr-Latn-CS"/>
                    </w:rPr>
                    <w:t>Disfunkcija jetre</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0A2337" w:rsidRPr="00D373AD" w:rsidRDefault="000A2337" w:rsidP="00161AB3">
                  <w:pPr>
                    <w:shd w:val="clear" w:color="auto" w:fill="FFFFFF"/>
                    <w:rPr>
                      <w:sz w:val="22"/>
                      <w:szCs w:val="22"/>
                      <w:lang w:val="sr-Latn-CS"/>
                    </w:rPr>
                  </w:pPr>
                  <w:r w:rsidRPr="00D373AD">
                    <w:rPr>
                      <w:color w:val="000000"/>
                      <w:sz w:val="22"/>
                      <w:szCs w:val="22"/>
                      <w:lang w:val="sr-Latn-CS"/>
                    </w:rPr>
                    <w:t xml:space="preserve">Testovi funkcije jetre </w:t>
                  </w:r>
                </w:p>
              </w:tc>
            </w:tr>
            <w:tr w:rsidR="000A2337" w:rsidRPr="00D373AD" w:rsidTr="00161AB3">
              <w:trPr>
                <w:trHeight w:hRule="exact" w:val="871"/>
              </w:trPr>
              <w:tc>
                <w:tcPr>
                  <w:tcW w:w="3178" w:type="dxa"/>
                  <w:tcBorders>
                    <w:top w:val="single" w:sz="6" w:space="0" w:color="auto"/>
                    <w:left w:val="single" w:sz="6" w:space="0" w:color="auto"/>
                    <w:bottom w:val="single" w:sz="6" w:space="0" w:color="auto"/>
                    <w:right w:val="single" w:sz="6" w:space="0" w:color="auto"/>
                  </w:tcBorders>
                  <w:shd w:val="clear" w:color="auto" w:fill="FFFFFF"/>
                </w:tcPr>
                <w:p w:rsidR="000A2337" w:rsidRPr="00D373AD" w:rsidRDefault="000A2337" w:rsidP="00161AB3">
                  <w:pPr>
                    <w:shd w:val="clear" w:color="auto" w:fill="FFFFFF"/>
                    <w:rPr>
                      <w:sz w:val="22"/>
                      <w:szCs w:val="22"/>
                      <w:lang w:val="sr-Latn-CS"/>
                    </w:rPr>
                  </w:pPr>
                  <w:r w:rsidRPr="00D373AD">
                    <w:rPr>
                      <w:color w:val="000000"/>
                      <w:sz w:val="22"/>
                      <w:szCs w:val="22"/>
                      <w:lang w:val="sr-Latn-CS"/>
                    </w:rPr>
                    <w:t>Blaga</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D373AD">
                    <w:rPr>
                      <w:color w:val="000000"/>
                      <w:sz w:val="22"/>
                      <w:szCs w:val="22"/>
                      <w:lang w:val="sr-Latn-CS"/>
                    </w:rPr>
                    <w:t xml:space="preserve">Ukupni bilirubin: = 1,5 ULN </w:t>
                  </w:r>
                </w:p>
                <w:p w:rsidR="000A2337" w:rsidRPr="00D373AD" w:rsidRDefault="000A2337" w:rsidP="00161AB3">
                  <w:pPr>
                    <w:shd w:val="clear" w:color="auto" w:fill="FFFFFF"/>
                    <w:rPr>
                      <w:sz w:val="22"/>
                      <w:szCs w:val="22"/>
                      <w:lang w:val="sr-Latn-CS"/>
                    </w:rPr>
                  </w:pPr>
                  <w:r w:rsidRPr="00D373AD">
                    <w:rPr>
                      <w:color w:val="000000"/>
                      <w:sz w:val="22"/>
                      <w:szCs w:val="22"/>
                      <w:lang w:val="sr-Latn-CS"/>
                    </w:rPr>
                    <w:t>AST: &gt;ULN (može biti normalan ili &lt;ULN ako je ukupni bilirubin &gt;ULN)</w:t>
                  </w:r>
                </w:p>
              </w:tc>
            </w:tr>
            <w:tr w:rsidR="000A2337" w:rsidRPr="00D373AD" w:rsidTr="00161AB3">
              <w:trPr>
                <w:trHeight w:hRule="exact" w:val="566"/>
              </w:trPr>
              <w:tc>
                <w:tcPr>
                  <w:tcW w:w="3178" w:type="dxa"/>
                  <w:tcBorders>
                    <w:top w:val="single" w:sz="6" w:space="0" w:color="auto"/>
                    <w:left w:val="single" w:sz="6" w:space="0" w:color="auto"/>
                    <w:bottom w:val="single" w:sz="6" w:space="0" w:color="auto"/>
                    <w:right w:val="single" w:sz="6" w:space="0" w:color="auto"/>
                  </w:tcBorders>
                  <w:shd w:val="clear" w:color="auto" w:fill="FFFFFF"/>
                </w:tcPr>
                <w:p w:rsidR="000A2337" w:rsidRPr="00D373AD" w:rsidRDefault="000A2337" w:rsidP="00161AB3">
                  <w:pPr>
                    <w:shd w:val="clear" w:color="auto" w:fill="FFFFFF"/>
                    <w:rPr>
                      <w:sz w:val="22"/>
                      <w:szCs w:val="22"/>
                      <w:lang w:val="sr-Latn-CS"/>
                    </w:rPr>
                  </w:pPr>
                  <w:r w:rsidRPr="00D373AD">
                    <w:rPr>
                      <w:color w:val="000000"/>
                      <w:sz w:val="22"/>
                      <w:szCs w:val="22"/>
                      <w:lang w:val="sr-Latn-CS"/>
                    </w:rPr>
                    <w:t>U</w:t>
                  </w:r>
                  <w:r>
                    <w:rPr>
                      <w:color w:val="000000"/>
                      <w:sz w:val="22"/>
                      <w:szCs w:val="22"/>
                      <w:lang w:val="sr-Latn-CS"/>
                    </w:rPr>
                    <w:t>mjer</w:t>
                  </w:r>
                  <w:r w:rsidRPr="00D373AD">
                    <w:rPr>
                      <w:color w:val="000000"/>
                      <w:sz w:val="22"/>
                      <w:szCs w:val="22"/>
                      <w:lang w:val="sr-Latn-CS"/>
                    </w:rPr>
                    <w:t>ena</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D373AD">
                    <w:rPr>
                      <w:color w:val="000000"/>
                      <w:sz w:val="22"/>
                      <w:szCs w:val="22"/>
                      <w:lang w:val="sr-Latn-CS"/>
                    </w:rPr>
                    <w:t xml:space="preserve">Ukupni bilirubin: &gt; 1,5-3,0 ULN </w:t>
                  </w:r>
                </w:p>
                <w:p w:rsidR="000A2337" w:rsidRPr="00D373AD" w:rsidRDefault="000A2337" w:rsidP="00161AB3">
                  <w:pPr>
                    <w:shd w:val="clear" w:color="auto" w:fill="FFFFFF"/>
                    <w:rPr>
                      <w:sz w:val="22"/>
                      <w:szCs w:val="22"/>
                      <w:lang w:val="sr-Latn-CS"/>
                    </w:rPr>
                  </w:pPr>
                  <w:r w:rsidRPr="00D373AD">
                    <w:rPr>
                      <w:color w:val="000000"/>
                      <w:sz w:val="22"/>
                      <w:szCs w:val="22"/>
                      <w:lang w:val="sr-Latn-CS"/>
                    </w:rPr>
                    <w:t>AST: bilo koja</w:t>
                  </w:r>
                  <w:r>
                    <w:rPr>
                      <w:color w:val="000000"/>
                      <w:sz w:val="22"/>
                      <w:szCs w:val="22"/>
                      <w:lang w:val="sr-Latn-CS"/>
                    </w:rPr>
                    <w:t xml:space="preserve"> vrijednost</w:t>
                  </w:r>
                </w:p>
              </w:tc>
            </w:tr>
            <w:tr w:rsidR="000A2337" w:rsidRPr="00D373AD" w:rsidTr="00161AB3">
              <w:trPr>
                <w:trHeight w:hRule="exact" w:val="532"/>
              </w:trPr>
              <w:tc>
                <w:tcPr>
                  <w:tcW w:w="3178" w:type="dxa"/>
                  <w:tcBorders>
                    <w:top w:val="single" w:sz="6" w:space="0" w:color="auto"/>
                    <w:left w:val="single" w:sz="6" w:space="0" w:color="auto"/>
                    <w:bottom w:val="single" w:sz="6" w:space="0" w:color="auto"/>
                    <w:right w:val="single" w:sz="6" w:space="0" w:color="auto"/>
                  </w:tcBorders>
                  <w:shd w:val="clear" w:color="auto" w:fill="FFFFFF"/>
                </w:tcPr>
                <w:p w:rsidR="000A2337" w:rsidRPr="00D373AD" w:rsidRDefault="000A2337" w:rsidP="00161AB3">
                  <w:pPr>
                    <w:shd w:val="clear" w:color="auto" w:fill="FFFFFF"/>
                    <w:rPr>
                      <w:sz w:val="22"/>
                      <w:szCs w:val="22"/>
                      <w:lang w:val="sr-Latn-CS"/>
                    </w:rPr>
                  </w:pPr>
                  <w:r w:rsidRPr="00D373AD">
                    <w:rPr>
                      <w:color w:val="000000"/>
                      <w:sz w:val="22"/>
                      <w:szCs w:val="22"/>
                      <w:lang w:val="sr-Latn-CS"/>
                    </w:rPr>
                    <w:t>Teška</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D373AD">
                    <w:rPr>
                      <w:color w:val="000000"/>
                      <w:sz w:val="22"/>
                      <w:szCs w:val="22"/>
                      <w:lang w:val="sr-Latn-CS"/>
                    </w:rPr>
                    <w:t>Ukupni bilirubin: &gt;3-10 ULN</w:t>
                  </w:r>
                </w:p>
                <w:p w:rsidR="000A2337" w:rsidRPr="00D373AD" w:rsidRDefault="000A2337" w:rsidP="00161AB3">
                  <w:pPr>
                    <w:shd w:val="clear" w:color="auto" w:fill="FFFFFF"/>
                    <w:rPr>
                      <w:sz w:val="22"/>
                      <w:szCs w:val="22"/>
                      <w:lang w:val="sr-Latn-CS"/>
                    </w:rPr>
                  </w:pPr>
                  <w:r w:rsidRPr="00D373AD">
                    <w:rPr>
                      <w:color w:val="000000"/>
                      <w:sz w:val="22"/>
                      <w:szCs w:val="22"/>
                      <w:lang w:val="sr-Latn-CS"/>
                    </w:rPr>
                    <w:t xml:space="preserve"> AST: bilo koja</w:t>
                  </w:r>
                  <w:r>
                    <w:rPr>
                      <w:color w:val="000000"/>
                      <w:sz w:val="22"/>
                      <w:szCs w:val="22"/>
                      <w:lang w:val="sr-Latn-CS"/>
                    </w:rPr>
                    <w:t xml:space="preserve"> vrijednost</w:t>
                  </w:r>
                </w:p>
              </w:tc>
            </w:tr>
          </w:tbl>
          <w:p w:rsidR="000A2337" w:rsidRDefault="000A2337" w:rsidP="00161AB3">
            <w:pPr>
              <w:shd w:val="clear" w:color="auto" w:fill="FFFFFF"/>
              <w:jc w:val="both"/>
              <w:rPr>
                <w:color w:val="000000"/>
                <w:sz w:val="22"/>
                <w:szCs w:val="22"/>
                <w:lang w:val="sr-Latn-CS"/>
              </w:rPr>
            </w:pPr>
            <w:r w:rsidRPr="006027FA">
              <w:rPr>
                <w:color w:val="000000"/>
                <w:sz w:val="22"/>
                <w:szCs w:val="22"/>
                <w:lang w:val="sr-Latn-CS"/>
              </w:rPr>
              <w:t>ULN</w:t>
            </w:r>
            <w:r>
              <w:rPr>
                <w:color w:val="000000"/>
                <w:sz w:val="22"/>
                <w:szCs w:val="22"/>
                <w:lang w:val="sr-Latn-CS"/>
              </w:rPr>
              <w:t xml:space="preserve"> (upper limit of normal for the institution) </w:t>
            </w:r>
            <w:r w:rsidRPr="006027FA">
              <w:rPr>
                <w:color w:val="000000"/>
                <w:sz w:val="22"/>
                <w:szCs w:val="22"/>
                <w:lang w:val="sr-Latn-CS"/>
              </w:rPr>
              <w:t xml:space="preserve"> = gornja granica normale za instituciju </w:t>
            </w:r>
          </w:p>
          <w:p w:rsidR="000A2337" w:rsidRDefault="000A2337" w:rsidP="00161AB3">
            <w:pPr>
              <w:shd w:val="clear" w:color="auto" w:fill="FFFFFF"/>
              <w:jc w:val="both"/>
              <w:rPr>
                <w:color w:val="000000"/>
                <w:sz w:val="22"/>
                <w:szCs w:val="22"/>
                <w:lang w:val="sr-Latn-CS"/>
              </w:rPr>
            </w:pPr>
            <w:r w:rsidRPr="006027FA">
              <w:rPr>
                <w:color w:val="000000"/>
                <w:sz w:val="22"/>
                <w:szCs w:val="22"/>
                <w:lang w:val="sr-Latn-CS"/>
              </w:rPr>
              <w:t>AST</w:t>
            </w:r>
            <w:r>
              <w:rPr>
                <w:color w:val="000000"/>
                <w:sz w:val="22"/>
                <w:szCs w:val="22"/>
                <w:lang w:val="sr-Latn-CS"/>
              </w:rPr>
              <w:t xml:space="preserve"> (aspartate aminotransferase) </w:t>
            </w:r>
            <w:r w:rsidRPr="006027FA">
              <w:rPr>
                <w:color w:val="000000"/>
                <w:sz w:val="22"/>
                <w:szCs w:val="22"/>
                <w:lang w:val="sr-Latn-CS"/>
              </w:rPr>
              <w:t xml:space="preserve"> = aspartat aminotransferaza</w:t>
            </w:r>
          </w:p>
          <w:p w:rsidR="000A2337" w:rsidRDefault="000A2337" w:rsidP="00161AB3">
            <w:pPr>
              <w:shd w:val="clear" w:color="auto" w:fill="FFFFFF"/>
              <w:jc w:val="both"/>
              <w:rPr>
                <w:color w:val="000000"/>
                <w:sz w:val="22"/>
                <w:szCs w:val="22"/>
                <w:lang w:val="sr-Latn-CS"/>
              </w:rPr>
            </w:pPr>
            <w:r w:rsidRPr="00B015A9">
              <w:rPr>
                <w:i/>
                <w:color w:val="000000"/>
                <w:sz w:val="22"/>
                <w:szCs w:val="22"/>
                <w:lang w:val="sr-Latn-CS"/>
              </w:rPr>
              <w:lastRenderedPageBreak/>
              <w:t>Insuficijencija bubrega</w:t>
            </w:r>
            <w:r w:rsidRPr="006027FA">
              <w:rPr>
                <w:color w:val="000000"/>
                <w:sz w:val="22"/>
                <w:szCs w:val="22"/>
                <w:lang w:val="sr-Latn-CS"/>
              </w:rPr>
              <w:t xml:space="preserve">: </w:t>
            </w:r>
            <w:r>
              <w:rPr>
                <w:color w:val="000000"/>
                <w:sz w:val="22"/>
                <w:szCs w:val="22"/>
                <w:lang w:val="sr-Latn-CS"/>
              </w:rPr>
              <w:t>Pacijentima</w:t>
            </w:r>
            <w:r w:rsidRPr="006027FA">
              <w:rPr>
                <w:color w:val="000000"/>
                <w:sz w:val="22"/>
                <w:szCs w:val="22"/>
                <w:lang w:val="sr-Latn-CS"/>
              </w:rPr>
              <w:t xml:space="preserve"> sa </w:t>
            </w:r>
            <w:r>
              <w:rPr>
                <w:color w:val="000000"/>
                <w:sz w:val="22"/>
                <w:szCs w:val="22"/>
                <w:lang w:val="sr-Latn-CS"/>
              </w:rPr>
              <w:t xml:space="preserve">disfunkcijom bubrega ili na dijalizi </w:t>
            </w:r>
            <w:r w:rsidRPr="006027FA">
              <w:rPr>
                <w:color w:val="000000"/>
                <w:sz w:val="22"/>
                <w:szCs w:val="22"/>
                <w:lang w:val="sr-Latn-CS"/>
              </w:rPr>
              <w:t xml:space="preserve">treba dati minimalnu preporučenu dozu od 400 mg dnevno kao početnu dozu. </w:t>
            </w:r>
            <w:r>
              <w:rPr>
                <w:color w:val="000000"/>
                <w:sz w:val="22"/>
                <w:szCs w:val="22"/>
                <w:lang w:val="sr-Latn-CS"/>
              </w:rPr>
              <w:t>Međutim, kod ovih pacijenata</w:t>
            </w:r>
            <w:r w:rsidRPr="006027FA">
              <w:rPr>
                <w:color w:val="000000"/>
                <w:sz w:val="22"/>
                <w:szCs w:val="22"/>
                <w:lang w:val="sr-Latn-CS"/>
              </w:rPr>
              <w:t xml:space="preserve"> se preporučuje oprez. Doza se može r</w:t>
            </w:r>
            <w:r>
              <w:rPr>
                <w:color w:val="000000"/>
                <w:sz w:val="22"/>
                <w:szCs w:val="22"/>
                <w:lang w:val="sr-Latn-CS"/>
              </w:rPr>
              <w:t>edukovati ukoliko se ne podnosi. Ako se podnosi, doza se može povećati</w:t>
            </w:r>
            <w:r w:rsidRPr="006027FA">
              <w:rPr>
                <w:color w:val="000000"/>
                <w:sz w:val="22"/>
                <w:szCs w:val="22"/>
                <w:lang w:val="sr-Latn-CS"/>
              </w:rPr>
              <w:t xml:space="preserve"> usl</w:t>
            </w:r>
            <w:r>
              <w:rPr>
                <w:color w:val="000000"/>
                <w:sz w:val="22"/>
                <w:szCs w:val="22"/>
                <w:lang w:val="sr-Latn-CS"/>
              </w:rPr>
              <w:t>j</w:t>
            </w:r>
            <w:r w:rsidRPr="006027FA">
              <w:rPr>
                <w:color w:val="000000"/>
                <w:sz w:val="22"/>
                <w:szCs w:val="22"/>
                <w:lang w:val="sr-Latn-CS"/>
              </w:rPr>
              <w:t>ed nedovoljne efikasnosti (</w:t>
            </w:r>
            <w:r>
              <w:rPr>
                <w:color w:val="000000"/>
                <w:sz w:val="22"/>
                <w:szCs w:val="22"/>
                <w:lang w:val="sr-Latn-CS"/>
              </w:rPr>
              <w:t>vidjet</w:t>
            </w:r>
            <w:r w:rsidRPr="006027FA">
              <w:rPr>
                <w:color w:val="000000"/>
                <w:sz w:val="22"/>
                <w:szCs w:val="22"/>
                <w:lang w:val="sr-Latn-CS"/>
              </w:rPr>
              <w:t xml:space="preserve">i </w:t>
            </w:r>
            <w:r>
              <w:rPr>
                <w:color w:val="000000"/>
                <w:sz w:val="22"/>
                <w:szCs w:val="22"/>
                <w:lang w:val="sr-Latn-CS"/>
              </w:rPr>
              <w:t>odjelj</w:t>
            </w:r>
            <w:r w:rsidRPr="006027FA">
              <w:rPr>
                <w:color w:val="000000"/>
                <w:sz w:val="22"/>
                <w:szCs w:val="22"/>
                <w:lang w:val="sr-Latn-CS"/>
              </w:rPr>
              <w:t>ke 4.4 i 5.2).</w:t>
            </w:r>
          </w:p>
          <w:p w:rsidR="000A2337" w:rsidRPr="006027FA" w:rsidRDefault="000A2337" w:rsidP="00161AB3">
            <w:pPr>
              <w:shd w:val="clear" w:color="auto" w:fill="FFFFFF"/>
              <w:jc w:val="both"/>
              <w:rPr>
                <w:sz w:val="22"/>
                <w:szCs w:val="22"/>
                <w:lang w:val="sr-Latn-CS"/>
              </w:rPr>
            </w:pPr>
          </w:p>
          <w:p w:rsidR="000A2337" w:rsidRPr="006027FA" w:rsidRDefault="000A2337" w:rsidP="00161AB3">
            <w:pPr>
              <w:shd w:val="clear" w:color="auto" w:fill="FFFFFF"/>
              <w:jc w:val="both"/>
              <w:rPr>
                <w:sz w:val="22"/>
                <w:szCs w:val="22"/>
                <w:lang w:val="sr-Latn-CS"/>
              </w:rPr>
            </w:pPr>
            <w:r w:rsidRPr="00A351B7">
              <w:rPr>
                <w:i/>
                <w:color w:val="000000"/>
                <w:sz w:val="22"/>
                <w:szCs w:val="22"/>
                <w:lang w:val="sr-Latn-CS"/>
              </w:rPr>
              <w:t>Stariji pacijenti:</w:t>
            </w:r>
            <w:r w:rsidRPr="006027FA">
              <w:rPr>
                <w:color w:val="000000"/>
                <w:sz w:val="22"/>
                <w:szCs w:val="22"/>
                <w:lang w:val="sr-Latn-CS"/>
              </w:rPr>
              <w:t xml:space="preserve"> farmakokinetika i</w:t>
            </w:r>
            <w:r>
              <w:rPr>
                <w:color w:val="000000"/>
                <w:sz w:val="22"/>
                <w:szCs w:val="22"/>
                <w:lang w:val="sr-Latn-CS"/>
              </w:rPr>
              <w:t>matiniba nije posebno ispitiv</w:t>
            </w:r>
            <w:r w:rsidRPr="006027FA">
              <w:rPr>
                <w:color w:val="000000"/>
                <w:sz w:val="22"/>
                <w:szCs w:val="22"/>
                <w:lang w:val="sr-Latn-CS"/>
              </w:rPr>
              <w:t>ana kod starijih osoba. Ni</w:t>
            </w:r>
            <w:r>
              <w:rPr>
                <w:color w:val="000000"/>
                <w:sz w:val="22"/>
                <w:szCs w:val="22"/>
                <w:lang w:val="sr-Latn-CS"/>
              </w:rPr>
              <w:t>je</w:t>
            </w:r>
            <w:r w:rsidRPr="006027FA">
              <w:rPr>
                <w:color w:val="000000"/>
                <w:sz w:val="22"/>
                <w:szCs w:val="22"/>
                <w:lang w:val="sr-Latn-CS"/>
              </w:rPr>
              <w:t>su</w:t>
            </w:r>
            <w:r>
              <w:rPr>
                <w:color w:val="000000"/>
                <w:sz w:val="22"/>
                <w:szCs w:val="22"/>
                <w:lang w:val="sr-Latn-CS"/>
              </w:rPr>
              <w:t xml:space="preserve"> zapažene značajne farmakokinetič</w:t>
            </w:r>
            <w:r w:rsidRPr="006027FA">
              <w:rPr>
                <w:color w:val="000000"/>
                <w:sz w:val="22"/>
                <w:szCs w:val="22"/>
                <w:lang w:val="sr-Latn-CS"/>
              </w:rPr>
              <w:t>ke razlike vezane za godine kod odrasli</w:t>
            </w:r>
            <w:r>
              <w:rPr>
                <w:color w:val="000000"/>
                <w:sz w:val="22"/>
                <w:szCs w:val="22"/>
                <w:lang w:val="sr-Latn-CS"/>
              </w:rPr>
              <w:t>h pacijenata u kliničkim ispitivanjima koja su uključivala</w:t>
            </w:r>
            <w:r w:rsidRPr="006027FA">
              <w:rPr>
                <w:color w:val="000000"/>
                <w:sz w:val="22"/>
                <w:szCs w:val="22"/>
                <w:lang w:val="sr-Latn-CS"/>
              </w:rPr>
              <w:t xml:space="preserve"> preko 20% </w:t>
            </w:r>
            <w:r>
              <w:rPr>
                <w:color w:val="000000"/>
                <w:sz w:val="22"/>
                <w:szCs w:val="22"/>
                <w:lang w:val="sr-Latn-CS"/>
              </w:rPr>
              <w:t>pacijenata</w:t>
            </w:r>
            <w:r w:rsidRPr="006027FA">
              <w:rPr>
                <w:color w:val="000000"/>
                <w:sz w:val="22"/>
                <w:szCs w:val="22"/>
                <w:lang w:val="sr-Latn-CS"/>
              </w:rPr>
              <w:t xml:space="preserve"> od 65 godina i starijih. </w:t>
            </w:r>
            <w:r>
              <w:rPr>
                <w:color w:val="000000"/>
                <w:sz w:val="22"/>
                <w:szCs w:val="22"/>
                <w:lang w:val="sr-Latn-CS"/>
              </w:rPr>
              <w:t>Kod starijih osoba</w:t>
            </w:r>
            <w:r w:rsidRPr="006027FA">
              <w:rPr>
                <w:color w:val="000000"/>
                <w:sz w:val="22"/>
                <w:szCs w:val="22"/>
                <w:lang w:val="sr-Latn-CS"/>
              </w:rPr>
              <w:t xml:space="preserve"> </w:t>
            </w:r>
            <w:r>
              <w:rPr>
                <w:color w:val="000000"/>
                <w:sz w:val="22"/>
                <w:szCs w:val="22"/>
                <w:lang w:val="sr-Latn-CS"/>
              </w:rPr>
              <w:t>n</w:t>
            </w:r>
            <w:r w:rsidRPr="006027FA">
              <w:rPr>
                <w:color w:val="000000"/>
                <w:sz w:val="22"/>
                <w:szCs w:val="22"/>
                <w:lang w:val="sr-Latn-CS"/>
              </w:rPr>
              <w:t>ije neopho</w:t>
            </w:r>
            <w:r>
              <w:rPr>
                <w:color w:val="000000"/>
                <w:sz w:val="22"/>
                <w:szCs w:val="22"/>
                <w:lang w:val="sr-Latn-CS"/>
              </w:rPr>
              <w:t>dna posebna preporuka doziranja</w:t>
            </w:r>
            <w:r w:rsidRPr="006027FA">
              <w:rPr>
                <w:color w:val="000000"/>
                <w:sz w:val="22"/>
                <w:szCs w:val="22"/>
                <w:lang w:val="sr-Latn-CS"/>
              </w:rPr>
              <w:t>.</w:t>
            </w:r>
          </w:p>
          <w:p w:rsidR="000A2337" w:rsidRPr="00750E3C" w:rsidRDefault="000A2337" w:rsidP="00161AB3">
            <w:pPr>
              <w:pStyle w:val="Header"/>
              <w:tabs>
                <w:tab w:val="left" w:pos="284"/>
              </w:tabs>
              <w:rPr>
                <w:rFonts w:cs="Arial"/>
                <w:sz w:val="22"/>
              </w:rPr>
            </w:pPr>
          </w:p>
        </w:tc>
      </w:tr>
      <w:tr w:rsidR="000A2337" w:rsidRPr="00750E3C" w:rsidTr="00161AB3">
        <w:tc>
          <w:tcPr>
            <w:tcW w:w="10188" w:type="dxa"/>
            <w:gridSpan w:val="4"/>
            <w:vAlign w:val="center"/>
          </w:tcPr>
          <w:p w:rsidR="000A2337" w:rsidRDefault="000A2337" w:rsidP="00A91303">
            <w:pPr>
              <w:pStyle w:val="Header"/>
              <w:tabs>
                <w:tab w:val="left" w:pos="284"/>
              </w:tabs>
              <w:rPr>
                <w:rFonts w:cs="Arial"/>
                <w:b/>
                <w:bCs/>
                <w:sz w:val="22"/>
              </w:rPr>
            </w:pPr>
            <w:r w:rsidRPr="00750E3C">
              <w:rPr>
                <w:rFonts w:cs="Arial"/>
                <w:b/>
                <w:bCs/>
                <w:sz w:val="22"/>
              </w:rPr>
              <w:lastRenderedPageBreak/>
              <w:t>4.3. Kontraindikacije</w:t>
            </w:r>
          </w:p>
          <w:p w:rsidR="00A91303" w:rsidRPr="00750E3C" w:rsidRDefault="00A91303" w:rsidP="00A91303">
            <w:pPr>
              <w:pStyle w:val="Header"/>
              <w:tabs>
                <w:tab w:val="left" w:pos="284"/>
              </w:tabs>
              <w:rPr>
                <w:rFonts w:cs="Arial"/>
                <w:b/>
                <w:bCs/>
                <w:sz w:val="22"/>
              </w:rPr>
            </w:pPr>
          </w:p>
        </w:tc>
      </w:tr>
      <w:tr w:rsidR="000A2337" w:rsidRPr="003A00BF" w:rsidTr="00DC787C">
        <w:trPr>
          <w:trHeight w:val="433"/>
        </w:trPr>
        <w:tc>
          <w:tcPr>
            <w:tcW w:w="10188" w:type="dxa"/>
            <w:gridSpan w:val="4"/>
          </w:tcPr>
          <w:p w:rsidR="000A2337" w:rsidRDefault="000A2337" w:rsidP="00A91303">
            <w:pPr>
              <w:pStyle w:val="Header"/>
              <w:tabs>
                <w:tab w:val="left" w:pos="284"/>
              </w:tabs>
              <w:rPr>
                <w:rFonts w:cs="Arial"/>
                <w:sz w:val="22"/>
                <w:lang w:val="da-DK"/>
              </w:rPr>
            </w:pPr>
            <w:r w:rsidRPr="00750E3C">
              <w:rPr>
                <w:rFonts w:cs="Arial"/>
                <w:sz w:val="22"/>
                <w:lang w:val="da-DK"/>
              </w:rPr>
              <w:t>Preos</w:t>
            </w:r>
            <w:r>
              <w:rPr>
                <w:rFonts w:cs="Arial"/>
                <w:sz w:val="22"/>
                <w:lang w:val="da-DK"/>
              </w:rPr>
              <w:t>j</w:t>
            </w:r>
            <w:r w:rsidRPr="00750E3C">
              <w:rPr>
                <w:rFonts w:cs="Arial"/>
                <w:sz w:val="22"/>
                <w:lang w:val="da-DK"/>
              </w:rPr>
              <w:t xml:space="preserve">etljivost na aktivnu supstancu ili </w:t>
            </w:r>
            <w:r>
              <w:rPr>
                <w:rFonts w:cs="Arial"/>
                <w:sz w:val="22"/>
                <w:lang w:val="da-DK"/>
              </w:rPr>
              <w:t>bilo koju od pomoćnih supstanci navedenih u odjeljku 6.1</w:t>
            </w:r>
            <w:r w:rsidRPr="00750E3C">
              <w:rPr>
                <w:rFonts w:cs="Arial"/>
                <w:sz w:val="22"/>
                <w:lang w:val="da-DK"/>
              </w:rPr>
              <w:t>.</w:t>
            </w:r>
          </w:p>
          <w:p w:rsidR="00A91303" w:rsidRPr="003A00BF" w:rsidRDefault="00A91303" w:rsidP="00A91303">
            <w:pPr>
              <w:pStyle w:val="Header"/>
              <w:tabs>
                <w:tab w:val="left" w:pos="284"/>
              </w:tabs>
              <w:rPr>
                <w:rFonts w:cs="Arial"/>
                <w:sz w:val="22"/>
                <w:lang w:val="pt-BR"/>
              </w:rPr>
            </w:pPr>
          </w:p>
        </w:tc>
      </w:tr>
      <w:tr w:rsidR="000A2337" w:rsidRPr="003A00BF" w:rsidTr="00161AB3">
        <w:tc>
          <w:tcPr>
            <w:tcW w:w="10188" w:type="dxa"/>
            <w:gridSpan w:val="4"/>
            <w:vAlign w:val="center"/>
          </w:tcPr>
          <w:p w:rsidR="000A2337" w:rsidRPr="003A00BF" w:rsidRDefault="000A2337" w:rsidP="00161AB3">
            <w:pPr>
              <w:pStyle w:val="Header"/>
              <w:tabs>
                <w:tab w:val="left" w:pos="284"/>
              </w:tabs>
              <w:spacing w:before="80" w:after="80"/>
              <w:jc w:val="both"/>
              <w:rPr>
                <w:rFonts w:cs="Arial"/>
                <w:b/>
                <w:bCs/>
                <w:sz w:val="22"/>
                <w:lang w:val="pt-BR"/>
              </w:rPr>
            </w:pPr>
            <w:r w:rsidRPr="003A00BF">
              <w:rPr>
                <w:rFonts w:cs="Arial"/>
                <w:b/>
                <w:bCs/>
                <w:sz w:val="22"/>
                <w:lang w:val="pt-BR"/>
              </w:rPr>
              <w:t xml:space="preserve">4.4. Posebna upozorenja i </w:t>
            </w:r>
            <w:r>
              <w:rPr>
                <w:rFonts w:cs="Arial"/>
                <w:b/>
                <w:bCs/>
                <w:sz w:val="22"/>
                <w:lang w:val="pt-BR"/>
              </w:rPr>
              <w:t>mjer</w:t>
            </w:r>
            <w:r w:rsidRPr="003A00BF">
              <w:rPr>
                <w:rFonts w:cs="Arial"/>
                <w:b/>
                <w:bCs/>
                <w:sz w:val="22"/>
                <w:lang w:val="pt-BR"/>
              </w:rPr>
              <w:t xml:space="preserve">e opreza pri upotrebi </w:t>
            </w:r>
            <w:r>
              <w:rPr>
                <w:rFonts w:cs="Arial"/>
                <w:b/>
                <w:bCs/>
                <w:sz w:val="22"/>
                <w:lang w:val="pt-BR"/>
              </w:rPr>
              <w:t>lijek</w:t>
            </w:r>
            <w:r w:rsidRPr="003A00BF">
              <w:rPr>
                <w:rFonts w:cs="Arial"/>
                <w:b/>
                <w:bCs/>
                <w:sz w:val="22"/>
                <w:lang w:val="pt-BR"/>
              </w:rPr>
              <w:t>a</w:t>
            </w:r>
          </w:p>
        </w:tc>
      </w:tr>
      <w:tr w:rsidR="000A2337" w:rsidRPr="003A00BF" w:rsidTr="00161AB3">
        <w:trPr>
          <w:trHeight w:val="1145"/>
        </w:trPr>
        <w:tc>
          <w:tcPr>
            <w:tcW w:w="10188" w:type="dxa"/>
            <w:gridSpan w:val="4"/>
            <w:vAlign w:val="center"/>
          </w:tcPr>
          <w:p w:rsidR="000A2337" w:rsidRDefault="000A2337" w:rsidP="00161AB3">
            <w:pPr>
              <w:shd w:val="clear" w:color="auto" w:fill="FFFFFF"/>
              <w:spacing w:before="187" w:line="240" w:lineRule="atLeast"/>
              <w:jc w:val="both"/>
              <w:rPr>
                <w:color w:val="000000"/>
                <w:sz w:val="22"/>
                <w:szCs w:val="22"/>
                <w:lang w:val="sr-Latn-CS"/>
              </w:rPr>
            </w:pPr>
            <w:r w:rsidRPr="0046738A">
              <w:rPr>
                <w:color w:val="000000"/>
                <w:sz w:val="22"/>
                <w:szCs w:val="22"/>
                <w:lang w:val="sr-Latn-CS"/>
              </w:rPr>
              <w:t xml:space="preserve">Kad se </w:t>
            </w:r>
            <w:r>
              <w:rPr>
                <w:bCs/>
                <w:sz w:val="22"/>
                <w:szCs w:val="22"/>
                <w:lang w:val="da-DK"/>
              </w:rPr>
              <w:t>imatinib</w:t>
            </w:r>
            <w:r w:rsidRPr="0046738A">
              <w:rPr>
                <w:bCs/>
                <w:sz w:val="22"/>
                <w:szCs w:val="22"/>
                <w:vertAlign w:val="superscript"/>
                <w:lang w:val="da-DK"/>
              </w:rPr>
              <w:t xml:space="preserve"> </w:t>
            </w:r>
            <w:r>
              <w:rPr>
                <w:color w:val="000000"/>
                <w:sz w:val="22"/>
                <w:szCs w:val="22"/>
                <w:lang w:val="sr-Latn-CS"/>
              </w:rPr>
              <w:t>daje istovrijemeno sa drugim l</w:t>
            </w:r>
            <w:r w:rsidRPr="0046738A">
              <w:rPr>
                <w:color w:val="000000"/>
                <w:sz w:val="22"/>
                <w:szCs w:val="22"/>
                <w:lang w:val="sr-Latn-CS"/>
              </w:rPr>
              <w:t>jekovima, pos</w:t>
            </w:r>
            <w:r>
              <w:rPr>
                <w:color w:val="000000"/>
                <w:sz w:val="22"/>
                <w:szCs w:val="22"/>
                <w:lang w:val="sr-Latn-CS"/>
              </w:rPr>
              <w:t>toji mogućnost za interakcije l</w:t>
            </w:r>
            <w:r w:rsidRPr="0046738A">
              <w:rPr>
                <w:color w:val="000000"/>
                <w:sz w:val="22"/>
                <w:szCs w:val="22"/>
                <w:lang w:val="sr-Latn-CS"/>
              </w:rPr>
              <w:t>jekova</w:t>
            </w:r>
            <w:r>
              <w:rPr>
                <w:color w:val="000000"/>
                <w:sz w:val="22"/>
                <w:szCs w:val="22"/>
                <w:lang w:val="sr-Latn-CS"/>
              </w:rPr>
              <w:t>.</w:t>
            </w:r>
          </w:p>
          <w:p w:rsidR="000A2337" w:rsidRDefault="000A2337" w:rsidP="00161AB3">
            <w:pPr>
              <w:jc w:val="both"/>
              <w:rPr>
                <w:sz w:val="22"/>
                <w:szCs w:val="22"/>
                <w:lang w:val="sr-Latn-CS"/>
              </w:rPr>
            </w:pPr>
            <w:r w:rsidRPr="00941FD0">
              <w:rPr>
                <w:sz w:val="22"/>
                <w:szCs w:val="22"/>
                <w:lang w:val="sr-Latn-CS"/>
              </w:rPr>
              <w:t xml:space="preserve">Potreban je oprez kada se </w:t>
            </w:r>
            <w:r>
              <w:rPr>
                <w:sz w:val="22"/>
                <w:szCs w:val="22"/>
                <w:lang w:val="sr-Latn-CS"/>
              </w:rPr>
              <w:t>imatinib</w:t>
            </w:r>
            <w:r w:rsidRPr="00941FD0">
              <w:rPr>
                <w:sz w:val="22"/>
                <w:szCs w:val="22"/>
                <w:lang w:val="sr-Latn-CS"/>
              </w:rPr>
              <w:t xml:space="preserve"> koristi sa inhibitorima </w:t>
            </w:r>
            <w:r>
              <w:rPr>
                <w:sz w:val="22"/>
                <w:szCs w:val="22"/>
                <w:lang w:val="sr-Latn-CS"/>
              </w:rPr>
              <w:t>proteaze, azolnim antimikoticima, određenim makrolidima,</w:t>
            </w:r>
            <w:r w:rsidRPr="00941FD0">
              <w:rPr>
                <w:sz w:val="22"/>
                <w:szCs w:val="22"/>
                <w:lang w:val="sr-Latn-CS"/>
              </w:rPr>
              <w:t xml:space="preserve"> CYP3A4 supstratima sa uskim terapijskim indeksom (npr. ciklosporin, pimozid</w:t>
            </w:r>
            <w:r>
              <w:rPr>
                <w:sz w:val="22"/>
                <w:szCs w:val="22"/>
                <w:lang w:val="sr-Latn-CS"/>
              </w:rPr>
              <w:t>, takrolimus, sirolimus, ergotamin, diergotamin, fentanil, alfentanil, terfenadin, bortezomib, docetaksel, kvinidin</w:t>
            </w:r>
            <w:r w:rsidRPr="00941FD0">
              <w:rPr>
                <w:sz w:val="22"/>
                <w:szCs w:val="22"/>
                <w:lang w:val="sr-Latn-CS"/>
              </w:rPr>
              <w:t>) ili varfarin</w:t>
            </w:r>
            <w:r>
              <w:rPr>
                <w:sz w:val="22"/>
                <w:szCs w:val="22"/>
                <w:lang w:val="sr-Latn-CS"/>
              </w:rPr>
              <w:t>om i drugim</w:t>
            </w:r>
            <w:r w:rsidRPr="00941FD0">
              <w:rPr>
                <w:sz w:val="22"/>
                <w:szCs w:val="22"/>
                <w:lang w:val="sr-Latn-CS"/>
              </w:rPr>
              <w:t xml:space="preserve"> kumarinski</w:t>
            </w:r>
            <w:r>
              <w:rPr>
                <w:sz w:val="22"/>
                <w:szCs w:val="22"/>
                <w:lang w:val="sr-Latn-CS"/>
              </w:rPr>
              <w:t>m derivatima</w:t>
            </w:r>
            <w:r w:rsidRPr="00941FD0">
              <w:rPr>
                <w:sz w:val="22"/>
                <w:szCs w:val="22"/>
                <w:lang w:val="sr-Latn-CS"/>
              </w:rPr>
              <w:t xml:space="preserve"> (</w:t>
            </w:r>
            <w:r>
              <w:rPr>
                <w:sz w:val="22"/>
                <w:szCs w:val="22"/>
                <w:lang w:val="sr-Latn-CS"/>
              </w:rPr>
              <w:t>vidjeti</w:t>
            </w:r>
            <w:r w:rsidRPr="00941FD0">
              <w:rPr>
                <w:sz w:val="22"/>
                <w:szCs w:val="22"/>
                <w:lang w:val="sr-Latn-CS"/>
              </w:rPr>
              <w:t xml:space="preserve"> </w:t>
            </w:r>
            <w:r>
              <w:rPr>
                <w:sz w:val="22"/>
                <w:szCs w:val="22"/>
                <w:lang w:val="sr-Latn-CS"/>
              </w:rPr>
              <w:t xml:space="preserve">odjeljak </w:t>
            </w:r>
            <w:r w:rsidRPr="00941FD0">
              <w:rPr>
                <w:sz w:val="22"/>
                <w:szCs w:val="22"/>
                <w:lang w:val="sr-Latn-CS"/>
              </w:rPr>
              <w:t>4.5.)</w:t>
            </w:r>
          </w:p>
          <w:p w:rsidR="000A2337" w:rsidRDefault="000A2337" w:rsidP="00161AB3">
            <w:pPr>
              <w:jc w:val="both"/>
              <w:rPr>
                <w:sz w:val="22"/>
                <w:szCs w:val="22"/>
                <w:lang w:val="sr-Latn-CS"/>
              </w:rPr>
            </w:pPr>
          </w:p>
          <w:p w:rsidR="000A2337" w:rsidRDefault="000A2337" w:rsidP="00161AB3">
            <w:pPr>
              <w:shd w:val="clear" w:color="auto" w:fill="FFFFFF"/>
              <w:spacing w:line="240" w:lineRule="atLeast"/>
              <w:jc w:val="both"/>
              <w:rPr>
                <w:color w:val="000000"/>
                <w:sz w:val="22"/>
                <w:szCs w:val="22"/>
                <w:lang w:val="sr-Latn-CS"/>
              </w:rPr>
            </w:pPr>
            <w:r w:rsidRPr="0046738A">
              <w:rPr>
                <w:color w:val="000000"/>
                <w:sz w:val="22"/>
                <w:szCs w:val="22"/>
                <w:lang w:val="sr-Latn-CS"/>
              </w:rPr>
              <w:t xml:space="preserve">Istovremena primjena imatiniba i ljekova koji indukuju CYP3A4 (npr. deksametazon, fenitoin, karbamazepin, </w:t>
            </w:r>
            <w:r>
              <w:rPr>
                <w:color w:val="000000"/>
                <w:sz w:val="22"/>
                <w:szCs w:val="22"/>
                <w:lang w:val="sr-Latn-CS"/>
              </w:rPr>
              <w:t xml:space="preserve"> </w:t>
            </w:r>
            <w:r w:rsidRPr="0046738A">
              <w:rPr>
                <w:color w:val="000000"/>
                <w:sz w:val="22"/>
                <w:szCs w:val="22"/>
                <w:lang w:val="sr-Latn-CS"/>
              </w:rPr>
              <w:t xml:space="preserve">rifampicin, fenobarbiton ili </w:t>
            </w:r>
            <w:r w:rsidRPr="0046738A">
              <w:rPr>
                <w:i/>
                <w:iCs/>
                <w:color w:val="000000"/>
                <w:sz w:val="22"/>
                <w:szCs w:val="22"/>
                <w:lang w:val="sr-Latn-CS"/>
              </w:rPr>
              <w:t xml:space="preserve">Hypericum perforatum, </w:t>
            </w:r>
            <w:r w:rsidRPr="0046738A">
              <w:rPr>
                <w:color w:val="000000"/>
                <w:sz w:val="22"/>
                <w:szCs w:val="22"/>
                <w:lang w:val="sr-Latn-CS"/>
              </w:rPr>
              <w:t>poznat i kao kantarion) mogu znača</w:t>
            </w:r>
            <w:r>
              <w:rPr>
                <w:color w:val="000000"/>
                <w:sz w:val="22"/>
                <w:szCs w:val="22"/>
                <w:lang w:val="sr-Latn-CS"/>
              </w:rPr>
              <w:t>jno da smanje izloženost  i</w:t>
            </w:r>
            <w:r>
              <w:rPr>
                <w:bCs/>
                <w:sz w:val="22"/>
                <w:szCs w:val="22"/>
                <w:lang w:val="da-DK"/>
              </w:rPr>
              <w:t>matinibu</w:t>
            </w:r>
            <w:r w:rsidRPr="0046738A">
              <w:rPr>
                <w:color w:val="000000"/>
                <w:sz w:val="22"/>
                <w:szCs w:val="22"/>
                <w:lang w:val="sr-Latn-CS"/>
              </w:rPr>
              <w:t>, pote</w:t>
            </w:r>
            <w:r>
              <w:rPr>
                <w:color w:val="000000"/>
                <w:sz w:val="22"/>
                <w:szCs w:val="22"/>
                <w:lang w:val="sr-Latn-CS"/>
              </w:rPr>
              <w:t>ncijalno povećavajući rizik od</w:t>
            </w:r>
            <w:r w:rsidRPr="0046738A">
              <w:rPr>
                <w:color w:val="000000"/>
                <w:sz w:val="22"/>
                <w:szCs w:val="22"/>
                <w:lang w:val="sr-Latn-CS"/>
              </w:rPr>
              <w:t xml:space="preserve"> neuspjeha</w:t>
            </w:r>
            <w:r>
              <w:rPr>
                <w:color w:val="000000"/>
                <w:sz w:val="22"/>
                <w:szCs w:val="22"/>
                <w:lang w:val="sr-Latn-CS"/>
              </w:rPr>
              <w:t xml:space="preserve"> terapije. Zbog </w:t>
            </w:r>
            <w:r w:rsidRPr="0046738A">
              <w:rPr>
                <w:color w:val="000000"/>
                <w:sz w:val="22"/>
                <w:szCs w:val="22"/>
                <w:lang w:val="sr-Latn-CS"/>
              </w:rPr>
              <w:t>toga treba izb</w:t>
            </w:r>
            <w:r>
              <w:rPr>
                <w:color w:val="000000"/>
                <w:sz w:val="22"/>
                <w:szCs w:val="22"/>
                <w:lang w:val="sr-Latn-CS"/>
              </w:rPr>
              <w:t>j</w:t>
            </w:r>
            <w:r w:rsidRPr="0046738A">
              <w:rPr>
                <w:color w:val="000000"/>
                <w:sz w:val="22"/>
                <w:szCs w:val="22"/>
                <w:lang w:val="sr-Latn-CS"/>
              </w:rPr>
              <w:t>egavati istovremenu primjenu jakih induktora CYP3A4 i imatiniba (vidjeti odjeljak 4.5).</w:t>
            </w:r>
          </w:p>
          <w:p w:rsidR="000A2337" w:rsidRPr="0046738A" w:rsidRDefault="000A2337" w:rsidP="00161AB3">
            <w:pPr>
              <w:shd w:val="clear" w:color="auto" w:fill="FFFFFF"/>
              <w:spacing w:line="240" w:lineRule="atLeast"/>
              <w:jc w:val="both"/>
              <w:rPr>
                <w:sz w:val="22"/>
                <w:szCs w:val="22"/>
                <w:lang w:val="sr-Latn-CS"/>
              </w:rPr>
            </w:pPr>
          </w:p>
          <w:p w:rsidR="000A2337" w:rsidRDefault="000A2337" w:rsidP="00161AB3">
            <w:pPr>
              <w:shd w:val="clear" w:color="auto" w:fill="FFFFFF"/>
              <w:jc w:val="both"/>
              <w:rPr>
                <w:color w:val="000000"/>
                <w:sz w:val="22"/>
                <w:szCs w:val="22"/>
                <w:u w:val="single"/>
                <w:lang w:val="sr-Latn-CS"/>
              </w:rPr>
            </w:pPr>
            <w:r w:rsidRPr="0060016C">
              <w:rPr>
                <w:color w:val="000000"/>
                <w:sz w:val="22"/>
                <w:szCs w:val="22"/>
                <w:u w:val="single"/>
                <w:lang w:val="sr-Latn-CS"/>
              </w:rPr>
              <w:t>Hipotireoidizam</w:t>
            </w:r>
          </w:p>
          <w:p w:rsidR="000A2337" w:rsidRDefault="000A2337" w:rsidP="00161AB3">
            <w:pPr>
              <w:shd w:val="clear" w:color="auto" w:fill="FFFFFF"/>
              <w:jc w:val="both"/>
              <w:rPr>
                <w:color w:val="000000"/>
                <w:sz w:val="22"/>
                <w:szCs w:val="22"/>
                <w:lang w:val="sr-Latn-CS"/>
              </w:rPr>
            </w:pPr>
            <w:r w:rsidRPr="0046738A">
              <w:rPr>
                <w:color w:val="000000"/>
                <w:sz w:val="22"/>
                <w:szCs w:val="22"/>
                <w:lang w:val="sr-Latn-CS"/>
              </w:rPr>
              <w:t xml:space="preserve">Kod pacijenata  </w:t>
            </w:r>
            <w:r>
              <w:rPr>
                <w:color w:val="000000"/>
                <w:sz w:val="22"/>
                <w:szCs w:val="22"/>
                <w:lang w:val="sr-Latn-CS"/>
              </w:rPr>
              <w:t xml:space="preserve">kod kojih je obavljena tireoidektomija  i koji su </w:t>
            </w:r>
            <w:r w:rsidRPr="0046738A">
              <w:rPr>
                <w:color w:val="000000"/>
                <w:sz w:val="22"/>
                <w:szCs w:val="22"/>
                <w:lang w:val="sr-Latn-CS"/>
              </w:rPr>
              <w:t xml:space="preserve">na supstitucionoj terapiji levotiroksinom zabilježeni su klinički slučajevi hipotireoidizma tokom terapije </w:t>
            </w:r>
            <w:r>
              <w:rPr>
                <w:color w:val="000000"/>
                <w:sz w:val="22"/>
                <w:szCs w:val="22"/>
                <w:lang w:val="sr-Latn-CS"/>
              </w:rPr>
              <w:t>i</w:t>
            </w:r>
            <w:r>
              <w:rPr>
                <w:bCs/>
                <w:sz w:val="22"/>
                <w:szCs w:val="22"/>
                <w:lang w:val="da-DK"/>
              </w:rPr>
              <w:t>matinibom</w:t>
            </w:r>
            <w:r w:rsidRPr="0046738A">
              <w:rPr>
                <w:bCs/>
                <w:sz w:val="22"/>
                <w:szCs w:val="22"/>
                <w:vertAlign w:val="superscript"/>
                <w:lang w:val="da-DK"/>
              </w:rPr>
              <w:t xml:space="preserve"> </w:t>
            </w:r>
            <w:r w:rsidRPr="0046738A">
              <w:rPr>
                <w:color w:val="000000"/>
                <w:sz w:val="22"/>
                <w:szCs w:val="22"/>
                <w:lang w:val="sr-Latn-CS"/>
              </w:rPr>
              <w:t>(vidjeti odjeljak 4.5). Nivoe</w:t>
            </w:r>
            <w:r>
              <w:rPr>
                <w:color w:val="000000"/>
                <w:sz w:val="22"/>
                <w:szCs w:val="22"/>
                <w:lang w:val="sr-Latn-CS"/>
              </w:rPr>
              <w:t xml:space="preserve"> tireostimulirajućeg hormona (</w:t>
            </w:r>
            <w:smartTag w:uri="urn:schemas-microsoft-com:office:smarttags" w:element="stockticker">
              <w:r w:rsidRPr="0046738A">
                <w:rPr>
                  <w:color w:val="000000"/>
                  <w:sz w:val="22"/>
                  <w:szCs w:val="22"/>
                  <w:lang w:val="sr-Latn-CS"/>
                </w:rPr>
                <w:t>TSH</w:t>
              </w:r>
              <w:r>
                <w:rPr>
                  <w:color w:val="000000"/>
                  <w:sz w:val="22"/>
                  <w:szCs w:val="22"/>
                  <w:lang w:val="sr-Latn-CS"/>
                </w:rPr>
                <w:t>)</w:t>
              </w:r>
            </w:smartTag>
            <w:r w:rsidRPr="0046738A">
              <w:rPr>
                <w:color w:val="000000"/>
                <w:sz w:val="22"/>
                <w:szCs w:val="22"/>
                <w:lang w:val="sr-Latn-CS"/>
              </w:rPr>
              <w:t xml:space="preserve"> kod ovih pacijenata treba pažljivo pratiti.</w:t>
            </w:r>
          </w:p>
          <w:p w:rsidR="000A2337" w:rsidRDefault="000A2337" w:rsidP="00161AB3">
            <w:pPr>
              <w:shd w:val="clear" w:color="auto" w:fill="FFFFFF"/>
              <w:jc w:val="both"/>
              <w:rPr>
                <w:color w:val="000000"/>
                <w:sz w:val="22"/>
                <w:szCs w:val="22"/>
                <w:lang w:val="sr-Latn-CS"/>
              </w:rPr>
            </w:pPr>
          </w:p>
          <w:p w:rsidR="000A2337" w:rsidRPr="00A82809" w:rsidRDefault="000A2337" w:rsidP="00161AB3">
            <w:pPr>
              <w:shd w:val="clear" w:color="auto" w:fill="FFFFFF"/>
              <w:jc w:val="both"/>
              <w:rPr>
                <w:color w:val="000000"/>
                <w:sz w:val="22"/>
                <w:szCs w:val="22"/>
                <w:u w:val="single"/>
                <w:lang w:val="sr-Latn-CS"/>
              </w:rPr>
            </w:pPr>
            <w:r w:rsidRPr="00A82809">
              <w:rPr>
                <w:color w:val="000000"/>
                <w:sz w:val="22"/>
                <w:szCs w:val="22"/>
                <w:u w:val="single"/>
                <w:lang w:val="sr-Latn-CS"/>
              </w:rPr>
              <w:t>Hepatotoksičnost</w:t>
            </w:r>
          </w:p>
          <w:p w:rsidR="000A2337" w:rsidRPr="0046738A" w:rsidRDefault="000A2337" w:rsidP="00161AB3">
            <w:pPr>
              <w:shd w:val="clear" w:color="auto" w:fill="FFFFFF"/>
              <w:jc w:val="both"/>
              <w:rPr>
                <w:color w:val="000000"/>
                <w:sz w:val="22"/>
                <w:szCs w:val="22"/>
                <w:lang w:val="sr-Latn-CS"/>
              </w:rPr>
            </w:pPr>
            <w:r>
              <w:rPr>
                <w:color w:val="000000"/>
                <w:sz w:val="22"/>
                <w:szCs w:val="22"/>
                <w:lang w:val="sr-Latn-CS"/>
              </w:rPr>
              <w:t>Metabolizam i</w:t>
            </w:r>
            <w:r>
              <w:rPr>
                <w:bCs/>
                <w:sz w:val="22"/>
                <w:szCs w:val="22"/>
                <w:lang w:val="da-DK"/>
              </w:rPr>
              <w:t xml:space="preserve">matiniba se </w:t>
            </w:r>
            <w:r w:rsidRPr="0046738A">
              <w:rPr>
                <w:bCs/>
                <w:sz w:val="22"/>
                <w:szCs w:val="22"/>
                <w:vertAlign w:val="superscript"/>
                <w:lang w:val="da-DK"/>
              </w:rPr>
              <w:t xml:space="preserve"> </w:t>
            </w:r>
            <w:r>
              <w:rPr>
                <w:color w:val="000000"/>
                <w:sz w:val="22"/>
                <w:szCs w:val="22"/>
                <w:lang w:val="sr-Latn-CS"/>
              </w:rPr>
              <w:t>odvija</w:t>
            </w:r>
            <w:r w:rsidRPr="0046738A">
              <w:rPr>
                <w:color w:val="000000"/>
                <w:sz w:val="22"/>
                <w:szCs w:val="22"/>
                <w:lang w:val="sr-Latn-CS"/>
              </w:rPr>
              <w:t xml:space="preserve"> uglavnom preko jetre, a samo 13% </w:t>
            </w:r>
            <w:r>
              <w:rPr>
                <w:color w:val="000000"/>
                <w:sz w:val="22"/>
                <w:szCs w:val="22"/>
                <w:lang w:val="sr-Latn-CS"/>
              </w:rPr>
              <w:t xml:space="preserve">se izlučuje </w:t>
            </w:r>
            <w:r w:rsidRPr="0046738A">
              <w:rPr>
                <w:color w:val="000000"/>
                <w:sz w:val="22"/>
                <w:szCs w:val="22"/>
                <w:lang w:val="sr-Latn-CS"/>
              </w:rPr>
              <w:t xml:space="preserve">preko bubrega. Kod pacijenata sa disfunkcijom jetre (blagom, umjerenom ili teškom), perifernu krvnu sliku i jetrine enzime treba pažljivo pratiti (vidjeti odjeljke 4.2, 4.8 i 5.2). Treba </w:t>
            </w:r>
            <w:r>
              <w:rPr>
                <w:color w:val="000000"/>
                <w:sz w:val="22"/>
                <w:szCs w:val="22"/>
                <w:lang w:val="sr-Latn-CS"/>
              </w:rPr>
              <w:t>imati na umu</w:t>
            </w:r>
            <w:r w:rsidRPr="0046738A">
              <w:rPr>
                <w:color w:val="000000"/>
                <w:sz w:val="22"/>
                <w:szCs w:val="22"/>
                <w:lang w:val="sr-Latn-CS"/>
              </w:rPr>
              <w:t xml:space="preserve"> da pacijenti sa GIST-om mogu da imaju metastaze u jetri koje mogu dovesti do poremećaja u funkciji jetre.</w:t>
            </w:r>
          </w:p>
          <w:p w:rsidR="000A2337" w:rsidRDefault="000A2337" w:rsidP="00161AB3">
            <w:pPr>
              <w:shd w:val="clear" w:color="auto" w:fill="FFFFFF"/>
              <w:spacing w:before="240" w:line="240" w:lineRule="atLeast"/>
              <w:jc w:val="both"/>
              <w:rPr>
                <w:sz w:val="22"/>
                <w:szCs w:val="22"/>
                <w:lang w:val="sr-Latn-CS"/>
              </w:rPr>
            </w:pPr>
            <w:r w:rsidRPr="0046738A">
              <w:rPr>
                <w:color w:val="000000"/>
                <w:sz w:val="22"/>
                <w:szCs w:val="22"/>
                <w:lang w:val="sr-Latn-CS"/>
              </w:rPr>
              <w:t>Slučajevi oštećenja</w:t>
            </w:r>
            <w:r>
              <w:rPr>
                <w:color w:val="000000"/>
                <w:sz w:val="22"/>
                <w:szCs w:val="22"/>
                <w:lang w:val="sr-Latn-CS"/>
              </w:rPr>
              <w:t xml:space="preserve"> jetre, uključujući insuficijen</w:t>
            </w:r>
            <w:r w:rsidRPr="0046738A">
              <w:rPr>
                <w:color w:val="000000"/>
                <w:sz w:val="22"/>
                <w:szCs w:val="22"/>
                <w:lang w:val="sr-Latn-CS"/>
              </w:rPr>
              <w:t xml:space="preserve">ciju i nekrozu jetre, uočeni su kod primjene imatiniba. Kad se imatinib  kombinuje </w:t>
            </w:r>
            <w:r w:rsidRPr="0046738A">
              <w:rPr>
                <w:sz w:val="22"/>
                <w:szCs w:val="22"/>
                <w:lang w:val="sr-Latn-CS"/>
              </w:rPr>
              <w:t xml:space="preserve">sa hemioterapijskim protokolima visokih doza uočava se povećanje teških hepatičkih reakcija. Kada se imatinib kombinuje </w:t>
            </w:r>
            <w:r w:rsidRPr="0046738A">
              <w:rPr>
                <w:bCs/>
                <w:sz w:val="22"/>
                <w:szCs w:val="22"/>
                <w:lang w:val="da-DK"/>
              </w:rPr>
              <w:t>u ok</w:t>
            </w:r>
            <w:r>
              <w:rPr>
                <w:bCs/>
                <w:sz w:val="22"/>
                <w:szCs w:val="22"/>
                <w:lang w:val="da-DK"/>
              </w:rPr>
              <w:t xml:space="preserve">viru hemioterapijskih protokola </w:t>
            </w:r>
            <w:r w:rsidRPr="0046738A">
              <w:rPr>
                <w:sz w:val="22"/>
                <w:szCs w:val="22"/>
                <w:lang w:val="sr-Latn-CS"/>
              </w:rPr>
              <w:t xml:space="preserve">za koje je poznato da su </w:t>
            </w:r>
            <w:r>
              <w:rPr>
                <w:sz w:val="22"/>
                <w:szCs w:val="22"/>
                <w:lang w:val="sr-Latn-CS"/>
              </w:rPr>
              <w:t>poveza</w:t>
            </w:r>
            <w:r w:rsidRPr="0046738A">
              <w:rPr>
                <w:sz w:val="22"/>
                <w:szCs w:val="22"/>
                <w:lang w:val="sr-Latn-CS"/>
              </w:rPr>
              <w:t>ni sa disfunkcijom jetre, funkciju jetre treba pažljivo pratiti (vidjeti odjeljak 4.5 i 4.8).</w:t>
            </w:r>
          </w:p>
          <w:p w:rsidR="000A2337" w:rsidRDefault="000A2337" w:rsidP="00161AB3">
            <w:pPr>
              <w:shd w:val="clear" w:color="auto" w:fill="FFFFFF"/>
              <w:jc w:val="both"/>
              <w:rPr>
                <w:sz w:val="22"/>
                <w:szCs w:val="22"/>
                <w:lang w:val="sr-Latn-CS"/>
              </w:rPr>
            </w:pPr>
          </w:p>
          <w:p w:rsidR="000A2337" w:rsidRPr="00E67B8E" w:rsidRDefault="000A2337" w:rsidP="00161AB3">
            <w:pPr>
              <w:shd w:val="clear" w:color="auto" w:fill="FFFFFF"/>
              <w:jc w:val="both"/>
              <w:rPr>
                <w:sz w:val="22"/>
                <w:szCs w:val="22"/>
                <w:u w:val="single"/>
                <w:lang w:val="sr-Latn-CS"/>
              </w:rPr>
            </w:pPr>
            <w:r w:rsidRPr="00E67B8E">
              <w:rPr>
                <w:sz w:val="22"/>
                <w:szCs w:val="22"/>
                <w:u w:val="single"/>
                <w:lang w:val="sr-Latn-CS"/>
              </w:rPr>
              <w:t>Retencija tečnosti</w:t>
            </w:r>
          </w:p>
          <w:p w:rsidR="000A2337" w:rsidRDefault="000A2337" w:rsidP="00161AB3">
            <w:pPr>
              <w:shd w:val="clear" w:color="auto" w:fill="FFFFFF"/>
              <w:jc w:val="both"/>
              <w:rPr>
                <w:color w:val="000000"/>
                <w:sz w:val="22"/>
                <w:szCs w:val="22"/>
                <w:lang w:val="sr-Latn-CS"/>
              </w:rPr>
            </w:pPr>
            <w:r w:rsidRPr="0046738A">
              <w:rPr>
                <w:color w:val="000000"/>
                <w:sz w:val="22"/>
                <w:szCs w:val="22"/>
                <w:lang w:val="sr-Latn-CS"/>
              </w:rPr>
              <w:t>Pojave teške retencije tečnosti (pleuralna efuzija, edem, plućni edem, ascit, površinski edem) opisivani su u približno 2,5% novodijagnostikovanih pacijenata sa CML</w:t>
            </w:r>
            <w:r>
              <w:rPr>
                <w:color w:val="000000"/>
                <w:sz w:val="22"/>
                <w:szCs w:val="22"/>
                <w:lang w:val="sr-Latn-CS"/>
              </w:rPr>
              <w:t>-om koji uzimaju i</w:t>
            </w:r>
            <w:r>
              <w:rPr>
                <w:bCs/>
                <w:sz w:val="22"/>
                <w:szCs w:val="22"/>
                <w:lang w:val="da-DK"/>
              </w:rPr>
              <w:t>matinib</w:t>
            </w:r>
            <w:r>
              <w:rPr>
                <w:color w:val="000000"/>
                <w:sz w:val="22"/>
                <w:szCs w:val="22"/>
                <w:lang w:val="sr-Latn-CS"/>
              </w:rPr>
              <w:t xml:space="preserve">. Zbog </w:t>
            </w:r>
            <w:r w:rsidRPr="0046738A">
              <w:rPr>
                <w:color w:val="000000"/>
                <w:sz w:val="22"/>
                <w:szCs w:val="22"/>
                <w:lang w:val="sr-Latn-CS"/>
              </w:rPr>
              <w:t xml:space="preserve">toga se posebno preporučuje redovno </w:t>
            </w:r>
            <w:r>
              <w:rPr>
                <w:color w:val="000000"/>
                <w:sz w:val="22"/>
                <w:szCs w:val="22"/>
                <w:lang w:val="sr-Latn-CS"/>
              </w:rPr>
              <w:t>kontrolisanje tjelesne težine pacijenata</w:t>
            </w:r>
            <w:r w:rsidRPr="0046738A">
              <w:rPr>
                <w:color w:val="000000"/>
                <w:sz w:val="22"/>
                <w:szCs w:val="22"/>
                <w:lang w:val="sr-Latn-CS"/>
              </w:rPr>
              <w:t xml:space="preserve">. </w:t>
            </w:r>
            <w:r w:rsidRPr="0046738A">
              <w:rPr>
                <w:bCs/>
                <w:sz w:val="22"/>
                <w:szCs w:val="22"/>
                <w:lang w:val="da-DK"/>
              </w:rPr>
              <w:t xml:space="preserve">Neočekivan i brz </w:t>
            </w:r>
            <w:r>
              <w:rPr>
                <w:bCs/>
                <w:sz w:val="22"/>
                <w:szCs w:val="22"/>
                <w:lang w:val="da-DK"/>
              </w:rPr>
              <w:t>porast tjelesne težine</w:t>
            </w:r>
            <w:r w:rsidRPr="0046738A">
              <w:rPr>
                <w:bCs/>
                <w:sz w:val="22"/>
                <w:szCs w:val="22"/>
                <w:lang w:val="da-DK"/>
              </w:rPr>
              <w:t xml:space="preserve"> </w:t>
            </w:r>
            <w:r w:rsidRPr="0046738A">
              <w:rPr>
                <w:color w:val="000000"/>
                <w:sz w:val="22"/>
                <w:szCs w:val="22"/>
                <w:lang w:val="sr-Latn-CS"/>
              </w:rPr>
              <w:t xml:space="preserve">treba pažljivo istražiti i po potrebi treba preduzeti odgovarajuće suportivne i terapijske mjere. U kliničkim ispitivanjima, postoji </w:t>
            </w:r>
            <w:r w:rsidRPr="0046738A">
              <w:rPr>
                <w:color w:val="000000"/>
                <w:sz w:val="22"/>
                <w:szCs w:val="22"/>
                <w:lang w:val="sr-Latn-CS"/>
              </w:rPr>
              <w:lastRenderedPageBreak/>
              <w:t>povećanje incidence ovih događaja kod starijih pacijenata i onih sa prethodnom istorijom srčane bolesti. Stoga treba ispoljiti oprez kod pacijenata sa srčanom disfunkcijom.</w:t>
            </w:r>
          </w:p>
          <w:p w:rsidR="000A2337" w:rsidRDefault="000A2337" w:rsidP="00161AB3">
            <w:pPr>
              <w:shd w:val="clear" w:color="auto" w:fill="FFFFFF"/>
              <w:jc w:val="both"/>
              <w:rPr>
                <w:sz w:val="22"/>
                <w:szCs w:val="22"/>
                <w:lang w:val="sr-Latn-CS"/>
              </w:rPr>
            </w:pPr>
          </w:p>
          <w:p w:rsidR="000A2337" w:rsidRPr="00C015B0" w:rsidRDefault="000A2337" w:rsidP="00161AB3">
            <w:pPr>
              <w:shd w:val="clear" w:color="auto" w:fill="FFFFFF"/>
              <w:jc w:val="both"/>
              <w:rPr>
                <w:sz w:val="22"/>
                <w:szCs w:val="22"/>
                <w:u w:val="single"/>
                <w:lang w:val="sr-Latn-CS"/>
              </w:rPr>
            </w:pPr>
            <w:r>
              <w:rPr>
                <w:sz w:val="22"/>
                <w:szCs w:val="22"/>
                <w:u w:val="single"/>
                <w:lang w:val="sr-Latn-CS"/>
              </w:rPr>
              <w:t>Pacijenti sa srčanom bolešću</w:t>
            </w:r>
          </w:p>
          <w:p w:rsidR="000A2337" w:rsidRPr="0046738A" w:rsidRDefault="000A2337" w:rsidP="00161AB3">
            <w:pPr>
              <w:shd w:val="clear" w:color="auto" w:fill="FFFFFF"/>
              <w:jc w:val="both"/>
              <w:rPr>
                <w:color w:val="000000"/>
                <w:sz w:val="22"/>
                <w:szCs w:val="22"/>
                <w:lang w:val="sr-Latn-CS"/>
              </w:rPr>
            </w:pPr>
            <w:r w:rsidRPr="0046738A">
              <w:rPr>
                <w:color w:val="000000"/>
                <w:sz w:val="22"/>
                <w:szCs w:val="22"/>
                <w:lang w:val="sr-Latn-CS"/>
              </w:rPr>
              <w:t xml:space="preserve">Pacijente sa srčanom bolešću ili faktorima rizika za srčanu insuficijenciju </w:t>
            </w:r>
            <w:r>
              <w:rPr>
                <w:color w:val="000000"/>
                <w:sz w:val="22"/>
                <w:szCs w:val="22"/>
                <w:lang w:val="sr-Latn-CS"/>
              </w:rPr>
              <w:t xml:space="preserve"> ili sa bubrežnom insuficijencijom u anamnezi </w:t>
            </w:r>
            <w:r w:rsidRPr="0046738A">
              <w:rPr>
                <w:color w:val="000000"/>
                <w:sz w:val="22"/>
                <w:szCs w:val="22"/>
                <w:lang w:val="sr-Latn-CS"/>
              </w:rPr>
              <w:t xml:space="preserve">treba pažljivo pratiti, a </w:t>
            </w:r>
            <w:r>
              <w:rPr>
                <w:color w:val="000000"/>
                <w:sz w:val="22"/>
                <w:szCs w:val="22"/>
                <w:lang w:val="sr-Latn-CS"/>
              </w:rPr>
              <w:t>svakog pacijenta</w:t>
            </w:r>
            <w:r w:rsidRPr="0046738A">
              <w:rPr>
                <w:color w:val="000000"/>
                <w:sz w:val="22"/>
                <w:szCs w:val="22"/>
                <w:lang w:val="sr-Latn-CS"/>
              </w:rPr>
              <w:t xml:space="preserve"> sa znakovima ili simptomima konzistentnim sa srčanom insuficijencijom </w:t>
            </w:r>
            <w:r>
              <w:rPr>
                <w:color w:val="000000"/>
                <w:sz w:val="22"/>
                <w:szCs w:val="22"/>
                <w:lang w:val="sr-Latn-CS"/>
              </w:rPr>
              <w:t xml:space="preserve"> ili bubrežnom insuficijencijom </w:t>
            </w:r>
            <w:r w:rsidRPr="0046738A">
              <w:rPr>
                <w:color w:val="000000"/>
                <w:sz w:val="22"/>
                <w:szCs w:val="22"/>
                <w:lang w:val="sr-Latn-CS"/>
              </w:rPr>
              <w:t>treba proc</w:t>
            </w:r>
            <w:r>
              <w:rPr>
                <w:color w:val="000000"/>
                <w:sz w:val="22"/>
                <w:szCs w:val="22"/>
                <w:lang w:val="sr-Latn-CS"/>
              </w:rPr>
              <w:t>i</w:t>
            </w:r>
            <w:r w:rsidRPr="0046738A">
              <w:rPr>
                <w:color w:val="000000"/>
                <w:sz w:val="22"/>
                <w:szCs w:val="22"/>
                <w:lang w:val="sr-Latn-CS"/>
              </w:rPr>
              <w:t>jenjivati i liječiti.</w:t>
            </w:r>
          </w:p>
          <w:p w:rsidR="000A2337" w:rsidRDefault="000A2337" w:rsidP="00161AB3">
            <w:pPr>
              <w:shd w:val="clear" w:color="auto" w:fill="FFFFFF"/>
              <w:jc w:val="both"/>
              <w:rPr>
                <w:color w:val="000000"/>
                <w:sz w:val="22"/>
                <w:szCs w:val="22"/>
                <w:lang w:val="sr-Latn-CS"/>
              </w:rPr>
            </w:pPr>
          </w:p>
          <w:p w:rsidR="000A2337" w:rsidRDefault="000A2337" w:rsidP="00161AB3">
            <w:pPr>
              <w:shd w:val="clear" w:color="auto" w:fill="FFFFFF"/>
              <w:jc w:val="both"/>
              <w:rPr>
                <w:color w:val="000000"/>
                <w:sz w:val="22"/>
                <w:szCs w:val="22"/>
                <w:lang w:val="sr-Latn-CS"/>
              </w:rPr>
            </w:pPr>
            <w:r w:rsidRPr="0046738A">
              <w:rPr>
                <w:color w:val="000000"/>
                <w:sz w:val="22"/>
                <w:szCs w:val="22"/>
                <w:lang w:val="sr-Latn-CS"/>
              </w:rPr>
              <w:t xml:space="preserve">Kod pacijenata sa hipereozinofilnim sindromom (HES) </w:t>
            </w:r>
            <w:r>
              <w:rPr>
                <w:color w:val="000000"/>
                <w:sz w:val="22"/>
                <w:szCs w:val="22"/>
                <w:lang w:val="sr-Latn-CS"/>
              </w:rPr>
              <w:t>sa okultnom infiltracijom HES ćelija unutar miokarda</w:t>
            </w:r>
            <w:r w:rsidRPr="0046738A">
              <w:rPr>
                <w:color w:val="000000"/>
                <w:sz w:val="22"/>
                <w:szCs w:val="22"/>
                <w:lang w:val="sr-Latn-CS"/>
              </w:rPr>
              <w:t xml:space="preserve">, izolovani slučajevi kardiogenog šoka/disfunkcije lijeve komore su bili </w:t>
            </w:r>
            <w:r>
              <w:rPr>
                <w:color w:val="000000"/>
                <w:sz w:val="22"/>
                <w:szCs w:val="22"/>
                <w:lang w:val="sr-Latn-CS"/>
              </w:rPr>
              <w:t>poveza</w:t>
            </w:r>
            <w:r w:rsidRPr="0046738A">
              <w:rPr>
                <w:color w:val="000000"/>
                <w:sz w:val="22"/>
                <w:szCs w:val="22"/>
                <w:lang w:val="sr-Latn-CS"/>
              </w:rPr>
              <w:t xml:space="preserve">ni sa </w:t>
            </w:r>
            <w:r>
              <w:rPr>
                <w:color w:val="000000"/>
                <w:sz w:val="22"/>
                <w:szCs w:val="22"/>
                <w:lang w:val="sr-Latn-CS"/>
              </w:rPr>
              <w:t xml:space="preserve">degranulacijom HES ćelija po </w:t>
            </w:r>
            <w:r>
              <w:rPr>
                <w:bCs/>
                <w:sz w:val="22"/>
                <w:szCs w:val="22"/>
                <w:lang w:val="da-DK"/>
              </w:rPr>
              <w:t>uvođenju terapije</w:t>
            </w:r>
            <w:r w:rsidRPr="0046738A">
              <w:rPr>
                <w:bCs/>
                <w:sz w:val="22"/>
                <w:szCs w:val="22"/>
                <w:lang w:val="da-DK"/>
              </w:rPr>
              <w:t xml:space="preserve"> imatinib</w:t>
            </w:r>
            <w:r>
              <w:rPr>
                <w:bCs/>
                <w:sz w:val="22"/>
                <w:szCs w:val="22"/>
                <w:lang w:val="da-DK"/>
              </w:rPr>
              <w:t>om</w:t>
            </w:r>
            <w:r w:rsidRPr="0046738A">
              <w:rPr>
                <w:color w:val="000000"/>
                <w:sz w:val="22"/>
                <w:szCs w:val="22"/>
                <w:lang w:val="sr-Latn-CS"/>
              </w:rPr>
              <w:t xml:space="preserve">. </w:t>
            </w:r>
            <w:r>
              <w:rPr>
                <w:color w:val="000000"/>
                <w:sz w:val="22"/>
                <w:szCs w:val="22"/>
                <w:lang w:val="sr-Latn-CS"/>
              </w:rPr>
              <w:t>Zabilježeno</w:t>
            </w:r>
            <w:r w:rsidRPr="0046738A">
              <w:rPr>
                <w:color w:val="000000"/>
                <w:sz w:val="22"/>
                <w:szCs w:val="22"/>
                <w:lang w:val="sr-Latn-CS"/>
              </w:rPr>
              <w:t xml:space="preserve"> je da je ovo stanje bilo reverzibilno davanjem sistemskih steroida, cirkulacijskih suportivnih </w:t>
            </w:r>
            <w:r>
              <w:rPr>
                <w:color w:val="000000"/>
                <w:sz w:val="22"/>
                <w:szCs w:val="22"/>
                <w:lang w:val="sr-Latn-CS"/>
              </w:rPr>
              <w:t>mjera</w:t>
            </w:r>
            <w:r w:rsidRPr="0046738A">
              <w:rPr>
                <w:color w:val="000000"/>
                <w:sz w:val="22"/>
                <w:szCs w:val="22"/>
                <w:lang w:val="sr-Latn-CS"/>
              </w:rPr>
              <w:t xml:space="preserve"> uz privremen prekid terapije imatinibom. Povremeno je dolazilo </w:t>
            </w:r>
            <w:r w:rsidRPr="0046738A">
              <w:rPr>
                <w:sz w:val="22"/>
                <w:szCs w:val="22"/>
                <w:lang w:val="sr-Latn-CS"/>
              </w:rPr>
              <w:t>do srčanih neželjenih</w:t>
            </w:r>
            <w:r w:rsidRPr="0046738A">
              <w:rPr>
                <w:color w:val="000000"/>
                <w:sz w:val="22"/>
                <w:szCs w:val="22"/>
                <w:lang w:val="sr-Latn-CS"/>
              </w:rPr>
              <w:t xml:space="preserve"> dejstava prilikom davanja imatiniba, i zato treba imati na umu obavljanje pažljive procjene odnosa  korist/rizik  terapije imatinibom u populaciji HES/CEL prije započinjanja terapije.</w:t>
            </w:r>
          </w:p>
          <w:p w:rsidR="000A2337" w:rsidRPr="0046738A" w:rsidRDefault="000A2337" w:rsidP="00161AB3">
            <w:pPr>
              <w:shd w:val="clear" w:color="auto" w:fill="FFFFFF"/>
              <w:jc w:val="both"/>
              <w:rPr>
                <w:color w:val="000000"/>
                <w:sz w:val="22"/>
                <w:szCs w:val="22"/>
                <w:lang w:val="sr-Latn-CS"/>
              </w:rPr>
            </w:pPr>
          </w:p>
          <w:p w:rsidR="000A2337" w:rsidRDefault="000A2337" w:rsidP="00161AB3">
            <w:pPr>
              <w:shd w:val="clear" w:color="auto" w:fill="FFFFFF"/>
              <w:jc w:val="both"/>
              <w:rPr>
                <w:color w:val="000000"/>
                <w:sz w:val="22"/>
                <w:szCs w:val="22"/>
                <w:lang w:val="sr-Latn-CS"/>
              </w:rPr>
            </w:pPr>
            <w:r w:rsidRPr="0046738A">
              <w:rPr>
                <w:color w:val="000000"/>
                <w:sz w:val="22"/>
                <w:szCs w:val="22"/>
                <w:lang w:val="sr-Latn-CS"/>
              </w:rPr>
              <w:t>Mijelodisplastične/mijeloproliferativne bolesti sa genskom rekom</w:t>
            </w:r>
            <w:r>
              <w:rPr>
                <w:color w:val="000000"/>
                <w:sz w:val="22"/>
                <w:szCs w:val="22"/>
                <w:lang w:val="sr-Latn-CS"/>
              </w:rPr>
              <w:t>binacijom PDGFR mogu biti poveza</w:t>
            </w:r>
            <w:r w:rsidRPr="0046738A">
              <w:rPr>
                <w:color w:val="000000"/>
                <w:sz w:val="22"/>
                <w:szCs w:val="22"/>
                <w:lang w:val="sr-Latn-CS"/>
              </w:rPr>
              <w:t xml:space="preserve">ne sa visokim koncentracijama eozinofila. Prije </w:t>
            </w:r>
            <w:r>
              <w:rPr>
                <w:color w:val="000000"/>
                <w:sz w:val="22"/>
                <w:szCs w:val="22"/>
                <w:lang w:val="sr-Latn-CS"/>
              </w:rPr>
              <w:t>prim</w:t>
            </w:r>
            <w:r w:rsidRPr="0046738A">
              <w:rPr>
                <w:color w:val="000000"/>
                <w:sz w:val="22"/>
                <w:szCs w:val="22"/>
                <w:lang w:val="sr-Latn-CS"/>
              </w:rPr>
              <w:t>jen</w:t>
            </w:r>
            <w:r>
              <w:rPr>
                <w:color w:val="000000"/>
                <w:sz w:val="22"/>
                <w:szCs w:val="22"/>
                <w:lang w:val="sr-Latn-CS"/>
              </w:rPr>
              <w:t>e</w:t>
            </w:r>
            <w:r w:rsidRPr="0046738A">
              <w:rPr>
                <w:color w:val="000000"/>
                <w:sz w:val="22"/>
                <w:szCs w:val="22"/>
                <w:lang w:val="sr-Latn-CS"/>
              </w:rPr>
              <w:t xml:space="preserve"> imatinib</w:t>
            </w:r>
            <w:r>
              <w:rPr>
                <w:color w:val="000000"/>
                <w:sz w:val="22"/>
                <w:szCs w:val="22"/>
                <w:lang w:val="sr-Latn-CS"/>
              </w:rPr>
              <w:t>a</w:t>
            </w:r>
            <w:r w:rsidRPr="0046738A">
              <w:rPr>
                <w:color w:val="000000"/>
                <w:sz w:val="22"/>
                <w:szCs w:val="22"/>
                <w:lang w:val="sr-Latn-CS"/>
              </w:rPr>
              <w:t xml:space="preserve"> kod pacijenata sa HES/CEL</w:t>
            </w:r>
            <w:r>
              <w:rPr>
                <w:color w:val="000000"/>
                <w:sz w:val="22"/>
                <w:szCs w:val="22"/>
                <w:lang w:val="sr-Latn-CS"/>
              </w:rPr>
              <w:t>-om</w:t>
            </w:r>
            <w:r w:rsidRPr="0046738A">
              <w:rPr>
                <w:color w:val="000000"/>
                <w:sz w:val="22"/>
                <w:szCs w:val="22"/>
                <w:lang w:val="sr-Latn-CS"/>
              </w:rPr>
              <w:t xml:space="preserve"> i kod pacijenata sa </w:t>
            </w:r>
            <w:smartTag w:uri="urn:schemas-microsoft-com:office:smarttags" w:element="stockticker">
              <w:r w:rsidRPr="0046738A">
                <w:rPr>
                  <w:color w:val="000000"/>
                  <w:sz w:val="22"/>
                  <w:szCs w:val="22"/>
                  <w:lang w:val="sr-Latn-CS"/>
                </w:rPr>
                <w:t>MDS</w:t>
              </w:r>
            </w:smartTag>
            <w:r>
              <w:rPr>
                <w:color w:val="000000"/>
                <w:sz w:val="22"/>
                <w:szCs w:val="22"/>
                <w:lang w:val="sr-Latn-CS"/>
              </w:rPr>
              <w:t>/MPD poveza</w:t>
            </w:r>
            <w:r w:rsidRPr="0046738A">
              <w:rPr>
                <w:color w:val="000000"/>
                <w:sz w:val="22"/>
                <w:szCs w:val="22"/>
                <w:lang w:val="sr-Latn-CS"/>
              </w:rPr>
              <w:t xml:space="preserve">nim sa visokim nivoima eozinofila treba razmotriti procjenu kardiologa, rezultate ehokardiograma i određivanje serumskog troponina. Ako bilo koji od ovih pokazatelja nije u granicama normale, prilikom započinjanja terapije </w:t>
            </w:r>
            <w:r w:rsidRPr="0046738A">
              <w:rPr>
                <w:sz w:val="22"/>
                <w:szCs w:val="22"/>
                <w:lang w:val="sr-Latn-CS"/>
              </w:rPr>
              <w:t xml:space="preserve">treba </w:t>
            </w:r>
            <w:r>
              <w:rPr>
                <w:color w:val="000000"/>
                <w:sz w:val="22"/>
                <w:szCs w:val="22"/>
                <w:lang w:val="sr-Latn-CS"/>
              </w:rPr>
              <w:t>razmisliti o profilaktičkoj</w:t>
            </w:r>
            <w:r w:rsidRPr="0046738A">
              <w:rPr>
                <w:color w:val="000000"/>
                <w:sz w:val="22"/>
                <w:szCs w:val="22"/>
                <w:lang w:val="sr-Latn-CS"/>
              </w:rPr>
              <w:t xml:space="preserve"> primjen</w:t>
            </w:r>
            <w:r>
              <w:rPr>
                <w:color w:val="000000"/>
                <w:sz w:val="22"/>
                <w:szCs w:val="22"/>
                <w:lang w:val="sr-Latn-CS"/>
              </w:rPr>
              <w:t>i</w:t>
            </w:r>
            <w:r w:rsidRPr="0046738A">
              <w:rPr>
                <w:color w:val="000000"/>
                <w:sz w:val="22"/>
                <w:szCs w:val="22"/>
                <w:lang w:val="sr-Latn-CS"/>
              </w:rPr>
              <w:t xml:space="preserve"> sistemskih steroida (1-2 mg/kg) tokom jedne do dvije nedjelje, istovremeno sa imatinibom</w:t>
            </w:r>
            <w:r>
              <w:rPr>
                <w:color w:val="000000"/>
                <w:sz w:val="22"/>
                <w:szCs w:val="22"/>
                <w:lang w:val="sr-Latn-CS"/>
              </w:rPr>
              <w:t>, kao i</w:t>
            </w:r>
            <w:r w:rsidRPr="0046738A">
              <w:rPr>
                <w:sz w:val="22"/>
                <w:szCs w:val="22"/>
                <w:lang w:val="sr-Latn-CS"/>
              </w:rPr>
              <w:t xml:space="preserve"> </w:t>
            </w:r>
            <w:r>
              <w:rPr>
                <w:sz w:val="22"/>
                <w:szCs w:val="22"/>
                <w:lang w:val="sr-Latn-CS"/>
              </w:rPr>
              <w:t>redovnim</w:t>
            </w:r>
            <w:r w:rsidRPr="0046738A">
              <w:rPr>
                <w:sz w:val="22"/>
                <w:szCs w:val="22"/>
                <w:lang w:val="sr-Latn-CS"/>
              </w:rPr>
              <w:t xml:space="preserve"> kardiološk</w:t>
            </w:r>
            <w:r>
              <w:rPr>
                <w:sz w:val="22"/>
                <w:szCs w:val="22"/>
                <w:lang w:val="sr-Latn-CS"/>
              </w:rPr>
              <w:t>im</w:t>
            </w:r>
            <w:r>
              <w:rPr>
                <w:color w:val="000000"/>
                <w:sz w:val="22"/>
                <w:szCs w:val="22"/>
                <w:lang w:val="sr-Latn-CS"/>
              </w:rPr>
              <w:t xml:space="preserve"> kontrolama.</w:t>
            </w:r>
          </w:p>
          <w:p w:rsidR="000A2337" w:rsidRDefault="000A2337" w:rsidP="00161AB3">
            <w:pPr>
              <w:shd w:val="clear" w:color="auto" w:fill="FFFFFF"/>
              <w:jc w:val="both"/>
              <w:rPr>
                <w:color w:val="000000"/>
                <w:sz w:val="22"/>
                <w:szCs w:val="22"/>
                <w:lang w:val="sr-Latn-CS"/>
              </w:rPr>
            </w:pPr>
          </w:p>
          <w:p w:rsidR="000A2337" w:rsidRPr="00003561" w:rsidRDefault="000A2337" w:rsidP="00161AB3">
            <w:pPr>
              <w:shd w:val="clear" w:color="auto" w:fill="FFFFFF"/>
              <w:jc w:val="both"/>
              <w:rPr>
                <w:color w:val="000000"/>
                <w:sz w:val="22"/>
                <w:szCs w:val="22"/>
                <w:u w:val="single"/>
                <w:lang w:val="sr-Latn-CS"/>
              </w:rPr>
            </w:pPr>
            <w:r>
              <w:rPr>
                <w:color w:val="000000"/>
                <w:sz w:val="22"/>
                <w:szCs w:val="22"/>
                <w:u w:val="single"/>
                <w:lang w:val="sr-Latn-CS"/>
              </w:rPr>
              <w:t>Gastr</w:t>
            </w:r>
            <w:r w:rsidR="0074091F">
              <w:rPr>
                <w:color w:val="000000"/>
                <w:sz w:val="22"/>
                <w:szCs w:val="22"/>
                <w:u w:val="single"/>
                <w:lang w:val="sr-Latn-CS"/>
              </w:rPr>
              <w:t>o</w:t>
            </w:r>
            <w:r>
              <w:rPr>
                <w:color w:val="000000"/>
                <w:sz w:val="22"/>
                <w:szCs w:val="22"/>
                <w:u w:val="single"/>
                <w:lang w:val="sr-Latn-CS"/>
              </w:rPr>
              <w:t>intestinalna krvarenja</w:t>
            </w:r>
          </w:p>
          <w:p w:rsidR="000A2337" w:rsidRDefault="000A2337" w:rsidP="00161AB3">
            <w:pPr>
              <w:shd w:val="clear" w:color="auto" w:fill="FFFFFF"/>
              <w:jc w:val="both"/>
              <w:rPr>
                <w:color w:val="000000"/>
                <w:sz w:val="22"/>
                <w:szCs w:val="22"/>
                <w:lang w:val="sr-Latn-CS"/>
              </w:rPr>
            </w:pPr>
            <w:r w:rsidRPr="0046738A">
              <w:rPr>
                <w:color w:val="000000"/>
                <w:sz w:val="22"/>
                <w:szCs w:val="22"/>
                <w:lang w:val="sr-Latn-CS"/>
              </w:rPr>
              <w:t xml:space="preserve">U kliničkim ispitivanjima pacijenata sa </w:t>
            </w:r>
            <w:r w:rsidRPr="0046738A">
              <w:rPr>
                <w:sz w:val="22"/>
                <w:lang w:val="pt-BR"/>
              </w:rPr>
              <w:t>neresektabilnim i/ili metastatskim GIST-om</w:t>
            </w:r>
            <w:r w:rsidRPr="0046738A">
              <w:rPr>
                <w:color w:val="000000"/>
                <w:sz w:val="22"/>
                <w:szCs w:val="22"/>
                <w:lang w:val="sr-Latn-CS"/>
              </w:rPr>
              <w:t xml:space="preserve">, opisane su i gastrointestinalne i intratumorske </w:t>
            </w:r>
            <w:r w:rsidRPr="0046738A">
              <w:rPr>
                <w:sz w:val="22"/>
                <w:szCs w:val="22"/>
                <w:lang w:val="sr-Latn-CS"/>
              </w:rPr>
              <w:t>hemoragije (vidjeti</w:t>
            </w:r>
            <w:r w:rsidRPr="0046738A">
              <w:rPr>
                <w:color w:val="000000"/>
                <w:sz w:val="22"/>
                <w:szCs w:val="22"/>
                <w:lang w:val="sr-Latn-CS"/>
              </w:rPr>
              <w:t xml:space="preserve"> odjeljak 4.8). Na osnovu raspoloživih podataka, ni</w:t>
            </w:r>
            <w:r>
              <w:rPr>
                <w:color w:val="000000"/>
                <w:sz w:val="22"/>
                <w:szCs w:val="22"/>
                <w:lang w:val="sr-Latn-CS"/>
              </w:rPr>
              <w:t>je</w:t>
            </w:r>
            <w:r w:rsidRPr="0046738A">
              <w:rPr>
                <w:color w:val="000000"/>
                <w:sz w:val="22"/>
                <w:szCs w:val="22"/>
                <w:lang w:val="sr-Latn-CS"/>
              </w:rPr>
              <w:t>su identifikovani predisponirajući faktori (npr. veličina tumora, lokacija tumora, poremećaji koagulacije)</w:t>
            </w:r>
            <w:r>
              <w:rPr>
                <w:color w:val="000000"/>
                <w:sz w:val="22"/>
                <w:szCs w:val="22"/>
                <w:lang w:val="sr-Latn-CS"/>
              </w:rPr>
              <w:t xml:space="preserve">, zbog </w:t>
            </w:r>
            <w:r w:rsidRPr="0046738A">
              <w:rPr>
                <w:color w:val="000000"/>
                <w:sz w:val="22"/>
                <w:szCs w:val="22"/>
                <w:lang w:val="sr-Latn-CS"/>
              </w:rPr>
              <w:t>koji</w:t>
            </w:r>
            <w:r>
              <w:rPr>
                <w:color w:val="000000"/>
                <w:sz w:val="22"/>
                <w:szCs w:val="22"/>
                <w:lang w:val="sr-Latn-CS"/>
              </w:rPr>
              <w:t>h bi pacijenti</w:t>
            </w:r>
            <w:r w:rsidRPr="0046738A">
              <w:rPr>
                <w:color w:val="000000"/>
                <w:sz w:val="22"/>
                <w:szCs w:val="22"/>
                <w:lang w:val="sr-Latn-CS"/>
              </w:rPr>
              <w:t xml:space="preserve"> sa GIST-om </w:t>
            </w:r>
            <w:r>
              <w:rPr>
                <w:color w:val="000000"/>
                <w:sz w:val="22"/>
                <w:szCs w:val="22"/>
                <w:lang w:val="sr-Latn-CS"/>
              </w:rPr>
              <w:t>bili izloženi većem riziku od</w:t>
            </w:r>
            <w:r w:rsidRPr="0046738A">
              <w:rPr>
                <w:color w:val="000000"/>
                <w:sz w:val="22"/>
                <w:szCs w:val="22"/>
                <w:lang w:val="sr-Latn-CS"/>
              </w:rPr>
              <w:t xml:space="preserve"> bilo koje</w:t>
            </w:r>
            <w:r>
              <w:rPr>
                <w:color w:val="000000"/>
                <w:sz w:val="22"/>
                <w:szCs w:val="22"/>
                <w:lang w:val="sr-Latn-CS"/>
              </w:rPr>
              <w:t>g tipa krvarenje</w:t>
            </w:r>
            <w:r w:rsidRPr="0046738A">
              <w:rPr>
                <w:color w:val="000000"/>
                <w:sz w:val="22"/>
                <w:szCs w:val="22"/>
                <w:lang w:val="sr-Latn-CS"/>
              </w:rPr>
              <w:t>. Pošto su poveća</w:t>
            </w:r>
            <w:r>
              <w:rPr>
                <w:color w:val="000000"/>
                <w:sz w:val="22"/>
                <w:szCs w:val="22"/>
                <w:lang w:val="sr-Latn-CS"/>
              </w:rPr>
              <w:t>na vaskularnost i sklonost krvare</w:t>
            </w:r>
            <w:r w:rsidRPr="0046738A">
              <w:rPr>
                <w:color w:val="000000"/>
                <w:sz w:val="22"/>
                <w:szCs w:val="22"/>
                <w:lang w:val="sr-Latn-CS"/>
              </w:rPr>
              <w:t>nju dio prirode i kliničkog toka GIST</w:t>
            </w:r>
            <w:r>
              <w:rPr>
                <w:color w:val="000000"/>
                <w:sz w:val="22"/>
                <w:szCs w:val="22"/>
                <w:lang w:val="sr-Latn-CS"/>
              </w:rPr>
              <w:t>-a</w:t>
            </w:r>
            <w:r w:rsidRPr="0046738A">
              <w:rPr>
                <w:color w:val="000000"/>
                <w:sz w:val="22"/>
                <w:szCs w:val="22"/>
                <w:lang w:val="sr-Latn-CS"/>
              </w:rPr>
              <w:t xml:space="preserve">, kod svih pacijenata </w:t>
            </w:r>
            <w:r>
              <w:rPr>
                <w:color w:val="000000"/>
                <w:sz w:val="22"/>
                <w:szCs w:val="22"/>
                <w:lang w:val="sr-Latn-CS"/>
              </w:rPr>
              <w:t xml:space="preserve">treba primijeniti standardnu </w:t>
            </w:r>
            <w:r w:rsidRPr="0046738A">
              <w:rPr>
                <w:color w:val="000000"/>
                <w:sz w:val="22"/>
                <w:szCs w:val="22"/>
                <w:lang w:val="sr-Latn-CS"/>
              </w:rPr>
              <w:t>praksu i procedure za praćenje i terapiju hemoragije.</w:t>
            </w:r>
          </w:p>
          <w:p w:rsidR="000A2337" w:rsidRDefault="000A2337" w:rsidP="00161AB3">
            <w:pPr>
              <w:shd w:val="clear" w:color="auto" w:fill="FFFFFF"/>
              <w:jc w:val="both"/>
              <w:rPr>
                <w:color w:val="000000"/>
                <w:sz w:val="22"/>
                <w:szCs w:val="22"/>
                <w:lang w:val="sr-Latn-CS"/>
              </w:rPr>
            </w:pPr>
          </w:p>
          <w:p w:rsidR="000A2337" w:rsidRDefault="000A2337" w:rsidP="00161AB3">
            <w:pPr>
              <w:shd w:val="clear" w:color="auto" w:fill="FFFFFF"/>
              <w:jc w:val="both"/>
              <w:rPr>
                <w:color w:val="000000"/>
                <w:sz w:val="22"/>
                <w:szCs w:val="22"/>
                <w:lang w:val="sr-Latn-CS"/>
              </w:rPr>
            </w:pPr>
            <w:r w:rsidRPr="0000526F">
              <w:rPr>
                <w:color w:val="000000"/>
                <w:sz w:val="22"/>
                <w:szCs w:val="22"/>
                <w:lang w:val="sr-Latn-CS"/>
              </w:rPr>
              <w:t>Osim toga, gastrična antralna vaskularna ektazija (GAVE), rijetki uzrok gastrointestinalnog krvarenja,</w:t>
            </w:r>
            <w:r>
              <w:rPr>
                <w:color w:val="000000"/>
                <w:sz w:val="22"/>
                <w:szCs w:val="22"/>
                <w:lang w:val="sr-Latn-CS"/>
              </w:rPr>
              <w:t xml:space="preserve"> </w:t>
            </w:r>
            <w:r w:rsidRPr="0000526F">
              <w:rPr>
                <w:color w:val="000000"/>
                <w:sz w:val="22"/>
                <w:szCs w:val="22"/>
                <w:lang w:val="sr-Latn-CS"/>
              </w:rPr>
              <w:t>zabilježena je na</w:t>
            </w:r>
            <w:r>
              <w:rPr>
                <w:color w:val="000000"/>
                <w:sz w:val="22"/>
                <w:szCs w:val="22"/>
                <w:lang w:val="sr-Latn-CS"/>
              </w:rPr>
              <w:t>kon stavljanja lijeka u promet kod pacijenata sa C</w:t>
            </w:r>
            <w:r w:rsidRPr="0000526F">
              <w:rPr>
                <w:color w:val="000000"/>
                <w:sz w:val="22"/>
                <w:szCs w:val="22"/>
                <w:lang w:val="sr-Latn-CS"/>
              </w:rPr>
              <w:t>ML-om, ALL-om i drugim bolestima</w:t>
            </w:r>
            <w:r>
              <w:rPr>
                <w:color w:val="000000"/>
                <w:sz w:val="22"/>
                <w:szCs w:val="22"/>
                <w:lang w:val="sr-Latn-CS"/>
              </w:rPr>
              <w:t xml:space="preserve"> </w:t>
            </w:r>
            <w:r w:rsidRPr="0000526F">
              <w:rPr>
                <w:color w:val="000000"/>
                <w:sz w:val="22"/>
                <w:szCs w:val="22"/>
                <w:lang w:val="sr-Latn-CS"/>
              </w:rPr>
              <w:t xml:space="preserve">(vidjeti </w:t>
            </w:r>
            <w:r>
              <w:rPr>
                <w:color w:val="000000"/>
                <w:sz w:val="22"/>
                <w:szCs w:val="22"/>
                <w:lang w:val="sr-Latn-CS"/>
              </w:rPr>
              <w:t>odjeljak</w:t>
            </w:r>
            <w:r w:rsidRPr="0000526F">
              <w:rPr>
                <w:color w:val="000000"/>
                <w:sz w:val="22"/>
                <w:szCs w:val="22"/>
                <w:lang w:val="sr-Latn-CS"/>
              </w:rPr>
              <w:t xml:space="preserve"> 4.8). Ukoliko je potrebno, može se razmotriti prekid liječenja</w:t>
            </w:r>
            <w:r>
              <w:rPr>
                <w:color w:val="000000"/>
                <w:sz w:val="22"/>
                <w:szCs w:val="22"/>
                <w:lang w:val="sr-Latn-CS"/>
              </w:rPr>
              <w:t xml:space="preserve"> lijekom Imatinib</w:t>
            </w:r>
            <w:r w:rsidRPr="0000526F">
              <w:rPr>
                <w:color w:val="000000"/>
                <w:sz w:val="22"/>
                <w:szCs w:val="22"/>
                <w:lang w:val="sr-Latn-CS"/>
              </w:rPr>
              <w:t xml:space="preserve"> Teva.</w:t>
            </w:r>
          </w:p>
          <w:p w:rsidR="000A2337" w:rsidRPr="0046738A" w:rsidRDefault="000A2337" w:rsidP="00161AB3">
            <w:pPr>
              <w:shd w:val="clear" w:color="auto" w:fill="FFFFFF"/>
              <w:jc w:val="both"/>
              <w:rPr>
                <w:color w:val="000000"/>
                <w:sz w:val="22"/>
                <w:szCs w:val="22"/>
                <w:lang w:val="sr-Latn-CS"/>
              </w:rPr>
            </w:pPr>
          </w:p>
          <w:p w:rsidR="000A2337" w:rsidRPr="00A71B14" w:rsidRDefault="000A2337" w:rsidP="00161AB3">
            <w:pPr>
              <w:shd w:val="clear" w:color="auto" w:fill="FFFFFF"/>
              <w:jc w:val="both"/>
              <w:rPr>
                <w:color w:val="000000"/>
                <w:sz w:val="22"/>
                <w:szCs w:val="22"/>
                <w:u w:val="single"/>
                <w:lang w:val="sr-Latn-CS"/>
              </w:rPr>
            </w:pPr>
            <w:r w:rsidRPr="00A71B14">
              <w:rPr>
                <w:color w:val="000000"/>
                <w:sz w:val="22"/>
                <w:szCs w:val="22"/>
                <w:u w:val="single"/>
                <w:lang w:val="sr-Latn-CS"/>
              </w:rPr>
              <w:t>Sindrom lize tumora</w:t>
            </w:r>
          </w:p>
          <w:p w:rsidR="000A2337" w:rsidRPr="0046738A" w:rsidRDefault="000A2337" w:rsidP="00161AB3">
            <w:pPr>
              <w:shd w:val="clear" w:color="auto" w:fill="FFFFFF"/>
              <w:jc w:val="both"/>
              <w:rPr>
                <w:color w:val="000000"/>
                <w:sz w:val="22"/>
                <w:szCs w:val="22"/>
                <w:lang w:val="sr-Latn-CS"/>
              </w:rPr>
            </w:pPr>
            <w:r w:rsidRPr="0046738A">
              <w:rPr>
                <w:color w:val="000000"/>
                <w:sz w:val="22"/>
                <w:szCs w:val="22"/>
                <w:lang w:val="sr-Latn-CS"/>
              </w:rPr>
              <w:t>Zbog mogućeg nastanka sindroma lize tumora (TLS), prij</w:t>
            </w:r>
            <w:r>
              <w:rPr>
                <w:color w:val="000000"/>
                <w:sz w:val="22"/>
                <w:szCs w:val="22"/>
                <w:lang w:val="sr-Latn-CS"/>
              </w:rPr>
              <w:t>e započinjanja terapije imatinibom</w:t>
            </w:r>
            <w:r w:rsidRPr="0046738A">
              <w:rPr>
                <w:color w:val="000000"/>
                <w:sz w:val="22"/>
                <w:szCs w:val="22"/>
                <w:lang w:val="sr-Latn-CS"/>
              </w:rPr>
              <w:t xml:space="preserve"> preporučuje se terapija klinički značajne dehidratacije i visokih nivoa mokraćne kiseline (vidjeti odjeljak 4.8).</w:t>
            </w:r>
          </w:p>
          <w:p w:rsidR="000A2337" w:rsidRPr="0046738A" w:rsidRDefault="000A2337" w:rsidP="00161AB3">
            <w:pPr>
              <w:shd w:val="clear" w:color="auto" w:fill="FFFFFF"/>
              <w:spacing w:before="235" w:line="240" w:lineRule="atLeast"/>
              <w:jc w:val="both"/>
              <w:rPr>
                <w:color w:val="000000"/>
                <w:sz w:val="22"/>
                <w:szCs w:val="22"/>
                <w:u w:val="single"/>
                <w:lang w:val="sr-Latn-CS"/>
              </w:rPr>
            </w:pPr>
            <w:r w:rsidRPr="0046738A">
              <w:rPr>
                <w:color w:val="000000"/>
                <w:sz w:val="22"/>
                <w:szCs w:val="22"/>
                <w:u w:val="single"/>
                <w:lang w:val="sr-Latn-CS"/>
              </w:rPr>
              <w:t>Laboratorijski testovi</w:t>
            </w:r>
          </w:p>
          <w:p w:rsidR="000A2337" w:rsidRPr="0046738A" w:rsidRDefault="000A2337" w:rsidP="00161AB3">
            <w:pPr>
              <w:shd w:val="clear" w:color="auto" w:fill="FFFFFF"/>
              <w:jc w:val="both"/>
              <w:rPr>
                <w:color w:val="000000"/>
                <w:sz w:val="22"/>
                <w:szCs w:val="22"/>
                <w:lang w:val="sr-Latn-CS"/>
              </w:rPr>
            </w:pPr>
            <w:r>
              <w:rPr>
                <w:color w:val="000000"/>
                <w:sz w:val="22"/>
                <w:szCs w:val="22"/>
                <w:lang w:val="sr-Latn-CS"/>
              </w:rPr>
              <w:t>T</w:t>
            </w:r>
            <w:r w:rsidRPr="0046738A">
              <w:rPr>
                <w:color w:val="000000"/>
                <w:sz w:val="22"/>
                <w:szCs w:val="22"/>
                <w:lang w:val="sr-Latn-CS"/>
              </w:rPr>
              <w:t xml:space="preserve">okom terapije </w:t>
            </w:r>
            <w:r>
              <w:rPr>
                <w:color w:val="000000"/>
                <w:sz w:val="22"/>
                <w:szCs w:val="22"/>
                <w:lang w:val="sr-Latn-CS"/>
              </w:rPr>
              <w:t>i</w:t>
            </w:r>
            <w:r>
              <w:rPr>
                <w:bCs/>
                <w:sz w:val="22"/>
                <w:szCs w:val="22"/>
                <w:lang w:val="da-DK"/>
              </w:rPr>
              <w:t>matinibom</w:t>
            </w:r>
            <w:r w:rsidRPr="0046738A">
              <w:rPr>
                <w:color w:val="000000"/>
                <w:sz w:val="22"/>
                <w:szCs w:val="22"/>
                <w:lang w:val="sr-Latn-CS"/>
              </w:rPr>
              <w:t xml:space="preserve"> </w:t>
            </w:r>
            <w:r>
              <w:rPr>
                <w:color w:val="000000"/>
                <w:sz w:val="22"/>
                <w:szCs w:val="22"/>
                <w:lang w:val="sr-Latn-CS"/>
              </w:rPr>
              <w:t>t</w:t>
            </w:r>
            <w:r w:rsidRPr="0046738A">
              <w:rPr>
                <w:color w:val="000000"/>
                <w:sz w:val="22"/>
                <w:szCs w:val="22"/>
                <w:lang w:val="sr-Latn-CS"/>
              </w:rPr>
              <w:t xml:space="preserve">reba redovno kontrolisati kompletnu krvnu sliku. Terapija </w:t>
            </w:r>
            <w:r>
              <w:rPr>
                <w:color w:val="000000"/>
                <w:sz w:val="22"/>
                <w:szCs w:val="22"/>
                <w:lang w:val="sr-Latn-CS"/>
              </w:rPr>
              <w:t>i</w:t>
            </w:r>
            <w:r>
              <w:rPr>
                <w:bCs/>
                <w:sz w:val="22"/>
                <w:szCs w:val="22"/>
                <w:lang w:val="da-DK"/>
              </w:rPr>
              <w:t>matinibom</w:t>
            </w:r>
            <w:r w:rsidRPr="0046738A">
              <w:rPr>
                <w:color w:val="000000"/>
                <w:sz w:val="22"/>
                <w:szCs w:val="22"/>
                <w:lang w:val="sr-Latn-CS"/>
              </w:rPr>
              <w:t xml:space="preserve"> pacijenata sa CML</w:t>
            </w:r>
            <w:r>
              <w:rPr>
                <w:color w:val="000000"/>
                <w:sz w:val="22"/>
                <w:szCs w:val="22"/>
                <w:lang w:val="sr-Latn-CS"/>
              </w:rPr>
              <w:t>-om</w:t>
            </w:r>
            <w:r w:rsidRPr="0046738A">
              <w:rPr>
                <w:bCs/>
                <w:sz w:val="22"/>
                <w:szCs w:val="22"/>
                <w:vertAlign w:val="superscript"/>
                <w:lang w:val="da-DK"/>
              </w:rPr>
              <w:t xml:space="preserve">  </w:t>
            </w:r>
            <w:r>
              <w:rPr>
                <w:color w:val="000000"/>
                <w:sz w:val="22"/>
                <w:szCs w:val="22"/>
                <w:lang w:val="sr-Latn-CS"/>
              </w:rPr>
              <w:t>poveza</w:t>
            </w:r>
            <w:r w:rsidRPr="0046738A">
              <w:rPr>
                <w:color w:val="000000"/>
                <w:sz w:val="22"/>
                <w:szCs w:val="22"/>
                <w:lang w:val="sr-Latn-CS"/>
              </w:rPr>
              <w:t>na je sa neutropenijom ili trombocitopenijom. Međutim, pojava ovih citopenija se v</w:t>
            </w:r>
            <w:r>
              <w:rPr>
                <w:color w:val="000000"/>
                <w:sz w:val="22"/>
                <w:szCs w:val="22"/>
                <w:lang w:val="sr-Latn-CS"/>
              </w:rPr>
              <w:t>j</w:t>
            </w:r>
            <w:r w:rsidRPr="0046738A">
              <w:rPr>
                <w:color w:val="000000"/>
                <w:sz w:val="22"/>
                <w:szCs w:val="22"/>
                <w:lang w:val="sr-Latn-CS"/>
              </w:rPr>
              <w:t xml:space="preserve">erovatno vezuje za stadijum bolesti koji se liječi i </w:t>
            </w:r>
            <w:r>
              <w:rPr>
                <w:color w:val="000000"/>
                <w:sz w:val="22"/>
                <w:szCs w:val="22"/>
                <w:lang w:val="sr-Latn-CS"/>
              </w:rPr>
              <w:t>mnogo su češće kod pacijenata sa ubrzanom fazom</w:t>
            </w:r>
            <w:r w:rsidRPr="0046738A">
              <w:rPr>
                <w:color w:val="000000"/>
                <w:sz w:val="22"/>
                <w:szCs w:val="22"/>
                <w:lang w:val="sr-Latn-CS"/>
              </w:rPr>
              <w:t xml:space="preserve"> CML</w:t>
            </w:r>
            <w:r>
              <w:rPr>
                <w:color w:val="000000"/>
                <w:sz w:val="22"/>
                <w:szCs w:val="22"/>
                <w:lang w:val="sr-Latn-CS"/>
              </w:rPr>
              <w:t>-a</w:t>
            </w:r>
            <w:r w:rsidRPr="0046738A">
              <w:rPr>
                <w:color w:val="000000"/>
                <w:sz w:val="22"/>
                <w:szCs w:val="22"/>
                <w:lang w:val="sr-Latn-CS"/>
              </w:rPr>
              <w:t xml:space="preserve"> ili blastnom krizom u poređenju sa pacijentima u hroničnoj fazi CML</w:t>
            </w:r>
            <w:r>
              <w:rPr>
                <w:color w:val="000000"/>
                <w:sz w:val="22"/>
                <w:szCs w:val="22"/>
                <w:lang w:val="sr-Latn-CS"/>
              </w:rPr>
              <w:t>-a</w:t>
            </w:r>
            <w:r w:rsidRPr="0046738A">
              <w:rPr>
                <w:color w:val="000000"/>
                <w:sz w:val="22"/>
                <w:szCs w:val="22"/>
                <w:lang w:val="sr-Latn-CS"/>
              </w:rPr>
              <w:t xml:space="preserve">. Terapija </w:t>
            </w:r>
            <w:r>
              <w:rPr>
                <w:color w:val="000000"/>
                <w:sz w:val="22"/>
                <w:szCs w:val="22"/>
                <w:lang w:val="sr-Latn-CS"/>
              </w:rPr>
              <w:t>i</w:t>
            </w:r>
            <w:r>
              <w:rPr>
                <w:bCs/>
                <w:sz w:val="22"/>
                <w:szCs w:val="22"/>
                <w:lang w:val="da-DK"/>
              </w:rPr>
              <w:t>matinibom</w:t>
            </w:r>
            <w:r w:rsidRPr="0046738A">
              <w:rPr>
                <w:bCs/>
                <w:sz w:val="22"/>
                <w:szCs w:val="22"/>
                <w:vertAlign w:val="superscript"/>
                <w:lang w:val="da-DK"/>
              </w:rPr>
              <w:t xml:space="preserve">  </w:t>
            </w:r>
            <w:r w:rsidRPr="0046738A">
              <w:rPr>
                <w:color w:val="000000"/>
                <w:sz w:val="22"/>
                <w:szCs w:val="22"/>
                <w:lang w:val="sr-Latn-CS"/>
              </w:rPr>
              <w:t>može se prekinuti ili doza redukovati, kao što je preporučeno u odjeljku 4.2.</w:t>
            </w:r>
          </w:p>
          <w:p w:rsidR="000A2337" w:rsidRPr="0046738A" w:rsidRDefault="000A2337" w:rsidP="00161AB3">
            <w:pPr>
              <w:shd w:val="clear" w:color="auto" w:fill="FFFFFF"/>
              <w:jc w:val="both"/>
              <w:rPr>
                <w:color w:val="000000"/>
                <w:sz w:val="22"/>
                <w:szCs w:val="22"/>
                <w:lang w:val="sr-Latn-CS"/>
              </w:rPr>
            </w:pPr>
            <w:r w:rsidRPr="0046738A">
              <w:rPr>
                <w:color w:val="000000"/>
                <w:sz w:val="22"/>
                <w:szCs w:val="22"/>
                <w:lang w:val="sr-Latn-CS"/>
              </w:rPr>
              <w:t xml:space="preserve">Kod pacijenata koji uzimaju  </w:t>
            </w:r>
            <w:r>
              <w:rPr>
                <w:bCs/>
                <w:sz w:val="22"/>
                <w:szCs w:val="22"/>
                <w:lang w:val="da-DK"/>
              </w:rPr>
              <w:t>imatinib</w:t>
            </w:r>
            <w:r w:rsidRPr="0046738A">
              <w:rPr>
                <w:bCs/>
                <w:sz w:val="22"/>
                <w:szCs w:val="22"/>
                <w:vertAlign w:val="superscript"/>
                <w:lang w:val="da-DK"/>
              </w:rPr>
              <w:t xml:space="preserve"> </w:t>
            </w:r>
            <w:r>
              <w:rPr>
                <w:color w:val="000000"/>
                <w:sz w:val="22"/>
                <w:szCs w:val="22"/>
                <w:lang w:val="sr-Latn-CS"/>
              </w:rPr>
              <w:t xml:space="preserve"> treba redovno kontrolisati parametre</w:t>
            </w:r>
            <w:r w:rsidRPr="0046738A">
              <w:rPr>
                <w:color w:val="000000"/>
                <w:sz w:val="22"/>
                <w:szCs w:val="22"/>
                <w:lang w:val="sr-Latn-CS"/>
              </w:rPr>
              <w:t xml:space="preserve"> </w:t>
            </w:r>
            <w:r w:rsidRPr="0046738A">
              <w:rPr>
                <w:bCs/>
                <w:sz w:val="22"/>
                <w:szCs w:val="22"/>
                <w:lang w:val="da-DK"/>
              </w:rPr>
              <w:t>f</w:t>
            </w:r>
            <w:r w:rsidRPr="0046738A">
              <w:rPr>
                <w:color w:val="000000"/>
                <w:sz w:val="22"/>
                <w:szCs w:val="22"/>
                <w:lang w:val="sr-Latn-CS"/>
              </w:rPr>
              <w:t xml:space="preserve">unkciju jetre (transaminaze, bilirubin, alkalnu fosfatazu). </w:t>
            </w:r>
          </w:p>
          <w:p w:rsidR="000A2337" w:rsidRPr="0046738A" w:rsidRDefault="000A2337" w:rsidP="00161AB3">
            <w:pPr>
              <w:shd w:val="clear" w:color="auto" w:fill="FFFFFF"/>
              <w:rPr>
                <w:bCs/>
                <w:sz w:val="22"/>
                <w:szCs w:val="22"/>
                <w:lang w:val="da-DK"/>
              </w:rPr>
            </w:pPr>
          </w:p>
          <w:p w:rsidR="000A2337" w:rsidRDefault="000A2337" w:rsidP="00161AB3">
            <w:pPr>
              <w:pStyle w:val="Header"/>
              <w:tabs>
                <w:tab w:val="left" w:pos="284"/>
              </w:tabs>
              <w:jc w:val="both"/>
              <w:rPr>
                <w:color w:val="000000"/>
                <w:sz w:val="22"/>
                <w:szCs w:val="22"/>
                <w:lang w:val="sr-Latn-CS"/>
              </w:rPr>
            </w:pPr>
            <w:r w:rsidRPr="0046738A">
              <w:rPr>
                <w:color w:val="000000"/>
                <w:sz w:val="22"/>
                <w:szCs w:val="22"/>
                <w:lang w:val="sr-Latn-CS"/>
              </w:rPr>
              <w:lastRenderedPageBreak/>
              <w:t>Kod pacijenata sa poremećenom funkcijom bubrega, izgleda da je izloženost imatiniba u plazmi viša nego kod pacijenata sa normalnom funkcijom bubrega, v</w:t>
            </w:r>
            <w:r>
              <w:rPr>
                <w:color w:val="000000"/>
                <w:sz w:val="22"/>
                <w:szCs w:val="22"/>
                <w:lang w:val="sr-Latn-CS"/>
              </w:rPr>
              <w:t>j</w:t>
            </w:r>
            <w:r w:rsidRPr="0046738A">
              <w:rPr>
                <w:color w:val="000000"/>
                <w:sz w:val="22"/>
                <w:szCs w:val="22"/>
                <w:lang w:val="sr-Latn-CS"/>
              </w:rPr>
              <w:t>erovatno zbog povišenog nivoa alfa-kiselog glikoproteina u plazmi (</w:t>
            </w:r>
            <w:smartTag w:uri="urn:schemas-microsoft-com:office:smarttags" w:element="stockticker">
              <w:r w:rsidRPr="0046738A">
                <w:rPr>
                  <w:color w:val="000000"/>
                  <w:sz w:val="22"/>
                  <w:szCs w:val="22"/>
                  <w:lang w:val="sr-Latn-CS"/>
                </w:rPr>
                <w:t>AGP</w:t>
              </w:r>
            </w:smartTag>
            <w:r w:rsidRPr="0046738A">
              <w:rPr>
                <w:color w:val="000000"/>
                <w:sz w:val="22"/>
                <w:szCs w:val="22"/>
                <w:lang w:val="sr-Latn-CS"/>
              </w:rPr>
              <w:t>), proteina koji kod ovih pacijenata vezuje imatinib. Pacijenti sa oštećenjem bubrežne funkcije treba da prime minimalnu početnu dozu. Pacijenti  sa teškim oštećenjem bubrežne funkcije treba liječiti oprezno. Doza se može redukovati ukoliko se ne podnosi (vidjeti odjeljak 4.2 i 5.2).</w:t>
            </w:r>
          </w:p>
          <w:p w:rsidR="000A2337" w:rsidRDefault="000A2337" w:rsidP="00161AB3">
            <w:pPr>
              <w:pStyle w:val="Header"/>
              <w:tabs>
                <w:tab w:val="left" w:pos="284"/>
              </w:tabs>
              <w:jc w:val="both"/>
              <w:rPr>
                <w:color w:val="000000"/>
                <w:sz w:val="22"/>
                <w:szCs w:val="22"/>
                <w:lang w:val="sr-Latn-CS"/>
              </w:rPr>
            </w:pPr>
          </w:p>
          <w:p w:rsidR="000A2337" w:rsidRPr="0046738A" w:rsidRDefault="000A2337" w:rsidP="00161AB3">
            <w:pPr>
              <w:pStyle w:val="Header"/>
              <w:tabs>
                <w:tab w:val="left" w:pos="284"/>
              </w:tabs>
              <w:jc w:val="both"/>
              <w:rPr>
                <w:color w:val="000000"/>
                <w:sz w:val="22"/>
                <w:szCs w:val="22"/>
                <w:lang w:val="sr-Latn-CS"/>
              </w:rPr>
            </w:pPr>
            <w:r w:rsidRPr="00405C0D">
              <w:rPr>
                <w:color w:val="000000"/>
                <w:sz w:val="22"/>
                <w:szCs w:val="22"/>
                <w:lang w:val="sr-Latn-CS"/>
              </w:rPr>
              <w:t>Dugotrajno liječenje imatinibom može biti povezano s</w:t>
            </w:r>
            <w:r>
              <w:rPr>
                <w:color w:val="000000"/>
                <w:sz w:val="22"/>
                <w:szCs w:val="22"/>
                <w:lang w:val="sr-Latn-CS"/>
              </w:rPr>
              <w:t>a</w:t>
            </w:r>
            <w:r w:rsidRPr="00405C0D">
              <w:rPr>
                <w:color w:val="000000"/>
                <w:sz w:val="22"/>
                <w:szCs w:val="22"/>
                <w:lang w:val="sr-Latn-CS"/>
              </w:rPr>
              <w:t xml:space="preserve"> klinički značajnim padom funkcije bubrega.</w:t>
            </w:r>
            <w:r>
              <w:rPr>
                <w:color w:val="000000"/>
                <w:sz w:val="22"/>
                <w:szCs w:val="22"/>
                <w:lang w:val="sr-Latn-CS"/>
              </w:rPr>
              <w:t xml:space="preserve"> Zbog t</w:t>
            </w:r>
            <w:r w:rsidRPr="00405C0D">
              <w:rPr>
                <w:color w:val="000000"/>
                <w:sz w:val="22"/>
                <w:szCs w:val="22"/>
                <w:lang w:val="sr-Latn-CS"/>
              </w:rPr>
              <w:t>oga, funkciju bubrega treba ispitati prije početka terapije im</w:t>
            </w:r>
            <w:r>
              <w:rPr>
                <w:color w:val="000000"/>
                <w:sz w:val="22"/>
                <w:szCs w:val="22"/>
                <w:lang w:val="sr-Latn-CS"/>
              </w:rPr>
              <w:t>atinibom i pažljivo pratiti to</w:t>
            </w:r>
            <w:r w:rsidRPr="00405C0D">
              <w:rPr>
                <w:color w:val="000000"/>
                <w:sz w:val="22"/>
                <w:szCs w:val="22"/>
                <w:lang w:val="sr-Latn-CS"/>
              </w:rPr>
              <w:t>kom</w:t>
            </w:r>
            <w:r>
              <w:rPr>
                <w:color w:val="000000"/>
                <w:sz w:val="22"/>
                <w:szCs w:val="22"/>
                <w:lang w:val="sr-Latn-CS"/>
              </w:rPr>
              <w:t xml:space="preserve"> </w:t>
            </w:r>
            <w:r w:rsidRPr="00405C0D">
              <w:rPr>
                <w:color w:val="000000"/>
                <w:sz w:val="22"/>
                <w:szCs w:val="22"/>
                <w:lang w:val="sr-Latn-CS"/>
              </w:rPr>
              <w:t xml:space="preserve">terapije, uz posebnu </w:t>
            </w:r>
            <w:r>
              <w:rPr>
                <w:color w:val="000000"/>
                <w:sz w:val="22"/>
                <w:szCs w:val="22"/>
                <w:lang w:val="sr-Latn-CS"/>
              </w:rPr>
              <w:t>opreznost kod onih pacijenata</w:t>
            </w:r>
            <w:r w:rsidRPr="00405C0D">
              <w:rPr>
                <w:color w:val="000000"/>
                <w:sz w:val="22"/>
                <w:szCs w:val="22"/>
                <w:lang w:val="sr-Latn-CS"/>
              </w:rPr>
              <w:t xml:space="preserve"> koji posjeduju faktore rizika za bubrežnu disfunkciju.</w:t>
            </w:r>
            <w:r>
              <w:rPr>
                <w:color w:val="000000"/>
                <w:sz w:val="22"/>
                <w:szCs w:val="22"/>
                <w:lang w:val="sr-Latn-CS"/>
              </w:rPr>
              <w:t xml:space="preserve"> Ako se uoči </w:t>
            </w:r>
            <w:r w:rsidRPr="00405C0D">
              <w:rPr>
                <w:color w:val="000000"/>
                <w:sz w:val="22"/>
                <w:szCs w:val="22"/>
                <w:lang w:val="sr-Latn-CS"/>
              </w:rPr>
              <w:t>bubrežna disfunkcija, potrebno je uvesti odgovarajući nadzor i liječenje u skladu sa</w:t>
            </w:r>
            <w:r>
              <w:rPr>
                <w:color w:val="000000"/>
                <w:sz w:val="22"/>
                <w:szCs w:val="22"/>
                <w:lang w:val="sr-Latn-CS"/>
              </w:rPr>
              <w:t xml:space="preserve"> </w:t>
            </w:r>
            <w:r w:rsidRPr="00405C0D">
              <w:rPr>
                <w:color w:val="000000"/>
                <w:sz w:val="22"/>
                <w:szCs w:val="22"/>
                <w:lang w:val="sr-Latn-CS"/>
              </w:rPr>
              <w:t>standardnim smjernicama liječenja.</w:t>
            </w:r>
          </w:p>
          <w:p w:rsidR="000A2337" w:rsidRPr="0046738A" w:rsidRDefault="000A2337" w:rsidP="00161AB3">
            <w:pPr>
              <w:pStyle w:val="Header"/>
              <w:tabs>
                <w:tab w:val="left" w:pos="284"/>
              </w:tabs>
              <w:rPr>
                <w:color w:val="000000"/>
                <w:sz w:val="22"/>
                <w:szCs w:val="22"/>
                <w:lang w:val="sr-Latn-CS"/>
              </w:rPr>
            </w:pPr>
          </w:p>
          <w:p w:rsidR="000A2337" w:rsidRPr="00696A23" w:rsidRDefault="000A2337" w:rsidP="00161AB3">
            <w:pPr>
              <w:pStyle w:val="Header"/>
              <w:tabs>
                <w:tab w:val="left" w:pos="284"/>
              </w:tabs>
              <w:rPr>
                <w:color w:val="000000"/>
                <w:sz w:val="22"/>
                <w:szCs w:val="22"/>
                <w:u w:val="single"/>
                <w:lang w:val="sr-Latn-CS"/>
              </w:rPr>
            </w:pPr>
            <w:r w:rsidRPr="00696A23">
              <w:rPr>
                <w:color w:val="000000"/>
                <w:sz w:val="22"/>
                <w:szCs w:val="22"/>
                <w:u w:val="single"/>
                <w:lang w:val="sr-Latn-CS"/>
              </w:rPr>
              <w:t>Pedijatrijska populacija</w:t>
            </w:r>
          </w:p>
          <w:p w:rsidR="000A2337" w:rsidRPr="0046738A" w:rsidRDefault="000A2337" w:rsidP="00161AB3">
            <w:pPr>
              <w:pStyle w:val="Header"/>
              <w:tabs>
                <w:tab w:val="left" w:pos="284"/>
              </w:tabs>
              <w:jc w:val="both"/>
              <w:rPr>
                <w:color w:val="000000"/>
                <w:sz w:val="22"/>
                <w:szCs w:val="22"/>
                <w:lang w:val="sr-Latn-CS"/>
              </w:rPr>
            </w:pPr>
            <w:r w:rsidRPr="0046738A">
              <w:rPr>
                <w:color w:val="000000"/>
                <w:sz w:val="22"/>
                <w:szCs w:val="22"/>
                <w:lang w:val="sr-Latn-CS"/>
              </w:rPr>
              <w:t>Prijavljivani su slučajevi usporenog rasta koje se javljalo kod djece i preadolescenata koji su uzimali imatinib. Ni</w:t>
            </w:r>
            <w:r>
              <w:rPr>
                <w:color w:val="000000"/>
                <w:sz w:val="22"/>
                <w:szCs w:val="22"/>
                <w:lang w:val="sr-Latn-CS"/>
              </w:rPr>
              <w:t>je</w:t>
            </w:r>
            <w:r w:rsidRPr="0046738A">
              <w:rPr>
                <w:color w:val="000000"/>
                <w:sz w:val="22"/>
                <w:szCs w:val="22"/>
                <w:lang w:val="sr-Latn-CS"/>
              </w:rPr>
              <w:t>su poznati dugotrajni efekti na rast djece kod produžene terapije imatinibom. Zbog toga se preporučuje pažljivo praćenje rasta djece koja su na terapiji imatinibom (vidjeti odjeljak 4.8).</w:t>
            </w:r>
          </w:p>
          <w:p w:rsidR="000A2337" w:rsidRPr="003A00BF" w:rsidRDefault="000A2337" w:rsidP="00161AB3">
            <w:pPr>
              <w:pStyle w:val="Header"/>
              <w:tabs>
                <w:tab w:val="left" w:pos="284"/>
              </w:tabs>
              <w:rPr>
                <w:rFonts w:cs="Arial"/>
                <w:sz w:val="22"/>
                <w:lang w:val="da-DK"/>
              </w:rPr>
            </w:pPr>
          </w:p>
        </w:tc>
      </w:tr>
      <w:tr w:rsidR="000A2337" w:rsidRPr="00D617EA" w:rsidTr="00161AB3">
        <w:tc>
          <w:tcPr>
            <w:tcW w:w="10188" w:type="dxa"/>
            <w:gridSpan w:val="4"/>
            <w:vAlign w:val="center"/>
          </w:tcPr>
          <w:p w:rsidR="000A2337" w:rsidRPr="00D617EA" w:rsidRDefault="000A2337" w:rsidP="0074091F">
            <w:pPr>
              <w:pStyle w:val="Header"/>
              <w:tabs>
                <w:tab w:val="left" w:pos="284"/>
              </w:tabs>
              <w:rPr>
                <w:rFonts w:cs="Arial"/>
                <w:b/>
                <w:bCs/>
                <w:sz w:val="22"/>
                <w:lang w:val="sr-Latn-CS"/>
              </w:rPr>
            </w:pPr>
            <w:r w:rsidRPr="00D617EA">
              <w:rPr>
                <w:rFonts w:cs="Arial"/>
                <w:b/>
                <w:bCs/>
                <w:sz w:val="22"/>
                <w:lang w:val="sr-Latn-CS"/>
              </w:rPr>
              <w:lastRenderedPageBreak/>
              <w:t xml:space="preserve">4.5. Interakcije sa drugim </w:t>
            </w:r>
            <w:r>
              <w:rPr>
                <w:rFonts w:cs="Arial"/>
                <w:b/>
                <w:bCs/>
                <w:sz w:val="22"/>
                <w:lang w:val="sr-Latn-CS"/>
              </w:rPr>
              <w:t>ljek</w:t>
            </w:r>
            <w:r w:rsidRPr="00D617EA">
              <w:rPr>
                <w:rFonts w:cs="Arial"/>
                <w:b/>
                <w:bCs/>
                <w:sz w:val="22"/>
                <w:lang w:val="sr-Latn-CS"/>
              </w:rPr>
              <w:t>ovima i druge vrste interakcija</w:t>
            </w:r>
          </w:p>
        </w:tc>
      </w:tr>
      <w:tr w:rsidR="000A2337" w:rsidRPr="003A00BF" w:rsidTr="00161AB3">
        <w:trPr>
          <w:trHeight w:val="1145"/>
        </w:trPr>
        <w:tc>
          <w:tcPr>
            <w:tcW w:w="10188" w:type="dxa"/>
            <w:gridSpan w:val="4"/>
            <w:vAlign w:val="center"/>
          </w:tcPr>
          <w:p w:rsidR="000A2337" w:rsidRPr="001E7DD5" w:rsidRDefault="000A2337" w:rsidP="0074091F">
            <w:pPr>
              <w:shd w:val="clear" w:color="auto" w:fill="FFFFFF"/>
              <w:spacing w:before="245" w:line="240" w:lineRule="atLeast"/>
              <w:jc w:val="both"/>
              <w:rPr>
                <w:sz w:val="22"/>
                <w:szCs w:val="22"/>
                <w:lang w:val="sr-Latn-CS"/>
              </w:rPr>
            </w:pPr>
            <w:r w:rsidRPr="001E7DD5">
              <w:rPr>
                <w:color w:val="000000"/>
                <w:sz w:val="22"/>
                <w:szCs w:val="22"/>
                <w:u w:val="single"/>
                <w:lang w:val="sr-Latn-CS"/>
              </w:rPr>
              <w:t xml:space="preserve">Aktivne supstance koje mogu </w:t>
            </w:r>
            <w:r w:rsidRPr="001E7DD5">
              <w:rPr>
                <w:b/>
                <w:bCs/>
                <w:color w:val="000000"/>
                <w:sz w:val="22"/>
                <w:szCs w:val="22"/>
                <w:u w:val="single"/>
                <w:lang w:val="sr-Latn-CS"/>
              </w:rPr>
              <w:t xml:space="preserve">povećati </w:t>
            </w:r>
            <w:r w:rsidRPr="001E7DD5">
              <w:rPr>
                <w:bCs/>
                <w:color w:val="000000"/>
                <w:sz w:val="22"/>
                <w:szCs w:val="22"/>
                <w:u w:val="single"/>
                <w:lang w:val="sr-Latn-CS"/>
              </w:rPr>
              <w:t>koncentraciju</w:t>
            </w:r>
            <w:r w:rsidRPr="001E7DD5">
              <w:rPr>
                <w:color w:val="000000"/>
                <w:sz w:val="22"/>
                <w:szCs w:val="22"/>
                <w:u w:val="single"/>
                <w:lang w:val="sr-Latn-CS"/>
              </w:rPr>
              <w:t xml:space="preserve"> imatiniba u plazmi:</w:t>
            </w:r>
          </w:p>
          <w:p w:rsidR="000A2337" w:rsidRPr="008A3AC4" w:rsidRDefault="000A2337" w:rsidP="00161AB3">
            <w:pPr>
              <w:autoSpaceDE w:val="0"/>
              <w:autoSpaceDN w:val="0"/>
              <w:adjustRightInd w:val="0"/>
              <w:jc w:val="both"/>
              <w:rPr>
                <w:color w:val="000000"/>
                <w:sz w:val="22"/>
                <w:szCs w:val="22"/>
                <w:lang w:val="sr-Latn-CS"/>
              </w:rPr>
            </w:pPr>
            <w:r w:rsidRPr="001E7DD5">
              <w:rPr>
                <w:color w:val="000000"/>
                <w:sz w:val="22"/>
                <w:szCs w:val="22"/>
                <w:lang w:val="sr-Latn-CS"/>
              </w:rPr>
              <w:t xml:space="preserve">Supstance koje inhibiraju aktivnost citohrom P450 izoenzima CYP3A4 (npr. </w:t>
            </w:r>
            <w:r w:rsidRPr="008A3AC4">
              <w:rPr>
                <w:color w:val="000000"/>
                <w:sz w:val="22"/>
                <w:szCs w:val="22"/>
                <w:lang w:val="sr-Latn-CS"/>
              </w:rPr>
              <w:t>inhibitori proteaze kao što</w:t>
            </w:r>
            <w:r>
              <w:rPr>
                <w:color w:val="000000"/>
                <w:sz w:val="22"/>
                <w:szCs w:val="22"/>
                <w:lang w:val="sr-Latn-CS"/>
              </w:rPr>
              <w:t xml:space="preserve"> </w:t>
            </w:r>
            <w:r w:rsidRPr="008A3AC4">
              <w:rPr>
                <w:color w:val="000000"/>
                <w:sz w:val="22"/>
                <w:szCs w:val="22"/>
                <w:lang w:val="sr-Latn-CS"/>
              </w:rPr>
              <w:t>su indinavir, lopinavir/ritonavir, ritonavir, sakvinavir, telaprevir, nelfinavir, boceprevir; azolni</w:t>
            </w:r>
            <w:r>
              <w:rPr>
                <w:color w:val="000000"/>
                <w:sz w:val="22"/>
                <w:szCs w:val="22"/>
                <w:lang w:val="sr-Latn-CS"/>
              </w:rPr>
              <w:t xml:space="preserve"> antimikotici </w:t>
            </w:r>
            <w:r w:rsidRPr="008A3AC4">
              <w:rPr>
                <w:color w:val="000000"/>
                <w:sz w:val="22"/>
                <w:szCs w:val="22"/>
                <w:lang w:val="sr-Latn-CS"/>
              </w:rPr>
              <w:t>uključujući ketokonazol, itrakonazol, posakonazol, vorikonazol; određeni makrolidi kao</w:t>
            </w:r>
            <w:r>
              <w:rPr>
                <w:color w:val="000000"/>
                <w:sz w:val="22"/>
                <w:szCs w:val="22"/>
                <w:lang w:val="sr-Latn-CS"/>
              </w:rPr>
              <w:t xml:space="preserve"> </w:t>
            </w:r>
            <w:r w:rsidRPr="008A3AC4">
              <w:rPr>
                <w:color w:val="000000"/>
                <w:sz w:val="22"/>
                <w:szCs w:val="22"/>
                <w:lang w:val="sr-Latn-CS"/>
              </w:rPr>
              <w:t>što su eritromici</w:t>
            </w:r>
            <w:r>
              <w:rPr>
                <w:color w:val="000000"/>
                <w:sz w:val="22"/>
                <w:szCs w:val="22"/>
                <w:lang w:val="sr-Latn-CS"/>
              </w:rPr>
              <w:t>n, klaritromicin i telitromicin</w:t>
            </w:r>
            <w:r w:rsidRPr="001E7DD5">
              <w:rPr>
                <w:color w:val="000000"/>
                <w:sz w:val="22"/>
                <w:szCs w:val="22"/>
                <w:lang w:val="sr-Latn-CS"/>
              </w:rPr>
              <w:t xml:space="preserve">) mogu da smanje metabolizam i povećaju koncentracije imatiniba. </w:t>
            </w:r>
            <w:r>
              <w:rPr>
                <w:color w:val="000000"/>
                <w:sz w:val="22"/>
                <w:szCs w:val="22"/>
                <w:lang w:val="sr-Latn-CS"/>
              </w:rPr>
              <w:t>K</w:t>
            </w:r>
            <w:r w:rsidRPr="001E7DD5">
              <w:rPr>
                <w:color w:val="000000"/>
                <w:sz w:val="22"/>
                <w:szCs w:val="22"/>
                <w:lang w:val="sr-Latn-CS"/>
              </w:rPr>
              <w:t xml:space="preserve">od zdravih ispitanika </w:t>
            </w:r>
            <w:r>
              <w:rPr>
                <w:color w:val="000000"/>
                <w:sz w:val="22"/>
                <w:szCs w:val="22"/>
                <w:lang w:val="sr-Latn-CS"/>
              </w:rPr>
              <w:t>je došlo</w:t>
            </w:r>
            <w:r w:rsidRPr="001E7DD5">
              <w:rPr>
                <w:color w:val="000000"/>
                <w:sz w:val="22"/>
                <w:szCs w:val="22"/>
                <w:lang w:val="sr-Latn-CS"/>
              </w:rPr>
              <w:t xml:space="preserve"> do značajnog povećanja izloženosti imatinibu (srednja C</w:t>
            </w:r>
            <w:r w:rsidRPr="001E7DD5">
              <w:rPr>
                <w:color w:val="000000"/>
                <w:sz w:val="22"/>
                <w:szCs w:val="22"/>
                <w:vertAlign w:val="subscript"/>
                <w:lang w:val="sr-Latn-CS"/>
              </w:rPr>
              <w:t>max</w:t>
            </w:r>
            <w:r w:rsidRPr="001E7DD5">
              <w:rPr>
                <w:color w:val="000000"/>
                <w:sz w:val="22"/>
                <w:szCs w:val="22"/>
                <w:lang w:val="sr-Latn-CS"/>
              </w:rPr>
              <w:t xml:space="preserve"> imatiniba je porasla za 26%, a PIK imatiniba je porastao za 40%) kad se </w:t>
            </w:r>
            <w:r>
              <w:rPr>
                <w:color w:val="000000"/>
                <w:sz w:val="22"/>
                <w:szCs w:val="22"/>
                <w:lang w:val="sr-Latn-CS"/>
              </w:rPr>
              <w:t xml:space="preserve">imatinib </w:t>
            </w:r>
            <w:r w:rsidRPr="001E7DD5">
              <w:rPr>
                <w:color w:val="000000"/>
                <w:sz w:val="22"/>
                <w:szCs w:val="22"/>
                <w:lang w:val="sr-Latn-CS"/>
              </w:rPr>
              <w:t xml:space="preserve">davao istovremeno sa jednom dozom ketokonazola (CYP3A4 inhibitor). Treba biti  oprezan  </w:t>
            </w:r>
            <w:r>
              <w:rPr>
                <w:color w:val="000000"/>
                <w:sz w:val="22"/>
                <w:szCs w:val="22"/>
                <w:lang w:val="sr-Latn-CS"/>
              </w:rPr>
              <w:t xml:space="preserve">pri primjeni </w:t>
            </w:r>
            <w:r>
              <w:rPr>
                <w:bCs/>
                <w:sz w:val="22"/>
                <w:szCs w:val="22"/>
                <w:lang w:val="da-DK"/>
              </w:rPr>
              <w:t>matiniba</w:t>
            </w:r>
            <w:r>
              <w:rPr>
                <w:color w:val="000000"/>
                <w:sz w:val="22"/>
                <w:szCs w:val="22"/>
                <w:lang w:val="sr-Latn-CS"/>
              </w:rPr>
              <w:t xml:space="preserve"> sa </w:t>
            </w:r>
            <w:r w:rsidRPr="001E7DD5">
              <w:rPr>
                <w:color w:val="000000"/>
                <w:sz w:val="22"/>
                <w:szCs w:val="22"/>
                <w:lang w:val="sr-Latn-CS"/>
              </w:rPr>
              <w:t xml:space="preserve">inhibitorima grupe </w:t>
            </w:r>
            <w:r w:rsidRPr="001E7DD5">
              <w:rPr>
                <w:rFonts w:cs="Arial"/>
                <w:sz w:val="22"/>
                <w:lang w:val="da-DK"/>
              </w:rPr>
              <w:t xml:space="preserve">CYP3A4. </w:t>
            </w:r>
          </w:p>
          <w:p w:rsidR="000A2337" w:rsidRPr="001E7DD5" w:rsidRDefault="000A2337" w:rsidP="00161AB3">
            <w:pPr>
              <w:shd w:val="clear" w:color="auto" w:fill="FFFFFF"/>
              <w:spacing w:before="245" w:line="240" w:lineRule="atLeast"/>
              <w:jc w:val="both"/>
              <w:rPr>
                <w:sz w:val="22"/>
                <w:szCs w:val="22"/>
                <w:lang w:val="sr-Latn-CS"/>
              </w:rPr>
            </w:pPr>
            <w:r>
              <w:rPr>
                <w:color w:val="000000"/>
                <w:sz w:val="22"/>
                <w:szCs w:val="22"/>
                <w:u w:val="single"/>
                <w:lang w:val="sr-Latn-CS"/>
              </w:rPr>
              <w:t xml:space="preserve">Aktivne supstance </w:t>
            </w:r>
            <w:r w:rsidRPr="001E7DD5">
              <w:rPr>
                <w:color w:val="000000"/>
                <w:sz w:val="22"/>
                <w:szCs w:val="22"/>
                <w:u w:val="single"/>
                <w:lang w:val="sr-Latn-CS"/>
              </w:rPr>
              <w:t>koje mogu</w:t>
            </w:r>
            <w:r w:rsidRPr="001E7DD5">
              <w:rPr>
                <w:b/>
                <w:bCs/>
                <w:color w:val="000000"/>
                <w:sz w:val="22"/>
                <w:szCs w:val="22"/>
                <w:u w:val="single"/>
                <w:lang w:val="sr-Latn-CS"/>
              </w:rPr>
              <w:t xml:space="preserve"> smanjiti </w:t>
            </w:r>
            <w:r w:rsidRPr="001E7DD5">
              <w:rPr>
                <w:bCs/>
                <w:color w:val="000000"/>
                <w:sz w:val="22"/>
                <w:szCs w:val="22"/>
                <w:u w:val="single"/>
                <w:lang w:val="sr-Latn-CS"/>
              </w:rPr>
              <w:t>koncentraciju</w:t>
            </w:r>
            <w:r w:rsidRPr="001E7DD5">
              <w:rPr>
                <w:color w:val="000000"/>
                <w:sz w:val="22"/>
                <w:szCs w:val="22"/>
                <w:u w:val="single"/>
                <w:lang w:val="sr-Latn-CS"/>
              </w:rPr>
              <w:t xml:space="preserve"> imatiniba u plazmi:</w:t>
            </w:r>
          </w:p>
          <w:p w:rsidR="000A2337" w:rsidRPr="001E7DD5" w:rsidRDefault="000A2337" w:rsidP="00161AB3">
            <w:pPr>
              <w:shd w:val="clear" w:color="auto" w:fill="FFFFFF"/>
              <w:spacing w:line="240" w:lineRule="atLeast"/>
              <w:jc w:val="both"/>
              <w:rPr>
                <w:sz w:val="22"/>
                <w:szCs w:val="22"/>
                <w:lang w:val="sr-Latn-CS"/>
              </w:rPr>
            </w:pPr>
            <w:r w:rsidRPr="001E7DD5">
              <w:rPr>
                <w:color w:val="000000"/>
                <w:sz w:val="22"/>
                <w:szCs w:val="22"/>
                <w:lang w:val="sr-Latn-CS"/>
              </w:rPr>
              <w:t xml:space="preserve">Supstance koje su induktori aktivnosti CYP3A4 (npr. deksametazon, fenitoin, karbamazepin, rifampicin, fenobarbiton, fosfenitoin, primidon ili </w:t>
            </w:r>
            <w:r w:rsidRPr="001E7DD5">
              <w:rPr>
                <w:i/>
                <w:iCs/>
                <w:color w:val="000000"/>
                <w:sz w:val="22"/>
                <w:szCs w:val="22"/>
                <w:lang w:val="sr-Latn-CS"/>
              </w:rPr>
              <w:t xml:space="preserve">Hypericum perforatum, </w:t>
            </w:r>
            <w:r w:rsidRPr="001E7DD5">
              <w:rPr>
                <w:color w:val="000000"/>
                <w:sz w:val="22"/>
                <w:szCs w:val="22"/>
                <w:lang w:val="sr-Latn-CS"/>
              </w:rPr>
              <w:t>poznat i kao kantarion) mogu znač</w:t>
            </w:r>
            <w:r>
              <w:rPr>
                <w:color w:val="000000"/>
                <w:sz w:val="22"/>
                <w:szCs w:val="22"/>
                <w:lang w:val="sr-Latn-CS"/>
              </w:rPr>
              <w:t>ajno da smanje izloženost i</w:t>
            </w:r>
            <w:r>
              <w:rPr>
                <w:bCs/>
                <w:sz w:val="22"/>
                <w:szCs w:val="22"/>
                <w:lang w:val="da-DK"/>
              </w:rPr>
              <w:t>matinibu</w:t>
            </w:r>
            <w:r w:rsidRPr="001E7DD5">
              <w:rPr>
                <w:color w:val="000000"/>
                <w:sz w:val="22"/>
                <w:szCs w:val="22"/>
                <w:lang w:val="sr-Latn-CS"/>
              </w:rPr>
              <w:t xml:space="preserve">, potencijalno povećavajući rizik od terapijskog neuspjeha. Prethodna terapija </w:t>
            </w:r>
            <w:r>
              <w:rPr>
                <w:color w:val="000000"/>
                <w:sz w:val="22"/>
                <w:szCs w:val="22"/>
                <w:lang w:val="sr-Latn-CS"/>
              </w:rPr>
              <w:t>ponovljenim</w:t>
            </w:r>
            <w:r w:rsidRPr="001E7DD5">
              <w:rPr>
                <w:color w:val="000000"/>
                <w:sz w:val="22"/>
                <w:szCs w:val="22"/>
                <w:lang w:val="sr-Latn-CS"/>
              </w:rPr>
              <w:t xml:space="preserve"> dozama rifampicina od 600 mg praćenim pojedinačnom dozom od 400 mg </w:t>
            </w:r>
            <w:r>
              <w:rPr>
                <w:color w:val="000000"/>
                <w:sz w:val="22"/>
                <w:szCs w:val="22"/>
                <w:lang w:val="sr-Latn-CS"/>
              </w:rPr>
              <w:t>i</w:t>
            </w:r>
            <w:r>
              <w:rPr>
                <w:bCs/>
                <w:sz w:val="22"/>
                <w:szCs w:val="22"/>
                <w:lang w:val="da-DK"/>
              </w:rPr>
              <w:t>matiniba</w:t>
            </w:r>
            <w:r w:rsidRPr="001E7DD5">
              <w:rPr>
                <w:bCs/>
                <w:sz w:val="22"/>
                <w:szCs w:val="22"/>
                <w:vertAlign w:val="superscript"/>
                <w:lang w:val="da-DK"/>
              </w:rPr>
              <w:t xml:space="preserve"> </w:t>
            </w:r>
            <w:r>
              <w:rPr>
                <w:color w:val="000000"/>
                <w:sz w:val="22"/>
                <w:szCs w:val="22"/>
                <w:lang w:val="sr-Latn-CS"/>
              </w:rPr>
              <w:t xml:space="preserve"> rezultir</w:t>
            </w:r>
            <w:r w:rsidRPr="001E7DD5">
              <w:rPr>
                <w:color w:val="000000"/>
                <w:sz w:val="22"/>
                <w:szCs w:val="22"/>
                <w:lang w:val="sr-Latn-CS"/>
              </w:rPr>
              <w:t>ala je sniženjem C</w:t>
            </w:r>
            <w:r w:rsidRPr="001E7DD5">
              <w:rPr>
                <w:color w:val="000000"/>
                <w:sz w:val="22"/>
                <w:szCs w:val="22"/>
                <w:vertAlign w:val="subscript"/>
                <w:lang w:val="sr-Latn-CS"/>
              </w:rPr>
              <w:t>max</w:t>
            </w:r>
            <w:r w:rsidRPr="001E7DD5">
              <w:rPr>
                <w:color w:val="000000"/>
                <w:sz w:val="22"/>
                <w:szCs w:val="22"/>
                <w:lang w:val="sr-Latn-CS"/>
              </w:rPr>
              <w:t xml:space="preserve"> i PIK</w:t>
            </w:r>
            <w:r w:rsidRPr="001E7DD5">
              <w:rPr>
                <w:color w:val="000000"/>
                <w:sz w:val="22"/>
                <w:szCs w:val="22"/>
                <w:vertAlign w:val="subscript"/>
                <w:lang w:val="sr-Latn-CS"/>
              </w:rPr>
              <w:t>(0-∞)</w:t>
            </w:r>
            <w:r>
              <w:rPr>
                <w:color w:val="000000"/>
                <w:sz w:val="22"/>
                <w:szCs w:val="22"/>
                <w:lang w:val="sr-Latn-CS"/>
              </w:rPr>
              <w:t xml:space="preserve"> za najmanje 54%, odnosno 74% u odnosu na </w:t>
            </w:r>
            <w:r w:rsidRPr="001E7DD5">
              <w:rPr>
                <w:color w:val="000000"/>
                <w:sz w:val="22"/>
                <w:szCs w:val="22"/>
                <w:lang w:val="sr-Latn-CS"/>
              </w:rPr>
              <w:t xml:space="preserve">vrijednosti bez terapije rifampicinom. Slični rezultati zapaženi su kod pacijenata sa malignim gliomima liječenih </w:t>
            </w:r>
            <w:r>
              <w:rPr>
                <w:color w:val="000000"/>
                <w:sz w:val="22"/>
                <w:szCs w:val="22"/>
                <w:lang w:val="sr-Latn-CS"/>
              </w:rPr>
              <w:t>i</w:t>
            </w:r>
            <w:r>
              <w:rPr>
                <w:bCs/>
                <w:sz w:val="22"/>
                <w:szCs w:val="22"/>
                <w:lang w:val="da-DK"/>
              </w:rPr>
              <w:t>matinibom</w:t>
            </w:r>
            <w:r w:rsidRPr="001E7DD5">
              <w:rPr>
                <w:bCs/>
                <w:sz w:val="22"/>
                <w:szCs w:val="22"/>
                <w:vertAlign w:val="superscript"/>
                <w:lang w:val="da-DK"/>
              </w:rPr>
              <w:t xml:space="preserve">  </w:t>
            </w:r>
            <w:r w:rsidRPr="001E7DD5">
              <w:rPr>
                <w:color w:val="000000"/>
                <w:sz w:val="22"/>
                <w:szCs w:val="22"/>
                <w:lang w:val="sr-Latn-CS"/>
              </w:rPr>
              <w:t>dok su uzimali antiepileptike koji indukuju enzime (EIAEDs), kao što su karbamazepin, okskarbamazepin i fenitoin. PIK imatiniba u plazmi se smanjio za 73%  u poređenju sa pacijentima koji ni</w:t>
            </w:r>
            <w:r>
              <w:rPr>
                <w:color w:val="000000"/>
                <w:sz w:val="22"/>
                <w:szCs w:val="22"/>
                <w:lang w:val="sr-Latn-CS"/>
              </w:rPr>
              <w:t>je</w:t>
            </w:r>
            <w:r w:rsidRPr="001E7DD5">
              <w:rPr>
                <w:color w:val="000000"/>
                <w:sz w:val="22"/>
                <w:szCs w:val="22"/>
                <w:lang w:val="sr-Latn-CS"/>
              </w:rPr>
              <w:t>su bili na EIAEDs. Treba izbjegavati istovremenu primjenu  rifampicina ili drugih snažnih induktora CYP3A4 i imatiniba.</w:t>
            </w:r>
          </w:p>
          <w:p w:rsidR="000A2337" w:rsidRPr="007E4C9B" w:rsidRDefault="000A2337" w:rsidP="00161AB3">
            <w:pPr>
              <w:shd w:val="clear" w:color="auto" w:fill="FFFFFF"/>
              <w:spacing w:before="250" w:line="240" w:lineRule="atLeast"/>
              <w:jc w:val="both"/>
              <w:rPr>
                <w:sz w:val="22"/>
                <w:szCs w:val="22"/>
                <w:u w:val="single"/>
                <w:lang w:val="sr-Latn-CS"/>
              </w:rPr>
            </w:pPr>
            <w:r w:rsidRPr="007E4C9B">
              <w:rPr>
                <w:bCs/>
                <w:color w:val="000000"/>
                <w:sz w:val="22"/>
                <w:szCs w:val="22"/>
                <w:u w:val="single"/>
                <w:lang w:val="sr-Latn-CS"/>
              </w:rPr>
              <w:t>Aktivn</w:t>
            </w:r>
            <w:r>
              <w:rPr>
                <w:bCs/>
                <w:color w:val="000000"/>
                <w:sz w:val="22"/>
                <w:szCs w:val="22"/>
                <w:u w:val="single"/>
                <w:lang w:val="sr-Latn-CS"/>
              </w:rPr>
              <w:t xml:space="preserve">e supstance čiju koncentraciju </w:t>
            </w:r>
            <w:r w:rsidRPr="007E4C9B">
              <w:rPr>
                <w:bCs/>
                <w:color w:val="000000"/>
                <w:sz w:val="22"/>
                <w:szCs w:val="22"/>
                <w:u w:val="single"/>
                <w:lang w:val="sr-Latn-CS"/>
              </w:rPr>
              <w:t xml:space="preserve">u plazmi </w:t>
            </w:r>
            <w:r w:rsidRPr="007E4C9B">
              <w:rPr>
                <w:bCs/>
                <w:sz w:val="22"/>
                <w:szCs w:val="22"/>
                <w:u w:val="single"/>
                <w:lang w:val="da-DK"/>
              </w:rPr>
              <w:t>imatinib</w:t>
            </w:r>
            <w:r w:rsidRPr="007E4C9B">
              <w:rPr>
                <w:bCs/>
                <w:color w:val="000000"/>
                <w:sz w:val="22"/>
                <w:szCs w:val="22"/>
                <w:u w:val="single"/>
                <w:lang w:val="sr-Latn-CS"/>
              </w:rPr>
              <w:t xml:space="preserve"> može da mijenja</w:t>
            </w:r>
            <w:r w:rsidRPr="007E4C9B">
              <w:rPr>
                <w:color w:val="000000"/>
                <w:sz w:val="22"/>
                <w:szCs w:val="22"/>
                <w:u w:val="single"/>
                <w:lang w:val="sr-Latn-CS"/>
              </w:rPr>
              <w:t xml:space="preserve"> </w:t>
            </w:r>
            <w:r w:rsidRPr="007E4C9B">
              <w:rPr>
                <w:bCs/>
                <w:color w:val="000000"/>
                <w:sz w:val="22"/>
                <w:szCs w:val="22"/>
                <w:u w:val="single"/>
                <w:lang w:val="sr-Latn-CS"/>
              </w:rPr>
              <w:t xml:space="preserve"> </w:t>
            </w:r>
          </w:p>
          <w:p w:rsidR="000A2337" w:rsidRPr="001E7DD5" w:rsidRDefault="000A2337" w:rsidP="00161AB3">
            <w:pPr>
              <w:shd w:val="clear" w:color="auto" w:fill="FFFFFF"/>
              <w:spacing w:line="240" w:lineRule="atLeast"/>
              <w:jc w:val="both"/>
              <w:rPr>
                <w:sz w:val="22"/>
                <w:szCs w:val="22"/>
                <w:lang w:val="sr-Latn-CS"/>
              </w:rPr>
            </w:pPr>
            <w:r w:rsidRPr="001E7DD5">
              <w:rPr>
                <w:color w:val="000000"/>
                <w:sz w:val="22"/>
                <w:szCs w:val="22"/>
                <w:lang w:val="sr-Latn-CS"/>
              </w:rPr>
              <w:t>Imatinib povećava srednju C</w:t>
            </w:r>
            <w:r w:rsidRPr="001E7DD5">
              <w:rPr>
                <w:color w:val="000000"/>
                <w:sz w:val="22"/>
                <w:szCs w:val="22"/>
                <w:vertAlign w:val="subscript"/>
                <w:lang w:val="sr-Latn-CS"/>
              </w:rPr>
              <w:t>max</w:t>
            </w:r>
            <w:r w:rsidRPr="001E7DD5">
              <w:rPr>
                <w:color w:val="000000"/>
                <w:sz w:val="22"/>
                <w:szCs w:val="22"/>
                <w:lang w:val="sr-Latn-CS"/>
              </w:rPr>
              <w:t xml:space="preserve"> i PIK simvastatina (supstrata CYP3A4) </w:t>
            </w:r>
            <w:r>
              <w:rPr>
                <w:color w:val="000000"/>
                <w:sz w:val="22"/>
                <w:szCs w:val="22"/>
                <w:lang w:val="sr-Latn-CS"/>
              </w:rPr>
              <w:t xml:space="preserve">za </w:t>
            </w:r>
            <w:r w:rsidRPr="001E7DD5">
              <w:rPr>
                <w:color w:val="000000"/>
                <w:sz w:val="22"/>
                <w:szCs w:val="22"/>
                <w:lang w:val="sr-Latn-CS"/>
              </w:rPr>
              <w:t>2 puta, odnosno 3,5-puta, ukazujući na inhibiciju CYP3A4 imatinibom. Stoga se pr</w:t>
            </w:r>
            <w:r>
              <w:rPr>
                <w:color w:val="000000"/>
                <w:sz w:val="22"/>
                <w:szCs w:val="22"/>
                <w:lang w:val="sr-Latn-CS"/>
              </w:rPr>
              <w:t>eporučuje oprezno davanje i</w:t>
            </w:r>
            <w:r>
              <w:rPr>
                <w:bCs/>
                <w:sz w:val="22"/>
                <w:szCs w:val="22"/>
                <w:lang w:val="da-DK"/>
              </w:rPr>
              <w:t>matiniba</w:t>
            </w:r>
            <w:r w:rsidRPr="001E7DD5">
              <w:rPr>
                <w:bCs/>
                <w:sz w:val="22"/>
                <w:szCs w:val="22"/>
                <w:vertAlign w:val="superscript"/>
                <w:lang w:val="da-DK"/>
              </w:rPr>
              <w:t xml:space="preserve"> </w:t>
            </w:r>
            <w:r w:rsidRPr="001E7DD5">
              <w:rPr>
                <w:color w:val="000000"/>
                <w:sz w:val="22"/>
                <w:szCs w:val="22"/>
                <w:lang w:val="sr-Latn-CS"/>
              </w:rPr>
              <w:t xml:space="preserve"> sa supstratima CYP3A4 koji imaju usk</w:t>
            </w:r>
            <w:r>
              <w:rPr>
                <w:color w:val="000000"/>
                <w:sz w:val="22"/>
                <w:szCs w:val="22"/>
                <w:lang w:val="sr-Latn-CS"/>
              </w:rPr>
              <w:t xml:space="preserve">u terapijsku širinu (npr. ciklosporin, </w:t>
            </w:r>
            <w:r w:rsidRPr="001E7DD5">
              <w:rPr>
                <w:color w:val="000000"/>
                <w:sz w:val="22"/>
                <w:szCs w:val="22"/>
                <w:lang w:val="sr-Latn-CS"/>
              </w:rPr>
              <w:t>pimozid</w:t>
            </w:r>
            <w:r>
              <w:rPr>
                <w:color w:val="000000"/>
                <w:sz w:val="22"/>
                <w:szCs w:val="22"/>
                <w:lang w:val="sr-Latn-CS"/>
              </w:rPr>
              <w:t>, takrolimus, sirolimus, ergotamin, diergotamin, fentanil, alfentanil, terfenadin, bortezomib, docetaksel i kvinidin</w:t>
            </w:r>
            <w:r w:rsidRPr="001E7DD5">
              <w:rPr>
                <w:color w:val="000000"/>
                <w:sz w:val="22"/>
                <w:szCs w:val="22"/>
                <w:lang w:val="sr-Latn-CS"/>
              </w:rPr>
              <w:t xml:space="preserve">). </w:t>
            </w:r>
            <w:r>
              <w:rPr>
                <w:bCs/>
                <w:sz w:val="22"/>
                <w:szCs w:val="22"/>
                <w:lang w:val="da-DK"/>
              </w:rPr>
              <w:t>Imatinib</w:t>
            </w:r>
            <w:r w:rsidRPr="001E7DD5">
              <w:rPr>
                <w:bCs/>
                <w:sz w:val="22"/>
                <w:szCs w:val="22"/>
                <w:vertAlign w:val="superscript"/>
                <w:lang w:val="da-DK"/>
              </w:rPr>
              <w:t xml:space="preserve"> </w:t>
            </w:r>
            <w:r w:rsidRPr="001E7DD5">
              <w:rPr>
                <w:color w:val="000000"/>
                <w:sz w:val="22"/>
                <w:szCs w:val="22"/>
                <w:lang w:val="sr-Latn-CS"/>
              </w:rPr>
              <w:t xml:space="preserve"> može da poveća koncentracije drugih ljekova u plazmi, koji se metabolišu preko</w:t>
            </w:r>
            <w:r w:rsidRPr="001E7DD5">
              <w:rPr>
                <w:bCs/>
                <w:sz w:val="22"/>
                <w:szCs w:val="22"/>
                <w:lang w:val="da-DK"/>
              </w:rPr>
              <w:t xml:space="preserve"> </w:t>
            </w:r>
            <w:r w:rsidRPr="001E7DD5">
              <w:rPr>
                <w:rFonts w:cs="Arial"/>
                <w:sz w:val="22"/>
                <w:lang w:val="da-DK"/>
              </w:rPr>
              <w:t xml:space="preserve">CYP3A4  </w:t>
            </w:r>
            <w:r w:rsidRPr="001E7DD5">
              <w:rPr>
                <w:color w:val="000000"/>
                <w:sz w:val="22"/>
                <w:szCs w:val="22"/>
                <w:lang w:val="sr-Latn-CS"/>
              </w:rPr>
              <w:t xml:space="preserve">(npr. triazolobenzodiazepini, dihidropiridinski blokatori kalcijumskih kanala, neki inhibitori </w:t>
            </w:r>
            <w:smartTag w:uri="urn:schemas-microsoft-com:office:smarttags" w:element="stockticker">
              <w:r w:rsidRPr="001E7DD5">
                <w:rPr>
                  <w:color w:val="000000"/>
                  <w:sz w:val="22"/>
                  <w:szCs w:val="22"/>
                  <w:lang w:val="sr-Latn-CS"/>
                </w:rPr>
                <w:t>HMG</w:t>
              </w:r>
            </w:smartTag>
            <w:r w:rsidRPr="001E7DD5">
              <w:rPr>
                <w:color w:val="000000"/>
                <w:sz w:val="22"/>
                <w:szCs w:val="22"/>
                <w:lang w:val="sr-Latn-CS"/>
              </w:rPr>
              <w:t>-CoA reduktaze, tj. statini, itd.).</w:t>
            </w:r>
          </w:p>
          <w:p w:rsidR="000A2337" w:rsidRDefault="000A2337" w:rsidP="00161AB3">
            <w:pPr>
              <w:shd w:val="clear" w:color="auto" w:fill="FFFFFF"/>
              <w:spacing w:line="240" w:lineRule="atLeast"/>
              <w:jc w:val="both"/>
              <w:rPr>
                <w:color w:val="000000"/>
                <w:sz w:val="22"/>
                <w:szCs w:val="22"/>
                <w:lang w:val="sr-Latn-CS"/>
              </w:rPr>
            </w:pPr>
          </w:p>
          <w:p w:rsidR="00F3246F" w:rsidRDefault="00F3246F" w:rsidP="00161AB3">
            <w:pPr>
              <w:shd w:val="clear" w:color="auto" w:fill="FFFFFF"/>
              <w:spacing w:line="240" w:lineRule="atLeast"/>
              <w:jc w:val="both"/>
              <w:rPr>
                <w:color w:val="000000"/>
                <w:sz w:val="22"/>
                <w:szCs w:val="22"/>
                <w:lang w:val="sr-Latn-CS"/>
              </w:rPr>
            </w:pPr>
          </w:p>
          <w:p w:rsidR="000A2337" w:rsidRDefault="000A2337" w:rsidP="00161AB3">
            <w:pPr>
              <w:shd w:val="clear" w:color="auto" w:fill="FFFFFF"/>
              <w:spacing w:line="240" w:lineRule="atLeast"/>
              <w:jc w:val="both"/>
              <w:rPr>
                <w:color w:val="000000"/>
                <w:sz w:val="22"/>
                <w:szCs w:val="22"/>
                <w:lang w:val="sr-Latn-CS"/>
              </w:rPr>
            </w:pPr>
            <w:r w:rsidRPr="00625764">
              <w:rPr>
                <w:color w:val="000000"/>
                <w:sz w:val="22"/>
                <w:szCs w:val="22"/>
                <w:lang w:val="sr-Latn-CS"/>
              </w:rPr>
              <w:lastRenderedPageBreak/>
              <w:t>Zbog poznatog povećanog rizika od krvarenja povezanog s</w:t>
            </w:r>
            <w:r>
              <w:rPr>
                <w:color w:val="000000"/>
                <w:sz w:val="22"/>
                <w:szCs w:val="22"/>
                <w:lang w:val="sr-Latn-CS"/>
              </w:rPr>
              <w:t>a</w:t>
            </w:r>
            <w:r w:rsidRPr="00625764">
              <w:rPr>
                <w:color w:val="000000"/>
                <w:sz w:val="22"/>
                <w:szCs w:val="22"/>
                <w:lang w:val="sr-Latn-CS"/>
              </w:rPr>
              <w:t xml:space="preserve"> primjenom imatiniba (npr. hemoragija),</w:t>
            </w:r>
            <w:r>
              <w:rPr>
                <w:color w:val="000000"/>
                <w:sz w:val="22"/>
                <w:szCs w:val="22"/>
                <w:lang w:val="sr-Latn-CS"/>
              </w:rPr>
              <w:t xml:space="preserve"> pacijent</w:t>
            </w:r>
            <w:r w:rsidRPr="00625764">
              <w:rPr>
                <w:color w:val="000000"/>
                <w:sz w:val="22"/>
                <w:szCs w:val="22"/>
                <w:lang w:val="sr-Latn-CS"/>
              </w:rPr>
              <w:t xml:space="preserve">i kojima je </w:t>
            </w:r>
            <w:r>
              <w:rPr>
                <w:color w:val="000000"/>
                <w:sz w:val="22"/>
                <w:szCs w:val="22"/>
                <w:lang w:val="sr-Latn-CS"/>
              </w:rPr>
              <w:t>potrebna antikoagulacija treba da prime</w:t>
            </w:r>
            <w:r w:rsidRPr="00625764">
              <w:rPr>
                <w:color w:val="000000"/>
                <w:sz w:val="22"/>
                <w:szCs w:val="22"/>
                <w:lang w:val="sr-Latn-CS"/>
              </w:rPr>
              <w:t xml:space="preserve"> heparin niske molekularne težine ili</w:t>
            </w:r>
            <w:r>
              <w:rPr>
                <w:color w:val="000000"/>
                <w:sz w:val="22"/>
                <w:szCs w:val="22"/>
                <w:lang w:val="sr-Latn-CS"/>
              </w:rPr>
              <w:t xml:space="preserve"> </w:t>
            </w:r>
            <w:r w:rsidRPr="00625764">
              <w:rPr>
                <w:color w:val="000000"/>
                <w:sz w:val="22"/>
                <w:szCs w:val="22"/>
                <w:lang w:val="sr-Latn-CS"/>
              </w:rPr>
              <w:t>standardni heparin, umjesto kumarinskih derivata kao što je varfari</w:t>
            </w:r>
            <w:r>
              <w:rPr>
                <w:color w:val="000000"/>
                <w:sz w:val="22"/>
                <w:szCs w:val="22"/>
                <w:lang w:val="sr-Latn-CS"/>
              </w:rPr>
              <w:t>n.</w:t>
            </w:r>
          </w:p>
          <w:p w:rsidR="000A2337" w:rsidRPr="001E7DD5" w:rsidRDefault="000A2337" w:rsidP="00161AB3">
            <w:pPr>
              <w:shd w:val="clear" w:color="auto" w:fill="FFFFFF"/>
              <w:jc w:val="both"/>
              <w:rPr>
                <w:i/>
                <w:iCs/>
                <w:color w:val="000000"/>
                <w:sz w:val="22"/>
                <w:szCs w:val="22"/>
                <w:lang w:val="sr-Latn-CS"/>
              </w:rPr>
            </w:pPr>
          </w:p>
          <w:p w:rsidR="000A2337" w:rsidRPr="001E7DD5" w:rsidRDefault="000A2337" w:rsidP="00161AB3">
            <w:pPr>
              <w:shd w:val="clear" w:color="auto" w:fill="FFFFFF"/>
              <w:jc w:val="both"/>
              <w:rPr>
                <w:color w:val="000000"/>
                <w:sz w:val="22"/>
                <w:szCs w:val="22"/>
                <w:lang w:val="sr-Latn-CS"/>
              </w:rPr>
            </w:pPr>
            <w:r w:rsidRPr="001E7DD5">
              <w:rPr>
                <w:i/>
                <w:iCs/>
                <w:color w:val="000000"/>
                <w:sz w:val="22"/>
                <w:szCs w:val="22"/>
                <w:lang w:val="sr-Latn-CS"/>
              </w:rPr>
              <w:t xml:space="preserve">In vitro </w:t>
            </w:r>
            <w:r>
              <w:rPr>
                <w:bCs/>
                <w:sz w:val="22"/>
                <w:szCs w:val="22"/>
                <w:lang w:val="da-DK"/>
              </w:rPr>
              <w:t>imatinib</w:t>
            </w:r>
            <w:r w:rsidRPr="001E7DD5">
              <w:rPr>
                <w:color w:val="000000"/>
                <w:sz w:val="22"/>
                <w:szCs w:val="22"/>
                <w:lang w:val="sr-Latn-CS"/>
              </w:rPr>
              <w:t xml:space="preserve"> inhibira aktivnost izoenzima CYP2D6 citohroma P450 u koncentracijama sličnim onima koje utiču na aktivnost CYP3A4. Imatinib od 400 mg dat dva</w:t>
            </w:r>
            <w:r>
              <w:rPr>
                <w:color w:val="000000"/>
                <w:sz w:val="22"/>
                <w:szCs w:val="22"/>
                <w:lang w:val="sr-Latn-CS"/>
              </w:rPr>
              <w:t xml:space="preserve"> </w:t>
            </w:r>
            <w:r w:rsidRPr="001E7DD5">
              <w:rPr>
                <w:color w:val="000000"/>
                <w:sz w:val="22"/>
                <w:szCs w:val="22"/>
                <w:lang w:val="sr-Latn-CS"/>
              </w:rPr>
              <w:t>put</w:t>
            </w:r>
            <w:r>
              <w:rPr>
                <w:color w:val="000000"/>
                <w:sz w:val="22"/>
                <w:szCs w:val="22"/>
                <w:lang w:val="sr-Latn-CS"/>
              </w:rPr>
              <w:t>a</w:t>
            </w:r>
            <w:r w:rsidRPr="001E7DD5">
              <w:rPr>
                <w:color w:val="000000"/>
                <w:sz w:val="22"/>
                <w:szCs w:val="22"/>
                <w:lang w:val="sr-Latn-CS"/>
              </w:rPr>
              <w:t xml:space="preserve"> dnevno ima  inhibitorni efekat na CYP2D6-posredovani metabolizam metoprolola, </w:t>
            </w:r>
            <w:r>
              <w:rPr>
                <w:color w:val="000000"/>
                <w:sz w:val="22"/>
                <w:szCs w:val="22"/>
                <w:lang w:val="sr-Latn-CS"/>
              </w:rPr>
              <w:t>gdje</w:t>
            </w:r>
            <w:r w:rsidRPr="001E7DD5">
              <w:rPr>
                <w:color w:val="000000"/>
                <w:sz w:val="22"/>
                <w:szCs w:val="22"/>
                <w:lang w:val="sr-Latn-CS"/>
              </w:rPr>
              <w:t xml:space="preserve"> su C</w:t>
            </w:r>
            <w:r w:rsidRPr="001E7DD5">
              <w:rPr>
                <w:color w:val="000000"/>
                <w:sz w:val="22"/>
                <w:szCs w:val="22"/>
                <w:vertAlign w:val="subscript"/>
                <w:lang w:val="sr-Latn-CS"/>
              </w:rPr>
              <w:t>max</w:t>
            </w:r>
            <w:r w:rsidRPr="001E7DD5">
              <w:rPr>
                <w:color w:val="000000"/>
                <w:sz w:val="22"/>
                <w:szCs w:val="22"/>
                <w:lang w:val="sr-Latn-CS"/>
              </w:rPr>
              <w:t xml:space="preserve"> i PIK metoprolola povećani za približno 23% (90%CI </w:t>
            </w:r>
            <w:r>
              <w:rPr>
                <w:color w:val="000000"/>
                <w:sz w:val="22"/>
                <w:szCs w:val="22"/>
                <w:lang w:val="sr-Latn-CS"/>
              </w:rPr>
              <w:t xml:space="preserve"> </w:t>
            </w:r>
            <w:r w:rsidRPr="001E7DD5">
              <w:rPr>
                <w:color w:val="000000"/>
                <w:sz w:val="22"/>
                <w:szCs w:val="22"/>
                <w:lang w:val="sr-Latn-CS"/>
              </w:rPr>
              <w:t xml:space="preserve">[1,16-1,30]). Izgleda da nije potrebno </w:t>
            </w:r>
            <w:r>
              <w:rPr>
                <w:color w:val="000000"/>
                <w:sz w:val="22"/>
                <w:szCs w:val="22"/>
                <w:lang w:val="sr-Latn-CS"/>
              </w:rPr>
              <w:t>prilagođ</w:t>
            </w:r>
            <w:r w:rsidRPr="001E7DD5">
              <w:rPr>
                <w:color w:val="000000"/>
                <w:sz w:val="22"/>
                <w:szCs w:val="22"/>
                <w:lang w:val="sr-Latn-CS"/>
              </w:rPr>
              <w:t>avanje doze kad se imatinib daje istovremeno sa supstratima CYP2D6, međutim, treba biti opre</w:t>
            </w:r>
            <w:r>
              <w:rPr>
                <w:color w:val="000000"/>
                <w:sz w:val="22"/>
                <w:szCs w:val="22"/>
                <w:lang w:val="sr-Latn-CS"/>
              </w:rPr>
              <w:t>zan kod supstrata CYP2D6 sa uskom terapijsko</w:t>
            </w:r>
            <w:r w:rsidRPr="001E7DD5">
              <w:rPr>
                <w:color w:val="000000"/>
                <w:sz w:val="22"/>
                <w:szCs w:val="22"/>
                <w:lang w:val="sr-Latn-CS"/>
              </w:rPr>
              <w:t xml:space="preserve">m </w:t>
            </w:r>
            <w:r>
              <w:rPr>
                <w:color w:val="000000"/>
                <w:sz w:val="22"/>
                <w:szCs w:val="22"/>
                <w:lang w:val="sr-Latn-CS"/>
              </w:rPr>
              <w:t>širinom,</w:t>
            </w:r>
            <w:r w:rsidRPr="001E7DD5">
              <w:rPr>
                <w:color w:val="000000"/>
                <w:sz w:val="22"/>
                <w:szCs w:val="22"/>
                <w:lang w:val="sr-Latn-CS"/>
              </w:rPr>
              <w:t xml:space="preserve"> kao što je</w:t>
            </w:r>
            <w:r>
              <w:rPr>
                <w:color w:val="000000"/>
                <w:sz w:val="22"/>
                <w:szCs w:val="22"/>
                <w:lang w:val="sr-Latn-CS"/>
              </w:rPr>
              <w:t xml:space="preserve"> metoprolol</w:t>
            </w:r>
            <w:r w:rsidRPr="001E7DD5">
              <w:rPr>
                <w:color w:val="000000"/>
                <w:sz w:val="22"/>
                <w:szCs w:val="22"/>
                <w:lang w:val="sr-Latn-CS"/>
              </w:rPr>
              <w:t>. Pacijente na terapiji metoprololom treba klinički pratiti.</w:t>
            </w:r>
          </w:p>
          <w:p w:rsidR="000A2337" w:rsidRPr="001E7DD5" w:rsidRDefault="000A2337" w:rsidP="00161AB3">
            <w:pPr>
              <w:shd w:val="clear" w:color="auto" w:fill="FFFFFF"/>
              <w:jc w:val="both"/>
              <w:rPr>
                <w:color w:val="000000"/>
                <w:sz w:val="22"/>
                <w:szCs w:val="22"/>
                <w:lang w:val="sr-Latn-CS"/>
              </w:rPr>
            </w:pPr>
          </w:p>
          <w:p w:rsidR="000A2337" w:rsidRPr="001E7DD5" w:rsidRDefault="000A2337" w:rsidP="00161AB3">
            <w:pPr>
              <w:shd w:val="clear" w:color="auto" w:fill="FFFFFF"/>
              <w:jc w:val="both"/>
              <w:rPr>
                <w:color w:val="000000"/>
                <w:sz w:val="22"/>
                <w:szCs w:val="22"/>
                <w:lang w:val="sr-Latn-CS"/>
              </w:rPr>
            </w:pPr>
            <w:r w:rsidRPr="001E7DD5">
              <w:rPr>
                <w:i/>
                <w:iCs/>
                <w:color w:val="000000"/>
                <w:sz w:val="22"/>
                <w:szCs w:val="22"/>
                <w:lang w:val="sr-Latn-CS"/>
              </w:rPr>
              <w:t xml:space="preserve">In vitro, </w:t>
            </w:r>
            <w:r>
              <w:rPr>
                <w:bCs/>
                <w:sz w:val="22"/>
                <w:szCs w:val="22"/>
                <w:lang w:val="da-DK"/>
              </w:rPr>
              <w:t>imatinib</w:t>
            </w:r>
            <w:r w:rsidRPr="001E7DD5">
              <w:rPr>
                <w:bCs/>
                <w:sz w:val="22"/>
                <w:szCs w:val="22"/>
                <w:vertAlign w:val="superscript"/>
                <w:lang w:val="da-DK"/>
              </w:rPr>
              <w:t xml:space="preserve"> </w:t>
            </w:r>
            <w:r w:rsidRPr="001E7DD5">
              <w:rPr>
                <w:color w:val="000000"/>
                <w:sz w:val="22"/>
                <w:szCs w:val="22"/>
                <w:lang w:val="sr-Latn-CS"/>
              </w:rPr>
              <w:t xml:space="preserve"> inhibira  O-glukuronidaciju paracetamola sa Ki </w:t>
            </w:r>
            <w:r>
              <w:rPr>
                <w:color w:val="000000"/>
                <w:sz w:val="22"/>
                <w:szCs w:val="22"/>
                <w:lang w:val="sr-Latn-CS"/>
              </w:rPr>
              <w:t>vrijedno</w:t>
            </w:r>
            <w:r w:rsidRPr="001E7DD5">
              <w:rPr>
                <w:color w:val="000000"/>
                <w:sz w:val="22"/>
                <w:szCs w:val="22"/>
                <w:lang w:val="sr-Latn-CS"/>
              </w:rPr>
              <w:t>šću od 58,5 mikromol/l.</w:t>
            </w:r>
            <w:r>
              <w:rPr>
                <w:color w:val="000000"/>
                <w:sz w:val="22"/>
                <w:szCs w:val="22"/>
                <w:lang w:val="sr-Latn-CS"/>
              </w:rPr>
              <w:t xml:space="preserve"> Ova inhibicija nije zabilje</w:t>
            </w:r>
            <w:r w:rsidRPr="001E7DD5">
              <w:rPr>
                <w:color w:val="000000"/>
                <w:sz w:val="22"/>
                <w:szCs w:val="22"/>
                <w:lang w:val="sr-Latn-CS"/>
              </w:rPr>
              <w:t xml:space="preserve">žena </w:t>
            </w:r>
            <w:r w:rsidRPr="001E7DD5">
              <w:rPr>
                <w:i/>
                <w:color w:val="000000"/>
                <w:sz w:val="22"/>
                <w:szCs w:val="22"/>
                <w:lang w:val="sr-Latn-CS"/>
              </w:rPr>
              <w:t>in vivo</w:t>
            </w:r>
            <w:r>
              <w:rPr>
                <w:color w:val="000000"/>
                <w:sz w:val="22"/>
                <w:szCs w:val="22"/>
                <w:lang w:val="sr-Latn-CS"/>
              </w:rPr>
              <w:t xml:space="preserve"> poslije davanja 400 mg imatiniba</w:t>
            </w:r>
            <w:r w:rsidRPr="001E7DD5">
              <w:rPr>
                <w:color w:val="000000"/>
                <w:sz w:val="22"/>
                <w:szCs w:val="22"/>
                <w:lang w:val="sr-Latn-CS"/>
              </w:rPr>
              <w:t xml:space="preserve"> i 1000 mg</w:t>
            </w:r>
            <w:r>
              <w:rPr>
                <w:color w:val="000000"/>
                <w:sz w:val="22"/>
                <w:szCs w:val="22"/>
                <w:lang w:val="sr-Latn-CS"/>
              </w:rPr>
              <w:t xml:space="preserve"> paracetamola. Više doze imatiniba</w:t>
            </w:r>
            <w:r w:rsidRPr="001E7DD5">
              <w:rPr>
                <w:color w:val="000000"/>
                <w:sz w:val="22"/>
                <w:szCs w:val="22"/>
                <w:lang w:val="sr-Latn-CS"/>
              </w:rPr>
              <w:t xml:space="preserve"> i paracetamola ni</w:t>
            </w:r>
            <w:r>
              <w:rPr>
                <w:color w:val="000000"/>
                <w:sz w:val="22"/>
                <w:szCs w:val="22"/>
                <w:lang w:val="sr-Latn-CS"/>
              </w:rPr>
              <w:t>je</w:t>
            </w:r>
            <w:r w:rsidRPr="001E7DD5">
              <w:rPr>
                <w:color w:val="000000"/>
                <w:sz w:val="22"/>
                <w:szCs w:val="22"/>
                <w:lang w:val="sr-Latn-CS"/>
              </w:rPr>
              <w:t>su ispitivane.</w:t>
            </w:r>
          </w:p>
          <w:p w:rsidR="000A2337" w:rsidRPr="001E7DD5" w:rsidRDefault="000A2337" w:rsidP="00161AB3">
            <w:pPr>
              <w:shd w:val="clear" w:color="auto" w:fill="FFFFFF"/>
              <w:jc w:val="both"/>
              <w:rPr>
                <w:sz w:val="22"/>
                <w:szCs w:val="22"/>
                <w:lang w:val="sr-Latn-CS"/>
              </w:rPr>
            </w:pPr>
          </w:p>
          <w:p w:rsidR="000A2337" w:rsidRPr="001E7DD5" w:rsidRDefault="000A2337" w:rsidP="00161AB3">
            <w:pPr>
              <w:shd w:val="clear" w:color="auto" w:fill="FFFFFF"/>
              <w:jc w:val="both"/>
              <w:rPr>
                <w:sz w:val="22"/>
                <w:szCs w:val="22"/>
                <w:lang w:val="sr-Latn-CS"/>
              </w:rPr>
            </w:pPr>
            <w:r>
              <w:rPr>
                <w:color w:val="000000"/>
                <w:sz w:val="22"/>
                <w:szCs w:val="22"/>
                <w:lang w:val="sr-Latn-CS"/>
              </w:rPr>
              <w:t>Z</w:t>
            </w:r>
            <w:r w:rsidRPr="001E7DD5">
              <w:rPr>
                <w:color w:val="000000"/>
                <w:sz w:val="22"/>
                <w:szCs w:val="22"/>
                <w:lang w:val="sr-Latn-CS"/>
              </w:rPr>
              <w:t>a</w:t>
            </w:r>
            <w:r>
              <w:rPr>
                <w:color w:val="000000"/>
                <w:sz w:val="22"/>
                <w:szCs w:val="22"/>
                <w:lang w:val="sr-Latn-CS"/>
              </w:rPr>
              <w:t>to</w:t>
            </w:r>
            <w:r w:rsidRPr="001E7DD5">
              <w:rPr>
                <w:color w:val="000000"/>
                <w:sz w:val="22"/>
                <w:szCs w:val="22"/>
                <w:lang w:val="sr-Latn-CS"/>
              </w:rPr>
              <w:t xml:space="preserve"> treba biti oprezan kad se ist</w:t>
            </w:r>
            <w:r>
              <w:rPr>
                <w:color w:val="000000"/>
                <w:sz w:val="22"/>
                <w:szCs w:val="22"/>
                <w:lang w:val="sr-Latn-CS"/>
              </w:rPr>
              <w:t>ovremeno daju visoke doze i</w:t>
            </w:r>
            <w:r>
              <w:rPr>
                <w:bCs/>
                <w:sz w:val="22"/>
                <w:szCs w:val="22"/>
                <w:lang w:val="da-DK"/>
              </w:rPr>
              <w:t>matiniba</w:t>
            </w:r>
            <w:r w:rsidRPr="001E7DD5">
              <w:rPr>
                <w:color w:val="000000"/>
                <w:sz w:val="22"/>
                <w:szCs w:val="22"/>
                <w:lang w:val="sr-Latn-CS"/>
              </w:rPr>
              <w:t xml:space="preserve"> i paracetamol</w:t>
            </w:r>
            <w:r>
              <w:rPr>
                <w:color w:val="000000"/>
                <w:sz w:val="22"/>
                <w:szCs w:val="22"/>
                <w:lang w:val="sr-Latn-CS"/>
              </w:rPr>
              <w:t>a</w:t>
            </w:r>
            <w:r w:rsidRPr="001E7DD5">
              <w:rPr>
                <w:color w:val="000000"/>
                <w:sz w:val="22"/>
                <w:szCs w:val="22"/>
                <w:lang w:val="sr-Latn-CS"/>
              </w:rPr>
              <w:t>.</w:t>
            </w:r>
          </w:p>
          <w:p w:rsidR="000A2337" w:rsidRPr="001E7DD5" w:rsidRDefault="000A2337" w:rsidP="00161AB3">
            <w:pPr>
              <w:shd w:val="clear" w:color="auto" w:fill="FFFFFF"/>
              <w:spacing w:before="240" w:line="240" w:lineRule="atLeast"/>
              <w:jc w:val="both"/>
              <w:rPr>
                <w:color w:val="000000"/>
                <w:sz w:val="22"/>
                <w:szCs w:val="22"/>
                <w:lang w:val="sr-Latn-CS"/>
              </w:rPr>
            </w:pPr>
            <w:r w:rsidRPr="001E7DD5">
              <w:rPr>
                <w:color w:val="000000"/>
                <w:sz w:val="22"/>
                <w:szCs w:val="22"/>
                <w:lang w:val="sr-Latn-CS"/>
              </w:rPr>
              <w:t xml:space="preserve">Ako se tireoidektomisanim pacijenatima koji primaju levotiroksin, istovremeno daje </w:t>
            </w:r>
            <w:r>
              <w:rPr>
                <w:color w:val="000000"/>
                <w:sz w:val="22"/>
                <w:szCs w:val="22"/>
                <w:lang w:val="sr-Latn-CS"/>
              </w:rPr>
              <w:t>imatinib</w:t>
            </w:r>
            <w:r w:rsidRPr="001E7DD5">
              <w:rPr>
                <w:color w:val="000000"/>
                <w:sz w:val="22"/>
                <w:szCs w:val="22"/>
                <w:lang w:val="sr-Latn-CS"/>
              </w:rPr>
              <w:t>, izloženost levotiroksinu u plazmi može biti smanjena  (vidj</w:t>
            </w:r>
            <w:r>
              <w:rPr>
                <w:color w:val="000000"/>
                <w:sz w:val="22"/>
                <w:szCs w:val="22"/>
                <w:lang w:val="sr-Latn-CS"/>
              </w:rPr>
              <w:t xml:space="preserve">eti odjeljak 4.4). Zbog </w:t>
            </w:r>
            <w:r w:rsidRPr="001E7DD5">
              <w:rPr>
                <w:color w:val="000000"/>
                <w:sz w:val="22"/>
                <w:szCs w:val="22"/>
                <w:lang w:val="sr-Latn-CS"/>
              </w:rPr>
              <w:t>toga se preporučuje oprez. Međutim, mehanizam uočene interakcije je za sada nepoznat.</w:t>
            </w:r>
          </w:p>
          <w:p w:rsidR="000A2337" w:rsidRPr="001E7DD5" w:rsidRDefault="000A2337" w:rsidP="00161AB3">
            <w:pPr>
              <w:shd w:val="clear" w:color="auto" w:fill="FFFFFF"/>
              <w:jc w:val="both"/>
              <w:rPr>
                <w:sz w:val="22"/>
                <w:szCs w:val="22"/>
                <w:lang w:val="sr-Latn-CS"/>
              </w:rPr>
            </w:pPr>
          </w:p>
          <w:p w:rsidR="000A2337" w:rsidRPr="003A00BF" w:rsidRDefault="000A2337" w:rsidP="00161AB3">
            <w:pPr>
              <w:pStyle w:val="Header"/>
              <w:tabs>
                <w:tab w:val="left" w:pos="284"/>
              </w:tabs>
              <w:jc w:val="both"/>
              <w:rPr>
                <w:rFonts w:cs="Arial"/>
                <w:sz w:val="22"/>
                <w:lang w:val="da-DK"/>
              </w:rPr>
            </w:pPr>
            <w:r w:rsidRPr="001E7DD5">
              <w:rPr>
                <w:color w:val="000000"/>
                <w:sz w:val="22"/>
                <w:szCs w:val="22"/>
                <w:lang w:val="sr-Latn-CS"/>
              </w:rPr>
              <w:t xml:space="preserve">Kod pacijenata sa Ph+ </w:t>
            </w:r>
            <w:smartTag w:uri="urn:schemas-microsoft-com:office:smarttags" w:element="stockticker">
              <w:r w:rsidRPr="001E7DD5">
                <w:rPr>
                  <w:color w:val="000000"/>
                  <w:sz w:val="22"/>
                  <w:szCs w:val="22"/>
                  <w:lang w:val="sr-Latn-CS"/>
                </w:rPr>
                <w:t>ALL</w:t>
              </w:r>
            </w:smartTag>
            <w:r w:rsidRPr="001E7DD5">
              <w:rPr>
                <w:color w:val="000000"/>
                <w:sz w:val="22"/>
                <w:szCs w:val="22"/>
                <w:lang w:val="sr-Latn-CS"/>
              </w:rPr>
              <w:t>, postoji kliničko iskustvo</w:t>
            </w:r>
            <w:r>
              <w:rPr>
                <w:color w:val="000000"/>
                <w:sz w:val="22"/>
                <w:szCs w:val="22"/>
                <w:lang w:val="sr-Latn-CS"/>
              </w:rPr>
              <w:t xml:space="preserve"> sa istovremenim davanjem i</w:t>
            </w:r>
            <w:r>
              <w:rPr>
                <w:bCs/>
                <w:sz w:val="22"/>
                <w:szCs w:val="22"/>
                <w:lang w:val="da-DK"/>
              </w:rPr>
              <w:t>matiniba</w:t>
            </w:r>
            <w:r w:rsidRPr="001E7DD5">
              <w:rPr>
                <w:bCs/>
                <w:sz w:val="22"/>
                <w:szCs w:val="22"/>
                <w:vertAlign w:val="superscript"/>
                <w:lang w:val="da-DK"/>
              </w:rPr>
              <w:t xml:space="preserve"> </w:t>
            </w:r>
            <w:r w:rsidRPr="001E7DD5">
              <w:rPr>
                <w:color w:val="000000"/>
                <w:sz w:val="22"/>
                <w:szCs w:val="22"/>
                <w:lang w:val="sr-Latn-CS"/>
              </w:rPr>
              <w:t>sa hemoterapijom (vidjeti odjeljak 5.1), ali interakcije između imatiniba i ljekova iz</w:t>
            </w:r>
            <w:r w:rsidRPr="001E7DD5">
              <w:rPr>
                <w:color w:val="FF0000"/>
                <w:sz w:val="22"/>
                <w:szCs w:val="22"/>
                <w:lang w:val="sr-Latn-CS"/>
              </w:rPr>
              <w:t xml:space="preserve"> </w:t>
            </w:r>
            <w:r w:rsidRPr="001E7DD5">
              <w:rPr>
                <w:sz w:val="22"/>
                <w:szCs w:val="22"/>
                <w:lang w:val="sr-Latn-CS"/>
              </w:rPr>
              <w:t xml:space="preserve">protokola </w:t>
            </w:r>
            <w:r w:rsidRPr="001E7DD5">
              <w:rPr>
                <w:color w:val="000000"/>
                <w:sz w:val="22"/>
                <w:szCs w:val="22"/>
                <w:lang w:val="sr-Latn-CS"/>
              </w:rPr>
              <w:t>hemoterapije ni</w:t>
            </w:r>
            <w:r>
              <w:rPr>
                <w:color w:val="000000"/>
                <w:sz w:val="22"/>
                <w:szCs w:val="22"/>
                <w:lang w:val="sr-Latn-CS"/>
              </w:rPr>
              <w:t>je</w:t>
            </w:r>
            <w:r w:rsidRPr="001E7DD5">
              <w:rPr>
                <w:color w:val="000000"/>
                <w:sz w:val="22"/>
                <w:szCs w:val="22"/>
                <w:lang w:val="sr-Latn-CS"/>
              </w:rPr>
              <w:t>su dobro utvrđene. Neželjena reakcije imatiniba, tj. hepatotoksičnost, mijelosupresija i druga, mogu se</w:t>
            </w:r>
            <w:r w:rsidRPr="001E7DD5">
              <w:rPr>
                <w:color w:val="FF0000"/>
                <w:sz w:val="22"/>
                <w:szCs w:val="22"/>
                <w:lang w:val="sr-Latn-CS"/>
              </w:rPr>
              <w:t xml:space="preserve"> </w:t>
            </w:r>
            <w:r w:rsidRPr="001E7DD5">
              <w:rPr>
                <w:sz w:val="22"/>
                <w:szCs w:val="22"/>
                <w:lang w:val="sr-Latn-CS"/>
              </w:rPr>
              <w:t>pojačati i</w:t>
            </w:r>
            <w:r w:rsidRPr="001E7DD5">
              <w:rPr>
                <w:color w:val="000000"/>
                <w:sz w:val="22"/>
                <w:szCs w:val="22"/>
                <w:lang w:val="sr-Latn-CS"/>
              </w:rPr>
              <w:t xml:space="preserve"> bilo je izveštaja da istovremena primjena sa L-asparaginazom može </w:t>
            </w:r>
            <w:r>
              <w:rPr>
                <w:color w:val="000000"/>
                <w:sz w:val="22"/>
                <w:szCs w:val="22"/>
                <w:lang w:val="sr-Latn-CS"/>
              </w:rPr>
              <w:t>biti povezana</w:t>
            </w:r>
            <w:r w:rsidRPr="001E7DD5">
              <w:rPr>
                <w:color w:val="000000"/>
                <w:sz w:val="22"/>
                <w:szCs w:val="22"/>
                <w:lang w:val="sr-Latn-CS"/>
              </w:rPr>
              <w:t xml:space="preserve"> sa povećanom hepatotoksi</w:t>
            </w:r>
            <w:r>
              <w:rPr>
                <w:color w:val="000000"/>
                <w:sz w:val="22"/>
                <w:szCs w:val="22"/>
                <w:lang w:val="sr-Latn-CS"/>
              </w:rPr>
              <w:t>čnošću (vidjeti odjeljak 4.8). Iz tog razloga</w:t>
            </w:r>
            <w:r w:rsidRPr="001E7DD5">
              <w:rPr>
                <w:color w:val="000000"/>
                <w:sz w:val="22"/>
                <w:szCs w:val="22"/>
                <w:lang w:val="sr-Latn-CS"/>
              </w:rPr>
              <w:t xml:space="preserve"> </w:t>
            </w:r>
            <w:r>
              <w:rPr>
                <w:color w:val="000000"/>
                <w:sz w:val="22"/>
                <w:szCs w:val="22"/>
                <w:lang w:val="sr-Latn-CS"/>
              </w:rPr>
              <w:t>primjena i</w:t>
            </w:r>
            <w:r>
              <w:rPr>
                <w:bCs/>
                <w:sz w:val="22"/>
                <w:szCs w:val="22"/>
                <w:lang w:val="da-DK"/>
              </w:rPr>
              <w:t>matiniba</w:t>
            </w:r>
            <w:r w:rsidRPr="001E7DD5">
              <w:rPr>
                <w:bCs/>
                <w:sz w:val="22"/>
                <w:szCs w:val="22"/>
                <w:vertAlign w:val="superscript"/>
                <w:lang w:val="da-DK"/>
              </w:rPr>
              <w:t xml:space="preserve"> </w:t>
            </w:r>
            <w:r w:rsidRPr="001E7DD5">
              <w:rPr>
                <w:color w:val="000000"/>
                <w:sz w:val="22"/>
                <w:szCs w:val="22"/>
                <w:lang w:val="sr-Latn-CS"/>
              </w:rPr>
              <w:t>u kombinaciji zaht</w:t>
            </w:r>
            <w:r>
              <w:rPr>
                <w:color w:val="000000"/>
                <w:sz w:val="22"/>
                <w:szCs w:val="22"/>
                <w:lang w:val="sr-Latn-CS"/>
              </w:rPr>
              <w:t>ij</w:t>
            </w:r>
            <w:r w:rsidRPr="001E7DD5">
              <w:rPr>
                <w:color w:val="000000"/>
                <w:sz w:val="22"/>
                <w:szCs w:val="22"/>
                <w:lang w:val="sr-Latn-CS"/>
              </w:rPr>
              <w:t>eva posebnu opreznost.</w:t>
            </w:r>
          </w:p>
        </w:tc>
      </w:tr>
      <w:tr w:rsidR="000A2337" w:rsidRPr="003A00BF" w:rsidTr="00161AB3">
        <w:tc>
          <w:tcPr>
            <w:tcW w:w="10188" w:type="dxa"/>
            <w:gridSpan w:val="4"/>
            <w:vAlign w:val="center"/>
          </w:tcPr>
          <w:p w:rsidR="00161AB3" w:rsidRDefault="00161AB3" w:rsidP="00333C7A">
            <w:pPr>
              <w:pStyle w:val="Header"/>
              <w:tabs>
                <w:tab w:val="left" w:pos="284"/>
              </w:tabs>
              <w:rPr>
                <w:rFonts w:cs="Arial"/>
                <w:b/>
                <w:bCs/>
                <w:sz w:val="22"/>
                <w:lang w:val="pt-BR"/>
              </w:rPr>
            </w:pPr>
          </w:p>
          <w:p w:rsidR="00333C7A" w:rsidRDefault="000A2337" w:rsidP="00333C7A">
            <w:pPr>
              <w:pStyle w:val="Header"/>
              <w:tabs>
                <w:tab w:val="left" w:pos="284"/>
              </w:tabs>
              <w:rPr>
                <w:rFonts w:cs="Arial"/>
                <w:b/>
                <w:bCs/>
                <w:sz w:val="22"/>
                <w:lang w:val="pt-BR"/>
              </w:rPr>
            </w:pPr>
            <w:r w:rsidRPr="003A00BF">
              <w:rPr>
                <w:rFonts w:cs="Arial"/>
                <w:b/>
                <w:bCs/>
                <w:sz w:val="22"/>
                <w:lang w:val="pt-BR"/>
              </w:rPr>
              <w:t xml:space="preserve">4.6. </w:t>
            </w:r>
            <w:r>
              <w:rPr>
                <w:rFonts w:cs="Arial"/>
                <w:b/>
                <w:bCs/>
                <w:sz w:val="22"/>
                <w:lang w:val="pt-BR"/>
              </w:rPr>
              <w:t>Primjen</w:t>
            </w:r>
            <w:r w:rsidRPr="003A00BF">
              <w:rPr>
                <w:rFonts w:cs="Arial"/>
                <w:b/>
                <w:bCs/>
                <w:sz w:val="22"/>
                <w:lang w:val="pt-BR"/>
              </w:rPr>
              <w:t>a u periodu trudnoće i dojenja</w:t>
            </w:r>
          </w:p>
          <w:p w:rsidR="00333C7A" w:rsidRPr="003A00BF" w:rsidRDefault="00333C7A" w:rsidP="00333C7A">
            <w:pPr>
              <w:pStyle w:val="Header"/>
              <w:tabs>
                <w:tab w:val="left" w:pos="284"/>
              </w:tabs>
              <w:rPr>
                <w:rFonts w:cs="Arial"/>
                <w:b/>
                <w:bCs/>
                <w:sz w:val="22"/>
                <w:lang w:val="pt-BR"/>
              </w:rPr>
            </w:pPr>
          </w:p>
        </w:tc>
      </w:tr>
      <w:tr w:rsidR="000A2337" w:rsidRPr="003A00BF" w:rsidTr="00161AB3">
        <w:trPr>
          <w:trHeight w:val="1145"/>
        </w:trPr>
        <w:tc>
          <w:tcPr>
            <w:tcW w:w="10188" w:type="dxa"/>
            <w:gridSpan w:val="4"/>
            <w:vAlign w:val="center"/>
          </w:tcPr>
          <w:p w:rsidR="000A2337" w:rsidRPr="003030F3" w:rsidRDefault="000A2337" w:rsidP="00333C7A">
            <w:pPr>
              <w:shd w:val="clear" w:color="auto" w:fill="FFFFFF"/>
              <w:jc w:val="both"/>
              <w:rPr>
                <w:color w:val="000000"/>
                <w:sz w:val="22"/>
                <w:szCs w:val="22"/>
                <w:u w:val="single"/>
                <w:lang w:val="sr-Latn-CS"/>
              </w:rPr>
            </w:pPr>
            <w:r w:rsidRPr="003030F3">
              <w:rPr>
                <w:color w:val="000000"/>
                <w:sz w:val="22"/>
                <w:szCs w:val="22"/>
                <w:u w:val="single"/>
                <w:lang w:val="sr-Latn-CS"/>
              </w:rPr>
              <w:t>Žene reproduktivne dobi</w:t>
            </w:r>
          </w:p>
          <w:p w:rsidR="000A2337" w:rsidRPr="003030F3" w:rsidRDefault="000A2337" w:rsidP="00161AB3">
            <w:pPr>
              <w:shd w:val="clear" w:color="auto" w:fill="FFFFFF"/>
              <w:spacing w:line="240" w:lineRule="atLeast"/>
              <w:jc w:val="both"/>
              <w:rPr>
                <w:color w:val="000000"/>
                <w:sz w:val="22"/>
                <w:szCs w:val="22"/>
                <w:lang w:val="sr-Latn-CS"/>
              </w:rPr>
            </w:pPr>
            <w:r w:rsidRPr="003030F3">
              <w:rPr>
                <w:color w:val="000000"/>
                <w:sz w:val="22"/>
                <w:szCs w:val="22"/>
                <w:lang w:val="sr-Latn-CS"/>
              </w:rPr>
              <w:t xml:space="preserve">Žene generativne dobi treba savjetovati da koriste </w:t>
            </w:r>
            <w:r>
              <w:rPr>
                <w:color w:val="000000"/>
                <w:sz w:val="22"/>
                <w:szCs w:val="22"/>
                <w:lang w:val="sr-Latn-CS"/>
              </w:rPr>
              <w:t>efikasnu</w:t>
            </w:r>
            <w:r w:rsidRPr="003030F3">
              <w:rPr>
                <w:color w:val="000000"/>
                <w:sz w:val="22"/>
                <w:szCs w:val="22"/>
                <w:lang w:val="sr-Latn-CS"/>
              </w:rPr>
              <w:t xml:space="preserve"> kontracepcij</w:t>
            </w:r>
            <w:r>
              <w:rPr>
                <w:color w:val="000000"/>
                <w:sz w:val="22"/>
                <w:szCs w:val="22"/>
                <w:lang w:val="sr-Latn-CS"/>
              </w:rPr>
              <w:t>u to</w:t>
            </w:r>
            <w:r w:rsidRPr="003030F3">
              <w:rPr>
                <w:color w:val="000000"/>
                <w:sz w:val="22"/>
                <w:szCs w:val="22"/>
                <w:lang w:val="sr-Latn-CS"/>
              </w:rPr>
              <w:t>kom liječenja.</w:t>
            </w:r>
          </w:p>
          <w:p w:rsidR="000A2337" w:rsidRPr="005B78EA" w:rsidRDefault="000A2337" w:rsidP="00161AB3">
            <w:pPr>
              <w:shd w:val="clear" w:color="auto" w:fill="FFFFFF"/>
              <w:spacing w:before="240" w:line="240" w:lineRule="atLeast"/>
              <w:jc w:val="both"/>
              <w:rPr>
                <w:sz w:val="22"/>
                <w:szCs w:val="22"/>
                <w:lang w:val="sr-Latn-CS"/>
              </w:rPr>
            </w:pPr>
            <w:r w:rsidRPr="005B78EA">
              <w:rPr>
                <w:color w:val="000000"/>
                <w:sz w:val="22"/>
                <w:szCs w:val="22"/>
                <w:u w:val="single"/>
                <w:lang w:val="sr-Latn-CS"/>
              </w:rPr>
              <w:t>Trudnoća</w:t>
            </w:r>
          </w:p>
          <w:p w:rsidR="000A2337" w:rsidRDefault="000A2337" w:rsidP="00161AB3">
            <w:pPr>
              <w:shd w:val="clear" w:color="auto" w:fill="FFFFFF"/>
              <w:spacing w:line="240" w:lineRule="atLeast"/>
              <w:jc w:val="both"/>
              <w:rPr>
                <w:color w:val="000000"/>
                <w:sz w:val="22"/>
                <w:szCs w:val="22"/>
                <w:lang w:val="sr-Latn-CS"/>
              </w:rPr>
            </w:pPr>
            <w:r>
              <w:rPr>
                <w:color w:val="000000"/>
                <w:sz w:val="22"/>
                <w:szCs w:val="22"/>
                <w:lang w:val="sr-Latn-CS"/>
              </w:rPr>
              <w:t>Podaci</w:t>
            </w:r>
            <w:r w:rsidRPr="005B78EA">
              <w:rPr>
                <w:color w:val="000000"/>
                <w:sz w:val="22"/>
                <w:szCs w:val="22"/>
                <w:lang w:val="sr-Latn-CS"/>
              </w:rPr>
              <w:t xml:space="preserve"> o </w:t>
            </w:r>
            <w:r>
              <w:rPr>
                <w:color w:val="000000"/>
                <w:sz w:val="22"/>
                <w:szCs w:val="22"/>
                <w:lang w:val="sr-Latn-CS"/>
              </w:rPr>
              <w:t>primjen</w:t>
            </w:r>
            <w:r w:rsidRPr="005B78EA">
              <w:rPr>
                <w:color w:val="000000"/>
                <w:sz w:val="22"/>
                <w:szCs w:val="22"/>
                <w:lang w:val="sr-Latn-CS"/>
              </w:rPr>
              <w:t>i imatiniba kod trudnica</w:t>
            </w:r>
            <w:r>
              <w:rPr>
                <w:color w:val="000000"/>
                <w:sz w:val="22"/>
                <w:szCs w:val="22"/>
                <w:lang w:val="sr-Latn-CS"/>
              </w:rPr>
              <w:t xml:space="preserve"> su ograničeni</w:t>
            </w:r>
            <w:r w:rsidRPr="005B78EA">
              <w:rPr>
                <w:color w:val="000000"/>
                <w:sz w:val="22"/>
                <w:szCs w:val="22"/>
                <w:lang w:val="sr-Latn-CS"/>
              </w:rPr>
              <w:t>. Studije na životinjama s</w:t>
            </w:r>
            <w:r>
              <w:rPr>
                <w:color w:val="000000"/>
                <w:sz w:val="22"/>
                <w:szCs w:val="22"/>
                <w:lang w:val="sr-Latn-CS"/>
              </w:rPr>
              <w:t>u međutim pokazale reproduktivnu</w:t>
            </w:r>
            <w:r w:rsidRPr="005B78EA">
              <w:rPr>
                <w:color w:val="000000"/>
                <w:sz w:val="22"/>
                <w:szCs w:val="22"/>
                <w:lang w:val="sr-Latn-CS"/>
              </w:rPr>
              <w:t xml:space="preserve"> toksičnost (</w:t>
            </w:r>
            <w:r>
              <w:rPr>
                <w:color w:val="000000"/>
                <w:sz w:val="22"/>
                <w:szCs w:val="22"/>
                <w:lang w:val="sr-Latn-CS"/>
              </w:rPr>
              <w:t>vidjet</w:t>
            </w:r>
            <w:r w:rsidRPr="005B78EA">
              <w:rPr>
                <w:color w:val="000000"/>
                <w:sz w:val="22"/>
                <w:szCs w:val="22"/>
                <w:lang w:val="sr-Latn-CS"/>
              </w:rPr>
              <w:t xml:space="preserve">i </w:t>
            </w:r>
            <w:r>
              <w:rPr>
                <w:color w:val="000000"/>
                <w:sz w:val="22"/>
                <w:szCs w:val="22"/>
                <w:lang w:val="sr-Latn-CS"/>
              </w:rPr>
              <w:t>odjeljak 5.3), dok potencijalni rizik za fetus</w:t>
            </w:r>
            <w:r w:rsidRPr="005B78EA">
              <w:rPr>
                <w:color w:val="000000"/>
                <w:sz w:val="22"/>
                <w:szCs w:val="22"/>
                <w:lang w:val="sr-Latn-CS"/>
              </w:rPr>
              <w:t xml:space="preserve"> n</w:t>
            </w:r>
            <w:r>
              <w:rPr>
                <w:color w:val="000000"/>
                <w:sz w:val="22"/>
                <w:szCs w:val="22"/>
                <w:lang w:val="sr-Latn-CS"/>
              </w:rPr>
              <w:t>ij</w:t>
            </w:r>
            <w:r w:rsidRPr="005B78EA">
              <w:rPr>
                <w:color w:val="000000"/>
                <w:sz w:val="22"/>
                <w:szCs w:val="22"/>
                <w:lang w:val="sr-Latn-CS"/>
              </w:rPr>
              <w:t>e</w:t>
            </w:r>
            <w:r>
              <w:rPr>
                <w:color w:val="000000"/>
                <w:sz w:val="22"/>
                <w:szCs w:val="22"/>
                <w:lang w:val="sr-Latn-CS"/>
              </w:rPr>
              <w:t xml:space="preserve"> </w:t>
            </w:r>
            <w:r w:rsidRPr="005B78EA">
              <w:rPr>
                <w:color w:val="000000"/>
                <w:sz w:val="22"/>
                <w:szCs w:val="22"/>
                <w:lang w:val="sr-Latn-CS"/>
              </w:rPr>
              <w:t xml:space="preserve">poznat. </w:t>
            </w:r>
            <w:r>
              <w:rPr>
                <w:bCs/>
                <w:sz w:val="22"/>
                <w:szCs w:val="22"/>
                <w:lang w:val="da-DK"/>
              </w:rPr>
              <w:t>Imatinib</w:t>
            </w:r>
            <w:r>
              <w:rPr>
                <w:bCs/>
                <w:sz w:val="22"/>
                <w:szCs w:val="22"/>
                <w:vertAlign w:val="superscript"/>
                <w:lang w:val="da-DK"/>
              </w:rPr>
              <w:t xml:space="preserve"> </w:t>
            </w:r>
            <w:r w:rsidRPr="005B78EA">
              <w:rPr>
                <w:color w:val="000000"/>
                <w:sz w:val="22"/>
                <w:szCs w:val="22"/>
                <w:lang w:val="sr-Latn-CS"/>
              </w:rPr>
              <w:t xml:space="preserve"> ne treba </w:t>
            </w:r>
            <w:r>
              <w:rPr>
                <w:color w:val="000000"/>
                <w:sz w:val="22"/>
                <w:szCs w:val="22"/>
                <w:lang w:val="sr-Latn-CS"/>
              </w:rPr>
              <w:t>primjen</w:t>
            </w:r>
            <w:r w:rsidRPr="005B78EA">
              <w:rPr>
                <w:color w:val="000000"/>
                <w:sz w:val="22"/>
                <w:szCs w:val="22"/>
                <w:lang w:val="sr-Latn-CS"/>
              </w:rPr>
              <w:t>jivati tokom trudno</w:t>
            </w:r>
            <w:r>
              <w:rPr>
                <w:color w:val="000000"/>
                <w:sz w:val="22"/>
                <w:szCs w:val="22"/>
                <w:lang w:val="sr-Latn-CS"/>
              </w:rPr>
              <w:t>će osim ako to nije zaista neophodno</w:t>
            </w:r>
            <w:r w:rsidRPr="005B78EA">
              <w:rPr>
                <w:color w:val="000000"/>
                <w:sz w:val="22"/>
                <w:szCs w:val="22"/>
                <w:lang w:val="sr-Latn-CS"/>
              </w:rPr>
              <w:t xml:space="preserve">. Ako se </w:t>
            </w:r>
            <w:r>
              <w:rPr>
                <w:color w:val="000000"/>
                <w:sz w:val="22"/>
                <w:szCs w:val="22"/>
                <w:lang w:val="sr-Latn-CS"/>
              </w:rPr>
              <w:t>primjenjuje tokom trudnoće, pacijentkinju</w:t>
            </w:r>
            <w:r w:rsidRPr="005B78EA">
              <w:rPr>
                <w:color w:val="000000"/>
                <w:sz w:val="22"/>
                <w:szCs w:val="22"/>
                <w:lang w:val="sr-Latn-CS"/>
              </w:rPr>
              <w:t xml:space="preserve"> treba obav</w:t>
            </w:r>
            <w:r>
              <w:rPr>
                <w:color w:val="000000"/>
                <w:sz w:val="22"/>
                <w:szCs w:val="22"/>
                <w:lang w:val="sr-Latn-CS"/>
              </w:rPr>
              <w:t>ije</w:t>
            </w:r>
            <w:r w:rsidRPr="005B78EA">
              <w:rPr>
                <w:color w:val="000000"/>
                <w:sz w:val="22"/>
                <w:szCs w:val="22"/>
                <w:lang w:val="sr-Latn-CS"/>
              </w:rPr>
              <w:t>stiti o potencijalnom riziku za fetus.</w:t>
            </w:r>
          </w:p>
          <w:p w:rsidR="000A2337" w:rsidRPr="00A742D8" w:rsidRDefault="000A2337" w:rsidP="00161AB3">
            <w:pPr>
              <w:shd w:val="clear" w:color="auto" w:fill="FFFFFF"/>
              <w:spacing w:before="235" w:line="240" w:lineRule="atLeast"/>
              <w:jc w:val="both"/>
              <w:rPr>
                <w:sz w:val="22"/>
                <w:szCs w:val="22"/>
                <w:lang w:val="sr-Latn-CS"/>
              </w:rPr>
            </w:pPr>
            <w:r w:rsidRPr="00A742D8">
              <w:rPr>
                <w:color w:val="000000"/>
                <w:sz w:val="22"/>
                <w:szCs w:val="22"/>
                <w:u w:val="single"/>
                <w:lang w:val="sr-Latn-CS"/>
              </w:rPr>
              <w:t>Dojenje</w:t>
            </w:r>
          </w:p>
          <w:p w:rsidR="000A2337" w:rsidRDefault="000A2337" w:rsidP="00161AB3">
            <w:pPr>
              <w:shd w:val="clear" w:color="auto" w:fill="FFFFFF"/>
              <w:spacing w:before="5" w:line="240" w:lineRule="atLeast"/>
              <w:jc w:val="both"/>
              <w:rPr>
                <w:color w:val="000000"/>
                <w:sz w:val="22"/>
                <w:szCs w:val="22"/>
                <w:lang w:val="sr-Latn-CS"/>
              </w:rPr>
            </w:pPr>
            <w:r w:rsidRPr="00A742D8">
              <w:rPr>
                <w:color w:val="000000"/>
                <w:sz w:val="22"/>
                <w:szCs w:val="22"/>
                <w:lang w:val="sr-Latn-CS"/>
              </w:rPr>
              <w:t>Postoje ograničeni podaci o tome da li se imatinib izlučuje u humano mlijeko. U studijama izvedenim na dv</w:t>
            </w:r>
            <w:r>
              <w:rPr>
                <w:color w:val="000000"/>
                <w:sz w:val="22"/>
                <w:szCs w:val="22"/>
                <w:lang w:val="sr-Latn-CS"/>
              </w:rPr>
              <w:t>ij</w:t>
            </w:r>
            <w:r w:rsidRPr="00A742D8">
              <w:rPr>
                <w:color w:val="000000"/>
                <w:sz w:val="22"/>
                <w:szCs w:val="22"/>
                <w:lang w:val="sr-Latn-CS"/>
              </w:rPr>
              <w:t>e dojil</w:t>
            </w:r>
            <w:r>
              <w:rPr>
                <w:color w:val="000000"/>
                <w:sz w:val="22"/>
                <w:szCs w:val="22"/>
                <w:lang w:val="sr-Latn-CS"/>
              </w:rPr>
              <w:t>j</w:t>
            </w:r>
            <w:r w:rsidRPr="00A742D8">
              <w:rPr>
                <w:color w:val="000000"/>
                <w:sz w:val="22"/>
                <w:szCs w:val="22"/>
                <w:lang w:val="sr-Latn-CS"/>
              </w:rPr>
              <w:t xml:space="preserve">e ustanovljeno je da se i imatinib i njegovi aktivni metaboliti mogu naći u humanom mlijeku. </w:t>
            </w:r>
            <w:r>
              <w:rPr>
                <w:color w:val="000000"/>
                <w:sz w:val="22"/>
                <w:szCs w:val="22"/>
                <w:lang w:val="sr-Latn-CS"/>
              </w:rPr>
              <w:t>Odnos koncentracije lijeka u mlijeku i plazmi majke</w:t>
            </w:r>
            <w:r w:rsidRPr="00A742D8">
              <w:rPr>
                <w:color w:val="000000"/>
                <w:sz w:val="22"/>
                <w:szCs w:val="22"/>
                <w:lang w:val="sr-Latn-CS"/>
              </w:rPr>
              <w:t xml:space="preserve"> ispitivan</w:t>
            </w:r>
            <w:r>
              <w:rPr>
                <w:color w:val="000000"/>
                <w:sz w:val="22"/>
                <w:szCs w:val="22"/>
                <w:lang w:val="sr-Latn-CS"/>
              </w:rPr>
              <w:t xml:space="preserve"> kod jedne pacijentkinje bio je </w:t>
            </w:r>
            <w:r w:rsidRPr="00A742D8">
              <w:rPr>
                <w:color w:val="000000"/>
                <w:sz w:val="22"/>
                <w:szCs w:val="22"/>
                <w:lang w:val="sr-Latn-CS"/>
              </w:rPr>
              <w:t>0,5</w:t>
            </w:r>
            <w:r>
              <w:rPr>
                <w:color w:val="000000"/>
                <w:sz w:val="22"/>
                <w:szCs w:val="22"/>
                <w:lang w:val="sr-Latn-CS"/>
              </w:rPr>
              <w:t xml:space="preserve"> za imatinib i 0,9 za metabolit što </w:t>
            </w:r>
            <w:r w:rsidRPr="00A742D8">
              <w:rPr>
                <w:color w:val="000000"/>
                <w:sz w:val="22"/>
                <w:szCs w:val="22"/>
                <w:lang w:val="sr-Latn-CS"/>
              </w:rPr>
              <w:t xml:space="preserve"> ukazuj</w:t>
            </w:r>
            <w:r>
              <w:rPr>
                <w:color w:val="000000"/>
                <w:sz w:val="22"/>
                <w:szCs w:val="22"/>
                <w:lang w:val="sr-Latn-CS"/>
              </w:rPr>
              <w:t>e</w:t>
            </w:r>
            <w:r w:rsidRPr="00A742D8">
              <w:rPr>
                <w:color w:val="000000"/>
                <w:sz w:val="22"/>
                <w:szCs w:val="22"/>
                <w:lang w:val="sr-Latn-CS"/>
              </w:rPr>
              <w:t xml:space="preserve"> na veću distribuciju metabolita u mlijek</w:t>
            </w:r>
            <w:r>
              <w:rPr>
                <w:color w:val="000000"/>
                <w:sz w:val="22"/>
                <w:szCs w:val="22"/>
                <w:lang w:val="sr-Latn-CS"/>
              </w:rPr>
              <w:t>o</w:t>
            </w:r>
            <w:r w:rsidRPr="00A742D8">
              <w:rPr>
                <w:color w:val="000000"/>
                <w:sz w:val="22"/>
                <w:szCs w:val="22"/>
                <w:lang w:val="sr-Latn-CS"/>
              </w:rPr>
              <w:t>. Uzimajući u obzir kombinovanu koncentraciju ima</w:t>
            </w:r>
            <w:r>
              <w:rPr>
                <w:color w:val="000000"/>
                <w:sz w:val="22"/>
                <w:szCs w:val="22"/>
                <w:lang w:val="sr-Latn-CS"/>
              </w:rPr>
              <w:t>tiniba i metabolita i maksimalni dnevni unos</w:t>
            </w:r>
            <w:r w:rsidRPr="00A742D8">
              <w:rPr>
                <w:color w:val="000000"/>
                <w:sz w:val="22"/>
                <w:szCs w:val="22"/>
                <w:lang w:val="sr-Latn-CS"/>
              </w:rPr>
              <w:t xml:space="preserve"> mlijeka </w:t>
            </w:r>
            <w:r>
              <w:rPr>
                <w:color w:val="000000"/>
                <w:sz w:val="22"/>
                <w:szCs w:val="22"/>
                <w:lang w:val="sr-Latn-CS"/>
              </w:rPr>
              <w:t>od strane</w:t>
            </w:r>
            <w:r w:rsidRPr="00A742D8">
              <w:rPr>
                <w:color w:val="000000"/>
                <w:sz w:val="22"/>
                <w:szCs w:val="22"/>
                <w:lang w:val="sr-Latn-CS"/>
              </w:rPr>
              <w:t xml:space="preserve"> novorođenče</w:t>
            </w:r>
            <w:r>
              <w:rPr>
                <w:color w:val="000000"/>
                <w:sz w:val="22"/>
                <w:szCs w:val="22"/>
                <w:lang w:val="sr-Latn-CS"/>
              </w:rPr>
              <w:t>ta</w:t>
            </w:r>
            <w:r w:rsidRPr="00A742D8">
              <w:rPr>
                <w:color w:val="000000"/>
                <w:sz w:val="22"/>
                <w:szCs w:val="22"/>
                <w:lang w:val="sr-Latn-CS"/>
              </w:rPr>
              <w:t xml:space="preserve">, očekuje se niska ukupna izloženost (~ 10% terapijske doze). </w:t>
            </w:r>
            <w:r>
              <w:rPr>
                <w:color w:val="000000"/>
                <w:sz w:val="22"/>
                <w:szCs w:val="22"/>
                <w:lang w:val="sr-Latn-CS"/>
              </w:rPr>
              <w:t xml:space="preserve">Međutim, s obzirom na to da efekti izloženosti niskim dozama imatiniba kod dojenčadi nijesu poznati, </w:t>
            </w:r>
            <w:r w:rsidRPr="00A742D8">
              <w:rPr>
                <w:color w:val="000000"/>
                <w:sz w:val="22"/>
                <w:szCs w:val="22"/>
                <w:lang w:val="sr-Latn-CS"/>
              </w:rPr>
              <w:t>žene koje su na terapiji imatinibo</w:t>
            </w:r>
            <w:r>
              <w:rPr>
                <w:color w:val="000000"/>
                <w:sz w:val="22"/>
                <w:szCs w:val="22"/>
                <w:lang w:val="sr-Latn-CS"/>
              </w:rPr>
              <w:t>m ne smiju dojiti</w:t>
            </w:r>
            <w:r w:rsidRPr="00A742D8">
              <w:rPr>
                <w:color w:val="000000"/>
                <w:sz w:val="22"/>
                <w:szCs w:val="22"/>
                <w:lang w:val="sr-Latn-CS"/>
              </w:rPr>
              <w:t>.</w:t>
            </w:r>
          </w:p>
          <w:p w:rsidR="000A2337" w:rsidRDefault="000A2337" w:rsidP="00161AB3">
            <w:pPr>
              <w:pStyle w:val="Header"/>
              <w:tabs>
                <w:tab w:val="left" w:pos="284"/>
              </w:tabs>
              <w:rPr>
                <w:rFonts w:cs="Arial"/>
                <w:sz w:val="22"/>
                <w:lang w:val="pt-BR"/>
              </w:rPr>
            </w:pPr>
          </w:p>
          <w:p w:rsidR="000A2337" w:rsidRPr="00EC2B29" w:rsidRDefault="000A2337" w:rsidP="00161AB3">
            <w:pPr>
              <w:jc w:val="both"/>
              <w:rPr>
                <w:sz w:val="22"/>
                <w:szCs w:val="22"/>
                <w:u w:val="single"/>
                <w:lang w:val="pt-BR"/>
              </w:rPr>
            </w:pPr>
            <w:r w:rsidRPr="00EC2B29">
              <w:rPr>
                <w:sz w:val="22"/>
                <w:szCs w:val="22"/>
                <w:u w:val="single"/>
                <w:lang w:val="pt-BR"/>
              </w:rPr>
              <w:lastRenderedPageBreak/>
              <w:t>Plodnost</w:t>
            </w:r>
          </w:p>
          <w:p w:rsidR="000A2337" w:rsidRPr="00EC2B29" w:rsidRDefault="000A2337" w:rsidP="00161AB3">
            <w:pPr>
              <w:jc w:val="both"/>
              <w:rPr>
                <w:sz w:val="22"/>
                <w:szCs w:val="22"/>
                <w:lang w:val="pt-BR"/>
              </w:rPr>
            </w:pPr>
            <w:r>
              <w:rPr>
                <w:sz w:val="22"/>
                <w:szCs w:val="22"/>
                <w:lang w:val="pt-BR"/>
              </w:rPr>
              <w:t>U nekliničkim ispitivanjima</w:t>
            </w:r>
            <w:r w:rsidRPr="00EC2B29">
              <w:rPr>
                <w:sz w:val="22"/>
                <w:szCs w:val="22"/>
                <w:lang w:val="pt-BR"/>
              </w:rPr>
              <w:t xml:space="preserve">, nije bilo uticaja na plodnost </w:t>
            </w:r>
            <w:r>
              <w:rPr>
                <w:sz w:val="22"/>
                <w:szCs w:val="22"/>
                <w:lang w:val="pt-BR"/>
              </w:rPr>
              <w:t>mužjaka i ženki pacova (vidjeti odjeljak</w:t>
            </w:r>
            <w:r w:rsidRPr="00EC2B29">
              <w:rPr>
                <w:sz w:val="22"/>
                <w:szCs w:val="22"/>
                <w:lang w:val="pt-BR"/>
              </w:rPr>
              <w:t xml:space="preserve"> 5.3.). Ni</w:t>
            </w:r>
            <w:r>
              <w:rPr>
                <w:sz w:val="22"/>
                <w:szCs w:val="22"/>
                <w:lang w:val="pt-BR"/>
              </w:rPr>
              <w:t>je</w:t>
            </w:r>
            <w:r w:rsidRPr="00EC2B29">
              <w:rPr>
                <w:sz w:val="22"/>
                <w:szCs w:val="22"/>
                <w:lang w:val="pt-BR"/>
              </w:rPr>
              <w:t xml:space="preserve">su </w:t>
            </w:r>
            <w:r>
              <w:rPr>
                <w:sz w:val="22"/>
                <w:szCs w:val="22"/>
                <w:lang w:val="pt-BR"/>
              </w:rPr>
              <w:t>sprovedena ispitivanja</w:t>
            </w:r>
            <w:r w:rsidRPr="00EC2B29">
              <w:rPr>
                <w:sz w:val="22"/>
                <w:szCs w:val="22"/>
                <w:lang w:val="pt-BR"/>
              </w:rPr>
              <w:t xml:space="preserve"> na pacijentima koji primaju </w:t>
            </w:r>
            <w:r>
              <w:rPr>
                <w:sz w:val="22"/>
                <w:szCs w:val="22"/>
                <w:lang w:val="pt-BR"/>
              </w:rPr>
              <w:t>imatinib</w:t>
            </w:r>
            <w:r w:rsidRPr="00EC2B29">
              <w:rPr>
                <w:sz w:val="22"/>
                <w:szCs w:val="22"/>
                <w:lang w:val="pt-BR"/>
              </w:rPr>
              <w:t xml:space="preserve"> i njegovom uticaju na plodnost i gametogenezu. Pacijenti </w:t>
            </w:r>
            <w:r>
              <w:rPr>
                <w:sz w:val="22"/>
                <w:szCs w:val="22"/>
                <w:lang w:val="pt-BR"/>
              </w:rPr>
              <w:t xml:space="preserve">koji se liječe imatinibom a </w:t>
            </w:r>
            <w:r w:rsidRPr="00EC2B29">
              <w:rPr>
                <w:sz w:val="22"/>
                <w:szCs w:val="22"/>
                <w:lang w:val="pt-BR"/>
              </w:rPr>
              <w:t>zabrinuti</w:t>
            </w:r>
            <w:r>
              <w:rPr>
                <w:sz w:val="22"/>
                <w:szCs w:val="22"/>
                <w:lang w:val="pt-BR"/>
              </w:rPr>
              <w:t xml:space="preserve"> su</w:t>
            </w:r>
            <w:r w:rsidRPr="00EC2B29">
              <w:rPr>
                <w:sz w:val="22"/>
                <w:szCs w:val="22"/>
                <w:lang w:val="pt-BR"/>
              </w:rPr>
              <w:t xml:space="preserve"> zbog svoj</w:t>
            </w:r>
            <w:r>
              <w:rPr>
                <w:sz w:val="22"/>
                <w:szCs w:val="22"/>
                <w:lang w:val="pt-BR"/>
              </w:rPr>
              <w:t>u</w:t>
            </w:r>
            <w:r w:rsidRPr="00EC2B29">
              <w:rPr>
                <w:sz w:val="22"/>
                <w:szCs w:val="22"/>
                <w:lang w:val="pt-BR"/>
              </w:rPr>
              <w:t xml:space="preserve"> plodnos</w:t>
            </w:r>
            <w:r>
              <w:rPr>
                <w:sz w:val="22"/>
                <w:szCs w:val="22"/>
                <w:lang w:val="pt-BR"/>
              </w:rPr>
              <w:t>t,  mor</w:t>
            </w:r>
            <w:r w:rsidRPr="00EC2B29">
              <w:rPr>
                <w:sz w:val="22"/>
                <w:szCs w:val="22"/>
                <w:lang w:val="pt-BR"/>
              </w:rPr>
              <w:t>aju</w:t>
            </w:r>
            <w:r>
              <w:rPr>
                <w:sz w:val="22"/>
                <w:szCs w:val="22"/>
                <w:lang w:val="pt-BR"/>
              </w:rPr>
              <w:t xml:space="preserve"> se </w:t>
            </w:r>
            <w:r w:rsidRPr="00EC2B29">
              <w:rPr>
                <w:sz w:val="22"/>
                <w:szCs w:val="22"/>
                <w:lang w:val="pt-BR"/>
              </w:rPr>
              <w:t xml:space="preserve"> posavjetovati sa svojim ljekarom.</w:t>
            </w:r>
          </w:p>
          <w:p w:rsidR="000A2337" w:rsidRPr="00750185" w:rsidRDefault="000A2337" w:rsidP="00161AB3">
            <w:pPr>
              <w:pStyle w:val="Header"/>
              <w:tabs>
                <w:tab w:val="left" w:pos="284"/>
              </w:tabs>
              <w:rPr>
                <w:rFonts w:cs="Arial"/>
                <w:sz w:val="22"/>
                <w:lang w:val="sr-Latn-CS"/>
              </w:rPr>
            </w:pPr>
          </w:p>
        </w:tc>
      </w:tr>
      <w:tr w:rsidR="000A2337" w:rsidRPr="003A00BF" w:rsidTr="00161AB3">
        <w:tc>
          <w:tcPr>
            <w:tcW w:w="10188" w:type="dxa"/>
            <w:gridSpan w:val="4"/>
            <w:vAlign w:val="center"/>
          </w:tcPr>
          <w:p w:rsidR="000A2337" w:rsidRPr="003A00BF" w:rsidRDefault="000A2337" w:rsidP="00333C7A">
            <w:pPr>
              <w:pStyle w:val="Header"/>
              <w:tabs>
                <w:tab w:val="left" w:pos="284"/>
              </w:tabs>
              <w:rPr>
                <w:rFonts w:cs="Arial"/>
                <w:b/>
                <w:bCs/>
                <w:spacing w:val="-8"/>
                <w:sz w:val="22"/>
                <w:lang w:val="pt-BR"/>
              </w:rPr>
            </w:pPr>
            <w:r w:rsidRPr="003A00BF">
              <w:rPr>
                <w:rFonts w:cs="Arial"/>
                <w:b/>
                <w:bCs/>
                <w:spacing w:val="-8"/>
                <w:sz w:val="22"/>
                <w:lang w:val="pt-BR"/>
              </w:rPr>
              <w:lastRenderedPageBreak/>
              <w:t>4.7. Uticaj na psihofizičke sposobnosti prilikom upravljanja motornim vozilom i rukovanja mašinama</w:t>
            </w:r>
          </w:p>
        </w:tc>
      </w:tr>
      <w:tr w:rsidR="000A2337" w:rsidRPr="003A00BF" w:rsidTr="00161AB3">
        <w:trPr>
          <w:trHeight w:val="1145"/>
        </w:trPr>
        <w:tc>
          <w:tcPr>
            <w:tcW w:w="10188" w:type="dxa"/>
            <w:gridSpan w:val="4"/>
            <w:vAlign w:val="center"/>
          </w:tcPr>
          <w:p w:rsidR="000A2337" w:rsidRPr="00476E92" w:rsidRDefault="000A2337" w:rsidP="00161AB3">
            <w:pPr>
              <w:shd w:val="clear" w:color="auto" w:fill="FFFFFF"/>
              <w:spacing w:before="240" w:line="240" w:lineRule="atLeast"/>
              <w:jc w:val="both"/>
              <w:rPr>
                <w:sz w:val="22"/>
                <w:szCs w:val="22"/>
                <w:lang w:val="sr-Latn-CS"/>
              </w:rPr>
            </w:pPr>
            <w:r>
              <w:rPr>
                <w:color w:val="000000"/>
                <w:sz w:val="22"/>
                <w:szCs w:val="22"/>
                <w:lang w:val="pt-BR"/>
              </w:rPr>
              <w:t>P</w:t>
            </w:r>
            <w:r w:rsidRPr="00227050">
              <w:rPr>
                <w:color w:val="000000"/>
                <w:sz w:val="22"/>
                <w:szCs w:val="22"/>
                <w:lang w:val="sr-Latn-CS"/>
              </w:rPr>
              <w:t xml:space="preserve">acijente treba </w:t>
            </w:r>
            <w:r>
              <w:rPr>
                <w:color w:val="000000"/>
                <w:sz w:val="22"/>
                <w:szCs w:val="22"/>
                <w:lang w:val="sr-Latn-CS"/>
              </w:rPr>
              <w:t>obavijestiti o postojanju mogućnosti</w:t>
            </w:r>
            <w:r w:rsidRPr="00227050">
              <w:rPr>
                <w:color w:val="000000"/>
                <w:sz w:val="22"/>
                <w:szCs w:val="22"/>
                <w:lang w:val="sr-Latn-CS"/>
              </w:rPr>
              <w:t xml:space="preserve"> da </w:t>
            </w:r>
            <w:r>
              <w:rPr>
                <w:color w:val="000000"/>
                <w:sz w:val="22"/>
                <w:szCs w:val="22"/>
                <w:lang w:val="sr-Latn-CS"/>
              </w:rPr>
              <w:t xml:space="preserve">tokom liječenja imatinibom nastupe </w:t>
            </w:r>
            <w:r w:rsidRPr="00227050">
              <w:rPr>
                <w:color w:val="000000"/>
                <w:sz w:val="22"/>
                <w:szCs w:val="22"/>
                <w:lang w:val="sr-Latn-CS"/>
              </w:rPr>
              <w:t>neželjen</w:t>
            </w:r>
            <w:r>
              <w:rPr>
                <w:color w:val="000000"/>
                <w:sz w:val="22"/>
                <w:szCs w:val="22"/>
                <w:lang w:val="sr-Latn-CS"/>
              </w:rPr>
              <w:t xml:space="preserve">a dejstva poput ošamućenosti, </w:t>
            </w:r>
            <w:r w:rsidRPr="00227050">
              <w:rPr>
                <w:color w:val="000000"/>
                <w:sz w:val="22"/>
                <w:szCs w:val="22"/>
                <w:lang w:val="sr-Latn-CS"/>
              </w:rPr>
              <w:t>zamagljenog vida</w:t>
            </w:r>
            <w:r>
              <w:rPr>
                <w:color w:val="000000"/>
                <w:sz w:val="22"/>
                <w:szCs w:val="22"/>
                <w:lang w:val="sr-Latn-CS"/>
              </w:rPr>
              <w:t xml:space="preserve"> ili pospanosti</w:t>
            </w:r>
            <w:r w:rsidRPr="00227050">
              <w:rPr>
                <w:color w:val="000000"/>
                <w:sz w:val="22"/>
                <w:szCs w:val="22"/>
                <w:lang w:val="sr-Latn-CS"/>
              </w:rPr>
              <w:t>. Stoga se preporučuje oprez prilikom upravljanja motornim vozilima i mašinama.</w:t>
            </w:r>
          </w:p>
          <w:p w:rsidR="000A2337" w:rsidRPr="00592B48" w:rsidRDefault="000A2337" w:rsidP="00333C7A">
            <w:pPr>
              <w:pStyle w:val="Header"/>
              <w:tabs>
                <w:tab w:val="left" w:pos="284"/>
              </w:tabs>
              <w:rPr>
                <w:rFonts w:cs="Arial"/>
                <w:sz w:val="22"/>
                <w:lang w:val="sr-Latn-CS"/>
              </w:rPr>
            </w:pPr>
          </w:p>
        </w:tc>
      </w:tr>
      <w:tr w:rsidR="000A2337" w:rsidRPr="00750E3C" w:rsidTr="00161AB3">
        <w:tc>
          <w:tcPr>
            <w:tcW w:w="10188" w:type="dxa"/>
            <w:gridSpan w:val="4"/>
            <w:vAlign w:val="center"/>
          </w:tcPr>
          <w:p w:rsidR="000A2337" w:rsidRDefault="000A2337" w:rsidP="00333C7A">
            <w:pPr>
              <w:pStyle w:val="Header"/>
              <w:tabs>
                <w:tab w:val="left" w:pos="284"/>
              </w:tabs>
              <w:rPr>
                <w:rFonts w:cs="Arial"/>
                <w:b/>
                <w:bCs/>
                <w:sz w:val="22"/>
              </w:rPr>
            </w:pPr>
            <w:r w:rsidRPr="00750E3C">
              <w:rPr>
                <w:rFonts w:cs="Arial"/>
                <w:b/>
                <w:bCs/>
                <w:sz w:val="22"/>
              </w:rPr>
              <w:t>4.8. Neželjena dejstva</w:t>
            </w:r>
          </w:p>
          <w:p w:rsidR="00333C7A" w:rsidRPr="00750E3C" w:rsidRDefault="00333C7A" w:rsidP="00333C7A">
            <w:pPr>
              <w:pStyle w:val="Header"/>
              <w:tabs>
                <w:tab w:val="left" w:pos="284"/>
              </w:tabs>
              <w:rPr>
                <w:rFonts w:cs="Arial"/>
                <w:b/>
                <w:bCs/>
                <w:sz w:val="22"/>
              </w:rPr>
            </w:pPr>
          </w:p>
        </w:tc>
      </w:tr>
      <w:tr w:rsidR="000A2337" w:rsidRPr="009D18B1" w:rsidTr="00161AB3">
        <w:trPr>
          <w:trHeight w:val="1145"/>
        </w:trPr>
        <w:tc>
          <w:tcPr>
            <w:tcW w:w="10188" w:type="dxa"/>
            <w:gridSpan w:val="4"/>
            <w:vAlign w:val="center"/>
          </w:tcPr>
          <w:p w:rsidR="000A2337" w:rsidRPr="001200E5" w:rsidRDefault="000A2337" w:rsidP="00161AB3">
            <w:pPr>
              <w:shd w:val="clear" w:color="auto" w:fill="FFFFFF"/>
              <w:rPr>
                <w:color w:val="000000"/>
                <w:sz w:val="22"/>
                <w:szCs w:val="22"/>
                <w:u w:val="single"/>
                <w:lang w:val="sr-Latn-CS"/>
              </w:rPr>
            </w:pPr>
            <w:r w:rsidRPr="001200E5">
              <w:rPr>
                <w:color w:val="000000"/>
                <w:sz w:val="22"/>
                <w:szCs w:val="22"/>
                <w:u w:val="single"/>
                <w:lang w:val="sr-Latn-CS"/>
              </w:rPr>
              <w:t>Sažetak bezbjednosnog profila</w:t>
            </w:r>
          </w:p>
          <w:p w:rsidR="00161AB3" w:rsidRDefault="00161AB3" w:rsidP="00161AB3">
            <w:pPr>
              <w:shd w:val="clear" w:color="auto" w:fill="FFFFFF"/>
              <w:jc w:val="both"/>
              <w:rPr>
                <w:color w:val="000000"/>
                <w:sz w:val="22"/>
                <w:szCs w:val="22"/>
                <w:lang w:val="sr-Latn-CS"/>
              </w:rPr>
            </w:pPr>
          </w:p>
          <w:p w:rsidR="000A2337" w:rsidRDefault="000A2337" w:rsidP="00161AB3">
            <w:pPr>
              <w:shd w:val="clear" w:color="auto" w:fill="FFFFFF"/>
              <w:jc w:val="both"/>
              <w:rPr>
                <w:color w:val="000000"/>
                <w:sz w:val="22"/>
                <w:szCs w:val="22"/>
                <w:lang w:val="sr-Latn-CS"/>
              </w:rPr>
            </w:pPr>
            <w:r>
              <w:rPr>
                <w:color w:val="000000"/>
                <w:sz w:val="22"/>
                <w:szCs w:val="22"/>
                <w:lang w:val="sr-Latn-CS"/>
              </w:rPr>
              <w:t>Pacijenti</w:t>
            </w:r>
            <w:r w:rsidRPr="000B7227">
              <w:rPr>
                <w:color w:val="000000"/>
                <w:sz w:val="22"/>
                <w:szCs w:val="22"/>
                <w:lang w:val="sr-Latn-CS"/>
              </w:rPr>
              <w:t xml:space="preserve"> u odmaklim stadijum</w:t>
            </w:r>
            <w:r>
              <w:rPr>
                <w:color w:val="000000"/>
                <w:sz w:val="22"/>
                <w:szCs w:val="22"/>
                <w:lang w:val="sr-Latn-CS"/>
              </w:rPr>
              <w:t>im</w:t>
            </w:r>
            <w:r w:rsidRPr="000B7227">
              <w:rPr>
                <w:color w:val="000000"/>
                <w:sz w:val="22"/>
                <w:szCs w:val="22"/>
                <w:lang w:val="sr-Latn-CS"/>
              </w:rPr>
              <w:t xml:space="preserve">a maligniteta mogu da imaju brojna </w:t>
            </w:r>
            <w:r w:rsidRPr="00380BB7">
              <w:rPr>
                <w:sz w:val="22"/>
                <w:szCs w:val="22"/>
                <w:lang w:val="sr-Latn-CS"/>
              </w:rPr>
              <w:t>medicinska stanja koja mogu d</w:t>
            </w:r>
            <w:r>
              <w:rPr>
                <w:sz w:val="22"/>
                <w:szCs w:val="22"/>
                <w:lang w:val="sr-Latn-CS"/>
              </w:rPr>
              <w:t>j</w:t>
            </w:r>
            <w:r w:rsidRPr="00380BB7">
              <w:rPr>
                <w:sz w:val="22"/>
                <w:szCs w:val="22"/>
                <w:lang w:val="sr-Latn-CS"/>
              </w:rPr>
              <w:t>elovati zbunjujuće, što otežava  proc</w:t>
            </w:r>
            <w:r>
              <w:rPr>
                <w:sz w:val="22"/>
                <w:szCs w:val="22"/>
                <w:lang w:val="sr-Latn-CS"/>
              </w:rPr>
              <w:t>j</w:t>
            </w:r>
            <w:r w:rsidRPr="00380BB7">
              <w:rPr>
                <w:sz w:val="22"/>
                <w:szCs w:val="22"/>
                <w:lang w:val="sr-Latn-CS"/>
              </w:rPr>
              <w:t>enu uzroka neželjenih reakcija, usl</w:t>
            </w:r>
            <w:r>
              <w:rPr>
                <w:sz w:val="22"/>
                <w:szCs w:val="22"/>
                <w:lang w:val="sr-Latn-CS"/>
              </w:rPr>
              <w:t>j</w:t>
            </w:r>
            <w:r w:rsidRPr="00380BB7">
              <w:rPr>
                <w:sz w:val="22"/>
                <w:szCs w:val="22"/>
                <w:lang w:val="sr-Latn-CS"/>
              </w:rPr>
              <w:t>ed različitih simptoma vezanih za postojeću</w:t>
            </w:r>
            <w:r w:rsidRPr="000B7227">
              <w:rPr>
                <w:color w:val="000000"/>
                <w:sz w:val="22"/>
                <w:szCs w:val="22"/>
                <w:lang w:val="sr-Latn-CS"/>
              </w:rPr>
              <w:t xml:space="preserve"> bolest, njenu progresiju </w:t>
            </w:r>
            <w:r>
              <w:rPr>
                <w:color w:val="000000"/>
                <w:sz w:val="22"/>
                <w:szCs w:val="22"/>
                <w:lang w:val="sr-Latn-CS"/>
              </w:rPr>
              <w:t>i</w:t>
            </w:r>
            <w:r w:rsidRPr="000B7227">
              <w:rPr>
                <w:color w:val="000000"/>
                <w:sz w:val="22"/>
                <w:szCs w:val="22"/>
                <w:lang w:val="sr-Latn-CS"/>
              </w:rPr>
              <w:t xml:space="preserve"> istovremen</w:t>
            </w:r>
            <w:r>
              <w:rPr>
                <w:color w:val="000000"/>
                <w:sz w:val="22"/>
                <w:szCs w:val="22"/>
                <w:lang w:val="sr-Latn-CS"/>
              </w:rPr>
              <w:t>u</w:t>
            </w:r>
            <w:r w:rsidRPr="000B7227">
              <w:rPr>
                <w:color w:val="000000"/>
                <w:sz w:val="22"/>
                <w:szCs w:val="22"/>
                <w:lang w:val="sr-Latn-CS"/>
              </w:rPr>
              <w:t xml:space="preserve"> </w:t>
            </w:r>
            <w:r>
              <w:rPr>
                <w:color w:val="000000"/>
                <w:sz w:val="22"/>
                <w:szCs w:val="22"/>
                <w:lang w:val="sr-Latn-CS"/>
              </w:rPr>
              <w:t>primjenu</w:t>
            </w:r>
            <w:r w:rsidRPr="000B7227">
              <w:rPr>
                <w:color w:val="000000"/>
                <w:sz w:val="22"/>
                <w:szCs w:val="22"/>
                <w:lang w:val="sr-Latn-CS"/>
              </w:rPr>
              <w:t xml:space="preserve"> brojnih drugih </w:t>
            </w:r>
            <w:r>
              <w:rPr>
                <w:color w:val="000000"/>
                <w:sz w:val="22"/>
                <w:szCs w:val="22"/>
                <w:lang w:val="sr-Latn-CS"/>
              </w:rPr>
              <w:t>ljek</w:t>
            </w:r>
            <w:r w:rsidRPr="000B7227">
              <w:rPr>
                <w:color w:val="000000"/>
                <w:sz w:val="22"/>
                <w:szCs w:val="22"/>
                <w:lang w:val="sr-Latn-CS"/>
              </w:rPr>
              <w:t>ova.</w:t>
            </w:r>
          </w:p>
          <w:p w:rsidR="000A2337" w:rsidRPr="000B7227" w:rsidRDefault="000A2337" w:rsidP="00161AB3">
            <w:pPr>
              <w:shd w:val="clear" w:color="auto" w:fill="FFFFFF"/>
              <w:rPr>
                <w:sz w:val="22"/>
                <w:szCs w:val="22"/>
                <w:lang w:val="sr-Latn-CS"/>
              </w:rPr>
            </w:pPr>
          </w:p>
          <w:p w:rsidR="000A2337" w:rsidRDefault="000A2337" w:rsidP="00161AB3">
            <w:pPr>
              <w:shd w:val="clear" w:color="auto" w:fill="FFFFFF"/>
              <w:jc w:val="both"/>
              <w:rPr>
                <w:color w:val="000000"/>
                <w:sz w:val="22"/>
                <w:szCs w:val="22"/>
                <w:lang w:val="sr-Latn-CS"/>
              </w:rPr>
            </w:pPr>
            <w:r>
              <w:rPr>
                <w:color w:val="000000"/>
                <w:sz w:val="22"/>
                <w:szCs w:val="22"/>
                <w:lang w:val="sr-Latn-CS"/>
              </w:rPr>
              <w:t>U kliničkim ispitivanjima kod CML-a, prekidanje terapije</w:t>
            </w:r>
            <w:r w:rsidRPr="000B7227">
              <w:rPr>
                <w:color w:val="000000"/>
                <w:sz w:val="22"/>
                <w:szCs w:val="22"/>
                <w:lang w:val="sr-Latn-CS"/>
              </w:rPr>
              <w:t xml:space="preserve"> usl</w:t>
            </w:r>
            <w:r>
              <w:rPr>
                <w:color w:val="000000"/>
                <w:sz w:val="22"/>
                <w:szCs w:val="22"/>
                <w:lang w:val="sr-Latn-CS"/>
              </w:rPr>
              <w:t>j</w:t>
            </w:r>
            <w:r w:rsidRPr="000B7227">
              <w:rPr>
                <w:color w:val="000000"/>
                <w:sz w:val="22"/>
                <w:szCs w:val="22"/>
                <w:lang w:val="sr-Latn-CS"/>
              </w:rPr>
              <w:t xml:space="preserve">ed neželjenih reakcija </w:t>
            </w:r>
            <w:r>
              <w:rPr>
                <w:color w:val="000000"/>
                <w:sz w:val="22"/>
                <w:szCs w:val="22"/>
                <w:lang w:val="sr-Latn-CS"/>
              </w:rPr>
              <w:t>je zapaženo</w:t>
            </w:r>
            <w:r w:rsidRPr="000B7227">
              <w:rPr>
                <w:color w:val="000000"/>
                <w:sz w:val="22"/>
                <w:szCs w:val="22"/>
                <w:lang w:val="sr-Latn-CS"/>
              </w:rPr>
              <w:t xml:space="preserve"> kod 2,4% novodijagnostikovanih </w:t>
            </w:r>
            <w:r>
              <w:rPr>
                <w:color w:val="000000"/>
                <w:sz w:val="22"/>
                <w:szCs w:val="22"/>
                <w:lang w:val="sr-Latn-CS"/>
              </w:rPr>
              <w:t>pacijenata, 4% pacijenata</w:t>
            </w:r>
            <w:r w:rsidRPr="000B7227">
              <w:rPr>
                <w:color w:val="000000"/>
                <w:sz w:val="22"/>
                <w:szCs w:val="22"/>
                <w:lang w:val="sr-Latn-CS"/>
              </w:rPr>
              <w:t xml:space="preserve"> u kasnoj hroničnoj fazi nakon ne</w:t>
            </w:r>
            <w:r>
              <w:rPr>
                <w:color w:val="000000"/>
                <w:sz w:val="22"/>
                <w:szCs w:val="22"/>
                <w:lang w:val="sr-Latn-CS"/>
              </w:rPr>
              <w:t>uspjeh</w:t>
            </w:r>
            <w:r w:rsidRPr="000B7227">
              <w:rPr>
                <w:color w:val="000000"/>
                <w:sz w:val="22"/>
                <w:szCs w:val="22"/>
                <w:lang w:val="sr-Latn-CS"/>
              </w:rPr>
              <w:t xml:space="preserve">a interferonske terapije, 4% </w:t>
            </w:r>
            <w:r>
              <w:rPr>
                <w:color w:val="000000"/>
                <w:sz w:val="22"/>
                <w:szCs w:val="22"/>
                <w:lang w:val="sr-Latn-CS"/>
              </w:rPr>
              <w:t>pacijenata</w:t>
            </w:r>
            <w:r w:rsidRPr="000B7227">
              <w:rPr>
                <w:color w:val="000000"/>
                <w:sz w:val="22"/>
                <w:szCs w:val="22"/>
                <w:lang w:val="sr-Latn-CS"/>
              </w:rPr>
              <w:t xml:space="preserve"> u ubrzanoj fazi nakon ne</w:t>
            </w:r>
            <w:r>
              <w:rPr>
                <w:color w:val="000000"/>
                <w:sz w:val="22"/>
                <w:szCs w:val="22"/>
                <w:lang w:val="sr-Latn-CS"/>
              </w:rPr>
              <w:t>uspjeh</w:t>
            </w:r>
            <w:r w:rsidRPr="000B7227">
              <w:rPr>
                <w:color w:val="000000"/>
                <w:sz w:val="22"/>
                <w:szCs w:val="22"/>
                <w:lang w:val="sr-Latn-CS"/>
              </w:rPr>
              <w:t xml:space="preserve">a interferonske terapije i 5% </w:t>
            </w:r>
            <w:r>
              <w:rPr>
                <w:color w:val="000000"/>
                <w:sz w:val="22"/>
                <w:szCs w:val="22"/>
                <w:lang w:val="sr-Latn-CS"/>
              </w:rPr>
              <w:t>pacijenata</w:t>
            </w:r>
            <w:r w:rsidRPr="000B7227">
              <w:rPr>
                <w:color w:val="000000"/>
                <w:sz w:val="22"/>
                <w:szCs w:val="22"/>
                <w:lang w:val="sr-Latn-CS"/>
              </w:rPr>
              <w:t xml:space="preserve"> u blast</w:t>
            </w:r>
            <w:r>
              <w:rPr>
                <w:color w:val="000000"/>
                <w:sz w:val="22"/>
                <w:szCs w:val="22"/>
                <w:lang w:val="sr-Latn-CS"/>
              </w:rPr>
              <w:t>noj</w:t>
            </w:r>
            <w:r w:rsidRPr="000B7227">
              <w:rPr>
                <w:color w:val="000000"/>
                <w:sz w:val="22"/>
                <w:szCs w:val="22"/>
                <w:lang w:val="sr-Latn-CS"/>
              </w:rPr>
              <w:t xml:space="preserve"> krizi </w:t>
            </w:r>
            <w:r>
              <w:rPr>
                <w:color w:val="000000"/>
                <w:sz w:val="22"/>
                <w:szCs w:val="22"/>
                <w:lang w:val="sr-Latn-CS"/>
              </w:rPr>
              <w:t xml:space="preserve">poslije </w:t>
            </w:r>
            <w:r w:rsidRPr="000B7227">
              <w:rPr>
                <w:color w:val="000000"/>
                <w:sz w:val="22"/>
                <w:szCs w:val="22"/>
                <w:lang w:val="sr-Latn-CS"/>
              </w:rPr>
              <w:t>ne</w:t>
            </w:r>
            <w:r>
              <w:rPr>
                <w:color w:val="000000"/>
                <w:sz w:val="22"/>
                <w:szCs w:val="22"/>
                <w:lang w:val="sr-Latn-CS"/>
              </w:rPr>
              <w:t>uspjeh</w:t>
            </w:r>
            <w:r w:rsidRPr="000B7227">
              <w:rPr>
                <w:color w:val="000000"/>
                <w:sz w:val="22"/>
                <w:szCs w:val="22"/>
                <w:lang w:val="sr-Latn-CS"/>
              </w:rPr>
              <w:t>a i</w:t>
            </w:r>
            <w:r>
              <w:rPr>
                <w:color w:val="000000"/>
                <w:sz w:val="22"/>
                <w:szCs w:val="22"/>
                <w:lang w:val="sr-Latn-CS"/>
              </w:rPr>
              <w:t xml:space="preserve">nterferonske terapije. U </w:t>
            </w:r>
            <w:r w:rsidRPr="000B7227">
              <w:rPr>
                <w:color w:val="000000"/>
                <w:sz w:val="22"/>
                <w:szCs w:val="22"/>
                <w:lang w:val="sr-Latn-CS"/>
              </w:rPr>
              <w:t>GIST</w:t>
            </w:r>
            <w:r>
              <w:rPr>
                <w:color w:val="000000"/>
                <w:sz w:val="22"/>
                <w:szCs w:val="22"/>
                <w:lang w:val="sr-Latn-CS"/>
              </w:rPr>
              <w:t xml:space="preserve"> ispitivanju, primjena lijeka je prekinuta</w:t>
            </w:r>
            <w:r w:rsidRPr="009D18B1">
              <w:rPr>
                <w:sz w:val="22"/>
                <w:szCs w:val="22"/>
                <w:lang w:val="sr-Latn-CS"/>
              </w:rPr>
              <w:t xml:space="preserve"> </w:t>
            </w:r>
            <w:r w:rsidRPr="000B7227">
              <w:rPr>
                <w:color w:val="000000"/>
                <w:sz w:val="22"/>
                <w:szCs w:val="22"/>
                <w:lang w:val="sr-Latn-CS"/>
              </w:rPr>
              <w:t>kod</w:t>
            </w:r>
            <w:r>
              <w:rPr>
                <w:color w:val="000000"/>
                <w:sz w:val="22"/>
                <w:szCs w:val="22"/>
                <w:lang w:val="sr-Latn-CS"/>
              </w:rPr>
              <w:t xml:space="preserve"> 4% pacijenata</w:t>
            </w:r>
            <w:r w:rsidRPr="000B7227">
              <w:rPr>
                <w:color w:val="000000"/>
                <w:sz w:val="22"/>
                <w:szCs w:val="22"/>
                <w:lang w:val="sr-Latn-CS"/>
              </w:rPr>
              <w:t xml:space="preserve"> usl</w:t>
            </w:r>
            <w:r>
              <w:rPr>
                <w:color w:val="000000"/>
                <w:sz w:val="22"/>
                <w:szCs w:val="22"/>
                <w:lang w:val="sr-Latn-CS"/>
              </w:rPr>
              <w:t>j</w:t>
            </w:r>
            <w:r w:rsidRPr="000B7227">
              <w:rPr>
                <w:color w:val="000000"/>
                <w:sz w:val="22"/>
                <w:szCs w:val="22"/>
                <w:lang w:val="sr-Latn-CS"/>
              </w:rPr>
              <w:t>ed neželjenih reakcija</w:t>
            </w:r>
            <w:r>
              <w:rPr>
                <w:color w:val="000000"/>
                <w:sz w:val="22"/>
                <w:szCs w:val="22"/>
                <w:lang w:val="sr-Latn-CS"/>
              </w:rPr>
              <w:t xml:space="preserve"> povezanih sa njegovom primjenom</w:t>
            </w:r>
            <w:r w:rsidRPr="000B7227">
              <w:rPr>
                <w:color w:val="000000"/>
                <w:sz w:val="22"/>
                <w:szCs w:val="22"/>
                <w:lang w:val="sr-Latn-CS"/>
              </w:rPr>
              <w:t>.</w:t>
            </w:r>
          </w:p>
          <w:p w:rsidR="000A2337" w:rsidRPr="00C54BAD" w:rsidRDefault="000A2337" w:rsidP="00161AB3">
            <w:pPr>
              <w:shd w:val="clear" w:color="auto" w:fill="FFFFFF"/>
              <w:rPr>
                <w:color w:val="000000"/>
                <w:sz w:val="22"/>
                <w:szCs w:val="22"/>
                <w:lang w:val="sr-Latn-CS"/>
              </w:rPr>
            </w:pPr>
          </w:p>
          <w:p w:rsidR="000A2337" w:rsidRDefault="000A2337" w:rsidP="00161AB3">
            <w:pPr>
              <w:shd w:val="clear" w:color="auto" w:fill="FFFFFF"/>
              <w:jc w:val="both"/>
              <w:rPr>
                <w:color w:val="000000"/>
                <w:sz w:val="22"/>
                <w:szCs w:val="22"/>
                <w:lang w:val="sr-Latn-CS"/>
              </w:rPr>
            </w:pPr>
            <w:r w:rsidRPr="000B7227">
              <w:rPr>
                <w:color w:val="000000"/>
                <w:sz w:val="22"/>
                <w:szCs w:val="22"/>
                <w:lang w:val="sr-Latn-CS"/>
              </w:rPr>
              <w:t>Neželjene reakcije bile su slične kod svih indik</w:t>
            </w:r>
            <w:r>
              <w:rPr>
                <w:color w:val="000000"/>
                <w:sz w:val="22"/>
                <w:szCs w:val="22"/>
                <w:lang w:val="sr-Latn-CS"/>
              </w:rPr>
              <w:t>acija, uz dva izuzetka. M</w:t>
            </w:r>
            <w:r w:rsidRPr="000B7227">
              <w:rPr>
                <w:color w:val="000000"/>
                <w:sz w:val="22"/>
                <w:szCs w:val="22"/>
                <w:lang w:val="sr-Latn-CS"/>
              </w:rPr>
              <w:t xml:space="preserve">ijelosupresija </w:t>
            </w:r>
            <w:r>
              <w:rPr>
                <w:color w:val="000000"/>
                <w:sz w:val="22"/>
                <w:szCs w:val="22"/>
                <w:lang w:val="sr-Latn-CS"/>
              </w:rPr>
              <w:t>se više</w:t>
            </w:r>
            <w:r w:rsidRPr="000B7227">
              <w:rPr>
                <w:color w:val="000000"/>
                <w:sz w:val="22"/>
                <w:szCs w:val="22"/>
                <w:lang w:val="sr-Latn-CS"/>
              </w:rPr>
              <w:t xml:space="preserve"> viđala kod </w:t>
            </w:r>
            <w:r>
              <w:rPr>
                <w:color w:val="000000"/>
                <w:sz w:val="22"/>
                <w:szCs w:val="22"/>
                <w:lang w:val="sr-Latn-CS"/>
              </w:rPr>
              <w:t>pacijenata sa C</w:t>
            </w:r>
            <w:r w:rsidRPr="000B7227">
              <w:rPr>
                <w:color w:val="000000"/>
                <w:sz w:val="22"/>
                <w:szCs w:val="22"/>
                <w:lang w:val="sr-Latn-CS"/>
              </w:rPr>
              <w:t>ML</w:t>
            </w:r>
            <w:r>
              <w:rPr>
                <w:color w:val="000000"/>
                <w:sz w:val="22"/>
                <w:szCs w:val="22"/>
                <w:lang w:val="sr-Latn-CS"/>
              </w:rPr>
              <w:t>-om</w:t>
            </w:r>
            <w:r w:rsidRPr="000B7227">
              <w:rPr>
                <w:color w:val="000000"/>
                <w:sz w:val="22"/>
                <w:szCs w:val="22"/>
                <w:lang w:val="sr-Latn-CS"/>
              </w:rPr>
              <w:t xml:space="preserve"> nego kod </w:t>
            </w:r>
            <w:r>
              <w:rPr>
                <w:color w:val="000000"/>
                <w:sz w:val="22"/>
                <w:szCs w:val="22"/>
                <w:lang w:val="sr-Latn-CS"/>
              </w:rPr>
              <w:t xml:space="preserve">pacijenata sa </w:t>
            </w:r>
            <w:r w:rsidRPr="000B7227">
              <w:rPr>
                <w:color w:val="000000"/>
                <w:sz w:val="22"/>
                <w:szCs w:val="22"/>
                <w:lang w:val="sr-Latn-CS"/>
              </w:rPr>
              <w:t>GIST</w:t>
            </w:r>
            <w:r>
              <w:rPr>
                <w:color w:val="000000"/>
                <w:sz w:val="22"/>
                <w:szCs w:val="22"/>
                <w:lang w:val="sr-Latn-CS"/>
              </w:rPr>
              <w:t>-om</w:t>
            </w:r>
            <w:r w:rsidRPr="000B7227">
              <w:rPr>
                <w:color w:val="000000"/>
                <w:sz w:val="22"/>
                <w:szCs w:val="22"/>
                <w:lang w:val="sr-Latn-CS"/>
              </w:rPr>
              <w:t>, gd</w:t>
            </w:r>
            <w:r>
              <w:rPr>
                <w:color w:val="000000"/>
                <w:sz w:val="22"/>
                <w:szCs w:val="22"/>
                <w:lang w:val="sr-Latn-CS"/>
              </w:rPr>
              <w:t>j</w:t>
            </w:r>
            <w:r w:rsidRPr="000B7227">
              <w:rPr>
                <w:color w:val="000000"/>
                <w:sz w:val="22"/>
                <w:szCs w:val="22"/>
                <w:lang w:val="sr-Latn-CS"/>
              </w:rPr>
              <w:t>e uzrok v</w:t>
            </w:r>
            <w:r>
              <w:rPr>
                <w:color w:val="000000"/>
                <w:sz w:val="22"/>
                <w:szCs w:val="22"/>
                <w:lang w:val="sr-Latn-CS"/>
              </w:rPr>
              <w:t>j</w:t>
            </w:r>
            <w:r w:rsidRPr="000B7227">
              <w:rPr>
                <w:color w:val="000000"/>
                <w:sz w:val="22"/>
                <w:szCs w:val="22"/>
                <w:lang w:val="sr-Latn-CS"/>
              </w:rPr>
              <w:t xml:space="preserve">erovatno leži u osnovnoj bolesti. U </w:t>
            </w:r>
            <w:r w:rsidRPr="00A70903">
              <w:rPr>
                <w:sz w:val="22"/>
                <w:lang w:val="pt-BR"/>
              </w:rPr>
              <w:t>neresektabilnom i/ili metastatskom</w:t>
            </w:r>
            <w:r w:rsidRPr="009D18B1">
              <w:rPr>
                <w:sz w:val="22"/>
                <w:lang w:val="pt-BR"/>
              </w:rPr>
              <w:t xml:space="preserve"> GIST</w:t>
            </w:r>
            <w:r w:rsidRPr="000B7227">
              <w:rPr>
                <w:color w:val="000000"/>
                <w:sz w:val="22"/>
                <w:szCs w:val="22"/>
                <w:lang w:val="sr-Latn-CS"/>
              </w:rPr>
              <w:t xml:space="preserve"> </w:t>
            </w:r>
            <w:r w:rsidRPr="0039736A">
              <w:rPr>
                <w:sz w:val="22"/>
                <w:szCs w:val="22"/>
                <w:lang w:val="sr-Latn-CS"/>
              </w:rPr>
              <w:t xml:space="preserve">kliničkom ispitivanju, 7 (5%) pacijenata doživelo je GI </w:t>
            </w:r>
            <w:r>
              <w:rPr>
                <w:sz w:val="22"/>
                <w:szCs w:val="22"/>
                <w:lang w:val="sr-Latn-CS"/>
              </w:rPr>
              <w:t>krvare</w:t>
            </w:r>
            <w:r w:rsidRPr="0039736A">
              <w:rPr>
                <w:sz w:val="22"/>
                <w:szCs w:val="22"/>
                <w:lang w:val="sr-Latn-CS"/>
              </w:rPr>
              <w:t xml:space="preserve">nja </w:t>
            </w:r>
            <w:smartTag w:uri="urn:schemas-microsoft-com:office:smarttags" w:element="stockticker">
              <w:r w:rsidRPr="0039736A">
                <w:rPr>
                  <w:sz w:val="22"/>
                  <w:szCs w:val="22"/>
                  <w:lang w:val="sr-Latn-CS"/>
                </w:rPr>
                <w:t>CTC</w:t>
              </w:r>
            </w:smartTag>
            <w:r w:rsidRPr="0039736A">
              <w:rPr>
                <w:sz w:val="22"/>
                <w:szCs w:val="22"/>
                <w:lang w:val="sr-Latn-CS"/>
              </w:rPr>
              <w:t xml:space="preserve"> stepena 3/4 (3 pacijenta),</w:t>
            </w:r>
            <w:r w:rsidRPr="00224634">
              <w:rPr>
                <w:color w:val="FF0000"/>
                <w:sz w:val="22"/>
                <w:szCs w:val="22"/>
                <w:u w:val="single"/>
                <w:lang w:val="sr-Latn-CS"/>
              </w:rPr>
              <w:t xml:space="preserve"> </w:t>
            </w:r>
            <w:r w:rsidRPr="000B7227">
              <w:rPr>
                <w:color w:val="000000"/>
                <w:sz w:val="22"/>
                <w:szCs w:val="22"/>
                <w:lang w:val="sr-Latn-CS"/>
              </w:rPr>
              <w:t xml:space="preserve">intratumorska </w:t>
            </w:r>
            <w:r>
              <w:rPr>
                <w:color w:val="000000"/>
                <w:sz w:val="22"/>
                <w:szCs w:val="22"/>
                <w:lang w:val="sr-Latn-CS"/>
              </w:rPr>
              <w:t>krvare</w:t>
            </w:r>
            <w:r w:rsidRPr="000B7227">
              <w:rPr>
                <w:color w:val="000000"/>
                <w:sz w:val="22"/>
                <w:szCs w:val="22"/>
                <w:lang w:val="sr-Latn-CS"/>
              </w:rPr>
              <w:t xml:space="preserve">nja (3 </w:t>
            </w:r>
            <w:r>
              <w:rPr>
                <w:color w:val="000000"/>
                <w:sz w:val="22"/>
                <w:szCs w:val="22"/>
                <w:lang w:val="sr-Latn-CS"/>
              </w:rPr>
              <w:t>pacijenta</w:t>
            </w:r>
            <w:r w:rsidRPr="000B7227">
              <w:rPr>
                <w:color w:val="000000"/>
                <w:sz w:val="22"/>
                <w:szCs w:val="22"/>
                <w:lang w:val="sr-Latn-CS"/>
              </w:rPr>
              <w:t xml:space="preserve">) ili oba (1 </w:t>
            </w:r>
            <w:r>
              <w:rPr>
                <w:color w:val="000000"/>
                <w:sz w:val="22"/>
                <w:szCs w:val="22"/>
                <w:lang w:val="sr-Latn-CS"/>
              </w:rPr>
              <w:t>pacijent</w:t>
            </w:r>
            <w:r w:rsidRPr="000B7227">
              <w:rPr>
                <w:color w:val="000000"/>
                <w:sz w:val="22"/>
                <w:szCs w:val="22"/>
                <w:lang w:val="sr-Latn-CS"/>
              </w:rPr>
              <w:t>). GI tumorska m</w:t>
            </w:r>
            <w:r>
              <w:rPr>
                <w:color w:val="000000"/>
                <w:sz w:val="22"/>
                <w:szCs w:val="22"/>
                <w:lang w:val="sr-Latn-CS"/>
              </w:rPr>
              <w:t>j</w:t>
            </w:r>
            <w:r w:rsidRPr="000B7227">
              <w:rPr>
                <w:color w:val="000000"/>
                <w:sz w:val="22"/>
                <w:szCs w:val="22"/>
                <w:lang w:val="sr-Latn-CS"/>
              </w:rPr>
              <w:t xml:space="preserve">esta su mogla biti izvor GI </w:t>
            </w:r>
            <w:r>
              <w:rPr>
                <w:color w:val="000000"/>
                <w:sz w:val="22"/>
                <w:szCs w:val="22"/>
                <w:lang w:val="sr-Latn-CS"/>
              </w:rPr>
              <w:t>krvare</w:t>
            </w:r>
            <w:r w:rsidRPr="000B7227">
              <w:rPr>
                <w:color w:val="000000"/>
                <w:sz w:val="22"/>
                <w:szCs w:val="22"/>
                <w:lang w:val="sr-Latn-CS"/>
              </w:rPr>
              <w:t>nja (</w:t>
            </w:r>
            <w:r>
              <w:rPr>
                <w:color w:val="000000"/>
                <w:sz w:val="22"/>
                <w:szCs w:val="22"/>
                <w:lang w:val="sr-Latn-CS"/>
              </w:rPr>
              <w:t>vidjet</w:t>
            </w:r>
            <w:r w:rsidRPr="000B7227">
              <w:rPr>
                <w:color w:val="000000"/>
                <w:sz w:val="22"/>
                <w:szCs w:val="22"/>
                <w:lang w:val="sr-Latn-CS"/>
              </w:rPr>
              <w:t xml:space="preserve">i </w:t>
            </w:r>
            <w:r>
              <w:rPr>
                <w:color w:val="000000"/>
                <w:sz w:val="22"/>
                <w:szCs w:val="22"/>
                <w:lang w:val="sr-Latn-CS"/>
              </w:rPr>
              <w:t>odjelj</w:t>
            </w:r>
            <w:r w:rsidRPr="000B7227">
              <w:rPr>
                <w:color w:val="000000"/>
                <w:sz w:val="22"/>
                <w:szCs w:val="22"/>
                <w:lang w:val="sr-Latn-CS"/>
              </w:rPr>
              <w:t xml:space="preserve">ak 4.4). GI i tumorska </w:t>
            </w:r>
            <w:r>
              <w:rPr>
                <w:color w:val="000000"/>
                <w:sz w:val="22"/>
                <w:szCs w:val="22"/>
                <w:lang w:val="sr-Latn-CS"/>
              </w:rPr>
              <w:t>krvare</w:t>
            </w:r>
            <w:r w:rsidRPr="000B7227">
              <w:rPr>
                <w:color w:val="000000"/>
                <w:sz w:val="22"/>
                <w:szCs w:val="22"/>
                <w:lang w:val="sr-Latn-CS"/>
              </w:rPr>
              <w:t xml:space="preserve">nja mogu biti teška i ponekad fatalna. Najčešće </w:t>
            </w:r>
            <w:r w:rsidRPr="0062637B">
              <w:rPr>
                <w:sz w:val="22"/>
                <w:szCs w:val="22"/>
                <w:lang w:val="sr-Latn-CS"/>
              </w:rPr>
              <w:t xml:space="preserve">zabilježene </w:t>
            </w:r>
            <w:r w:rsidRPr="000B7227">
              <w:rPr>
                <w:color w:val="000000"/>
                <w:sz w:val="22"/>
                <w:szCs w:val="22"/>
                <w:lang w:val="sr-Latn-CS"/>
              </w:rPr>
              <w:t>(</w:t>
            </w:r>
            <w:r>
              <w:rPr>
                <w:color w:val="000000"/>
                <w:sz w:val="22"/>
                <w:szCs w:val="22"/>
                <w:lang w:val="sr-Latn-CS"/>
              </w:rPr>
              <w:t xml:space="preserve">≥ </w:t>
            </w:r>
            <w:r w:rsidRPr="000B7227">
              <w:rPr>
                <w:color w:val="000000"/>
                <w:sz w:val="22"/>
                <w:szCs w:val="22"/>
                <w:lang w:val="sr-Latn-CS"/>
              </w:rPr>
              <w:t>10%) neželjene reakcije u vezi s</w:t>
            </w:r>
            <w:r>
              <w:rPr>
                <w:color w:val="000000"/>
                <w:sz w:val="22"/>
                <w:szCs w:val="22"/>
                <w:lang w:val="sr-Latn-CS"/>
              </w:rPr>
              <w:t>a</w:t>
            </w:r>
            <w:r w:rsidRPr="000B7227">
              <w:rPr>
                <w:color w:val="000000"/>
                <w:sz w:val="22"/>
                <w:szCs w:val="22"/>
                <w:lang w:val="sr-Latn-CS"/>
              </w:rPr>
              <w:t xml:space="preserve"> </w:t>
            </w:r>
            <w:r>
              <w:rPr>
                <w:color w:val="000000"/>
                <w:sz w:val="22"/>
                <w:szCs w:val="22"/>
                <w:lang w:val="sr-Latn-CS"/>
              </w:rPr>
              <w:t>lijek</w:t>
            </w:r>
            <w:r w:rsidRPr="000B7227">
              <w:rPr>
                <w:color w:val="000000"/>
                <w:sz w:val="22"/>
                <w:szCs w:val="22"/>
                <w:lang w:val="sr-Latn-CS"/>
              </w:rPr>
              <w:t>om u ob</w:t>
            </w:r>
            <w:r>
              <w:rPr>
                <w:color w:val="000000"/>
                <w:sz w:val="22"/>
                <w:szCs w:val="22"/>
                <w:lang w:val="sr-Latn-CS"/>
              </w:rPr>
              <w:t>j</w:t>
            </w:r>
            <w:r w:rsidRPr="000B7227">
              <w:rPr>
                <w:color w:val="000000"/>
                <w:sz w:val="22"/>
                <w:szCs w:val="22"/>
                <w:lang w:val="sr-Latn-CS"/>
              </w:rPr>
              <w:t>e situacije bile su blaga mučnina, povraćanje, dijareja, abdom</w:t>
            </w:r>
            <w:r>
              <w:rPr>
                <w:color w:val="000000"/>
                <w:sz w:val="22"/>
                <w:szCs w:val="22"/>
                <w:lang w:val="sr-Latn-CS"/>
              </w:rPr>
              <w:t>i</w:t>
            </w:r>
            <w:r w:rsidRPr="000B7227">
              <w:rPr>
                <w:color w:val="000000"/>
                <w:sz w:val="22"/>
                <w:szCs w:val="22"/>
                <w:lang w:val="sr-Latn-CS"/>
              </w:rPr>
              <w:t>n</w:t>
            </w:r>
            <w:r>
              <w:rPr>
                <w:color w:val="000000"/>
                <w:sz w:val="22"/>
                <w:szCs w:val="22"/>
                <w:lang w:val="sr-Latn-CS"/>
              </w:rPr>
              <w:t>alni</w:t>
            </w:r>
            <w:r w:rsidRPr="000B7227">
              <w:rPr>
                <w:color w:val="000000"/>
                <w:sz w:val="22"/>
                <w:szCs w:val="22"/>
                <w:lang w:val="sr-Latn-CS"/>
              </w:rPr>
              <w:t xml:space="preserve"> bol, zamor, mijalgija, mišićni grčevi i osip. Površinski edemi bili su </w:t>
            </w:r>
            <w:r>
              <w:rPr>
                <w:color w:val="000000"/>
                <w:sz w:val="22"/>
                <w:szCs w:val="22"/>
                <w:lang w:val="sr-Latn-CS"/>
              </w:rPr>
              <w:t>čest nalaz u svim ispitivanjima</w:t>
            </w:r>
            <w:r w:rsidRPr="000B7227">
              <w:rPr>
                <w:color w:val="000000"/>
                <w:sz w:val="22"/>
                <w:szCs w:val="22"/>
                <w:lang w:val="sr-Latn-CS"/>
              </w:rPr>
              <w:t>, a prvenstveno su opisivani kao periorbit</w:t>
            </w:r>
            <w:r>
              <w:rPr>
                <w:color w:val="000000"/>
                <w:sz w:val="22"/>
                <w:szCs w:val="22"/>
                <w:lang w:val="sr-Latn-CS"/>
              </w:rPr>
              <w:t>al</w:t>
            </w:r>
            <w:r w:rsidRPr="000B7227">
              <w:rPr>
                <w:color w:val="000000"/>
                <w:sz w:val="22"/>
                <w:szCs w:val="22"/>
                <w:lang w:val="sr-Latn-CS"/>
              </w:rPr>
              <w:t>ni ili edemi donjih udova. Međutim, ovi edemi su r</w:t>
            </w:r>
            <w:r>
              <w:rPr>
                <w:color w:val="000000"/>
                <w:sz w:val="22"/>
                <w:szCs w:val="22"/>
                <w:lang w:val="sr-Latn-CS"/>
              </w:rPr>
              <w:t>ij</w:t>
            </w:r>
            <w:r w:rsidRPr="000B7227">
              <w:rPr>
                <w:color w:val="000000"/>
                <w:sz w:val="22"/>
                <w:szCs w:val="22"/>
                <w:lang w:val="sr-Latn-CS"/>
              </w:rPr>
              <w:t>etko</w:t>
            </w:r>
            <w:r>
              <w:rPr>
                <w:color w:val="000000"/>
                <w:sz w:val="22"/>
                <w:szCs w:val="22"/>
                <w:lang w:val="sr-Latn-CS"/>
              </w:rPr>
              <w:t xml:space="preserve"> </w:t>
            </w:r>
            <w:r w:rsidRPr="000B7227">
              <w:rPr>
                <w:color w:val="000000"/>
                <w:sz w:val="22"/>
                <w:szCs w:val="22"/>
                <w:lang w:val="sr-Latn-CS"/>
              </w:rPr>
              <w:t>bili teški i mogli su se regulisat</w:t>
            </w:r>
            <w:r>
              <w:rPr>
                <w:color w:val="000000"/>
                <w:sz w:val="22"/>
                <w:szCs w:val="22"/>
                <w:lang w:val="sr-Latn-CS"/>
              </w:rPr>
              <w:t>i diureticima, drugim suportivni</w:t>
            </w:r>
            <w:r w:rsidRPr="000B7227">
              <w:rPr>
                <w:color w:val="000000"/>
                <w:sz w:val="22"/>
                <w:szCs w:val="22"/>
                <w:lang w:val="sr-Latn-CS"/>
              </w:rPr>
              <w:t xml:space="preserve">m </w:t>
            </w:r>
            <w:r>
              <w:rPr>
                <w:color w:val="000000"/>
                <w:sz w:val="22"/>
                <w:szCs w:val="22"/>
                <w:lang w:val="sr-Latn-CS"/>
              </w:rPr>
              <w:t>mjerama, ili smanjivanjem doze i</w:t>
            </w:r>
            <w:r>
              <w:rPr>
                <w:bCs/>
                <w:sz w:val="22"/>
                <w:szCs w:val="22"/>
                <w:lang w:val="da-DK"/>
              </w:rPr>
              <w:t>matiniba</w:t>
            </w:r>
            <w:r w:rsidRPr="000B7227">
              <w:rPr>
                <w:color w:val="000000"/>
                <w:sz w:val="22"/>
                <w:szCs w:val="22"/>
                <w:lang w:val="sr-Latn-CS"/>
              </w:rPr>
              <w:t>.</w:t>
            </w:r>
          </w:p>
          <w:p w:rsidR="000A2337" w:rsidRPr="000B7227" w:rsidRDefault="000A2337" w:rsidP="00161AB3">
            <w:pPr>
              <w:shd w:val="clear" w:color="auto" w:fill="FFFFFF"/>
              <w:rPr>
                <w:color w:val="000000"/>
                <w:sz w:val="22"/>
                <w:szCs w:val="22"/>
                <w:lang w:val="sr-Latn-CS"/>
              </w:rPr>
            </w:pPr>
          </w:p>
          <w:p w:rsidR="000A2337" w:rsidRPr="00B90350" w:rsidRDefault="000A2337" w:rsidP="00161AB3">
            <w:pPr>
              <w:autoSpaceDE w:val="0"/>
              <w:autoSpaceDN w:val="0"/>
              <w:adjustRightInd w:val="0"/>
              <w:jc w:val="both"/>
              <w:rPr>
                <w:color w:val="000000"/>
                <w:sz w:val="22"/>
                <w:szCs w:val="22"/>
                <w:lang w:val="sr-Latn-CS"/>
              </w:rPr>
            </w:pPr>
            <w:r w:rsidRPr="000B7227">
              <w:rPr>
                <w:color w:val="000000"/>
                <w:sz w:val="22"/>
                <w:szCs w:val="22"/>
                <w:lang w:val="sr-Latn-CS"/>
              </w:rPr>
              <w:t xml:space="preserve">Ako se imatinib kombinuje sa visoko-doznom hemioterapijom kod Ph+ </w:t>
            </w:r>
            <w:smartTag w:uri="urn:schemas-microsoft-com:office:smarttags" w:element="stockticker">
              <w:r w:rsidRPr="000B7227">
                <w:rPr>
                  <w:color w:val="000000"/>
                  <w:sz w:val="22"/>
                  <w:szCs w:val="22"/>
                  <w:lang w:val="sr-Latn-CS"/>
                </w:rPr>
                <w:t>ALL</w:t>
              </w:r>
            </w:smartTag>
            <w:r w:rsidRPr="000B7227">
              <w:rPr>
                <w:color w:val="000000"/>
                <w:sz w:val="22"/>
                <w:szCs w:val="22"/>
                <w:lang w:val="sr-Latn-CS"/>
              </w:rPr>
              <w:t xml:space="preserve"> </w:t>
            </w:r>
            <w:r>
              <w:rPr>
                <w:color w:val="000000"/>
                <w:sz w:val="22"/>
                <w:szCs w:val="22"/>
                <w:lang w:val="sr-Latn-CS"/>
              </w:rPr>
              <w:t>pacijenata</w:t>
            </w:r>
            <w:r w:rsidRPr="000B7227">
              <w:rPr>
                <w:color w:val="000000"/>
                <w:sz w:val="22"/>
                <w:szCs w:val="22"/>
                <w:lang w:val="sr-Latn-CS"/>
              </w:rPr>
              <w:t xml:space="preserve">, zapažena je </w:t>
            </w:r>
            <w:r>
              <w:rPr>
                <w:color w:val="000000"/>
                <w:sz w:val="22"/>
                <w:szCs w:val="22"/>
                <w:lang w:val="sr-Latn-CS"/>
              </w:rPr>
              <w:t>prolazna hepatotoksičnost u obliku</w:t>
            </w:r>
            <w:r w:rsidRPr="000B7227">
              <w:rPr>
                <w:color w:val="000000"/>
                <w:sz w:val="22"/>
                <w:szCs w:val="22"/>
                <w:lang w:val="sr-Latn-CS"/>
              </w:rPr>
              <w:t xml:space="preserve"> povišenja transaminaza i hiperbilirubinemije.</w:t>
            </w:r>
            <w:r>
              <w:rPr>
                <w:color w:val="000000"/>
                <w:sz w:val="22"/>
                <w:szCs w:val="22"/>
                <w:lang w:val="sr-Latn-CS"/>
              </w:rPr>
              <w:t xml:space="preserve"> </w:t>
            </w:r>
            <w:r w:rsidRPr="00B90350">
              <w:rPr>
                <w:color w:val="000000"/>
                <w:sz w:val="22"/>
                <w:szCs w:val="22"/>
                <w:lang w:val="sr-Latn-CS"/>
              </w:rPr>
              <w:t>Imajući na umu ograničenost</w:t>
            </w:r>
            <w:r w:rsidR="00463E8C">
              <w:rPr>
                <w:color w:val="000000"/>
                <w:sz w:val="22"/>
                <w:szCs w:val="22"/>
                <w:lang w:val="sr-Latn-CS"/>
              </w:rPr>
              <w:t xml:space="preserve"> </w:t>
            </w:r>
            <w:r w:rsidRPr="00B90350">
              <w:rPr>
                <w:color w:val="000000"/>
                <w:sz w:val="22"/>
                <w:szCs w:val="22"/>
                <w:lang w:val="sr-Latn-CS"/>
              </w:rPr>
              <w:t xml:space="preserve">baze podataka o </w:t>
            </w:r>
            <w:r>
              <w:rPr>
                <w:color w:val="000000"/>
                <w:sz w:val="22"/>
                <w:szCs w:val="22"/>
                <w:lang w:val="sr-Latn-CS"/>
              </w:rPr>
              <w:t>bezbjedn</w:t>
            </w:r>
            <w:r w:rsidRPr="00B90350">
              <w:rPr>
                <w:color w:val="000000"/>
                <w:sz w:val="22"/>
                <w:szCs w:val="22"/>
                <w:lang w:val="sr-Latn-CS"/>
              </w:rPr>
              <w:t>osti primjene, dos</w:t>
            </w:r>
            <w:r>
              <w:rPr>
                <w:color w:val="000000"/>
                <w:sz w:val="22"/>
                <w:szCs w:val="22"/>
                <w:lang w:val="sr-Latn-CS"/>
              </w:rPr>
              <w:t>ad prijavljeni neželjeni događaji kod djece odgovaraju poznatom</w:t>
            </w:r>
            <w:r w:rsidR="00463E8C">
              <w:rPr>
                <w:color w:val="000000"/>
                <w:sz w:val="22"/>
                <w:szCs w:val="22"/>
                <w:lang w:val="sr-Latn-CS"/>
              </w:rPr>
              <w:t xml:space="preserve"> </w:t>
            </w:r>
            <w:r>
              <w:rPr>
                <w:color w:val="000000"/>
                <w:sz w:val="22"/>
                <w:szCs w:val="22"/>
                <w:lang w:val="sr-Latn-CS"/>
              </w:rPr>
              <w:t>bezbjedno</w:t>
            </w:r>
            <w:r w:rsidRPr="00B90350">
              <w:rPr>
                <w:color w:val="000000"/>
                <w:sz w:val="22"/>
                <w:szCs w:val="22"/>
                <w:lang w:val="sr-Latn-CS"/>
              </w:rPr>
              <w:t xml:space="preserve">snom profilu </w:t>
            </w:r>
            <w:r>
              <w:rPr>
                <w:color w:val="000000"/>
                <w:sz w:val="22"/>
                <w:szCs w:val="22"/>
                <w:lang w:val="sr-Latn-CS"/>
              </w:rPr>
              <w:t>kod</w:t>
            </w:r>
            <w:r w:rsidRPr="00B90350">
              <w:rPr>
                <w:color w:val="000000"/>
                <w:sz w:val="22"/>
                <w:szCs w:val="22"/>
                <w:lang w:val="sr-Latn-CS"/>
              </w:rPr>
              <w:t xml:space="preserve"> odraslih </w:t>
            </w:r>
            <w:r>
              <w:rPr>
                <w:color w:val="000000"/>
                <w:sz w:val="22"/>
                <w:szCs w:val="22"/>
                <w:lang w:val="sr-Latn-CS"/>
              </w:rPr>
              <w:t>pacijenat</w:t>
            </w:r>
            <w:r w:rsidRPr="00B90350">
              <w:rPr>
                <w:color w:val="000000"/>
                <w:sz w:val="22"/>
                <w:szCs w:val="22"/>
                <w:lang w:val="sr-Latn-CS"/>
              </w:rPr>
              <w:t>a s</w:t>
            </w:r>
            <w:r>
              <w:rPr>
                <w:color w:val="000000"/>
                <w:sz w:val="22"/>
                <w:szCs w:val="22"/>
                <w:lang w:val="sr-Latn-CS"/>
              </w:rPr>
              <w:t>a</w:t>
            </w:r>
            <w:r w:rsidRPr="00B90350">
              <w:rPr>
                <w:color w:val="000000"/>
                <w:sz w:val="22"/>
                <w:szCs w:val="22"/>
                <w:lang w:val="sr-Latn-CS"/>
              </w:rPr>
              <w:t xml:space="preserve"> Ph+ ALL. Baza </w:t>
            </w:r>
            <w:r>
              <w:rPr>
                <w:color w:val="000000"/>
                <w:sz w:val="22"/>
                <w:szCs w:val="22"/>
                <w:lang w:val="sr-Latn-CS"/>
              </w:rPr>
              <w:t xml:space="preserve">bezbjednosnih </w:t>
            </w:r>
            <w:r w:rsidRPr="00B90350">
              <w:rPr>
                <w:color w:val="000000"/>
                <w:sz w:val="22"/>
                <w:szCs w:val="22"/>
                <w:lang w:val="sr-Latn-CS"/>
              </w:rPr>
              <w:t>podataka za djecu s</w:t>
            </w:r>
            <w:r>
              <w:rPr>
                <w:color w:val="000000"/>
                <w:sz w:val="22"/>
                <w:szCs w:val="22"/>
                <w:lang w:val="sr-Latn-CS"/>
              </w:rPr>
              <w:t>a</w:t>
            </w:r>
            <w:r w:rsidRPr="00B90350">
              <w:rPr>
                <w:color w:val="000000"/>
                <w:sz w:val="22"/>
                <w:szCs w:val="22"/>
                <w:lang w:val="sr-Latn-CS"/>
              </w:rPr>
              <w:t xml:space="preserve"> Ph+ALL</w:t>
            </w:r>
          </w:p>
          <w:p w:rsidR="000A2337" w:rsidRDefault="000A2337" w:rsidP="00161AB3">
            <w:pPr>
              <w:autoSpaceDE w:val="0"/>
              <w:autoSpaceDN w:val="0"/>
              <w:adjustRightInd w:val="0"/>
              <w:jc w:val="both"/>
              <w:rPr>
                <w:color w:val="000000"/>
                <w:sz w:val="22"/>
                <w:szCs w:val="22"/>
                <w:lang w:val="sr-Latn-CS"/>
              </w:rPr>
            </w:pPr>
            <w:r w:rsidRPr="00B90350">
              <w:rPr>
                <w:color w:val="000000"/>
                <w:sz w:val="22"/>
                <w:szCs w:val="22"/>
                <w:lang w:val="sr-Latn-CS"/>
              </w:rPr>
              <w:t>vrlo je ograničena iako ni</w:t>
            </w:r>
            <w:r>
              <w:rPr>
                <w:color w:val="000000"/>
                <w:sz w:val="22"/>
                <w:szCs w:val="22"/>
                <w:lang w:val="sr-Latn-CS"/>
              </w:rPr>
              <w:t>je</w:t>
            </w:r>
            <w:r w:rsidRPr="00B90350">
              <w:rPr>
                <w:color w:val="000000"/>
                <w:sz w:val="22"/>
                <w:szCs w:val="22"/>
                <w:lang w:val="sr-Latn-CS"/>
              </w:rPr>
              <w:t xml:space="preserve">su uočena nikakva nova </w:t>
            </w:r>
            <w:r>
              <w:rPr>
                <w:color w:val="000000"/>
                <w:sz w:val="22"/>
                <w:szCs w:val="22"/>
                <w:lang w:val="sr-Latn-CS"/>
              </w:rPr>
              <w:t>bezbjednosna</w:t>
            </w:r>
            <w:r w:rsidRPr="00B90350">
              <w:rPr>
                <w:color w:val="000000"/>
                <w:sz w:val="22"/>
                <w:szCs w:val="22"/>
                <w:lang w:val="sr-Latn-CS"/>
              </w:rPr>
              <w:t xml:space="preserve"> pitanja.</w:t>
            </w:r>
          </w:p>
          <w:p w:rsidR="000A2337" w:rsidRDefault="000A2337" w:rsidP="00161AB3">
            <w:pPr>
              <w:shd w:val="clear" w:color="auto" w:fill="FFFFFF"/>
              <w:rPr>
                <w:color w:val="000000"/>
                <w:sz w:val="22"/>
                <w:szCs w:val="22"/>
                <w:lang w:val="sr-Latn-CS"/>
              </w:rPr>
            </w:pPr>
          </w:p>
          <w:p w:rsidR="000A2337" w:rsidRDefault="000A2337" w:rsidP="00161AB3">
            <w:pPr>
              <w:shd w:val="clear" w:color="auto" w:fill="FFFFFF"/>
              <w:jc w:val="both"/>
              <w:rPr>
                <w:color w:val="000000"/>
                <w:sz w:val="22"/>
                <w:szCs w:val="22"/>
                <w:lang w:val="sr-Latn-CS"/>
              </w:rPr>
            </w:pPr>
            <w:r w:rsidRPr="000B7227">
              <w:rPr>
                <w:color w:val="000000"/>
                <w:sz w:val="22"/>
                <w:szCs w:val="22"/>
                <w:lang w:val="sr-Latn-CS"/>
              </w:rPr>
              <w:t>Različite neželjene reakcije poput pleur</w:t>
            </w:r>
            <w:r>
              <w:rPr>
                <w:color w:val="000000"/>
                <w:sz w:val="22"/>
                <w:szCs w:val="22"/>
                <w:lang w:val="sr-Latn-CS"/>
              </w:rPr>
              <w:t>al</w:t>
            </w:r>
            <w:r w:rsidRPr="000B7227">
              <w:rPr>
                <w:color w:val="000000"/>
                <w:sz w:val="22"/>
                <w:szCs w:val="22"/>
                <w:lang w:val="sr-Latn-CS"/>
              </w:rPr>
              <w:t>ne efuzije, ascita, plućnog edema i naglog porast</w:t>
            </w:r>
            <w:r>
              <w:rPr>
                <w:color w:val="000000"/>
                <w:sz w:val="22"/>
                <w:szCs w:val="22"/>
                <w:lang w:val="sr-Latn-CS"/>
              </w:rPr>
              <w:t xml:space="preserve">a težine sa ili bez površinskog </w:t>
            </w:r>
            <w:r w:rsidRPr="000B7227">
              <w:rPr>
                <w:color w:val="000000"/>
                <w:sz w:val="22"/>
                <w:szCs w:val="22"/>
                <w:lang w:val="sr-Latn-CS"/>
              </w:rPr>
              <w:t xml:space="preserve">edema mogu se zajednički označiti kao "retencija tečnosti". Ove reakcije mogu se obično kontrolisati privremenim ukidanjem </w:t>
            </w:r>
            <w:r>
              <w:rPr>
                <w:color w:val="000000"/>
                <w:sz w:val="22"/>
                <w:szCs w:val="22"/>
                <w:lang w:val="sr-Latn-CS"/>
              </w:rPr>
              <w:t>terapije i</w:t>
            </w:r>
            <w:r>
              <w:rPr>
                <w:bCs/>
                <w:sz w:val="22"/>
                <w:szCs w:val="22"/>
                <w:lang w:val="da-DK"/>
              </w:rPr>
              <w:t>matinibom</w:t>
            </w:r>
            <w:r>
              <w:rPr>
                <w:color w:val="000000"/>
                <w:sz w:val="22"/>
                <w:szCs w:val="22"/>
                <w:lang w:val="sr-Latn-CS"/>
              </w:rPr>
              <w:t>, primjenom diuretik</w:t>
            </w:r>
            <w:r w:rsidRPr="000B7227">
              <w:rPr>
                <w:color w:val="000000"/>
                <w:sz w:val="22"/>
                <w:szCs w:val="22"/>
                <w:lang w:val="sr-Latn-CS"/>
              </w:rPr>
              <w:t xml:space="preserve">a i drugim odgovarajućim </w:t>
            </w:r>
            <w:r>
              <w:rPr>
                <w:color w:val="000000"/>
                <w:sz w:val="22"/>
                <w:szCs w:val="22"/>
                <w:lang w:val="sr-Latn-CS"/>
              </w:rPr>
              <w:t>suportivnim mjerama</w:t>
            </w:r>
            <w:r w:rsidRPr="000B7227">
              <w:rPr>
                <w:color w:val="000000"/>
                <w:sz w:val="22"/>
                <w:szCs w:val="22"/>
                <w:lang w:val="sr-Latn-CS"/>
              </w:rPr>
              <w:t xml:space="preserve">. Međutim, neke od ovih reakcija mogu biti teške ili opasne po život i nekoliko </w:t>
            </w:r>
            <w:r>
              <w:rPr>
                <w:color w:val="000000"/>
                <w:sz w:val="22"/>
                <w:szCs w:val="22"/>
                <w:lang w:val="sr-Latn-CS"/>
              </w:rPr>
              <w:t>pacijenata</w:t>
            </w:r>
            <w:r w:rsidRPr="000B7227">
              <w:rPr>
                <w:color w:val="000000"/>
                <w:sz w:val="22"/>
                <w:szCs w:val="22"/>
                <w:lang w:val="sr-Latn-CS"/>
              </w:rPr>
              <w:t xml:space="preserve"> sa blast</w:t>
            </w:r>
            <w:r>
              <w:rPr>
                <w:color w:val="000000"/>
                <w:sz w:val="22"/>
                <w:szCs w:val="22"/>
                <w:lang w:val="sr-Latn-CS"/>
              </w:rPr>
              <w:t>nom</w:t>
            </w:r>
            <w:r w:rsidRPr="000B7227">
              <w:rPr>
                <w:color w:val="000000"/>
                <w:sz w:val="22"/>
                <w:szCs w:val="22"/>
                <w:lang w:val="sr-Latn-CS"/>
              </w:rPr>
              <w:t xml:space="preserve"> krizom je umrlo sa komp</w:t>
            </w:r>
            <w:r>
              <w:rPr>
                <w:color w:val="000000"/>
                <w:sz w:val="22"/>
                <w:szCs w:val="22"/>
                <w:lang w:val="sr-Latn-CS"/>
              </w:rPr>
              <w:t>lek</w:t>
            </w:r>
            <w:r w:rsidRPr="000B7227">
              <w:rPr>
                <w:color w:val="000000"/>
                <w:sz w:val="22"/>
                <w:szCs w:val="22"/>
                <w:lang w:val="sr-Latn-CS"/>
              </w:rPr>
              <w:t xml:space="preserve">snom kliničkom </w:t>
            </w:r>
            <w:r>
              <w:rPr>
                <w:color w:val="000000"/>
                <w:sz w:val="22"/>
                <w:szCs w:val="22"/>
                <w:lang w:val="sr-Latn-CS"/>
              </w:rPr>
              <w:t>anamnez</w:t>
            </w:r>
            <w:r w:rsidRPr="000B7227">
              <w:rPr>
                <w:color w:val="000000"/>
                <w:sz w:val="22"/>
                <w:szCs w:val="22"/>
                <w:lang w:val="sr-Latn-CS"/>
              </w:rPr>
              <w:t>om pleur</w:t>
            </w:r>
            <w:r>
              <w:rPr>
                <w:color w:val="000000"/>
                <w:sz w:val="22"/>
                <w:szCs w:val="22"/>
                <w:lang w:val="sr-Latn-CS"/>
              </w:rPr>
              <w:t>al</w:t>
            </w:r>
            <w:r w:rsidRPr="000B7227">
              <w:rPr>
                <w:color w:val="000000"/>
                <w:sz w:val="22"/>
                <w:szCs w:val="22"/>
                <w:lang w:val="sr-Latn-CS"/>
              </w:rPr>
              <w:t xml:space="preserve">ne efuzije, kongestivne srčane insuficijencije i bubrežne </w:t>
            </w:r>
            <w:r w:rsidRPr="000B7227">
              <w:rPr>
                <w:color w:val="000000"/>
                <w:sz w:val="22"/>
                <w:szCs w:val="22"/>
                <w:lang w:val="sr-Latn-CS"/>
              </w:rPr>
              <w:lastRenderedPageBreak/>
              <w:t xml:space="preserve">insuficijencije. Nije bilo posebnih nalaza </w:t>
            </w:r>
            <w:r>
              <w:rPr>
                <w:color w:val="000000"/>
                <w:sz w:val="22"/>
                <w:szCs w:val="22"/>
                <w:lang w:val="sr-Latn-CS"/>
              </w:rPr>
              <w:t xml:space="preserve">sa aspekta bezbjednosti u kliničkim ispitivanjima </w:t>
            </w:r>
            <w:r w:rsidRPr="000B7227">
              <w:rPr>
                <w:color w:val="000000"/>
                <w:sz w:val="22"/>
                <w:szCs w:val="22"/>
                <w:lang w:val="sr-Latn-CS"/>
              </w:rPr>
              <w:t>u p</w:t>
            </w:r>
            <w:r>
              <w:rPr>
                <w:color w:val="000000"/>
                <w:sz w:val="22"/>
                <w:szCs w:val="22"/>
                <w:lang w:val="sr-Latn-CS"/>
              </w:rPr>
              <w:t>edijatrijskoj populaciji.</w:t>
            </w:r>
          </w:p>
          <w:p w:rsidR="000A2337" w:rsidRPr="000B7227" w:rsidRDefault="000A2337" w:rsidP="00161AB3">
            <w:pPr>
              <w:shd w:val="clear" w:color="auto" w:fill="FFFFFF"/>
              <w:rPr>
                <w:sz w:val="22"/>
                <w:szCs w:val="22"/>
                <w:lang w:val="sr-Latn-CS"/>
              </w:rPr>
            </w:pPr>
          </w:p>
          <w:p w:rsidR="000A2337" w:rsidRPr="0033782A" w:rsidRDefault="000A2337" w:rsidP="00161AB3">
            <w:pPr>
              <w:shd w:val="clear" w:color="auto" w:fill="FFFFFF"/>
              <w:rPr>
                <w:sz w:val="22"/>
                <w:szCs w:val="22"/>
                <w:lang w:val="sr-Latn-CS"/>
              </w:rPr>
            </w:pPr>
            <w:r w:rsidRPr="0033782A">
              <w:rPr>
                <w:b/>
                <w:bCs/>
                <w:color w:val="000000"/>
                <w:sz w:val="22"/>
                <w:szCs w:val="22"/>
                <w:lang w:val="sr-Latn-CS"/>
              </w:rPr>
              <w:t>Neželjene reakcije</w:t>
            </w:r>
          </w:p>
          <w:p w:rsidR="000A2337" w:rsidRPr="00295F50" w:rsidRDefault="000A2337" w:rsidP="00161AB3">
            <w:pPr>
              <w:shd w:val="clear" w:color="auto" w:fill="FFFFFF"/>
              <w:rPr>
                <w:color w:val="000000"/>
                <w:sz w:val="22"/>
                <w:szCs w:val="22"/>
                <w:lang w:val="sr-Latn-CS"/>
              </w:rPr>
            </w:pPr>
            <w:r w:rsidRPr="0033782A">
              <w:rPr>
                <w:bCs/>
                <w:color w:val="000000"/>
                <w:sz w:val="22"/>
                <w:szCs w:val="22"/>
                <w:lang w:val="sr-Latn-CS"/>
              </w:rPr>
              <w:t>Neželjene</w:t>
            </w:r>
            <w:r w:rsidRPr="0033782A">
              <w:rPr>
                <w:b/>
                <w:bCs/>
                <w:color w:val="000000"/>
                <w:sz w:val="22"/>
                <w:szCs w:val="22"/>
                <w:lang w:val="sr-Latn-CS"/>
              </w:rPr>
              <w:t xml:space="preserve"> </w:t>
            </w:r>
            <w:r>
              <w:rPr>
                <w:color w:val="000000"/>
                <w:sz w:val="22"/>
                <w:szCs w:val="22"/>
                <w:lang w:val="sr-Latn-CS"/>
              </w:rPr>
              <w:t xml:space="preserve">reakcije </w:t>
            </w:r>
            <w:r>
              <w:rPr>
                <w:sz w:val="22"/>
                <w:szCs w:val="22"/>
                <w:lang w:val="sr-Latn-CS"/>
              </w:rPr>
              <w:t>zabilje</w:t>
            </w:r>
            <w:r w:rsidRPr="00295F50">
              <w:rPr>
                <w:sz w:val="22"/>
                <w:szCs w:val="22"/>
                <w:lang w:val="sr-Latn-CS"/>
              </w:rPr>
              <w:t xml:space="preserve">žene </w:t>
            </w:r>
            <w:r>
              <w:rPr>
                <w:sz w:val="22"/>
                <w:szCs w:val="22"/>
                <w:lang w:val="sr-Latn-CS"/>
              </w:rPr>
              <w:t xml:space="preserve">češće </w:t>
            </w:r>
            <w:r w:rsidRPr="00295F50">
              <w:rPr>
                <w:sz w:val="22"/>
                <w:szCs w:val="22"/>
                <w:lang w:val="sr-Latn-CS"/>
              </w:rPr>
              <w:t>nego</w:t>
            </w:r>
            <w:r>
              <w:rPr>
                <w:sz w:val="22"/>
                <w:szCs w:val="22"/>
                <w:lang w:val="sr-Latn-CS"/>
              </w:rPr>
              <w:t xml:space="preserve"> u</w:t>
            </w:r>
            <w:r w:rsidRPr="00295F50">
              <w:rPr>
                <w:sz w:val="22"/>
                <w:szCs w:val="22"/>
                <w:lang w:val="sr-Latn-CS"/>
              </w:rPr>
              <w:t xml:space="preserve"> jednom izolovanom slučaju</w:t>
            </w:r>
            <w:r w:rsidRPr="00295F50">
              <w:rPr>
                <w:color w:val="000000"/>
                <w:sz w:val="22"/>
                <w:szCs w:val="22"/>
                <w:lang w:val="sr-Latn-CS"/>
              </w:rPr>
              <w:t xml:space="preserve">, navedene su ispod, prema klasi sistema organa  i prema učestalosti. Učestalosti su definisane </w:t>
            </w:r>
            <w:r>
              <w:rPr>
                <w:color w:val="000000"/>
                <w:sz w:val="22"/>
                <w:szCs w:val="22"/>
                <w:lang w:val="sr-Latn-CS"/>
              </w:rPr>
              <w:t>prema sljedećoj konvenciji</w:t>
            </w:r>
            <w:r w:rsidRPr="00295F50">
              <w:rPr>
                <w:color w:val="000000"/>
                <w:sz w:val="22"/>
                <w:szCs w:val="22"/>
                <w:lang w:val="sr-Latn-CS"/>
              </w:rPr>
              <w:t>: veoma često (≥1/10), često (≥1/100 do &lt;1/10), povremeno (≥1/1000 do &lt;1/100), r</w:t>
            </w:r>
            <w:r>
              <w:rPr>
                <w:color w:val="000000"/>
                <w:sz w:val="22"/>
                <w:szCs w:val="22"/>
                <w:lang w:val="sr-Latn-CS"/>
              </w:rPr>
              <w:t>ij</w:t>
            </w:r>
            <w:r w:rsidRPr="00295F50">
              <w:rPr>
                <w:color w:val="000000"/>
                <w:sz w:val="22"/>
                <w:szCs w:val="22"/>
                <w:lang w:val="sr-Latn-CS"/>
              </w:rPr>
              <w:t>etko (≥l/l 0000 do &lt;1/1000), veoma r</w:t>
            </w:r>
            <w:r>
              <w:rPr>
                <w:color w:val="000000"/>
                <w:sz w:val="22"/>
                <w:szCs w:val="22"/>
                <w:lang w:val="sr-Latn-CS"/>
              </w:rPr>
              <w:t>ij</w:t>
            </w:r>
            <w:r w:rsidRPr="00295F50">
              <w:rPr>
                <w:color w:val="000000"/>
                <w:sz w:val="22"/>
                <w:szCs w:val="22"/>
                <w:lang w:val="sr-Latn-CS"/>
              </w:rPr>
              <w:t>etko (&lt;1/10000), nepoznato (ne može se proc</w:t>
            </w:r>
            <w:r>
              <w:rPr>
                <w:color w:val="000000"/>
                <w:sz w:val="22"/>
                <w:szCs w:val="22"/>
                <w:lang w:val="sr-Latn-CS"/>
              </w:rPr>
              <w:t>ij</w:t>
            </w:r>
            <w:r w:rsidRPr="00295F50">
              <w:rPr>
                <w:color w:val="000000"/>
                <w:sz w:val="22"/>
                <w:szCs w:val="22"/>
                <w:lang w:val="sr-Latn-CS"/>
              </w:rPr>
              <w:t>eniti na osnovu raspoloživih podataka).</w:t>
            </w:r>
          </w:p>
          <w:p w:rsidR="000A2337" w:rsidRPr="00295F50" w:rsidRDefault="000A2337" w:rsidP="00161AB3">
            <w:pPr>
              <w:shd w:val="clear" w:color="auto" w:fill="FFFFFF"/>
              <w:rPr>
                <w:color w:val="000000"/>
                <w:sz w:val="22"/>
                <w:szCs w:val="22"/>
                <w:lang w:val="sr-Latn-CS"/>
              </w:rPr>
            </w:pPr>
          </w:p>
          <w:p w:rsidR="000A2337" w:rsidRPr="00295F50" w:rsidRDefault="000A2337" w:rsidP="00161AB3">
            <w:pPr>
              <w:shd w:val="clear" w:color="auto" w:fill="FFFFFF"/>
              <w:rPr>
                <w:sz w:val="22"/>
                <w:szCs w:val="22"/>
                <w:lang w:val="sr-Latn-CS"/>
              </w:rPr>
            </w:pPr>
            <w:r w:rsidRPr="00295F50">
              <w:rPr>
                <w:color w:val="000000"/>
                <w:sz w:val="22"/>
                <w:szCs w:val="22"/>
                <w:lang w:val="sr-Latn-CS"/>
              </w:rPr>
              <w:t>Unutar svake grupe učestalosti, neželjena dejstva predstavljena su redom prema učestalosti, prvo najčešća.</w:t>
            </w:r>
          </w:p>
          <w:p w:rsidR="000A2337" w:rsidRDefault="000A2337" w:rsidP="00161AB3">
            <w:pPr>
              <w:shd w:val="clear" w:color="auto" w:fill="FFFFFF"/>
              <w:rPr>
                <w:color w:val="000000"/>
                <w:sz w:val="22"/>
                <w:szCs w:val="22"/>
                <w:lang w:val="sr-Latn-CS"/>
              </w:rPr>
            </w:pPr>
          </w:p>
          <w:p w:rsidR="000A2337" w:rsidRPr="008E5B2A" w:rsidRDefault="000A2337" w:rsidP="00161AB3">
            <w:pPr>
              <w:shd w:val="clear" w:color="auto" w:fill="FFFFFF"/>
              <w:rPr>
                <w:sz w:val="22"/>
                <w:szCs w:val="22"/>
                <w:lang w:val="sr-Latn-CS"/>
              </w:rPr>
            </w:pPr>
            <w:r w:rsidRPr="00040C1A">
              <w:rPr>
                <w:b/>
                <w:bCs/>
                <w:color w:val="000000"/>
                <w:sz w:val="22"/>
                <w:szCs w:val="22"/>
                <w:lang w:val="sr-Latn-CS"/>
              </w:rPr>
              <w:t xml:space="preserve">Tabela 1       </w:t>
            </w:r>
            <w:r>
              <w:rPr>
                <w:b/>
                <w:bCs/>
                <w:color w:val="000000"/>
                <w:sz w:val="22"/>
                <w:szCs w:val="22"/>
                <w:lang w:val="sr-Latn-CS"/>
              </w:rPr>
              <w:t>Tabelarni sažetak n</w:t>
            </w:r>
            <w:r w:rsidRPr="00040C1A">
              <w:rPr>
                <w:b/>
                <w:color w:val="000000"/>
                <w:sz w:val="22"/>
                <w:szCs w:val="22"/>
                <w:lang w:val="sr-Latn-CS"/>
              </w:rPr>
              <w:t>eželjen</w:t>
            </w:r>
            <w:r>
              <w:rPr>
                <w:b/>
                <w:color w:val="000000"/>
                <w:sz w:val="22"/>
                <w:szCs w:val="22"/>
                <w:lang w:val="sr-Latn-CS"/>
              </w:rPr>
              <w:t>ih</w:t>
            </w:r>
            <w:r w:rsidRPr="00040C1A">
              <w:rPr>
                <w:color w:val="000000"/>
                <w:sz w:val="22"/>
                <w:szCs w:val="22"/>
                <w:lang w:val="sr-Latn-CS"/>
              </w:rPr>
              <w:t xml:space="preserve"> </w:t>
            </w:r>
            <w:r w:rsidRPr="00040C1A">
              <w:rPr>
                <w:b/>
                <w:bCs/>
                <w:color w:val="000000"/>
                <w:sz w:val="22"/>
                <w:szCs w:val="22"/>
                <w:lang w:val="sr-Latn-CS"/>
              </w:rPr>
              <w:t>reakcij</w:t>
            </w:r>
            <w:r>
              <w:rPr>
                <w:b/>
                <w:bCs/>
                <w:color w:val="000000"/>
                <w:sz w:val="22"/>
                <w:szCs w:val="22"/>
                <w:lang w:val="sr-Latn-CS"/>
              </w:rPr>
              <w:t>a</w:t>
            </w:r>
          </w:p>
          <w:p w:rsidR="000A2337" w:rsidRPr="009D18B1" w:rsidRDefault="000A2337" w:rsidP="00161AB3">
            <w:pPr>
              <w:pStyle w:val="Header"/>
              <w:tabs>
                <w:tab w:val="left" w:pos="284"/>
              </w:tabs>
              <w:rPr>
                <w:sz w:val="22"/>
                <w:szCs w:val="22"/>
                <w:lang w:val="de-DE"/>
              </w:rPr>
            </w:pPr>
          </w:p>
          <w:tbl>
            <w:tblPr>
              <w:tblW w:w="9570" w:type="dxa"/>
              <w:jc w:val="center"/>
              <w:tblLayout w:type="fixed"/>
              <w:tblCellMar>
                <w:left w:w="40" w:type="dxa"/>
                <w:right w:w="40" w:type="dxa"/>
              </w:tblCellMar>
              <w:tblLook w:val="0000" w:firstRow="0" w:lastRow="0" w:firstColumn="0" w:lastColumn="0" w:noHBand="0" w:noVBand="0"/>
            </w:tblPr>
            <w:tblGrid>
              <w:gridCol w:w="4052"/>
              <w:gridCol w:w="5518"/>
            </w:tblGrid>
            <w:tr w:rsidR="000A2337" w:rsidRPr="00CB6CF5" w:rsidTr="00161AB3">
              <w:trPr>
                <w:trHeight w:hRule="exact" w:val="269"/>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color w:val="000000"/>
                      <w:sz w:val="22"/>
                      <w:szCs w:val="22"/>
                      <w:lang w:val="sr-Latn-CS"/>
                    </w:rPr>
                  </w:pPr>
                  <w:r w:rsidRPr="00CB6CF5">
                    <w:rPr>
                      <w:b/>
                      <w:bCs/>
                      <w:color w:val="000000"/>
                      <w:sz w:val="22"/>
                      <w:szCs w:val="22"/>
                      <w:lang w:val="sr-Latn-CS"/>
                    </w:rPr>
                    <w:t>Infekcije i infestacije</w:t>
                  </w:r>
                </w:p>
              </w:tc>
            </w:tr>
            <w:tr w:rsidR="000A2337" w:rsidRPr="00CB6CF5" w:rsidTr="00161AB3">
              <w:trPr>
                <w:trHeight w:hRule="exact" w:val="932"/>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color w:val="000000"/>
                      <w:sz w:val="22"/>
                      <w:szCs w:val="22"/>
                      <w:lang w:val="sr-Latn-CS"/>
                    </w:rPr>
                  </w:pPr>
                  <w:r>
                    <w:rPr>
                      <w:color w:val="000000"/>
                      <w:sz w:val="22"/>
                      <w:szCs w:val="22"/>
                      <w:lang w:val="sr-Latn-CS"/>
                    </w:rPr>
                    <w:t>h</w:t>
                  </w:r>
                  <w:r w:rsidRPr="00CB6CF5">
                    <w:rPr>
                      <w:color w:val="000000"/>
                      <w:sz w:val="22"/>
                      <w:szCs w:val="22"/>
                      <w:lang w:val="sr-Latn-CS"/>
                    </w:rPr>
                    <w:t>erpes zoster, herpes simp</w:t>
                  </w:r>
                  <w:r>
                    <w:rPr>
                      <w:color w:val="000000"/>
                      <w:sz w:val="22"/>
                      <w:szCs w:val="22"/>
                      <w:lang w:val="sr-Latn-CS"/>
                    </w:rPr>
                    <w:t>lek</w:t>
                  </w:r>
                  <w:r w:rsidRPr="00CB6CF5">
                    <w:rPr>
                      <w:color w:val="000000"/>
                      <w:sz w:val="22"/>
                      <w:szCs w:val="22"/>
                      <w:lang w:val="sr-Latn-CS"/>
                    </w:rPr>
                    <w:t>s, nazofaringitis, pneumonija</w:t>
                  </w:r>
                  <w:r>
                    <w:rPr>
                      <w:color w:val="000000"/>
                      <w:sz w:val="22"/>
                      <w:szCs w:val="22"/>
                      <w:vertAlign w:val="superscript"/>
                      <w:lang w:val="sr-Latn-CS"/>
                    </w:rPr>
                    <w:t>1</w:t>
                  </w:r>
                  <w:r w:rsidRPr="00CB6CF5">
                    <w:rPr>
                      <w:color w:val="000000"/>
                      <w:sz w:val="22"/>
                      <w:szCs w:val="22"/>
                      <w:lang w:val="sr-Latn-CS"/>
                    </w:rPr>
                    <w:t>, sinuzitis, celuliti</w:t>
                  </w:r>
                  <w:r>
                    <w:rPr>
                      <w:color w:val="000000"/>
                      <w:sz w:val="22"/>
                      <w:szCs w:val="22"/>
                      <w:lang w:val="sr-Latn-CS"/>
                    </w:rPr>
                    <w:t>s</w:t>
                  </w:r>
                  <w:r w:rsidRPr="00CB6CF5">
                    <w:rPr>
                      <w:color w:val="000000"/>
                      <w:sz w:val="22"/>
                      <w:szCs w:val="22"/>
                      <w:lang w:val="sr-Latn-CS"/>
                    </w:rPr>
                    <w:t>, infekcija gornjeg respira</w:t>
                  </w:r>
                  <w:r>
                    <w:rPr>
                      <w:color w:val="000000"/>
                      <w:sz w:val="22"/>
                      <w:szCs w:val="22"/>
                      <w:lang w:val="sr-Latn-CS"/>
                    </w:rPr>
                    <w:t>tornog</w:t>
                  </w:r>
                  <w:r w:rsidRPr="00CB6CF5">
                    <w:rPr>
                      <w:color w:val="000000"/>
                      <w:sz w:val="22"/>
                      <w:szCs w:val="22"/>
                      <w:lang w:val="sr-Latn-CS"/>
                    </w:rPr>
                    <w:t xml:space="preserve"> trakta, influenca, infekcija urin</w:t>
                  </w:r>
                  <w:r>
                    <w:rPr>
                      <w:color w:val="000000"/>
                      <w:sz w:val="22"/>
                      <w:szCs w:val="22"/>
                      <w:lang w:val="sr-Latn-CS"/>
                    </w:rPr>
                    <w:t>a</w:t>
                  </w:r>
                  <w:r w:rsidRPr="00CB6CF5">
                    <w:rPr>
                      <w:color w:val="000000"/>
                      <w:sz w:val="22"/>
                      <w:szCs w:val="22"/>
                      <w:lang w:val="sr-Latn-CS"/>
                    </w:rPr>
                    <w:t>rnog trakta, gastroenteritis, sepsa</w:t>
                  </w:r>
                </w:p>
              </w:tc>
            </w:tr>
            <w:tr w:rsidR="000A2337" w:rsidRPr="00CB6CF5" w:rsidTr="00161AB3">
              <w:trPr>
                <w:trHeight w:hRule="exact" w:val="26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color w:val="000000"/>
                      <w:sz w:val="22"/>
                      <w:szCs w:val="22"/>
                      <w:lang w:val="sr-Latn-CS"/>
                    </w:rPr>
                  </w:pPr>
                  <w:r>
                    <w:rPr>
                      <w:color w:val="000000"/>
                      <w:sz w:val="22"/>
                      <w:szCs w:val="22"/>
                      <w:lang w:val="sr-Latn-CS"/>
                    </w:rPr>
                    <w:t>g</w:t>
                  </w:r>
                  <w:r w:rsidRPr="00CB6CF5">
                    <w:rPr>
                      <w:color w:val="000000"/>
                      <w:sz w:val="22"/>
                      <w:szCs w:val="22"/>
                      <w:lang w:val="sr-Latn-CS"/>
                    </w:rPr>
                    <w:t>ljivična infekcija</w:t>
                  </w:r>
                </w:p>
              </w:tc>
            </w:tr>
            <w:tr w:rsidR="000A2337" w:rsidRPr="00CB6CF5" w:rsidTr="00161AB3">
              <w:trPr>
                <w:trHeight w:hRule="exact" w:val="269"/>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Pr="00156A2A" w:rsidRDefault="000A2337" w:rsidP="00161AB3">
                  <w:pPr>
                    <w:shd w:val="clear" w:color="auto" w:fill="FFFFFF"/>
                    <w:rPr>
                      <w:b/>
                      <w:color w:val="000000"/>
                      <w:sz w:val="22"/>
                      <w:szCs w:val="22"/>
                      <w:lang w:val="sr-Latn-CS"/>
                    </w:rPr>
                  </w:pPr>
                  <w:r w:rsidRPr="00156A2A">
                    <w:rPr>
                      <w:b/>
                      <w:color w:val="000000"/>
                      <w:sz w:val="22"/>
                      <w:szCs w:val="22"/>
                      <w:lang w:val="sr-Latn-CS"/>
                    </w:rPr>
                    <w:t>Benigne, maligne i nespecifične neoplazme (uključujući ciste i polipe)</w:t>
                  </w:r>
                </w:p>
              </w:tc>
            </w:tr>
            <w:tr w:rsidR="000A2337" w:rsidRPr="00CB6CF5" w:rsidTr="00161AB3">
              <w:trPr>
                <w:trHeight w:hRule="exact" w:val="26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Rijetko: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sindrom lize tumora</w:t>
                  </w:r>
                </w:p>
              </w:tc>
            </w:tr>
            <w:tr w:rsidR="000A2337" w:rsidRPr="00CB6CF5" w:rsidTr="00161AB3">
              <w:trPr>
                <w:trHeight w:hRule="exact" w:val="26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tumorsko krvarenje/tumorska nekroza*</w:t>
                  </w:r>
                </w:p>
              </w:tc>
            </w:tr>
            <w:tr w:rsidR="000A2337" w:rsidRPr="00CB6CF5" w:rsidTr="00161AB3">
              <w:trPr>
                <w:trHeight w:hRule="exact" w:val="269"/>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606E3B">
                    <w:rPr>
                      <w:b/>
                      <w:color w:val="000000"/>
                      <w:sz w:val="22"/>
                      <w:szCs w:val="22"/>
                      <w:lang w:val="sr-Latn-CS"/>
                    </w:rPr>
                    <w:t>Poremećaji imunog sistema</w:t>
                  </w:r>
                </w:p>
              </w:tc>
            </w:tr>
            <w:tr w:rsidR="000A2337" w:rsidRPr="00CB6CF5" w:rsidTr="00161AB3">
              <w:trPr>
                <w:trHeight w:hRule="exact" w:val="26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anafilaktički šok*</w:t>
                  </w:r>
                </w:p>
              </w:tc>
            </w:tr>
            <w:tr w:rsidR="000A2337" w:rsidRPr="00CB6CF5" w:rsidTr="00161AB3">
              <w:trPr>
                <w:trHeight w:hRule="exact" w:val="269"/>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CB6CF5">
                    <w:rPr>
                      <w:b/>
                      <w:bCs/>
                      <w:color w:val="000000"/>
                      <w:sz w:val="22"/>
                      <w:szCs w:val="22"/>
                      <w:lang w:val="sr-Latn-CS"/>
                    </w:rPr>
                    <w:t>Poremećaji krv</w:t>
                  </w:r>
                  <w:r>
                    <w:rPr>
                      <w:b/>
                      <w:bCs/>
                      <w:color w:val="000000"/>
                      <w:sz w:val="22"/>
                      <w:szCs w:val="22"/>
                      <w:lang w:val="sr-Latn-CS"/>
                    </w:rPr>
                    <w:t>i</w:t>
                  </w:r>
                  <w:r w:rsidRPr="00CB6CF5">
                    <w:rPr>
                      <w:b/>
                      <w:bCs/>
                      <w:color w:val="000000"/>
                      <w:sz w:val="22"/>
                      <w:szCs w:val="22"/>
                      <w:lang w:val="sr-Latn-CS"/>
                    </w:rPr>
                    <w:t xml:space="preserve"> i limfnog sistema</w:t>
                  </w:r>
                </w:p>
              </w:tc>
            </w:tr>
            <w:tr w:rsidR="000A2337" w:rsidRPr="00CB6CF5" w:rsidTr="00161AB3">
              <w:trPr>
                <w:trHeight w:hRule="exact" w:val="26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sidRPr="00CB6CF5">
                    <w:rPr>
                      <w:i/>
                      <w:iCs/>
                      <w:color w:val="000000"/>
                      <w:sz w:val="22"/>
                      <w:szCs w:val="22"/>
                      <w:lang w:val="sr-Latn-CS"/>
                    </w:rPr>
                    <w:t>V</w:t>
                  </w:r>
                  <w:r>
                    <w:rPr>
                      <w:i/>
                      <w:iCs/>
                      <w:color w:val="000000"/>
                      <w:sz w:val="22"/>
                      <w:szCs w:val="22"/>
                      <w:lang w:val="sr-Latn-CS"/>
                    </w:rPr>
                    <w:t>eoma</w:t>
                  </w:r>
                  <w:r w:rsidRPr="00CB6CF5">
                    <w:rPr>
                      <w:i/>
                      <w:iCs/>
                      <w:color w:val="000000"/>
                      <w:sz w:val="22"/>
                      <w:szCs w:val="22"/>
                      <w:lang w:val="sr-Latn-CS"/>
                    </w:rPr>
                    <w:t xml:space="preserve"> 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n</w:t>
                  </w:r>
                  <w:r w:rsidRPr="00CB6CF5">
                    <w:rPr>
                      <w:color w:val="000000"/>
                      <w:sz w:val="22"/>
                      <w:szCs w:val="22"/>
                      <w:lang w:val="sr-Latn-CS"/>
                    </w:rPr>
                    <w:t>eutropenija, trombocitopenija, anemija</w:t>
                  </w:r>
                </w:p>
              </w:tc>
            </w:tr>
            <w:tr w:rsidR="000A2337" w:rsidRPr="00CB6CF5" w:rsidTr="00161AB3">
              <w:trPr>
                <w:trHeight w:hRule="exact" w:val="26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p</w:t>
                  </w:r>
                  <w:r w:rsidRPr="00CB6CF5">
                    <w:rPr>
                      <w:color w:val="000000"/>
                      <w:sz w:val="22"/>
                      <w:szCs w:val="22"/>
                      <w:lang w:val="sr-Latn-CS"/>
                    </w:rPr>
                    <w:t>ancitopenija, febrilna neutropenija</w:t>
                  </w:r>
                </w:p>
              </w:tc>
            </w:tr>
            <w:tr w:rsidR="000A2337" w:rsidRPr="00CB6CF5" w:rsidTr="00161AB3">
              <w:trPr>
                <w:trHeight w:hRule="exact" w:val="51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t</w:t>
                  </w:r>
                  <w:r w:rsidRPr="00CB6CF5">
                    <w:rPr>
                      <w:color w:val="000000"/>
                      <w:sz w:val="22"/>
                      <w:szCs w:val="22"/>
                      <w:lang w:val="sr-Latn-CS"/>
                    </w:rPr>
                    <w:t xml:space="preserve">rombocitemija, limfopenija, depresija kostne srži, </w:t>
                  </w:r>
                  <w:r>
                    <w:rPr>
                      <w:color w:val="000000"/>
                      <w:sz w:val="22"/>
                      <w:szCs w:val="22"/>
                      <w:lang w:val="sr-Latn-CS"/>
                    </w:rPr>
                    <w:t>eozino</w:t>
                  </w:r>
                  <w:r w:rsidRPr="00CB6CF5">
                    <w:rPr>
                      <w:color w:val="000000"/>
                      <w:sz w:val="22"/>
                      <w:szCs w:val="22"/>
                      <w:lang w:val="sr-Latn-CS"/>
                    </w:rPr>
                    <w:t>filija, limfadenopatija</w:t>
                  </w:r>
                </w:p>
              </w:tc>
            </w:tr>
            <w:tr w:rsidR="000A2337" w:rsidRPr="00CB6CF5" w:rsidTr="00161AB3">
              <w:trPr>
                <w:trHeight w:hRule="exact" w:val="26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hemolitička</w:t>
                  </w:r>
                  <w:r w:rsidRPr="00CB6CF5">
                    <w:rPr>
                      <w:color w:val="000000"/>
                      <w:sz w:val="22"/>
                      <w:szCs w:val="22"/>
                      <w:lang w:val="sr-Latn-CS"/>
                    </w:rPr>
                    <w:t xml:space="preserve"> anemija</w:t>
                  </w:r>
                </w:p>
                <w:p w:rsidR="000A2337" w:rsidRDefault="000A2337" w:rsidP="00161AB3">
                  <w:pPr>
                    <w:shd w:val="clear" w:color="auto" w:fill="FFFFFF"/>
                    <w:rPr>
                      <w:color w:val="000000"/>
                      <w:sz w:val="22"/>
                      <w:szCs w:val="22"/>
                      <w:lang w:val="sr-Latn-CS"/>
                    </w:rPr>
                  </w:pPr>
                </w:p>
                <w:p w:rsidR="000A2337" w:rsidRDefault="000A2337" w:rsidP="00161AB3">
                  <w:pPr>
                    <w:shd w:val="clear" w:color="auto" w:fill="FFFFFF"/>
                    <w:rPr>
                      <w:color w:val="000000"/>
                      <w:sz w:val="22"/>
                      <w:szCs w:val="22"/>
                      <w:lang w:val="sr-Latn-CS"/>
                    </w:rPr>
                  </w:pPr>
                </w:p>
              </w:tc>
            </w:tr>
            <w:tr w:rsidR="000A2337" w:rsidRPr="00CB6CF5" w:rsidTr="00161AB3">
              <w:trPr>
                <w:trHeight w:hRule="exact" w:val="269"/>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color w:val="000000"/>
                      <w:sz w:val="22"/>
                      <w:szCs w:val="22"/>
                      <w:lang w:val="sr-Latn-CS"/>
                    </w:rPr>
                  </w:pPr>
                  <w:r w:rsidRPr="00CB6CF5">
                    <w:rPr>
                      <w:b/>
                      <w:bCs/>
                      <w:color w:val="000000"/>
                      <w:sz w:val="22"/>
                      <w:szCs w:val="22"/>
                      <w:lang w:val="sr-Latn-CS"/>
                    </w:rPr>
                    <w:t>Po</w:t>
                  </w:r>
                  <w:r>
                    <w:rPr>
                      <w:b/>
                      <w:bCs/>
                      <w:color w:val="000000"/>
                      <w:sz w:val="22"/>
                      <w:szCs w:val="22"/>
                      <w:lang w:val="sr-Latn-CS"/>
                    </w:rPr>
                    <w:t>remećaji metabolizma i ishrane</w:t>
                  </w:r>
                </w:p>
              </w:tc>
            </w:tr>
            <w:tr w:rsidR="000A2337" w:rsidRPr="00CB6CF5" w:rsidTr="00161AB3">
              <w:trPr>
                <w:trHeight w:hRule="exact" w:val="26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color w:val="000000"/>
                      <w:sz w:val="22"/>
                      <w:szCs w:val="22"/>
                      <w:lang w:val="sr-Latn-CS"/>
                    </w:rPr>
                  </w:pPr>
                  <w:r>
                    <w:rPr>
                      <w:color w:val="000000"/>
                      <w:sz w:val="22"/>
                      <w:szCs w:val="22"/>
                      <w:lang w:val="sr-Latn-CS"/>
                    </w:rPr>
                    <w:t>a</w:t>
                  </w:r>
                  <w:r w:rsidRPr="00CB6CF5">
                    <w:rPr>
                      <w:color w:val="000000"/>
                      <w:sz w:val="22"/>
                      <w:szCs w:val="22"/>
                      <w:lang w:val="sr-Latn-CS"/>
                    </w:rPr>
                    <w:t>noreksija</w:t>
                  </w:r>
                </w:p>
              </w:tc>
            </w:tr>
            <w:tr w:rsidR="000A2337" w:rsidRPr="00CB6CF5" w:rsidTr="00161AB3">
              <w:trPr>
                <w:trHeight w:hRule="exact" w:val="751"/>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color w:val="000000"/>
                      <w:sz w:val="22"/>
                      <w:szCs w:val="22"/>
                      <w:lang w:val="sr-Latn-CS"/>
                    </w:rPr>
                  </w:pPr>
                  <w:r>
                    <w:rPr>
                      <w:color w:val="000000"/>
                      <w:sz w:val="22"/>
                      <w:szCs w:val="22"/>
                      <w:lang w:val="sr-Latn-CS"/>
                    </w:rPr>
                    <w:t>h</w:t>
                  </w:r>
                  <w:r w:rsidRPr="00CB6CF5">
                    <w:rPr>
                      <w:color w:val="000000"/>
                      <w:sz w:val="22"/>
                      <w:szCs w:val="22"/>
                      <w:lang w:val="sr-Latn-CS"/>
                    </w:rPr>
                    <w:t>ipokalijemija, povećan apetit, hipofosfatemija, sman</w:t>
                  </w:r>
                  <w:r>
                    <w:rPr>
                      <w:color w:val="000000"/>
                      <w:sz w:val="22"/>
                      <w:szCs w:val="22"/>
                      <w:lang w:val="sr-Latn-CS"/>
                    </w:rPr>
                    <w:t>jen apetit, dehidracija, giht</w:t>
                  </w:r>
                  <w:r w:rsidRPr="00CB6CF5">
                    <w:rPr>
                      <w:color w:val="000000"/>
                      <w:sz w:val="22"/>
                      <w:szCs w:val="22"/>
                      <w:lang w:val="sr-Latn-CS"/>
                    </w:rPr>
                    <w:t>, hiperurikemija, hiperkalcijemija, hiperglikemija, hiponatrijemija</w:t>
                  </w:r>
                </w:p>
              </w:tc>
            </w:tr>
            <w:tr w:rsidR="000A2337" w:rsidRPr="00CB6CF5" w:rsidTr="00161AB3">
              <w:trPr>
                <w:trHeight w:hRule="exact" w:val="26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color w:val="000000"/>
                      <w:sz w:val="22"/>
                      <w:szCs w:val="22"/>
                      <w:lang w:val="sr-Latn-CS"/>
                    </w:rPr>
                  </w:pPr>
                  <w:r>
                    <w:rPr>
                      <w:color w:val="000000"/>
                      <w:sz w:val="22"/>
                      <w:szCs w:val="22"/>
                      <w:lang w:val="sr-Latn-CS"/>
                    </w:rPr>
                    <w:t>h</w:t>
                  </w:r>
                  <w:r w:rsidRPr="00CB6CF5">
                    <w:rPr>
                      <w:color w:val="000000"/>
                      <w:sz w:val="22"/>
                      <w:szCs w:val="22"/>
                      <w:lang w:val="sr-Latn-CS"/>
                    </w:rPr>
                    <w:t>iperkalijemija, hipomagnezijemija</w:t>
                  </w:r>
                </w:p>
              </w:tc>
            </w:tr>
            <w:tr w:rsidR="000A2337" w:rsidRPr="00CB6CF5" w:rsidTr="00161AB3">
              <w:trPr>
                <w:trHeight w:hRule="exact" w:val="250"/>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CB6CF5">
                    <w:rPr>
                      <w:b/>
                      <w:bCs/>
                      <w:color w:val="000000"/>
                      <w:sz w:val="22"/>
                      <w:szCs w:val="22"/>
                      <w:lang w:val="sr-Latn-CS"/>
                    </w:rPr>
                    <w:t>Psihijatrijski poremećaji</w:t>
                  </w:r>
                </w:p>
              </w:tc>
            </w:tr>
            <w:tr w:rsidR="000A2337" w:rsidRPr="00CB6CF5" w:rsidTr="00161AB3">
              <w:trPr>
                <w:trHeight w:hRule="exact" w:val="25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060AC" w:rsidRDefault="000A2337" w:rsidP="00161AB3">
                  <w:pPr>
                    <w:shd w:val="clear" w:color="auto" w:fill="FFFFFF"/>
                    <w:rPr>
                      <w:b/>
                      <w:i/>
                      <w:i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i</w:t>
                  </w:r>
                  <w:r w:rsidRPr="00CB6CF5">
                    <w:rPr>
                      <w:color w:val="000000"/>
                      <w:sz w:val="22"/>
                      <w:szCs w:val="22"/>
                      <w:lang w:val="sr-Latn-CS"/>
                    </w:rPr>
                    <w:t>nsomnija</w:t>
                  </w:r>
                </w:p>
              </w:tc>
            </w:tr>
            <w:tr w:rsidR="000A2337" w:rsidRPr="00CB6CF5" w:rsidTr="00161AB3">
              <w:trPr>
                <w:trHeight w:hRule="exact" w:val="25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060AC" w:rsidRDefault="000A2337" w:rsidP="00161AB3">
                  <w:pPr>
                    <w:shd w:val="clear" w:color="auto" w:fill="FFFFFF"/>
                    <w:rPr>
                      <w:b/>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d</w:t>
                  </w:r>
                  <w:r w:rsidRPr="00CB6CF5">
                    <w:rPr>
                      <w:color w:val="000000"/>
                      <w:sz w:val="22"/>
                      <w:szCs w:val="22"/>
                      <w:lang w:val="sr-Latn-CS"/>
                    </w:rPr>
                    <w:t>epresija, smanjen libido, anksioznost</w:t>
                  </w:r>
                </w:p>
              </w:tc>
            </w:tr>
            <w:tr w:rsidR="000A2337" w:rsidRPr="00CB6CF5" w:rsidTr="00161AB3">
              <w:trPr>
                <w:trHeight w:hRule="exact" w:val="25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060AC" w:rsidRDefault="000A2337" w:rsidP="00161AB3">
                  <w:pPr>
                    <w:shd w:val="clear" w:color="auto" w:fill="FFFFFF"/>
                    <w:rPr>
                      <w:b/>
                      <w:i/>
                      <w:i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s</w:t>
                  </w:r>
                  <w:r w:rsidRPr="00CB6CF5">
                    <w:rPr>
                      <w:color w:val="000000"/>
                      <w:sz w:val="22"/>
                      <w:szCs w:val="22"/>
                      <w:lang w:val="sr-Latn-CS"/>
                    </w:rPr>
                    <w:t>tanje konfuzije</w:t>
                  </w:r>
                </w:p>
              </w:tc>
            </w:tr>
            <w:tr w:rsidR="000A2337" w:rsidRPr="00CB6CF5" w:rsidTr="00161AB3">
              <w:trPr>
                <w:trHeight w:hRule="exact" w:val="250"/>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CB6CF5">
                    <w:rPr>
                      <w:b/>
                      <w:bCs/>
                      <w:color w:val="000000"/>
                      <w:sz w:val="22"/>
                      <w:szCs w:val="22"/>
                      <w:lang w:val="sr-Latn-CS"/>
                    </w:rPr>
                    <w:t>Poremećaji nervnog sistema</w:t>
                  </w:r>
                </w:p>
              </w:tc>
            </w:tr>
            <w:tr w:rsidR="000A2337" w:rsidRPr="00CB6CF5" w:rsidTr="00161AB3">
              <w:trPr>
                <w:trHeight w:hRule="exact" w:val="25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060AC" w:rsidRDefault="000A2337" w:rsidP="00161AB3">
                  <w:pPr>
                    <w:shd w:val="clear" w:color="auto" w:fill="FFFFFF"/>
                    <w:rPr>
                      <w:b/>
                      <w:i/>
                      <w:iCs/>
                      <w:color w:val="000000"/>
                      <w:sz w:val="22"/>
                      <w:szCs w:val="22"/>
                      <w:lang w:val="sr-Latn-CS"/>
                    </w:rPr>
                  </w:pPr>
                  <w:r w:rsidRPr="00CB6CF5">
                    <w:rPr>
                      <w:i/>
                      <w:iCs/>
                      <w:color w:val="000000"/>
                      <w:sz w:val="22"/>
                      <w:szCs w:val="22"/>
                      <w:lang w:val="sr-Latn-CS"/>
                    </w:rPr>
                    <w:t>V</w:t>
                  </w:r>
                  <w:r>
                    <w:rPr>
                      <w:i/>
                      <w:iCs/>
                      <w:color w:val="000000"/>
                      <w:sz w:val="22"/>
                      <w:szCs w:val="22"/>
                      <w:lang w:val="sr-Latn-CS"/>
                    </w:rPr>
                    <w:t>eoma</w:t>
                  </w:r>
                  <w:r w:rsidRPr="00CB6CF5">
                    <w:rPr>
                      <w:i/>
                      <w:iCs/>
                      <w:color w:val="000000"/>
                      <w:sz w:val="22"/>
                      <w:szCs w:val="22"/>
                      <w:lang w:val="sr-Latn-CS"/>
                    </w:rPr>
                    <w:t xml:space="preserve"> 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g</w:t>
                  </w:r>
                  <w:r w:rsidRPr="00CB6CF5">
                    <w:rPr>
                      <w:color w:val="000000"/>
                      <w:sz w:val="22"/>
                      <w:szCs w:val="22"/>
                      <w:lang w:val="sr-Latn-CS"/>
                    </w:rPr>
                    <w:t>lavobolja</w:t>
                  </w:r>
                  <w:r w:rsidRPr="00CB6CF5">
                    <w:rPr>
                      <w:color w:val="000000"/>
                      <w:sz w:val="22"/>
                      <w:szCs w:val="22"/>
                      <w:vertAlign w:val="superscript"/>
                      <w:lang w:val="sr-Latn-CS"/>
                    </w:rPr>
                    <w:t>2</w:t>
                  </w:r>
                </w:p>
              </w:tc>
            </w:tr>
            <w:tr w:rsidR="000A2337" w:rsidRPr="00CB6CF5" w:rsidTr="00161AB3">
              <w:trPr>
                <w:trHeight w:hRule="exact" w:val="25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060AC" w:rsidRDefault="000A2337" w:rsidP="00161AB3">
                  <w:pPr>
                    <w:shd w:val="clear" w:color="auto" w:fill="FFFFFF"/>
                    <w:rPr>
                      <w:b/>
                      <w:i/>
                      <w:i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o</w:t>
                  </w:r>
                  <w:r w:rsidRPr="00CB6CF5">
                    <w:rPr>
                      <w:color w:val="000000"/>
                      <w:sz w:val="22"/>
                      <w:szCs w:val="22"/>
                      <w:lang w:val="sr-Latn-CS"/>
                    </w:rPr>
                    <w:t>šamućenost, parestezija, poremećaj ukusa, hipoestezija</w:t>
                  </w:r>
                </w:p>
              </w:tc>
            </w:tr>
            <w:tr w:rsidR="000A2337" w:rsidRPr="00CB6CF5" w:rsidTr="00161AB3">
              <w:trPr>
                <w:trHeight w:hRule="exact" w:val="816"/>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060AC" w:rsidRDefault="000A2337" w:rsidP="00161AB3">
                  <w:pPr>
                    <w:shd w:val="clear" w:color="auto" w:fill="FFFFFF"/>
                    <w:rPr>
                      <w:b/>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m</w:t>
                  </w:r>
                  <w:r w:rsidRPr="00CB6CF5">
                    <w:rPr>
                      <w:color w:val="000000"/>
                      <w:sz w:val="22"/>
                      <w:szCs w:val="22"/>
                      <w:lang w:val="sr-Latn-CS"/>
                    </w:rPr>
                    <w:t>igrena, somnolencija, sinkopa, periferna neuropatija, poremećaj pamćenja, išija</w:t>
                  </w:r>
                  <w:r>
                    <w:rPr>
                      <w:color w:val="000000"/>
                      <w:sz w:val="22"/>
                      <w:szCs w:val="22"/>
                      <w:lang w:val="sr-Latn-CS"/>
                    </w:rPr>
                    <w:t>lgija</w:t>
                  </w:r>
                  <w:r w:rsidRPr="00CB6CF5">
                    <w:rPr>
                      <w:color w:val="000000"/>
                      <w:sz w:val="22"/>
                      <w:szCs w:val="22"/>
                      <w:lang w:val="sr-Latn-CS"/>
                    </w:rPr>
                    <w:t>, sindrom nemirne noge, tremor, cerebralna hemoragija</w:t>
                  </w:r>
                </w:p>
                <w:p w:rsidR="000A2337" w:rsidRDefault="000A2337" w:rsidP="00161AB3">
                  <w:pPr>
                    <w:shd w:val="clear" w:color="auto" w:fill="FFFFFF"/>
                    <w:rPr>
                      <w:color w:val="000000"/>
                      <w:sz w:val="22"/>
                      <w:szCs w:val="22"/>
                      <w:lang w:val="sr-Latn-CS"/>
                    </w:rPr>
                  </w:pPr>
                </w:p>
              </w:tc>
            </w:tr>
            <w:tr w:rsidR="000A2337" w:rsidRPr="00CB6CF5" w:rsidTr="00161AB3">
              <w:trPr>
                <w:trHeight w:hRule="exact" w:val="546"/>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060AC" w:rsidRDefault="000A2337" w:rsidP="00161AB3">
                  <w:pPr>
                    <w:shd w:val="clear" w:color="auto" w:fill="FFFFFF"/>
                    <w:rPr>
                      <w:b/>
                      <w:i/>
                      <w:iCs/>
                      <w:color w:val="000000"/>
                      <w:sz w:val="22"/>
                      <w:szCs w:val="22"/>
                      <w:lang w:val="sr-Latn-CS"/>
                    </w:rPr>
                  </w:pPr>
                  <w:r>
                    <w:rPr>
                      <w:i/>
                      <w:iCs/>
                      <w:color w:val="000000"/>
                      <w:sz w:val="22"/>
                      <w:szCs w:val="22"/>
                      <w:lang w:val="sr-Latn-CS"/>
                    </w:rPr>
                    <w:lastRenderedPageBreak/>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povišen intrakranijalni</w:t>
                  </w:r>
                  <w:r w:rsidRPr="00CB6CF5">
                    <w:rPr>
                      <w:color w:val="000000"/>
                      <w:sz w:val="22"/>
                      <w:szCs w:val="22"/>
                      <w:lang w:val="sr-Latn-CS"/>
                    </w:rPr>
                    <w:t xml:space="preserve"> pritisak, konvulzije, optički </w:t>
                  </w:r>
                </w:p>
                <w:p w:rsidR="000A2337" w:rsidRDefault="000A2337" w:rsidP="00161AB3">
                  <w:pPr>
                    <w:shd w:val="clear" w:color="auto" w:fill="FFFFFF"/>
                    <w:rPr>
                      <w:color w:val="000000"/>
                      <w:sz w:val="22"/>
                      <w:szCs w:val="22"/>
                      <w:lang w:val="sr-Latn-CS"/>
                    </w:rPr>
                  </w:pPr>
                  <w:r w:rsidRPr="00CB6CF5">
                    <w:rPr>
                      <w:color w:val="000000"/>
                      <w:sz w:val="22"/>
                      <w:szCs w:val="22"/>
                      <w:lang w:val="sr-Latn-CS"/>
                    </w:rPr>
                    <w:t>neuritis</w:t>
                  </w:r>
                </w:p>
              </w:tc>
            </w:tr>
            <w:tr w:rsidR="000A2337" w:rsidRPr="00CB6CF5" w:rsidTr="00161AB3">
              <w:trPr>
                <w:trHeight w:hRule="exact" w:val="348"/>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824D23" w:rsidRDefault="000A2337" w:rsidP="00161AB3">
                  <w:pPr>
                    <w:shd w:val="clear" w:color="auto" w:fill="FFFFFF"/>
                    <w:rPr>
                      <w:i/>
                      <w:iCs/>
                      <w:color w:val="000000"/>
                      <w:sz w:val="22"/>
                      <w:szCs w:val="22"/>
                      <w:lang w:val="sr-Latn-CS"/>
                    </w:rPr>
                  </w:pPr>
                  <w:r>
                    <w:rPr>
                      <w:i/>
                      <w:iCs/>
                      <w:color w:val="000000"/>
                      <w:sz w:val="22"/>
                      <w:szCs w:val="22"/>
                      <w:lang w:val="sr-Latn-CS"/>
                    </w:rPr>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824D23" w:rsidRDefault="000A2337" w:rsidP="00161AB3">
                  <w:pPr>
                    <w:shd w:val="clear" w:color="auto" w:fill="FFFFFF"/>
                    <w:rPr>
                      <w:color w:val="000000"/>
                      <w:sz w:val="22"/>
                      <w:szCs w:val="22"/>
                      <w:lang w:val="sr-Latn-CS"/>
                    </w:rPr>
                  </w:pPr>
                  <w:r>
                    <w:rPr>
                      <w:color w:val="000000"/>
                      <w:sz w:val="22"/>
                      <w:szCs w:val="22"/>
                      <w:lang w:val="sr-Latn-CS"/>
                    </w:rPr>
                    <w:t>cerebralni edem*</w:t>
                  </w:r>
                </w:p>
              </w:tc>
            </w:tr>
            <w:tr w:rsidR="000A2337" w:rsidRPr="00CB6CF5" w:rsidTr="00161AB3">
              <w:trPr>
                <w:trHeight w:hRule="exact" w:val="250"/>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CB6CF5">
                    <w:rPr>
                      <w:b/>
                      <w:bCs/>
                      <w:color w:val="000000"/>
                      <w:sz w:val="22"/>
                      <w:szCs w:val="22"/>
                      <w:lang w:val="sr-Latn-CS"/>
                    </w:rPr>
                    <w:t>Poremećaji oka</w:t>
                  </w:r>
                </w:p>
              </w:tc>
            </w:tr>
            <w:tr w:rsidR="000A2337" w:rsidRPr="00CB6CF5" w:rsidTr="00161AB3">
              <w:trPr>
                <w:trHeight w:hRule="exact" w:val="564"/>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e</w:t>
                  </w:r>
                  <w:r w:rsidRPr="00CB6CF5">
                    <w:rPr>
                      <w:color w:val="000000"/>
                      <w:sz w:val="22"/>
                      <w:szCs w:val="22"/>
                      <w:lang w:val="sr-Latn-CS"/>
                    </w:rPr>
                    <w:t>dem kapaka, povećana lakrimacija, konjunktiv</w:t>
                  </w:r>
                  <w:r>
                    <w:rPr>
                      <w:color w:val="000000"/>
                      <w:sz w:val="22"/>
                      <w:szCs w:val="22"/>
                      <w:lang w:val="sr-Latn-CS"/>
                    </w:rPr>
                    <w:t>al</w:t>
                  </w:r>
                  <w:r w:rsidRPr="00CB6CF5">
                    <w:rPr>
                      <w:color w:val="000000"/>
                      <w:sz w:val="22"/>
                      <w:szCs w:val="22"/>
                      <w:lang w:val="sr-Latn-CS"/>
                    </w:rPr>
                    <w:t>na hemoragija, konjunktivitis, suvo oko, zamagljen vid</w:t>
                  </w:r>
                </w:p>
              </w:tc>
            </w:tr>
            <w:tr w:rsidR="000A2337" w:rsidRPr="00CB6CF5" w:rsidTr="00161AB3">
              <w:trPr>
                <w:trHeight w:hRule="exact" w:val="802"/>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i</w:t>
                  </w:r>
                  <w:r w:rsidRPr="00CB6CF5">
                    <w:rPr>
                      <w:color w:val="000000"/>
                      <w:sz w:val="22"/>
                      <w:szCs w:val="22"/>
                      <w:lang w:val="sr-Latn-CS"/>
                    </w:rPr>
                    <w:t>r</w:t>
                  </w:r>
                  <w:r>
                    <w:rPr>
                      <w:color w:val="000000"/>
                      <w:sz w:val="22"/>
                      <w:szCs w:val="22"/>
                      <w:lang w:val="sr-Latn-CS"/>
                    </w:rPr>
                    <w:t xml:space="preserve">itacija oka, bol u oku, orbitalni </w:t>
                  </w:r>
                  <w:r w:rsidRPr="00CB6CF5">
                    <w:rPr>
                      <w:color w:val="000000"/>
                      <w:sz w:val="22"/>
                      <w:szCs w:val="22"/>
                      <w:lang w:val="sr-Latn-CS"/>
                    </w:rPr>
                    <w:t>edem,  skler</w:t>
                  </w:r>
                  <w:r>
                    <w:rPr>
                      <w:color w:val="000000"/>
                      <w:sz w:val="22"/>
                      <w:szCs w:val="22"/>
                      <w:lang w:val="sr-Latn-CS"/>
                    </w:rPr>
                    <w:t>alna hemoragija</w:t>
                  </w:r>
                  <w:r w:rsidRPr="00CB6CF5">
                    <w:rPr>
                      <w:color w:val="000000"/>
                      <w:sz w:val="22"/>
                      <w:szCs w:val="22"/>
                      <w:lang w:val="sr-Latn-CS"/>
                    </w:rPr>
                    <w:t>, retin</w:t>
                  </w:r>
                  <w:r>
                    <w:rPr>
                      <w:color w:val="000000"/>
                      <w:sz w:val="22"/>
                      <w:szCs w:val="22"/>
                      <w:lang w:val="sr-Latn-CS"/>
                    </w:rPr>
                    <w:t>alna</w:t>
                  </w:r>
                  <w:r w:rsidRPr="00CB6CF5">
                    <w:rPr>
                      <w:color w:val="000000"/>
                      <w:sz w:val="22"/>
                      <w:szCs w:val="22"/>
                      <w:lang w:val="sr-Latn-CS"/>
                    </w:rPr>
                    <w:t xml:space="preserve"> hemoragija, blefaritis, makul</w:t>
                  </w:r>
                  <w:r>
                    <w:rPr>
                      <w:color w:val="000000"/>
                      <w:sz w:val="22"/>
                      <w:szCs w:val="22"/>
                      <w:lang w:val="sr-Latn-CS"/>
                    </w:rPr>
                    <w:t>ar</w:t>
                  </w:r>
                  <w:r w:rsidRPr="00CB6CF5">
                    <w:rPr>
                      <w:color w:val="000000"/>
                      <w:sz w:val="22"/>
                      <w:szCs w:val="22"/>
                      <w:lang w:val="sr-Latn-CS"/>
                    </w:rPr>
                    <w:t>ni</w:t>
                  </w:r>
                  <w:r>
                    <w:rPr>
                      <w:color w:val="000000"/>
                      <w:sz w:val="22"/>
                      <w:szCs w:val="22"/>
                      <w:lang w:val="sr-Latn-CS"/>
                    </w:rPr>
                    <w:t xml:space="preserve"> </w:t>
                  </w:r>
                  <w:r w:rsidRPr="00CB6CF5">
                    <w:rPr>
                      <w:color w:val="000000"/>
                      <w:sz w:val="22"/>
                      <w:szCs w:val="22"/>
                      <w:lang w:val="sr-Latn-CS"/>
                    </w:rPr>
                    <w:t xml:space="preserve"> edem</w:t>
                  </w:r>
                </w:p>
              </w:tc>
            </w:tr>
            <w:tr w:rsidR="000A2337" w:rsidRPr="00CB6CF5" w:rsidTr="00161AB3">
              <w:trPr>
                <w:trHeight w:hRule="exact" w:val="25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k</w:t>
                  </w:r>
                  <w:r w:rsidRPr="00CB6CF5">
                    <w:rPr>
                      <w:color w:val="000000"/>
                      <w:sz w:val="22"/>
                      <w:szCs w:val="22"/>
                      <w:lang w:val="sr-Latn-CS"/>
                    </w:rPr>
                    <w:t>atarakta, glaukom, edem papile</w:t>
                  </w:r>
                </w:p>
              </w:tc>
            </w:tr>
            <w:tr w:rsidR="000A2337" w:rsidRPr="00CB6CF5" w:rsidTr="00161AB3">
              <w:trPr>
                <w:trHeight w:hRule="exact" w:val="25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krvarenje u staklastom tijelu*</w:t>
                  </w:r>
                </w:p>
              </w:tc>
            </w:tr>
            <w:tr w:rsidR="000A2337" w:rsidRPr="00CB6CF5" w:rsidTr="00161AB3">
              <w:trPr>
                <w:trHeight w:hRule="exact" w:val="250"/>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CB6CF5">
                    <w:rPr>
                      <w:b/>
                      <w:bCs/>
                      <w:color w:val="000000"/>
                      <w:sz w:val="22"/>
                      <w:szCs w:val="22"/>
                      <w:lang w:val="sr-Latn-CS"/>
                    </w:rPr>
                    <w:t>Poremećaji uha i labirinta</w:t>
                  </w:r>
                </w:p>
              </w:tc>
            </w:tr>
            <w:tr w:rsidR="000A2337" w:rsidRPr="00CB6CF5" w:rsidTr="00161AB3">
              <w:trPr>
                <w:trHeight w:hRule="exact" w:val="324"/>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v</w:t>
                  </w:r>
                  <w:r w:rsidRPr="00CB6CF5">
                    <w:rPr>
                      <w:color w:val="000000"/>
                      <w:sz w:val="22"/>
                      <w:szCs w:val="22"/>
                      <w:lang w:val="sr-Latn-CS"/>
                    </w:rPr>
                    <w:t>rtoglavica, tinitus, gubitak sluha</w:t>
                  </w:r>
                </w:p>
              </w:tc>
            </w:tr>
            <w:tr w:rsidR="000A2337" w:rsidRPr="00CB6CF5" w:rsidTr="00161AB3">
              <w:trPr>
                <w:trHeight w:hRule="exact" w:val="250"/>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CB6CF5">
                    <w:rPr>
                      <w:b/>
                      <w:bCs/>
                      <w:color w:val="000000"/>
                      <w:sz w:val="22"/>
                      <w:szCs w:val="22"/>
                      <w:lang w:val="sr-Latn-CS"/>
                    </w:rPr>
                    <w:t>Srčani poremećaji</w:t>
                  </w:r>
                </w:p>
              </w:tc>
            </w:tr>
            <w:tr w:rsidR="000A2337" w:rsidRPr="00CB6CF5" w:rsidTr="00161AB3">
              <w:trPr>
                <w:trHeight w:hRule="exact" w:val="607"/>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l</w:t>
                  </w:r>
                  <w:r w:rsidRPr="00CB6CF5">
                    <w:rPr>
                      <w:color w:val="000000"/>
                      <w:sz w:val="22"/>
                      <w:szCs w:val="22"/>
                      <w:lang w:val="sr-Latn-CS"/>
                    </w:rPr>
                    <w:t>upanje srca, tahikardija, kongestivna srčana insuficijencija</w:t>
                  </w:r>
                  <w:r>
                    <w:rPr>
                      <w:color w:val="000000"/>
                      <w:sz w:val="22"/>
                      <w:szCs w:val="22"/>
                      <w:vertAlign w:val="superscript"/>
                      <w:lang w:val="sr-Latn-CS"/>
                    </w:rPr>
                    <w:t>3</w:t>
                  </w:r>
                  <w:r w:rsidRPr="00CB6CF5">
                    <w:rPr>
                      <w:color w:val="000000"/>
                      <w:sz w:val="22"/>
                      <w:szCs w:val="22"/>
                      <w:lang w:val="sr-Latn-CS"/>
                    </w:rPr>
                    <w:t>, plućni edem</w:t>
                  </w:r>
                </w:p>
              </w:tc>
            </w:tr>
            <w:tr w:rsidR="000A2337" w:rsidRPr="00CB6CF5" w:rsidTr="00161AB3">
              <w:trPr>
                <w:trHeight w:hRule="exact" w:val="55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 xml:space="preserve">aritmija, atrijumska </w:t>
                  </w:r>
                  <w:r w:rsidRPr="00CB6CF5">
                    <w:rPr>
                      <w:color w:val="000000"/>
                      <w:sz w:val="22"/>
                      <w:szCs w:val="22"/>
                      <w:lang w:val="sr-Latn-CS"/>
                    </w:rPr>
                    <w:t>fibrilacija, srčani zastoj, infarkt miokarda, angina pektoris, perikardna efuzija</w:t>
                  </w:r>
                </w:p>
              </w:tc>
            </w:tr>
            <w:tr w:rsidR="000A2337" w:rsidRPr="00CB6CF5" w:rsidTr="00161AB3">
              <w:trPr>
                <w:trHeight w:hRule="exact" w:val="348"/>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perikarditis*, tamponada srca*</w:t>
                  </w:r>
                </w:p>
              </w:tc>
            </w:tr>
            <w:tr w:rsidR="000A2337" w:rsidRPr="00CB6CF5" w:rsidTr="00161AB3">
              <w:trPr>
                <w:trHeight w:hRule="exact" w:val="284"/>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CB6CF5">
                    <w:rPr>
                      <w:b/>
                      <w:bCs/>
                      <w:color w:val="000000"/>
                      <w:sz w:val="22"/>
                      <w:szCs w:val="22"/>
                      <w:lang w:val="sr-Latn-CS"/>
                    </w:rPr>
                    <w:t>Vaskularni poremećaji</w:t>
                  </w:r>
                  <w:r w:rsidRPr="00CB6CF5">
                    <w:rPr>
                      <w:b/>
                      <w:bCs/>
                      <w:color w:val="000000"/>
                      <w:sz w:val="22"/>
                      <w:szCs w:val="22"/>
                      <w:vertAlign w:val="superscript"/>
                      <w:lang w:val="sr-Latn-CS"/>
                    </w:rPr>
                    <w:t xml:space="preserve"> </w:t>
                  </w:r>
                  <w:r>
                    <w:rPr>
                      <w:b/>
                      <w:bCs/>
                      <w:color w:val="000000"/>
                      <w:sz w:val="22"/>
                      <w:szCs w:val="22"/>
                      <w:vertAlign w:val="superscript"/>
                      <w:lang w:val="sr-Latn-CS"/>
                    </w:rPr>
                    <w:t>4</w:t>
                  </w:r>
                </w:p>
              </w:tc>
            </w:tr>
            <w:tr w:rsidR="000A2337" w:rsidRPr="00CB6CF5" w:rsidTr="00161AB3">
              <w:trPr>
                <w:trHeight w:hRule="exact" w:val="273"/>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crvenilo uz osjećaj vrućine</w:t>
                  </w:r>
                  <w:r w:rsidRPr="00CB6CF5">
                    <w:rPr>
                      <w:color w:val="000000"/>
                      <w:sz w:val="22"/>
                      <w:szCs w:val="22"/>
                      <w:lang w:val="sr-Latn-CS"/>
                    </w:rPr>
                    <w:t>, hemoragija</w:t>
                  </w:r>
                </w:p>
              </w:tc>
            </w:tr>
            <w:tr w:rsidR="000A2337" w:rsidRPr="00CB6CF5" w:rsidTr="00161AB3">
              <w:trPr>
                <w:trHeight w:hRule="exact" w:val="55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h</w:t>
                  </w:r>
                  <w:r w:rsidRPr="00CB6CF5">
                    <w:rPr>
                      <w:color w:val="000000"/>
                      <w:sz w:val="22"/>
                      <w:szCs w:val="22"/>
                      <w:lang w:val="sr-Latn-CS"/>
                    </w:rPr>
                    <w:t xml:space="preserve">ipertenzija, hematom, </w:t>
                  </w:r>
                  <w:r>
                    <w:rPr>
                      <w:color w:val="000000"/>
                      <w:sz w:val="22"/>
                      <w:szCs w:val="22"/>
                      <w:lang w:val="sr-Latn-CS"/>
                    </w:rPr>
                    <w:t xml:space="preserve">subduralni hematom, </w:t>
                  </w:r>
                  <w:r w:rsidRPr="00CB6CF5">
                    <w:rPr>
                      <w:color w:val="000000"/>
                      <w:sz w:val="22"/>
                      <w:szCs w:val="22"/>
                      <w:lang w:val="sr-Latn-CS"/>
                    </w:rPr>
                    <w:t>periferna hladnoća, hipotenzija, Raynaud-ov fenomen</w:t>
                  </w:r>
                </w:p>
              </w:tc>
            </w:tr>
            <w:tr w:rsidR="000A2337" w:rsidRPr="00CB6CF5" w:rsidTr="00161AB3">
              <w:trPr>
                <w:trHeight w:hRule="exact" w:val="312"/>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tromboza/embolija*</w:t>
                  </w:r>
                </w:p>
              </w:tc>
            </w:tr>
            <w:tr w:rsidR="000A2337" w:rsidRPr="00CB6CF5" w:rsidTr="00161AB3">
              <w:trPr>
                <w:trHeight w:hRule="exact" w:val="286"/>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b/>
                      <w:bCs/>
                      <w:color w:val="000000"/>
                      <w:sz w:val="22"/>
                      <w:szCs w:val="22"/>
                      <w:lang w:val="sr-Latn-CS"/>
                    </w:rPr>
                    <w:t>Respiratorni</w:t>
                  </w:r>
                  <w:r w:rsidRPr="00CB6CF5">
                    <w:rPr>
                      <w:b/>
                      <w:bCs/>
                      <w:color w:val="000000"/>
                      <w:sz w:val="22"/>
                      <w:szCs w:val="22"/>
                      <w:lang w:val="sr-Latn-CS"/>
                    </w:rPr>
                    <w:t xml:space="preserve">, </w:t>
                  </w:r>
                  <w:r>
                    <w:rPr>
                      <w:b/>
                      <w:bCs/>
                      <w:color w:val="000000"/>
                      <w:sz w:val="22"/>
                      <w:szCs w:val="22"/>
                      <w:lang w:val="sr-Latn-CS"/>
                    </w:rPr>
                    <w:t>torakalni</w:t>
                  </w:r>
                  <w:r w:rsidRPr="00CB6CF5">
                    <w:rPr>
                      <w:b/>
                      <w:bCs/>
                      <w:color w:val="000000"/>
                      <w:sz w:val="22"/>
                      <w:szCs w:val="22"/>
                      <w:lang w:val="sr-Latn-CS"/>
                    </w:rPr>
                    <w:t xml:space="preserve"> i poremećaji</w:t>
                  </w:r>
                  <w:r>
                    <w:rPr>
                      <w:b/>
                      <w:bCs/>
                      <w:color w:val="000000"/>
                      <w:sz w:val="22"/>
                      <w:szCs w:val="22"/>
                      <w:lang w:val="sr-Latn-CS"/>
                    </w:rPr>
                    <w:t xml:space="preserve"> medijastinuma</w:t>
                  </w:r>
                </w:p>
              </w:tc>
            </w:tr>
            <w:tr w:rsidR="000A2337" w:rsidRPr="00CB6CF5" w:rsidTr="00161AB3">
              <w:trPr>
                <w:trHeight w:hRule="exact" w:val="275"/>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d</w:t>
                  </w:r>
                  <w:r w:rsidRPr="00CB6CF5">
                    <w:rPr>
                      <w:color w:val="000000"/>
                      <w:sz w:val="22"/>
                      <w:szCs w:val="22"/>
                      <w:lang w:val="sr-Latn-CS"/>
                    </w:rPr>
                    <w:t>ispnea, epistaksa, kašalj</w:t>
                  </w:r>
                </w:p>
              </w:tc>
            </w:tr>
            <w:tr w:rsidR="000A2337" w:rsidRPr="00CB6CF5" w:rsidTr="00161AB3">
              <w:trPr>
                <w:trHeight w:hRule="exact" w:val="294"/>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p</w:t>
                  </w:r>
                  <w:r w:rsidRPr="00CB6CF5">
                    <w:rPr>
                      <w:color w:val="000000"/>
                      <w:sz w:val="22"/>
                      <w:szCs w:val="22"/>
                      <w:lang w:val="sr-Latn-CS"/>
                    </w:rPr>
                    <w:t>leur</w:t>
                  </w:r>
                  <w:r>
                    <w:rPr>
                      <w:color w:val="000000"/>
                      <w:sz w:val="22"/>
                      <w:szCs w:val="22"/>
                      <w:lang w:val="sr-Latn-CS"/>
                    </w:rPr>
                    <w:t>al</w:t>
                  </w:r>
                  <w:r w:rsidRPr="00CB6CF5">
                    <w:rPr>
                      <w:color w:val="000000"/>
                      <w:sz w:val="22"/>
                      <w:szCs w:val="22"/>
                      <w:lang w:val="sr-Latn-CS"/>
                    </w:rPr>
                    <w:t>na efuzija</w:t>
                  </w:r>
                  <w:r>
                    <w:rPr>
                      <w:color w:val="000000"/>
                      <w:sz w:val="22"/>
                      <w:szCs w:val="22"/>
                      <w:vertAlign w:val="superscript"/>
                      <w:lang w:val="sr-Latn-CS"/>
                    </w:rPr>
                    <w:t>5</w:t>
                  </w:r>
                  <w:r w:rsidRPr="00CB6CF5">
                    <w:rPr>
                      <w:color w:val="000000"/>
                      <w:sz w:val="22"/>
                      <w:szCs w:val="22"/>
                      <w:lang w:val="sr-Latn-CS"/>
                    </w:rPr>
                    <w:t>, faringolarin</w:t>
                  </w:r>
                  <w:r>
                    <w:rPr>
                      <w:color w:val="000000"/>
                      <w:sz w:val="22"/>
                      <w:szCs w:val="22"/>
                      <w:lang w:val="sr-Latn-CS"/>
                    </w:rPr>
                    <w:t>gealni</w:t>
                  </w:r>
                  <w:r w:rsidRPr="00CB6CF5">
                    <w:rPr>
                      <w:color w:val="000000"/>
                      <w:sz w:val="22"/>
                      <w:szCs w:val="22"/>
                      <w:lang w:val="sr-Latn-CS"/>
                    </w:rPr>
                    <w:t xml:space="preserve"> bol, faringitis</w:t>
                  </w:r>
                </w:p>
              </w:tc>
            </w:tr>
            <w:tr w:rsidR="000A2337" w:rsidRPr="00CB6CF5" w:rsidTr="00161AB3">
              <w:trPr>
                <w:trHeight w:hRule="exact" w:val="55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p</w:t>
                  </w:r>
                  <w:r w:rsidRPr="00CB6CF5">
                    <w:rPr>
                      <w:color w:val="000000"/>
                      <w:sz w:val="22"/>
                      <w:szCs w:val="22"/>
                      <w:lang w:val="sr-Latn-CS"/>
                    </w:rPr>
                    <w:t>leuritični bol, plućna fibroza, plućna hipertenzija, plućna hemoragija</w:t>
                  </w:r>
                </w:p>
              </w:tc>
            </w:tr>
            <w:tr w:rsidR="000A2337" w:rsidRPr="00CB6CF5" w:rsidTr="00161AB3">
              <w:trPr>
                <w:trHeight w:hRule="exact" w:val="55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 xml:space="preserve">akutna respiratorna </w:t>
                  </w:r>
                  <w:r w:rsidRPr="00D37723">
                    <w:rPr>
                      <w:color w:val="000000"/>
                      <w:sz w:val="22"/>
                      <w:szCs w:val="22"/>
                      <w:lang w:val="sr-Latn-CS"/>
                    </w:rPr>
                    <w:t>insuficijencija</w:t>
                  </w:r>
                  <w:r w:rsidRPr="00D37723">
                    <w:rPr>
                      <w:color w:val="000000"/>
                      <w:sz w:val="22"/>
                      <w:szCs w:val="22"/>
                      <w:vertAlign w:val="superscript"/>
                      <w:lang w:val="sr-Latn-CS"/>
                    </w:rPr>
                    <w:t>10</w:t>
                  </w:r>
                  <w:r w:rsidRPr="00D37723">
                    <w:rPr>
                      <w:color w:val="000000"/>
                      <w:sz w:val="22"/>
                      <w:szCs w:val="22"/>
                      <w:lang w:val="sr-Latn-CS"/>
                    </w:rPr>
                    <w:t>*, intersticijalna</w:t>
                  </w:r>
                  <w:r>
                    <w:rPr>
                      <w:color w:val="000000"/>
                      <w:sz w:val="22"/>
                      <w:szCs w:val="22"/>
                      <w:lang w:val="sr-Latn-CS"/>
                    </w:rPr>
                    <w:t xml:space="preserve"> plućna bolest*</w:t>
                  </w:r>
                </w:p>
              </w:tc>
            </w:tr>
            <w:tr w:rsidR="000A2337" w:rsidRPr="00CB6CF5" w:rsidTr="00161AB3">
              <w:trPr>
                <w:trHeight w:hRule="exact" w:val="559"/>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b/>
                      <w:bCs/>
                      <w:color w:val="000000"/>
                      <w:sz w:val="22"/>
                      <w:szCs w:val="22"/>
                      <w:lang w:val="sr-Latn-CS"/>
                    </w:rPr>
                    <w:t>Gastrointestinalni</w:t>
                  </w:r>
                  <w:r w:rsidRPr="00CB6CF5">
                    <w:rPr>
                      <w:b/>
                      <w:bCs/>
                      <w:color w:val="000000"/>
                      <w:sz w:val="22"/>
                      <w:szCs w:val="22"/>
                      <w:lang w:val="sr-Latn-CS"/>
                    </w:rPr>
                    <w:t xml:space="preserve"> poremećaji</w:t>
                  </w:r>
                </w:p>
              </w:tc>
            </w:tr>
            <w:tr w:rsidR="000A2337" w:rsidRPr="00CB6CF5" w:rsidTr="00161AB3">
              <w:trPr>
                <w:trHeight w:hRule="exact" w:val="55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sidRPr="00CB6CF5">
                    <w:rPr>
                      <w:i/>
                      <w:iCs/>
                      <w:color w:val="000000"/>
                      <w:sz w:val="22"/>
                      <w:szCs w:val="22"/>
                      <w:lang w:val="sr-Latn-CS"/>
                    </w:rPr>
                    <w:t>V</w:t>
                  </w:r>
                  <w:r>
                    <w:rPr>
                      <w:i/>
                      <w:iCs/>
                      <w:color w:val="000000"/>
                      <w:sz w:val="22"/>
                      <w:szCs w:val="22"/>
                      <w:lang w:val="sr-Latn-CS"/>
                    </w:rPr>
                    <w:t>eoma</w:t>
                  </w:r>
                  <w:r w:rsidRPr="00CB6CF5">
                    <w:rPr>
                      <w:i/>
                      <w:iCs/>
                      <w:color w:val="000000"/>
                      <w:sz w:val="22"/>
                      <w:szCs w:val="22"/>
                      <w:lang w:val="sr-Latn-CS"/>
                    </w:rPr>
                    <w:t xml:space="preserve"> 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m</w:t>
                  </w:r>
                  <w:r w:rsidRPr="00CB6CF5">
                    <w:rPr>
                      <w:color w:val="000000"/>
                      <w:sz w:val="22"/>
                      <w:szCs w:val="22"/>
                      <w:lang w:val="sr-Latn-CS"/>
                    </w:rPr>
                    <w:t>učnina, dijareja, povraćanje, dispepsija, abdom</w:t>
                  </w:r>
                  <w:r>
                    <w:rPr>
                      <w:color w:val="000000"/>
                      <w:sz w:val="22"/>
                      <w:szCs w:val="22"/>
                      <w:lang w:val="sr-Latn-CS"/>
                    </w:rPr>
                    <w:t>inalni</w:t>
                  </w:r>
                  <w:r w:rsidRPr="00CB6CF5">
                    <w:rPr>
                      <w:color w:val="000000"/>
                      <w:sz w:val="22"/>
                      <w:szCs w:val="22"/>
                      <w:lang w:val="sr-Latn-CS"/>
                    </w:rPr>
                    <w:t xml:space="preserve"> bol</w:t>
                  </w:r>
                  <w:r>
                    <w:rPr>
                      <w:color w:val="000000"/>
                      <w:sz w:val="22"/>
                      <w:szCs w:val="22"/>
                      <w:vertAlign w:val="superscript"/>
                      <w:lang w:val="sr-Latn-CS"/>
                    </w:rPr>
                    <w:t>6</w:t>
                  </w:r>
                </w:p>
              </w:tc>
            </w:tr>
            <w:tr w:rsidR="000A2337" w:rsidRPr="00CB6CF5" w:rsidTr="00161AB3">
              <w:trPr>
                <w:trHeight w:hRule="exact" w:val="55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f</w:t>
                  </w:r>
                  <w:r w:rsidRPr="00CB6CF5">
                    <w:rPr>
                      <w:color w:val="000000"/>
                      <w:sz w:val="22"/>
                      <w:szCs w:val="22"/>
                      <w:lang w:val="sr-Latn-CS"/>
                    </w:rPr>
                    <w:t xml:space="preserve">latulencija, </w:t>
                  </w:r>
                  <w:r>
                    <w:rPr>
                      <w:color w:val="000000"/>
                      <w:sz w:val="22"/>
                      <w:szCs w:val="22"/>
                      <w:lang w:val="sr-Latn-CS"/>
                    </w:rPr>
                    <w:t>distenzija abdomena</w:t>
                  </w:r>
                  <w:r w:rsidRPr="00CB6CF5">
                    <w:rPr>
                      <w:color w:val="000000"/>
                      <w:sz w:val="22"/>
                      <w:szCs w:val="22"/>
                      <w:lang w:val="sr-Latn-CS"/>
                    </w:rPr>
                    <w:t>, gastro-ezofagusni refluks, konstipacija, suva usta, gastritis</w:t>
                  </w:r>
                </w:p>
              </w:tc>
            </w:tr>
            <w:tr w:rsidR="000A2337" w:rsidRPr="00CB6CF5" w:rsidTr="00161AB3">
              <w:trPr>
                <w:trHeight w:hRule="exact" w:val="101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s</w:t>
                  </w:r>
                  <w:r w:rsidRPr="00CB6CF5">
                    <w:rPr>
                      <w:color w:val="000000"/>
                      <w:sz w:val="22"/>
                      <w:szCs w:val="22"/>
                      <w:lang w:val="sr-Latn-CS"/>
                    </w:rPr>
                    <w:t>tomatitis, ulceraci</w:t>
                  </w:r>
                  <w:r>
                    <w:rPr>
                      <w:color w:val="000000"/>
                      <w:sz w:val="22"/>
                      <w:szCs w:val="22"/>
                      <w:lang w:val="sr-Latn-CS"/>
                    </w:rPr>
                    <w:t>je u ustima, gastrointestinalna</w:t>
                  </w:r>
                  <w:r w:rsidRPr="00CB6CF5">
                    <w:rPr>
                      <w:color w:val="000000"/>
                      <w:sz w:val="22"/>
                      <w:szCs w:val="22"/>
                      <w:lang w:val="sr-Latn-CS"/>
                    </w:rPr>
                    <w:t xml:space="preserve"> </w:t>
                  </w:r>
                </w:p>
                <w:p w:rsidR="000A2337" w:rsidRDefault="000A2337" w:rsidP="00161AB3">
                  <w:pPr>
                    <w:shd w:val="clear" w:color="auto" w:fill="FFFFFF"/>
                    <w:rPr>
                      <w:color w:val="000000"/>
                      <w:sz w:val="22"/>
                      <w:szCs w:val="22"/>
                      <w:lang w:val="sr-Latn-CS"/>
                    </w:rPr>
                  </w:pPr>
                  <w:r w:rsidRPr="00CB6CF5">
                    <w:rPr>
                      <w:color w:val="000000"/>
                      <w:sz w:val="22"/>
                      <w:szCs w:val="22"/>
                      <w:lang w:val="sr-Latn-CS"/>
                    </w:rPr>
                    <w:t>hemoragija</w:t>
                  </w:r>
                  <w:r>
                    <w:rPr>
                      <w:color w:val="000000"/>
                      <w:sz w:val="22"/>
                      <w:szCs w:val="22"/>
                      <w:vertAlign w:val="superscript"/>
                      <w:lang w:val="sr-Latn-CS"/>
                    </w:rPr>
                    <w:t>7</w:t>
                  </w:r>
                  <w:r w:rsidRPr="00CB6CF5">
                    <w:rPr>
                      <w:color w:val="000000"/>
                      <w:sz w:val="22"/>
                      <w:szCs w:val="22"/>
                      <w:lang w:val="sr-Latn-CS"/>
                    </w:rPr>
                    <w:t>, podrigivanje, melena, ezofagitis, ascit,</w:t>
                  </w:r>
                  <w:r>
                    <w:rPr>
                      <w:color w:val="000000"/>
                      <w:sz w:val="22"/>
                      <w:szCs w:val="22"/>
                      <w:lang w:val="sr-Latn-CS"/>
                    </w:rPr>
                    <w:t xml:space="preserve"> </w:t>
                  </w:r>
                  <w:r w:rsidRPr="00CB6CF5">
                    <w:rPr>
                      <w:color w:val="000000"/>
                      <w:sz w:val="22"/>
                      <w:szCs w:val="22"/>
                      <w:lang w:val="sr-Latn-CS"/>
                    </w:rPr>
                    <w:t>gastrični ulkus, hematemeza</w:t>
                  </w:r>
                  <w:r w:rsidRPr="00380BB7">
                    <w:rPr>
                      <w:sz w:val="22"/>
                      <w:szCs w:val="22"/>
                      <w:lang w:val="sr-Latn-CS"/>
                    </w:rPr>
                    <w:t>, heilitis, disfagija</w:t>
                  </w:r>
                  <w:r w:rsidRPr="00CB6CF5">
                    <w:rPr>
                      <w:color w:val="000000"/>
                      <w:sz w:val="22"/>
                      <w:szCs w:val="22"/>
                      <w:lang w:val="sr-Latn-CS"/>
                    </w:rPr>
                    <w:t>,</w:t>
                  </w:r>
                </w:p>
                <w:p w:rsidR="000A2337" w:rsidRDefault="000A2337" w:rsidP="00161AB3">
                  <w:pPr>
                    <w:shd w:val="clear" w:color="auto" w:fill="FFFFFF"/>
                    <w:rPr>
                      <w:color w:val="000000"/>
                      <w:sz w:val="22"/>
                      <w:szCs w:val="22"/>
                      <w:lang w:val="sr-Latn-CS"/>
                    </w:rPr>
                  </w:pPr>
                  <w:r w:rsidRPr="00CB6CF5">
                    <w:rPr>
                      <w:color w:val="000000"/>
                      <w:sz w:val="22"/>
                      <w:szCs w:val="22"/>
                      <w:lang w:val="sr-Latn-CS"/>
                    </w:rPr>
                    <w:t>pankreatitis</w:t>
                  </w:r>
                </w:p>
              </w:tc>
            </w:tr>
            <w:tr w:rsidR="000A2337" w:rsidRPr="00CB6CF5" w:rsidTr="00161AB3">
              <w:trPr>
                <w:trHeight w:hRule="exact" w:val="28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k</w:t>
                  </w:r>
                  <w:r w:rsidRPr="00CB6CF5">
                    <w:rPr>
                      <w:color w:val="000000"/>
                      <w:sz w:val="22"/>
                      <w:szCs w:val="22"/>
                      <w:lang w:val="sr-Latn-CS"/>
                    </w:rPr>
                    <w:t>olitis, ileus, inflama</w:t>
                  </w:r>
                  <w:r>
                    <w:rPr>
                      <w:color w:val="000000"/>
                      <w:sz w:val="22"/>
                      <w:szCs w:val="22"/>
                      <w:lang w:val="sr-Latn-CS"/>
                    </w:rPr>
                    <w:t>torna</w:t>
                  </w:r>
                  <w:r w:rsidRPr="00CB6CF5">
                    <w:rPr>
                      <w:color w:val="000000"/>
                      <w:sz w:val="22"/>
                      <w:szCs w:val="22"/>
                      <w:lang w:val="sr-Latn-CS"/>
                    </w:rPr>
                    <w:t xml:space="preserve"> bolest cr</w:t>
                  </w:r>
                  <w:r>
                    <w:rPr>
                      <w:color w:val="000000"/>
                      <w:sz w:val="22"/>
                      <w:szCs w:val="22"/>
                      <w:lang w:val="sr-Latn-CS"/>
                    </w:rPr>
                    <w:t>ij</w:t>
                  </w:r>
                  <w:r w:rsidRPr="00CB6CF5">
                    <w:rPr>
                      <w:color w:val="000000"/>
                      <w:sz w:val="22"/>
                      <w:szCs w:val="22"/>
                      <w:lang w:val="sr-Latn-CS"/>
                    </w:rPr>
                    <w:t xml:space="preserve">eva </w:t>
                  </w:r>
                </w:p>
              </w:tc>
            </w:tr>
            <w:tr w:rsidR="000A2337" w:rsidRPr="009102CA" w:rsidTr="00161AB3">
              <w:trPr>
                <w:trHeight w:hRule="exact" w:val="78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lastRenderedPageBreak/>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9102CA" w:rsidRDefault="000A2337" w:rsidP="00161AB3">
                  <w:pPr>
                    <w:autoSpaceDE w:val="0"/>
                    <w:autoSpaceDN w:val="0"/>
                    <w:adjustRightInd w:val="0"/>
                    <w:rPr>
                      <w:color w:val="000000"/>
                      <w:sz w:val="22"/>
                      <w:szCs w:val="22"/>
                      <w:lang w:val="sr-Latn-CS"/>
                    </w:rPr>
                  </w:pPr>
                  <w:r>
                    <w:rPr>
                      <w:color w:val="000000"/>
                      <w:sz w:val="22"/>
                      <w:szCs w:val="22"/>
                      <w:lang w:val="sr-Latn-CS"/>
                    </w:rPr>
                    <w:t>i</w:t>
                  </w:r>
                  <w:r w:rsidRPr="009102CA">
                    <w:rPr>
                      <w:color w:val="000000"/>
                      <w:sz w:val="22"/>
                      <w:szCs w:val="22"/>
                      <w:lang w:val="sr-Latn-CS"/>
                    </w:rPr>
                    <w:t>leus/intestinalna opstrukcija*, gastrointestinalna perforacija*, divertikulitis*,</w:t>
                  </w:r>
                </w:p>
                <w:p w:rsidR="000A2337" w:rsidRDefault="000A2337" w:rsidP="00161AB3">
                  <w:pPr>
                    <w:shd w:val="clear" w:color="auto" w:fill="FFFFFF"/>
                    <w:rPr>
                      <w:color w:val="000000"/>
                      <w:sz w:val="22"/>
                      <w:szCs w:val="22"/>
                      <w:lang w:val="sr-Latn-CS"/>
                    </w:rPr>
                  </w:pPr>
                  <w:r w:rsidRPr="009102CA">
                    <w:rPr>
                      <w:color w:val="000000"/>
                      <w:sz w:val="22"/>
                      <w:szCs w:val="22"/>
                      <w:lang w:val="sr-Latn-CS"/>
                    </w:rPr>
                    <w:t>gastrična antralna vaskularna ektazija (GAVE)*</w:t>
                  </w:r>
                </w:p>
              </w:tc>
            </w:tr>
            <w:tr w:rsidR="000A2337" w:rsidRPr="00CB6CF5" w:rsidTr="00161AB3">
              <w:trPr>
                <w:trHeight w:hRule="exact" w:val="299"/>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CB6CF5">
                    <w:rPr>
                      <w:b/>
                      <w:bCs/>
                      <w:color w:val="000000"/>
                      <w:sz w:val="22"/>
                      <w:szCs w:val="22"/>
                      <w:lang w:val="sr-Latn-CS"/>
                    </w:rPr>
                    <w:t>Hepatobilijarni poremećaji</w:t>
                  </w:r>
                </w:p>
              </w:tc>
            </w:tr>
            <w:tr w:rsidR="000A2337" w:rsidRPr="00CB6CF5" w:rsidTr="00161AB3">
              <w:trPr>
                <w:trHeight w:hRule="exact" w:val="276"/>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p</w:t>
                  </w:r>
                  <w:r w:rsidRPr="00CB6CF5">
                    <w:rPr>
                      <w:color w:val="000000"/>
                      <w:sz w:val="22"/>
                      <w:szCs w:val="22"/>
                      <w:lang w:val="sr-Latn-CS"/>
                    </w:rPr>
                    <w:t>ovišenje jetrinih enzima</w:t>
                  </w:r>
                </w:p>
              </w:tc>
            </w:tr>
            <w:tr w:rsidR="000A2337" w:rsidRPr="00CB6CF5" w:rsidTr="00161AB3">
              <w:trPr>
                <w:trHeight w:hRule="exact" w:val="295"/>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h</w:t>
                  </w:r>
                  <w:r w:rsidRPr="00CB6CF5">
                    <w:rPr>
                      <w:color w:val="000000"/>
                      <w:sz w:val="22"/>
                      <w:szCs w:val="22"/>
                      <w:lang w:val="sr-Latn-CS"/>
                    </w:rPr>
                    <w:t>iperbilirubinemija, hepatitis, žutica</w:t>
                  </w:r>
                </w:p>
              </w:tc>
            </w:tr>
            <w:tr w:rsidR="000A2337" w:rsidRPr="00CB6CF5" w:rsidTr="00161AB3">
              <w:trPr>
                <w:trHeight w:hRule="exact" w:val="27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i</w:t>
                  </w:r>
                  <w:r w:rsidRPr="00CB6CF5">
                    <w:rPr>
                      <w:color w:val="000000"/>
                      <w:sz w:val="22"/>
                      <w:szCs w:val="22"/>
                      <w:lang w:val="sr-Latn-CS"/>
                    </w:rPr>
                    <w:t>nsuficijencija jetre</w:t>
                  </w:r>
                  <w:r>
                    <w:rPr>
                      <w:color w:val="000000"/>
                      <w:sz w:val="22"/>
                      <w:szCs w:val="22"/>
                      <w:vertAlign w:val="superscript"/>
                      <w:lang w:val="sr-Latn-CS"/>
                    </w:rPr>
                    <w:t>8</w:t>
                  </w:r>
                  <w:r w:rsidRPr="00CB6CF5">
                    <w:rPr>
                      <w:color w:val="000000"/>
                      <w:sz w:val="22"/>
                      <w:szCs w:val="22"/>
                      <w:lang w:val="sr-Latn-CS"/>
                    </w:rPr>
                    <w:t xml:space="preserve">, </w:t>
                  </w:r>
                  <w:r>
                    <w:rPr>
                      <w:color w:val="000000"/>
                      <w:sz w:val="22"/>
                      <w:szCs w:val="22"/>
                      <w:lang w:val="sr-Latn-CS"/>
                    </w:rPr>
                    <w:t>nekroza jetre</w:t>
                  </w:r>
                </w:p>
              </w:tc>
            </w:tr>
            <w:tr w:rsidR="000A2337" w:rsidRPr="00CB6CF5" w:rsidTr="00161AB3">
              <w:trPr>
                <w:trHeight w:hRule="exact" w:val="272"/>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CB6CF5">
                    <w:rPr>
                      <w:b/>
                      <w:bCs/>
                      <w:color w:val="000000"/>
                      <w:sz w:val="22"/>
                      <w:szCs w:val="22"/>
                      <w:lang w:val="sr-Latn-CS"/>
                    </w:rPr>
                    <w:t>Poremećaji kože i potkožnog tkiva</w:t>
                  </w:r>
                </w:p>
              </w:tc>
            </w:tr>
            <w:tr w:rsidR="000A2337" w:rsidRPr="00CB6CF5" w:rsidTr="00161AB3">
              <w:trPr>
                <w:trHeight w:hRule="exact" w:val="28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sidRPr="00CB6CF5">
                    <w:rPr>
                      <w:i/>
                      <w:iCs/>
                      <w:color w:val="000000"/>
                      <w:sz w:val="22"/>
                      <w:szCs w:val="22"/>
                      <w:lang w:val="sr-Latn-CS"/>
                    </w:rPr>
                    <w:t>V</w:t>
                  </w:r>
                  <w:r>
                    <w:rPr>
                      <w:i/>
                      <w:iCs/>
                      <w:color w:val="000000"/>
                      <w:sz w:val="22"/>
                      <w:szCs w:val="22"/>
                      <w:lang w:val="sr-Latn-CS"/>
                    </w:rPr>
                    <w:t>eoma</w:t>
                  </w:r>
                  <w:r w:rsidRPr="00CB6CF5">
                    <w:rPr>
                      <w:i/>
                      <w:iCs/>
                      <w:color w:val="000000"/>
                      <w:sz w:val="22"/>
                      <w:szCs w:val="22"/>
                      <w:lang w:val="sr-Latn-CS"/>
                    </w:rPr>
                    <w:t xml:space="preserve"> 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p</w:t>
                  </w:r>
                  <w:r w:rsidRPr="00CB6CF5">
                    <w:rPr>
                      <w:color w:val="000000"/>
                      <w:sz w:val="22"/>
                      <w:szCs w:val="22"/>
                      <w:lang w:val="sr-Latn-CS"/>
                    </w:rPr>
                    <w:t>eriorbit</w:t>
                  </w:r>
                  <w:r>
                    <w:rPr>
                      <w:color w:val="000000"/>
                      <w:sz w:val="22"/>
                      <w:szCs w:val="22"/>
                      <w:lang w:val="sr-Latn-CS"/>
                    </w:rPr>
                    <w:t>al</w:t>
                  </w:r>
                  <w:r w:rsidRPr="00CB6CF5">
                    <w:rPr>
                      <w:color w:val="000000"/>
                      <w:sz w:val="22"/>
                      <w:szCs w:val="22"/>
                      <w:lang w:val="sr-Latn-CS"/>
                    </w:rPr>
                    <w:t>ni edem, dermatitis/ekcem/osip</w:t>
                  </w:r>
                </w:p>
              </w:tc>
            </w:tr>
            <w:tr w:rsidR="000A2337" w:rsidRPr="00CB6CF5" w:rsidTr="00161AB3">
              <w:trPr>
                <w:trHeight w:hRule="exact" w:val="55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svrab</w:t>
                  </w:r>
                  <w:r w:rsidRPr="00CB6CF5">
                    <w:rPr>
                      <w:color w:val="000000"/>
                      <w:sz w:val="22"/>
                      <w:szCs w:val="22"/>
                      <w:lang w:val="sr-Latn-CS"/>
                    </w:rPr>
                    <w:t>, otok lica, suva koža, eritem, alopecija, noćna znojenja, reakcija fotosenzitivnosti</w:t>
                  </w:r>
                </w:p>
              </w:tc>
            </w:tr>
            <w:tr w:rsidR="000A2337" w:rsidRPr="00CB6CF5" w:rsidTr="00161AB3">
              <w:trPr>
                <w:trHeight w:hRule="exact" w:val="128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p</w:t>
                  </w:r>
                  <w:r w:rsidRPr="00CB6CF5">
                    <w:rPr>
                      <w:color w:val="000000"/>
                      <w:sz w:val="22"/>
                      <w:szCs w:val="22"/>
                      <w:lang w:val="sr-Latn-CS"/>
                    </w:rPr>
                    <w:t>ustul</w:t>
                  </w:r>
                  <w:r>
                    <w:rPr>
                      <w:color w:val="000000"/>
                      <w:sz w:val="22"/>
                      <w:szCs w:val="22"/>
                      <w:lang w:val="sr-Latn-CS"/>
                    </w:rPr>
                    <w:t>oz</w:t>
                  </w:r>
                  <w:r w:rsidRPr="00CB6CF5">
                    <w:rPr>
                      <w:color w:val="000000"/>
                      <w:sz w:val="22"/>
                      <w:szCs w:val="22"/>
                      <w:lang w:val="sr-Latn-CS"/>
                    </w:rPr>
                    <w:t>ni osip, kontuzija, pojačano znojenje, urtikarija, ekhimoza, povećana sklonost modricama, hipotrihoza, hipopi</w:t>
                  </w:r>
                  <w:r>
                    <w:rPr>
                      <w:color w:val="000000"/>
                      <w:sz w:val="22"/>
                      <w:szCs w:val="22"/>
                      <w:lang w:val="sr-Latn-CS"/>
                    </w:rPr>
                    <w:t>gmentacija kože, eksfolijativni</w:t>
                  </w:r>
                  <w:r w:rsidRPr="00CB6CF5">
                    <w:rPr>
                      <w:color w:val="000000"/>
                      <w:sz w:val="22"/>
                      <w:szCs w:val="22"/>
                      <w:lang w:val="sr-Latn-CS"/>
                    </w:rPr>
                    <w:t xml:space="preserve"> dermatitis, </w:t>
                  </w:r>
                  <w:r>
                    <w:rPr>
                      <w:color w:val="000000"/>
                      <w:sz w:val="22"/>
                      <w:szCs w:val="22"/>
                      <w:lang w:val="sr-Latn-CS"/>
                    </w:rPr>
                    <w:t>lomljenje noktiju</w:t>
                  </w:r>
                  <w:r w:rsidRPr="00CB6CF5">
                    <w:rPr>
                      <w:color w:val="000000"/>
                      <w:sz w:val="22"/>
                      <w:szCs w:val="22"/>
                      <w:lang w:val="sr-Latn-CS"/>
                    </w:rPr>
                    <w:t>, folikulitis, petehije, psorijaza, purpura, hiperpigmentacija kože, bulozne erupcije</w:t>
                  </w:r>
                </w:p>
              </w:tc>
            </w:tr>
            <w:tr w:rsidR="000A2337" w:rsidRPr="00CB6CF5" w:rsidTr="00161AB3">
              <w:trPr>
                <w:trHeight w:hRule="exact" w:val="1338"/>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a</w:t>
                  </w:r>
                  <w:r w:rsidRPr="00CB6CF5">
                    <w:rPr>
                      <w:color w:val="000000"/>
                      <w:sz w:val="22"/>
                      <w:szCs w:val="22"/>
                      <w:lang w:val="sr-Latn-CS"/>
                    </w:rPr>
                    <w:t>kutna febrilna neutrofilna dermatoza (Sweet-ov sindrom), obe</w:t>
                  </w:r>
                  <w:r>
                    <w:rPr>
                      <w:color w:val="000000"/>
                      <w:sz w:val="22"/>
                      <w:szCs w:val="22"/>
                      <w:lang w:val="sr-Latn-CS"/>
                    </w:rPr>
                    <w:t>zbojenje nokata, angio</w:t>
                  </w:r>
                  <w:r w:rsidRPr="00CB6CF5">
                    <w:rPr>
                      <w:color w:val="000000"/>
                      <w:sz w:val="22"/>
                      <w:szCs w:val="22"/>
                      <w:lang w:val="sr-Latn-CS"/>
                    </w:rPr>
                    <w:t>edem, vezikul</w:t>
                  </w:r>
                  <w:r>
                    <w:rPr>
                      <w:color w:val="000000"/>
                      <w:sz w:val="22"/>
                      <w:szCs w:val="22"/>
                      <w:lang w:val="sr-Latn-CS"/>
                    </w:rPr>
                    <w:t>ar</w:t>
                  </w:r>
                  <w:r w:rsidRPr="00CB6CF5">
                    <w:rPr>
                      <w:color w:val="000000"/>
                      <w:sz w:val="22"/>
                      <w:szCs w:val="22"/>
                      <w:lang w:val="sr-Latn-CS"/>
                    </w:rPr>
                    <w:t>ni osip, erite</w:t>
                  </w:r>
                  <w:r>
                    <w:rPr>
                      <w:color w:val="000000"/>
                      <w:sz w:val="22"/>
                      <w:szCs w:val="22"/>
                      <w:lang w:val="sr-Latn-CS"/>
                    </w:rPr>
                    <w:t xml:space="preserve">ma multiforme, leukocitoklastni </w:t>
                  </w:r>
                  <w:r w:rsidRPr="00CB6CF5">
                    <w:rPr>
                      <w:color w:val="000000"/>
                      <w:sz w:val="22"/>
                      <w:szCs w:val="22"/>
                      <w:lang w:val="sr-Latn-CS"/>
                    </w:rPr>
                    <w:t>vaskulitis, Stevens-Johnson-ov sindrom</w:t>
                  </w:r>
                  <w:r>
                    <w:rPr>
                      <w:color w:val="000000"/>
                      <w:sz w:val="22"/>
                      <w:szCs w:val="22"/>
                      <w:lang w:val="sr-Latn-CS"/>
                    </w:rPr>
                    <w:t xml:space="preserve">, </w:t>
                  </w:r>
                  <w:r w:rsidRPr="00137FE4">
                    <w:rPr>
                      <w:color w:val="000000"/>
                      <w:sz w:val="22"/>
                      <w:szCs w:val="22"/>
                      <w:lang w:val="sr-Latn-CS"/>
                    </w:rPr>
                    <w:t>akutni generalizovani pustulozni egzantem (AGPE)</w:t>
                  </w:r>
                </w:p>
              </w:tc>
            </w:tr>
            <w:tr w:rsidR="000A2337" w:rsidRPr="00B80DB4" w:rsidTr="00161AB3">
              <w:trPr>
                <w:trHeight w:hRule="exact" w:val="1076"/>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B80DB4" w:rsidRDefault="000A2337" w:rsidP="00161AB3">
                  <w:pPr>
                    <w:shd w:val="clear" w:color="auto" w:fill="FFFFFF"/>
                    <w:rPr>
                      <w:color w:val="000000"/>
                      <w:sz w:val="22"/>
                      <w:szCs w:val="22"/>
                      <w:lang w:val="sr-Latn-CS"/>
                    </w:rPr>
                  </w:pPr>
                  <w:r w:rsidRPr="00B80DB4">
                    <w:rPr>
                      <w:color w:val="000000"/>
                      <w:sz w:val="22"/>
                      <w:szCs w:val="22"/>
                      <w:lang w:val="sr-Latn-CS"/>
                    </w:rPr>
                    <w:t>Sindrom palmoplantarne eritrodisestezije*, lihenoidna keratoza*, lichen</w:t>
                  </w:r>
                  <w:r>
                    <w:rPr>
                      <w:color w:val="000000"/>
                      <w:sz w:val="22"/>
                      <w:szCs w:val="22"/>
                      <w:lang w:val="sr-Latn-CS"/>
                    </w:rPr>
                    <w:t xml:space="preserve"> </w:t>
                  </w:r>
                  <w:r w:rsidRPr="00B80DB4">
                    <w:rPr>
                      <w:color w:val="000000"/>
                      <w:sz w:val="22"/>
                      <w:szCs w:val="22"/>
                      <w:lang w:val="sr-Latn-CS"/>
                    </w:rPr>
                    <w:t>planus*, toksična epidermalna nekroliza*, osip uzrokovan lijekom s</w:t>
                  </w:r>
                  <w:r>
                    <w:rPr>
                      <w:color w:val="000000"/>
                      <w:sz w:val="22"/>
                      <w:szCs w:val="22"/>
                      <w:lang w:val="sr-Latn-CS"/>
                    </w:rPr>
                    <w:t>a</w:t>
                  </w:r>
                </w:p>
                <w:p w:rsidR="000A2337" w:rsidRDefault="000A2337" w:rsidP="00161AB3">
                  <w:pPr>
                    <w:shd w:val="clear" w:color="auto" w:fill="FFFFFF"/>
                    <w:rPr>
                      <w:color w:val="000000"/>
                      <w:sz w:val="22"/>
                      <w:szCs w:val="22"/>
                      <w:lang w:val="sr-Latn-CS"/>
                    </w:rPr>
                  </w:pPr>
                  <w:r w:rsidRPr="00B80DB4">
                    <w:rPr>
                      <w:color w:val="000000"/>
                      <w:sz w:val="22"/>
                      <w:szCs w:val="22"/>
                      <w:lang w:val="sr-Latn-CS"/>
                    </w:rPr>
                    <w:t>eozinofilijom i sistemskim simptomima (DRESS)*</w:t>
                  </w:r>
                </w:p>
                <w:p w:rsidR="00463E8C" w:rsidRDefault="00463E8C" w:rsidP="00463E8C">
                  <w:pPr>
                    <w:shd w:val="clear" w:color="auto" w:fill="FFFFFF"/>
                    <w:rPr>
                      <w:color w:val="000000"/>
                      <w:sz w:val="22"/>
                      <w:szCs w:val="22"/>
                      <w:lang w:val="sr-Latn-CS"/>
                    </w:rPr>
                  </w:pPr>
                </w:p>
                <w:p w:rsidR="00463E8C" w:rsidRDefault="00463E8C" w:rsidP="00463E8C">
                  <w:pPr>
                    <w:shd w:val="clear" w:color="auto" w:fill="FFFFFF"/>
                    <w:rPr>
                      <w:color w:val="000000"/>
                      <w:sz w:val="22"/>
                      <w:szCs w:val="22"/>
                      <w:lang w:val="sr-Latn-CS"/>
                    </w:rPr>
                  </w:pPr>
                </w:p>
              </w:tc>
            </w:tr>
            <w:tr w:rsidR="000A2337" w:rsidRPr="00CB6CF5" w:rsidTr="00161AB3">
              <w:trPr>
                <w:trHeight w:hRule="exact" w:val="283"/>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sidRPr="00CB6CF5">
                    <w:rPr>
                      <w:b/>
                      <w:bCs/>
                      <w:color w:val="000000"/>
                      <w:sz w:val="22"/>
                      <w:szCs w:val="22"/>
                      <w:lang w:val="sr-Latn-CS"/>
                    </w:rPr>
                    <w:t>Mišićnoskeletni i poremećaji vezivnog tkiva</w:t>
                  </w:r>
                </w:p>
              </w:tc>
            </w:tr>
            <w:tr w:rsidR="000A2337" w:rsidRPr="00CB6CF5" w:rsidTr="00161AB3">
              <w:trPr>
                <w:trHeight w:hRule="exact" w:val="557"/>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sidRPr="00CB6CF5">
                    <w:rPr>
                      <w:i/>
                      <w:iCs/>
                      <w:color w:val="000000"/>
                      <w:sz w:val="22"/>
                      <w:szCs w:val="22"/>
                      <w:lang w:val="sr-Latn-CS"/>
                    </w:rPr>
                    <w:t>V</w:t>
                  </w:r>
                  <w:r>
                    <w:rPr>
                      <w:i/>
                      <w:iCs/>
                      <w:color w:val="000000"/>
                      <w:sz w:val="22"/>
                      <w:szCs w:val="22"/>
                      <w:lang w:val="sr-Latn-CS"/>
                    </w:rPr>
                    <w:t>eoma</w:t>
                  </w:r>
                  <w:r w:rsidRPr="00CB6CF5">
                    <w:rPr>
                      <w:i/>
                      <w:iCs/>
                      <w:color w:val="000000"/>
                      <w:sz w:val="22"/>
                      <w:szCs w:val="22"/>
                      <w:lang w:val="sr-Latn-CS"/>
                    </w:rPr>
                    <w:t xml:space="preserve"> 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vertAlign w:val="superscript"/>
                      <w:lang w:val="sr-Latn-CS"/>
                    </w:rPr>
                  </w:pPr>
                  <w:r>
                    <w:rPr>
                      <w:color w:val="000000"/>
                      <w:sz w:val="22"/>
                      <w:szCs w:val="22"/>
                      <w:lang w:val="sr-Latn-CS"/>
                    </w:rPr>
                    <w:t>m</w:t>
                  </w:r>
                  <w:r w:rsidRPr="00CB6CF5">
                    <w:rPr>
                      <w:color w:val="000000"/>
                      <w:sz w:val="22"/>
                      <w:szCs w:val="22"/>
                      <w:lang w:val="sr-Latn-CS"/>
                    </w:rPr>
                    <w:t>išićni spazam i grčevi, m</w:t>
                  </w:r>
                  <w:r>
                    <w:rPr>
                      <w:color w:val="000000"/>
                      <w:sz w:val="22"/>
                      <w:szCs w:val="22"/>
                      <w:lang w:val="sr-Latn-CS"/>
                    </w:rPr>
                    <w:t>išićnoskeletni bol uključujući m</w:t>
                  </w:r>
                  <w:r w:rsidRPr="00CB6CF5">
                    <w:rPr>
                      <w:color w:val="000000"/>
                      <w:sz w:val="22"/>
                      <w:szCs w:val="22"/>
                      <w:lang w:val="sr-Latn-CS"/>
                    </w:rPr>
                    <w:t>ijalgiju, artralgiju, bol u kosti</w:t>
                  </w:r>
                  <w:r>
                    <w:rPr>
                      <w:color w:val="000000"/>
                      <w:sz w:val="22"/>
                      <w:szCs w:val="22"/>
                      <w:lang w:val="sr-Latn-CS"/>
                    </w:rPr>
                    <w:t>ma</w:t>
                  </w:r>
                  <w:r>
                    <w:rPr>
                      <w:color w:val="000000"/>
                      <w:sz w:val="22"/>
                      <w:szCs w:val="22"/>
                      <w:vertAlign w:val="superscript"/>
                      <w:lang w:val="sr-Latn-CS"/>
                    </w:rPr>
                    <w:t>9</w:t>
                  </w:r>
                </w:p>
                <w:p w:rsidR="000A2337" w:rsidRDefault="000A2337" w:rsidP="00161AB3">
                  <w:pPr>
                    <w:shd w:val="clear" w:color="auto" w:fill="FFFFFF"/>
                    <w:rPr>
                      <w:color w:val="000000"/>
                      <w:sz w:val="22"/>
                      <w:szCs w:val="22"/>
                      <w:vertAlign w:val="superscript"/>
                      <w:lang w:val="sr-Latn-CS"/>
                    </w:rPr>
                  </w:pPr>
                </w:p>
                <w:p w:rsidR="000A2337" w:rsidRPr="00CB6CF5" w:rsidRDefault="000A2337" w:rsidP="00161AB3">
                  <w:pPr>
                    <w:shd w:val="clear" w:color="auto" w:fill="FFFFFF"/>
                    <w:rPr>
                      <w:b/>
                      <w:bCs/>
                      <w:color w:val="000000"/>
                      <w:sz w:val="22"/>
                      <w:szCs w:val="22"/>
                      <w:lang w:val="sr-Latn-CS"/>
                    </w:rPr>
                  </w:pPr>
                </w:p>
              </w:tc>
            </w:tr>
            <w:tr w:rsidR="000A2337" w:rsidRPr="00CB6CF5" w:rsidTr="00161AB3">
              <w:trPr>
                <w:trHeight w:hRule="exact" w:val="283"/>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color w:val="000000"/>
                      <w:sz w:val="22"/>
                      <w:szCs w:val="22"/>
                      <w:lang w:val="sr-Latn-CS"/>
                    </w:rPr>
                    <w:t>oticanje</w:t>
                  </w:r>
                  <w:r w:rsidRPr="00CB6CF5">
                    <w:rPr>
                      <w:color w:val="000000"/>
                      <w:sz w:val="22"/>
                      <w:szCs w:val="22"/>
                      <w:lang w:val="sr-Latn-CS"/>
                    </w:rPr>
                    <w:t xml:space="preserve"> zglobova</w:t>
                  </w:r>
                </w:p>
              </w:tc>
            </w:tr>
            <w:tr w:rsidR="000A2337" w:rsidRPr="00CB6CF5" w:rsidTr="00161AB3">
              <w:trPr>
                <w:trHeight w:hRule="exact" w:val="283"/>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color w:val="000000"/>
                      <w:sz w:val="22"/>
                      <w:szCs w:val="22"/>
                      <w:lang w:val="sr-Latn-CS"/>
                    </w:rPr>
                    <w:t>k</w:t>
                  </w:r>
                  <w:r w:rsidRPr="00CB6CF5">
                    <w:rPr>
                      <w:color w:val="000000"/>
                      <w:sz w:val="22"/>
                      <w:szCs w:val="22"/>
                      <w:lang w:val="sr-Latn-CS"/>
                    </w:rPr>
                    <w:t>rutost zglobova i mišića</w:t>
                  </w:r>
                </w:p>
              </w:tc>
            </w:tr>
            <w:tr w:rsidR="000A2337" w:rsidRPr="00CB6CF5" w:rsidTr="00161AB3">
              <w:trPr>
                <w:trHeight w:hRule="exact" w:val="283"/>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i/>
                      <w:iCs/>
                      <w:color w:val="000000"/>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color w:val="000000"/>
                      <w:sz w:val="22"/>
                      <w:szCs w:val="22"/>
                      <w:lang w:val="sr-Latn-CS"/>
                    </w:rPr>
                    <w:t>m</w:t>
                  </w:r>
                  <w:r w:rsidRPr="00CB6CF5">
                    <w:rPr>
                      <w:color w:val="000000"/>
                      <w:sz w:val="22"/>
                      <w:szCs w:val="22"/>
                      <w:lang w:val="sr-Latn-CS"/>
                    </w:rPr>
                    <w:t>išićna slabost, artritis</w:t>
                  </w:r>
                  <w:r>
                    <w:rPr>
                      <w:color w:val="000000"/>
                      <w:sz w:val="22"/>
                      <w:szCs w:val="22"/>
                      <w:lang w:val="sr-Latn-CS"/>
                    </w:rPr>
                    <w:t xml:space="preserve">, </w:t>
                  </w:r>
                  <w:r w:rsidRPr="001E2144">
                    <w:rPr>
                      <w:color w:val="000000"/>
                      <w:sz w:val="22"/>
                      <w:szCs w:val="22"/>
                      <w:lang w:val="sr-Latn-CS"/>
                    </w:rPr>
                    <w:t>rabdomioliza/miopatija</w:t>
                  </w:r>
                </w:p>
              </w:tc>
            </w:tr>
            <w:tr w:rsidR="000A2337" w:rsidRPr="00CB6CF5" w:rsidTr="00161AB3">
              <w:trPr>
                <w:trHeight w:hRule="exact" w:val="555"/>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a</w:t>
                  </w:r>
                  <w:r w:rsidRPr="006716E3">
                    <w:rPr>
                      <w:color w:val="000000"/>
                      <w:sz w:val="22"/>
                      <w:szCs w:val="22"/>
                      <w:lang w:val="sr-Latn-CS"/>
                    </w:rPr>
                    <w:t>vaskularna nekroza/nekroza kuka*, zastoj u rastu kod djece*</w:t>
                  </w:r>
                </w:p>
              </w:tc>
            </w:tr>
            <w:tr w:rsidR="000A2337" w:rsidRPr="00CB6CF5" w:rsidTr="00161AB3">
              <w:trPr>
                <w:trHeight w:hRule="exact" w:val="283"/>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sidRPr="00CB6CF5">
                    <w:rPr>
                      <w:b/>
                      <w:bCs/>
                      <w:color w:val="000000"/>
                      <w:sz w:val="22"/>
                      <w:szCs w:val="22"/>
                      <w:lang w:val="sr-Latn-CS"/>
                    </w:rPr>
                    <w:t>Bubrežni i urinarni poremećaji</w:t>
                  </w:r>
                </w:p>
              </w:tc>
            </w:tr>
            <w:tr w:rsidR="000A2337" w:rsidRPr="00CB6CF5" w:rsidTr="00161AB3">
              <w:trPr>
                <w:trHeight w:hRule="exact" w:val="60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color w:val="000000"/>
                      <w:sz w:val="22"/>
                      <w:szCs w:val="22"/>
                      <w:lang w:val="sr-Latn-CS"/>
                    </w:rPr>
                    <w:t>b</w:t>
                  </w:r>
                  <w:r w:rsidRPr="00CB6CF5">
                    <w:rPr>
                      <w:color w:val="000000"/>
                      <w:sz w:val="22"/>
                      <w:szCs w:val="22"/>
                      <w:lang w:val="sr-Latn-CS"/>
                    </w:rPr>
                    <w:t>ubrežni bol, hematurija, akutna bubrežna insuficijencija, povećana učestalost mokrenja</w:t>
                  </w:r>
                </w:p>
              </w:tc>
            </w:tr>
            <w:tr w:rsidR="000A2337" w:rsidRPr="00CB6CF5" w:rsidTr="00161AB3">
              <w:trPr>
                <w:trHeight w:hRule="exact" w:val="375"/>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Nepoznato: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hronična insuficijencija bubrega</w:t>
                  </w:r>
                </w:p>
              </w:tc>
            </w:tr>
            <w:tr w:rsidR="000A2337" w:rsidRPr="00CB6CF5" w:rsidTr="00161AB3">
              <w:trPr>
                <w:trHeight w:hRule="exact" w:val="283"/>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sidRPr="00CB6CF5">
                    <w:rPr>
                      <w:b/>
                      <w:bCs/>
                      <w:color w:val="000000"/>
                      <w:sz w:val="22"/>
                      <w:szCs w:val="22"/>
                      <w:lang w:val="sr-Latn-CS"/>
                    </w:rPr>
                    <w:t>P</w:t>
                  </w:r>
                  <w:r>
                    <w:rPr>
                      <w:b/>
                      <w:bCs/>
                      <w:color w:val="000000"/>
                      <w:sz w:val="22"/>
                      <w:szCs w:val="22"/>
                      <w:lang w:val="sr-Latn-CS"/>
                    </w:rPr>
                    <w:t>oremećaji reproduktivnog sistema i dojki</w:t>
                  </w:r>
                </w:p>
              </w:tc>
            </w:tr>
            <w:tr w:rsidR="000A2337" w:rsidRPr="00CB6CF5" w:rsidTr="00161AB3">
              <w:trPr>
                <w:trHeight w:hRule="exact" w:val="848"/>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color w:val="000000"/>
                      <w:sz w:val="22"/>
                      <w:szCs w:val="22"/>
                      <w:lang w:val="sr-Latn-CS"/>
                    </w:rPr>
                    <w:t>g</w:t>
                  </w:r>
                  <w:r w:rsidRPr="00CB6CF5">
                    <w:rPr>
                      <w:color w:val="000000"/>
                      <w:sz w:val="22"/>
                      <w:szCs w:val="22"/>
                      <w:lang w:val="sr-Latn-CS"/>
                    </w:rPr>
                    <w:t xml:space="preserve">inekomastija, erektilna disfunkcija, menoragija, neuredna menstruacija, seksualna disfunkcija, bol u bradavicama, uvećanje dojki, </w:t>
                  </w:r>
                  <w:r>
                    <w:rPr>
                      <w:color w:val="000000"/>
                      <w:sz w:val="22"/>
                      <w:szCs w:val="22"/>
                      <w:lang w:val="sr-Latn-CS"/>
                    </w:rPr>
                    <w:t>edem skrotuma</w:t>
                  </w:r>
                </w:p>
              </w:tc>
            </w:tr>
            <w:tr w:rsidR="000A2337" w:rsidRPr="00CB6CF5" w:rsidTr="00CD0DFD">
              <w:trPr>
                <w:trHeight w:hRule="exact" w:val="576"/>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i/>
                      <w:iCs/>
                      <w:color w:val="000000"/>
                      <w:sz w:val="22"/>
                      <w:szCs w:val="22"/>
                      <w:lang w:val="sr-Latn-CS"/>
                    </w:rPr>
                  </w:pPr>
                  <w:r>
                    <w:rPr>
                      <w:i/>
                      <w:iCs/>
                      <w:color w:val="000000"/>
                      <w:sz w:val="22"/>
                      <w:szCs w:val="22"/>
                      <w:lang w:val="sr-Latn-CS"/>
                    </w:rPr>
                    <w:t>Rijetk</w:t>
                  </w:r>
                  <w:r w:rsidRPr="00B979B8">
                    <w:rPr>
                      <w:i/>
                      <w:iCs/>
                      <w:color w:val="000000"/>
                      <w:sz w:val="22"/>
                      <w:szCs w:val="22"/>
                      <w:lang w:val="sr-Latn-CS"/>
                    </w:rPr>
                    <w:t>o:</w:t>
                  </w:r>
                </w:p>
                <w:p w:rsidR="00CD0DFD" w:rsidRDefault="00CD0DFD" w:rsidP="00161AB3">
                  <w:pPr>
                    <w:shd w:val="clear" w:color="auto" w:fill="FFFFFF"/>
                    <w:rPr>
                      <w:i/>
                      <w:iCs/>
                      <w:color w:val="000000"/>
                      <w:sz w:val="22"/>
                      <w:szCs w:val="22"/>
                      <w:lang w:val="sr-Latn-CS"/>
                    </w:rPr>
                  </w:pPr>
                </w:p>
                <w:p w:rsidR="00CD0DFD" w:rsidRDefault="00CD0DFD" w:rsidP="00161AB3">
                  <w:pPr>
                    <w:shd w:val="clear" w:color="auto" w:fill="FFFFFF"/>
                    <w:rPr>
                      <w:i/>
                      <w:iCs/>
                      <w:color w:val="000000"/>
                      <w:sz w:val="22"/>
                      <w:szCs w:val="22"/>
                      <w:lang w:val="sr-Latn-CS"/>
                    </w:rPr>
                  </w:pPr>
                </w:p>
                <w:p w:rsidR="00CD0DFD" w:rsidRPr="00CB6CF5" w:rsidRDefault="00CD0DFD" w:rsidP="00161AB3">
                  <w:pPr>
                    <w:shd w:val="clear" w:color="auto" w:fill="FFFFFF"/>
                    <w:rPr>
                      <w:b/>
                      <w:bCs/>
                      <w:color w:val="000000"/>
                      <w:sz w:val="22"/>
                      <w:szCs w:val="22"/>
                      <w:lang w:val="sr-Latn-CS"/>
                    </w:rPr>
                  </w:pP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h</w:t>
                  </w:r>
                  <w:r w:rsidRPr="00B979B8">
                    <w:rPr>
                      <w:color w:val="000000"/>
                      <w:sz w:val="22"/>
                      <w:szCs w:val="22"/>
                      <w:lang w:val="sr-Latn-CS"/>
                    </w:rPr>
                    <w:t xml:space="preserve">emoragija žutog </w:t>
                  </w:r>
                  <w:r>
                    <w:rPr>
                      <w:color w:val="000000"/>
                      <w:sz w:val="22"/>
                      <w:szCs w:val="22"/>
                      <w:lang w:val="sr-Latn-CS"/>
                    </w:rPr>
                    <w:t>tijel</w:t>
                  </w:r>
                  <w:r w:rsidRPr="00B979B8">
                    <w:rPr>
                      <w:color w:val="000000"/>
                      <w:sz w:val="22"/>
                      <w:szCs w:val="22"/>
                      <w:lang w:val="sr-Latn-CS"/>
                    </w:rPr>
                    <w:t>a/hemoragija ovarijalne ciste</w:t>
                  </w:r>
                </w:p>
                <w:p w:rsidR="00CD0DFD" w:rsidRDefault="00CD0DFD" w:rsidP="00161AB3">
                  <w:pPr>
                    <w:shd w:val="clear" w:color="auto" w:fill="FFFFFF"/>
                    <w:rPr>
                      <w:color w:val="000000"/>
                      <w:sz w:val="22"/>
                      <w:szCs w:val="22"/>
                      <w:lang w:val="sr-Latn-CS"/>
                    </w:rPr>
                  </w:pPr>
                </w:p>
                <w:p w:rsidR="00CD0DFD" w:rsidRPr="00CB6CF5" w:rsidRDefault="00CD0DFD" w:rsidP="00161AB3">
                  <w:pPr>
                    <w:shd w:val="clear" w:color="auto" w:fill="FFFFFF"/>
                    <w:rPr>
                      <w:b/>
                      <w:bCs/>
                      <w:color w:val="000000"/>
                      <w:sz w:val="22"/>
                      <w:szCs w:val="22"/>
                      <w:lang w:val="sr-Latn-CS"/>
                    </w:rPr>
                  </w:pPr>
                </w:p>
              </w:tc>
            </w:tr>
            <w:tr w:rsidR="000A2337" w:rsidRPr="00CB6CF5" w:rsidTr="00161AB3">
              <w:trPr>
                <w:trHeight w:hRule="exact" w:val="283"/>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Pr="000B7227" w:rsidRDefault="000A2337" w:rsidP="00161AB3">
                  <w:pPr>
                    <w:pStyle w:val="Header"/>
                    <w:tabs>
                      <w:tab w:val="left" w:pos="284"/>
                    </w:tabs>
                    <w:rPr>
                      <w:b/>
                      <w:bCs/>
                      <w:sz w:val="22"/>
                      <w:szCs w:val="22"/>
                      <w:lang w:val="da-DK"/>
                    </w:rPr>
                  </w:pPr>
                  <w:r>
                    <w:rPr>
                      <w:b/>
                      <w:bCs/>
                      <w:sz w:val="22"/>
                      <w:szCs w:val="22"/>
                      <w:lang w:val="da-DK"/>
                    </w:rPr>
                    <w:lastRenderedPageBreak/>
                    <w:t>Opšti p</w:t>
                  </w:r>
                  <w:r w:rsidRPr="000B7227">
                    <w:rPr>
                      <w:b/>
                      <w:bCs/>
                      <w:sz w:val="22"/>
                      <w:szCs w:val="22"/>
                      <w:lang w:val="da-DK"/>
                    </w:rPr>
                    <w:t>oremećaji i</w:t>
                  </w:r>
                  <w:r>
                    <w:rPr>
                      <w:b/>
                      <w:bCs/>
                      <w:sz w:val="22"/>
                      <w:szCs w:val="22"/>
                      <w:lang w:val="da-DK"/>
                    </w:rPr>
                    <w:t xml:space="preserve"> stanja na mjestu primjene lijeka</w:t>
                  </w:r>
                </w:p>
                <w:p w:rsidR="000A2337" w:rsidRPr="00CB6CF5" w:rsidRDefault="000A2337" w:rsidP="00161AB3">
                  <w:pPr>
                    <w:shd w:val="clear" w:color="auto" w:fill="FFFFFF"/>
                    <w:rPr>
                      <w:b/>
                      <w:bCs/>
                      <w:color w:val="000000"/>
                      <w:sz w:val="22"/>
                      <w:szCs w:val="22"/>
                      <w:lang w:val="sr-Latn-CS"/>
                    </w:rPr>
                  </w:pPr>
                </w:p>
              </w:tc>
            </w:tr>
            <w:tr w:rsidR="000A2337" w:rsidRPr="00CB6CF5" w:rsidTr="00161AB3">
              <w:trPr>
                <w:trHeight w:hRule="exact" w:val="283"/>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i/>
                      <w:iCs/>
                      <w:color w:val="000000"/>
                      <w:sz w:val="22"/>
                      <w:szCs w:val="22"/>
                      <w:lang w:val="sr-Latn-CS"/>
                    </w:rPr>
                    <w:t>Veoma</w:t>
                  </w:r>
                  <w:r w:rsidRPr="00CB6CF5">
                    <w:rPr>
                      <w:i/>
                      <w:iCs/>
                      <w:color w:val="000000"/>
                      <w:sz w:val="22"/>
                      <w:szCs w:val="22"/>
                      <w:lang w:val="sr-Latn-CS"/>
                    </w:rPr>
                    <w:t xml:space="preserve"> 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color w:val="000000"/>
                      <w:sz w:val="22"/>
                      <w:szCs w:val="22"/>
                      <w:lang w:val="sr-Latn-CS"/>
                    </w:rPr>
                    <w:t>r</w:t>
                  </w:r>
                  <w:r w:rsidRPr="00CB6CF5">
                    <w:rPr>
                      <w:color w:val="000000"/>
                      <w:sz w:val="22"/>
                      <w:szCs w:val="22"/>
                      <w:lang w:val="sr-Latn-CS"/>
                    </w:rPr>
                    <w:t>etencija tečnosti i edem, zamor</w:t>
                  </w:r>
                </w:p>
              </w:tc>
            </w:tr>
            <w:tr w:rsidR="000A2337" w:rsidRPr="00CB6CF5" w:rsidTr="00161AB3">
              <w:trPr>
                <w:trHeight w:hRule="exact" w:val="283"/>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sidRPr="00CB6CF5">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color w:val="000000"/>
                      <w:sz w:val="22"/>
                      <w:szCs w:val="22"/>
                      <w:lang w:val="sr-Latn-CS"/>
                    </w:rPr>
                    <w:t>s</w:t>
                  </w:r>
                  <w:r w:rsidRPr="00CB6CF5">
                    <w:rPr>
                      <w:color w:val="000000"/>
                      <w:sz w:val="22"/>
                      <w:szCs w:val="22"/>
                      <w:lang w:val="sr-Latn-CS"/>
                    </w:rPr>
                    <w:t>labost, pireksija, anasarka, drhtavica, ukočenost</w:t>
                  </w:r>
                </w:p>
              </w:tc>
            </w:tr>
            <w:tr w:rsidR="000A2337" w:rsidRPr="00CB6CF5" w:rsidTr="00161AB3">
              <w:trPr>
                <w:trHeight w:hRule="exact" w:val="283"/>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b/>
                      <w:bCs/>
                      <w:color w:val="000000"/>
                      <w:sz w:val="22"/>
                      <w:szCs w:val="22"/>
                      <w:lang w:val="sr-Latn-CS"/>
                    </w:rPr>
                  </w:pPr>
                  <w:r>
                    <w:rPr>
                      <w:color w:val="000000"/>
                      <w:sz w:val="22"/>
                      <w:szCs w:val="22"/>
                      <w:lang w:val="sr-Latn-CS"/>
                    </w:rPr>
                    <w:t>b</w:t>
                  </w:r>
                  <w:r w:rsidRPr="00CB6CF5">
                    <w:rPr>
                      <w:color w:val="000000"/>
                      <w:sz w:val="22"/>
                      <w:szCs w:val="22"/>
                      <w:lang w:val="sr-Latn-CS"/>
                    </w:rPr>
                    <w:t>ol u grudima, slabost</w:t>
                  </w:r>
                </w:p>
              </w:tc>
            </w:tr>
            <w:tr w:rsidR="000A2337" w:rsidRPr="00CB6CF5" w:rsidTr="00161AB3">
              <w:trPr>
                <w:trHeight w:hRule="exact" w:val="250"/>
                <w:jc w:val="center"/>
              </w:trPr>
              <w:tc>
                <w:tcPr>
                  <w:tcW w:w="9570"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Pr="0067609A" w:rsidRDefault="000A2337" w:rsidP="00161AB3">
                  <w:pPr>
                    <w:shd w:val="clear" w:color="auto" w:fill="FFFFFF"/>
                    <w:rPr>
                      <w:color w:val="000000"/>
                      <w:sz w:val="22"/>
                      <w:szCs w:val="22"/>
                      <w:lang w:val="sr-Latn-CS"/>
                    </w:rPr>
                  </w:pPr>
                  <w:r w:rsidRPr="0067609A">
                    <w:rPr>
                      <w:b/>
                      <w:iCs/>
                      <w:color w:val="000000"/>
                      <w:sz w:val="22"/>
                      <w:szCs w:val="22"/>
                      <w:lang w:val="sr-Latn-CS"/>
                    </w:rPr>
                    <w:t>Is</w:t>
                  </w:r>
                  <w:r>
                    <w:rPr>
                      <w:b/>
                      <w:iCs/>
                      <w:color w:val="000000"/>
                      <w:sz w:val="22"/>
                      <w:szCs w:val="22"/>
                      <w:lang w:val="sr-Latn-CS"/>
                    </w:rPr>
                    <w:t>pitivanja</w:t>
                  </w:r>
                </w:p>
              </w:tc>
            </w:tr>
            <w:tr w:rsidR="000A2337" w:rsidRPr="00CB6CF5" w:rsidTr="00161AB3">
              <w:trPr>
                <w:trHeight w:hRule="exact" w:val="274"/>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B74E8C" w:rsidRDefault="000A2337" w:rsidP="00161AB3">
                  <w:pPr>
                    <w:shd w:val="clear" w:color="auto" w:fill="FFFFFF"/>
                    <w:rPr>
                      <w:i/>
                      <w:iCs/>
                      <w:color w:val="000000"/>
                      <w:sz w:val="22"/>
                      <w:szCs w:val="22"/>
                      <w:lang w:val="sr-Latn-CS"/>
                    </w:rPr>
                  </w:pPr>
                  <w:r w:rsidRPr="00B74E8C">
                    <w:rPr>
                      <w:i/>
                      <w:iCs/>
                      <w:color w:val="000000"/>
                      <w:sz w:val="22"/>
                      <w:szCs w:val="22"/>
                      <w:lang w:val="sr-Latn-CS"/>
                    </w:rPr>
                    <w:t>Veoma 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povećanje tjelesne mase</w:t>
                  </w:r>
                </w:p>
              </w:tc>
            </w:tr>
            <w:tr w:rsidR="000A2337" w:rsidRPr="00CB6CF5" w:rsidTr="00161AB3">
              <w:trPr>
                <w:trHeight w:hRule="exact" w:val="321"/>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B74E8C" w:rsidRDefault="000A2337" w:rsidP="00161AB3">
                  <w:pPr>
                    <w:shd w:val="clear" w:color="auto" w:fill="FFFFFF"/>
                    <w:rPr>
                      <w:i/>
                      <w:iCs/>
                      <w:color w:val="000000"/>
                      <w:sz w:val="22"/>
                      <w:szCs w:val="22"/>
                      <w:lang w:val="sr-Latn-CS"/>
                    </w:rPr>
                  </w:pPr>
                  <w:r>
                    <w:rPr>
                      <w:i/>
                      <w:iCs/>
                      <w:color w:val="000000"/>
                      <w:sz w:val="22"/>
                      <w:szCs w:val="22"/>
                      <w:lang w:val="sr-Latn-CS"/>
                    </w:rPr>
                    <w:t>Često: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rPr>
                      <w:color w:val="000000"/>
                      <w:sz w:val="22"/>
                      <w:szCs w:val="22"/>
                      <w:lang w:val="sr-Latn-CS"/>
                    </w:rPr>
                  </w:pPr>
                  <w:r>
                    <w:rPr>
                      <w:color w:val="000000"/>
                      <w:sz w:val="22"/>
                      <w:szCs w:val="22"/>
                      <w:lang w:val="sr-Latn-CS"/>
                    </w:rPr>
                    <w:t>smanjene  tjelesne  mase</w:t>
                  </w:r>
                </w:p>
              </w:tc>
            </w:tr>
            <w:tr w:rsidR="000A2337" w:rsidRPr="00CB6CF5" w:rsidTr="00161AB3">
              <w:trPr>
                <w:trHeight w:hRule="exact" w:val="799"/>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sz w:val="22"/>
                      <w:szCs w:val="22"/>
                      <w:lang w:val="sr-Latn-CS"/>
                    </w:rPr>
                  </w:pPr>
                  <w:r>
                    <w:rPr>
                      <w:i/>
                      <w:iCs/>
                      <w:color w:val="000000"/>
                      <w:sz w:val="22"/>
                      <w:szCs w:val="22"/>
                      <w:lang w:val="sr-Latn-CS"/>
                    </w:rPr>
                    <w:t>Povremeno</w:t>
                  </w:r>
                  <w:r w:rsidRPr="00CB6CF5">
                    <w:rPr>
                      <w:i/>
                      <w:iCs/>
                      <w:color w:val="000000"/>
                      <w:sz w:val="22"/>
                      <w:szCs w:val="22"/>
                      <w:lang w:val="sr-Latn-CS"/>
                    </w:rPr>
                    <w:t>:</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D23C05" w:rsidRDefault="000A2337" w:rsidP="00161AB3">
                  <w:pPr>
                    <w:shd w:val="clear" w:color="auto" w:fill="FFFFFF"/>
                    <w:rPr>
                      <w:color w:val="000000"/>
                      <w:sz w:val="22"/>
                      <w:szCs w:val="22"/>
                      <w:lang w:val="sr-Latn-CS"/>
                    </w:rPr>
                  </w:pPr>
                  <w:r>
                    <w:rPr>
                      <w:color w:val="000000"/>
                      <w:sz w:val="22"/>
                      <w:szCs w:val="22"/>
                      <w:lang w:val="sr-Latn-CS"/>
                    </w:rPr>
                    <w:t xml:space="preserve">povećanje nivoa </w:t>
                  </w:r>
                  <w:r w:rsidRPr="00CB6CF5">
                    <w:rPr>
                      <w:color w:val="000000"/>
                      <w:sz w:val="22"/>
                      <w:szCs w:val="22"/>
                      <w:lang w:val="sr-Latn-CS"/>
                    </w:rPr>
                    <w:t>kreatinina</w:t>
                  </w:r>
                  <w:r>
                    <w:rPr>
                      <w:color w:val="000000"/>
                      <w:sz w:val="22"/>
                      <w:szCs w:val="22"/>
                      <w:lang w:val="sr-Latn-CS"/>
                    </w:rPr>
                    <w:t xml:space="preserve"> u krvi</w:t>
                  </w:r>
                  <w:r w:rsidRPr="00CB6CF5">
                    <w:rPr>
                      <w:color w:val="000000"/>
                      <w:sz w:val="22"/>
                      <w:szCs w:val="22"/>
                      <w:lang w:val="sr-Latn-CS"/>
                    </w:rPr>
                    <w:t xml:space="preserve">, </w:t>
                  </w:r>
                  <w:r>
                    <w:rPr>
                      <w:color w:val="000000"/>
                      <w:sz w:val="22"/>
                      <w:szCs w:val="22"/>
                      <w:lang w:val="sr-Latn-CS"/>
                    </w:rPr>
                    <w:t xml:space="preserve">povećanje </w:t>
                  </w:r>
                  <w:r w:rsidRPr="00CB6CF5">
                    <w:rPr>
                      <w:color w:val="000000"/>
                      <w:sz w:val="22"/>
                      <w:szCs w:val="22"/>
                      <w:lang w:val="sr-Latn-CS"/>
                    </w:rPr>
                    <w:t>kreatin fosfokinaze</w:t>
                  </w:r>
                  <w:r>
                    <w:rPr>
                      <w:color w:val="000000"/>
                      <w:sz w:val="22"/>
                      <w:szCs w:val="22"/>
                      <w:lang w:val="sr-Latn-CS"/>
                    </w:rPr>
                    <w:t xml:space="preserve"> u krvi</w:t>
                  </w:r>
                  <w:r w:rsidRPr="00CB6CF5">
                    <w:rPr>
                      <w:color w:val="000000"/>
                      <w:sz w:val="22"/>
                      <w:szCs w:val="22"/>
                      <w:lang w:val="sr-Latn-CS"/>
                    </w:rPr>
                    <w:t xml:space="preserve">, </w:t>
                  </w:r>
                  <w:r>
                    <w:rPr>
                      <w:color w:val="000000"/>
                      <w:sz w:val="22"/>
                      <w:szCs w:val="22"/>
                      <w:lang w:val="sr-Latn-CS"/>
                    </w:rPr>
                    <w:t xml:space="preserve">povećanje </w:t>
                  </w:r>
                  <w:r w:rsidRPr="00CB6CF5">
                    <w:rPr>
                      <w:color w:val="000000"/>
                      <w:sz w:val="22"/>
                      <w:szCs w:val="22"/>
                      <w:lang w:val="sr-Latn-CS"/>
                    </w:rPr>
                    <w:t>laktat</w:t>
                  </w:r>
                  <w:r>
                    <w:rPr>
                      <w:color w:val="000000"/>
                      <w:sz w:val="22"/>
                      <w:szCs w:val="22"/>
                      <w:lang w:val="sr-Latn-CS"/>
                    </w:rPr>
                    <w:t xml:space="preserve"> </w:t>
                  </w:r>
                  <w:r w:rsidRPr="00CB6CF5">
                    <w:rPr>
                      <w:color w:val="000000"/>
                      <w:sz w:val="22"/>
                      <w:szCs w:val="22"/>
                      <w:lang w:val="sr-Latn-CS"/>
                    </w:rPr>
                    <w:t>dehidrogenaze</w:t>
                  </w:r>
                  <w:r>
                    <w:rPr>
                      <w:color w:val="000000"/>
                      <w:sz w:val="22"/>
                      <w:szCs w:val="22"/>
                      <w:lang w:val="sr-Latn-CS"/>
                    </w:rPr>
                    <w:t xml:space="preserve"> u krvi</w:t>
                  </w:r>
                  <w:r w:rsidRPr="00CB6CF5">
                    <w:rPr>
                      <w:color w:val="000000"/>
                      <w:sz w:val="22"/>
                      <w:szCs w:val="22"/>
                      <w:lang w:val="sr-Latn-CS"/>
                    </w:rPr>
                    <w:t xml:space="preserve">, </w:t>
                  </w:r>
                  <w:r>
                    <w:rPr>
                      <w:color w:val="000000"/>
                      <w:sz w:val="22"/>
                      <w:szCs w:val="22"/>
                      <w:lang w:val="sr-Latn-CS"/>
                    </w:rPr>
                    <w:t xml:space="preserve">povećanje </w:t>
                  </w:r>
                  <w:r w:rsidRPr="00CB6CF5">
                    <w:rPr>
                      <w:color w:val="000000"/>
                      <w:sz w:val="22"/>
                      <w:szCs w:val="22"/>
                      <w:lang w:val="sr-Latn-CS"/>
                    </w:rPr>
                    <w:t>alkalne fosfataze</w:t>
                  </w:r>
                  <w:r>
                    <w:rPr>
                      <w:color w:val="000000"/>
                      <w:sz w:val="22"/>
                      <w:szCs w:val="22"/>
                      <w:lang w:val="sr-Latn-CS"/>
                    </w:rPr>
                    <w:t xml:space="preserve"> u krvi</w:t>
                  </w:r>
                </w:p>
              </w:tc>
            </w:tr>
            <w:tr w:rsidR="000A2337" w:rsidRPr="00CB6CF5" w:rsidTr="00161AB3">
              <w:trPr>
                <w:trHeight w:hRule="exact" w:val="250"/>
                <w:jc w:val="center"/>
              </w:trPr>
              <w:tc>
                <w:tcPr>
                  <w:tcW w:w="4052"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sz w:val="22"/>
                      <w:szCs w:val="22"/>
                      <w:lang w:val="sr-Latn-CS"/>
                    </w:rPr>
                  </w:pPr>
                  <w:r>
                    <w:rPr>
                      <w:i/>
                      <w:iCs/>
                      <w:color w:val="000000"/>
                      <w:sz w:val="22"/>
                      <w:szCs w:val="22"/>
                      <w:lang w:val="sr-Latn-CS"/>
                    </w:rPr>
                    <w:t>Rijetk</w:t>
                  </w:r>
                  <w:r w:rsidRPr="00CB6CF5">
                    <w:rPr>
                      <w:i/>
                      <w:iCs/>
                      <w:color w:val="000000"/>
                      <w:sz w:val="22"/>
                      <w:szCs w:val="22"/>
                      <w:lang w:val="sr-Latn-CS"/>
                    </w:rPr>
                    <w:t>o:</w:t>
                  </w:r>
                </w:p>
              </w:tc>
              <w:tc>
                <w:tcPr>
                  <w:tcW w:w="5518" w:type="dxa"/>
                  <w:tcBorders>
                    <w:top w:val="single" w:sz="6" w:space="0" w:color="auto"/>
                    <w:left w:val="single" w:sz="6" w:space="0" w:color="auto"/>
                    <w:bottom w:val="single" w:sz="6" w:space="0" w:color="auto"/>
                    <w:right w:val="single" w:sz="6" w:space="0" w:color="auto"/>
                  </w:tcBorders>
                  <w:shd w:val="clear" w:color="auto" w:fill="FFFFFF"/>
                </w:tcPr>
                <w:p w:rsidR="000A2337" w:rsidRPr="00CB6CF5" w:rsidRDefault="000A2337" w:rsidP="00161AB3">
                  <w:pPr>
                    <w:shd w:val="clear" w:color="auto" w:fill="FFFFFF"/>
                    <w:rPr>
                      <w:sz w:val="22"/>
                      <w:szCs w:val="22"/>
                      <w:lang w:val="sr-Latn-CS"/>
                    </w:rPr>
                  </w:pPr>
                  <w:r>
                    <w:rPr>
                      <w:color w:val="000000"/>
                      <w:sz w:val="22"/>
                      <w:szCs w:val="22"/>
                      <w:lang w:val="sr-Latn-CS"/>
                    </w:rPr>
                    <w:t>p</w:t>
                  </w:r>
                  <w:r w:rsidRPr="00CB6CF5">
                    <w:rPr>
                      <w:color w:val="000000"/>
                      <w:sz w:val="22"/>
                      <w:szCs w:val="22"/>
                      <w:lang w:val="sr-Latn-CS"/>
                    </w:rPr>
                    <w:t>ovećanje amilaze u krvi</w:t>
                  </w:r>
                </w:p>
              </w:tc>
            </w:tr>
          </w:tbl>
          <w:p w:rsidR="000A2337" w:rsidRPr="001C1D5A" w:rsidRDefault="000A2337" w:rsidP="00161AB3">
            <w:pPr>
              <w:autoSpaceDE w:val="0"/>
              <w:autoSpaceDN w:val="0"/>
              <w:adjustRightInd w:val="0"/>
              <w:jc w:val="both"/>
              <w:rPr>
                <w:color w:val="000000"/>
                <w:lang w:val="sr-Latn-CS"/>
              </w:rPr>
            </w:pPr>
            <w:r>
              <w:rPr>
                <w:color w:val="000000"/>
                <w:vertAlign w:val="superscript"/>
                <w:lang w:val="sr-Latn-CS"/>
              </w:rPr>
              <w:t xml:space="preserve">* </w:t>
            </w:r>
            <w:r>
              <w:rPr>
                <w:color w:val="000000"/>
                <w:lang w:val="sr-Latn-CS"/>
              </w:rPr>
              <w:t xml:space="preserve">Ove vrste reakcija su zabilježene uglavnom </w:t>
            </w:r>
            <w:r w:rsidRPr="001C1D5A">
              <w:rPr>
                <w:color w:val="000000"/>
                <w:lang w:val="sr-Latn-CS"/>
              </w:rPr>
              <w:t>nakon stavljanja i</w:t>
            </w:r>
            <w:r>
              <w:rPr>
                <w:color w:val="000000"/>
                <w:lang w:val="sr-Latn-CS"/>
              </w:rPr>
              <w:t xml:space="preserve">matiniba u promet. To uključuje </w:t>
            </w:r>
            <w:r w:rsidRPr="001C1D5A">
              <w:rPr>
                <w:color w:val="000000"/>
                <w:lang w:val="sr-Latn-CS"/>
              </w:rPr>
              <w:t>spontano prijavljiva</w:t>
            </w:r>
            <w:r>
              <w:rPr>
                <w:color w:val="000000"/>
                <w:lang w:val="sr-Latn-CS"/>
              </w:rPr>
              <w:t>nje neželjenih reakcij</w:t>
            </w:r>
            <w:r w:rsidRPr="001C1D5A">
              <w:rPr>
                <w:color w:val="000000"/>
                <w:lang w:val="sr-Latn-CS"/>
              </w:rPr>
              <w:t xml:space="preserve">a, kao i ozbiljne </w:t>
            </w:r>
            <w:r>
              <w:rPr>
                <w:color w:val="000000"/>
                <w:lang w:val="sr-Latn-CS"/>
              </w:rPr>
              <w:t>neželjene</w:t>
            </w:r>
            <w:r w:rsidRPr="001C1D5A">
              <w:rPr>
                <w:color w:val="000000"/>
                <w:lang w:val="sr-Latn-CS"/>
              </w:rPr>
              <w:t xml:space="preserve"> događaje iz trenutno </w:t>
            </w:r>
            <w:r>
              <w:rPr>
                <w:color w:val="000000"/>
                <w:lang w:val="sr-Latn-CS"/>
              </w:rPr>
              <w:t>vrš</w:t>
            </w:r>
            <w:r w:rsidRPr="001C1D5A">
              <w:rPr>
                <w:color w:val="000000"/>
                <w:lang w:val="sr-Latn-CS"/>
              </w:rPr>
              <w:t>enih</w:t>
            </w:r>
            <w:r>
              <w:rPr>
                <w:color w:val="000000"/>
                <w:lang w:val="sr-Latn-CS"/>
              </w:rPr>
              <w:t xml:space="preserve"> </w:t>
            </w:r>
            <w:r w:rsidRPr="001C1D5A">
              <w:rPr>
                <w:color w:val="000000"/>
                <w:lang w:val="sr-Latn-CS"/>
              </w:rPr>
              <w:t>ispitivanja, pr</w:t>
            </w:r>
            <w:r>
              <w:rPr>
                <w:color w:val="000000"/>
                <w:lang w:val="sr-Latn-CS"/>
              </w:rPr>
              <w:t>oširenih pristupnih programa za pacijente</w:t>
            </w:r>
            <w:r w:rsidRPr="001C1D5A">
              <w:rPr>
                <w:color w:val="000000"/>
                <w:lang w:val="sr-Latn-CS"/>
              </w:rPr>
              <w:t>, kliničkih farmakoloških studija i</w:t>
            </w:r>
            <w:r>
              <w:rPr>
                <w:color w:val="000000"/>
                <w:lang w:val="sr-Latn-CS"/>
              </w:rPr>
              <w:t xml:space="preserve"> </w:t>
            </w:r>
            <w:r w:rsidRPr="001C1D5A">
              <w:rPr>
                <w:color w:val="000000"/>
                <w:lang w:val="sr-Latn-CS"/>
              </w:rPr>
              <w:t>eksplorativnih studija u neodobrenim indikacijama. Budući da su te reakcije zabilježene u</w:t>
            </w:r>
            <w:r>
              <w:rPr>
                <w:color w:val="000000"/>
                <w:lang w:val="sr-Latn-CS"/>
              </w:rPr>
              <w:t xml:space="preserve"> </w:t>
            </w:r>
            <w:r w:rsidRPr="001C1D5A">
              <w:rPr>
                <w:color w:val="000000"/>
                <w:lang w:val="sr-Latn-CS"/>
              </w:rPr>
              <w:t>populaciji nepoznate veličine, nije uvijek moguće pouzdano procijeniti njihovu incidenciju ili</w:t>
            </w:r>
            <w:r>
              <w:rPr>
                <w:color w:val="000000"/>
                <w:lang w:val="sr-Latn-CS"/>
              </w:rPr>
              <w:t xml:space="preserve"> </w:t>
            </w:r>
            <w:r w:rsidRPr="001C1D5A">
              <w:rPr>
                <w:color w:val="000000"/>
                <w:lang w:val="sr-Latn-CS"/>
              </w:rPr>
              <w:t>utvrditi uzročnu povezanost s izloženošću imatinibu.</w:t>
            </w:r>
          </w:p>
          <w:p w:rsidR="000A2337" w:rsidRPr="00343BCE" w:rsidRDefault="000A2337" w:rsidP="00161AB3">
            <w:pPr>
              <w:shd w:val="clear" w:color="auto" w:fill="FFFFFF"/>
              <w:ind w:left="284" w:hanging="295"/>
              <w:jc w:val="both"/>
              <w:rPr>
                <w:color w:val="000000"/>
                <w:sz w:val="22"/>
                <w:szCs w:val="22"/>
                <w:lang w:val="sr-Latn-CS"/>
              </w:rPr>
            </w:pPr>
            <w:r>
              <w:rPr>
                <w:color w:val="000000"/>
                <w:sz w:val="22"/>
                <w:szCs w:val="22"/>
                <w:vertAlign w:val="superscript"/>
                <w:lang w:val="sr-Latn-CS"/>
              </w:rPr>
              <w:t>1</w:t>
            </w:r>
            <w:r w:rsidRPr="00343BCE">
              <w:rPr>
                <w:color w:val="000000"/>
                <w:sz w:val="22"/>
                <w:szCs w:val="22"/>
                <w:vertAlign w:val="superscript"/>
                <w:lang w:val="sr-Latn-CS"/>
              </w:rPr>
              <w:tab/>
            </w:r>
            <w:r w:rsidRPr="00343BCE">
              <w:rPr>
                <w:color w:val="000000"/>
                <w:sz w:val="22"/>
                <w:szCs w:val="22"/>
                <w:lang w:val="sr-Latn-CS"/>
              </w:rPr>
              <w:t xml:space="preserve">Pneumonija </w:t>
            </w:r>
            <w:r>
              <w:rPr>
                <w:color w:val="000000"/>
                <w:sz w:val="22"/>
                <w:szCs w:val="22"/>
                <w:lang w:val="sr-Latn-CS"/>
              </w:rPr>
              <w:t>je najčešće prijavljivana kod pacijenata</w:t>
            </w:r>
            <w:r w:rsidRPr="00343BCE">
              <w:rPr>
                <w:color w:val="000000"/>
                <w:sz w:val="22"/>
                <w:szCs w:val="22"/>
                <w:lang w:val="sr-Latn-CS"/>
              </w:rPr>
              <w:t xml:space="preserve"> sa transformisanom </w:t>
            </w:r>
            <w:r>
              <w:rPr>
                <w:color w:val="000000"/>
                <w:sz w:val="22"/>
                <w:szCs w:val="22"/>
                <w:lang w:val="sr-Latn-CS"/>
              </w:rPr>
              <w:t>C</w:t>
            </w:r>
            <w:r w:rsidRPr="00343BCE">
              <w:rPr>
                <w:color w:val="000000"/>
                <w:sz w:val="22"/>
                <w:szCs w:val="22"/>
                <w:lang w:val="sr-Latn-CS"/>
              </w:rPr>
              <w:t>ML</w:t>
            </w:r>
            <w:r>
              <w:rPr>
                <w:color w:val="000000"/>
                <w:sz w:val="22"/>
                <w:szCs w:val="22"/>
                <w:lang w:val="sr-Latn-CS"/>
              </w:rPr>
              <w:t>-om</w:t>
            </w:r>
            <w:r w:rsidRPr="00343BCE">
              <w:rPr>
                <w:color w:val="000000"/>
                <w:sz w:val="22"/>
                <w:szCs w:val="22"/>
                <w:lang w:val="sr-Latn-CS"/>
              </w:rPr>
              <w:t xml:space="preserve"> i </w:t>
            </w:r>
            <w:r>
              <w:rPr>
                <w:color w:val="000000"/>
                <w:sz w:val="22"/>
                <w:szCs w:val="22"/>
                <w:lang w:val="sr-Latn-CS"/>
              </w:rPr>
              <w:t>pacijenata</w:t>
            </w:r>
            <w:r w:rsidRPr="00343BCE">
              <w:rPr>
                <w:color w:val="000000"/>
                <w:sz w:val="22"/>
                <w:szCs w:val="22"/>
                <w:lang w:val="sr-Latn-CS"/>
              </w:rPr>
              <w:t xml:space="preserve"> sa GIST</w:t>
            </w:r>
            <w:r>
              <w:rPr>
                <w:color w:val="000000"/>
                <w:sz w:val="22"/>
                <w:szCs w:val="22"/>
                <w:lang w:val="sr-Latn-CS"/>
              </w:rPr>
              <w:t>-om</w:t>
            </w:r>
            <w:r w:rsidRPr="00343BCE">
              <w:rPr>
                <w:color w:val="000000"/>
                <w:sz w:val="22"/>
                <w:szCs w:val="22"/>
                <w:lang w:val="sr-Latn-CS"/>
              </w:rPr>
              <w:t>.</w:t>
            </w:r>
          </w:p>
          <w:p w:rsidR="000A2337" w:rsidRPr="00343BCE" w:rsidRDefault="000A2337" w:rsidP="00161AB3">
            <w:pPr>
              <w:shd w:val="clear" w:color="auto" w:fill="FFFFFF"/>
              <w:ind w:left="284" w:hanging="295"/>
              <w:jc w:val="both"/>
              <w:rPr>
                <w:color w:val="000000"/>
                <w:sz w:val="22"/>
                <w:szCs w:val="22"/>
                <w:lang w:val="sr-Latn-CS"/>
              </w:rPr>
            </w:pPr>
            <w:r w:rsidRPr="00343BCE">
              <w:rPr>
                <w:color w:val="000000"/>
                <w:sz w:val="22"/>
                <w:szCs w:val="22"/>
                <w:vertAlign w:val="superscript"/>
                <w:lang w:val="sr-Latn-CS"/>
              </w:rPr>
              <w:t>2</w:t>
            </w:r>
            <w:r w:rsidRPr="00343BCE">
              <w:rPr>
                <w:color w:val="000000"/>
                <w:sz w:val="22"/>
                <w:szCs w:val="22"/>
                <w:lang w:val="sr-Latn-CS"/>
              </w:rPr>
              <w:tab/>
              <w:t xml:space="preserve">Glavobolja je bila najčešća kod </w:t>
            </w:r>
            <w:r>
              <w:rPr>
                <w:color w:val="000000"/>
                <w:sz w:val="22"/>
                <w:szCs w:val="22"/>
                <w:lang w:val="sr-Latn-CS"/>
              </w:rPr>
              <w:t>pacijenata</w:t>
            </w:r>
            <w:r w:rsidRPr="00343BCE">
              <w:rPr>
                <w:color w:val="000000"/>
                <w:sz w:val="22"/>
                <w:szCs w:val="22"/>
                <w:lang w:val="sr-Latn-CS"/>
              </w:rPr>
              <w:t xml:space="preserve"> sa GIST</w:t>
            </w:r>
            <w:r>
              <w:rPr>
                <w:color w:val="000000"/>
                <w:sz w:val="22"/>
                <w:szCs w:val="22"/>
                <w:lang w:val="sr-Latn-CS"/>
              </w:rPr>
              <w:t>-om</w:t>
            </w:r>
            <w:r w:rsidRPr="00343BCE">
              <w:rPr>
                <w:color w:val="000000"/>
                <w:sz w:val="22"/>
                <w:szCs w:val="22"/>
                <w:lang w:val="sr-Latn-CS"/>
              </w:rPr>
              <w:t>.</w:t>
            </w:r>
          </w:p>
          <w:p w:rsidR="000A2337" w:rsidRDefault="000A2337" w:rsidP="00161AB3">
            <w:pPr>
              <w:shd w:val="clear" w:color="auto" w:fill="FFFFFF"/>
              <w:jc w:val="both"/>
              <w:rPr>
                <w:color w:val="000000"/>
                <w:sz w:val="22"/>
                <w:szCs w:val="22"/>
                <w:lang w:val="sr-Latn-CS"/>
              </w:rPr>
            </w:pPr>
            <w:r>
              <w:rPr>
                <w:color w:val="000000"/>
                <w:vertAlign w:val="superscript"/>
                <w:lang w:val="sr-Latn-CS"/>
              </w:rPr>
              <w:t>3</w:t>
            </w:r>
            <w:r>
              <w:rPr>
                <w:color w:val="000000"/>
                <w:sz w:val="22"/>
                <w:szCs w:val="22"/>
                <w:lang w:val="sr-Latn-CS"/>
              </w:rPr>
              <w:t xml:space="preserve">    Po principu</w:t>
            </w:r>
            <w:r w:rsidRPr="00343BCE">
              <w:rPr>
                <w:color w:val="000000"/>
                <w:sz w:val="22"/>
                <w:szCs w:val="22"/>
                <w:lang w:val="sr-Latn-CS"/>
              </w:rPr>
              <w:t xml:space="preserve"> </w:t>
            </w:r>
            <w:r>
              <w:rPr>
                <w:color w:val="000000"/>
                <w:sz w:val="22"/>
                <w:szCs w:val="22"/>
                <w:lang w:val="sr-Latn-CS"/>
              </w:rPr>
              <w:t>pacijent</w:t>
            </w:r>
            <w:r w:rsidRPr="00343BCE">
              <w:rPr>
                <w:color w:val="000000"/>
                <w:sz w:val="22"/>
                <w:szCs w:val="22"/>
                <w:lang w:val="sr-Latn-CS"/>
              </w:rPr>
              <w:t xml:space="preserve">-godina, srčani događaji, uključujući kongestivnu srčanu insuficijenciju </w:t>
            </w:r>
            <w:r>
              <w:rPr>
                <w:color w:val="000000"/>
                <w:sz w:val="22"/>
                <w:szCs w:val="22"/>
                <w:lang w:val="sr-Latn-CS"/>
              </w:rPr>
              <w:t xml:space="preserve">su </w:t>
            </w:r>
            <w:r w:rsidRPr="00343BCE">
              <w:rPr>
                <w:color w:val="000000"/>
                <w:sz w:val="22"/>
                <w:szCs w:val="22"/>
                <w:lang w:val="sr-Latn-CS"/>
              </w:rPr>
              <w:t xml:space="preserve">bili </w:t>
            </w:r>
            <w:r>
              <w:rPr>
                <w:color w:val="000000"/>
                <w:sz w:val="22"/>
                <w:szCs w:val="22"/>
                <w:lang w:val="sr-Latn-CS"/>
              </w:rPr>
              <w:t>č</w:t>
            </w:r>
            <w:r w:rsidRPr="00343BCE">
              <w:rPr>
                <w:color w:val="000000"/>
                <w:sz w:val="22"/>
                <w:szCs w:val="22"/>
                <w:lang w:val="sr-Latn-CS"/>
              </w:rPr>
              <w:t>ešć</w:t>
            </w:r>
            <w:r>
              <w:rPr>
                <w:color w:val="000000"/>
                <w:sz w:val="22"/>
                <w:szCs w:val="22"/>
                <w:lang w:val="sr-Latn-CS"/>
              </w:rPr>
              <w:t>i</w:t>
            </w:r>
            <w:r w:rsidRPr="00343BCE">
              <w:rPr>
                <w:color w:val="000000"/>
                <w:sz w:val="22"/>
                <w:szCs w:val="22"/>
                <w:lang w:val="sr-Latn-CS"/>
              </w:rPr>
              <w:t xml:space="preserve"> </w:t>
            </w:r>
            <w:r>
              <w:rPr>
                <w:color w:val="000000"/>
                <w:sz w:val="22"/>
                <w:szCs w:val="22"/>
                <w:lang w:val="sr-Latn-CS"/>
              </w:rPr>
              <w:t xml:space="preserve">   </w:t>
            </w:r>
          </w:p>
          <w:p w:rsidR="000A2337" w:rsidRDefault="000A2337" w:rsidP="00161AB3">
            <w:pPr>
              <w:shd w:val="clear" w:color="auto" w:fill="FFFFFF"/>
              <w:jc w:val="both"/>
              <w:rPr>
                <w:color w:val="000000"/>
                <w:sz w:val="22"/>
                <w:szCs w:val="22"/>
                <w:lang w:val="sr-Latn-CS"/>
              </w:rPr>
            </w:pPr>
            <w:r>
              <w:rPr>
                <w:color w:val="000000"/>
                <w:sz w:val="22"/>
                <w:szCs w:val="22"/>
                <w:lang w:val="sr-Latn-CS"/>
              </w:rPr>
              <w:t xml:space="preserve">     </w:t>
            </w:r>
            <w:r w:rsidRPr="00343BCE">
              <w:rPr>
                <w:color w:val="000000"/>
                <w:sz w:val="22"/>
                <w:szCs w:val="22"/>
                <w:lang w:val="sr-Latn-CS"/>
              </w:rPr>
              <w:t xml:space="preserve">kod </w:t>
            </w:r>
            <w:r>
              <w:rPr>
                <w:color w:val="000000"/>
                <w:sz w:val="22"/>
                <w:szCs w:val="22"/>
                <w:lang w:val="sr-Latn-CS"/>
              </w:rPr>
              <w:t>pacijenata</w:t>
            </w:r>
            <w:r w:rsidRPr="00343BCE">
              <w:rPr>
                <w:color w:val="000000"/>
                <w:sz w:val="22"/>
                <w:szCs w:val="22"/>
                <w:lang w:val="sr-Latn-CS"/>
              </w:rPr>
              <w:t xml:space="preserve"> sa transformisanom </w:t>
            </w:r>
            <w:r>
              <w:rPr>
                <w:color w:val="000000"/>
                <w:sz w:val="22"/>
                <w:szCs w:val="22"/>
                <w:lang w:val="sr-Latn-CS"/>
              </w:rPr>
              <w:t>C</w:t>
            </w:r>
            <w:r w:rsidRPr="00343BCE">
              <w:rPr>
                <w:color w:val="000000"/>
                <w:sz w:val="22"/>
                <w:szCs w:val="22"/>
                <w:lang w:val="sr-Latn-CS"/>
              </w:rPr>
              <w:t>ML</w:t>
            </w:r>
            <w:r>
              <w:rPr>
                <w:color w:val="000000"/>
                <w:sz w:val="22"/>
                <w:szCs w:val="22"/>
                <w:lang w:val="sr-Latn-CS"/>
              </w:rPr>
              <w:t>-om</w:t>
            </w:r>
            <w:r w:rsidRPr="00343BCE">
              <w:rPr>
                <w:color w:val="000000"/>
                <w:sz w:val="22"/>
                <w:szCs w:val="22"/>
                <w:lang w:val="sr-Latn-CS"/>
              </w:rPr>
              <w:t xml:space="preserve"> nego kod onih sa hroničnom </w:t>
            </w:r>
            <w:r>
              <w:rPr>
                <w:color w:val="000000"/>
                <w:sz w:val="22"/>
                <w:szCs w:val="22"/>
                <w:lang w:val="sr-Latn-CS"/>
              </w:rPr>
              <w:t>C</w:t>
            </w:r>
            <w:r w:rsidRPr="00343BCE">
              <w:rPr>
                <w:color w:val="000000"/>
                <w:sz w:val="22"/>
                <w:szCs w:val="22"/>
                <w:lang w:val="sr-Latn-CS"/>
              </w:rPr>
              <w:t>ML</w:t>
            </w:r>
            <w:r>
              <w:rPr>
                <w:color w:val="000000"/>
                <w:sz w:val="22"/>
                <w:szCs w:val="22"/>
                <w:lang w:val="sr-Latn-CS"/>
              </w:rPr>
              <w:t>-om</w:t>
            </w:r>
            <w:r w:rsidRPr="00343BCE">
              <w:rPr>
                <w:color w:val="000000"/>
                <w:sz w:val="22"/>
                <w:szCs w:val="22"/>
                <w:lang w:val="sr-Latn-CS"/>
              </w:rPr>
              <w:t>.</w:t>
            </w:r>
          </w:p>
          <w:p w:rsidR="000A2337" w:rsidRPr="00343BCE" w:rsidRDefault="000A2337" w:rsidP="00161AB3">
            <w:pPr>
              <w:shd w:val="clear" w:color="auto" w:fill="FFFFFF"/>
              <w:ind w:left="284" w:hanging="295"/>
              <w:jc w:val="both"/>
              <w:rPr>
                <w:color w:val="000000"/>
                <w:sz w:val="22"/>
                <w:szCs w:val="22"/>
                <w:lang w:val="sr-Latn-CS"/>
              </w:rPr>
            </w:pPr>
            <w:r>
              <w:rPr>
                <w:color w:val="000000"/>
                <w:sz w:val="22"/>
                <w:szCs w:val="22"/>
                <w:vertAlign w:val="superscript"/>
                <w:lang w:val="sr-Latn-CS"/>
              </w:rPr>
              <w:t>4</w:t>
            </w:r>
            <w:r w:rsidRPr="00343BCE">
              <w:rPr>
                <w:color w:val="000000"/>
                <w:sz w:val="22"/>
                <w:szCs w:val="22"/>
                <w:vertAlign w:val="superscript"/>
                <w:lang w:val="sr-Latn-CS"/>
              </w:rPr>
              <w:tab/>
            </w:r>
            <w:r>
              <w:rPr>
                <w:color w:val="000000"/>
                <w:sz w:val="22"/>
                <w:szCs w:val="22"/>
                <w:lang w:val="sr-Latn-CS"/>
              </w:rPr>
              <w:t>Crvenilo se najčešće javljalo kod pacijenata</w:t>
            </w:r>
            <w:r w:rsidRPr="00343BCE">
              <w:rPr>
                <w:color w:val="000000"/>
                <w:sz w:val="22"/>
                <w:szCs w:val="22"/>
                <w:lang w:val="sr-Latn-CS"/>
              </w:rPr>
              <w:t xml:space="preserve"> sa GIST</w:t>
            </w:r>
            <w:r>
              <w:rPr>
                <w:color w:val="000000"/>
                <w:sz w:val="22"/>
                <w:szCs w:val="22"/>
                <w:lang w:val="sr-Latn-CS"/>
              </w:rPr>
              <w:t>-om,</w:t>
            </w:r>
            <w:r w:rsidRPr="00343BCE">
              <w:rPr>
                <w:color w:val="000000"/>
                <w:sz w:val="22"/>
                <w:szCs w:val="22"/>
                <w:lang w:val="sr-Latn-CS"/>
              </w:rPr>
              <w:t xml:space="preserve"> a krvavljenje (hematom, hemoragija) najčešće kod </w:t>
            </w:r>
            <w:r>
              <w:rPr>
                <w:color w:val="000000"/>
                <w:sz w:val="22"/>
                <w:szCs w:val="22"/>
                <w:lang w:val="sr-Latn-CS"/>
              </w:rPr>
              <w:t>pacijenata</w:t>
            </w:r>
            <w:r w:rsidRPr="00343BCE">
              <w:rPr>
                <w:color w:val="000000"/>
                <w:sz w:val="22"/>
                <w:szCs w:val="22"/>
                <w:lang w:val="sr-Latn-CS"/>
              </w:rPr>
              <w:t xml:space="preserve"> sa GIST</w:t>
            </w:r>
            <w:r>
              <w:rPr>
                <w:color w:val="000000"/>
                <w:sz w:val="22"/>
                <w:szCs w:val="22"/>
                <w:lang w:val="sr-Latn-CS"/>
              </w:rPr>
              <w:t>-om</w:t>
            </w:r>
            <w:r w:rsidRPr="00343BCE">
              <w:rPr>
                <w:color w:val="000000"/>
                <w:sz w:val="22"/>
                <w:szCs w:val="22"/>
                <w:lang w:val="sr-Latn-CS"/>
              </w:rPr>
              <w:t xml:space="preserve"> i transformisanom </w:t>
            </w:r>
            <w:r>
              <w:rPr>
                <w:color w:val="000000"/>
                <w:sz w:val="22"/>
                <w:szCs w:val="22"/>
                <w:lang w:val="sr-Latn-CS"/>
              </w:rPr>
              <w:t>C</w:t>
            </w:r>
            <w:r w:rsidRPr="00343BCE">
              <w:rPr>
                <w:color w:val="000000"/>
                <w:sz w:val="22"/>
                <w:szCs w:val="22"/>
                <w:lang w:val="sr-Latn-CS"/>
              </w:rPr>
              <w:t>ML</w:t>
            </w:r>
            <w:r>
              <w:rPr>
                <w:color w:val="000000"/>
                <w:sz w:val="22"/>
                <w:szCs w:val="22"/>
                <w:lang w:val="sr-Latn-CS"/>
              </w:rPr>
              <w:t>-om</w:t>
            </w:r>
            <w:r w:rsidRPr="00343BCE">
              <w:rPr>
                <w:color w:val="000000"/>
                <w:sz w:val="22"/>
                <w:szCs w:val="22"/>
                <w:lang w:val="sr-Latn-CS"/>
              </w:rPr>
              <w:t xml:space="preserve"> (</w:t>
            </w:r>
            <w:r>
              <w:rPr>
                <w:color w:val="000000"/>
                <w:sz w:val="22"/>
                <w:szCs w:val="22"/>
                <w:lang w:val="sr-Latn-CS"/>
              </w:rPr>
              <w:t>ubrzana faza</w:t>
            </w:r>
            <w:r w:rsidRPr="00343BCE">
              <w:rPr>
                <w:color w:val="000000"/>
                <w:sz w:val="22"/>
                <w:szCs w:val="22"/>
                <w:lang w:val="sr-Latn-CS"/>
              </w:rPr>
              <w:t xml:space="preserve"> i </w:t>
            </w:r>
            <w:r>
              <w:rPr>
                <w:color w:val="000000"/>
                <w:sz w:val="22"/>
                <w:szCs w:val="22"/>
                <w:lang w:val="sr-Latn-CS"/>
              </w:rPr>
              <w:t>blastna kriza</w:t>
            </w:r>
            <w:r w:rsidRPr="00343BCE">
              <w:rPr>
                <w:color w:val="000000"/>
                <w:sz w:val="22"/>
                <w:szCs w:val="22"/>
                <w:lang w:val="sr-Latn-CS"/>
              </w:rPr>
              <w:t>).</w:t>
            </w:r>
          </w:p>
          <w:p w:rsidR="000A2337" w:rsidRPr="00343BCE" w:rsidRDefault="000A2337" w:rsidP="00161AB3">
            <w:pPr>
              <w:shd w:val="clear" w:color="auto" w:fill="FFFFFF"/>
              <w:ind w:left="284" w:hanging="295"/>
              <w:jc w:val="both"/>
              <w:rPr>
                <w:color w:val="000000"/>
                <w:sz w:val="22"/>
                <w:szCs w:val="22"/>
                <w:lang w:val="sr-Latn-CS"/>
              </w:rPr>
            </w:pPr>
            <w:r>
              <w:rPr>
                <w:color w:val="000000"/>
                <w:sz w:val="22"/>
                <w:szCs w:val="22"/>
                <w:vertAlign w:val="superscript"/>
                <w:lang w:val="sr-Latn-CS"/>
              </w:rPr>
              <w:t>5</w:t>
            </w:r>
            <w:r w:rsidRPr="00343BCE">
              <w:rPr>
                <w:color w:val="000000"/>
                <w:sz w:val="22"/>
                <w:szCs w:val="22"/>
                <w:vertAlign w:val="superscript"/>
                <w:lang w:val="sr-Latn-CS"/>
              </w:rPr>
              <w:t xml:space="preserve"> </w:t>
            </w:r>
            <w:r w:rsidRPr="00343BCE">
              <w:rPr>
                <w:color w:val="000000"/>
                <w:sz w:val="22"/>
                <w:szCs w:val="22"/>
                <w:vertAlign w:val="superscript"/>
                <w:lang w:val="sr-Latn-CS"/>
              </w:rPr>
              <w:tab/>
            </w:r>
            <w:r w:rsidRPr="00343BCE">
              <w:rPr>
                <w:color w:val="000000"/>
                <w:sz w:val="22"/>
                <w:szCs w:val="22"/>
                <w:lang w:val="sr-Latn-CS"/>
              </w:rPr>
              <w:t>Pleur</w:t>
            </w:r>
            <w:r>
              <w:rPr>
                <w:color w:val="000000"/>
                <w:sz w:val="22"/>
                <w:szCs w:val="22"/>
                <w:lang w:val="sr-Latn-CS"/>
              </w:rPr>
              <w:t>alna efuzija</w:t>
            </w:r>
            <w:r w:rsidRPr="00343BCE">
              <w:rPr>
                <w:color w:val="000000"/>
                <w:sz w:val="22"/>
                <w:szCs w:val="22"/>
                <w:lang w:val="sr-Latn-CS"/>
              </w:rPr>
              <w:t xml:space="preserve"> je </w:t>
            </w:r>
            <w:r>
              <w:rPr>
                <w:color w:val="000000"/>
                <w:sz w:val="22"/>
                <w:szCs w:val="22"/>
                <w:lang w:val="sr-Latn-CS"/>
              </w:rPr>
              <w:t xml:space="preserve">bila </w:t>
            </w:r>
            <w:r w:rsidRPr="00343BCE">
              <w:rPr>
                <w:color w:val="000000"/>
                <w:sz w:val="22"/>
                <w:szCs w:val="22"/>
                <w:lang w:val="sr-Latn-CS"/>
              </w:rPr>
              <w:t>češć</w:t>
            </w:r>
            <w:r>
              <w:rPr>
                <w:color w:val="000000"/>
                <w:sz w:val="22"/>
                <w:szCs w:val="22"/>
                <w:lang w:val="sr-Latn-CS"/>
              </w:rPr>
              <w:t>a</w:t>
            </w:r>
            <w:r w:rsidRPr="00343BCE">
              <w:rPr>
                <w:color w:val="000000"/>
                <w:sz w:val="22"/>
                <w:szCs w:val="22"/>
                <w:lang w:val="sr-Latn-CS"/>
              </w:rPr>
              <w:t xml:space="preserve"> kod </w:t>
            </w:r>
            <w:r>
              <w:rPr>
                <w:color w:val="000000"/>
                <w:sz w:val="22"/>
                <w:szCs w:val="22"/>
                <w:lang w:val="sr-Latn-CS"/>
              </w:rPr>
              <w:t>pacijenata</w:t>
            </w:r>
            <w:r w:rsidRPr="00343BCE">
              <w:rPr>
                <w:color w:val="000000"/>
                <w:sz w:val="22"/>
                <w:szCs w:val="22"/>
                <w:lang w:val="sr-Latn-CS"/>
              </w:rPr>
              <w:t xml:space="preserve"> sa GIST</w:t>
            </w:r>
            <w:r>
              <w:rPr>
                <w:color w:val="000000"/>
                <w:sz w:val="22"/>
                <w:szCs w:val="22"/>
                <w:lang w:val="sr-Latn-CS"/>
              </w:rPr>
              <w:t>-om i pacijenata</w:t>
            </w:r>
            <w:r w:rsidRPr="00343BCE">
              <w:rPr>
                <w:color w:val="000000"/>
                <w:sz w:val="22"/>
                <w:szCs w:val="22"/>
                <w:lang w:val="sr-Latn-CS"/>
              </w:rPr>
              <w:t xml:space="preserve"> sa transformisanom </w:t>
            </w:r>
            <w:r>
              <w:rPr>
                <w:color w:val="000000"/>
                <w:sz w:val="22"/>
                <w:szCs w:val="22"/>
                <w:lang w:val="sr-Latn-CS"/>
              </w:rPr>
              <w:t>C</w:t>
            </w:r>
            <w:r w:rsidRPr="00343BCE">
              <w:rPr>
                <w:color w:val="000000"/>
                <w:sz w:val="22"/>
                <w:szCs w:val="22"/>
                <w:lang w:val="sr-Latn-CS"/>
              </w:rPr>
              <w:t>ML</w:t>
            </w:r>
            <w:r>
              <w:rPr>
                <w:color w:val="000000"/>
                <w:sz w:val="22"/>
                <w:szCs w:val="22"/>
                <w:lang w:val="sr-Latn-CS"/>
              </w:rPr>
              <w:t>-om</w:t>
            </w:r>
            <w:r w:rsidRPr="00343BCE">
              <w:rPr>
                <w:color w:val="000000"/>
                <w:sz w:val="22"/>
                <w:szCs w:val="22"/>
                <w:lang w:val="sr-Latn-CS"/>
              </w:rPr>
              <w:t xml:space="preserve"> (</w:t>
            </w:r>
            <w:r>
              <w:rPr>
                <w:color w:val="000000"/>
                <w:sz w:val="22"/>
                <w:szCs w:val="22"/>
                <w:lang w:val="sr-Latn-CS"/>
              </w:rPr>
              <w:t>CML-ubrzana faza</w:t>
            </w:r>
            <w:r w:rsidRPr="00343BCE">
              <w:rPr>
                <w:color w:val="000000"/>
                <w:sz w:val="22"/>
                <w:szCs w:val="22"/>
                <w:lang w:val="sr-Latn-CS"/>
              </w:rPr>
              <w:t xml:space="preserve"> i </w:t>
            </w:r>
            <w:r>
              <w:rPr>
                <w:color w:val="000000"/>
                <w:sz w:val="22"/>
                <w:szCs w:val="22"/>
                <w:lang w:val="sr-Latn-CS"/>
              </w:rPr>
              <w:t>CML-blastna kriza</w:t>
            </w:r>
            <w:r w:rsidRPr="00343BCE">
              <w:rPr>
                <w:color w:val="000000"/>
                <w:sz w:val="22"/>
                <w:szCs w:val="22"/>
                <w:lang w:val="sr-Latn-CS"/>
              </w:rPr>
              <w:t>) nego kod</w:t>
            </w:r>
            <w:r>
              <w:rPr>
                <w:color w:val="000000"/>
                <w:sz w:val="22"/>
                <w:szCs w:val="22"/>
                <w:lang w:val="sr-Latn-CS"/>
              </w:rPr>
              <w:t xml:space="preserve"> pacijenata</w:t>
            </w:r>
            <w:r w:rsidRPr="00343BCE">
              <w:rPr>
                <w:color w:val="000000"/>
                <w:sz w:val="22"/>
                <w:szCs w:val="22"/>
                <w:lang w:val="sr-Latn-CS"/>
              </w:rPr>
              <w:t xml:space="preserve"> sa hroničnom </w:t>
            </w:r>
            <w:r>
              <w:rPr>
                <w:color w:val="000000"/>
                <w:sz w:val="22"/>
                <w:szCs w:val="22"/>
                <w:lang w:val="sr-Latn-CS"/>
              </w:rPr>
              <w:t>C</w:t>
            </w:r>
            <w:r w:rsidRPr="00343BCE">
              <w:rPr>
                <w:color w:val="000000"/>
                <w:sz w:val="22"/>
                <w:szCs w:val="22"/>
                <w:lang w:val="sr-Latn-CS"/>
              </w:rPr>
              <w:t>ML</w:t>
            </w:r>
            <w:r>
              <w:rPr>
                <w:color w:val="000000"/>
                <w:sz w:val="22"/>
                <w:szCs w:val="22"/>
                <w:lang w:val="sr-Latn-CS"/>
              </w:rPr>
              <w:t>-om</w:t>
            </w:r>
            <w:r w:rsidRPr="00343BCE">
              <w:rPr>
                <w:color w:val="000000"/>
                <w:sz w:val="22"/>
                <w:szCs w:val="22"/>
                <w:lang w:val="sr-Latn-CS"/>
              </w:rPr>
              <w:t>.</w:t>
            </w:r>
          </w:p>
          <w:p w:rsidR="000A2337" w:rsidRDefault="000A2337" w:rsidP="00161AB3">
            <w:pPr>
              <w:shd w:val="clear" w:color="auto" w:fill="FFFFFF"/>
              <w:ind w:left="284" w:hanging="295"/>
              <w:jc w:val="both"/>
              <w:rPr>
                <w:color w:val="000000"/>
                <w:sz w:val="22"/>
                <w:szCs w:val="22"/>
                <w:lang w:val="sr-Latn-CS"/>
              </w:rPr>
            </w:pPr>
            <w:r>
              <w:rPr>
                <w:color w:val="000000"/>
                <w:sz w:val="22"/>
                <w:szCs w:val="22"/>
                <w:vertAlign w:val="superscript"/>
                <w:lang w:val="sr-Latn-CS"/>
              </w:rPr>
              <w:t xml:space="preserve">6+7 </w:t>
            </w:r>
            <w:r>
              <w:rPr>
                <w:color w:val="000000"/>
                <w:sz w:val="22"/>
                <w:szCs w:val="22"/>
                <w:lang w:val="sr-Latn-CS"/>
              </w:rPr>
              <w:t>Bol u abdomenu</w:t>
            </w:r>
            <w:r w:rsidRPr="00343BCE">
              <w:rPr>
                <w:color w:val="000000"/>
                <w:sz w:val="22"/>
                <w:szCs w:val="22"/>
                <w:lang w:val="sr-Latn-CS"/>
              </w:rPr>
              <w:t xml:space="preserve"> i gastrointestin</w:t>
            </w:r>
            <w:r>
              <w:rPr>
                <w:color w:val="000000"/>
                <w:sz w:val="22"/>
                <w:szCs w:val="22"/>
                <w:lang w:val="sr-Latn-CS"/>
              </w:rPr>
              <w:t>alna</w:t>
            </w:r>
            <w:r w:rsidRPr="00343BCE">
              <w:rPr>
                <w:color w:val="000000"/>
                <w:sz w:val="22"/>
                <w:szCs w:val="22"/>
                <w:lang w:val="sr-Latn-CS"/>
              </w:rPr>
              <w:t xml:space="preserve"> hemoragija bili </w:t>
            </w:r>
            <w:r>
              <w:rPr>
                <w:color w:val="000000"/>
                <w:sz w:val="22"/>
                <w:szCs w:val="22"/>
                <w:lang w:val="sr-Latn-CS"/>
              </w:rPr>
              <w:t>su najčešći kod pacijenata</w:t>
            </w:r>
            <w:r w:rsidRPr="00343BCE">
              <w:rPr>
                <w:color w:val="000000"/>
                <w:sz w:val="22"/>
                <w:szCs w:val="22"/>
                <w:lang w:val="sr-Latn-CS"/>
              </w:rPr>
              <w:t xml:space="preserve"> sa GIST</w:t>
            </w:r>
            <w:r>
              <w:rPr>
                <w:color w:val="000000"/>
                <w:sz w:val="22"/>
                <w:szCs w:val="22"/>
                <w:lang w:val="sr-Latn-CS"/>
              </w:rPr>
              <w:t>-om</w:t>
            </w:r>
            <w:r w:rsidRPr="00343BCE">
              <w:rPr>
                <w:color w:val="000000"/>
                <w:sz w:val="22"/>
                <w:szCs w:val="22"/>
                <w:lang w:val="sr-Latn-CS"/>
              </w:rPr>
              <w:t>.</w:t>
            </w:r>
          </w:p>
          <w:p w:rsidR="000A2337" w:rsidRPr="00343BCE" w:rsidRDefault="000A2337" w:rsidP="00161AB3">
            <w:pPr>
              <w:shd w:val="clear" w:color="auto" w:fill="FFFFFF"/>
              <w:ind w:left="284" w:hanging="295"/>
              <w:jc w:val="both"/>
              <w:rPr>
                <w:color w:val="000000"/>
                <w:sz w:val="22"/>
                <w:szCs w:val="22"/>
                <w:lang w:val="sr-Latn-CS"/>
              </w:rPr>
            </w:pPr>
            <w:r>
              <w:rPr>
                <w:color w:val="000000"/>
                <w:sz w:val="22"/>
                <w:szCs w:val="22"/>
                <w:vertAlign w:val="superscript"/>
                <w:lang w:val="sr-Latn-CS"/>
              </w:rPr>
              <w:t>8</w:t>
            </w:r>
            <w:r w:rsidRPr="00343BCE">
              <w:rPr>
                <w:color w:val="000000"/>
                <w:sz w:val="22"/>
                <w:szCs w:val="22"/>
                <w:vertAlign w:val="superscript"/>
                <w:lang w:val="sr-Latn-CS"/>
              </w:rPr>
              <w:tab/>
            </w:r>
            <w:r>
              <w:rPr>
                <w:color w:val="000000"/>
                <w:sz w:val="22"/>
                <w:szCs w:val="22"/>
                <w:lang w:val="sr-Latn-CS"/>
              </w:rPr>
              <w:t>Prijavljeni</w:t>
            </w:r>
            <w:r w:rsidRPr="00343BCE">
              <w:rPr>
                <w:color w:val="000000"/>
                <w:sz w:val="22"/>
                <w:szCs w:val="22"/>
                <w:lang w:val="sr-Latn-CS"/>
              </w:rPr>
              <w:t xml:space="preserve"> su i neki fatalni slučajevi insuficijencije</w:t>
            </w:r>
            <w:r>
              <w:rPr>
                <w:color w:val="000000"/>
                <w:sz w:val="22"/>
                <w:szCs w:val="22"/>
                <w:lang w:val="sr-Latn-CS"/>
              </w:rPr>
              <w:t xml:space="preserve"> jetre</w:t>
            </w:r>
            <w:r w:rsidRPr="00343BCE">
              <w:rPr>
                <w:color w:val="000000"/>
                <w:sz w:val="22"/>
                <w:szCs w:val="22"/>
                <w:lang w:val="sr-Latn-CS"/>
              </w:rPr>
              <w:t xml:space="preserve"> </w:t>
            </w:r>
            <w:r>
              <w:rPr>
                <w:color w:val="000000"/>
                <w:sz w:val="22"/>
                <w:szCs w:val="22"/>
                <w:lang w:val="sr-Latn-CS"/>
              </w:rPr>
              <w:t xml:space="preserve">i </w:t>
            </w:r>
            <w:r w:rsidRPr="00343BCE">
              <w:rPr>
                <w:color w:val="000000"/>
                <w:sz w:val="22"/>
                <w:szCs w:val="22"/>
                <w:lang w:val="sr-Latn-CS"/>
              </w:rPr>
              <w:t>nekroze</w:t>
            </w:r>
            <w:r>
              <w:rPr>
                <w:color w:val="000000"/>
                <w:sz w:val="22"/>
                <w:szCs w:val="22"/>
                <w:lang w:val="sr-Latn-CS"/>
              </w:rPr>
              <w:t xml:space="preserve"> jetre</w:t>
            </w:r>
            <w:r w:rsidRPr="00343BCE">
              <w:rPr>
                <w:color w:val="000000"/>
                <w:sz w:val="22"/>
                <w:szCs w:val="22"/>
                <w:lang w:val="sr-Latn-CS"/>
              </w:rPr>
              <w:t>.</w:t>
            </w:r>
          </w:p>
          <w:p w:rsidR="000A2337" w:rsidRDefault="000A2337" w:rsidP="00161AB3">
            <w:pPr>
              <w:shd w:val="clear" w:color="auto" w:fill="FFFFFF"/>
              <w:ind w:left="284" w:hanging="295"/>
              <w:jc w:val="both"/>
              <w:rPr>
                <w:color w:val="000000"/>
                <w:sz w:val="22"/>
                <w:szCs w:val="22"/>
                <w:lang w:val="sr-Latn-CS"/>
              </w:rPr>
            </w:pPr>
            <w:r>
              <w:rPr>
                <w:color w:val="000000"/>
                <w:sz w:val="22"/>
                <w:szCs w:val="22"/>
                <w:vertAlign w:val="superscript"/>
                <w:lang w:val="sr-Latn-CS"/>
              </w:rPr>
              <w:t>9</w:t>
            </w:r>
            <w:r w:rsidRPr="00343BCE">
              <w:rPr>
                <w:color w:val="000000"/>
                <w:sz w:val="22"/>
                <w:szCs w:val="22"/>
                <w:vertAlign w:val="superscript"/>
                <w:lang w:val="sr-Latn-CS"/>
              </w:rPr>
              <w:tab/>
            </w:r>
            <w:r>
              <w:rPr>
                <w:color w:val="000000"/>
                <w:sz w:val="22"/>
                <w:szCs w:val="22"/>
                <w:lang w:val="sr-Latn-CS"/>
              </w:rPr>
              <w:t>Mišićno</w:t>
            </w:r>
            <w:r w:rsidRPr="00343BCE">
              <w:rPr>
                <w:color w:val="000000"/>
                <w:sz w:val="22"/>
                <w:szCs w:val="22"/>
                <w:lang w:val="sr-Latn-CS"/>
              </w:rPr>
              <w:t xml:space="preserve">skeletni bol i </w:t>
            </w:r>
            <w:r>
              <w:rPr>
                <w:color w:val="000000"/>
                <w:sz w:val="22"/>
                <w:szCs w:val="22"/>
                <w:lang w:val="sr-Latn-CS"/>
              </w:rPr>
              <w:t>vezana neželjena dejstva</w:t>
            </w:r>
            <w:r w:rsidRPr="00343BCE">
              <w:rPr>
                <w:color w:val="000000"/>
                <w:sz w:val="22"/>
                <w:szCs w:val="22"/>
                <w:lang w:val="sr-Latn-CS"/>
              </w:rPr>
              <w:t xml:space="preserve"> bili su češće </w:t>
            </w:r>
            <w:r>
              <w:rPr>
                <w:color w:val="000000"/>
                <w:sz w:val="22"/>
                <w:szCs w:val="22"/>
                <w:lang w:val="sr-Latn-CS"/>
              </w:rPr>
              <w:t>zapaženi</w:t>
            </w:r>
            <w:r w:rsidRPr="00343BCE">
              <w:rPr>
                <w:color w:val="000000"/>
                <w:sz w:val="22"/>
                <w:szCs w:val="22"/>
                <w:lang w:val="sr-Latn-CS"/>
              </w:rPr>
              <w:t xml:space="preserve"> kod </w:t>
            </w:r>
            <w:r>
              <w:rPr>
                <w:color w:val="000000"/>
                <w:sz w:val="22"/>
                <w:szCs w:val="22"/>
                <w:lang w:val="sr-Latn-CS"/>
              </w:rPr>
              <w:t>pacijenata</w:t>
            </w:r>
            <w:r w:rsidRPr="00343BCE">
              <w:rPr>
                <w:color w:val="000000"/>
                <w:sz w:val="22"/>
                <w:szCs w:val="22"/>
                <w:lang w:val="sr-Latn-CS"/>
              </w:rPr>
              <w:t xml:space="preserve"> sa </w:t>
            </w:r>
            <w:r>
              <w:rPr>
                <w:color w:val="000000"/>
                <w:sz w:val="22"/>
                <w:szCs w:val="22"/>
                <w:lang w:val="sr-Latn-CS"/>
              </w:rPr>
              <w:t>C</w:t>
            </w:r>
            <w:r w:rsidRPr="00343BCE">
              <w:rPr>
                <w:color w:val="000000"/>
                <w:sz w:val="22"/>
                <w:szCs w:val="22"/>
                <w:lang w:val="sr-Latn-CS"/>
              </w:rPr>
              <w:t>ML</w:t>
            </w:r>
            <w:r>
              <w:rPr>
                <w:color w:val="000000"/>
                <w:sz w:val="22"/>
                <w:szCs w:val="22"/>
                <w:lang w:val="sr-Latn-CS"/>
              </w:rPr>
              <w:t>-om</w:t>
            </w:r>
            <w:r w:rsidRPr="00343BCE">
              <w:rPr>
                <w:color w:val="000000"/>
                <w:sz w:val="22"/>
                <w:szCs w:val="22"/>
                <w:lang w:val="sr-Latn-CS"/>
              </w:rPr>
              <w:t xml:space="preserve"> nego kod onih sa GIST</w:t>
            </w:r>
            <w:r>
              <w:rPr>
                <w:color w:val="000000"/>
                <w:sz w:val="22"/>
                <w:szCs w:val="22"/>
                <w:lang w:val="sr-Latn-CS"/>
              </w:rPr>
              <w:t>-om</w:t>
            </w:r>
            <w:r w:rsidRPr="00343BCE">
              <w:rPr>
                <w:color w:val="000000"/>
                <w:sz w:val="22"/>
                <w:szCs w:val="22"/>
                <w:lang w:val="sr-Latn-CS"/>
              </w:rPr>
              <w:t>.</w:t>
            </w:r>
          </w:p>
          <w:p w:rsidR="000A2337" w:rsidRPr="00A04992" w:rsidRDefault="000A2337" w:rsidP="00161AB3">
            <w:pPr>
              <w:shd w:val="clear" w:color="auto" w:fill="FFFFFF"/>
              <w:ind w:left="284" w:hanging="295"/>
              <w:jc w:val="both"/>
              <w:rPr>
                <w:color w:val="000000"/>
                <w:sz w:val="22"/>
                <w:szCs w:val="22"/>
                <w:lang w:val="sr-Latn-CS"/>
              </w:rPr>
            </w:pPr>
            <w:r w:rsidRPr="00A04992">
              <w:rPr>
                <w:color w:val="000000"/>
                <w:sz w:val="22"/>
                <w:szCs w:val="22"/>
                <w:vertAlign w:val="superscript"/>
                <w:lang w:val="sr-Latn-CS"/>
              </w:rPr>
              <w:t>10</w:t>
            </w:r>
            <w:r>
              <w:rPr>
                <w:color w:val="000000"/>
                <w:sz w:val="22"/>
                <w:szCs w:val="22"/>
                <w:lang w:val="sr-Latn-CS"/>
              </w:rPr>
              <w:t xml:space="preserve"> Smrtni slučajevi zabilježeni su kod pacijenata sa uznapredovalom bolešću, teškim infekcijama, teškom neutropenijom i drugim ozbiljnim propratnim stanjima.</w:t>
            </w:r>
          </w:p>
          <w:p w:rsidR="000A2337" w:rsidRDefault="000A2337" w:rsidP="00161AB3">
            <w:pPr>
              <w:shd w:val="clear" w:color="auto" w:fill="FFFFFF"/>
              <w:rPr>
                <w:color w:val="000000"/>
                <w:sz w:val="22"/>
                <w:szCs w:val="22"/>
                <w:u w:val="single"/>
                <w:lang w:val="sr-Latn-CS"/>
              </w:rPr>
            </w:pPr>
          </w:p>
          <w:p w:rsidR="000A2337" w:rsidRPr="00034686" w:rsidRDefault="000A2337" w:rsidP="00161AB3">
            <w:pPr>
              <w:shd w:val="clear" w:color="auto" w:fill="FFFFFF"/>
              <w:ind w:left="284" w:hanging="284"/>
              <w:rPr>
                <w:sz w:val="22"/>
                <w:szCs w:val="22"/>
                <w:lang w:val="sr-Latn-CS"/>
              </w:rPr>
            </w:pPr>
            <w:r>
              <w:rPr>
                <w:color w:val="000000"/>
                <w:sz w:val="22"/>
                <w:szCs w:val="22"/>
                <w:u w:val="single"/>
                <w:lang w:val="sr-Latn-CS"/>
              </w:rPr>
              <w:t>Abnormalne vrijednosti laboratorijskih</w:t>
            </w:r>
            <w:r w:rsidRPr="00034686">
              <w:rPr>
                <w:color w:val="000000"/>
                <w:sz w:val="22"/>
                <w:szCs w:val="22"/>
                <w:u w:val="single"/>
                <w:lang w:val="sr-Latn-CS"/>
              </w:rPr>
              <w:t xml:space="preserve"> testov</w:t>
            </w:r>
            <w:r>
              <w:rPr>
                <w:color w:val="000000"/>
                <w:sz w:val="22"/>
                <w:szCs w:val="22"/>
                <w:u w:val="single"/>
                <w:lang w:val="sr-Latn-CS"/>
              </w:rPr>
              <w:t>a</w:t>
            </w:r>
          </w:p>
          <w:p w:rsidR="000A2337" w:rsidRPr="00034686" w:rsidRDefault="000A2337" w:rsidP="00161AB3">
            <w:pPr>
              <w:shd w:val="clear" w:color="auto" w:fill="FFFFFF"/>
              <w:ind w:left="284" w:hanging="284"/>
              <w:rPr>
                <w:sz w:val="22"/>
                <w:szCs w:val="22"/>
                <w:lang w:val="sr-Latn-CS"/>
              </w:rPr>
            </w:pPr>
            <w:r w:rsidRPr="00034686">
              <w:rPr>
                <w:i/>
                <w:iCs/>
                <w:color w:val="000000"/>
                <w:sz w:val="22"/>
                <w:szCs w:val="22"/>
                <w:lang w:val="sr-Latn-CS"/>
              </w:rPr>
              <w:t>Hematologija</w:t>
            </w:r>
          </w:p>
          <w:p w:rsidR="000A2337" w:rsidRPr="009735CD" w:rsidRDefault="000A2337" w:rsidP="00161AB3">
            <w:pPr>
              <w:shd w:val="clear" w:color="auto" w:fill="FFFFFF"/>
              <w:jc w:val="both"/>
              <w:rPr>
                <w:color w:val="000000"/>
                <w:sz w:val="22"/>
                <w:szCs w:val="22"/>
                <w:lang w:val="sr-Latn-CS"/>
              </w:rPr>
            </w:pPr>
            <w:r w:rsidRPr="009735CD">
              <w:rPr>
                <w:color w:val="000000"/>
                <w:sz w:val="22"/>
                <w:szCs w:val="22"/>
                <w:lang w:val="sr-Latn-CS"/>
              </w:rPr>
              <w:t>Kod CML, citopenija, a posebno neutropenija i trombocitopenija, bile su stalno prisutan nalaz u svim ispitivanjima, sa nagov</w:t>
            </w:r>
            <w:r>
              <w:rPr>
                <w:color w:val="000000"/>
                <w:sz w:val="22"/>
                <w:szCs w:val="22"/>
                <w:lang w:val="sr-Latn-CS"/>
              </w:rPr>
              <w:t>j</w:t>
            </w:r>
            <w:r w:rsidRPr="009735CD">
              <w:rPr>
                <w:color w:val="000000"/>
                <w:sz w:val="22"/>
                <w:szCs w:val="22"/>
                <w:lang w:val="sr-Latn-CS"/>
              </w:rPr>
              <w:t>eštajem veće učestalosti pri višim dozama ≥ 750 mg (faza I studije). Međutim, pojava citopenija takođe jasno zavisi od stadijuma bolesti, a učestalost neutropen</w:t>
            </w:r>
            <w:r>
              <w:rPr>
                <w:color w:val="000000"/>
                <w:sz w:val="22"/>
                <w:szCs w:val="22"/>
                <w:lang w:val="sr-Latn-CS"/>
              </w:rPr>
              <w:t>ija stepena 3 ili 4 (ANC &lt; 1,0 x</w:t>
            </w:r>
            <w:r w:rsidRPr="009735CD">
              <w:rPr>
                <w:color w:val="000000"/>
                <w:sz w:val="22"/>
                <w:szCs w:val="22"/>
                <w:lang w:val="sr-Latn-CS"/>
              </w:rPr>
              <w:t xml:space="preserve"> 10</w:t>
            </w:r>
            <w:r w:rsidRPr="009735CD">
              <w:rPr>
                <w:color w:val="000000"/>
                <w:sz w:val="22"/>
                <w:szCs w:val="22"/>
                <w:vertAlign w:val="superscript"/>
                <w:lang w:val="sr-Latn-CS"/>
              </w:rPr>
              <w:t>9</w:t>
            </w:r>
            <w:r w:rsidRPr="009735CD">
              <w:rPr>
                <w:color w:val="000000"/>
                <w:sz w:val="22"/>
                <w:szCs w:val="22"/>
                <w:lang w:val="sr-Latn-CS"/>
              </w:rPr>
              <w:t>/l) i tromb</w:t>
            </w:r>
            <w:r>
              <w:rPr>
                <w:color w:val="000000"/>
                <w:sz w:val="22"/>
                <w:szCs w:val="22"/>
                <w:lang w:val="sr-Latn-CS"/>
              </w:rPr>
              <w:t>ocitopenija (broj pločica &lt; 50 x</w:t>
            </w:r>
            <w:r w:rsidRPr="009735CD">
              <w:rPr>
                <w:color w:val="000000"/>
                <w:sz w:val="22"/>
                <w:szCs w:val="22"/>
                <w:lang w:val="sr-Latn-CS"/>
              </w:rPr>
              <w:t xml:space="preserve"> 10</w:t>
            </w:r>
            <w:r w:rsidRPr="009735CD">
              <w:rPr>
                <w:color w:val="000000"/>
                <w:sz w:val="22"/>
                <w:szCs w:val="22"/>
                <w:vertAlign w:val="superscript"/>
                <w:lang w:val="sr-Latn-CS"/>
              </w:rPr>
              <w:t>9</w:t>
            </w:r>
            <w:r w:rsidRPr="009735CD">
              <w:rPr>
                <w:color w:val="000000"/>
                <w:sz w:val="22"/>
                <w:szCs w:val="22"/>
                <w:lang w:val="sr-Latn-CS"/>
              </w:rPr>
              <w:t>/l) bila je između 4 i 6 puta viša u blastnoj krizi i ubrzanoj fazi (59-64% i 44-63% za neutropeniju</w:t>
            </w:r>
            <w:r>
              <w:rPr>
                <w:color w:val="000000"/>
                <w:sz w:val="22"/>
                <w:szCs w:val="22"/>
                <w:lang w:val="sr-Latn-CS"/>
              </w:rPr>
              <w:t>, odnosno trombocitopeniju</w:t>
            </w:r>
            <w:r w:rsidRPr="009735CD">
              <w:rPr>
                <w:color w:val="000000"/>
                <w:sz w:val="22"/>
                <w:szCs w:val="22"/>
                <w:lang w:val="sr-Latn-CS"/>
              </w:rPr>
              <w:t>) u poređenju sa novodijagnostikovanim pacijentima u hroničnoj fazi CML</w:t>
            </w:r>
            <w:r>
              <w:rPr>
                <w:color w:val="000000"/>
                <w:sz w:val="22"/>
                <w:szCs w:val="22"/>
                <w:lang w:val="sr-Latn-CS"/>
              </w:rPr>
              <w:t>-a</w:t>
            </w:r>
            <w:r w:rsidRPr="009735CD">
              <w:rPr>
                <w:color w:val="000000"/>
                <w:sz w:val="22"/>
                <w:szCs w:val="22"/>
                <w:lang w:val="sr-Latn-CS"/>
              </w:rPr>
              <w:t xml:space="preserve"> (16,7% neutropenija i 8,9% trombocitopenija). Kod novodijagnostikovane CML u hroničnoj fazi, neutropenija 4</w:t>
            </w:r>
            <w:r>
              <w:rPr>
                <w:color w:val="000000"/>
                <w:sz w:val="22"/>
                <w:szCs w:val="22"/>
                <w:lang w:val="sr-Latn-CS"/>
              </w:rPr>
              <w:t>. stepena  (ANC &lt; 0,5 x</w:t>
            </w:r>
            <w:r w:rsidRPr="009735CD">
              <w:rPr>
                <w:color w:val="000000"/>
                <w:sz w:val="22"/>
                <w:szCs w:val="22"/>
                <w:lang w:val="sr-Latn-CS"/>
              </w:rPr>
              <w:t xml:space="preserve"> 10</w:t>
            </w:r>
            <w:r w:rsidRPr="009735CD">
              <w:rPr>
                <w:color w:val="000000"/>
                <w:sz w:val="22"/>
                <w:szCs w:val="22"/>
                <w:vertAlign w:val="superscript"/>
                <w:lang w:val="sr-Latn-CS"/>
              </w:rPr>
              <w:t>9</w:t>
            </w:r>
            <w:r w:rsidRPr="009735CD">
              <w:rPr>
                <w:color w:val="000000"/>
                <w:sz w:val="22"/>
                <w:szCs w:val="22"/>
                <w:lang w:val="sr-Latn-CS"/>
              </w:rPr>
              <w:t xml:space="preserve">/l) i trombocitopenija </w:t>
            </w:r>
            <w:r>
              <w:rPr>
                <w:color w:val="000000"/>
                <w:sz w:val="22"/>
                <w:szCs w:val="22"/>
                <w:lang w:val="sr-Latn-CS"/>
              </w:rPr>
              <w:t>(broj pločica &lt;10 x</w:t>
            </w:r>
            <w:r w:rsidRPr="009735CD">
              <w:rPr>
                <w:color w:val="000000"/>
                <w:sz w:val="22"/>
                <w:szCs w:val="22"/>
                <w:lang w:val="sr-Latn-CS"/>
              </w:rPr>
              <w:t xml:space="preserve"> 10</w:t>
            </w:r>
            <w:r w:rsidRPr="009735CD">
              <w:rPr>
                <w:color w:val="000000"/>
                <w:sz w:val="22"/>
                <w:szCs w:val="22"/>
                <w:vertAlign w:val="superscript"/>
                <w:lang w:val="sr-Latn-CS"/>
              </w:rPr>
              <w:t>9</w:t>
            </w:r>
            <w:r w:rsidRPr="009735CD">
              <w:rPr>
                <w:color w:val="000000"/>
                <w:sz w:val="22"/>
                <w:szCs w:val="22"/>
                <w:lang w:val="sr-Latn-CS"/>
              </w:rPr>
              <w:t xml:space="preserve">/l) zapažene su kod 3,6% , odnosno  &lt; 1% pacijenata. Medijana trajanja neutropenijskih i trombocitopenijskih epizoda obično se kreće između 2 i 3 nedjelje, odnosno, od 3 do 4 nedjelje. Ovi događaji mogu se obično kontrolisati ili smanjivanjem doze ili prekidanjem </w:t>
            </w:r>
            <w:r>
              <w:rPr>
                <w:color w:val="000000"/>
                <w:sz w:val="22"/>
                <w:szCs w:val="22"/>
                <w:lang w:val="sr-Latn-CS"/>
              </w:rPr>
              <w:t>liječenja</w:t>
            </w:r>
            <w:r w:rsidRPr="009735CD">
              <w:rPr>
                <w:color w:val="000000"/>
                <w:sz w:val="22"/>
                <w:szCs w:val="22"/>
                <w:lang w:val="sr-Latn-CS"/>
              </w:rPr>
              <w:t xml:space="preserve"> </w:t>
            </w:r>
            <w:r>
              <w:rPr>
                <w:color w:val="000000"/>
                <w:sz w:val="22"/>
                <w:szCs w:val="22"/>
                <w:lang w:val="sr-Latn-CS"/>
              </w:rPr>
              <w:t>i</w:t>
            </w:r>
            <w:r>
              <w:rPr>
                <w:bCs/>
                <w:sz w:val="22"/>
                <w:szCs w:val="22"/>
                <w:lang w:val="da-DK"/>
              </w:rPr>
              <w:t>matinibom</w:t>
            </w:r>
            <w:r w:rsidRPr="009735CD">
              <w:rPr>
                <w:color w:val="000000"/>
                <w:sz w:val="22"/>
                <w:szCs w:val="22"/>
                <w:lang w:val="sr-Latn-CS"/>
              </w:rPr>
              <w:t>, ali u rijetkim slučajevima dolazi do trajnog prekida terapije. Kod pedijatrijskih pacijenata sa CML</w:t>
            </w:r>
            <w:r>
              <w:rPr>
                <w:color w:val="000000"/>
                <w:sz w:val="22"/>
                <w:szCs w:val="22"/>
                <w:lang w:val="sr-Latn-CS"/>
              </w:rPr>
              <w:t>-om</w:t>
            </w:r>
            <w:r w:rsidRPr="009735CD">
              <w:rPr>
                <w:color w:val="000000"/>
                <w:sz w:val="22"/>
                <w:szCs w:val="22"/>
                <w:lang w:val="sr-Latn-CS"/>
              </w:rPr>
              <w:t xml:space="preserve"> najčešće zapažene toksičnosti bile su citopenije </w:t>
            </w:r>
            <w:r>
              <w:rPr>
                <w:color w:val="000000"/>
                <w:sz w:val="22"/>
                <w:szCs w:val="22"/>
                <w:lang w:val="sr-Latn-CS"/>
              </w:rPr>
              <w:t xml:space="preserve">stepena </w:t>
            </w:r>
            <w:r w:rsidRPr="009735CD">
              <w:rPr>
                <w:color w:val="000000"/>
                <w:sz w:val="22"/>
                <w:szCs w:val="22"/>
                <w:lang w:val="sr-Latn-CS"/>
              </w:rPr>
              <w:t>3 ili 4 uključujući neutropeniju, trombocitopeniju i anemiju. Ovo se obično javlja u toku prvih nekoliko mjeseci terapije.</w:t>
            </w:r>
          </w:p>
          <w:p w:rsidR="000A2337" w:rsidRPr="009735CD" w:rsidRDefault="000A2337" w:rsidP="00161AB3">
            <w:pPr>
              <w:shd w:val="clear" w:color="auto" w:fill="FFFFFF"/>
              <w:jc w:val="both"/>
              <w:rPr>
                <w:color w:val="000000"/>
                <w:sz w:val="22"/>
                <w:szCs w:val="22"/>
                <w:lang w:val="sr-Latn-CS"/>
              </w:rPr>
            </w:pPr>
            <w:r w:rsidRPr="009735CD">
              <w:rPr>
                <w:color w:val="000000"/>
                <w:sz w:val="22"/>
                <w:szCs w:val="22"/>
                <w:lang w:val="sr-Latn-CS"/>
              </w:rPr>
              <w:lastRenderedPageBreak/>
              <w:t xml:space="preserve">U studiji pacijenata sa </w:t>
            </w:r>
            <w:r w:rsidRPr="009735CD">
              <w:rPr>
                <w:sz w:val="22"/>
                <w:lang w:val="pt-BR"/>
              </w:rPr>
              <w:t>neresektabilnim i/ili metastatskim GIST-om,</w:t>
            </w:r>
            <w:r w:rsidRPr="009735CD">
              <w:rPr>
                <w:color w:val="000000"/>
                <w:sz w:val="22"/>
                <w:szCs w:val="22"/>
                <w:lang w:val="sr-Latn-CS"/>
              </w:rPr>
              <w:t xml:space="preserve"> anemija </w:t>
            </w:r>
            <w:r>
              <w:rPr>
                <w:color w:val="000000"/>
                <w:sz w:val="22"/>
                <w:szCs w:val="22"/>
                <w:lang w:val="sr-Latn-CS"/>
              </w:rPr>
              <w:t xml:space="preserve">stepena </w:t>
            </w:r>
            <w:r w:rsidRPr="009735CD">
              <w:rPr>
                <w:color w:val="000000"/>
                <w:sz w:val="22"/>
                <w:szCs w:val="22"/>
                <w:lang w:val="sr-Latn-CS"/>
              </w:rPr>
              <w:t>3 i 4 prijavljena je kod 5,4%, odnosno 0,7% pacijenata i moguća je povezanost sa gastrointestinalnim ili intratumorskim</w:t>
            </w:r>
            <w:r>
              <w:rPr>
                <w:color w:val="000000"/>
                <w:sz w:val="22"/>
                <w:szCs w:val="22"/>
                <w:lang w:val="sr-Latn-CS"/>
              </w:rPr>
              <w:t xml:space="preserve"> krvare</w:t>
            </w:r>
            <w:r w:rsidRPr="009735CD">
              <w:rPr>
                <w:color w:val="000000"/>
                <w:sz w:val="22"/>
                <w:szCs w:val="22"/>
                <w:lang w:val="sr-Latn-CS"/>
              </w:rPr>
              <w:t xml:space="preserve">njima, bar kod nekoliko pacijenata. Neutropenija </w:t>
            </w:r>
            <w:r>
              <w:rPr>
                <w:color w:val="000000"/>
                <w:sz w:val="22"/>
                <w:szCs w:val="22"/>
                <w:lang w:val="sr-Latn-CS"/>
              </w:rPr>
              <w:t xml:space="preserve">stepena </w:t>
            </w:r>
            <w:r w:rsidRPr="009735CD">
              <w:rPr>
                <w:color w:val="000000"/>
                <w:sz w:val="22"/>
                <w:szCs w:val="22"/>
                <w:lang w:val="sr-Latn-CS"/>
              </w:rPr>
              <w:t xml:space="preserve">3 i 4 viđena je kod 7,5%, odnosno 2,7% pacijenata, a trombocitopenija </w:t>
            </w:r>
            <w:r>
              <w:rPr>
                <w:color w:val="000000"/>
                <w:sz w:val="22"/>
                <w:szCs w:val="22"/>
                <w:lang w:val="sr-Latn-CS"/>
              </w:rPr>
              <w:t xml:space="preserve">stepena </w:t>
            </w:r>
            <w:r w:rsidRPr="009735CD">
              <w:rPr>
                <w:color w:val="000000"/>
                <w:sz w:val="22"/>
                <w:szCs w:val="22"/>
                <w:lang w:val="sr-Latn-CS"/>
              </w:rPr>
              <w:t xml:space="preserve">3 kod 0,7% pacijenata. Ni kod jednog pacijenata se nije razvila trombocitopenija </w:t>
            </w:r>
            <w:r>
              <w:rPr>
                <w:color w:val="000000"/>
                <w:sz w:val="22"/>
                <w:szCs w:val="22"/>
                <w:lang w:val="sr-Latn-CS"/>
              </w:rPr>
              <w:t xml:space="preserve">stepena </w:t>
            </w:r>
            <w:r w:rsidRPr="009735CD">
              <w:rPr>
                <w:color w:val="000000"/>
                <w:sz w:val="22"/>
                <w:szCs w:val="22"/>
                <w:lang w:val="sr-Latn-CS"/>
              </w:rPr>
              <w:t>4. Smanjenje broja leukocita (WBC) i neutrofila javljalo se uglavnom tokom prvih šest nedjelja terapije, nakon čega su se vr</w:t>
            </w:r>
            <w:r>
              <w:rPr>
                <w:color w:val="000000"/>
                <w:sz w:val="22"/>
                <w:szCs w:val="22"/>
                <w:lang w:val="sr-Latn-CS"/>
              </w:rPr>
              <w:t>ij</w:t>
            </w:r>
            <w:r w:rsidRPr="009735CD">
              <w:rPr>
                <w:color w:val="000000"/>
                <w:sz w:val="22"/>
                <w:szCs w:val="22"/>
                <w:lang w:val="sr-Latn-CS"/>
              </w:rPr>
              <w:t>ednosti relativno stabilizovale.</w:t>
            </w:r>
          </w:p>
          <w:p w:rsidR="000A2337" w:rsidRPr="009735CD" w:rsidRDefault="000A2337" w:rsidP="00161AB3">
            <w:pPr>
              <w:shd w:val="clear" w:color="auto" w:fill="FFFFFF"/>
              <w:rPr>
                <w:color w:val="000000"/>
                <w:sz w:val="22"/>
                <w:szCs w:val="22"/>
                <w:lang w:val="sr-Latn-CS"/>
              </w:rPr>
            </w:pPr>
          </w:p>
          <w:p w:rsidR="000A2337" w:rsidRPr="009735CD" w:rsidRDefault="000A2337" w:rsidP="00161AB3">
            <w:pPr>
              <w:shd w:val="clear" w:color="auto" w:fill="FFFFFF"/>
              <w:rPr>
                <w:sz w:val="22"/>
                <w:szCs w:val="22"/>
                <w:lang w:val="sr-Latn-CS"/>
              </w:rPr>
            </w:pPr>
            <w:r w:rsidRPr="009735CD">
              <w:rPr>
                <w:i/>
                <w:iCs/>
                <w:color w:val="000000"/>
                <w:sz w:val="22"/>
                <w:szCs w:val="22"/>
                <w:lang w:val="sr-Latn-CS"/>
              </w:rPr>
              <w:t>Biohemija</w:t>
            </w:r>
          </w:p>
          <w:p w:rsidR="000A2337" w:rsidRPr="000622D4" w:rsidRDefault="000A2337" w:rsidP="00161AB3">
            <w:pPr>
              <w:shd w:val="clear" w:color="auto" w:fill="FFFFFF"/>
              <w:jc w:val="both"/>
              <w:rPr>
                <w:color w:val="000000"/>
                <w:sz w:val="22"/>
                <w:szCs w:val="22"/>
                <w:lang w:val="sr-Latn-CS"/>
              </w:rPr>
            </w:pPr>
            <w:r w:rsidRPr="009735CD">
              <w:rPr>
                <w:color w:val="000000"/>
                <w:sz w:val="22"/>
                <w:szCs w:val="22"/>
                <w:lang w:val="sr-Latn-CS"/>
              </w:rPr>
              <w:t>Kod pacijenata sa CML izraženo povišenje transaminaza (&lt;5% pacijenata) ili bilirubina (&lt;1%) obično je regulisano smanjenjem doze ili prekidanjem davanja lijeka (medijana trajanja ovih epizoda bila je približno jedna nedjelja). Trajni prekid terapije</w:t>
            </w:r>
            <w:r w:rsidRPr="009735CD">
              <w:rPr>
                <w:sz w:val="22"/>
                <w:szCs w:val="22"/>
                <w:lang w:val="sr-Latn-CS"/>
              </w:rPr>
              <w:t xml:space="preserve"> zbog poremećaja u testovima funkcije jetre zab</w:t>
            </w:r>
            <w:r>
              <w:rPr>
                <w:sz w:val="22"/>
                <w:szCs w:val="22"/>
                <w:lang w:val="sr-Latn-CS"/>
              </w:rPr>
              <w:t>ilje</w:t>
            </w:r>
            <w:r w:rsidRPr="009735CD">
              <w:rPr>
                <w:sz w:val="22"/>
                <w:szCs w:val="22"/>
                <w:lang w:val="sr-Latn-CS"/>
              </w:rPr>
              <w:t>žen</w:t>
            </w:r>
            <w:r w:rsidRPr="009735CD">
              <w:rPr>
                <w:color w:val="000000"/>
                <w:sz w:val="22"/>
                <w:szCs w:val="22"/>
                <w:lang w:val="sr-Latn-CS"/>
              </w:rPr>
              <w:t xml:space="preserve"> je kod</w:t>
            </w:r>
            <w:r>
              <w:rPr>
                <w:color w:val="000000"/>
                <w:sz w:val="22"/>
                <w:szCs w:val="22"/>
                <w:lang w:val="sr-Latn-CS"/>
              </w:rPr>
              <w:t xml:space="preserve"> manje od 1% pacijenata sa CML-om. Kod pacijenata</w:t>
            </w:r>
            <w:r w:rsidRPr="008A7F7D">
              <w:rPr>
                <w:color w:val="000000"/>
                <w:sz w:val="22"/>
                <w:szCs w:val="22"/>
                <w:lang w:val="sr-Latn-CS"/>
              </w:rPr>
              <w:t xml:space="preserve"> sa GIST</w:t>
            </w:r>
            <w:r>
              <w:rPr>
                <w:color w:val="000000"/>
                <w:sz w:val="22"/>
                <w:szCs w:val="22"/>
                <w:lang w:val="sr-Latn-CS"/>
              </w:rPr>
              <w:t>-om (studija</w:t>
            </w:r>
            <w:r w:rsidRPr="008A7F7D">
              <w:rPr>
                <w:color w:val="000000"/>
                <w:sz w:val="22"/>
                <w:szCs w:val="22"/>
                <w:lang w:val="sr-Latn-CS"/>
              </w:rPr>
              <w:t xml:space="preserve"> B2222), zapaženo je povišenje </w:t>
            </w:r>
            <w:smartTag w:uri="urn:schemas-microsoft-com:office:smarttags" w:element="stockticker">
              <w:r w:rsidRPr="008A7F7D">
                <w:rPr>
                  <w:color w:val="000000"/>
                  <w:sz w:val="22"/>
                  <w:szCs w:val="22"/>
                  <w:lang w:val="sr-Latn-CS"/>
                </w:rPr>
                <w:t>ALT</w:t>
              </w:r>
            </w:smartTag>
            <w:r w:rsidRPr="008A7F7D">
              <w:rPr>
                <w:color w:val="000000"/>
                <w:sz w:val="22"/>
                <w:szCs w:val="22"/>
                <w:lang w:val="sr-Latn-CS"/>
              </w:rPr>
              <w:t xml:space="preserve"> (alanin aminotransferaze) </w:t>
            </w:r>
            <w:r>
              <w:rPr>
                <w:color w:val="000000"/>
                <w:sz w:val="22"/>
                <w:szCs w:val="22"/>
                <w:lang w:val="sr-Latn-CS"/>
              </w:rPr>
              <w:t xml:space="preserve">stepena </w:t>
            </w:r>
            <w:r w:rsidRPr="000622D4">
              <w:rPr>
                <w:color w:val="000000"/>
                <w:sz w:val="22"/>
                <w:szCs w:val="22"/>
                <w:lang w:val="sr-Latn-CS"/>
              </w:rPr>
              <w:t xml:space="preserve">3 ili 4 kod 6,8%, a povišenja AST (aspartat aminotransferaze) </w:t>
            </w:r>
            <w:r>
              <w:rPr>
                <w:color w:val="000000"/>
                <w:sz w:val="22"/>
                <w:szCs w:val="22"/>
                <w:lang w:val="sr-Latn-CS"/>
              </w:rPr>
              <w:t xml:space="preserve">stepena </w:t>
            </w:r>
            <w:r w:rsidRPr="000622D4">
              <w:rPr>
                <w:color w:val="000000"/>
                <w:sz w:val="22"/>
                <w:szCs w:val="22"/>
                <w:lang w:val="sr-Latn-CS"/>
              </w:rPr>
              <w:t>3 ili 4 kod 4,8%. Povećanje bilirubina bilo je manje od 3%.</w:t>
            </w:r>
          </w:p>
          <w:p w:rsidR="000A2337" w:rsidRPr="000622D4" w:rsidRDefault="000A2337" w:rsidP="00161AB3">
            <w:pPr>
              <w:shd w:val="clear" w:color="auto" w:fill="FFFFFF"/>
              <w:rPr>
                <w:sz w:val="22"/>
                <w:szCs w:val="22"/>
                <w:lang w:val="sr-Latn-CS"/>
              </w:rPr>
            </w:pPr>
          </w:p>
          <w:p w:rsidR="000A2337" w:rsidRDefault="000A2337" w:rsidP="00161AB3">
            <w:pPr>
              <w:shd w:val="clear" w:color="auto" w:fill="FFFFFF"/>
              <w:rPr>
                <w:color w:val="000000"/>
                <w:sz w:val="22"/>
                <w:szCs w:val="22"/>
                <w:lang w:val="sr-Latn-CS"/>
              </w:rPr>
            </w:pPr>
            <w:r w:rsidRPr="000622D4">
              <w:rPr>
                <w:color w:val="000000"/>
                <w:sz w:val="22"/>
                <w:szCs w:val="22"/>
                <w:lang w:val="sr-Latn-CS"/>
              </w:rPr>
              <w:t xml:space="preserve">Bilo je slučajeva citolitičkog i holestaznog hepatitisa i insuficijencije jetre; kod nekih od njih ishod je bio fatalan, uključujući jednog pacijenta </w:t>
            </w:r>
            <w:r>
              <w:rPr>
                <w:color w:val="000000"/>
                <w:sz w:val="22"/>
                <w:szCs w:val="22"/>
                <w:lang w:val="sr-Latn-CS"/>
              </w:rPr>
              <w:t>koji je primao</w:t>
            </w:r>
            <w:r w:rsidRPr="000622D4">
              <w:rPr>
                <w:color w:val="000000"/>
                <w:sz w:val="22"/>
                <w:szCs w:val="22"/>
                <w:lang w:val="sr-Latn-CS"/>
              </w:rPr>
              <w:t xml:space="preserve"> visok</w:t>
            </w:r>
            <w:r>
              <w:rPr>
                <w:color w:val="000000"/>
                <w:sz w:val="22"/>
                <w:szCs w:val="22"/>
                <w:lang w:val="sr-Latn-CS"/>
              </w:rPr>
              <w:t>e</w:t>
            </w:r>
            <w:r w:rsidRPr="000622D4">
              <w:rPr>
                <w:color w:val="000000"/>
                <w:sz w:val="22"/>
                <w:szCs w:val="22"/>
                <w:lang w:val="sr-Latn-CS"/>
              </w:rPr>
              <w:t xml:space="preserve"> doz</w:t>
            </w:r>
            <w:r>
              <w:rPr>
                <w:color w:val="000000"/>
                <w:sz w:val="22"/>
                <w:szCs w:val="22"/>
                <w:lang w:val="sr-Latn-CS"/>
              </w:rPr>
              <w:t>e</w:t>
            </w:r>
            <w:r w:rsidRPr="000622D4">
              <w:rPr>
                <w:color w:val="000000"/>
                <w:sz w:val="22"/>
                <w:szCs w:val="22"/>
                <w:lang w:val="sr-Latn-CS"/>
              </w:rPr>
              <w:t xml:space="preserve"> paracetamola.</w:t>
            </w:r>
          </w:p>
          <w:p w:rsidR="000A2337" w:rsidRPr="008A7F7D" w:rsidRDefault="000A2337" w:rsidP="00161AB3">
            <w:pPr>
              <w:shd w:val="clear" w:color="auto" w:fill="FFFFFF"/>
              <w:rPr>
                <w:sz w:val="22"/>
                <w:szCs w:val="22"/>
                <w:lang w:val="sr-Latn-CS"/>
              </w:rPr>
            </w:pPr>
          </w:p>
          <w:p w:rsidR="000A2337" w:rsidRPr="00B27012" w:rsidRDefault="000A2337" w:rsidP="00161AB3">
            <w:pPr>
              <w:spacing w:after="200" w:line="276" w:lineRule="auto"/>
              <w:rPr>
                <w:rFonts w:eastAsia="Calibri"/>
                <w:sz w:val="22"/>
                <w:szCs w:val="22"/>
                <w:u w:val="single"/>
                <w:lang w:val="sr-Latn-RS"/>
              </w:rPr>
            </w:pPr>
            <w:r w:rsidRPr="00B27012">
              <w:rPr>
                <w:rFonts w:eastAsia="Calibri"/>
                <w:sz w:val="22"/>
                <w:szCs w:val="22"/>
                <w:u w:val="single"/>
                <w:lang w:val="sr-Latn-RS"/>
              </w:rPr>
              <w:t>Prijavljivanje sumnji na neželjena dejstva</w:t>
            </w:r>
          </w:p>
          <w:p w:rsidR="000A2337" w:rsidRPr="00B27012" w:rsidRDefault="000A2337" w:rsidP="00161AB3">
            <w:pPr>
              <w:spacing w:after="200"/>
              <w:jc w:val="both"/>
              <w:rPr>
                <w:rFonts w:eastAsia="Calibri"/>
                <w:sz w:val="22"/>
                <w:szCs w:val="22"/>
                <w:lang w:val="sr-Latn-RS"/>
              </w:rPr>
            </w:pPr>
            <w:r w:rsidRPr="00B27012">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0A2337" w:rsidRPr="00B27012" w:rsidRDefault="000A2337" w:rsidP="00161AB3">
            <w:pPr>
              <w:jc w:val="both"/>
              <w:rPr>
                <w:rFonts w:eastAsia="Calibri"/>
                <w:sz w:val="22"/>
                <w:szCs w:val="24"/>
                <w:lang w:val="sr-Latn-RS"/>
              </w:rPr>
            </w:pPr>
            <w:r w:rsidRPr="00B27012">
              <w:rPr>
                <w:rFonts w:eastAsia="Calibri"/>
                <w:sz w:val="22"/>
                <w:szCs w:val="24"/>
                <w:lang w:val="sr-Latn-RS"/>
              </w:rPr>
              <w:t>Agencija za ljekove i medicinska sredstva Crne Gore</w:t>
            </w:r>
          </w:p>
          <w:p w:rsidR="000A2337" w:rsidRPr="00B27012" w:rsidRDefault="000A2337" w:rsidP="00161AB3">
            <w:pPr>
              <w:jc w:val="both"/>
              <w:rPr>
                <w:rFonts w:eastAsia="Calibri"/>
                <w:sz w:val="22"/>
                <w:szCs w:val="24"/>
                <w:lang w:val="sr-Latn-RS"/>
              </w:rPr>
            </w:pPr>
            <w:r w:rsidRPr="00B27012">
              <w:rPr>
                <w:rFonts w:eastAsia="Calibri"/>
                <w:sz w:val="22"/>
                <w:szCs w:val="24"/>
                <w:lang w:val="sr-Latn-RS"/>
              </w:rPr>
              <w:t>Odjeljenje za farmakovigilancu</w:t>
            </w:r>
          </w:p>
          <w:p w:rsidR="000A2337" w:rsidRPr="00B27012" w:rsidRDefault="000A2337" w:rsidP="00463E8C">
            <w:pPr>
              <w:jc w:val="both"/>
              <w:rPr>
                <w:rFonts w:eastAsia="Calibri"/>
                <w:sz w:val="22"/>
                <w:szCs w:val="24"/>
                <w:lang w:val="sr-Latn-RS"/>
              </w:rPr>
            </w:pPr>
            <w:r w:rsidRPr="00B27012">
              <w:rPr>
                <w:rFonts w:eastAsia="Calibri"/>
                <w:sz w:val="22"/>
                <w:szCs w:val="24"/>
                <w:lang w:val="sr-Latn-RS"/>
              </w:rPr>
              <w:t>Bulevar Ivana Crnojevića 64a, 81000 Podgorica</w:t>
            </w:r>
          </w:p>
          <w:p w:rsidR="00847E59" w:rsidRDefault="00847E59" w:rsidP="00161AB3">
            <w:pPr>
              <w:jc w:val="both"/>
              <w:rPr>
                <w:rFonts w:eastAsia="Calibri"/>
                <w:sz w:val="22"/>
                <w:szCs w:val="24"/>
                <w:lang w:val="sr-Latn-RS"/>
              </w:rPr>
            </w:pPr>
          </w:p>
          <w:p w:rsidR="000A2337" w:rsidRPr="00B27012" w:rsidRDefault="000A2337" w:rsidP="00161AB3">
            <w:pPr>
              <w:jc w:val="both"/>
              <w:rPr>
                <w:rFonts w:eastAsia="Calibri"/>
                <w:sz w:val="22"/>
                <w:szCs w:val="24"/>
                <w:lang w:val="sr-Latn-RS"/>
              </w:rPr>
            </w:pPr>
            <w:r w:rsidRPr="00B27012">
              <w:rPr>
                <w:rFonts w:eastAsia="Calibri"/>
                <w:sz w:val="22"/>
                <w:szCs w:val="24"/>
                <w:lang w:val="sr-Latn-RS"/>
              </w:rPr>
              <w:t>tel: +382 (0) 20 310 280</w:t>
            </w:r>
          </w:p>
          <w:p w:rsidR="000A2337" w:rsidRPr="00B27012" w:rsidRDefault="000A2337" w:rsidP="00161AB3">
            <w:pPr>
              <w:jc w:val="both"/>
              <w:rPr>
                <w:rFonts w:eastAsia="Calibri"/>
                <w:sz w:val="22"/>
                <w:szCs w:val="24"/>
                <w:lang w:val="sr-Latn-RS"/>
              </w:rPr>
            </w:pPr>
            <w:r w:rsidRPr="00B27012">
              <w:rPr>
                <w:rFonts w:eastAsia="Calibri"/>
                <w:sz w:val="22"/>
                <w:szCs w:val="24"/>
                <w:lang w:val="sr-Latn-RS"/>
              </w:rPr>
              <w:t>fax: +382 (0) 20 310 581</w:t>
            </w:r>
          </w:p>
          <w:p w:rsidR="000A2337" w:rsidRPr="00B27012" w:rsidRDefault="00D7399F" w:rsidP="00161AB3">
            <w:pPr>
              <w:jc w:val="both"/>
              <w:rPr>
                <w:rFonts w:eastAsia="Calibri"/>
                <w:sz w:val="22"/>
                <w:szCs w:val="24"/>
                <w:lang w:val="sr-Latn-RS"/>
              </w:rPr>
            </w:pPr>
            <w:hyperlink r:id="rId8" w:history="1">
              <w:r w:rsidR="000A2337" w:rsidRPr="00B27012">
                <w:rPr>
                  <w:rFonts w:eastAsia="Calibri"/>
                  <w:color w:val="0000FF"/>
                  <w:sz w:val="22"/>
                  <w:szCs w:val="24"/>
                  <w:u w:val="single"/>
                  <w:lang w:val="sr-Latn-RS"/>
                </w:rPr>
                <w:t>www.calims.me</w:t>
              </w:r>
            </w:hyperlink>
          </w:p>
          <w:p w:rsidR="000A2337" w:rsidRPr="00B27012" w:rsidRDefault="00D7399F" w:rsidP="00161AB3">
            <w:pPr>
              <w:jc w:val="both"/>
              <w:rPr>
                <w:rFonts w:eastAsia="Calibri"/>
                <w:color w:val="0000FF"/>
                <w:sz w:val="22"/>
                <w:szCs w:val="24"/>
                <w:u w:val="single"/>
                <w:lang w:val="sr-Latn-RS"/>
              </w:rPr>
            </w:pPr>
            <w:hyperlink r:id="rId9" w:history="1">
              <w:r w:rsidR="000A2337" w:rsidRPr="00B27012">
                <w:rPr>
                  <w:rFonts w:eastAsia="Calibri"/>
                  <w:color w:val="0000FF"/>
                  <w:sz w:val="22"/>
                  <w:szCs w:val="24"/>
                  <w:u w:val="single"/>
                  <w:lang w:val="sr-Latn-RS"/>
                </w:rPr>
                <w:t>nezeljenadejstva@calims.me</w:t>
              </w:r>
            </w:hyperlink>
          </w:p>
          <w:p w:rsidR="000A2337" w:rsidRPr="00B27012" w:rsidRDefault="000A2337" w:rsidP="00161AB3">
            <w:pPr>
              <w:jc w:val="both"/>
              <w:rPr>
                <w:rFonts w:eastAsia="Calibri"/>
                <w:sz w:val="22"/>
                <w:szCs w:val="24"/>
                <w:lang w:val="sr-Latn-RS"/>
              </w:rPr>
            </w:pPr>
            <w:r w:rsidRPr="00B27012">
              <w:rPr>
                <w:rFonts w:eastAsia="Calibri"/>
                <w:sz w:val="22"/>
                <w:szCs w:val="24"/>
                <w:lang w:val="sr-Latn-RS"/>
              </w:rPr>
              <w:t>putem IS zdravstvene zaštite</w:t>
            </w:r>
          </w:p>
          <w:p w:rsidR="000A2337" w:rsidRPr="009D18B1" w:rsidRDefault="000A2337" w:rsidP="00161AB3">
            <w:pPr>
              <w:pStyle w:val="Header"/>
              <w:tabs>
                <w:tab w:val="left" w:pos="284"/>
              </w:tabs>
              <w:rPr>
                <w:sz w:val="22"/>
                <w:szCs w:val="22"/>
                <w:lang w:val="sr-Latn-CS"/>
              </w:rPr>
            </w:pPr>
          </w:p>
        </w:tc>
      </w:tr>
      <w:tr w:rsidR="000A2337" w:rsidRPr="00750E3C" w:rsidTr="00161AB3">
        <w:tc>
          <w:tcPr>
            <w:tcW w:w="10188" w:type="dxa"/>
            <w:gridSpan w:val="4"/>
            <w:vAlign w:val="center"/>
          </w:tcPr>
          <w:p w:rsidR="000A2337" w:rsidRPr="00750E3C" w:rsidRDefault="000A2337" w:rsidP="00161AB3">
            <w:pPr>
              <w:pStyle w:val="Header"/>
              <w:tabs>
                <w:tab w:val="left" w:pos="284"/>
              </w:tabs>
              <w:spacing w:before="80" w:after="80"/>
              <w:rPr>
                <w:rFonts w:cs="Arial"/>
                <w:b/>
                <w:bCs/>
                <w:sz w:val="22"/>
              </w:rPr>
            </w:pPr>
            <w:r w:rsidRPr="00750E3C">
              <w:rPr>
                <w:rFonts w:cs="Arial"/>
                <w:b/>
                <w:bCs/>
                <w:sz w:val="22"/>
              </w:rPr>
              <w:lastRenderedPageBreak/>
              <w:t>4.9. Predoziranje</w:t>
            </w:r>
            <w:r>
              <w:rPr>
                <w:rFonts w:cs="Arial"/>
                <w:b/>
                <w:bCs/>
                <w:sz w:val="22"/>
              </w:rPr>
              <w:t xml:space="preserve"> i mjere koje potrebno preduzeti</w:t>
            </w:r>
          </w:p>
        </w:tc>
      </w:tr>
      <w:tr w:rsidR="000A2337" w:rsidRPr="00FF5133" w:rsidTr="00161AB3">
        <w:trPr>
          <w:trHeight w:val="1145"/>
        </w:trPr>
        <w:tc>
          <w:tcPr>
            <w:tcW w:w="10188" w:type="dxa"/>
            <w:gridSpan w:val="4"/>
            <w:vAlign w:val="center"/>
          </w:tcPr>
          <w:p w:rsidR="000A2337" w:rsidRPr="00F10A43" w:rsidRDefault="000A2337" w:rsidP="00161AB3">
            <w:pPr>
              <w:shd w:val="clear" w:color="auto" w:fill="FFFFFF"/>
              <w:spacing w:before="240" w:line="240" w:lineRule="atLeast"/>
              <w:jc w:val="both"/>
              <w:rPr>
                <w:color w:val="000000"/>
                <w:sz w:val="22"/>
                <w:szCs w:val="22"/>
                <w:lang w:val="sr-Latn-CS"/>
              </w:rPr>
            </w:pPr>
            <w:r w:rsidRPr="00DC3ACF">
              <w:rPr>
                <w:color w:val="000000"/>
                <w:sz w:val="22"/>
                <w:szCs w:val="22"/>
                <w:lang w:val="sr-Latn-CS"/>
              </w:rPr>
              <w:t xml:space="preserve">Iskustvo sa dozama većim </w:t>
            </w:r>
            <w:r w:rsidRPr="00F10A43">
              <w:rPr>
                <w:color w:val="000000"/>
                <w:sz w:val="22"/>
                <w:szCs w:val="22"/>
                <w:lang w:val="sr-Latn-CS"/>
              </w:rPr>
              <w:t xml:space="preserve">od preporučenih terapijskih doza je ograničeno. Izolovani slučajevi predoziranja </w:t>
            </w:r>
            <w:r>
              <w:rPr>
                <w:color w:val="000000"/>
                <w:sz w:val="22"/>
                <w:szCs w:val="22"/>
                <w:lang w:val="sr-Latn-CS"/>
              </w:rPr>
              <w:t>i</w:t>
            </w:r>
            <w:r>
              <w:rPr>
                <w:bCs/>
                <w:sz w:val="22"/>
                <w:szCs w:val="22"/>
                <w:lang w:val="da-DK"/>
              </w:rPr>
              <w:t>matinibom</w:t>
            </w:r>
            <w:r>
              <w:rPr>
                <w:bCs/>
                <w:sz w:val="22"/>
                <w:szCs w:val="22"/>
                <w:vertAlign w:val="superscript"/>
                <w:lang w:val="da-DK"/>
              </w:rPr>
              <w:t xml:space="preserve"> </w:t>
            </w:r>
            <w:r w:rsidRPr="00F10A43">
              <w:rPr>
                <w:color w:val="000000"/>
                <w:sz w:val="22"/>
                <w:szCs w:val="22"/>
                <w:lang w:val="sr-Latn-CS"/>
              </w:rPr>
              <w:t xml:space="preserve"> su spontano prijavljivani ili su objavljeni u literaturi.</w:t>
            </w:r>
            <w:r>
              <w:rPr>
                <w:color w:val="000000"/>
                <w:sz w:val="22"/>
                <w:szCs w:val="22"/>
                <w:lang w:val="sr-Latn-CS"/>
              </w:rPr>
              <w:t xml:space="preserve"> U slučaju predoziranja</w:t>
            </w:r>
            <w:r w:rsidRPr="00F10A43">
              <w:rPr>
                <w:color w:val="000000"/>
                <w:sz w:val="22"/>
                <w:szCs w:val="22"/>
                <w:lang w:val="sr-Latn-CS"/>
              </w:rPr>
              <w:t xml:space="preserve"> pacijenta bi trebalo posmatrati i </w:t>
            </w:r>
            <w:r>
              <w:rPr>
                <w:color w:val="000000"/>
                <w:sz w:val="22"/>
                <w:szCs w:val="22"/>
                <w:lang w:val="sr-Latn-CS"/>
              </w:rPr>
              <w:t>primijen</w:t>
            </w:r>
            <w:r w:rsidRPr="00F10A43">
              <w:rPr>
                <w:color w:val="000000"/>
                <w:sz w:val="22"/>
                <w:szCs w:val="22"/>
                <w:lang w:val="sr-Latn-CS"/>
              </w:rPr>
              <w:t xml:space="preserve">iti adekvatnu simptomatsku terapiju. Prijavljeni ishod u ovim slučajevima je bio </w:t>
            </w:r>
            <w:r>
              <w:rPr>
                <w:color w:val="000000"/>
                <w:sz w:val="22"/>
                <w:szCs w:val="22"/>
                <w:lang w:val="sr-Latn-CS"/>
              </w:rPr>
              <w:t>’’</w:t>
            </w:r>
            <w:r w:rsidRPr="00F10A43">
              <w:rPr>
                <w:color w:val="000000"/>
                <w:sz w:val="22"/>
                <w:szCs w:val="22"/>
                <w:lang w:val="sr-Latn-CS"/>
              </w:rPr>
              <w:t>poboljšanje</w:t>
            </w:r>
            <w:r>
              <w:rPr>
                <w:color w:val="000000"/>
                <w:sz w:val="22"/>
                <w:szCs w:val="22"/>
                <w:lang w:val="sr-Latn-CS"/>
              </w:rPr>
              <w:t>’’</w:t>
            </w:r>
            <w:r w:rsidRPr="00F10A43">
              <w:rPr>
                <w:color w:val="000000"/>
                <w:sz w:val="22"/>
                <w:szCs w:val="22"/>
                <w:lang w:val="sr-Latn-CS"/>
              </w:rPr>
              <w:t xml:space="preserve"> ili </w:t>
            </w:r>
            <w:r>
              <w:rPr>
                <w:color w:val="000000"/>
                <w:sz w:val="22"/>
                <w:szCs w:val="22"/>
                <w:lang w:val="sr-Latn-CS"/>
              </w:rPr>
              <w:t>’’</w:t>
            </w:r>
            <w:r w:rsidRPr="00F10A43">
              <w:rPr>
                <w:color w:val="000000"/>
                <w:sz w:val="22"/>
                <w:szCs w:val="22"/>
                <w:lang w:val="sr-Latn-CS"/>
              </w:rPr>
              <w:t>oporavak</w:t>
            </w:r>
            <w:r>
              <w:rPr>
                <w:color w:val="000000"/>
                <w:sz w:val="22"/>
                <w:szCs w:val="22"/>
                <w:lang w:val="sr-Latn-CS"/>
              </w:rPr>
              <w:t>’’</w:t>
            </w:r>
            <w:r w:rsidRPr="00F10A43">
              <w:rPr>
                <w:color w:val="000000"/>
                <w:sz w:val="22"/>
                <w:szCs w:val="22"/>
                <w:lang w:val="sr-Latn-CS"/>
              </w:rPr>
              <w:t>. Događaji koji su prijavljivani kod različitih opsega doza su sl</w:t>
            </w:r>
            <w:r>
              <w:rPr>
                <w:color w:val="000000"/>
                <w:sz w:val="22"/>
                <w:szCs w:val="22"/>
                <w:lang w:val="sr-Latn-CS"/>
              </w:rPr>
              <w:t>j</w:t>
            </w:r>
            <w:r w:rsidRPr="00F10A43">
              <w:rPr>
                <w:color w:val="000000"/>
                <w:sz w:val="22"/>
                <w:szCs w:val="22"/>
                <w:lang w:val="sr-Latn-CS"/>
              </w:rPr>
              <w:t>edeći:</w:t>
            </w:r>
          </w:p>
          <w:p w:rsidR="000A2337" w:rsidRDefault="000A2337" w:rsidP="00161AB3">
            <w:pPr>
              <w:shd w:val="clear" w:color="auto" w:fill="FFFFFF"/>
              <w:spacing w:before="240" w:line="240" w:lineRule="atLeast"/>
              <w:jc w:val="both"/>
              <w:rPr>
                <w:i/>
                <w:color w:val="000000"/>
                <w:sz w:val="22"/>
                <w:szCs w:val="22"/>
                <w:u w:val="single"/>
                <w:lang w:val="sr-Latn-CS"/>
              </w:rPr>
            </w:pPr>
            <w:r w:rsidRPr="005662BB">
              <w:rPr>
                <w:i/>
                <w:color w:val="000000"/>
                <w:sz w:val="22"/>
                <w:szCs w:val="22"/>
                <w:u w:val="single"/>
                <w:lang w:val="sr-Latn-CS"/>
              </w:rPr>
              <w:t>Populacija odraslih osoba</w:t>
            </w:r>
          </w:p>
          <w:p w:rsidR="000A2337" w:rsidRPr="00A9390C" w:rsidRDefault="000A2337" w:rsidP="00161AB3">
            <w:pPr>
              <w:shd w:val="clear" w:color="auto" w:fill="FFFFFF"/>
              <w:spacing w:before="240" w:line="240" w:lineRule="atLeast"/>
              <w:jc w:val="both"/>
              <w:rPr>
                <w:i/>
                <w:color w:val="000000"/>
                <w:sz w:val="22"/>
                <w:szCs w:val="22"/>
                <w:u w:val="single"/>
                <w:lang w:val="sr-Latn-CS"/>
              </w:rPr>
            </w:pPr>
            <w:r w:rsidRPr="000622D4">
              <w:rPr>
                <w:color w:val="000000"/>
                <w:sz w:val="22"/>
                <w:szCs w:val="22"/>
                <w:lang w:val="sr-Latn-CS"/>
              </w:rPr>
              <w:t>1200 do 1600 mg (trajanje</w:t>
            </w:r>
            <w:r w:rsidRPr="00F10A43">
              <w:rPr>
                <w:color w:val="000000"/>
                <w:sz w:val="22"/>
                <w:szCs w:val="22"/>
                <w:lang w:val="sr-Latn-CS"/>
              </w:rPr>
              <w:t xml:space="preserve"> varira od 1 do 10 dana): mučnina, povraćanje, proliv, osip, crvenilo, otok, oticanje, iscrpljenost, grčevi mišića, trombocitopenija, pancitopenija, abdominalni bol, glavobolja, smanjen apetit.</w:t>
            </w:r>
          </w:p>
          <w:p w:rsidR="000A2337" w:rsidRPr="00F10A43" w:rsidRDefault="000A2337" w:rsidP="00161AB3">
            <w:pPr>
              <w:shd w:val="clear" w:color="auto" w:fill="FFFFFF"/>
              <w:jc w:val="both"/>
              <w:rPr>
                <w:color w:val="000000"/>
                <w:sz w:val="22"/>
                <w:szCs w:val="22"/>
                <w:lang w:val="sr-Latn-CS"/>
              </w:rPr>
            </w:pPr>
            <w:r w:rsidRPr="00F10A43">
              <w:rPr>
                <w:color w:val="000000"/>
                <w:sz w:val="22"/>
                <w:szCs w:val="22"/>
                <w:lang w:val="sr-Latn-CS"/>
              </w:rPr>
              <w:t>1800 do 3200 mg (najviše 3200 mg</w:t>
            </w:r>
            <w:r>
              <w:rPr>
                <w:color w:val="000000"/>
                <w:sz w:val="22"/>
                <w:szCs w:val="22"/>
                <w:lang w:val="sr-Latn-CS"/>
              </w:rPr>
              <w:t xml:space="preserve"> dnevno</w:t>
            </w:r>
            <w:r w:rsidRPr="00F10A43">
              <w:rPr>
                <w:color w:val="000000"/>
                <w:sz w:val="22"/>
                <w:szCs w:val="22"/>
                <w:lang w:val="sr-Latn-CS"/>
              </w:rPr>
              <w:t xml:space="preserve"> tokom 6 dana): slabost, mialgija, povećanje </w:t>
            </w:r>
            <w:r>
              <w:rPr>
                <w:color w:val="000000"/>
                <w:sz w:val="22"/>
                <w:szCs w:val="22"/>
                <w:lang w:val="sr-Latn-CS"/>
              </w:rPr>
              <w:t xml:space="preserve">vrijednosti </w:t>
            </w:r>
            <w:r w:rsidRPr="00F10A43">
              <w:rPr>
                <w:color w:val="000000"/>
                <w:sz w:val="22"/>
                <w:szCs w:val="22"/>
                <w:lang w:val="sr-Latn-CS"/>
              </w:rPr>
              <w:t xml:space="preserve">kreatinin fosfokinaze, povećanje </w:t>
            </w:r>
            <w:r>
              <w:rPr>
                <w:color w:val="000000"/>
                <w:sz w:val="22"/>
                <w:szCs w:val="22"/>
                <w:lang w:val="sr-Latn-CS"/>
              </w:rPr>
              <w:t>vrijedno</w:t>
            </w:r>
            <w:r w:rsidRPr="00F10A43">
              <w:rPr>
                <w:color w:val="000000"/>
                <w:sz w:val="22"/>
                <w:szCs w:val="22"/>
                <w:lang w:val="sr-Latn-CS"/>
              </w:rPr>
              <w:t>sti bilirubina, gastrointestinalni bol.</w:t>
            </w:r>
          </w:p>
          <w:p w:rsidR="000A2337" w:rsidRPr="00F10A43" w:rsidRDefault="000A2337" w:rsidP="00161AB3">
            <w:pPr>
              <w:shd w:val="clear" w:color="auto" w:fill="FFFFFF"/>
              <w:jc w:val="both"/>
              <w:rPr>
                <w:color w:val="000000"/>
                <w:sz w:val="22"/>
                <w:szCs w:val="22"/>
                <w:lang w:val="sr-Latn-CS"/>
              </w:rPr>
            </w:pPr>
            <w:r w:rsidRPr="00F10A43">
              <w:rPr>
                <w:color w:val="000000"/>
                <w:sz w:val="22"/>
                <w:szCs w:val="22"/>
                <w:lang w:val="sr-Latn-CS"/>
              </w:rPr>
              <w:lastRenderedPageBreak/>
              <w:t xml:space="preserve">6400 mg (pojedinačna doza): u literaturi je objavljen jedan slučaj pacijenta koji je imao mučninu, povraćanje, abdominalni bol, pireksiju, oticanje lica, smanjen broj neutrofila, povišene </w:t>
            </w:r>
            <w:r>
              <w:rPr>
                <w:color w:val="000000"/>
                <w:sz w:val="22"/>
                <w:szCs w:val="22"/>
                <w:lang w:val="sr-Latn-CS"/>
              </w:rPr>
              <w:t xml:space="preserve">vrijednosti </w:t>
            </w:r>
            <w:r w:rsidRPr="00F10A43">
              <w:rPr>
                <w:color w:val="000000"/>
                <w:sz w:val="22"/>
                <w:szCs w:val="22"/>
                <w:lang w:val="sr-Latn-CS"/>
              </w:rPr>
              <w:t>transaminaz</w:t>
            </w:r>
            <w:r>
              <w:rPr>
                <w:color w:val="000000"/>
                <w:sz w:val="22"/>
                <w:szCs w:val="22"/>
                <w:lang w:val="sr-Latn-CS"/>
              </w:rPr>
              <w:t>a</w:t>
            </w:r>
            <w:r w:rsidRPr="00F10A43">
              <w:rPr>
                <w:color w:val="000000"/>
                <w:sz w:val="22"/>
                <w:szCs w:val="22"/>
                <w:lang w:val="sr-Latn-CS"/>
              </w:rPr>
              <w:t>.</w:t>
            </w:r>
          </w:p>
          <w:p w:rsidR="000A2337" w:rsidRPr="00F10A43" w:rsidRDefault="000A2337" w:rsidP="00161AB3">
            <w:pPr>
              <w:shd w:val="clear" w:color="auto" w:fill="FFFFFF"/>
              <w:jc w:val="both"/>
              <w:rPr>
                <w:color w:val="000000"/>
                <w:sz w:val="22"/>
                <w:szCs w:val="22"/>
                <w:lang w:val="sr-Latn-CS"/>
              </w:rPr>
            </w:pPr>
            <w:r w:rsidRPr="00F10A43">
              <w:rPr>
                <w:color w:val="000000"/>
                <w:sz w:val="22"/>
                <w:szCs w:val="22"/>
                <w:lang w:val="sr-Latn-CS"/>
              </w:rPr>
              <w:t>8 do 10 g (pojedinačna doza): prijavljivan</w:t>
            </w:r>
            <w:r>
              <w:rPr>
                <w:color w:val="000000"/>
                <w:sz w:val="22"/>
                <w:szCs w:val="22"/>
                <w:lang w:val="sr-Latn-CS"/>
              </w:rPr>
              <w:t>i</w:t>
            </w:r>
            <w:r w:rsidRPr="00F10A43">
              <w:rPr>
                <w:color w:val="000000"/>
                <w:sz w:val="22"/>
                <w:szCs w:val="22"/>
                <w:lang w:val="sr-Latn-CS"/>
              </w:rPr>
              <w:t xml:space="preserve"> </w:t>
            </w:r>
            <w:r>
              <w:rPr>
                <w:color w:val="000000"/>
                <w:sz w:val="22"/>
                <w:szCs w:val="22"/>
                <w:lang w:val="sr-Latn-CS"/>
              </w:rPr>
              <w:t>su</w:t>
            </w:r>
            <w:r w:rsidRPr="00F10A43">
              <w:rPr>
                <w:color w:val="000000"/>
                <w:sz w:val="22"/>
                <w:szCs w:val="22"/>
                <w:lang w:val="sr-Latn-CS"/>
              </w:rPr>
              <w:t xml:space="preserve"> povraćanje i gastrointestinalni bol.</w:t>
            </w:r>
          </w:p>
          <w:p w:rsidR="000A2337" w:rsidRPr="00D27278" w:rsidRDefault="000A2337" w:rsidP="00161AB3">
            <w:pPr>
              <w:shd w:val="clear" w:color="auto" w:fill="FFFFFF"/>
              <w:spacing w:before="240" w:line="240" w:lineRule="atLeast"/>
              <w:jc w:val="both"/>
              <w:rPr>
                <w:i/>
                <w:color w:val="000000"/>
                <w:sz w:val="22"/>
                <w:szCs w:val="22"/>
                <w:u w:val="single"/>
                <w:lang w:val="sr-Latn-CS"/>
              </w:rPr>
            </w:pPr>
            <w:r w:rsidRPr="00D27278">
              <w:rPr>
                <w:i/>
                <w:color w:val="000000"/>
                <w:sz w:val="22"/>
                <w:szCs w:val="22"/>
                <w:u w:val="single"/>
                <w:lang w:val="sr-Latn-CS"/>
              </w:rPr>
              <w:t>Pedijatrijska populacija</w:t>
            </w:r>
          </w:p>
          <w:p w:rsidR="000A2337" w:rsidRPr="00F10A43" w:rsidRDefault="000A2337" w:rsidP="00161AB3">
            <w:pPr>
              <w:shd w:val="clear" w:color="auto" w:fill="FFFFFF"/>
              <w:spacing w:before="240" w:line="240" w:lineRule="atLeast"/>
              <w:jc w:val="both"/>
              <w:rPr>
                <w:color w:val="000000"/>
                <w:sz w:val="22"/>
                <w:szCs w:val="22"/>
                <w:lang w:val="sr-Latn-CS"/>
              </w:rPr>
            </w:pPr>
            <w:r w:rsidRPr="00F10A43">
              <w:rPr>
                <w:color w:val="000000"/>
                <w:sz w:val="22"/>
                <w:szCs w:val="22"/>
                <w:lang w:val="sr-Latn-CS"/>
              </w:rPr>
              <w:t>Kod jednog trogodišnjeg d</w:t>
            </w:r>
            <w:r>
              <w:rPr>
                <w:color w:val="000000"/>
                <w:sz w:val="22"/>
                <w:szCs w:val="22"/>
                <w:lang w:val="sr-Latn-CS"/>
              </w:rPr>
              <w:t>j</w:t>
            </w:r>
            <w:r w:rsidRPr="00F10A43">
              <w:rPr>
                <w:color w:val="000000"/>
                <w:sz w:val="22"/>
                <w:szCs w:val="22"/>
                <w:lang w:val="sr-Latn-CS"/>
              </w:rPr>
              <w:t xml:space="preserve">ečaka koji je bio izložen </w:t>
            </w:r>
            <w:r>
              <w:rPr>
                <w:color w:val="000000"/>
                <w:sz w:val="22"/>
                <w:szCs w:val="22"/>
                <w:lang w:val="sr-Latn-CS"/>
              </w:rPr>
              <w:t xml:space="preserve">pojedinačnoj </w:t>
            </w:r>
            <w:r w:rsidRPr="00F10A43">
              <w:rPr>
                <w:color w:val="000000"/>
                <w:sz w:val="22"/>
                <w:szCs w:val="22"/>
                <w:lang w:val="sr-Latn-CS"/>
              </w:rPr>
              <w:t>dozi od 400 mg</w:t>
            </w:r>
            <w:r>
              <w:rPr>
                <w:color w:val="000000"/>
                <w:sz w:val="22"/>
                <w:szCs w:val="22"/>
                <w:lang w:val="sr-Latn-CS"/>
              </w:rPr>
              <w:t xml:space="preserve"> </w:t>
            </w:r>
            <w:r w:rsidRPr="00F10A43">
              <w:rPr>
                <w:color w:val="000000"/>
                <w:sz w:val="22"/>
                <w:szCs w:val="22"/>
                <w:lang w:val="sr-Latn-CS"/>
              </w:rPr>
              <w:t xml:space="preserve"> javilo se povraćanje, proliv i anoreksija</w:t>
            </w:r>
            <w:r>
              <w:rPr>
                <w:color w:val="000000"/>
                <w:sz w:val="22"/>
                <w:szCs w:val="22"/>
                <w:lang w:val="sr-Latn-CS"/>
              </w:rPr>
              <w:t>,</w:t>
            </w:r>
            <w:r w:rsidRPr="00F10A43">
              <w:rPr>
                <w:color w:val="000000"/>
                <w:sz w:val="22"/>
                <w:szCs w:val="22"/>
                <w:lang w:val="sr-Latn-CS"/>
              </w:rPr>
              <w:t xml:space="preserve"> a kod drugog tr</w:t>
            </w:r>
            <w:r>
              <w:rPr>
                <w:color w:val="000000"/>
                <w:sz w:val="22"/>
                <w:szCs w:val="22"/>
                <w:lang w:val="sr-Latn-CS"/>
              </w:rPr>
              <w:t>o</w:t>
            </w:r>
            <w:r w:rsidRPr="00F10A43">
              <w:rPr>
                <w:color w:val="000000"/>
                <w:sz w:val="22"/>
                <w:szCs w:val="22"/>
                <w:lang w:val="sr-Latn-CS"/>
              </w:rPr>
              <w:t>godišnjeg d</w:t>
            </w:r>
            <w:r>
              <w:rPr>
                <w:color w:val="000000"/>
                <w:sz w:val="22"/>
                <w:szCs w:val="22"/>
                <w:lang w:val="sr-Latn-CS"/>
              </w:rPr>
              <w:t>j</w:t>
            </w:r>
            <w:r w:rsidRPr="00F10A43">
              <w:rPr>
                <w:color w:val="000000"/>
                <w:sz w:val="22"/>
                <w:szCs w:val="22"/>
                <w:lang w:val="sr-Latn-CS"/>
              </w:rPr>
              <w:t xml:space="preserve">ečaka koji je bio izložen </w:t>
            </w:r>
            <w:r>
              <w:rPr>
                <w:color w:val="000000"/>
                <w:sz w:val="22"/>
                <w:szCs w:val="22"/>
                <w:lang w:val="sr-Latn-CS"/>
              </w:rPr>
              <w:t xml:space="preserve">pojedinačnoj </w:t>
            </w:r>
            <w:r w:rsidRPr="00F10A43">
              <w:rPr>
                <w:color w:val="000000"/>
                <w:sz w:val="22"/>
                <w:szCs w:val="22"/>
                <w:lang w:val="sr-Latn-CS"/>
              </w:rPr>
              <w:t>dozi od 980 mg došlo je do smanjenja broja leukocita i proliva.</w:t>
            </w:r>
          </w:p>
          <w:p w:rsidR="000A2337" w:rsidRPr="00DC3ACF" w:rsidRDefault="000A2337" w:rsidP="00161AB3">
            <w:pPr>
              <w:shd w:val="clear" w:color="auto" w:fill="FFFFFF"/>
              <w:spacing w:before="240" w:line="240" w:lineRule="atLeast"/>
              <w:jc w:val="both"/>
              <w:rPr>
                <w:sz w:val="22"/>
                <w:szCs w:val="22"/>
                <w:lang w:val="sr-Latn-CS"/>
              </w:rPr>
            </w:pPr>
            <w:r w:rsidRPr="00F10A43">
              <w:rPr>
                <w:color w:val="000000"/>
                <w:sz w:val="22"/>
                <w:szCs w:val="22"/>
                <w:lang w:val="sr-Latn-CS"/>
              </w:rPr>
              <w:t>U slučaju predoziranja pacijenta bi trebalo posmatrati i dati mu adekvatnu suportivnu terapiju.</w:t>
            </w:r>
            <w:r>
              <w:rPr>
                <w:color w:val="000000"/>
                <w:sz w:val="22"/>
                <w:szCs w:val="22"/>
                <w:lang w:val="sr-Latn-CS"/>
              </w:rPr>
              <w:t xml:space="preserve"> </w:t>
            </w:r>
          </w:p>
          <w:p w:rsidR="000A2337" w:rsidRPr="00FF5133" w:rsidRDefault="000A2337" w:rsidP="00161AB3">
            <w:pPr>
              <w:pStyle w:val="Header"/>
              <w:tabs>
                <w:tab w:val="left" w:pos="284"/>
              </w:tabs>
              <w:rPr>
                <w:rFonts w:cs="Arial"/>
                <w:sz w:val="22"/>
                <w:lang w:val="sr-Latn-CS"/>
              </w:rPr>
            </w:pPr>
          </w:p>
        </w:tc>
      </w:tr>
      <w:tr w:rsidR="000A2337" w:rsidRPr="00750E3C" w:rsidTr="007351FF">
        <w:tc>
          <w:tcPr>
            <w:tcW w:w="10188" w:type="dxa"/>
            <w:gridSpan w:val="4"/>
            <w:shd w:val="clear" w:color="auto" w:fill="auto"/>
            <w:vAlign w:val="center"/>
          </w:tcPr>
          <w:p w:rsidR="000A2337" w:rsidRPr="00750E3C" w:rsidRDefault="000A2337" w:rsidP="00161AB3">
            <w:pPr>
              <w:pStyle w:val="Header"/>
              <w:tabs>
                <w:tab w:val="left" w:pos="284"/>
              </w:tabs>
              <w:rPr>
                <w:rFonts w:cs="Arial"/>
                <w:b/>
                <w:bCs/>
                <w:sz w:val="22"/>
              </w:rPr>
            </w:pPr>
            <w:r w:rsidRPr="00750E3C">
              <w:rPr>
                <w:rFonts w:cs="Arial"/>
                <w:b/>
                <w:bCs/>
                <w:sz w:val="22"/>
              </w:rPr>
              <w:lastRenderedPageBreak/>
              <w:t>5. FARMAKOLOŠKI PODACI</w:t>
            </w:r>
          </w:p>
        </w:tc>
      </w:tr>
      <w:tr w:rsidR="000A2337" w:rsidRPr="00750E3C" w:rsidTr="00161AB3">
        <w:tc>
          <w:tcPr>
            <w:tcW w:w="10188" w:type="dxa"/>
            <w:gridSpan w:val="4"/>
            <w:vAlign w:val="center"/>
          </w:tcPr>
          <w:p w:rsidR="00847E59" w:rsidRDefault="00847E59" w:rsidP="00161AB3">
            <w:pPr>
              <w:pStyle w:val="Header"/>
              <w:tabs>
                <w:tab w:val="left" w:pos="284"/>
              </w:tabs>
              <w:spacing w:before="80" w:after="80"/>
              <w:rPr>
                <w:rFonts w:cs="Arial"/>
                <w:b/>
                <w:bCs/>
                <w:sz w:val="22"/>
              </w:rPr>
            </w:pPr>
          </w:p>
          <w:p w:rsidR="000A2337" w:rsidRPr="00750E3C" w:rsidRDefault="000A2337" w:rsidP="00161AB3">
            <w:pPr>
              <w:pStyle w:val="Header"/>
              <w:tabs>
                <w:tab w:val="left" w:pos="284"/>
              </w:tabs>
              <w:spacing w:before="80" w:after="80"/>
              <w:rPr>
                <w:rFonts w:cs="Arial"/>
                <w:b/>
                <w:bCs/>
                <w:sz w:val="22"/>
              </w:rPr>
            </w:pPr>
            <w:r w:rsidRPr="00750E3C">
              <w:rPr>
                <w:rFonts w:cs="Arial"/>
                <w:b/>
                <w:bCs/>
                <w:sz w:val="22"/>
              </w:rPr>
              <w:t>5.1. Farmakodinamski podaci</w:t>
            </w:r>
          </w:p>
        </w:tc>
      </w:tr>
      <w:tr w:rsidR="000A2337" w:rsidRPr="00750E3C" w:rsidTr="00161AB3">
        <w:trPr>
          <w:trHeight w:val="576"/>
        </w:trPr>
        <w:tc>
          <w:tcPr>
            <w:tcW w:w="2808" w:type="dxa"/>
            <w:gridSpan w:val="3"/>
            <w:vAlign w:val="center"/>
          </w:tcPr>
          <w:p w:rsidR="000A2337" w:rsidRPr="00750E3C" w:rsidRDefault="000A2337" w:rsidP="00161AB3">
            <w:pPr>
              <w:pStyle w:val="Header"/>
              <w:tabs>
                <w:tab w:val="left" w:pos="284"/>
              </w:tabs>
              <w:rPr>
                <w:rFonts w:cs="Arial"/>
                <w:b/>
                <w:bCs/>
                <w:sz w:val="22"/>
              </w:rPr>
            </w:pPr>
            <w:r w:rsidRPr="00750E3C">
              <w:rPr>
                <w:rFonts w:cs="Arial"/>
                <w:b/>
                <w:bCs/>
                <w:sz w:val="22"/>
              </w:rPr>
              <w:t>Farmakoterapijska grupa:</w:t>
            </w:r>
          </w:p>
        </w:tc>
        <w:tc>
          <w:tcPr>
            <w:tcW w:w="7380" w:type="dxa"/>
            <w:vAlign w:val="center"/>
          </w:tcPr>
          <w:p w:rsidR="000A2337" w:rsidRPr="00750E3C" w:rsidRDefault="000A2337" w:rsidP="00161AB3">
            <w:pPr>
              <w:pStyle w:val="Header"/>
              <w:tabs>
                <w:tab w:val="left" w:pos="284"/>
              </w:tabs>
              <w:rPr>
                <w:rFonts w:cs="Arial"/>
                <w:sz w:val="22"/>
              </w:rPr>
            </w:pPr>
            <w:r w:rsidRPr="00750E3C">
              <w:rPr>
                <w:rFonts w:cs="Arial"/>
                <w:sz w:val="22"/>
              </w:rPr>
              <w:t>inhibitor protein-tiro</w:t>
            </w:r>
            <w:r w:rsidRPr="00750E3C">
              <w:rPr>
                <w:rFonts w:cs="Arial"/>
                <w:sz w:val="22"/>
                <w:lang w:val="sr-Latn-CS"/>
              </w:rPr>
              <w:t>zin kinaze</w:t>
            </w:r>
          </w:p>
        </w:tc>
      </w:tr>
      <w:tr w:rsidR="000A2337" w:rsidRPr="00750E3C" w:rsidTr="00161AB3">
        <w:trPr>
          <w:trHeight w:val="542"/>
        </w:trPr>
        <w:tc>
          <w:tcPr>
            <w:tcW w:w="1188" w:type="dxa"/>
            <w:gridSpan w:val="2"/>
            <w:vAlign w:val="center"/>
          </w:tcPr>
          <w:p w:rsidR="000A2337" w:rsidRPr="00750E3C" w:rsidRDefault="000A2337" w:rsidP="00161AB3">
            <w:pPr>
              <w:pStyle w:val="Header"/>
              <w:tabs>
                <w:tab w:val="left" w:pos="284"/>
              </w:tabs>
              <w:rPr>
                <w:rFonts w:cs="Arial"/>
                <w:b/>
                <w:bCs/>
                <w:sz w:val="22"/>
              </w:rPr>
            </w:pPr>
            <w:r w:rsidRPr="00750E3C">
              <w:rPr>
                <w:rFonts w:cs="Arial"/>
                <w:b/>
                <w:bCs/>
                <w:sz w:val="22"/>
              </w:rPr>
              <w:t>ATC kod:</w:t>
            </w:r>
          </w:p>
        </w:tc>
        <w:tc>
          <w:tcPr>
            <w:tcW w:w="9000" w:type="dxa"/>
            <w:gridSpan w:val="2"/>
            <w:vAlign w:val="center"/>
          </w:tcPr>
          <w:p w:rsidR="000A2337" w:rsidRPr="00750E3C" w:rsidRDefault="000A2337" w:rsidP="00463E8C">
            <w:pPr>
              <w:pStyle w:val="Header"/>
              <w:tabs>
                <w:tab w:val="left" w:pos="284"/>
              </w:tabs>
              <w:rPr>
                <w:rFonts w:cs="Arial"/>
                <w:sz w:val="22"/>
              </w:rPr>
            </w:pPr>
            <w:r w:rsidRPr="00750E3C">
              <w:rPr>
                <w:rFonts w:cs="Arial"/>
                <w:sz w:val="22"/>
              </w:rPr>
              <w:t>L</w:t>
            </w:r>
            <w:r w:rsidR="00463E8C">
              <w:rPr>
                <w:rFonts w:cs="Arial"/>
                <w:sz w:val="22"/>
              </w:rPr>
              <w:t>0</w:t>
            </w:r>
            <w:r w:rsidRPr="00750E3C">
              <w:rPr>
                <w:rFonts w:cs="Arial"/>
                <w:sz w:val="22"/>
              </w:rPr>
              <w:t>1X</w:t>
            </w:r>
            <w:r>
              <w:rPr>
                <w:rFonts w:cs="Arial"/>
                <w:sz w:val="22"/>
              </w:rPr>
              <w:t>E01</w:t>
            </w:r>
          </w:p>
        </w:tc>
      </w:tr>
      <w:tr w:rsidR="000A2337" w:rsidRPr="009D18B1" w:rsidTr="00161AB3">
        <w:trPr>
          <w:trHeight w:val="1145"/>
        </w:trPr>
        <w:tc>
          <w:tcPr>
            <w:tcW w:w="10188" w:type="dxa"/>
            <w:gridSpan w:val="4"/>
            <w:vAlign w:val="center"/>
          </w:tcPr>
          <w:p w:rsidR="000A2337" w:rsidRPr="004A54F1" w:rsidRDefault="000A2337" w:rsidP="00161AB3">
            <w:pPr>
              <w:shd w:val="clear" w:color="auto" w:fill="FFFFFF"/>
              <w:jc w:val="both"/>
              <w:rPr>
                <w:color w:val="000000"/>
                <w:sz w:val="22"/>
                <w:szCs w:val="22"/>
                <w:u w:val="single"/>
                <w:lang w:val="sr-Latn-CS"/>
              </w:rPr>
            </w:pPr>
            <w:r w:rsidRPr="004A54F1">
              <w:rPr>
                <w:color w:val="000000"/>
                <w:sz w:val="22"/>
                <w:szCs w:val="22"/>
                <w:u w:val="single"/>
                <w:lang w:val="sr-Latn-CS"/>
              </w:rPr>
              <w:t>Mehanizam dejstva</w:t>
            </w:r>
          </w:p>
          <w:p w:rsidR="000A2337" w:rsidRPr="008D0875" w:rsidRDefault="000A2337" w:rsidP="00161AB3">
            <w:pPr>
              <w:jc w:val="both"/>
              <w:rPr>
                <w:sz w:val="22"/>
                <w:szCs w:val="22"/>
                <w:lang w:val="sr-Latn-CS"/>
              </w:rPr>
            </w:pPr>
            <w:r w:rsidRPr="00873A58">
              <w:rPr>
                <w:color w:val="000000"/>
                <w:sz w:val="22"/>
                <w:szCs w:val="22"/>
                <w:lang w:val="sr-Latn-CS"/>
              </w:rPr>
              <w:t>Imatinib je</w:t>
            </w:r>
            <w:r>
              <w:rPr>
                <w:color w:val="000000"/>
                <w:sz w:val="22"/>
                <w:szCs w:val="22"/>
                <w:lang w:val="sr-Latn-CS"/>
              </w:rPr>
              <w:t xml:space="preserve"> mali molekul </w:t>
            </w:r>
            <w:r w:rsidRPr="00873A58">
              <w:rPr>
                <w:color w:val="000000"/>
                <w:sz w:val="22"/>
                <w:szCs w:val="22"/>
                <w:lang w:val="sr-Latn-CS"/>
              </w:rPr>
              <w:t xml:space="preserve"> inhibitor protein-tirozin kinaze koji </w:t>
            </w:r>
            <w:r>
              <w:rPr>
                <w:color w:val="000000"/>
                <w:sz w:val="22"/>
                <w:szCs w:val="22"/>
                <w:lang w:val="sr-Latn-CS"/>
              </w:rPr>
              <w:t>snažno</w:t>
            </w:r>
            <w:r w:rsidRPr="00B57902">
              <w:rPr>
                <w:color w:val="000000"/>
                <w:sz w:val="22"/>
                <w:szCs w:val="22"/>
                <w:lang w:val="sr-Latn-CS"/>
              </w:rPr>
              <w:t xml:space="preserve"> inhibira Bcr-Abl tirozin kinazu</w:t>
            </w:r>
            <w:r>
              <w:rPr>
                <w:color w:val="000000"/>
                <w:sz w:val="22"/>
                <w:szCs w:val="22"/>
                <w:lang w:val="sr-Latn-CS"/>
              </w:rPr>
              <w:t xml:space="preserve"> (TK),</w:t>
            </w:r>
            <w:r w:rsidRPr="00B57902">
              <w:rPr>
                <w:color w:val="000000"/>
                <w:sz w:val="22"/>
                <w:szCs w:val="22"/>
                <w:lang w:val="sr-Latn-CS"/>
              </w:rPr>
              <w:t xml:space="preserve"> </w:t>
            </w:r>
            <w:r w:rsidRPr="008D0875">
              <w:rPr>
                <w:sz w:val="22"/>
                <w:szCs w:val="22"/>
                <w:lang w:val="sr-Latn-CS"/>
              </w:rPr>
              <w:t xml:space="preserve">kao i nekoliko TK </w:t>
            </w:r>
            <w:r>
              <w:rPr>
                <w:sz w:val="22"/>
                <w:szCs w:val="22"/>
                <w:lang w:val="sr-Latn-CS"/>
              </w:rPr>
              <w:t>receptora</w:t>
            </w:r>
            <w:r w:rsidRPr="008D0875">
              <w:rPr>
                <w:sz w:val="22"/>
                <w:szCs w:val="22"/>
                <w:lang w:val="sr-Latn-CS"/>
              </w:rPr>
              <w:t>: Kit, receptor za faktor matičnih ćelija (SCF</w:t>
            </w:r>
            <w:r>
              <w:rPr>
                <w:sz w:val="22"/>
                <w:szCs w:val="22"/>
                <w:lang w:val="sr-Latn-CS"/>
              </w:rPr>
              <w:t>-stem cell factor</w:t>
            </w:r>
            <w:r w:rsidRPr="008D0875">
              <w:rPr>
                <w:sz w:val="22"/>
                <w:szCs w:val="22"/>
                <w:lang w:val="sr-Latn-CS"/>
              </w:rPr>
              <w:t>), kodiran C-Kit proto-onkogenom, diskoi</w:t>
            </w:r>
            <w:r>
              <w:rPr>
                <w:sz w:val="22"/>
                <w:szCs w:val="22"/>
                <w:lang w:val="sr-Latn-CS"/>
              </w:rPr>
              <w:t>din domen receptore (DDR1 i DDR</w:t>
            </w:r>
            <w:r w:rsidRPr="008D0875">
              <w:rPr>
                <w:sz w:val="22"/>
                <w:szCs w:val="22"/>
                <w:lang w:val="sr-Latn-CS"/>
              </w:rPr>
              <w:t xml:space="preserve">2), receptor </w:t>
            </w:r>
            <w:r w:rsidRPr="008D0875">
              <w:rPr>
                <w:color w:val="000000"/>
                <w:sz w:val="22"/>
                <w:szCs w:val="22"/>
                <w:lang w:val="sr-Latn-CS"/>
              </w:rPr>
              <w:t xml:space="preserve">faktora stimulacije kolonija </w:t>
            </w:r>
            <w:r w:rsidRPr="008D0875">
              <w:rPr>
                <w:sz w:val="22"/>
                <w:szCs w:val="22"/>
                <w:lang w:val="sr-Latn-CS"/>
              </w:rPr>
              <w:t>(CSF-1R) i alfa i beta receptore za trombocitni faktor rasta (PDGFR-alfa i PDGFR-beta). Imatinib takođe može inhibirati ćelijske događaje do kojih dolazi aktivacijom ovih receptorskih kinaza.</w:t>
            </w:r>
          </w:p>
          <w:p w:rsidR="000A2337" w:rsidRDefault="000A2337" w:rsidP="00161AB3">
            <w:pPr>
              <w:shd w:val="clear" w:color="auto" w:fill="FFFFFF"/>
              <w:jc w:val="both"/>
              <w:rPr>
                <w:color w:val="000000"/>
                <w:sz w:val="22"/>
                <w:szCs w:val="22"/>
                <w:lang w:val="sr-Latn-CS"/>
              </w:rPr>
            </w:pPr>
          </w:p>
          <w:p w:rsidR="000A2337" w:rsidRDefault="000A2337" w:rsidP="00161AB3">
            <w:pPr>
              <w:shd w:val="clear" w:color="auto" w:fill="FFFFFF"/>
              <w:jc w:val="both"/>
              <w:rPr>
                <w:color w:val="000000"/>
                <w:sz w:val="22"/>
                <w:szCs w:val="22"/>
                <w:u w:val="single"/>
                <w:lang w:val="sr-Latn-CS"/>
              </w:rPr>
            </w:pPr>
            <w:r w:rsidRPr="008D0875">
              <w:rPr>
                <w:color w:val="000000"/>
                <w:sz w:val="22"/>
                <w:szCs w:val="22"/>
                <w:u w:val="single"/>
                <w:lang w:val="sr-Latn-CS"/>
              </w:rPr>
              <w:t>Farmakodinamski efekti</w:t>
            </w:r>
          </w:p>
          <w:p w:rsidR="000A2337" w:rsidRPr="00B57902" w:rsidRDefault="000A2337" w:rsidP="00161AB3">
            <w:pPr>
              <w:shd w:val="clear" w:color="auto" w:fill="FFFFFF"/>
              <w:jc w:val="both"/>
              <w:rPr>
                <w:i/>
                <w:iCs/>
                <w:color w:val="000000"/>
                <w:sz w:val="22"/>
                <w:szCs w:val="22"/>
                <w:lang w:val="sr-Latn-CS"/>
              </w:rPr>
            </w:pPr>
            <w:r w:rsidRPr="00873A58">
              <w:rPr>
                <w:color w:val="000000"/>
                <w:sz w:val="22"/>
                <w:szCs w:val="22"/>
                <w:lang w:val="sr-Latn-CS"/>
              </w:rPr>
              <w:t xml:space="preserve">Imatinib je inhibitor protein-tirozin kinaze koji </w:t>
            </w:r>
            <w:r>
              <w:rPr>
                <w:color w:val="000000"/>
                <w:sz w:val="22"/>
                <w:szCs w:val="22"/>
                <w:lang w:val="sr-Latn-CS"/>
              </w:rPr>
              <w:t>snažno</w:t>
            </w:r>
            <w:r w:rsidRPr="00873A58">
              <w:rPr>
                <w:color w:val="000000"/>
                <w:sz w:val="22"/>
                <w:szCs w:val="22"/>
                <w:lang w:val="sr-Latn-CS"/>
              </w:rPr>
              <w:t xml:space="preserve"> inhibiše Bcr-Abl tirozin kinazu u </w:t>
            </w:r>
            <w:r w:rsidRPr="00B57902">
              <w:rPr>
                <w:color w:val="000000"/>
                <w:sz w:val="22"/>
                <w:szCs w:val="22"/>
                <w:lang w:val="sr-Latn-CS"/>
              </w:rPr>
              <w:t xml:space="preserve"> </w:t>
            </w:r>
            <w:r w:rsidRPr="00B57902">
              <w:rPr>
                <w:i/>
                <w:iCs/>
                <w:color w:val="000000"/>
                <w:sz w:val="22"/>
                <w:szCs w:val="22"/>
                <w:lang w:val="sr-Latn-CS"/>
              </w:rPr>
              <w:t xml:space="preserve">in vitro, </w:t>
            </w:r>
            <w:r w:rsidRPr="007D7E32">
              <w:rPr>
                <w:iCs/>
                <w:color w:val="000000"/>
                <w:sz w:val="22"/>
                <w:szCs w:val="22"/>
                <w:lang w:val="sr-Latn-CS"/>
              </w:rPr>
              <w:t>ćelijskim</w:t>
            </w:r>
            <w:r w:rsidRPr="00B57902">
              <w:rPr>
                <w:color w:val="000000"/>
                <w:sz w:val="22"/>
                <w:szCs w:val="22"/>
                <w:lang w:val="sr-Latn-CS"/>
              </w:rPr>
              <w:t xml:space="preserve"> i </w:t>
            </w:r>
            <w:r w:rsidRPr="00B57902">
              <w:rPr>
                <w:i/>
                <w:iCs/>
                <w:color w:val="000000"/>
                <w:sz w:val="22"/>
                <w:szCs w:val="22"/>
                <w:lang w:val="sr-Latn-CS"/>
              </w:rPr>
              <w:t xml:space="preserve">in vivo </w:t>
            </w:r>
            <w:r w:rsidRPr="00B57902">
              <w:rPr>
                <w:color w:val="000000"/>
                <w:sz w:val="22"/>
                <w:szCs w:val="22"/>
                <w:lang w:val="sr-Latn-CS"/>
              </w:rPr>
              <w:t xml:space="preserve">uslovima. Jedinjenje selektivno inhibira proliferaciju i indukuje apoptozu kod Bcr-Abl pozitivnih linija ćelija, kao i kod </w:t>
            </w:r>
            <w:r>
              <w:rPr>
                <w:color w:val="000000"/>
                <w:sz w:val="22"/>
                <w:szCs w:val="22"/>
                <w:lang w:val="sr-Latn-CS"/>
              </w:rPr>
              <w:t>svježih</w:t>
            </w:r>
            <w:r w:rsidRPr="00B57902">
              <w:rPr>
                <w:color w:val="000000"/>
                <w:sz w:val="22"/>
                <w:szCs w:val="22"/>
                <w:lang w:val="sr-Latn-CS"/>
              </w:rPr>
              <w:t xml:space="preserve"> leukemijskih ćelija kod pacijenata sa Filadelfija hromozom pozitivnom CML i akutnom limfoblastnom leukemijom (</w:t>
            </w:r>
            <w:smartTag w:uri="urn:schemas-microsoft-com:office:smarttags" w:element="stockticker">
              <w:r w:rsidRPr="00B57902">
                <w:rPr>
                  <w:color w:val="000000"/>
                  <w:sz w:val="22"/>
                  <w:szCs w:val="22"/>
                  <w:lang w:val="sr-Latn-CS"/>
                </w:rPr>
                <w:t>ALL</w:t>
              </w:r>
            </w:smartTag>
            <w:r w:rsidRPr="00B57902">
              <w:rPr>
                <w:color w:val="000000"/>
                <w:sz w:val="22"/>
                <w:szCs w:val="22"/>
                <w:lang w:val="sr-Latn-CS"/>
              </w:rPr>
              <w:t>).</w:t>
            </w:r>
          </w:p>
          <w:p w:rsidR="000A2337" w:rsidRPr="005D79B9" w:rsidRDefault="000A2337" w:rsidP="00161AB3">
            <w:pPr>
              <w:shd w:val="clear" w:color="auto" w:fill="FFFFFF"/>
              <w:spacing w:before="235" w:line="240" w:lineRule="atLeast"/>
              <w:jc w:val="both"/>
              <w:rPr>
                <w:color w:val="000000"/>
                <w:sz w:val="22"/>
                <w:szCs w:val="22"/>
                <w:lang w:val="sr-Latn-CS"/>
              </w:rPr>
            </w:pPr>
            <w:r w:rsidRPr="00B57902">
              <w:rPr>
                <w:i/>
                <w:iCs/>
                <w:color w:val="000000"/>
                <w:sz w:val="22"/>
                <w:szCs w:val="22"/>
                <w:lang w:val="sr-Latn-CS"/>
              </w:rPr>
              <w:t xml:space="preserve">In vivo </w:t>
            </w:r>
            <w:r w:rsidRPr="00B57902">
              <w:rPr>
                <w:color w:val="000000"/>
                <w:sz w:val="22"/>
                <w:szCs w:val="22"/>
                <w:lang w:val="sr-Latn-CS"/>
              </w:rPr>
              <w:t xml:space="preserve">jedinjenje pokazuje antitumorsku aktivnost kao pojedinačni lijek na životinjskim modelima korišćenjem Bcr-Abl pozitivnih tumorskih ćelija. </w:t>
            </w:r>
          </w:p>
          <w:p w:rsidR="000A2337" w:rsidRDefault="000A2337" w:rsidP="00161AB3">
            <w:pPr>
              <w:shd w:val="clear" w:color="auto" w:fill="FFFFFF"/>
              <w:spacing w:before="235" w:line="240" w:lineRule="atLeast"/>
              <w:jc w:val="both"/>
              <w:rPr>
                <w:color w:val="000000"/>
                <w:sz w:val="22"/>
                <w:szCs w:val="22"/>
                <w:lang w:val="sr-Latn-CS"/>
              </w:rPr>
            </w:pPr>
            <w:r w:rsidRPr="00B57902">
              <w:rPr>
                <w:color w:val="000000"/>
                <w:sz w:val="22"/>
                <w:szCs w:val="22"/>
                <w:lang w:val="sr-Latn-CS"/>
              </w:rPr>
              <w:t>Imatinib je takođe i inhibitor receptorskih tirozin kinaza za trombocitni faktor rasta (PDGF), PDGF-R</w:t>
            </w:r>
            <w:r>
              <w:rPr>
                <w:color w:val="000000"/>
                <w:sz w:val="22"/>
                <w:szCs w:val="22"/>
                <w:lang w:val="sr-Latn-CS"/>
              </w:rPr>
              <w:t xml:space="preserve"> </w:t>
            </w:r>
            <w:r w:rsidRPr="00873A58">
              <w:rPr>
                <w:color w:val="000000"/>
                <w:sz w:val="22"/>
                <w:szCs w:val="22"/>
                <w:lang w:val="sr-Latn-CS"/>
              </w:rPr>
              <w:t>a inhibi</w:t>
            </w:r>
            <w:r>
              <w:rPr>
                <w:color w:val="000000"/>
                <w:sz w:val="22"/>
                <w:szCs w:val="22"/>
                <w:lang w:val="sr-Latn-CS"/>
              </w:rPr>
              <w:t xml:space="preserve">ra </w:t>
            </w:r>
            <w:r w:rsidRPr="00873A58">
              <w:rPr>
                <w:color w:val="000000"/>
                <w:sz w:val="22"/>
                <w:szCs w:val="22"/>
                <w:lang w:val="sr-Latn-CS"/>
              </w:rPr>
              <w:t>ćelijske događaje posredovane</w:t>
            </w:r>
            <w:r>
              <w:rPr>
                <w:color w:val="000000"/>
                <w:sz w:val="22"/>
                <w:szCs w:val="22"/>
                <w:lang w:val="sr-Latn-CS"/>
              </w:rPr>
              <w:t xml:space="preserve"> PDGF-om</w:t>
            </w:r>
            <w:r w:rsidRPr="00873A58">
              <w:rPr>
                <w:color w:val="000000"/>
                <w:sz w:val="22"/>
                <w:szCs w:val="22"/>
                <w:lang w:val="sr-Latn-CS"/>
              </w:rPr>
              <w:t xml:space="preserve">. </w:t>
            </w:r>
            <w:r>
              <w:rPr>
                <w:color w:val="000000"/>
                <w:sz w:val="22"/>
                <w:szCs w:val="22"/>
                <w:lang w:val="sr-Latn-CS"/>
              </w:rPr>
              <w:t xml:space="preserve">U patogenezu </w:t>
            </w:r>
            <w:r w:rsidRPr="00F55814">
              <w:rPr>
                <w:color w:val="000000"/>
                <w:sz w:val="22"/>
                <w:szCs w:val="22"/>
                <w:lang w:val="sr-Latn-CS"/>
              </w:rPr>
              <w:t>MDS/MPD-a</w:t>
            </w:r>
            <w:r>
              <w:rPr>
                <w:color w:val="000000"/>
                <w:sz w:val="22"/>
                <w:szCs w:val="22"/>
                <w:lang w:val="sr-Latn-CS"/>
              </w:rPr>
              <w:t xml:space="preserve">, </w:t>
            </w:r>
            <w:r w:rsidRPr="00F55814">
              <w:rPr>
                <w:i/>
                <w:iCs/>
                <w:color w:val="000000"/>
                <w:sz w:val="22"/>
                <w:szCs w:val="22"/>
                <w:lang w:val="sr-Latn-CS"/>
              </w:rPr>
              <w:t xml:space="preserve"> </w:t>
            </w:r>
            <w:r w:rsidRPr="00675DF7">
              <w:rPr>
                <w:color w:val="000000"/>
                <w:sz w:val="22"/>
                <w:szCs w:val="22"/>
                <w:lang w:val="sr-Latn-CS"/>
              </w:rPr>
              <w:t>HES/CEL</w:t>
            </w:r>
            <w:r>
              <w:rPr>
                <w:color w:val="000000"/>
                <w:sz w:val="22"/>
                <w:szCs w:val="22"/>
                <w:lang w:val="sr-Latn-CS"/>
              </w:rPr>
              <w:t>-a</w:t>
            </w:r>
            <w:r w:rsidRPr="00675DF7">
              <w:rPr>
                <w:color w:val="000000"/>
                <w:sz w:val="22"/>
                <w:szCs w:val="22"/>
                <w:lang w:val="sr-Latn-CS"/>
              </w:rPr>
              <w:t xml:space="preserve"> i DFSP</w:t>
            </w:r>
            <w:r>
              <w:rPr>
                <w:color w:val="000000"/>
                <w:sz w:val="22"/>
                <w:szCs w:val="22"/>
                <w:lang w:val="sr-Latn-CS"/>
              </w:rPr>
              <w:t>-a uključena je ili k</w:t>
            </w:r>
            <w:r w:rsidRPr="00675DF7">
              <w:rPr>
                <w:color w:val="000000"/>
                <w:sz w:val="22"/>
                <w:szCs w:val="22"/>
                <w:lang w:val="sr-Latn-CS"/>
              </w:rPr>
              <w:t xml:space="preserve">onstitutivna aktivacija PDGF receptora </w:t>
            </w:r>
            <w:r>
              <w:rPr>
                <w:color w:val="000000"/>
                <w:sz w:val="22"/>
                <w:szCs w:val="22"/>
                <w:lang w:val="sr-Latn-CS"/>
              </w:rPr>
              <w:t>ili Abl protein-tirozin kinaza koji nastaje kao posljedica fuzije</w:t>
            </w:r>
            <w:r w:rsidRPr="00675DF7">
              <w:rPr>
                <w:sz w:val="22"/>
                <w:szCs w:val="22"/>
                <w:lang w:val="sr-Latn-CS"/>
              </w:rPr>
              <w:t xml:space="preserve"> sa r</w:t>
            </w:r>
            <w:r w:rsidRPr="00675DF7">
              <w:rPr>
                <w:color w:val="000000"/>
                <w:sz w:val="22"/>
                <w:szCs w:val="22"/>
                <w:lang w:val="sr-Latn-CS"/>
              </w:rPr>
              <w:t>aznim partnerskim proteinima</w:t>
            </w:r>
            <w:r>
              <w:rPr>
                <w:color w:val="000000"/>
                <w:sz w:val="22"/>
                <w:szCs w:val="22"/>
                <w:lang w:val="sr-Latn-CS"/>
              </w:rPr>
              <w:t xml:space="preserve"> </w:t>
            </w:r>
            <w:r w:rsidRPr="00675DF7">
              <w:rPr>
                <w:color w:val="000000"/>
                <w:sz w:val="22"/>
                <w:szCs w:val="22"/>
                <w:lang w:val="sr-Latn-CS"/>
              </w:rPr>
              <w:t>ili konstitutivna produkc</w:t>
            </w:r>
            <w:r>
              <w:rPr>
                <w:color w:val="000000"/>
                <w:sz w:val="22"/>
                <w:szCs w:val="22"/>
                <w:lang w:val="sr-Latn-CS"/>
              </w:rPr>
              <w:t>ija PDGF.</w:t>
            </w:r>
            <w:r w:rsidRPr="00675DF7">
              <w:rPr>
                <w:color w:val="000000"/>
                <w:sz w:val="22"/>
                <w:szCs w:val="22"/>
                <w:lang w:val="sr-Latn-CS"/>
              </w:rPr>
              <w:t xml:space="preserve"> Imatinib inhibira slanje signala i proliferaciju ćelija koje pokreće neregulisani PDGFR i aktivnost Abl kinaze.</w:t>
            </w:r>
          </w:p>
          <w:p w:rsidR="000A2337" w:rsidRPr="003E2C64" w:rsidRDefault="000A2337" w:rsidP="00161AB3">
            <w:pPr>
              <w:shd w:val="clear" w:color="auto" w:fill="FFFFFF"/>
              <w:spacing w:before="235" w:line="240" w:lineRule="atLeast"/>
              <w:jc w:val="both"/>
              <w:rPr>
                <w:color w:val="000000"/>
                <w:sz w:val="22"/>
                <w:szCs w:val="22"/>
                <w:lang w:val="sr-Latn-CS"/>
              </w:rPr>
            </w:pPr>
            <w:r w:rsidRPr="00675DF7">
              <w:rPr>
                <w:color w:val="000000"/>
                <w:sz w:val="22"/>
                <w:szCs w:val="22"/>
                <w:u w:val="single"/>
                <w:lang w:val="sr-Latn-CS"/>
              </w:rPr>
              <w:t>Kliničke studije kod hronične mijeloidne leukemije (CML)</w:t>
            </w:r>
          </w:p>
          <w:p w:rsidR="000A2337" w:rsidRDefault="000A2337" w:rsidP="00161AB3">
            <w:pPr>
              <w:shd w:val="clear" w:color="auto" w:fill="FFFFFF"/>
              <w:spacing w:line="240" w:lineRule="atLeast"/>
              <w:jc w:val="both"/>
              <w:rPr>
                <w:color w:val="000000"/>
                <w:sz w:val="22"/>
                <w:szCs w:val="22"/>
                <w:lang w:val="sr-Latn-CS"/>
              </w:rPr>
            </w:pPr>
            <w:r w:rsidRPr="00675DF7">
              <w:rPr>
                <w:color w:val="000000"/>
                <w:sz w:val="22"/>
                <w:szCs w:val="22"/>
                <w:lang w:val="sr-Latn-CS"/>
              </w:rPr>
              <w:t xml:space="preserve">Efikasnost </w:t>
            </w:r>
            <w:r>
              <w:rPr>
                <w:color w:val="000000"/>
                <w:sz w:val="22"/>
                <w:szCs w:val="22"/>
                <w:lang w:val="sr-Latn-CS"/>
              </w:rPr>
              <w:t>i</w:t>
            </w:r>
            <w:r>
              <w:rPr>
                <w:bCs/>
                <w:sz w:val="22"/>
                <w:szCs w:val="22"/>
                <w:lang w:val="da-DK"/>
              </w:rPr>
              <w:t>matiniba je</w:t>
            </w:r>
            <w:r w:rsidRPr="00675DF7">
              <w:rPr>
                <w:bCs/>
                <w:sz w:val="22"/>
                <w:szCs w:val="22"/>
                <w:vertAlign w:val="superscript"/>
                <w:lang w:val="da-DK"/>
              </w:rPr>
              <w:t xml:space="preserve">  </w:t>
            </w:r>
            <w:r w:rsidRPr="00675DF7">
              <w:rPr>
                <w:sz w:val="22"/>
                <w:szCs w:val="22"/>
                <w:lang w:val="sr-Latn-CS"/>
              </w:rPr>
              <w:t>zasnovana</w:t>
            </w:r>
            <w:r>
              <w:rPr>
                <w:sz w:val="22"/>
                <w:szCs w:val="22"/>
                <w:lang w:val="sr-Latn-CS"/>
              </w:rPr>
              <w:t xml:space="preserve"> na ukupnim</w:t>
            </w:r>
            <w:r w:rsidRPr="00675DF7">
              <w:rPr>
                <w:bCs/>
                <w:sz w:val="22"/>
                <w:szCs w:val="22"/>
                <w:lang w:val="da-DK"/>
              </w:rPr>
              <w:t xml:space="preserve"> hematološk</w:t>
            </w:r>
            <w:r>
              <w:rPr>
                <w:bCs/>
                <w:sz w:val="22"/>
                <w:szCs w:val="22"/>
                <w:lang w:val="da-DK"/>
              </w:rPr>
              <w:t>im</w:t>
            </w:r>
            <w:r w:rsidRPr="00675DF7">
              <w:rPr>
                <w:bCs/>
                <w:sz w:val="22"/>
                <w:szCs w:val="22"/>
                <w:lang w:val="da-DK"/>
              </w:rPr>
              <w:t xml:space="preserve"> i citogenetsk</w:t>
            </w:r>
            <w:r>
              <w:rPr>
                <w:bCs/>
                <w:sz w:val="22"/>
                <w:szCs w:val="22"/>
                <w:lang w:val="da-DK"/>
              </w:rPr>
              <w:t>im</w:t>
            </w:r>
            <w:r w:rsidRPr="00675DF7">
              <w:rPr>
                <w:bCs/>
                <w:sz w:val="22"/>
                <w:szCs w:val="22"/>
                <w:lang w:val="da-DK"/>
              </w:rPr>
              <w:t xml:space="preserve"> stop</w:t>
            </w:r>
            <w:r>
              <w:rPr>
                <w:bCs/>
                <w:sz w:val="22"/>
                <w:szCs w:val="22"/>
                <w:lang w:val="da-DK"/>
              </w:rPr>
              <w:t>ama</w:t>
            </w:r>
            <w:r w:rsidRPr="00675DF7">
              <w:rPr>
                <w:bCs/>
                <w:sz w:val="22"/>
                <w:szCs w:val="22"/>
                <w:lang w:val="da-DK"/>
              </w:rPr>
              <w:t xml:space="preserve"> odgovora </w:t>
            </w:r>
            <w:r w:rsidRPr="00675DF7">
              <w:rPr>
                <w:color w:val="000000"/>
                <w:sz w:val="22"/>
                <w:szCs w:val="22"/>
                <w:lang w:val="sr-Latn-CS"/>
              </w:rPr>
              <w:t xml:space="preserve">i preživljavanju bez </w:t>
            </w:r>
            <w:r>
              <w:rPr>
                <w:color w:val="000000"/>
                <w:sz w:val="22"/>
                <w:szCs w:val="22"/>
                <w:lang w:val="sr-Latn-CS"/>
              </w:rPr>
              <w:t xml:space="preserve">znakova </w:t>
            </w:r>
            <w:r w:rsidRPr="00675DF7">
              <w:rPr>
                <w:color w:val="000000"/>
                <w:sz w:val="22"/>
                <w:szCs w:val="22"/>
                <w:lang w:val="sr-Latn-CS"/>
              </w:rPr>
              <w:t xml:space="preserve">progresije bolesti. </w:t>
            </w:r>
            <w:r>
              <w:rPr>
                <w:color w:val="000000"/>
                <w:sz w:val="22"/>
                <w:szCs w:val="22"/>
                <w:lang w:val="sr-Latn-CS"/>
              </w:rPr>
              <w:t>N</w:t>
            </w:r>
            <w:r w:rsidRPr="00675DF7">
              <w:rPr>
                <w:color w:val="000000"/>
                <w:sz w:val="22"/>
                <w:szCs w:val="22"/>
                <w:lang w:val="sr-Latn-CS"/>
              </w:rPr>
              <w:t xml:space="preserve">e </w:t>
            </w:r>
            <w:r>
              <w:rPr>
                <w:color w:val="000000"/>
                <w:sz w:val="22"/>
                <w:szCs w:val="22"/>
                <w:lang w:val="sr-Latn-CS"/>
              </w:rPr>
              <w:t>postoje kontrolisana klinička</w:t>
            </w:r>
            <w:r w:rsidRPr="00675DF7">
              <w:rPr>
                <w:color w:val="000000"/>
                <w:sz w:val="22"/>
                <w:szCs w:val="22"/>
                <w:lang w:val="sr-Latn-CS"/>
              </w:rPr>
              <w:t xml:space="preserve"> ispitivanja ko</w:t>
            </w:r>
            <w:r>
              <w:rPr>
                <w:color w:val="000000"/>
                <w:sz w:val="22"/>
                <w:szCs w:val="22"/>
                <w:lang w:val="sr-Latn-CS"/>
              </w:rPr>
              <w:t>ja bi pokazala kliničku korist</w:t>
            </w:r>
            <w:r w:rsidRPr="00675DF7">
              <w:rPr>
                <w:color w:val="000000"/>
                <w:sz w:val="22"/>
                <w:szCs w:val="22"/>
                <w:lang w:val="sr-Latn-CS"/>
              </w:rPr>
              <w:t>, kao što je poboljšanj</w:t>
            </w:r>
            <w:r>
              <w:rPr>
                <w:color w:val="000000"/>
                <w:sz w:val="22"/>
                <w:szCs w:val="22"/>
                <w:lang w:val="sr-Latn-CS"/>
              </w:rPr>
              <w:t xml:space="preserve">e </w:t>
            </w:r>
            <w:r w:rsidRPr="00675DF7">
              <w:rPr>
                <w:color w:val="000000"/>
                <w:sz w:val="22"/>
                <w:szCs w:val="22"/>
                <w:lang w:val="sr-Latn-CS"/>
              </w:rPr>
              <w:t xml:space="preserve"> simptoma vezanih za bolest ili povećano preživljavanje.</w:t>
            </w:r>
          </w:p>
          <w:p w:rsidR="000A2337" w:rsidRDefault="000A2337" w:rsidP="00161AB3">
            <w:pPr>
              <w:shd w:val="clear" w:color="auto" w:fill="FFFFFF"/>
              <w:spacing w:line="240" w:lineRule="atLeast"/>
              <w:jc w:val="both"/>
              <w:rPr>
                <w:color w:val="000000"/>
                <w:sz w:val="22"/>
                <w:szCs w:val="22"/>
                <w:lang w:val="sr-Latn-CS"/>
              </w:rPr>
            </w:pPr>
          </w:p>
          <w:p w:rsidR="000A2337" w:rsidRDefault="000A2337" w:rsidP="00161AB3">
            <w:pPr>
              <w:shd w:val="clear" w:color="auto" w:fill="FFFFFF"/>
              <w:spacing w:line="240" w:lineRule="atLeast"/>
              <w:jc w:val="both"/>
              <w:rPr>
                <w:color w:val="000000"/>
                <w:sz w:val="22"/>
                <w:szCs w:val="22"/>
                <w:lang w:val="sr-Latn-CS"/>
              </w:rPr>
            </w:pPr>
            <w:r w:rsidRPr="00EC12A5">
              <w:rPr>
                <w:color w:val="000000"/>
                <w:sz w:val="22"/>
                <w:szCs w:val="22"/>
                <w:lang w:val="sr-Latn-CS"/>
              </w:rPr>
              <w:lastRenderedPageBreak/>
              <w:t>Veliko, intern</w:t>
            </w:r>
            <w:r>
              <w:rPr>
                <w:color w:val="000000"/>
                <w:sz w:val="22"/>
                <w:szCs w:val="22"/>
                <w:lang w:val="sr-Latn-CS"/>
              </w:rPr>
              <w:t>acionalno, otvoreno, nekontrolis</w:t>
            </w:r>
            <w:r w:rsidRPr="00EC12A5">
              <w:rPr>
                <w:color w:val="000000"/>
                <w:sz w:val="22"/>
                <w:szCs w:val="22"/>
                <w:lang w:val="sr-Latn-CS"/>
              </w:rPr>
              <w:t xml:space="preserve">ano kliničko ispitivanje faze II </w:t>
            </w:r>
            <w:r>
              <w:rPr>
                <w:color w:val="000000"/>
                <w:sz w:val="22"/>
                <w:szCs w:val="22"/>
                <w:lang w:val="sr-Latn-CS"/>
              </w:rPr>
              <w:t xml:space="preserve">vršeno je kod pacijenata </w:t>
            </w:r>
            <w:r w:rsidRPr="00EC12A5">
              <w:rPr>
                <w:color w:val="000000"/>
                <w:sz w:val="22"/>
                <w:szCs w:val="22"/>
                <w:lang w:val="sr-Latn-CS"/>
              </w:rPr>
              <w:t>s</w:t>
            </w:r>
            <w:r>
              <w:rPr>
                <w:color w:val="000000"/>
                <w:sz w:val="22"/>
                <w:szCs w:val="22"/>
                <w:lang w:val="sr-Latn-CS"/>
              </w:rPr>
              <w:t>a Ph+ CML-om u blast</w:t>
            </w:r>
            <w:r w:rsidRPr="00EC12A5">
              <w:rPr>
                <w:color w:val="000000"/>
                <w:sz w:val="22"/>
                <w:szCs w:val="22"/>
                <w:lang w:val="sr-Latn-CS"/>
              </w:rPr>
              <w:t>noj fazi bolesti. Osim toga, djeca su lije</w:t>
            </w:r>
            <w:r>
              <w:rPr>
                <w:color w:val="000000"/>
                <w:sz w:val="22"/>
                <w:szCs w:val="22"/>
                <w:lang w:val="sr-Latn-CS"/>
              </w:rPr>
              <w:t xml:space="preserve">čena u dva ispitivanja faze I (kod pacijenata </w:t>
            </w:r>
            <w:r w:rsidRPr="00EC12A5">
              <w:rPr>
                <w:color w:val="000000"/>
                <w:sz w:val="22"/>
                <w:szCs w:val="22"/>
                <w:lang w:val="sr-Latn-CS"/>
              </w:rPr>
              <w:t>s</w:t>
            </w:r>
            <w:r>
              <w:rPr>
                <w:color w:val="000000"/>
                <w:sz w:val="22"/>
                <w:szCs w:val="22"/>
                <w:lang w:val="sr-Latn-CS"/>
              </w:rPr>
              <w:t>a</w:t>
            </w:r>
            <w:r w:rsidRPr="00EC12A5">
              <w:rPr>
                <w:color w:val="000000"/>
                <w:sz w:val="22"/>
                <w:szCs w:val="22"/>
                <w:lang w:val="sr-Latn-CS"/>
              </w:rPr>
              <w:t xml:space="preserve"> </w:t>
            </w:r>
            <w:r>
              <w:rPr>
                <w:color w:val="000000"/>
                <w:sz w:val="22"/>
                <w:szCs w:val="22"/>
                <w:lang w:val="sr-Latn-CS"/>
              </w:rPr>
              <w:t>C</w:t>
            </w:r>
            <w:r w:rsidRPr="00EC12A5">
              <w:rPr>
                <w:color w:val="000000"/>
                <w:sz w:val="22"/>
                <w:szCs w:val="22"/>
                <w:lang w:val="sr-Latn-CS"/>
              </w:rPr>
              <w:t>ML-om ili Ph+ akutnom leukemijom) i jednom ispitivanju faze II.</w:t>
            </w:r>
          </w:p>
          <w:p w:rsidR="000A2337" w:rsidRPr="00EC12A5" w:rsidRDefault="000A2337" w:rsidP="00161AB3">
            <w:pPr>
              <w:shd w:val="clear" w:color="auto" w:fill="FFFFFF"/>
              <w:spacing w:line="240" w:lineRule="atLeast"/>
              <w:jc w:val="both"/>
              <w:rPr>
                <w:color w:val="000000"/>
                <w:sz w:val="22"/>
                <w:szCs w:val="22"/>
                <w:lang w:val="sr-Latn-CS"/>
              </w:rPr>
            </w:pPr>
          </w:p>
          <w:p w:rsidR="000A2337" w:rsidRPr="00EC12A5" w:rsidRDefault="000A2337" w:rsidP="00161AB3">
            <w:pPr>
              <w:shd w:val="clear" w:color="auto" w:fill="FFFFFF"/>
              <w:spacing w:line="240" w:lineRule="atLeast"/>
              <w:jc w:val="both"/>
              <w:rPr>
                <w:color w:val="000000"/>
                <w:sz w:val="22"/>
                <w:szCs w:val="22"/>
                <w:lang w:val="sr-Latn-CS"/>
              </w:rPr>
            </w:pPr>
            <w:r w:rsidRPr="00675DF7">
              <w:rPr>
                <w:color w:val="000000"/>
                <w:sz w:val="22"/>
                <w:szCs w:val="22"/>
                <w:lang w:val="sr-Latn-CS"/>
              </w:rPr>
              <w:t>U svim kliničkim studijama 38% pacijenata imal</w:t>
            </w:r>
            <w:r>
              <w:rPr>
                <w:color w:val="000000"/>
                <w:sz w:val="22"/>
                <w:szCs w:val="22"/>
                <w:lang w:val="sr-Latn-CS"/>
              </w:rPr>
              <w:t xml:space="preserve">o je ≥ 60 godina starosti, a </w:t>
            </w:r>
            <w:r w:rsidRPr="00675DF7">
              <w:rPr>
                <w:color w:val="000000"/>
                <w:sz w:val="22"/>
                <w:szCs w:val="22"/>
                <w:lang w:val="sr-Latn-CS"/>
              </w:rPr>
              <w:t xml:space="preserve">12% pacijenata imalo je ≥70 </w:t>
            </w:r>
            <w:r w:rsidRPr="00EC12A5">
              <w:rPr>
                <w:color w:val="000000"/>
                <w:sz w:val="22"/>
                <w:szCs w:val="22"/>
                <w:lang w:val="sr-Latn-CS"/>
              </w:rPr>
              <w:t>godina.</w:t>
            </w:r>
          </w:p>
          <w:p w:rsidR="000A2337" w:rsidRDefault="000A2337" w:rsidP="00161AB3">
            <w:pPr>
              <w:shd w:val="clear" w:color="auto" w:fill="FFFFFF"/>
              <w:spacing w:before="240" w:line="240" w:lineRule="atLeast"/>
              <w:jc w:val="both"/>
              <w:rPr>
                <w:color w:val="000000"/>
                <w:sz w:val="22"/>
                <w:szCs w:val="22"/>
                <w:lang w:val="sr-Latn-CS"/>
              </w:rPr>
            </w:pPr>
            <w:r w:rsidRPr="00AA4CDD">
              <w:rPr>
                <w:i/>
                <w:iCs/>
                <w:color w:val="000000"/>
                <w:sz w:val="22"/>
                <w:szCs w:val="22"/>
                <w:lang w:val="sr-Latn-CS"/>
              </w:rPr>
              <w:t>Mijeloidna blast</w:t>
            </w:r>
            <w:r>
              <w:rPr>
                <w:i/>
                <w:iCs/>
                <w:color w:val="000000"/>
                <w:sz w:val="22"/>
                <w:szCs w:val="22"/>
                <w:lang w:val="sr-Latn-CS"/>
              </w:rPr>
              <w:t xml:space="preserve">na </w:t>
            </w:r>
            <w:r w:rsidRPr="00AA4CDD">
              <w:rPr>
                <w:i/>
                <w:iCs/>
                <w:color w:val="000000"/>
                <w:sz w:val="22"/>
                <w:szCs w:val="22"/>
                <w:lang w:val="sr-Latn-CS"/>
              </w:rPr>
              <w:t xml:space="preserve"> kriza: </w:t>
            </w:r>
            <w:r w:rsidRPr="00AA4CDD">
              <w:rPr>
                <w:color w:val="000000"/>
                <w:sz w:val="22"/>
                <w:szCs w:val="22"/>
                <w:lang w:val="sr-Latn-CS"/>
              </w:rPr>
              <w:t xml:space="preserve">260 </w:t>
            </w:r>
            <w:r>
              <w:rPr>
                <w:color w:val="000000"/>
                <w:sz w:val="22"/>
                <w:szCs w:val="22"/>
                <w:lang w:val="sr-Latn-CS"/>
              </w:rPr>
              <w:t>pacijenata</w:t>
            </w:r>
            <w:r w:rsidRPr="00AA4CDD">
              <w:rPr>
                <w:color w:val="000000"/>
                <w:sz w:val="22"/>
                <w:szCs w:val="22"/>
                <w:lang w:val="sr-Latn-CS"/>
              </w:rPr>
              <w:t xml:space="preserve"> sa mijeloidnom blast</w:t>
            </w:r>
            <w:r>
              <w:rPr>
                <w:color w:val="000000"/>
                <w:sz w:val="22"/>
                <w:szCs w:val="22"/>
                <w:lang w:val="sr-Latn-CS"/>
              </w:rPr>
              <w:t>nom krizom je uključeno u ispitivanje</w:t>
            </w:r>
            <w:r w:rsidRPr="00AA4CDD">
              <w:rPr>
                <w:color w:val="000000"/>
                <w:sz w:val="22"/>
                <w:szCs w:val="22"/>
                <w:lang w:val="sr-Latn-CS"/>
              </w:rPr>
              <w:t xml:space="preserve">. Od toga je 95 (37%) </w:t>
            </w:r>
            <w:r>
              <w:rPr>
                <w:color w:val="000000"/>
                <w:sz w:val="22"/>
                <w:szCs w:val="22"/>
                <w:lang w:val="sr-Latn-CS"/>
              </w:rPr>
              <w:t>prethodno primilo hem</w:t>
            </w:r>
            <w:r w:rsidRPr="00AA4CDD">
              <w:rPr>
                <w:color w:val="000000"/>
                <w:sz w:val="22"/>
                <w:szCs w:val="22"/>
                <w:lang w:val="sr-Latn-CS"/>
              </w:rPr>
              <w:t>oterapiju z</w:t>
            </w:r>
            <w:r>
              <w:rPr>
                <w:color w:val="000000"/>
                <w:sz w:val="22"/>
                <w:szCs w:val="22"/>
                <w:lang w:val="sr-Latn-CS"/>
              </w:rPr>
              <w:t>bog liječenja</w:t>
            </w:r>
            <w:r w:rsidRPr="00AA4CDD">
              <w:rPr>
                <w:color w:val="000000"/>
                <w:sz w:val="22"/>
                <w:szCs w:val="22"/>
                <w:lang w:val="sr-Latn-CS"/>
              </w:rPr>
              <w:t xml:space="preserve"> ili ubrzane faze ili blast</w:t>
            </w:r>
            <w:r>
              <w:rPr>
                <w:color w:val="000000"/>
                <w:sz w:val="22"/>
                <w:szCs w:val="22"/>
                <w:lang w:val="sr-Latn-CS"/>
              </w:rPr>
              <w:t xml:space="preserve">ne krize </w:t>
            </w:r>
            <w:r w:rsidRPr="00AA4CDD">
              <w:rPr>
                <w:color w:val="000000"/>
                <w:sz w:val="22"/>
                <w:szCs w:val="22"/>
                <w:lang w:val="sr-Latn-CS"/>
              </w:rPr>
              <w:t xml:space="preserve">("prethodno </w:t>
            </w:r>
            <w:r>
              <w:rPr>
                <w:color w:val="000000"/>
                <w:sz w:val="22"/>
                <w:szCs w:val="22"/>
                <w:lang w:val="sr-Latn-CS"/>
              </w:rPr>
              <w:t>liječ</w:t>
            </w:r>
            <w:r w:rsidRPr="00AA4CDD">
              <w:rPr>
                <w:color w:val="000000"/>
                <w:sz w:val="22"/>
                <w:szCs w:val="22"/>
                <w:lang w:val="sr-Latn-CS"/>
              </w:rPr>
              <w:t xml:space="preserve">eni </w:t>
            </w:r>
            <w:r>
              <w:rPr>
                <w:color w:val="000000"/>
                <w:sz w:val="22"/>
                <w:szCs w:val="22"/>
                <w:lang w:val="sr-Latn-CS"/>
              </w:rPr>
              <w:t>pacijenti</w:t>
            </w:r>
            <w:r w:rsidRPr="00AA4CDD">
              <w:rPr>
                <w:color w:val="000000"/>
                <w:sz w:val="22"/>
                <w:szCs w:val="22"/>
                <w:lang w:val="sr-Latn-CS"/>
              </w:rPr>
              <w:t>") dok 165 (63%) nije</w:t>
            </w:r>
            <w:r>
              <w:rPr>
                <w:color w:val="000000"/>
                <w:sz w:val="22"/>
                <w:szCs w:val="22"/>
                <w:lang w:val="sr-Latn-CS"/>
              </w:rPr>
              <w:t xml:space="preserve"> prethodno primalo</w:t>
            </w:r>
            <w:r w:rsidRPr="00AA4CDD">
              <w:rPr>
                <w:color w:val="000000"/>
                <w:sz w:val="22"/>
                <w:szCs w:val="22"/>
                <w:lang w:val="sr-Latn-CS"/>
              </w:rPr>
              <w:t xml:space="preserve"> ("ne</w:t>
            </w:r>
            <w:r>
              <w:rPr>
                <w:color w:val="000000"/>
                <w:sz w:val="22"/>
                <w:szCs w:val="22"/>
                <w:lang w:val="sr-Latn-CS"/>
              </w:rPr>
              <w:t xml:space="preserve">liječeni pacijenti"). Prvih 37 pacijenata započelo </w:t>
            </w:r>
            <w:r w:rsidRPr="00AA4CDD">
              <w:rPr>
                <w:color w:val="000000"/>
                <w:sz w:val="22"/>
                <w:szCs w:val="22"/>
                <w:lang w:val="sr-Latn-CS"/>
              </w:rPr>
              <w:t>je</w:t>
            </w:r>
            <w:r>
              <w:rPr>
                <w:color w:val="000000"/>
                <w:sz w:val="22"/>
                <w:szCs w:val="22"/>
                <w:lang w:val="sr-Latn-CS"/>
              </w:rPr>
              <w:t xml:space="preserve"> </w:t>
            </w:r>
            <w:r w:rsidRPr="008522D5">
              <w:rPr>
                <w:color w:val="000000"/>
                <w:sz w:val="22"/>
                <w:szCs w:val="22"/>
                <w:lang w:val="sr-Latn-CS"/>
              </w:rPr>
              <w:t>terapiju sa 400</w:t>
            </w:r>
            <w:r>
              <w:rPr>
                <w:color w:val="000000"/>
                <w:sz w:val="22"/>
                <w:szCs w:val="22"/>
                <w:lang w:val="sr-Latn-CS"/>
              </w:rPr>
              <w:t xml:space="preserve"> mg. P</w:t>
            </w:r>
            <w:r w:rsidRPr="00AA4CDD">
              <w:rPr>
                <w:color w:val="000000"/>
                <w:sz w:val="22"/>
                <w:szCs w:val="22"/>
                <w:lang w:val="sr-Latn-CS"/>
              </w:rPr>
              <w:t xml:space="preserve">rotokol je </w:t>
            </w:r>
            <w:r>
              <w:rPr>
                <w:color w:val="000000"/>
                <w:sz w:val="22"/>
                <w:szCs w:val="22"/>
                <w:lang w:val="sr-Latn-CS"/>
              </w:rPr>
              <w:t>zatim</w:t>
            </w:r>
            <w:r w:rsidRPr="00AA4CDD">
              <w:rPr>
                <w:color w:val="000000"/>
                <w:sz w:val="22"/>
                <w:szCs w:val="22"/>
                <w:lang w:val="sr-Latn-CS"/>
              </w:rPr>
              <w:t xml:space="preserve"> dopunjen da </w:t>
            </w:r>
            <w:r>
              <w:rPr>
                <w:color w:val="000000"/>
                <w:sz w:val="22"/>
                <w:szCs w:val="22"/>
                <w:lang w:val="sr-Latn-CS"/>
              </w:rPr>
              <w:t xml:space="preserve">bi se </w:t>
            </w:r>
            <w:r w:rsidRPr="00AA4CDD">
              <w:rPr>
                <w:color w:val="000000"/>
                <w:sz w:val="22"/>
                <w:szCs w:val="22"/>
                <w:lang w:val="sr-Latn-CS"/>
              </w:rPr>
              <w:t>omogući</w:t>
            </w:r>
            <w:r>
              <w:rPr>
                <w:color w:val="000000"/>
                <w:sz w:val="22"/>
                <w:szCs w:val="22"/>
                <w:lang w:val="sr-Latn-CS"/>
              </w:rPr>
              <w:t xml:space="preserve">la primjena </w:t>
            </w:r>
            <w:r w:rsidRPr="00AA4CDD">
              <w:rPr>
                <w:color w:val="000000"/>
                <w:sz w:val="22"/>
                <w:szCs w:val="22"/>
                <w:lang w:val="sr-Latn-CS"/>
              </w:rPr>
              <w:t>v</w:t>
            </w:r>
            <w:r>
              <w:rPr>
                <w:color w:val="000000"/>
                <w:sz w:val="22"/>
                <w:szCs w:val="22"/>
                <w:lang w:val="sr-Latn-CS"/>
              </w:rPr>
              <w:t>ećih</w:t>
            </w:r>
            <w:r w:rsidRPr="00AA4CDD">
              <w:rPr>
                <w:color w:val="000000"/>
                <w:sz w:val="22"/>
                <w:szCs w:val="22"/>
                <w:lang w:val="sr-Latn-CS"/>
              </w:rPr>
              <w:t xml:space="preserve"> </w:t>
            </w:r>
            <w:r>
              <w:rPr>
                <w:color w:val="000000"/>
                <w:sz w:val="22"/>
                <w:szCs w:val="22"/>
                <w:lang w:val="sr-Latn-CS"/>
              </w:rPr>
              <w:t>doza, tako da je preostalih 223 pacijenata je započelo liječenje</w:t>
            </w:r>
            <w:r w:rsidRPr="00AA4CDD">
              <w:rPr>
                <w:color w:val="000000"/>
                <w:sz w:val="22"/>
                <w:szCs w:val="22"/>
                <w:lang w:val="sr-Latn-CS"/>
              </w:rPr>
              <w:t xml:space="preserve"> </w:t>
            </w:r>
            <w:r>
              <w:rPr>
                <w:color w:val="000000"/>
                <w:sz w:val="22"/>
                <w:szCs w:val="22"/>
                <w:lang w:val="sr-Latn-CS"/>
              </w:rPr>
              <w:t xml:space="preserve">dozom od </w:t>
            </w:r>
            <w:r w:rsidRPr="00AA4CDD">
              <w:rPr>
                <w:color w:val="000000"/>
                <w:sz w:val="22"/>
                <w:szCs w:val="22"/>
                <w:lang w:val="sr-Latn-CS"/>
              </w:rPr>
              <w:t>600 mg.</w:t>
            </w:r>
          </w:p>
          <w:p w:rsidR="000A2337" w:rsidRPr="00AA4CDD" w:rsidRDefault="000A2337" w:rsidP="00161AB3">
            <w:pPr>
              <w:shd w:val="clear" w:color="auto" w:fill="FFFFFF"/>
              <w:spacing w:before="240" w:line="240" w:lineRule="atLeast"/>
              <w:jc w:val="both"/>
              <w:rPr>
                <w:color w:val="000000"/>
                <w:sz w:val="22"/>
                <w:szCs w:val="22"/>
                <w:lang w:val="sr-Latn-CS"/>
              </w:rPr>
            </w:pPr>
            <w:r w:rsidRPr="00AA4CDD">
              <w:rPr>
                <w:color w:val="000000"/>
                <w:sz w:val="22"/>
                <w:szCs w:val="22"/>
                <w:lang w:val="sr-Latn-CS"/>
              </w:rPr>
              <w:t>Primarn</w:t>
            </w:r>
            <w:r>
              <w:rPr>
                <w:color w:val="000000"/>
                <w:sz w:val="22"/>
                <w:szCs w:val="22"/>
                <w:lang w:val="sr-Latn-CS"/>
              </w:rPr>
              <w:t>i parametar</w:t>
            </w:r>
            <w:r w:rsidRPr="00AA4CDD">
              <w:rPr>
                <w:color w:val="000000"/>
                <w:sz w:val="22"/>
                <w:szCs w:val="22"/>
                <w:lang w:val="sr-Latn-CS"/>
              </w:rPr>
              <w:t xml:space="preserve"> efikasnosti </w:t>
            </w:r>
            <w:r>
              <w:rPr>
                <w:color w:val="000000"/>
                <w:sz w:val="22"/>
                <w:szCs w:val="22"/>
                <w:lang w:val="sr-Latn-CS"/>
              </w:rPr>
              <w:t>je bila stopa</w:t>
            </w:r>
            <w:r w:rsidRPr="00AA4CDD">
              <w:rPr>
                <w:color w:val="000000"/>
                <w:sz w:val="22"/>
                <w:szCs w:val="22"/>
                <w:lang w:val="sr-Latn-CS"/>
              </w:rPr>
              <w:t xml:space="preserve"> hematološk</w:t>
            </w:r>
            <w:r>
              <w:rPr>
                <w:color w:val="000000"/>
                <w:sz w:val="22"/>
                <w:szCs w:val="22"/>
                <w:lang w:val="sr-Latn-CS"/>
              </w:rPr>
              <w:t>og odgovora</w:t>
            </w:r>
            <w:r w:rsidRPr="00AA4CDD">
              <w:rPr>
                <w:color w:val="000000"/>
                <w:sz w:val="22"/>
                <w:szCs w:val="22"/>
                <w:lang w:val="sr-Latn-CS"/>
              </w:rPr>
              <w:t>, opisan</w:t>
            </w:r>
            <w:r>
              <w:rPr>
                <w:color w:val="000000"/>
                <w:sz w:val="22"/>
                <w:szCs w:val="22"/>
                <w:lang w:val="sr-Latn-CS"/>
              </w:rPr>
              <w:t>a ili kao kompletan hematološki</w:t>
            </w:r>
            <w:r w:rsidRPr="00AA4CDD">
              <w:rPr>
                <w:color w:val="000000"/>
                <w:sz w:val="22"/>
                <w:szCs w:val="22"/>
                <w:lang w:val="sr-Latn-CS"/>
              </w:rPr>
              <w:t xml:space="preserve"> </w:t>
            </w:r>
            <w:r>
              <w:rPr>
                <w:color w:val="000000"/>
                <w:sz w:val="22"/>
                <w:szCs w:val="22"/>
                <w:lang w:val="sr-Latn-CS"/>
              </w:rPr>
              <w:t>odgovor</w:t>
            </w:r>
            <w:r w:rsidRPr="00AA4CDD">
              <w:rPr>
                <w:color w:val="000000"/>
                <w:sz w:val="22"/>
                <w:szCs w:val="22"/>
                <w:lang w:val="sr-Latn-CS"/>
              </w:rPr>
              <w:t xml:space="preserve">, </w:t>
            </w:r>
            <w:r>
              <w:rPr>
                <w:color w:val="000000"/>
                <w:sz w:val="22"/>
                <w:szCs w:val="22"/>
                <w:lang w:val="sr-Latn-CS"/>
              </w:rPr>
              <w:t>stanje bez znakova</w:t>
            </w:r>
            <w:r w:rsidRPr="00AA4CDD">
              <w:rPr>
                <w:color w:val="000000"/>
                <w:sz w:val="22"/>
                <w:szCs w:val="22"/>
                <w:lang w:val="sr-Latn-CS"/>
              </w:rPr>
              <w:t xml:space="preserve"> leukemij</w:t>
            </w:r>
            <w:r>
              <w:rPr>
                <w:color w:val="000000"/>
                <w:sz w:val="22"/>
                <w:szCs w:val="22"/>
                <w:lang w:val="sr-Latn-CS"/>
              </w:rPr>
              <w:t>e (nestanak blastocita iz srži i krvi, ali bez potpunog oporavka periferne krvne slike kao kod kompletnog odgovora) ili kao vraćanje u hroničnu fazu C</w:t>
            </w:r>
            <w:r w:rsidRPr="00AA4CDD">
              <w:rPr>
                <w:color w:val="000000"/>
                <w:sz w:val="22"/>
                <w:szCs w:val="22"/>
                <w:lang w:val="sr-Latn-CS"/>
              </w:rPr>
              <w:t>ML</w:t>
            </w:r>
            <w:r>
              <w:rPr>
                <w:color w:val="000000"/>
                <w:sz w:val="22"/>
                <w:szCs w:val="22"/>
                <w:lang w:val="sr-Latn-CS"/>
              </w:rPr>
              <w:t>-a</w:t>
            </w:r>
            <w:r w:rsidRPr="00AA4CDD">
              <w:rPr>
                <w:color w:val="000000"/>
                <w:sz w:val="22"/>
                <w:szCs w:val="22"/>
                <w:lang w:val="sr-Latn-CS"/>
              </w:rPr>
              <w:t>. U ovo</w:t>
            </w:r>
            <w:r>
              <w:rPr>
                <w:color w:val="000000"/>
                <w:sz w:val="22"/>
                <w:szCs w:val="22"/>
                <w:lang w:val="sr-Latn-CS"/>
              </w:rPr>
              <w:t>j studiji, 31% pacijenata postiglo je hematološki odgovor</w:t>
            </w:r>
            <w:r w:rsidRPr="00AA4CDD">
              <w:rPr>
                <w:color w:val="000000"/>
                <w:sz w:val="22"/>
                <w:szCs w:val="22"/>
                <w:lang w:val="sr-Latn-CS"/>
              </w:rPr>
              <w:t xml:space="preserve"> (36% od prethodno ne</w:t>
            </w:r>
            <w:r>
              <w:rPr>
                <w:color w:val="000000"/>
                <w:sz w:val="22"/>
                <w:szCs w:val="22"/>
                <w:lang w:val="sr-Latn-CS"/>
              </w:rPr>
              <w:t>liječ</w:t>
            </w:r>
            <w:r w:rsidRPr="00AA4CDD">
              <w:rPr>
                <w:color w:val="000000"/>
                <w:sz w:val="22"/>
                <w:szCs w:val="22"/>
                <w:lang w:val="sr-Latn-CS"/>
              </w:rPr>
              <w:t xml:space="preserve">enih </w:t>
            </w:r>
            <w:r>
              <w:rPr>
                <w:color w:val="000000"/>
                <w:sz w:val="22"/>
                <w:szCs w:val="22"/>
                <w:lang w:val="sr-Latn-CS"/>
              </w:rPr>
              <w:t>pacijenata</w:t>
            </w:r>
            <w:r w:rsidRPr="00AA4CDD">
              <w:rPr>
                <w:color w:val="000000"/>
                <w:sz w:val="22"/>
                <w:szCs w:val="22"/>
                <w:lang w:val="sr-Latn-CS"/>
              </w:rPr>
              <w:t xml:space="preserve"> a 22% od p</w:t>
            </w:r>
            <w:r>
              <w:rPr>
                <w:color w:val="000000"/>
                <w:sz w:val="22"/>
                <w:szCs w:val="22"/>
                <w:lang w:val="sr-Latn-CS"/>
              </w:rPr>
              <w:t>rethodno liječenih). Stopa odgovora</w:t>
            </w:r>
            <w:r w:rsidRPr="00AA4CDD">
              <w:rPr>
                <w:color w:val="000000"/>
                <w:sz w:val="22"/>
                <w:szCs w:val="22"/>
                <w:lang w:val="sr-Latn-CS"/>
              </w:rPr>
              <w:t xml:space="preserve"> bi</w:t>
            </w:r>
            <w:r>
              <w:rPr>
                <w:color w:val="000000"/>
                <w:sz w:val="22"/>
                <w:szCs w:val="22"/>
                <w:lang w:val="sr-Latn-CS"/>
              </w:rPr>
              <w:t>la</w:t>
            </w:r>
            <w:r w:rsidRPr="00AA4CDD">
              <w:rPr>
                <w:color w:val="000000"/>
                <w:sz w:val="22"/>
                <w:szCs w:val="22"/>
                <w:lang w:val="sr-Latn-CS"/>
              </w:rPr>
              <w:t xml:space="preserve"> je takođe </w:t>
            </w:r>
            <w:r>
              <w:rPr>
                <w:color w:val="000000"/>
                <w:sz w:val="22"/>
                <w:szCs w:val="22"/>
                <w:lang w:val="sr-Latn-CS"/>
              </w:rPr>
              <w:t>veća</w:t>
            </w:r>
            <w:r w:rsidRPr="00AA4CDD">
              <w:rPr>
                <w:color w:val="000000"/>
                <w:sz w:val="22"/>
                <w:szCs w:val="22"/>
                <w:lang w:val="sr-Latn-CS"/>
              </w:rPr>
              <w:t xml:space="preserve"> kod </w:t>
            </w:r>
            <w:r>
              <w:rPr>
                <w:color w:val="000000"/>
                <w:sz w:val="22"/>
                <w:szCs w:val="22"/>
                <w:lang w:val="sr-Latn-CS"/>
              </w:rPr>
              <w:t>pacijenata</w:t>
            </w:r>
            <w:r w:rsidRPr="00AA4CDD">
              <w:rPr>
                <w:color w:val="000000"/>
                <w:sz w:val="22"/>
                <w:szCs w:val="22"/>
                <w:lang w:val="sr-Latn-CS"/>
              </w:rPr>
              <w:t xml:space="preserve"> </w:t>
            </w:r>
            <w:r>
              <w:rPr>
                <w:color w:val="000000"/>
                <w:sz w:val="22"/>
                <w:szCs w:val="22"/>
                <w:lang w:val="sr-Latn-CS"/>
              </w:rPr>
              <w:t>liječ</w:t>
            </w:r>
            <w:r w:rsidRPr="00AA4CDD">
              <w:rPr>
                <w:color w:val="000000"/>
                <w:sz w:val="22"/>
                <w:szCs w:val="22"/>
                <w:lang w:val="sr-Latn-CS"/>
              </w:rPr>
              <w:t xml:space="preserve">enih sa </w:t>
            </w:r>
            <w:r>
              <w:rPr>
                <w:color w:val="000000"/>
                <w:sz w:val="22"/>
                <w:szCs w:val="22"/>
                <w:lang w:val="sr-Latn-CS"/>
              </w:rPr>
              <w:t xml:space="preserve">dozom od </w:t>
            </w:r>
            <w:r w:rsidRPr="00AA4CDD">
              <w:rPr>
                <w:color w:val="000000"/>
                <w:sz w:val="22"/>
                <w:szCs w:val="22"/>
                <w:lang w:val="sr-Latn-CS"/>
              </w:rPr>
              <w:t xml:space="preserve">600 mg (33%) u poređenju sa </w:t>
            </w:r>
            <w:r>
              <w:rPr>
                <w:color w:val="000000"/>
                <w:sz w:val="22"/>
                <w:szCs w:val="22"/>
                <w:lang w:val="sr-Latn-CS"/>
              </w:rPr>
              <w:t>pacijenti</w:t>
            </w:r>
            <w:r w:rsidRPr="00AA4CDD">
              <w:rPr>
                <w:color w:val="000000"/>
                <w:sz w:val="22"/>
                <w:szCs w:val="22"/>
                <w:lang w:val="sr-Latn-CS"/>
              </w:rPr>
              <w:t xml:space="preserve">ma </w:t>
            </w:r>
            <w:r>
              <w:rPr>
                <w:color w:val="000000"/>
                <w:sz w:val="22"/>
                <w:szCs w:val="22"/>
                <w:lang w:val="sr-Latn-CS"/>
              </w:rPr>
              <w:t>liječ</w:t>
            </w:r>
            <w:r w:rsidRPr="00AA4CDD">
              <w:rPr>
                <w:color w:val="000000"/>
                <w:sz w:val="22"/>
                <w:szCs w:val="22"/>
                <w:lang w:val="sr-Latn-CS"/>
              </w:rPr>
              <w:t xml:space="preserve">enim sa 400 mg (16%, p=0,0220). </w:t>
            </w:r>
            <w:r>
              <w:rPr>
                <w:color w:val="000000"/>
                <w:sz w:val="22"/>
                <w:szCs w:val="22"/>
                <w:lang w:val="sr-Latn-CS"/>
              </w:rPr>
              <w:t>Trenutna procjena srednjeg preživljavanja</w:t>
            </w:r>
            <w:r w:rsidRPr="00AA4CDD">
              <w:rPr>
                <w:color w:val="000000"/>
                <w:sz w:val="22"/>
                <w:szCs w:val="22"/>
                <w:lang w:val="sr-Latn-CS"/>
              </w:rPr>
              <w:t xml:space="preserve"> prethodno </w:t>
            </w:r>
            <w:r>
              <w:rPr>
                <w:color w:val="000000"/>
                <w:sz w:val="22"/>
                <w:szCs w:val="22"/>
                <w:lang w:val="sr-Latn-CS"/>
              </w:rPr>
              <w:t>neliječ</w:t>
            </w:r>
            <w:r w:rsidRPr="00AA4CDD">
              <w:rPr>
                <w:color w:val="000000"/>
                <w:sz w:val="22"/>
                <w:szCs w:val="22"/>
                <w:lang w:val="sr-Latn-CS"/>
              </w:rPr>
              <w:t>enih</w:t>
            </w:r>
            <w:r>
              <w:rPr>
                <w:color w:val="000000"/>
                <w:sz w:val="22"/>
                <w:szCs w:val="22"/>
                <w:lang w:val="sr-Latn-CS"/>
              </w:rPr>
              <w:t xml:space="preserve"> i liječenih</w:t>
            </w:r>
            <w:r w:rsidRPr="00AA4CDD">
              <w:rPr>
                <w:color w:val="000000"/>
                <w:sz w:val="22"/>
                <w:szCs w:val="22"/>
                <w:lang w:val="sr-Latn-CS"/>
              </w:rPr>
              <w:t xml:space="preserve"> </w:t>
            </w:r>
            <w:r>
              <w:rPr>
                <w:color w:val="000000"/>
                <w:sz w:val="22"/>
                <w:szCs w:val="22"/>
                <w:lang w:val="sr-Latn-CS"/>
              </w:rPr>
              <w:t>pacijenata</w:t>
            </w:r>
            <w:r w:rsidRPr="00AA4CDD">
              <w:rPr>
                <w:color w:val="000000"/>
                <w:sz w:val="22"/>
                <w:szCs w:val="22"/>
                <w:lang w:val="sr-Latn-CS"/>
              </w:rPr>
              <w:t xml:space="preserve"> bila je 7,7 i 4,7 </w:t>
            </w:r>
            <w:r>
              <w:rPr>
                <w:color w:val="000000"/>
                <w:sz w:val="22"/>
                <w:szCs w:val="22"/>
                <w:lang w:val="sr-Latn-CS"/>
              </w:rPr>
              <w:t>mjesec</w:t>
            </w:r>
            <w:r w:rsidRPr="00AA4CDD">
              <w:rPr>
                <w:color w:val="000000"/>
                <w:sz w:val="22"/>
                <w:szCs w:val="22"/>
                <w:lang w:val="sr-Latn-CS"/>
              </w:rPr>
              <w:t>i</w:t>
            </w:r>
            <w:r>
              <w:rPr>
                <w:color w:val="000000"/>
                <w:sz w:val="22"/>
                <w:szCs w:val="22"/>
                <w:lang w:val="sr-Latn-CS"/>
              </w:rPr>
              <w:t>.</w:t>
            </w:r>
          </w:p>
          <w:p w:rsidR="000A2337" w:rsidRPr="00AA4CDD" w:rsidRDefault="000A2337" w:rsidP="00161AB3">
            <w:pPr>
              <w:shd w:val="clear" w:color="auto" w:fill="FFFFFF"/>
              <w:spacing w:before="240" w:line="240" w:lineRule="atLeast"/>
              <w:jc w:val="both"/>
              <w:rPr>
                <w:sz w:val="22"/>
                <w:szCs w:val="22"/>
                <w:lang w:val="sr-Latn-CS"/>
              </w:rPr>
            </w:pPr>
            <w:r w:rsidRPr="00AA4CDD">
              <w:rPr>
                <w:i/>
                <w:iCs/>
                <w:color w:val="000000"/>
                <w:sz w:val="22"/>
                <w:szCs w:val="22"/>
                <w:lang w:val="sr-Latn-CS"/>
              </w:rPr>
              <w:t>Limfoidna blast</w:t>
            </w:r>
            <w:r>
              <w:rPr>
                <w:i/>
                <w:iCs/>
                <w:color w:val="000000"/>
                <w:sz w:val="22"/>
                <w:szCs w:val="22"/>
                <w:lang w:val="sr-Latn-CS"/>
              </w:rPr>
              <w:t>na</w:t>
            </w:r>
            <w:r w:rsidRPr="00AA4CDD">
              <w:rPr>
                <w:i/>
                <w:iCs/>
                <w:color w:val="000000"/>
                <w:sz w:val="22"/>
                <w:szCs w:val="22"/>
                <w:lang w:val="sr-Latn-CS"/>
              </w:rPr>
              <w:t xml:space="preserve"> kriza: </w:t>
            </w:r>
            <w:r w:rsidRPr="00AA4CDD">
              <w:rPr>
                <w:color w:val="000000"/>
                <w:sz w:val="22"/>
                <w:szCs w:val="22"/>
                <w:lang w:val="sr-Latn-CS"/>
              </w:rPr>
              <w:t xml:space="preserve">ograničen broj </w:t>
            </w:r>
            <w:r>
              <w:rPr>
                <w:color w:val="000000"/>
                <w:sz w:val="22"/>
                <w:szCs w:val="22"/>
                <w:lang w:val="sr-Latn-CS"/>
              </w:rPr>
              <w:t xml:space="preserve">pacijenata </w:t>
            </w:r>
            <w:r w:rsidRPr="00AA4CDD">
              <w:rPr>
                <w:color w:val="000000"/>
                <w:sz w:val="22"/>
                <w:szCs w:val="22"/>
                <w:lang w:val="sr-Latn-CS"/>
              </w:rPr>
              <w:t>bio je uključen u faz</w:t>
            </w:r>
            <w:r>
              <w:rPr>
                <w:color w:val="000000"/>
                <w:sz w:val="22"/>
                <w:szCs w:val="22"/>
                <w:lang w:val="sr-Latn-CS"/>
              </w:rPr>
              <w:t>u</w:t>
            </w:r>
            <w:r w:rsidRPr="00AA4CDD">
              <w:rPr>
                <w:color w:val="000000"/>
                <w:sz w:val="22"/>
                <w:szCs w:val="22"/>
                <w:lang w:val="sr-Latn-CS"/>
              </w:rPr>
              <w:t xml:space="preserve"> I </w:t>
            </w:r>
            <w:r>
              <w:rPr>
                <w:color w:val="000000"/>
                <w:sz w:val="22"/>
                <w:szCs w:val="22"/>
                <w:lang w:val="sr-Latn-CS"/>
              </w:rPr>
              <w:t xml:space="preserve">studije </w:t>
            </w:r>
            <w:r w:rsidRPr="00AA4CDD">
              <w:rPr>
                <w:color w:val="000000"/>
                <w:sz w:val="22"/>
                <w:szCs w:val="22"/>
                <w:lang w:val="sr-Latn-CS"/>
              </w:rPr>
              <w:t>(n=10)</w:t>
            </w:r>
            <w:r>
              <w:rPr>
                <w:color w:val="000000"/>
                <w:sz w:val="22"/>
                <w:szCs w:val="22"/>
                <w:lang w:val="sr-Latn-CS"/>
              </w:rPr>
              <w:t>. Stopa</w:t>
            </w:r>
            <w:r w:rsidRPr="00AA4CDD">
              <w:rPr>
                <w:color w:val="000000"/>
                <w:sz w:val="22"/>
                <w:szCs w:val="22"/>
                <w:lang w:val="sr-Latn-CS"/>
              </w:rPr>
              <w:t xml:space="preserve"> hematološk</w:t>
            </w:r>
            <w:r>
              <w:rPr>
                <w:color w:val="000000"/>
                <w:sz w:val="22"/>
                <w:szCs w:val="22"/>
                <w:lang w:val="sr-Latn-CS"/>
              </w:rPr>
              <w:t>og odgovora bila</w:t>
            </w:r>
            <w:r w:rsidRPr="00AA4CDD">
              <w:rPr>
                <w:color w:val="000000"/>
                <w:sz w:val="22"/>
                <w:szCs w:val="22"/>
                <w:lang w:val="sr-Latn-CS"/>
              </w:rPr>
              <w:t xml:space="preserve"> je 70% </w:t>
            </w:r>
            <w:r>
              <w:rPr>
                <w:color w:val="000000"/>
                <w:sz w:val="22"/>
                <w:szCs w:val="22"/>
                <w:lang w:val="sr-Latn-CS"/>
              </w:rPr>
              <w:t>sa</w:t>
            </w:r>
            <w:r w:rsidRPr="00AA4CDD">
              <w:rPr>
                <w:color w:val="000000"/>
                <w:sz w:val="22"/>
                <w:szCs w:val="22"/>
                <w:lang w:val="sr-Latn-CS"/>
              </w:rPr>
              <w:t xml:space="preserve"> trajanje od 2 do 3 </w:t>
            </w:r>
            <w:r>
              <w:rPr>
                <w:color w:val="000000"/>
                <w:sz w:val="22"/>
                <w:szCs w:val="22"/>
                <w:lang w:val="sr-Latn-CS"/>
              </w:rPr>
              <w:t>mjesec</w:t>
            </w:r>
            <w:r w:rsidRPr="00AA4CDD">
              <w:rPr>
                <w:color w:val="000000"/>
                <w:sz w:val="22"/>
                <w:szCs w:val="22"/>
                <w:lang w:val="sr-Latn-CS"/>
              </w:rPr>
              <w:t>a.</w:t>
            </w:r>
          </w:p>
          <w:p w:rsidR="00463E8C" w:rsidRDefault="00463E8C" w:rsidP="00463E8C">
            <w:pPr>
              <w:shd w:val="clear" w:color="auto" w:fill="FFFFFF"/>
              <w:rPr>
                <w:b/>
                <w:bCs/>
                <w:color w:val="000000"/>
                <w:sz w:val="22"/>
                <w:szCs w:val="22"/>
                <w:lang w:val="sr-Latn-CS"/>
              </w:rPr>
            </w:pPr>
          </w:p>
          <w:p w:rsidR="000A2337" w:rsidRDefault="000A2337" w:rsidP="00463E8C">
            <w:pPr>
              <w:shd w:val="clear" w:color="auto" w:fill="FFFFFF"/>
              <w:rPr>
                <w:b/>
                <w:bCs/>
                <w:color w:val="000000"/>
                <w:sz w:val="22"/>
                <w:szCs w:val="22"/>
                <w:lang w:val="sr-Latn-CS"/>
              </w:rPr>
            </w:pPr>
            <w:r w:rsidRPr="007044F6">
              <w:rPr>
                <w:b/>
                <w:bCs/>
                <w:color w:val="000000"/>
                <w:sz w:val="22"/>
                <w:szCs w:val="22"/>
                <w:lang w:val="sr-Latn-CS"/>
              </w:rPr>
              <w:t>Tabela 2       Odgovor na terapiju u studijama kod odraslih pacijenata sa CML-om</w:t>
            </w:r>
          </w:p>
          <w:p w:rsidR="00463E8C" w:rsidRPr="007044F6" w:rsidRDefault="00463E8C" w:rsidP="00463E8C">
            <w:pPr>
              <w:shd w:val="clear" w:color="auto" w:fill="FFFFFF"/>
              <w:rPr>
                <w:b/>
                <w:bCs/>
                <w:color w:val="000000"/>
                <w:sz w:val="22"/>
                <w:szCs w:val="22"/>
                <w:lang w:val="sr-Latn-CS"/>
              </w:rPr>
            </w:pPr>
          </w:p>
          <w:tbl>
            <w:tblPr>
              <w:tblW w:w="0" w:type="auto"/>
              <w:jc w:val="center"/>
              <w:tblLayout w:type="fixed"/>
              <w:tblCellMar>
                <w:left w:w="40" w:type="dxa"/>
                <w:right w:w="40" w:type="dxa"/>
              </w:tblCellMar>
              <w:tblLook w:val="0000" w:firstRow="0" w:lastRow="0" w:firstColumn="0" w:lastColumn="0" w:noHBand="0" w:noVBand="0"/>
            </w:tblPr>
            <w:tblGrid>
              <w:gridCol w:w="4106"/>
              <w:gridCol w:w="5517"/>
            </w:tblGrid>
            <w:tr w:rsidR="000A2337" w:rsidRPr="001F380D" w:rsidTr="00847E59">
              <w:trPr>
                <w:jc w:val="center"/>
              </w:trPr>
              <w:tc>
                <w:tcPr>
                  <w:tcW w:w="4106" w:type="dxa"/>
                  <w:tcBorders>
                    <w:top w:val="single" w:sz="4" w:space="0" w:color="auto"/>
                    <w:left w:val="single" w:sz="6" w:space="0" w:color="auto"/>
                    <w:bottom w:val="single" w:sz="6" w:space="0" w:color="auto"/>
                    <w:right w:val="single" w:sz="6" w:space="0" w:color="auto"/>
                  </w:tcBorders>
                  <w:shd w:val="clear" w:color="auto" w:fill="FFFFFF"/>
                </w:tcPr>
                <w:p w:rsidR="000A2337" w:rsidRPr="001F380D" w:rsidRDefault="000A2337" w:rsidP="00161AB3">
                  <w:pPr>
                    <w:shd w:val="clear" w:color="auto" w:fill="FFFFFF"/>
                    <w:spacing w:line="240" w:lineRule="atLeast"/>
                    <w:rPr>
                      <w:sz w:val="22"/>
                      <w:szCs w:val="22"/>
                      <w:lang w:val="sr-Latn-CS"/>
                    </w:rPr>
                  </w:pPr>
                </w:p>
              </w:tc>
              <w:tc>
                <w:tcPr>
                  <w:tcW w:w="5517" w:type="dxa"/>
                  <w:tcBorders>
                    <w:top w:val="single" w:sz="4" w:space="0" w:color="auto"/>
                    <w:left w:val="single" w:sz="6" w:space="0" w:color="auto"/>
                    <w:bottom w:val="single" w:sz="6" w:space="0" w:color="auto"/>
                    <w:right w:val="single" w:sz="6" w:space="0" w:color="auto"/>
                  </w:tcBorders>
                  <w:shd w:val="clear" w:color="auto" w:fill="FFFFFF"/>
                </w:tcPr>
                <w:p w:rsidR="000A2337" w:rsidRPr="001F380D" w:rsidRDefault="000A2337" w:rsidP="00161AB3">
                  <w:pPr>
                    <w:shd w:val="clear" w:color="auto" w:fill="FFFFFF"/>
                    <w:spacing w:line="240" w:lineRule="atLeast"/>
                    <w:jc w:val="center"/>
                    <w:rPr>
                      <w:color w:val="000000"/>
                      <w:sz w:val="22"/>
                      <w:szCs w:val="22"/>
                      <w:lang w:val="sr-Latn-CS"/>
                    </w:rPr>
                  </w:pPr>
                  <w:r>
                    <w:rPr>
                      <w:color w:val="000000"/>
                      <w:sz w:val="22"/>
                      <w:szCs w:val="22"/>
                      <w:lang w:val="sr-Latn-CS"/>
                    </w:rPr>
                    <w:t>Ispitivanje</w:t>
                  </w:r>
                  <w:r w:rsidRPr="001F380D">
                    <w:rPr>
                      <w:color w:val="000000"/>
                      <w:sz w:val="22"/>
                      <w:szCs w:val="22"/>
                      <w:lang w:val="sr-Latn-CS"/>
                    </w:rPr>
                    <w:t xml:space="preserve"> 0102</w:t>
                  </w:r>
                </w:p>
                <w:p w:rsidR="000A2337" w:rsidRPr="001F380D" w:rsidRDefault="000A2337" w:rsidP="00161AB3">
                  <w:pPr>
                    <w:shd w:val="clear" w:color="auto" w:fill="FFFFFF"/>
                    <w:spacing w:line="240" w:lineRule="atLeast"/>
                    <w:jc w:val="center"/>
                    <w:rPr>
                      <w:sz w:val="22"/>
                      <w:szCs w:val="22"/>
                      <w:lang w:val="sr-Latn-CS"/>
                    </w:rPr>
                  </w:pPr>
                  <w:r w:rsidRPr="001F380D">
                    <w:rPr>
                      <w:color w:val="000000"/>
                      <w:sz w:val="22"/>
                      <w:szCs w:val="22"/>
                      <w:lang w:val="sr-Latn-CS"/>
                    </w:rPr>
                    <w:t>38-m</w:t>
                  </w:r>
                  <w:r>
                    <w:rPr>
                      <w:color w:val="000000"/>
                      <w:sz w:val="22"/>
                      <w:szCs w:val="22"/>
                      <w:lang w:val="sr-Latn-CS"/>
                    </w:rPr>
                    <w:t>j</w:t>
                  </w:r>
                  <w:r w:rsidRPr="001F380D">
                    <w:rPr>
                      <w:color w:val="000000"/>
                      <w:sz w:val="22"/>
                      <w:szCs w:val="22"/>
                      <w:lang w:val="sr-Latn-CS"/>
                    </w:rPr>
                    <w:t>esečni podaci Mijeloidna blast</w:t>
                  </w:r>
                  <w:r>
                    <w:rPr>
                      <w:color w:val="000000"/>
                      <w:sz w:val="22"/>
                      <w:szCs w:val="22"/>
                      <w:lang w:val="sr-Latn-CS"/>
                    </w:rPr>
                    <w:t>na</w:t>
                  </w:r>
                  <w:r w:rsidRPr="001F380D">
                    <w:rPr>
                      <w:color w:val="000000"/>
                      <w:sz w:val="22"/>
                      <w:szCs w:val="22"/>
                      <w:lang w:val="sr-Latn-CS"/>
                    </w:rPr>
                    <w:t xml:space="preserve"> kriza (n=260)</w:t>
                  </w:r>
                </w:p>
              </w:tc>
            </w:tr>
            <w:tr w:rsidR="000A2337" w:rsidRPr="001F380D" w:rsidTr="00847E59">
              <w:trPr>
                <w:jc w:val="center"/>
              </w:trPr>
              <w:tc>
                <w:tcPr>
                  <w:tcW w:w="4106" w:type="dxa"/>
                  <w:tcBorders>
                    <w:top w:val="single" w:sz="6" w:space="0" w:color="auto"/>
                    <w:left w:val="single" w:sz="6" w:space="0" w:color="auto"/>
                    <w:bottom w:val="single" w:sz="6" w:space="0" w:color="auto"/>
                    <w:right w:val="single" w:sz="6" w:space="0" w:color="auto"/>
                  </w:tcBorders>
                  <w:shd w:val="clear" w:color="auto" w:fill="FFFFFF"/>
                </w:tcPr>
                <w:p w:rsidR="000A2337" w:rsidRPr="001F380D" w:rsidRDefault="000A2337" w:rsidP="00161AB3">
                  <w:pPr>
                    <w:shd w:val="clear" w:color="auto" w:fill="FFFFFF"/>
                    <w:spacing w:line="240" w:lineRule="atLeast"/>
                    <w:rPr>
                      <w:sz w:val="22"/>
                      <w:szCs w:val="22"/>
                      <w:lang w:val="sr-Latn-CS"/>
                    </w:rPr>
                  </w:pPr>
                </w:p>
              </w:tc>
              <w:tc>
                <w:tcPr>
                  <w:tcW w:w="5517" w:type="dxa"/>
                  <w:tcBorders>
                    <w:top w:val="single" w:sz="6" w:space="0" w:color="auto"/>
                    <w:left w:val="single" w:sz="6" w:space="0" w:color="auto"/>
                    <w:bottom w:val="single" w:sz="6" w:space="0" w:color="auto"/>
                    <w:right w:val="single" w:sz="6" w:space="0" w:color="auto"/>
                  </w:tcBorders>
                  <w:shd w:val="clear" w:color="auto" w:fill="FFFFFF"/>
                </w:tcPr>
                <w:p w:rsidR="000A2337" w:rsidRPr="001F380D" w:rsidRDefault="000A2337" w:rsidP="00161AB3">
                  <w:pPr>
                    <w:shd w:val="clear" w:color="auto" w:fill="FFFFFF"/>
                    <w:spacing w:line="240" w:lineRule="atLeast"/>
                    <w:jc w:val="center"/>
                    <w:rPr>
                      <w:color w:val="000000"/>
                      <w:sz w:val="22"/>
                      <w:szCs w:val="22"/>
                      <w:lang w:val="sr-Latn-CS"/>
                    </w:rPr>
                  </w:pPr>
                  <w:r w:rsidRPr="001F380D">
                    <w:rPr>
                      <w:color w:val="000000"/>
                      <w:sz w:val="22"/>
                      <w:szCs w:val="22"/>
                      <w:lang w:val="sr-Latn-CS"/>
                    </w:rPr>
                    <w:t xml:space="preserve">% </w:t>
                  </w:r>
                  <w:r>
                    <w:rPr>
                      <w:color w:val="000000"/>
                      <w:sz w:val="22"/>
                      <w:szCs w:val="22"/>
                      <w:lang w:val="sr-Latn-CS"/>
                    </w:rPr>
                    <w:t>pacijenata</w:t>
                  </w:r>
                  <w:r w:rsidRPr="001F380D">
                    <w:rPr>
                      <w:color w:val="000000"/>
                      <w:sz w:val="22"/>
                      <w:szCs w:val="22"/>
                      <w:lang w:val="sr-Latn-CS"/>
                    </w:rPr>
                    <w:t xml:space="preserve"> (CI</w:t>
                  </w:r>
                  <w:r w:rsidRPr="001F380D">
                    <w:rPr>
                      <w:color w:val="000000"/>
                      <w:sz w:val="22"/>
                      <w:szCs w:val="22"/>
                      <w:vertAlign w:val="subscript"/>
                      <w:lang w:val="sr-Latn-CS"/>
                    </w:rPr>
                    <w:t>95%</w:t>
                  </w:r>
                  <w:r w:rsidRPr="001F380D">
                    <w:rPr>
                      <w:color w:val="000000"/>
                      <w:sz w:val="22"/>
                      <w:szCs w:val="22"/>
                      <w:lang w:val="sr-Latn-CS"/>
                    </w:rPr>
                    <w:t>)</w:t>
                  </w:r>
                </w:p>
              </w:tc>
            </w:tr>
            <w:tr w:rsidR="000A2337" w:rsidRPr="001F380D" w:rsidTr="00847E59">
              <w:trPr>
                <w:jc w:val="center"/>
              </w:trPr>
              <w:tc>
                <w:tcPr>
                  <w:tcW w:w="4106" w:type="dxa"/>
                  <w:tcBorders>
                    <w:top w:val="single" w:sz="6" w:space="0" w:color="auto"/>
                    <w:left w:val="single" w:sz="6" w:space="0" w:color="auto"/>
                    <w:bottom w:val="single" w:sz="4" w:space="0" w:color="auto"/>
                    <w:right w:val="single" w:sz="6" w:space="0" w:color="auto"/>
                  </w:tcBorders>
                  <w:shd w:val="clear" w:color="auto" w:fill="FFFFFF"/>
                </w:tcPr>
                <w:p w:rsidR="000A2337" w:rsidRPr="007B2300" w:rsidRDefault="000A2337" w:rsidP="00161AB3">
                  <w:pPr>
                    <w:shd w:val="clear" w:color="auto" w:fill="FFFFFF"/>
                    <w:spacing w:line="240" w:lineRule="atLeast"/>
                    <w:rPr>
                      <w:color w:val="000000"/>
                      <w:sz w:val="22"/>
                      <w:szCs w:val="22"/>
                      <w:u w:val="single"/>
                      <w:vertAlign w:val="superscript"/>
                      <w:lang w:val="sr-Latn-CS"/>
                    </w:rPr>
                  </w:pPr>
                  <w:r w:rsidRPr="007B2300">
                    <w:rPr>
                      <w:color w:val="000000"/>
                      <w:sz w:val="22"/>
                      <w:szCs w:val="22"/>
                      <w:u w:val="single"/>
                      <w:lang w:val="sr-Latn-CS"/>
                    </w:rPr>
                    <w:t>Hematološki odgovor</w:t>
                  </w:r>
                  <w:r w:rsidRPr="007B2300">
                    <w:rPr>
                      <w:color w:val="000000"/>
                      <w:sz w:val="22"/>
                      <w:szCs w:val="22"/>
                      <w:u w:val="single"/>
                      <w:vertAlign w:val="superscript"/>
                      <w:lang w:val="sr-Latn-CS"/>
                    </w:rPr>
                    <w:t>1</w:t>
                  </w:r>
                </w:p>
                <w:p w:rsidR="000A2337" w:rsidRPr="001F380D" w:rsidRDefault="000A2337" w:rsidP="00161AB3">
                  <w:pPr>
                    <w:shd w:val="clear" w:color="auto" w:fill="FFFFFF"/>
                    <w:spacing w:line="240" w:lineRule="atLeast"/>
                    <w:rPr>
                      <w:color w:val="000000"/>
                      <w:sz w:val="22"/>
                      <w:szCs w:val="22"/>
                      <w:lang w:val="sr-Latn-CS"/>
                    </w:rPr>
                  </w:pPr>
                  <w:r w:rsidRPr="001F380D">
                    <w:rPr>
                      <w:color w:val="000000"/>
                      <w:sz w:val="22"/>
                      <w:szCs w:val="22"/>
                      <w:lang w:val="sr-Latn-CS"/>
                    </w:rPr>
                    <w:t>Komplet</w:t>
                  </w:r>
                  <w:r>
                    <w:rPr>
                      <w:color w:val="000000"/>
                      <w:sz w:val="22"/>
                      <w:szCs w:val="22"/>
                      <w:lang w:val="sr-Latn-CS"/>
                    </w:rPr>
                    <w:t>an</w:t>
                  </w:r>
                  <w:r w:rsidRPr="001F380D">
                    <w:rPr>
                      <w:color w:val="000000"/>
                      <w:sz w:val="22"/>
                      <w:szCs w:val="22"/>
                      <w:lang w:val="sr-Latn-CS"/>
                    </w:rPr>
                    <w:t xml:space="preserve"> </w:t>
                  </w:r>
                  <w:r>
                    <w:rPr>
                      <w:color w:val="000000"/>
                      <w:sz w:val="22"/>
                      <w:szCs w:val="22"/>
                      <w:lang w:val="sr-Latn-CS"/>
                    </w:rPr>
                    <w:t>hematološki</w:t>
                  </w:r>
                  <w:r w:rsidRPr="001F380D">
                    <w:rPr>
                      <w:color w:val="000000"/>
                      <w:sz w:val="22"/>
                      <w:szCs w:val="22"/>
                      <w:lang w:val="sr-Latn-CS"/>
                    </w:rPr>
                    <w:t xml:space="preserve"> </w:t>
                  </w:r>
                  <w:r>
                    <w:rPr>
                      <w:color w:val="000000"/>
                      <w:sz w:val="22"/>
                      <w:szCs w:val="22"/>
                      <w:lang w:val="sr-Latn-CS"/>
                    </w:rPr>
                    <w:t>odgovor</w:t>
                  </w:r>
                  <w:r w:rsidRPr="001F380D">
                    <w:rPr>
                      <w:color w:val="000000"/>
                      <w:sz w:val="22"/>
                      <w:szCs w:val="22"/>
                      <w:lang w:val="sr-Latn-CS"/>
                    </w:rPr>
                    <w:t xml:space="preserve"> (</w:t>
                  </w:r>
                  <w:smartTag w:uri="urn:schemas-microsoft-com:office:smarttags" w:element="stockticker">
                    <w:r w:rsidRPr="001F380D">
                      <w:rPr>
                        <w:color w:val="000000"/>
                        <w:sz w:val="22"/>
                        <w:szCs w:val="22"/>
                        <w:lang w:val="sr-Latn-CS"/>
                      </w:rPr>
                      <w:t>CHR</w:t>
                    </w:r>
                  </w:smartTag>
                  <w:r w:rsidRPr="001F380D">
                    <w:rPr>
                      <w:color w:val="000000"/>
                      <w:sz w:val="22"/>
                      <w:szCs w:val="22"/>
                      <w:lang w:val="sr-Latn-CS"/>
                    </w:rPr>
                    <w:t>)</w:t>
                  </w:r>
                </w:p>
                <w:p w:rsidR="00847E59" w:rsidRDefault="000A2337" w:rsidP="00161AB3">
                  <w:pPr>
                    <w:shd w:val="clear" w:color="auto" w:fill="FFFFFF"/>
                    <w:spacing w:line="240" w:lineRule="atLeast"/>
                    <w:rPr>
                      <w:color w:val="000000"/>
                      <w:sz w:val="22"/>
                      <w:szCs w:val="22"/>
                      <w:lang w:val="sr-Latn-CS"/>
                    </w:rPr>
                  </w:pPr>
                  <w:r w:rsidRPr="001F380D">
                    <w:rPr>
                      <w:color w:val="000000"/>
                      <w:sz w:val="22"/>
                      <w:szCs w:val="22"/>
                      <w:lang w:val="sr-Latn-CS"/>
                    </w:rPr>
                    <w:t xml:space="preserve">Nema dokaza leukemije (NEL) </w:t>
                  </w:r>
                </w:p>
                <w:p w:rsidR="000A2337" w:rsidRPr="001F380D" w:rsidRDefault="000A2337" w:rsidP="00161AB3">
                  <w:pPr>
                    <w:shd w:val="clear" w:color="auto" w:fill="FFFFFF"/>
                    <w:spacing w:line="240" w:lineRule="atLeast"/>
                    <w:rPr>
                      <w:color w:val="000000"/>
                      <w:sz w:val="22"/>
                      <w:szCs w:val="22"/>
                      <w:lang w:val="sr-Latn-CS"/>
                    </w:rPr>
                  </w:pPr>
                  <w:r w:rsidRPr="001F380D">
                    <w:rPr>
                      <w:color w:val="000000"/>
                      <w:sz w:val="22"/>
                      <w:szCs w:val="22"/>
                      <w:lang w:val="sr-Latn-CS"/>
                    </w:rPr>
                    <w:t>Povratak na hroničnu fazu (</w:t>
                  </w:r>
                  <w:smartTag w:uri="urn:schemas-microsoft-com:office:smarttags" w:element="stockticker">
                    <w:r w:rsidRPr="001F380D">
                      <w:rPr>
                        <w:color w:val="000000"/>
                        <w:sz w:val="22"/>
                        <w:szCs w:val="22"/>
                        <w:lang w:val="sr-Latn-CS"/>
                      </w:rPr>
                      <w:t>RTC</w:t>
                    </w:r>
                  </w:smartTag>
                  <w:r w:rsidRPr="001F380D">
                    <w:rPr>
                      <w:color w:val="000000"/>
                      <w:sz w:val="22"/>
                      <w:szCs w:val="22"/>
                      <w:lang w:val="sr-Latn-CS"/>
                    </w:rPr>
                    <w:t>)</w:t>
                  </w:r>
                </w:p>
              </w:tc>
              <w:tc>
                <w:tcPr>
                  <w:tcW w:w="5517" w:type="dxa"/>
                  <w:tcBorders>
                    <w:top w:val="single" w:sz="6" w:space="0" w:color="auto"/>
                    <w:left w:val="single" w:sz="6" w:space="0" w:color="auto"/>
                    <w:bottom w:val="single" w:sz="4" w:space="0" w:color="auto"/>
                    <w:right w:val="single" w:sz="6" w:space="0" w:color="auto"/>
                  </w:tcBorders>
                  <w:shd w:val="clear" w:color="auto" w:fill="FFFFFF"/>
                </w:tcPr>
                <w:p w:rsidR="000A2337" w:rsidRPr="001F380D" w:rsidRDefault="000A2337" w:rsidP="00161AB3">
                  <w:pPr>
                    <w:shd w:val="clear" w:color="auto" w:fill="FFFFFF"/>
                    <w:spacing w:line="240" w:lineRule="atLeast"/>
                    <w:jc w:val="center"/>
                    <w:rPr>
                      <w:color w:val="000000"/>
                      <w:sz w:val="22"/>
                      <w:szCs w:val="22"/>
                      <w:lang w:val="sr-Latn-CS"/>
                    </w:rPr>
                  </w:pPr>
                  <w:r w:rsidRPr="001F380D">
                    <w:rPr>
                      <w:color w:val="000000"/>
                      <w:sz w:val="22"/>
                      <w:szCs w:val="22"/>
                      <w:lang w:val="sr-Latn-CS"/>
                    </w:rPr>
                    <w:t>31% (25,2-36,8)</w:t>
                  </w:r>
                </w:p>
                <w:p w:rsidR="000A2337" w:rsidRPr="001F380D" w:rsidRDefault="000A2337" w:rsidP="00161AB3">
                  <w:pPr>
                    <w:shd w:val="clear" w:color="auto" w:fill="FFFFFF"/>
                    <w:spacing w:line="240" w:lineRule="atLeast"/>
                    <w:jc w:val="center"/>
                    <w:rPr>
                      <w:sz w:val="22"/>
                      <w:szCs w:val="22"/>
                      <w:lang w:val="sr-Latn-CS"/>
                    </w:rPr>
                  </w:pPr>
                  <w:r w:rsidRPr="001F380D">
                    <w:rPr>
                      <w:color w:val="000000"/>
                      <w:sz w:val="22"/>
                      <w:szCs w:val="22"/>
                      <w:lang w:val="sr-Latn-CS"/>
                    </w:rPr>
                    <w:t>8%</w:t>
                  </w:r>
                </w:p>
                <w:p w:rsidR="000A2337" w:rsidRPr="001F380D" w:rsidRDefault="000A2337" w:rsidP="00161AB3">
                  <w:pPr>
                    <w:shd w:val="clear" w:color="auto" w:fill="FFFFFF"/>
                    <w:spacing w:line="240" w:lineRule="atLeast"/>
                    <w:jc w:val="center"/>
                    <w:rPr>
                      <w:color w:val="000000"/>
                      <w:sz w:val="22"/>
                      <w:szCs w:val="22"/>
                      <w:lang w:val="sr-Latn-CS"/>
                    </w:rPr>
                  </w:pPr>
                  <w:r w:rsidRPr="001F380D">
                    <w:rPr>
                      <w:color w:val="000000"/>
                      <w:sz w:val="22"/>
                      <w:szCs w:val="22"/>
                      <w:lang w:val="sr-Latn-CS"/>
                    </w:rPr>
                    <w:t>5%</w:t>
                  </w:r>
                </w:p>
                <w:p w:rsidR="000A2337" w:rsidRPr="001F380D" w:rsidRDefault="000A2337" w:rsidP="00161AB3">
                  <w:pPr>
                    <w:shd w:val="clear" w:color="auto" w:fill="FFFFFF"/>
                    <w:spacing w:line="240" w:lineRule="atLeast"/>
                    <w:jc w:val="center"/>
                    <w:rPr>
                      <w:sz w:val="22"/>
                      <w:szCs w:val="22"/>
                      <w:lang w:val="sr-Latn-CS"/>
                    </w:rPr>
                  </w:pPr>
                  <w:r w:rsidRPr="001F380D">
                    <w:rPr>
                      <w:color w:val="000000"/>
                      <w:sz w:val="22"/>
                      <w:szCs w:val="22"/>
                      <w:lang w:val="sr-Latn-CS"/>
                    </w:rPr>
                    <w:t>18%</w:t>
                  </w:r>
                </w:p>
              </w:tc>
            </w:tr>
            <w:tr w:rsidR="000A2337" w:rsidRPr="001F380D" w:rsidTr="00847E59">
              <w:trPr>
                <w:jc w:val="center"/>
              </w:trPr>
              <w:tc>
                <w:tcPr>
                  <w:tcW w:w="4106" w:type="dxa"/>
                  <w:tcBorders>
                    <w:top w:val="single" w:sz="4" w:space="0" w:color="auto"/>
                    <w:left w:val="single" w:sz="6" w:space="0" w:color="auto"/>
                    <w:bottom w:val="single" w:sz="6" w:space="0" w:color="auto"/>
                    <w:right w:val="single" w:sz="6" w:space="0" w:color="auto"/>
                  </w:tcBorders>
                  <w:shd w:val="clear" w:color="auto" w:fill="FFFFFF"/>
                </w:tcPr>
                <w:p w:rsidR="000A2337" w:rsidRPr="001F380D" w:rsidRDefault="000A2337" w:rsidP="00847E59">
                  <w:pPr>
                    <w:shd w:val="clear" w:color="auto" w:fill="FFFFFF"/>
                    <w:spacing w:line="240" w:lineRule="atLeast"/>
                    <w:rPr>
                      <w:sz w:val="22"/>
                      <w:szCs w:val="22"/>
                      <w:lang w:val="sr-Latn-CS"/>
                    </w:rPr>
                  </w:pPr>
                  <w:r>
                    <w:rPr>
                      <w:color w:val="000000"/>
                      <w:sz w:val="22"/>
                      <w:szCs w:val="22"/>
                      <w:lang w:val="sr-Latn-CS"/>
                    </w:rPr>
                    <w:t>Glavni</w:t>
                  </w:r>
                  <w:r w:rsidRPr="001F380D">
                    <w:rPr>
                      <w:color w:val="000000"/>
                      <w:sz w:val="22"/>
                      <w:szCs w:val="22"/>
                      <w:lang w:val="sr-Latn-CS"/>
                    </w:rPr>
                    <w:t xml:space="preserve"> citogenet</w:t>
                  </w:r>
                  <w:r>
                    <w:rPr>
                      <w:color w:val="000000"/>
                      <w:sz w:val="22"/>
                      <w:szCs w:val="22"/>
                      <w:lang w:val="sr-Latn-CS"/>
                    </w:rPr>
                    <w:t>ski</w:t>
                  </w:r>
                  <w:r w:rsidRPr="001F380D">
                    <w:rPr>
                      <w:color w:val="000000"/>
                      <w:sz w:val="22"/>
                      <w:szCs w:val="22"/>
                      <w:lang w:val="sr-Latn-CS"/>
                    </w:rPr>
                    <w:t xml:space="preserve"> </w:t>
                  </w:r>
                  <w:r>
                    <w:rPr>
                      <w:color w:val="000000"/>
                      <w:sz w:val="22"/>
                      <w:szCs w:val="22"/>
                      <w:lang w:val="sr-Latn-CS"/>
                    </w:rPr>
                    <w:t>odgovor</w:t>
                  </w:r>
                  <w:r w:rsidRPr="001F380D">
                    <w:rPr>
                      <w:color w:val="000000"/>
                      <w:sz w:val="22"/>
                      <w:szCs w:val="22"/>
                      <w:vertAlign w:val="superscript"/>
                      <w:lang w:val="sr-Latn-CS"/>
                    </w:rPr>
                    <w:t xml:space="preserve">2 </w:t>
                  </w:r>
                </w:p>
              </w:tc>
              <w:tc>
                <w:tcPr>
                  <w:tcW w:w="5517" w:type="dxa"/>
                  <w:tcBorders>
                    <w:top w:val="single" w:sz="4" w:space="0" w:color="auto"/>
                    <w:left w:val="single" w:sz="6" w:space="0" w:color="auto"/>
                    <w:bottom w:val="single" w:sz="6" w:space="0" w:color="auto"/>
                    <w:right w:val="single" w:sz="6" w:space="0" w:color="auto"/>
                  </w:tcBorders>
                  <w:shd w:val="clear" w:color="auto" w:fill="FFFFFF"/>
                </w:tcPr>
                <w:p w:rsidR="000A2337" w:rsidRPr="007B2300" w:rsidRDefault="000A2337" w:rsidP="00161AB3">
                  <w:pPr>
                    <w:shd w:val="clear" w:color="auto" w:fill="FFFFFF"/>
                    <w:spacing w:line="240" w:lineRule="atLeast"/>
                    <w:jc w:val="center"/>
                    <w:rPr>
                      <w:color w:val="000000"/>
                      <w:sz w:val="22"/>
                      <w:szCs w:val="22"/>
                      <w:lang w:val="sr-Latn-CS"/>
                    </w:rPr>
                  </w:pPr>
                  <w:r w:rsidRPr="001F380D">
                    <w:rPr>
                      <w:color w:val="000000"/>
                      <w:sz w:val="22"/>
                      <w:szCs w:val="22"/>
                      <w:lang w:val="sr-Latn-CS"/>
                    </w:rPr>
                    <w:t>15% (11,2-20,4)</w:t>
                  </w:r>
                </w:p>
              </w:tc>
            </w:tr>
            <w:tr w:rsidR="000A2337" w:rsidRPr="001F380D" w:rsidTr="00847E59">
              <w:trPr>
                <w:jc w:val="center"/>
              </w:trPr>
              <w:tc>
                <w:tcPr>
                  <w:tcW w:w="4106" w:type="dxa"/>
                  <w:tcBorders>
                    <w:top w:val="single" w:sz="4" w:space="0" w:color="auto"/>
                    <w:left w:val="single" w:sz="6" w:space="0" w:color="auto"/>
                    <w:bottom w:val="single" w:sz="6" w:space="0" w:color="auto"/>
                    <w:right w:val="single" w:sz="6" w:space="0" w:color="auto"/>
                  </w:tcBorders>
                  <w:shd w:val="clear" w:color="auto" w:fill="FFFFFF"/>
                </w:tcPr>
                <w:p w:rsidR="000A2337" w:rsidRDefault="000A2337" w:rsidP="00161AB3">
                  <w:pPr>
                    <w:shd w:val="clear" w:color="auto" w:fill="FFFFFF"/>
                    <w:spacing w:line="240" w:lineRule="atLeast"/>
                    <w:rPr>
                      <w:color w:val="000000"/>
                      <w:sz w:val="22"/>
                      <w:szCs w:val="22"/>
                      <w:lang w:val="sr-Latn-CS"/>
                    </w:rPr>
                  </w:pPr>
                  <w:r w:rsidRPr="001F380D">
                    <w:rPr>
                      <w:color w:val="000000"/>
                      <w:sz w:val="22"/>
                      <w:szCs w:val="22"/>
                      <w:lang w:val="sr-Latn-CS"/>
                    </w:rPr>
                    <w:t>Komplet</w:t>
                  </w:r>
                  <w:r>
                    <w:rPr>
                      <w:color w:val="000000"/>
                      <w:sz w:val="22"/>
                      <w:szCs w:val="22"/>
                      <w:lang w:val="sr-Latn-CS"/>
                    </w:rPr>
                    <w:t>an</w:t>
                  </w:r>
                </w:p>
              </w:tc>
              <w:tc>
                <w:tcPr>
                  <w:tcW w:w="5517" w:type="dxa"/>
                  <w:tcBorders>
                    <w:top w:val="single" w:sz="4" w:space="0" w:color="auto"/>
                    <w:left w:val="single" w:sz="6" w:space="0" w:color="auto"/>
                    <w:bottom w:val="single" w:sz="6" w:space="0" w:color="auto"/>
                    <w:right w:val="single" w:sz="6" w:space="0" w:color="auto"/>
                  </w:tcBorders>
                  <w:shd w:val="clear" w:color="auto" w:fill="FFFFFF"/>
                </w:tcPr>
                <w:p w:rsidR="000A2337" w:rsidRPr="001F380D" w:rsidRDefault="000A2337" w:rsidP="00161AB3">
                  <w:pPr>
                    <w:shd w:val="clear" w:color="auto" w:fill="FFFFFF"/>
                    <w:spacing w:line="240" w:lineRule="atLeast"/>
                    <w:jc w:val="center"/>
                    <w:rPr>
                      <w:color w:val="000000"/>
                      <w:sz w:val="22"/>
                      <w:szCs w:val="22"/>
                      <w:lang w:val="sr-Latn-CS"/>
                    </w:rPr>
                  </w:pPr>
                  <w:r w:rsidRPr="001F380D">
                    <w:rPr>
                      <w:color w:val="000000"/>
                      <w:sz w:val="22"/>
                      <w:szCs w:val="22"/>
                      <w:lang w:val="sr-Latn-CS"/>
                    </w:rPr>
                    <w:t>7%</w:t>
                  </w:r>
                </w:p>
                <w:p w:rsidR="000A2337" w:rsidRPr="001F380D" w:rsidRDefault="000A2337" w:rsidP="00161AB3">
                  <w:pPr>
                    <w:shd w:val="clear" w:color="auto" w:fill="FFFFFF"/>
                    <w:spacing w:line="240" w:lineRule="atLeast"/>
                    <w:rPr>
                      <w:color w:val="000000"/>
                      <w:sz w:val="22"/>
                      <w:szCs w:val="22"/>
                      <w:lang w:val="sr-Latn-CS"/>
                    </w:rPr>
                  </w:pPr>
                </w:p>
              </w:tc>
            </w:tr>
            <w:tr w:rsidR="000A2337" w:rsidRPr="001F380D" w:rsidTr="00847E59">
              <w:trPr>
                <w:jc w:val="center"/>
              </w:trPr>
              <w:tc>
                <w:tcPr>
                  <w:tcW w:w="4106" w:type="dxa"/>
                  <w:tcBorders>
                    <w:top w:val="single" w:sz="4" w:space="0" w:color="auto"/>
                    <w:left w:val="single" w:sz="6" w:space="0" w:color="auto"/>
                    <w:bottom w:val="single" w:sz="6" w:space="0" w:color="auto"/>
                    <w:right w:val="single" w:sz="6" w:space="0" w:color="auto"/>
                  </w:tcBorders>
                  <w:shd w:val="clear" w:color="auto" w:fill="FFFFFF"/>
                </w:tcPr>
                <w:p w:rsidR="000A2337" w:rsidRPr="001F380D" w:rsidRDefault="000A2337" w:rsidP="00161AB3">
                  <w:pPr>
                    <w:shd w:val="clear" w:color="auto" w:fill="FFFFFF"/>
                    <w:spacing w:line="240" w:lineRule="atLeast"/>
                    <w:rPr>
                      <w:color w:val="000000"/>
                      <w:sz w:val="22"/>
                      <w:szCs w:val="22"/>
                      <w:lang w:val="sr-Latn-CS"/>
                    </w:rPr>
                  </w:pPr>
                  <w:r w:rsidRPr="001F380D">
                    <w:rPr>
                      <w:color w:val="000000"/>
                      <w:sz w:val="22"/>
                      <w:szCs w:val="22"/>
                      <w:lang w:val="sr-Latn-CS"/>
                    </w:rPr>
                    <w:t>(Potvrđena</w:t>
                  </w:r>
                  <w:r w:rsidRPr="001F380D">
                    <w:rPr>
                      <w:color w:val="000000"/>
                      <w:sz w:val="22"/>
                      <w:szCs w:val="22"/>
                      <w:vertAlign w:val="superscript"/>
                      <w:lang w:val="sr-Latn-CS"/>
                    </w:rPr>
                    <w:t>3</w:t>
                  </w:r>
                  <w:r w:rsidRPr="001F380D">
                    <w:rPr>
                      <w:color w:val="000000"/>
                      <w:sz w:val="22"/>
                      <w:szCs w:val="22"/>
                      <w:lang w:val="sr-Latn-CS"/>
                    </w:rPr>
                    <w:t>) [95% CI]</w:t>
                  </w:r>
                </w:p>
              </w:tc>
              <w:tc>
                <w:tcPr>
                  <w:tcW w:w="5517" w:type="dxa"/>
                  <w:tcBorders>
                    <w:top w:val="single" w:sz="4" w:space="0" w:color="auto"/>
                    <w:left w:val="single" w:sz="6" w:space="0" w:color="auto"/>
                    <w:bottom w:val="single" w:sz="6" w:space="0" w:color="auto"/>
                    <w:right w:val="single" w:sz="6" w:space="0" w:color="auto"/>
                  </w:tcBorders>
                  <w:shd w:val="clear" w:color="auto" w:fill="FFFFFF"/>
                </w:tcPr>
                <w:p w:rsidR="000A2337" w:rsidRPr="001F380D" w:rsidRDefault="000A2337" w:rsidP="00161AB3">
                  <w:pPr>
                    <w:shd w:val="clear" w:color="auto" w:fill="FFFFFF"/>
                    <w:spacing w:line="240" w:lineRule="atLeast"/>
                    <w:jc w:val="center"/>
                    <w:rPr>
                      <w:color w:val="000000"/>
                      <w:sz w:val="22"/>
                      <w:szCs w:val="22"/>
                      <w:lang w:val="sr-Latn-CS"/>
                    </w:rPr>
                  </w:pPr>
                  <w:r w:rsidRPr="001F380D">
                    <w:rPr>
                      <w:color w:val="000000"/>
                      <w:sz w:val="22"/>
                      <w:szCs w:val="22"/>
                      <w:lang w:val="sr-Latn-CS"/>
                    </w:rPr>
                    <w:t>(2%) [0,6-4,4]</w:t>
                  </w:r>
                </w:p>
              </w:tc>
            </w:tr>
            <w:tr w:rsidR="000A2337" w:rsidRPr="001F380D" w:rsidTr="00847E59">
              <w:trPr>
                <w:jc w:val="center"/>
              </w:trPr>
              <w:tc>
                <w:tcPr>
                  <w:tcW w:w="4106" w:type="dxa"/>
                  <w:tcBorders>
                    <w:top w:val="single" w:sz="4" w:space="0" w:color="auto"/>
                    <w:left w:val="single" w:sz="6" w:space="0" w:color="auto"/>
                    <w:bottom w:val="single" w:sz="6" w:space="0" w:color="auto"/>
                    <w:right w:val="single" w:sz="6" w:space="0" w:color="auto"/>
                  </w:tcBorders>
                  <w:shd w:val="clear" w:color="auto" w:fill="FFFFFF"/>
                </w:tcPr>
                <w:p w:rsidR="000A2337" w:rsidRPr="001F380D" w:rsidRDefault="000A2337" w:rsidP="00161AB3">
                  <w:pPr>
                    <w:shd w:val="clear" w:color="auto" w:fill="FFFFFF"/>
                    <w:spacing w:line="240" w:lineRule="atLeast"/>
                    <w:rPr>
                      <w:color w:val="000000"/>
                      <w:sz w:val="22"/>
                      <w:szCs w:val="22"/>
                      <w:lang w:val="sr-Latn-CS"/>
                    </w:rPr>
                  </w:pPr>
                  <w:r>
                    <w:rPr>
                      <w:color w:val="000000"/>
                      <w:sz w:val="22"/>
                      <w:szCs w:val="22"/>
                      <w:lang w:val="sr-Latn-CS"/>
                    </w:rPr>
                    <w:t>Djelimičan</w:t>
                  </w:r>
                </w:p>
              </w:tc>
              <w:tc>
                <w:tcPr>
                  <w:tcW w:w="5517" w:type="dxa"/>
                  <w:tcBorders>
                    <w:top w:val="single" w:sz="4" w:space="0" w:color="auto"/>
                    <w:left w:val="single" w:sz="6" w:space="0" w:color="auto"/>
                    <w:bottom w:val="single" w:sz="6" w:space="0" w:color="auto"/>
                    <w:right w:val="single" w:sz="6" w:space="0" w:color="auto"/>
                  </w:tcBorders>
                  <w:shd w:val="clear" w:color="auto" w:fill="FFFFFF"/>
                </w:tcPr>
                <w:p w:rsidR="000A2337" w:rsidRPr="001F380D" w:rsidRDefault="000A2337" w:rsidP="00161AB3">
                  <w:pPr>
                    <w:shd w:val="clear" w:color="auto" w:fill="FFFFFF"/>
                    <w:spacing w:line="240" w:lineRule="atLeast"/>
                    <w:jc w:val="center"/>
                    <w:rPr>
                      <w:color w:val="000000"/>
                      <w:sz w:val="22"/>
                      <w:szCs w:val="22"/>
                      <w:lang w:val="sr-Latn-CS"/>
                    </w:rPr>
                  </w:pPr>
                  <w:r w:rsidRPr="001F380D">
                    <w:rPr>
                      <w:color w:val="000000"/>
                      <w:sz w:val="22"/>
                      <w:szCs w:val="22"/>
                      <w:lang w:val="sr-Latn-CS"/>
                    </w:rPr>
                    <w:t>8%</w:t>
                  </w:r>
                </w:p>
              </w:tc>
            </w:tr>
            <w:tr w:rsidR="000A2337" w:rsidRPr="001F380D" w:rsidTr="00847E59">
              <w:trPr>
                <w:jc w:val="center"/>
              </w:trPr>
              <w:tc>
                <w:tcPr>
                  <w:tcW w:w="9623" w:type="dxa"/>
                  <w:gridSpan w:val="2"/>
                  <w:tcBorders>
                    <w:top w:val="single" w:sz="6" w:space="0" w:color="auto"/>
                    <w:left w:val="single" w:sz="6" w:space="0" w:color="auto"/>
                    <w:bottom w:val="single" w:sz="6" w:space="0" w:color="auto"/>
                    <w:right w:val="single" w:sz="6" w:space="0" w:color="auto"/>
                  </w:tcBorders>
                  <w:shd w:val="clear" w:color="auto" w:fill="FFFFFF"/>
                </w:tcPr>
                <w:p w:rsidR="000A2337" w:rsidRPr="001F380D" w:rsidRDefault="000A2337" w:rsidP="00161AB3">
                  <w:pPr>
                    <w:shd w:val="clear" w:color="auto" w:fill="FFFFFF"/>
                    <w:spacing w:line="240" w:lineRule="atLeast"/>
                    <w:rPr>
                      <w:sz w:val="22"/>
                      <w:szCs w:val="22"/>
                      <w:lang w:val="sr-Latn-CS"/>
                    </w:rPr>
                  </w:pPr>
                  <w:r w:rsidRPr="001F380D">
                    <w:rPr>
                      <w:color w:val="000000"/>
                      <w:sz w:val="22"/>
                      <w:szCs w:val="22"/>
                      <w:vertAlign w:val="superscript"/>
                      <w:lang w:val="sr-Latn-CS"/>
                    </w:rPr>
                    <w:t>1</w:t>
                  </w:r>
                  <w:r w:rsidRPr="001F380D">
                    <w:rPr>
                      <w:color w:val="000000"/>
                      <w:sz w:val="22"/>
                      <w:szCs w:val="22"/>
                      <w:lang w:val="sr-Latn-CS"/>
                    </w:rPr>
                    <w:t xml:space="preserve"> </w:t>
                  </w:r>
                  <w:r w:rsidRPr="007634E5">
                    <w:rPr>
                      <w:b/>
                      <w:color w:val="000000"/>
                      <w:sz w:val="22"/>
                      <w:szCs w:val="22"/>
                      <w:lang w:val="sr-Latn-CS"/>
                    </w:rPr>
                    <w:t xml:space="preserve">Kriterijumi </w:t>
                  </w:r>
                  <w:r w:rsidRPr="007634E5">
                    <w:rPr>
                      <w:b/>
                      <w:bCs/>
                      <w:color w:val="000000"/>
                      <w:sz w:val="22"/>
                      <w:szCs w:val="22"/>
                      <w:lang w:val="sr-Latn-CS"/>
                    </w:rPr>
                    <w:t>hematološkog</w:t>
                  </w:r>
                  <w:r w:rsidRPr="001F380D">
                    <w:rPr>
                      <w:b/>
                      <w:bCs/>
                      <w:color w:val="000000"/>
                      <w:sz w:val="22"/>
                      <w:szCs w:val="22"/>
                      <w:lang w:val="sr-Latn-CS"/>
                    </w:rPr>
                    <w:t xml:space="preserve"> </w:t>
                  </w:r>
                  <w:r>
                    <w:rPr>
                      <w:b/>
                      <w:bCs/>
                      <w:color w:val="000000"/>
                      <w:sz w:val="22"/>
                      <w:szCs w:val="22"/>
                      <w:lang w:val="sr-Latn-CS"/>
                    </w:rPr>
                    <w:t xml:space="preserve">odgovora (svi odgovori treba </w:t>
                  </w:r>
                  <w:r w:rsidRPr="001F380D">
                    <w:rPr>
                      <w:b/>
                      <w:bCs/>
                      <w:color w:val="000000"/>
                      <w:sz w:val="22"/>
                      <w:szCs w:val="22"/>
                      <w:lang w:val="sr-Latn-CS"/>
                    </w:rPr>
                    <w:t xml:space="preserve">da </w:t>
                  </w:r>
                  <w:r>
                    <w:rPr>
                      <w:b/>
                      <w:bCs/>
                      <w:color w:val="000000"/>
                      <w:sz w:val="22"/>
                      <w:szCs w:val="22"/>
                      <w:lang w:val="sr-Latn-CS"/>
                    </w:rPr>
                    <w:t>budu potvrđeni</w:t>
                  </w:r>
                  <w:r w:rsidRPr="001F380D">
                    <w:rPr>
                      <w:b/>
                      <w:bCs/>
                      <w:color w:val="000000"/>
                      <w:sz w:val="22"/>
                      <w:szCs w:val="22"/>
                      <w:lang w:val="sr-Latn-CS"/>
                    </w:rPr>
                    <w:t xml:space="preserve"> </w:t>
                  </w:r>
                  <w:r>
                    <w:rPr>
                      <w:b/>
                      <w:bCs/>
                      <w:color w:val="000000"/>
                      <w:sz w:val="22"/>
                      <w:szCs w:val="22"/>
                      <w:lang w:val="sr-Latn-CS"/>
                    </w:rPr>
                    <w:t>poslije</w:t>
                  </w:r>
                  <w:r w:rsidRPr="001F380D">
                    <w:rPr>
                      <w:b/>
                      <w:bCs/>
                      <w:color w:val="000000"/>
                      <w:sz w:val="22"/>
                      <w:szCs w:val="22"/>
                      <w:lang w:val="sr-Latn-CS"/>
                    </w:rPr>
                    <w:t xml:space="preserve"> </w:t>
                  </w:r>
                  <w:r w:rsidRPr="001F380D">
                    <w:rPr>
                      <w:b/>
                      <w:color w:val="000000"/>
                      <w:sz w:val="22"/>
                      <w:szCs w:val="22"/>
                      <w:lang w:val="sr-Latn-CS"/>
                    </w:rPr>
                    <w:t xml:space="preserve">≥ </w:t>
                  </w:r>
                  <w:r w:rsidRPr="001F380D">
                    <w:rPr>
                      <w:b/>
                      <w:bCs/>
                      <w:color w:val="000000"/>
                      <w:sz w:val="22"/>
                      <w:szCs w:val="22"/>
                      <w:lang w:val="sr-Latn-CS"/>
                    </w:rPr>
                    <w:t xml:space="preserve">4 </w:t>
                  </w:r>
                  <w:r>
                    <w:rPr>
                      <w:b/>
                      <w:color w:val="000000"/>
                      <w:sz w:val="22"/>
                      <w:szCs w:val="22"/>
                      <w:lang w:val="sr-Latn-CS"/>
                    </w:rPr>
                    <w:t>nedjelj</w:t>
                  </w:r>
                  <w:r w:rsidRPr="001F380D">
                    <w:rPr>
                      <w:b/>
                      <w:color w:val="000000"/>
                      <w:sz w:val="22"/>
                      <w:szCs w:val="22"/>
                      <w:lang w:val="sr-Latn-CS"/>
                    </w:rPr>
                    <w:t>e)</w:t>
                  </w:r>
                  <w:r w:rsidRPr="001F380D">
                    <w:rPr>
                      <w:color w:val="000000"/>
                      <w:sz w:val="22"/>
                      <w:szCs w:val="22"/>
                      <w:lang w:val="sr-Latn-CS"/>
                    </w:rPr>
                    <w:t>:</w:t>
                  </w:r>
                </w:p>
                <w:p w:rsidR="000A2337" w:rsidRPr="001F380D" w:rsidRDefault="000A2337" w:rsidP="00161AB3">
                  <w:pPr>
                    <w:shd w:val="clear" w:color="auto" w:fill="FFFFFF"/>
                    <w:tabs>
                      <w:tab w:val="left" w:pos="567"/>
                    </w:tabs>
                    <w:spacing w:before="120" w:line="240" w:lineRule="atLeast"/>
                    <w:ind w:left="567" w:hanging="567"/>
                    <w:rPr>
                      <w:color w:val="000000"/>
                      <w:sz w:val="22"/>
                      <w:szCs w:val="22"/>
                      <w:lang w:val="sr-Latn-CS"/>
                    </w:rPr>
                  </w:pPr>
                  <w:smartTag w:uri="urn:schemas-microsoft-com:office:smarttags" w:element="stockticker">
                    <w:r w:rsidRPr="001F380D">
                      <w:rPr>
                        <w:color w:val="000000"/>
                        <w:sz w:val="22"/>
                        <w:szCs w:val="22"/>
                        <w:lang w:val="sr-Latn-CS"/>
                      </w:rPr>
                      <w:t>CHR</w:t>
                    </w:r>
                  </w:smartTag>
                  <w:r w:rsidRPr="001F380D">
                    <w:rPr>
                      <w:color w:val="000000"/>
                      <w:sz w:val="22"/>
                      <w:szCs w:val="22"/>
                      <w:lang w:val="sr-Latn-CS"/>
                    </w:rPr>
                    <w:t>:</w:t>
                  </w:r>
                  <w:r w:rsidRPr="001F380D">
                    <w:rPr>
                      <w:color w:val="000000"/>
                      <w:sz w:val="22"/>
                      <w:szCs w:val="22"/>
                      <w:lang w:val="sr-Latn-CS"/>
                    </w:rPr>
                    <w:tab/>
                  </w:r>
                  <w:r>
                    <w:rPr>
                      <w:color w:val="000000"/>
                      <w:sz w:val="22"/>
                      <w:szCs w:val="22"/>
                      <w:lang w:val="sr-Latn-CS"/>
                    </w:rPr>
                    <w:t>u studijama 0102 [ANC ≥ 1,5 x</w:t>
                  </w:r>
                  <w:r w:rsidRPr="001F380D">
                    <w:rPr>
                      <w:color w:val="000000"/>
                      <w:sz w:val="22"/>
                      <w:szCs w:val="22"/>
                      <w:lang w:val="sr-Latn-CS"/>
                    </w:rPr>
                    <w:t xml:space="preserve"> 10</w:t>
                  </w:r>
                  <w:r w:rsidRPr="001F380D">
                    <w:rPr>
                      <w:color w:val="000000"/>
                      <w:sz w:val="22"/>
                      <w:szCs w:val="22"/>
                      <w:vertAlign w:val="superscript"/>
                      <w:lang w:val="sr-Latn-CS"/>
                    </w:rPr>
                    <w:t>9</w:t>
                  </w:r>
                  <w:r>
                    <w:rPr>
                      <w:color w:val="000000"/>
                      <w:sz w:val="22"/>
                      <w:szCs w:val="22"/>
                      <w:lang w:val="sr-Latn-CS"/>
                    </w:rPr>
                    <w:t>/l, trombociti ≥ 100 x</w:t>
                  </w:r>
                  <w:r w:rsidRPr="001F380D">
                    <w:rPr>
                      <w:color w:val="000000"/>
                      <w:sz w:val="22"/>
                      <w:szCs w:val="22"/>
                      <w:lang w:val="sr-Latn-CS"/>
                    </w:rPr>
                    <w:t>10</w:t>
                  </w:r>
                  <w:r w:rsidRPr="001F380D">
                    <w:rPr>
                      <w:color w:val="000000"/>
                      <w:sz w:val="22"/>
                      <w:szCs w:val="22"/>
                      <w:vertAlign w:val="superscript"/>
                      <w:lang w:val="sr-Latn-CS"/>
                    </w:rPr>
                    <w:t>9</w:t>
                  </w:r>
                  <w:r w:rsidRPr="001F380D">
                    <w:rPr>
                      <w:color w:val="000000"/>
                      <w:sz w:val="22"/>
                      <w:szCs w:val="22"/>
                      <w:lang w:val="sr-Latn-CS"/>
                    </w:rPr>
                    <w:t>/l, nema blast</w:t>
                  </w:r>
                  <w:r>
                    <w:rPr>
                      <w:color w:val="000000"/>
                      <w:sz w:val="22"/>
                      <w:szCs w:val="22"/>
                      <w:lang w:val="sr-Latn-CS"/>
                    </w:rPr>
                    <w:t>ocita u krvi</w:t>
                  </w:r>
                  <w:r w:rsidRPr="001F380D">
                    <w:rPr>
                      <w:color w:val="000000"/>
                      <w:sz w:val="22"/>
                      <w:szCs w:val="22"/>
                      <w:lang w:val="sr-Latn-CS"/>
                    </w:rPr>
                    <w:t>, BM blast</w:t>
                  </w:r>
                  <w:r>
                    <w:rPr>
                      <w:color w:val="000000"/>
                      <w:sz w:val="22"/>
                      <w:szCs w:val="22"/>
                      <w:lang w:val="sr-Latn-CS"/>
                    </w:rPr>
                    <w:t>ocit</w:t>
                  </w:r>
                  <w:r w:rsidRPr="001F380D">
                    <w:rPr>
                      <w:color w:val="000000"/>
                      <w:sz w:val="22"/>
                      <w:szCs w:val="22"/>
                      <w:lang w:val="sr-Latn-CS"/>
                    </w:rPr>
                    <w:t xml:space="preserve"> </w:t>
                  </w:r>
                  <w:r w:rsidR="00847E59">
                    <w:rPr>
                      <w:color w:val="000000"/>
                      <w:sz w:val="22"/>
                      <w:szCs w:val="22"/>
                      <w:lang w:val="sr-Latn-CS"/>
                    </w:rPr>
                    <w:t xml:space="preserve">  </w:t>
                  </w:r>
                  <w:r w:rsidRPr="001F380D">
                    <w:rPr>
                      <w:color w:val="000000"/>
                      <w:sz w:val="22"/>
                      <w:szCs w:val="22"/>
                      <w:lang w:val="sr-Latn-CS"/>
                    </w:rPr>
                    <w:t xml:space="preserve">&lt; 5% </w:t>
                  </w:r>
                  <w:r>
                    <w:rPr>
                      <w:color w:val="000000"/>
                      <w:sz w:val="22"/>
                      <w:szCs w:val="22"/>
                      <w:lang w:val="sr-Latn-CS"/>
                    </w:rPr>
                    <w:t>i</w:t>
                  </w:r>
                  <w:r w:rsidRPr="001F380D">
                    <w:rPr>
                      <w:color w:val="000000"/>
                      <w:sz w:val="22"/>
                      <w:szCs w:val="22"/>
                      <w:lang w:val="sr-Latn-CS"/>
                    </w:rPr>
                    <w:t xml:space="preserve"> bez ekstramedul</w:t>
                  </w:r>
                  <w:r>
                    <w:rPr>
                      <w:color w:val="000000"/>
                      <w:sz w:val="22"/>
                      <w:szCs w:val="22"/>
                      <w:lang w:val="sr-Latn-CS"/>
                    </w:rPr>
                    <w:t>ar</w:t>
                  </w:r>
                  <w:r w:rsidRPr="001F380D">
                    <w:rPr>
                      <w:color w:val="000000"/>
                      <w:sz w:val="22"/>
                      <w:szCs w:val="22"/>
                      <w:lang w:val="sr-Latn-CS"/>
                    </w:rPr>
                    <w:t>ne bolesti]</w:t>
                  </w:r>
                </w:p>
                <w:p w:rsidR="000A2337" w:rsidRPr="001F380D" w:rsidRDefault="000A2337" w:rsidP="00161AB3">
                  <w:pPr>
                    <w:shd w:val="clear" w:color="auto" w:fill="FFFFFF"/>
                    <w:tabs>
                      <w:tab w:val="left" w:pos="567"/>
                    </w:tabs>
                    <w:spacing w:before="120" w:line="240" w:lineRule="atLeast"/>
                    <w:ind w:left="567" w:hanging="567"/>
                    <w:rPr>
                      <w:color w:val="000000"/>
                      <w:sz w:val="22"/>
                      <w:szCs w:val="22"/>
                      <w:lang w:val="sr-Latn-CS"/>
                    </w:rPr>
                  </w:pPr>
                  <w:r w:rsidRPr="001F380D">
                    <w:rPr>
                      <w:color w:val="000000"/>
                      <w:sz w:val="22"/>
                      <w:szCs w:val="22"/>
                      <w:lang w:val="sr-Latn-CS"/>
                    </w:rPr>
                    <w:t>NEL</w:t>
                  </w:r>
                  <w:r>
                    <w:rPr>
                      <w:color w:val="000000"/>
                      <w:sz w:val="22"/>
                      <w:szCs w:val="22"/>
                      <w:lang w:val="sr-Latn-CS"/>
                    </w:rPr>
                    <w:t xml:space="preserve"> (no evidence of leukaemia):</w:t>
                  </w:r>
                  <w:r w:rsidRPr="001F380D">
                    <w:rPr>
                      <w:color w:val="000000"/>
                      <w:sz w:val="22"/>
                      <w:szCs w:val="22"/>
                      <w:lang w:val="sr-Latn-CS"/>
                    </w:rPr>
                    <w:t xml:space="preserve">  Isti kriterijumi kao za </w:t>
                  </w:r>
                  <w:smartTag w:uri="urn:schemas-microsoft-com:office:smarttags" w:element="stockticker">
                    <w:r w:rsidRPr="001F380D">
                      <w:rPr>
                        <w:color w:val="000000"/>
                        <w:sz w:val="22"/>
                        <w:szCs w:val="22"/>
                        <w:lang w:val="sr-Latn-CS"/>
                      </w:rPr>
                      <w:t>CHR</w:t>
                    </w:r>
                  </w:smartTag>
                  <w:r>
                    <w:rPr>
                      <w:color w:val="000000"/>
                      <w:sz w:val="22"/>
                      <w:szCs w:val="22"/>
                      <w:lang w:val="sr-Latn-CS"/>
                    </w:rPr>
                    <w:t xml:space="preserve"> ali ANC ≥ 1 x</w:t>
                  </w:r>
                  <w:r w:rsidRPr="001F380D">
                    <w:rPr>
                      <w:color w:val="000000"/>
                      <w:sz w:val="22"/>
                      <w:szCs w:val="22"/>
                      <w:lang w:val="sr-Latn-CS"/>
                    </w:rPr>
                    <w:t xml:space="preserve"> 10</w:t>
                  </w:r>
                  <w:r w:rsidRPr="001F380D">
                    <w:rPr>
                      <w:color w:val="000000"/>
                      <w:sz w:val="22"/>
                      <w:szCs w:val="22"/>
                      <w:vertAlign w:val="superscript"/>
                      <w:lang w:val="sr-Latn-CS"/>
                    </w:rPr>
                    <w:t>9</w:t>
                  </w:r>
                  <w:r>
                    <w:rPr>
                      <w:color w:val="000000"/>
                      <w:sz w:val="22"/>
                      <w:szCs w:val="22"/>
                      <w:lang w:val="sr-Latn-CS"/>
                    </w:rPr>
                    <w:t>/l i</w:t>
                  </w:r>
                  <w:r w:rsidRPr="001F380D">
                    <w:rPr>
                      <w:color w:val="000000"/>
                      <w:sz w:val="22"/>
                      <w:szCs w:val="22"/>
                      <w:lang w:val="sr-Latn-CS"/>
                    </w:rPr>
                    <w:t xml:space="preserve"> trombociti ≥ 20  </w:t>
                  </w:r>
                  <w:r>
                    <w:rPr>
                      <w:color w:val="000000"/>
                      <w:sz w:val="22"/>
                      <w:szCs w:val="22"/>
                      <w:lang w:val="sr-Latn-CS"/>
                    </w:rPr>
                    <w:t>x</w:t>
                  </w:r>
                  <w:r w:rsidRPr="001F380D">
                    <w:rPr>
                      <w:color w:val="000000"/>
                      <w:sz w:val="22"/>
                      <w:szCs w:val="22"/>
                      <w:lang w:val="sr-Latn-CS"/>
                    </w:rPr>
                    <w:t xml:space="preserve"> 10</w:t>
                  </w:r>
                  <w:r w:rsidRPr="001F380D">
                    <w:rPr>
                      <w:color w:val="000000"/>
                      <w:sz w:val="22"/>
                      <w:szCs w:val="22"/>
                      <w:vertAlign w:val="superscript"/>
                      <w:lang w:val="sr-Latn-CS"/>
                    </w:rPr>
                    <w:t>9</w:t>
                  </w:r>
                  <w:r w:rsidRPr="001F380D">
                    <w:rPr>
                      <w:color w:val="000000"/>
                      <w:sz w:val="22"/>
                      <w:szCs w:val="22"/>
                      <w:lang w:val="sr-Latn-CS"/>
                    </w:rPr>
                    <w:t xml:space="preserve">/l </w:t>
                  </w:r>
                </w:p>
                <w:p w:rsidR="000A2337" w:rsidRDefault="000A2337" w:rsidP="00161AB3">
                  <w:pPr>
                    <w:shd w:val="clear" w:color="auto" w:fill="FFFFFF"/>
                    <w:tabs>
                      <w:tab w:val="left" w:pos="567"/>
                    </w:tabs>
                    <w:spacing w:before="120" w:line="240" w:lineRule="atLeast"/>
                    <w:ind w:left="567" w:hanging="567"/>
                    <w:rPr>
                      <w:color w:val="000000"/>
                      <w:sz w:val="22"/>
                      <w:szCs w:val="22"/>
                      <w:lang w:val="sr-Latn-CS"/>
                    </w:rPr>
                  </w:pPr>
                  <w:smartTag w:uri="urn:schemas-microsoft-com:office:smarttags" w:element="stockticker">
                    <w:r w:rsidRPr="001F380D">
                      <w:rPr>
                        <w:color w:val="000000"/>
                        <w:sz w:val="22"/>
                        <w:szCs w:val="22"/>
                        <w:lang w:val="sr-Latn-CS"/>
                      </w:rPr>
                      <w:t>RTC</w:t>
                    </w:r>
                  </w:smartTag>
                  <w:r w:rsidRPr="001F380D">
                    <w:rPr>
                      <w:color w:val="000000"/>
                      <w:sz w:val="22"/>
                      <w:szCs w:val="22"/>
                      <w:lang w:val="sr-Latn-CS"/>
                    </w:rPr>
                    <w:t xml:space="preserve"> </w:t>
                  </w:r>
                  <w:r>
                    <w:rPr>
                      <w:color w:val="000000"/>
                      <w:sz w:val="22"/>
                      <w:szCs w:val="22"/>
                      <w:lang w:val="sr-Latn-CS"/>
                    </w:rPr>
                    <w:t>(return to chronic phase)</w:t>
                  </w:r>
                  <w:r w:rsidRPr="001F380D">
                    <w:rPr>
                      <w:color w:val="000000"/>
                      <w:sz w:val="22"/>
                      <w:szCs w:val="22"/>
                      <w:lang w:val="sr-Latn-CS"/>
                    </w:rPr>
                    <w:t xml:space="preserve"> &lt; 15% blast</w:t>
                  </w:r>
                  <w:r>
                    <w:rPr>
                      <w:color w:val="000000"/>
                      <w:sz w:val="22"/>
                      <w:szCs w:val="22"/>
                      <w:lang w:val="sr-Latn-CS"/>
                    </w:rPr>
                    <w:t>ocita</w:t>
                  </w:r>
                  <w:r w:rsidRPr="001F380D">
                    <w:rPr>
                      <w:color w:val="000000"/>
                      <w:sz w:val="22"/>
                      <w:szCs w:val="22"/>
                      <w:lang w:val="sr-Latn-CS"/>
                    </w:rPr>
                    <w:t xml:space="preserve"> BM i PB, &lt; 30% blast</w:t>
                  </w:r>
                  <w:r>
                    <w:rPr>
                      <w:color w:val="000000"/>
                      <w:sz w:val="22"/>
                      <w:szCs w:val="22"/>
                      <w:lang w:val="sr-Latn-CS"/>
                    </w:rPr>
                    <w:t>ocita</w:t>
                  </w:r>
                  <w:r w:rsidRPr="001F380D">
                    <w:rPr>
                      <w:color w:val="000000"/>
                      <w:sz w:val="22"/>
                      <w:szCs w:val="22"/>
                      <w:lang w:val="sr-Latn-CS"/>
                    </w:rPr>
                    <w:t>+promijelocita u BM i PB,</w:t>
                  </w:r>
                  <w:r w:rsidR="00847E59">
                    <w:rPr>
                      <w:color w:val="000000"/>
                      <w:sz w:val="22"/>
                      <w:szCs w:val="22"/>
                      <w:lang w:val="sr-Latn-CS"/>
                    </w:rPr>
                    <w:t xml:space="preserve">  </w:t>
                  </w:r>
                  <w:r w:rsidRPr="001F380D">
                    <w:rPr>
                      <w:color w:val="000000"/>
                      <w:sz w:val="22"/>
                      <w:szCs w:val="22"/>
                      <w:lang w:val="sr-Latn-CS"/>
                    </w:rPr>
                    <w:t xml:space="preserve"> </w:t>
                  </w:r>
                  <w:r w:rsidR="00847E59">
                    <w:rPr>
                      <w:color w:val="000000"/>
                      <w:sz w:val="22"/>
                      <w:szCs w:val="22"/>
                      <w:lang w:val="sr-Latn-CS"/>
                    </w:rPr>
                    <w:t xml:space="preserve">      </w:t>
                  </w:r>
                  <w:r w:rsidRPr="001F380D">
                    <w:rPr>
                      <w:color w:val="000000"/>
                      <w:sz w:val="22"/>
                      <w:szCs w:val="22"/>
                      <w:lang w:val="sr-Latn-CS"/>
                    </w:rPr>
                    <w:t>&lt;</w:t>
                  </w:r>
                  <w:r w:rsidR="00847E59">
                    <w:rPr>
                      <w:color w:val="000000"/>
                      <w:sz w:val="22"/>
                      <w:szCs w:val="22"/>
                      <w:lang w:val="sr-Latn-CS"/>
                    </w:rPr>
                    <w:t xml:space="preserve"> </w:t>
                  </w:r>
                  <w:r w:rsidRPr="001F380D">
                    <w:rPr>
                      <w:color w:val="000000"/>
                      <w:sz w:val="22"/>
                      <w:szCs w:val="22"/>
                      <w:lang w:val="sr-Latn-CS"/>
                    </w:rPr>
                    <w:t>20% bazofila u PB, bez ekstramedul</w:t>
                  </w:r>
                  <w:r>
                    <w:rPr>
                      <w:color w:val="000000"/>
                      <w:sz w:val="22"/>
                      <w:szCs w:val="22"/>
                      <w:lang w:val="sr-Latn-CS"/>
                    </w:rPr>
                    <w:t xml:space="preserve">arne </w:t>
                  </w:r>
                  <w:r w:rsidRPr="001F380D">
                    <w:rPr>
                      <w:color w:val="000000"/>
                      <w:sz w:val="22"/>
                      <w:szCs w:val="22"/>
                      <w:lang w:val="sr-Latn-CS"/>
                    </w:rPr>
                    <w:t xml:space="preserve">bolesti osim slezine i jetre </w:t>
                  </w:r>
                </w:p>
                <w:p w:rsidR="000A2337" w:rsidRPr="00A12151" w:rsidRDefault="000A2337" w:rsidP="00161AB3">
                  <w:pPr>
                    <w:shd w:val="clear" w:color="auto" w:fill="FFFFFF"/>
                    <w:tabs>
                      <w:tab w:val="left" w:pos="567"/>
                    </w:tabs>
                    <w:spacing w:before="120" w:line="240" w:lineRule="atLeast"/>
                    <w:ind w:left="567" w:hanging="567"/>
                    <w:rPr>
                      <w:color w:val="000000"/>
                      <w:sz w:val="22"/>
                      <w:szCs w:val="22"/>
                      <w:lang w:val="sr-Latn-CS"/>
                    </w:rPr>
                  </w:pPr>
                  <w:r w:rsidRPr="001F380D">
                    <w:rPr>
                      <w:color w:val="000000"/>
                      <w:sz w:val="22"/>
                      <w:szCs w:val="22"/>
                      <w:lang w:val="sr-Latn-CS"/>
                    </w:rPr>
                    <w:t>BM</w:t>
                  </w:r>
                  <w:r>
                    <w:rPr>
                      <w:color w:val="000000"/>
                      <w:sz w:val="22"/>
                      <w:szCs w:val="22"/>
                      <w:lang w:val="sr-Latn-CS"/>
                    </w:rPr>
                    <w:t xml:space="preserve"> (bone marrow)</w:t>
                  </w:r>
                  <w:r w:rsidRPr="001F380D">
                    <w:rPr>
                      <w:color w:val="000000"/>
                      <w:sz w:val="22"/>
                      <w:szCs w:val="22"/>
                      <w:lang w:val="sr-Latn-CS"/>
                    </w:rPr>
                    <w:t xml:space="preserve"> = kostna srž, PB</w:t>
                  </w:r>
                  <w:r>
                    <w:rPr>
                      <w:color w:val="000000"/>
                      <w:sz w:val="22"/>
                      <w:szCs w:val="22"/>
                      <w:lang w:val="sr-Latn-CS"/>
                    </w:rPr>
                    <w:t xml:space="preserve"> (peripheral blood)</w:t>
                  </w:r>
                  <w:r w:rsidRPr="001F380D">
                    <w:rPr>
                      <w:color w:val="000000"/>
                      <w:sz w:val="22"/>
                      <w:szCs w:val="22"/>
                      <w:lang w:val="sr-Latn-CS"/>
                    </w:rPr>
                    <w:t xml:space="preserve"> = periferna krv </w:t>
                  </w:r>
                </w:p>
                <w:p w:rsidR="000A2337" w:rsidRPr="001F380D" w:rsidRDefault="000A2337" w:rsidP="00161AB3">
                  <w:pPr>
                    <w:shd w:val="clear" w:color="auto" w:fill="FFFFFF"/>
                    <w:tabs>
                      <w:tab w:val="left" w:pos="567"/>
                    </w:tabs>
                    <w:spacing w:before="120" w:line="240" w:lineRule="atLeast"/>
                    <w:ind w:left="567" w:hanging="567"/>
                    <w:rPr>
                      <w:b/>
                      <w:bCs/>
                      <w:color w:val="000000"/>
                      <w:sz w:val="22"/>
                      <w:szCs w:val="22"/>
                      <w:lang w:val="sr-Latn-CS"/>
                    </w:rPr>
                  </w:pPr>
                  <w:r w:rsidRPr="001F380D">
                    <w:rPr>
                      <w:color w:val="000000"/>
                      <w:sz w:val="22"/>
                      <w:szCs w:val="22"/>
                      <w:vertAlign w:val="superscript"/>
                      <w:lang w:val="sr-Latn-CS"/>
                    </w:rPr>
                    <w:lastRenderedPageBreak/>
                    <w:t>2</w:t>
                  </w:r>
                  <w:r w:rsidRPr="001F380D">
                    <w:rPr>
                      <w:color w:val="000000"/>
                      <w:sz w:val="22"/>
                      <w:szCs w:val="22"/>
                      <w:lang w:val="sr-Latn-CS"/>
                    </w:rPr>
                    <w:t xml:space="preserve"> </w:t>
                  </w:r>
                  <w:r w:rsidRPr="00E34B17">
                    <w:rPr>
                      <w:b/>
                      <w:color w:val="000000"/>
                      <w:sz w:val="22"/>
                      <w:szCs w:val="22"/>
                      <w:lang w:val="sr-Latn-CS"/>
                    </w:rPr>
                    <w:t xml:space="preserve">Kriterijumi </w:t>
                  </w:r>
                  <w:r w:rsidRPr="00E34B17">
                    <w:rPr>
                      <w:b/>
                      <w:bCs/>
                      <w:color w:val="000000"/>
                      <w:sz w:val="22"/>
                      <w:szCs w:val="22"/>
                      <w:lang w:val="sr-Latn-CS"/>
                    </w:rPr>
                    <w:t>citogenetskog</w:t>
                  </w:r>
                  <w:r>
                    <w:rPr>
                      <w:b/>
                      <w:bCs/>
                      <w:color w:val="000000"/>
                      <w:sz w:val="22"/>
                      <w:szCs w:val="22"/>
                      <w:lang w:val="sr-Latn-CS"/>
                    </w:rPr>
                    <w:t xml:space="preserve"> odgovora</w:t>
                  </w:r>
                  <w:r w:rsidRPr="001F380D">
                    <w:rPr>
                      <w:b/>
                      <w:bCs/>
                      <w:color w:val="000000"/>
                      <w:sz w:val="22"/>
                      <w:szCs w:val="22"/>
                      <w:lang w:val="sr-Latn-CS"/>
                    </w:rPr>
                    <w:t>:</w:t>
                  </w:r>
                </w:p>
                <w:p w:rsidR="000A2337" w:rsidRPr="001F380D" w:rsidRDefault="000A2337" w:rsidP="00161AB3">
                  <w:pPr>
                    <w:shd w:val="clear" w:color="auto" w:fill="FFFFFF"/>
                    <w:spacing w:line="240" w:lineRule="atLeast"/>
                    <w:rPr>
                      <w:color w:val="000000"/>
                      <w:sz w:val="22"/>
                      <w:szCs w:val="22"/>
                      <w:lang w:val="sr-Latn-CS"/>
                    </w:rPr>
                  </w:pPr>
                  <w:r w:rsidRPr="001F380D">
                    <w:rPr>
                      <w:color w:val="000000"/>
                      <w:sz w:val="22"/>
                      <w:szCs w:val="22"/>
                      <w:lang w:val="sr-Latn-CS"/>
                    </w:rPr>
                    <w:t>Glavn</w:t>
                  </w:r>
                  <w:r>
                    <w:rPr>
                      <w:color w:val="000000"/>
                      <w:sz w:val="22"/>
                      <w:szCs w:val="22"/>
                      <w:lang w:val="sr-Latn-CS"/>
                    </w:rPr>
                    <w:t>i odgovor obuhvata</w:t>
                  </w:r>
                  <w:r w:rsidRPr="001F380D">
                    <w:rPr>
                      <w:color w:val="000000"/>
                      <w:sz w:val="22"/>
                      <w:szCs w:val="22"/>
                      <w:lang w:val="sr-Latn-CS"/>
                    </w:rPr>
                    <w:t xml:space="preserve"> i komplet</w:t>
                  </w:r>
                  <w:r>
                    <w:rPr>
                      <w:color w:val="000000"/>
                      <w:sz w:val="22"/>
                      <w:szCs w:val="22"/>
                      <w:lang w:val="sr-Latn-CS"/>
                    </w:rPr>
                    <w:t>an i parcijalan</w:t>
                  </w:r>
                  <w:r w:rsidRPr="001F380D">
                    <w:rPr>
                      <w:color w:val="000000"/>
                      <w:sz w:val="22"/>
                      <w:szCs w:val="22"/>
                      <w:lang w:val="sr-Latn-CS"/>
                    </w:rPr>
                    <w:t xml:space="preserve"> </w:t>
                  </w:r>
                  <w:r>
                    <w:rPr>
                      <w:color w:val="000000"/>
                      <w:sz w:val="22"/>
                      <w:szCs w:val="22"/>
                      <w:lang w:val="sr-Latn-CS"/>
                    </w:rPr>
                    <w:t>odgovor</w:t>
                  </w:r>
                  <w:r w:rsidRPr="001F380D">
                    <w:rPr>
                      <w:color w:val="000000"/>
                      <w:sz w:val="22"/>
                      <w:szCs w:val="22"/>
                      <w:lang w:val="sr-Latn-CS"/>
                    </w:rPr>
                    <w:t>: komplet</w:t>
                  </w:r>
                  <w:r>
                    <w:rPr>
                      <w:color w:val="000000"/>
                      <w:sz w:val="22"/>
                      <w:szCs w:val="22"/>
                      <w:lang w:val="sr-Latn-CS"/>
                    </w:rPr>
                    <w:t>an (0% Ph+ metafaze), parcijalni</w:t>
                  </w:r>
                  <w:r w:rsidRPr="001F380D">
                    <w:rPr>
                      <w:color w:val="000000"/>
                      <w:sz w:val="22"/>
                      <w:szCs w:val="22"/>
                      <w:lang w:val="sr-Latn-CS"/>
                    </w:rPr>
                    <w:t xml:space="preserve"> (1-35%) </w:t>
                  </w:r>
                </w:p>
                <w:p w:rsidR="000A2337" w:rsidRPr="001F380D" w:rsidRDefault="000A2337" w:rsidP="00161AB3">
                  <w:pPr>
                    <w:shd w:val="clear" w:color="auto" w:fill="FFFFFF"/>
                    <w:spacing w:line="240" w:lineRule="atLeast"/>
                    <w:rPr>
                      <w:color w:val="000000"/>
                      <w:sz w:val="22"/>
                      <w:szCs w:val="22"/>
                      <w:lang w:val="sr-Latn-CS"/>
                    </w:rPr>
                  </w:pPr>
                  <w:r w:rsidRPr="001F380D">
                    <w:rPr>
                      <w:color w:val="000000"/>
                      <w:sz w:val="22"/>
                      <w:szCs w:val="22"/>
                      <w:vertAlign w:val="superscript"/>
                      <w:lang w:val="sr-Latn-CS"/>
                    </w:rPr>
                    <w:t>3</w:t>
                  </w:r>
                  <w:r w:rsidRPr="001F380D">
                    <w:rPr>
                      <w:color w:val="000000"/>
                      <w:sz w:val="22"/>
                      <w:szCs w:val="22"/>
                      <w:lang w:val="sr-Latn-CS"/>
                    </w:rPr>
                    <w:t xml:space="preserve"> Komplet</w:t>
                  </w:r>
                  <w:r>
                    <w:rPr>
                      <w:color w:val="000000"/>
                      <w:sz w:val="22"/>
                      <w:szCs w:val="22"/>
                      <w:lang w:val="sr-Latn-CS"/>
                    </w:rPr>
                    <w:t>an citogenetski odgovor potvrđen</w:t>
                  </w:r>
                  <w:r w:rsidRPr="001F380D">
                    <w:rPr>
                      <w:color w:val="000000"/>
                      <w:sz w:val="22"/>
                      <w:szCs w:val="22"/>
                      <w:lang w:val="sr-Latn-CS"/>
                    </w:rPr>
                    <w:t xml:space="preserve"> drugom citogenetskom evaluacijom kostne srži obavljenom </w:t>
                  </w:r>
                  <w:r>
                    <w:rPr>
                      <w:color w:val="000000"/>
                      <w:sz w:val="22"/>
                      <w:szCs w:val="22"/>
                      <w:lang w:val="sr-Latn-CS"/>
                    </w:rPr>
                    <w:t>najmanje</w:t>
                  </w:r>
                  <w:r w:rsidRPr="001F380D">
                    <w:rPr>
                      <w:color w:val="000000"/>
                      <w:sz w:val="22"/>
                      <w:szCs w:val="22"/>
                      <w:lang w:val="sr-Latn-CS"/>
                    </w:rPr>
                    <w:t xml:space="preserve"> </w:t>
                  </w:r>
                  <w:r>
                    <w:rPr>
                      <w:color w:val="000000"/>
                      <w:sz w:val="22"/>
                      <w:szCs w:val="22"/>
                      <w:lang w:val="sr-Latn-CS"/>
                    </w:rPr>
                    <w:t>mjesec dana</w:t>
                  </w:r>
                  <w:r w:rsidRPr="001F380D">
                    <w:rPr>
                      <w:color w:val="000000"/>
                      <w:sz w:val="22"/>
                      <w:szCs w:val="22"/>
                      <w:lang w:val="sr-Latn-CS"/>
                    </w:rPr>
                    <w:t xml:space="preserve"> nakon početn</w:t>
                  </w:r>
                  <w:r>
                    <w:rPr>
                      <w:color w:val="000000"/>
                      <w:sz w:val="22"/>
                      <w:szCs w:val="22"/>
                      <w:lang w:val="sr-Latn-CS"/>
                    </w:rPr>
                    <w:t xml:space="preserve">og ispitivanja </w:t>
                  </w:r>
                  <w:r w:rsidRPr="001F380D">
                    <w:rPr>
                      <w:color w:val="000000"/>
                      <w:sz w:val="22"/>
                      <w:szCs w:val="22"/>
                      <w:lang w:val="sr-Latn-CS"/>
                    </w:rPr>
                    <w:t>kostne srži.</w:t>
                  </w:r>
                </w:p>
              </w:tc>
            </w:tr>
          </w:tbl>
          <w:p w:rsidR="00463E8C" w:rsidRDefault="00463E8C" w:rsidP="00463E8C">
            <w:pPr>
              <w:shd w:val="clear" w:color="auto" w:fill="FFFFFF"/>
              <w:jc w:val="both"/>
              <w:rPr>
                <w:i/>
                <w:iCs/>
                <w:color w:val="000000"/>
                <w:sz w:val="22"/>
                <w:szCs w:val="22"/>
                <w:lang w:val="sr-Latn-CS"/>
              </w:rPr>
            </w:pPr>
          </w:p>
          <w:p w:rsidR="000A2337" w:rsidRDefault="000A2337" w:rsidP="00463E8C">
            <w:pPr>
              <w:shd w:val="clear" w:color="auto" w:fill="FFFFFF"/>
              <w:jc w:val="both"/>
              <w:rPr>
                <w:color w:val="000000"/>
                <w:sz w:val="22"/>
                <w:szCs w:val="22"/>
                <w:lang w:val="sr-Latn-CS"/>
              </w:rPr>
            </w:pPr>
            <w:r>
              <w:rPr>
                <w:i/>
                <w:iCs/>
                <w:color w:val="000000"/>
                <w:sz w:val="22"/>
                <w:szCs w:val="22"/>
                <w:lang w:val="sr-Latn-CS"/>
              </w:rPr>
              <w:t>P</w:t>
            </w:r>
            <w:r w:rsidRPr="00D51862">
              <w:rPr>
                <w:i/>
                <w:iCs/>
                <w:color w:val="000000"/>
                <w:sz w:val="22"/>
                <w:szCs w:val="22"/>
                <w:lang w:val="sr-Latn-CS"/>
              </w:rPr>
              <w:t xml:space="preserve">edijatrijski </w:t>
            </w:r>
            <w:r>
              <w:rPr>
                <w:i/>
                <w:iCs/>
                <w:color w:val="000000"/>
                <w:sz w:val="22"/>
                <w:szCs w:val="22"/>
                <w:lang w:val="sr-Latn-CS"/>
              </w:rPr>
              <w:t>pacijenti</w:t>
            </w:r>
            <w:r w:rsidRPr="00D51862">
              <w:rPr>
                <w:i/>
                <w:iCs/>
                <w:color w:val="000000"/>
                <w:sz w:val="22"/>
                <w:szCs w:val="22"/>
                <w:lang w:val="sr-Latn-CS"/>
              </w:rPr>
              <w:t xml:space="preserve">: </w:t>
            </w:r>
            <w:r w:rsidRPr="00D51862">
              <w:rPr>
                <w:color w:val="000000"/>
                <w:sz w:val="22"/>
                <w:szCs w:val="22"/>
                <w:lang w:val="sr-Latn-CS"/>
              </w:rPr>
              <w:t xml:space="preserve">Ukupno 26 pedijatrijskih </w:t>
            </w:r>
            <w:r>
              <w:rPr>
                <w:color w:val="000000"/>
                <w:sz w:val="22"/>
                <w:szCs w:val="22"/>
                <w:lang w:val="sr-Latn-CS"/>
              </w:rPr>
              <w:t>pacijenata</w:t>
            </w:r>
            <w:r w:rsidRPr="00D51862">
              <w:rPr>
                <w:color w:val="000000"/>
                <w:sz w:val="22"/>
                <w:szCs w:val="22"/>
                <w:lang w:val="sr-Latn-CS"/>
              </w:rPr>
              <w:t xml:space="preserve"> uzrasta &lt; 18 godina sa ili hroničnom fazom </w:t>
            </w:r>
            <w:r>
              <w:rPr>
                <w:color w:val="000000"/>
                <w:sz w:val="22"/>
                <w:szCs w:val="22"/>
                <w:lang w:val="sr-Latn-CS"/>
              </w:rPr>
              <w:t>C</w:t>
            </w:r>
            <w:r w:rsidRPr="00D51862">
              <w:rPr>
                <w:color w:val="000000"/>
                <w:sz w:val="22"/>
                <w:szCs w:val="22"/>
                <w:lang w:val="sr-Latn-CS"/>
              </w:rPr>
              <w:t>ML</w:t>
            </w:r>
            <w:r>
              <w:rPr>
                <w:color w:val="000000"/>
                <w:sz w:val="22"/>
                <w:szCs w:val="22"/>
                <w:lang w:val="sr-Latn-CS"/>
              </w:rPr>
              <w:t>-a</w:t>
            </w:r>
            <w:r w:rsidRPr="00D51862">
              <w:rPr>
                <w:color w:val="000000"/>
                <w:sz w:val="22"/>
                <w:szCs w:val="22"/>
                <w:lang w:val="sr-Latn-CS"/>
              </w:rPr>
              <w:t xml:space="preserve"> (n=11) ili </w:t>
            </w:r>
            <w:r>
              <w:rPr>
                <w:color w:val="000000"/>
                <w:sz w:val="22"/>
                <w:szCs w:val="22"/>
                <w:lang w:val="sr-Latn-CS"/>
              </w:rPr>
              <w:t>C</w:t>
            </w:r>
            <w:r w:rsidRPr="00D51862">
              <w:rPr>
                <w:color w:val="000000"/>
                <w:sz w:val="22"/>
                <w:szCs w:val="22"/>
                <w:lang w:val="sr-Latn-CS"/>
              </w:rPr>
              <w:t>ML</w:t>
            </w:r>
            <w:r>
              <w:rPr>
                <w:color w:val="000000"/>
                <w:sz w:val="22"/>
                <w:szCs w:val="22"/>
                <w:lang w:val="sr-Latn-CS"/>
              </w:rPr>
              <w:t>-om</w:t>
            </w:r>
            <w:r w:rsidRPr="00D51862">
              <w:rPr>
                <w:color w:val="000000"/>
                <w:sz w:val="22"/>
                <w:szCs w:val="22"/>
                <w:lang w:val="sr-Latn-CS"/>
              </w:rPr>
              <w:t xml:space="preserve"> u blast</w:t>
            </w:r>
            <w:r>
              <w:rPr>
                <w:color w:val="000000"/>
                <w:sz w:val="22"/>
                <w:szCs w:val="22"/>
                <w:lang w:val="sr-Latn-CS"/>
              </w:rPr>
              <w:t>noj</w:t>
            </w:r>
            <w:r w:rsidRPr="00D51862">
              <w:rPr>
                <w:color w:val="000000"/>
                <w:sz w:val="22"/>
                <w:szCs w:val="22"/>
                <w:lang w:val="sr-Latn-CS"/>
              </w:rPr>
              <w:t xml:space="preserve"> krizi </w:t>
            </w:r>
            <w:r>
              <w:rPr>
                <w:color w:val="000000"/>
                <w:sz w:val="22"/>
                <w:szCs w:val="22"/>
                <w:lang w:val="sr-Latn-CS"/>
              </w:rPr>
              <w:t xml:space="preserve">ili </w:t>
            </w:r>
            <w:r w:rsidRPr="00D51862">
              <w:rPr>
                <w:color w:val="000000"/>
                <w:sz w:val="22"/>
                <w:szCs w:val="22"/>
                <w:lang w:val="sr-Latn-CS"/>
              </w:rPr>
              <w:t>Ph+ akutn</w:t>
            </w:r>
            <w:r>
              <w:rPr>
                <w:color w:val="000000"/>
                <w:sz w:val="22"/>
                <w:szCs w:val="22"/>
                <w:lang w:val="sr-Latn-CS"/>
              </w:rPr>
              <w:t>oj</w:t>
            </w:r>
            <w:r w:rsidRPr="00D51862">
              <w:rPr>
                <w:color w:val="000000"/>
                <w:sz w:val="22"/>
                <w:szCs w:val="22"/>
                <w:lang w:val="sr-Latn-CS"/>
              </w:rPr>
              <w:t xml:space="preserve"> leukemij</w:t>
            </w:r>
            <w:r>
              <w:rPr>
                <w:color w:val="000000"/>
                <w:sz w:val="22"/>
                <w:szCs w:val="22"/>
                <w:lang w:val="sr-Latn-CS"/>
              </w:rPr>
              <w:t>i</w:t>
            </w:r>
            <w:r w:rsidRPr="00D51862">
              <w:rPr>
                <w:color w:val="000000"/>
                <w:sz w:val="22"/>
                <w:szCs w:val="22"/>
                <w:lang w:val="sr-Latn-CS"/>
              </w:rPr>
              <w:t xml:space="preserve"> (n=15) uključeno je </w:t>
            </w:r>
            <w:r>
              <w:rPr>
                <w:color w:val="000000"/>
                <w:sz w:val="22"/>
                <w:szCs w:val="22"/>
                <w:lang w:val="sr-Latn-CS"/>
              </w:rPr>
              <w:t xml:space="preserve"> u fazu I studije sa povećavanjem doza</w:t>
            </w:r>
            <w:r w:rsidRPr="00D51862">
              <w:rPr>
                <w:color w:val="000000"/>
                <w:sz w:val="22"/>
                <w:szCs w:val="22"/>
                <w:lang w:val="sr-Latn-CS"/>
              </w:rPr>
              <w:t>. To j</w:t>
            </w:r>
            <w:r>
              <w:rPr>
                <w:color w:val="000000"/>
                <w:sz w:val="22"/>
                <w:szCs w:val="22"/>
                <w:lang w:val="sr-Latn-CS"/>
              </w:rPr>
              <w:t>e bila populacija prethodno intenziv</w:t>
            </w:r>
            <w:r w:rsidRPr="00D51862">
              <w:rPr>
                <w:color w:val="000000"/>
                <w:sz w:val="22"/>
                <w:szCs w:val="22"/>
                <w:lang w:val="sr-Latn-CS"/>
              </w:rPr>
              <w:t xml:space="preserve">no </w:t>
            </w:r>
            <w:r>
              <w:rPr>
                <w:color w:val="000000"/>
                <w:sz w:val="22"/>
                <w:szCs w:val="22"/>
                <w:lang w:val="sr-Latn-CS"/>
              </w:rPr>
              <w:t>liječ</w:t>
            </w:r>
            <w:r w:rsidRPr="00D51862">
              <w:rPr>
                <w:color w:val="000000"/>
                <w:sz w:val="22"/>
                <w:szCs w:val="22"/>
                <w:lang w:val="sr-Latn-CS"/>
              </w:rPr>
              <w:t xml:space="preserve">enih </w:t>
            </w:r>
            <w:r>
              <w:rPr>
                <w:color w:val="000000"/>
                <w:sz w:val="22"/>
                <w:szCs w:val="22"/>
                <w:lang w:val="sr-Latn-CS"/>
              </w:rPr>
              <w:t>pacijenata</w:t>
            </w:r>
            <w:r w:rsidRPr="00D51862">
              <w:rPr>
                <w:color w:val="000000"/>
                <w:sz w:val="22"/>
                <w:szCs w:val="22"/>
                <w:lang w:val="sr-Latn-CS"/>
              </w:rPr>
              <w:t>, pošto je 46% prethodn</w:t>
            </w:r>
            <w:r>
              <w:rPr>
                <w:color w:val="000000"/>
                <w:sz w:val="22"/>
                <w:szCs w:val="22"/>
                <w:lang w:val="sr-Latn-CS"/>
              </w:rPr>
              <w:t>o imalo</w:t>
            </w:r>
            <w:r w:rsidRPr="00D51862">
              <w:rPr>
                <w:color w:val="000000"/>
                <w:sz w:val="22"/>
                <w:szCs w:val="22"/>
                <w:lang w:val="sr-Latn-CS"/>
              </w:rPr>
              <w:t xml:space="preserve"> BMT</w:t>
            </w:r>
            <w:r>
              <w:rPr>
                <w:color w:val="000000"/>
                <w:sz w:val="22"/>
                <w:szCs w:val="22"/>
                <w:lang w:val="sr-Latn-CS"/>
              </w:rPr>
              <w:t xml:space="preserve"> (bone marrow transplant)</w:t>
            </w:r>
            <w:r w:rsidRPr="00D51862">
              <w:rPr>
                <w:color w:val="000000"/>
                <w:sz w:val="22"/>
                <w:szCs w:val="22"/>
                <w:lang w:val="sr-Latn-CS"/>
              </w:rPr>
              <w:t xml:space="preserve">, a 73% </w:t>
            </w:r>
            <w:r>
              <w:rPr>
                <w:color w:val="000000"/>
                <w:sz w:val="22"/>
                <w:szCs w:val="22"/>
                <w:lang w:val="sr-Latn-CS"/>
              </w:rPr>
              <w:t>je primilo</w:t>
            </w:r>
            <w:r w:rsidRPr="00D51862">
              <w:rPr>
                <w:color w:val="000000"/>
                <w:sz w:val="22"/>
                <w:szCs w:val="22"/>
                <w:lang w:val="sr-Latn-CS"/>
              </w:rPr>
              <w:t xml:space="preserve"> hemoterapiju</w:t>
            </w:r>
            <w:r>
              <w:rPr>
                <w:color w:val="000000"/>
                <w:sz w:val="22"/>
                <w:szCs w:val="22"/>
                <w:lang w:val="sr-Latn-CS"/>
              </w:rPr>
              <w:t xml:space="preserve"> koja se sastojala od nekoliko ljekova</w:t>
            </w:r>
            <w:r w:rsidRPr="00D51862">
              <w:rPr>
                <w:color w:val="000000"/>
                <w:sz w:val="22"/>
                <w:szCs w:val="22"/>
                <w:lang w:val="sr-Latn-CS"/>
              </w:rPr>
              <w:t xml:space="preserve">. </w:t>
            </w:r>
            <w:r>
              <w:rPr>
                <w:color w:val="000000"/>
                <w:sz w:val="22"/>
                <w:szCs w:val="22"/>
                <w:lang w:val="sr-Latn-CS"/>
              </w:rPr>
              <w:t>Pacijenti</w:t>
            </w:r>
            <w:r w:rsidRPr="00D51862">
              <w:rPr>
                <w:color w:val="000000"/>
                <w:sz w:val="22"/>
                <w:szCs w:val="22"/>
                <w:lang w:val="sr-Latn-CS"/>
              </w:rPr>
              <w:t xml:space="preserve"> su </w:t>
            </w:r>
            <w:r>
              <w:rPr>
                <w:color w:val="000000"/>
                <w:sz w:val="22"/>
                <w:szCs w:val="22"/>
                <w:lang w:val="sr-Latn-CS"/>
              </w:rPr>
              <w:t>liječ</w:t>
            </w:r>
            <w:r w:rsidRPr="00D51862">
              <w:rPr>
                <w:color w:val="000000"/>
                <w:sz w:val="22"/>
                <w:szCs w:val="22"/>
                <w:lang w:val="sr-Latn-CS"/>
              </w:rPr>
              <w:t xml:space="preserve">eni dozama </w:t>
            </w:r>
            <w:r>
              <w:rPr>
                <w:color w:val="000000"/>
                <w:sz w:val="22"/>
                <w:szCs w:val="22"/>
                <w:lang w:val="sr-Latn-CS"/>
              </w:rPr>
              <w:t>i</w:t>
            </w:r>
            <w:r>
              <w:rPr>
                <w:bCs/>
                <w:sz w:val="22"/>
                <w:szCs w:val="22"/>
                <w:lang w:val="da-DK"/>
              </w:rPr>
              <w:t>matiniba</w:t>
            </w:r>
            <w:r>
              <w:rPr>
                <w:bCs/>
                <w:sz w:val="22"/>
                <w:szCs w:val="22"/>
                <w:vertAlign w:val="superscript"/>
                <w:lang w:val="da-DK"/>
              </w:rPr>
              <w:t xml:space="preserve"> </w:t>
            </w:r>
            <w:r w:rsidRPr="00D51862">
              <w:rPr>
                <w:color w:val="000000"/>
                <w:sz w:val="22"/>
                <w:szCs w:val="22"/>
                <w:lang w:val="sr-Latn-CS"/>
              </w:rPr>
              <w:t>od 260 mg/m</w:t>
            </w:r>
            <w:r w:rsidRPr="00D51862">
              <w:rPr>
                <w:color w:val="000000"/>
                <w:sz w:val="22"/>
                <w:szCs w:val="22"/>
                <w:vertAlign w:val="superscript"/>
                <w:lang w:val="sr-Latn-CS"/>
              </w:rPr>
              <w:t>2</w:t>
            </w:r>
            <w:r w:rsidRPr="00D51862">
              <w:rPr>
                <w:color w:val="000000"/>
                <w:sz w:val="22"/>
                <w:szCs w:val="22"/>
                <w:lang w:val="sr-Latn-CS"/>
              </w:rPr>
              <w:t>/dan (n=5), 340 mg/m</w:t>
            </w:r>
            <w:r w:rsidRPr="00D51862">
              <w:rPr>
                <w:color w:val="000000"/>
                <w:sz w:val="22"/>
                <w:szCs w:val="22"/>
                <w:vertAlign w:val="superscript"/>
                <w:lang w:val="sr-Latn-CS"/>
              </w:rPr>
              <w:t>2</w:t>
            </w:r>
            <w:r w:rsidRPr="00D51862">
              <w:rPr>
                <w:color w:val="000000"/>
                <w:sz w:val="22"/>
                <w:szCs w:val="22"/>
                <w:lang w:val="sr-Latn-CS"/>
              </w:rPr>
              <w:t>/dan (n=9), 440 mg/m</w:t>
            </w:r>
            <w:r w:rsidRPr="00D51862">
              <w:rPr>
                <w:color w:val="000000"/>
                <w:sz w:val="22"/>
                <w:szCs w:val="22"/>
                <w:vertAlign w:val="superscript"/>
                <w:lang w:val="sr-Latn-CS"/>
              </w:rPr>
              <w:t>2</w:t>
            </w:r>
            <w:r w:rsidRPr="00D51862">
              <w:rPr>
                <w:color w:val="000000"/>
                <w:sz w:val="22"/>
                <w:szCs w:val="22"/>
                <w:lang w:val="sr-Latn-CS"/>
              </w:rPr>
              <w:t>/dan (n=7) i 570 mg/m</w:t>
            </w:r>
            <w:r w:rsidRPr="00D51862">
              <w:rPr>
                <w:color w:val="000000"/>
                <w:sz w:val="22"/>
                <w:szCs w:val="22"/>
                <w:vertAlign w:val="superscript"/>
                <w:lang w:val="sr-Latn-CS"/>
              </w:rPr>
              <w:t>2</w:t>
            </w:r>
            <w:r w:rsidRPr="00D51862">
              <w:rPr>
                <w:color w:val="000000"/>
                <w:sz w:val="22"/>
                <w:szCs w:val="22"/>
                <w:lang w:val="sr-Latn-CS"/>
              </w:rPr>
              <w:t xml:space="preserve">/dan (n=5). Od 9 </w:t>
            </w:r>
            <w:r>
              <w:rPr>
                <w:color w:val="000000"/>
                <w:sz w:val="22"/>
                <w:szCs w:val="22"/>
                <w:lang w:val="sr-Latn-CS"/>
              </w:rPr>
              <w:t>pacijenata</w:t>
            </w:r>
            <w:r w:rsidRPr="00D51862">
              <w:rPr>
                <w:color w:val="000000"/>
                <w:sz w:val="22"/>
                <w:szCs w:val="22"/>
                <w:lang w:val="sr-Latn-CS"/>
              </w:rPr>
              <w:t xml:space="preserve"> sa hroničnom fazom </w:t>
            </w:r>
            <w:r>
              <w:rPr>
                <w:color w:val="000000"/>
                <w:sz w:val="22"/>
                <w:szCs w:val="22"/>
                <w:lang w:val="sr-Latn-CS"/>
              </w:rPr>
              <w:t>C</w:t>
            </w:r>
            <w:r w:rsidRPr="00D51862">
              <w:rPr>
                <w:color w:val="000000"/>
                <w:sz w:val="22"/>
                <w:szCs w:val="22"/>
                <w:lang w:val="sr-Latn-CS"/>
              </w:rPr>
              <w:t>ML</w:t>
            </w:r>
            <w:r>
              <w:rPr>
                <w:color w:val="000000"/>
                <w:sz w:val="22"/>
                <w:szCs w:val="22"/>
                <w:lang w:val="sr-Latn-CS"/>
              </w:rPr>
              <w:t>-a</w:t>
            </w:r>
            <w:r w:rsidRPr="00D51862">
              <w:rPr>
                <w:color w:val="000000"/>
                <w:sz w:val="22"/>
                <w:szCs w:val="22"/>
                <w:lang w:val="sr-Latn-CS"/>
              </w:rPr>
              <w:t xml:space="preserve"> i </w:t>
            </w:r>
            <w:r>
              <w:rPr>
                <w:color w:val="000000"/>
                <w:sz w:val="22"/>
                <w:szCs w:val="22"/>
                <w:lang w:val="sr-Latn-CS"/>
              </w:rPr>
              <w:t>dostupnim</w:t>
            </w:r>
            <w:r w:rsidRPr="00D51862">
              <w:rPr>
                <w:color w:val="000000"/>
                <w:sz w:val="22"/>
                <w:szCs w:val="22"/>
                <w:lang w:val="sr-Latn-CS"/>
              </w:rPr>
              <w:t xml:space="preserve"> citogenetskim podacima, 4 (44%)  i 3 (33%) je postiglo kompletan i parcijalan citogenetski odgovor, </w:t>
            </w:r>
            <w:r>
              <w:rPr>
                <w:color w:val="000000"/>
                <w:sz w:val="22"/>
                <w:szCs w:val="22"/>
                <w:lang w:val="sr-Latn-CS"/>
              </w:rPr>
              <w:t>sa stopom</w:t>
            </w:r>
            <w:r w:rsidRPr="00D51862">
              <w:rPr>
                <w:color w:val="000000"/>
                <w:sz w:val="22"/>
                <w:szCs w:val="22"/>
                <w:lang w:val="sr-Latn-CS"/>
              </w:rPr>
              <w:t xml:space="preserve"> </w:t>
            </w:r>
            <w:r>
              <w:rPr>
                <w:color w:val="000000"/>
                <w:sz w:val="22"/>
                <w:szCs w:val="22"/>
                <w:lang w:val="sr-Latn-CS"/>
              </w:rPr>
              <w:t>glavnog citogenetskog odgovora (MCyR)</w:t>
            </w:r>
            <w:r w:rsidRPr="00D51862">
              <w:rPr>
                <w:color w:val="000000"/>
                <w:sz w:val="22"/>
                <w:szCs w:val="22"/>
                <w:lang w:val="sr-Latn-CS"/>
              </w:rPr>
              <w:t xml:space="preserve"> od 77%.</w:t>
            </w:r>
          </w:p>
          <w:p w:rsidR="000A2337" w:rsidRPr="00D51862" w:rsidRDefault="000A2337" w:rsidP="00463E8C">
            <w:pPr>
              <w:shd w:val="clear" w:color="auto" w:fill="FFFFFF"/>
              <w:jc w:val="both"/>
              <w:rPr>
                <w:sz w:val="22"/>
                <w:szCs w:val="22"/>
                <w:lang w:val="sr-Latn-CS"/>
              </w:rPr>
            </w:pPr>
          </w:p>
          <w:p w:rsidR="000A2337" w:rsidRPr="00472B43" w:rsidRDefault="000A2337" w:rsidP="00161AB3">
            <w:pPr>
              <w:shd w:val="clear" w:color="auto" w:fill="FFFFFF"/>
              <w:jc w:val="both"/>
              <w:rPr>
                <w:color w:val="000000"/>
                <w:sz w:val="22"/>
                <w:szCs w:val="22"/>
                <w:lang w:val="sr-Latn-CS"/>
              </w:rPr>
            </w:pPr>
            <w:r w:rsidRPr="00D51862">
              <w:rPr>
                <w:color w:val="000000"/>
                <w:sz w:val="22"/>
                <w:szCs w:val="22"/>
                <w:lang w:val="sr-Latn-CS"/>
              </w:rPr>
              <w:t>Ukupno 51 pedijatrijski</w:t>
            </w:r>
            <w:r>
              <w:rPr>
                <w:color w:val="000000"/>
                <w:sz w:val="22"/>
                <w:szCs w:val="22"/>
                <w:lang w:val="sr-Latn-CS"/>
              </w:rPr>
              <w:t xml:space="preserve"> pacijent</w:t>
            </w:r>
            <w:r w:rsidRPr="00D51862">
              <w:rPr>
                <w:color w:val="000000"/>
                <w:sz w:val="22"/>
                <w:szCs w:val="22"/>
                <w:lang w:val="sr-Latn-CS"/>
              </w:rPr>
              <w:t xml:space="preserve"> sa novodijagnostikovanom i ne</w:t>
            </w:r>
            <w:r>
              <w:rPr>
                <w:color w:val="000000"/>
                <w:sz w:val="22"/>
                <w:szCs w:val="22"/>
                <w:lang w:val="sr-Latn-CS"/>
              </w:rPr>
              <w:t>liječ</w:t>
            </w:r>
            <w:r w:rsidRPr="00D51862">
              <w:rPr>
                <w:color w:val="000000"/>
                <w:sz w:val="22"/>
                <w:szCs w:val="22"/>
                <w:lang w:val="sr-Latn-CS"/>
              </w:rPr>
              <w:t xml:space="preserve">enom </w:t>
            </w:r>
            <w:r>
              <w:rPr>
                <w:color w:val="000000"/>
                <w:sz w:val="22"/>
                <w:szCs w:val="22"/>
                <w:lang w:val="sr-Latn-CS"/>
              </w:rPr>
              <w:t>C</w:t>
            </w:r>
            <w:r w:rsidRPr="00D51862">
              <w:rPr>
                <w:color w:val="000000"/>
                <w:sz w:val="22"/>
                <w:szCs w:val="22"/>
                <w:lang w:val="sr-Latn-CS"/>
              </w:rPr>
              <w:t>ML</w:t>
            </w:r>
            <w:r>
              <w:rPr>
                <w:color w:val="000000"/>
                <w:sz w:val="22"/>
                <w:szCs w:val="22"/>
                <w:lang w:val="sr-Latn-CS"/>
              </w:rPr>
              <w:t>-om</w:t>
            </w:r>
            <w:r w:rsidRPr="00D51862">
              <w:rPr>
                <w:color w:val="000000"/>
                <w:sz w:val="22"/>
                <w:szCs w:val="22"/>
                <w:lang w:val="sr-Latn-CS"/>
              </w:rPr>
              <w:t xml:space="preserve"> u hronič</w:t>
            </w:r>
            <w:r>
              <w:rPr>
                <w:color w:val="000000"/>
                <w:sz w:val="22"/>
                <w:szCs w:val="22"/>
                <w:lang w:val="sr-Latn-CS"/>
              </w:rPr>
              <w:t>noj fazi uključen je u otvorenu, multicentričnu</w:t>
            </w:r>
            <w:r w:rsidRPr="00D51862">
              <w:rPr>
                <w:color w:val="000000"/>
                <w:sz w:val="22"/>
                <w:szCs w:val="22"/>
                <w:lang w:val="sr-Latn-CS"/>
              </w:rPr>
              <w:t xml:space="preserve">, </w:t>
            </w:r>
            <w:r>
              <w:rPr>
                <w:color w:val="000000"/>
                <w:sz w:val="22"/>
                <w:szCs w:val="22"/>
                <w:lang w:val="sr-Latn-CS"/>
              </w:rPr>
              <w:t>studiju faze II, na jednoj grupi pacijenata.</w:t>
            </w:r>
            <w:r w:rsidRPr="00D51862">
              <w:rPr>
                <w:color w:val="000000"/>
                <w:sz w:val="22"/>
                <w:szCs w:val="22"/>
                <w:lang w:val="sr-Latn-CS"/>
              </w:rPr>
              <w:t xml:space="preserve"> </w:t>
            </w:r>
            <w:r>
              <w:rPr>
                <w:color w:val="000000"/>
                <w:sz w:val="22"/>
                <w:szCs w:val="22"/>
                <w:lang w:val="sr-Latn-CS"/>
              </w:rPr>
              <w:t xml:space="preserve">Pacijenti </w:t>
            </w:r>
            <w:r w:rsidRPr="00D51862">
              <w:rPr>
                <w:color w:val="000000"/>
                <w:sz w:val="22"/>
                <w:szCs w:val="22"/>
                <w:lang w:val="sr-Latn-CS"/>
              </w:rPr>
              <w:t xml:space="preserve">su </w:t>
            </w:r>
            <w:r>
              <w:rPr>
                <w:color w:val="000000"/>
                <w:sz w:val="22"/>
                <w:szCs w:val="22"/>
                <w:lang w:val="sr-Latn-CS"/>
              </w:rPr>
              <w:t>liječ</w:t>
            </w:r>
            <w:r w:rsidRPr="00D51862">
              <w:rPr>
                <w:color w:val="000000"/>
                <w:sz w:val="22"/>
                <w:szCs w:val="22"/>
                <w:lang w:val="sr-Latn-CS"/>
              </w:rPr>
              <w:t xml:space="preserve">eni </w:t>
            </w:r>
            <w:r>
              <w:rPr>
                <w:color w:val="000000"/>
                <w:sz w:val="22"/>
                <w:szCs w:val="22"/>
                <w:lang w:val="sr-Latn-CS"/>
              </w:rPr>
              <w:t xml:space="preserve">sa </w:t>
            </w:r>
            <w:r w:rsidRPr="00D51862">
              <w:rPr>
                <w:color w:val="000000"/>
                <w:sz w:val="22"/>
                <w:szCs w:val="22"/>
                <w:lang w:val="sr-Latn-CS"/>
              </w:rPr>
              <w:t>340 mg/m</w:t>
            </w:r>
            <w:r w:rsidRPr="00D51862">
              <w:rPr>
                <w:color w:val="000000"/>
                <w:sz w:val="22"/>
                <w:szCs w:val="22"/>
                <w:vertAlign w:val="superscript"/>
                <w:lang w:val="sr-Latn-CS"/>
              </w:rPr>
              <w:t>2</w:t>
            </w:r>
            <w:r w:rsidRPr="00D51862">
              <w:rPr>
                <w:color w:val="000000"/>
                <w:sz w:val="22"/>
                <w:szCs w:val="22"/>
                <w:lang w:val="sr-Latn-CS"/>
              </w:rPr>
              <w:t>/dan</w:t>
            </w:r>
            <w:r>
              <w:rPr>
                <w:color w:val="000000"/>
                <w:sz w:val="22"/>
                <w:szCs w:val="22"/>
                <w:lang w:val="sr-Latn-CS"/>
              </w:rPr>
              <w:t xml:space="preserve"> imatiniba. Nije bilo</w:t>
            </w:r>
            <w:r w:rsidRPr="00D51862">
              <w:rPr>
                <w:color w:val="000000"/>
                <w:sz w:val="22"/>
                <w:szCs w:val="22"/>
                <w:lang w:val="sr-Latn-CS"/>
              </w:rPr>
              <w:t xml:space="preserve"> prekida u</w:t>
            </w:r>
            <w:r>
              <w:rPr>
                <w:color w:val="000000"/>
                <w:sz w:val="22"/>
                <w:szCs w:val="22"/>
                <w:lang w:val="sr-Latn-CS"/>
              </w:rPr>
              <w:t xml:space="preserve"> </w:t>
            </w:r>
            <w:r w:rsidRPr="00472B43">
              <w:rPr>
                <w:color w:val="000000"/>
                <w:sz w:val="22"/>
                <w:szCs w:val="22"/>
                <w:lang w:val="sr-Latn-CS"/>
              </w:rPr>
              <w:t>terapiji uzrokovanih toksičnošću koja je povezana s</w:t>
            </w:r>
            <w:r>
              <w:rPr>
                <w:color w:val="000000"/>
                <w:sz w:val="22"/>
                <w:szCs w:val="22"/>
                <w:lang w:val="sr-Latn-CS"/>
              </w:rPr>
              <w:t>a dozom lijeka. Terapija i</w:t>
            </w:r>
            <w:r>
              <w:rPr>
                <w:bCs/>
                <w:sz w:val="22"/>
                <w:szCs w:val="22"/>
                <w:lang w:val="da-DK"/>
              </w:rPr>
              <w:t>matinibom je dovela</w:t>
            </w:r>
            <w:r w:rsidRPr="00472B43">
              <w:rPr>
                <w:bCs/>
                <w:sz w:val="22"/>
                <w:szCs w:val="22"/>
                <w:lang w:val="da-DK"/>
              </w:rPr>
              <w:t xml:space="preserve"> do brzog odgovora </w:t>
            </w:r>
            <w:r w:rsidRPr="00472B43">
              <w:rPr>
                <w:color w:val="000000"/>
                <w:sz w:val="22"/>
                <w:szCs w:val="22"/>
                <w:lang w:val="sr-Latn-CS"/>
              </w:rPr>
              <w:t>kod pedijatrijskih pacijenata sa novodijagnostikovanom CML</w:t>
            </w:r>
            <w:r>
              <w:rPr>
                <w:color w:val="000000"/>
                <w:sz w:val="22"/>
                <w:szCs w:val="22"/>
                <w:lang w:val="sr-Latn-CS"/>
              </w:rPr>
              <w:t>-om</w:t>
            </w:r>
            <w:r w:rsidRPr="00472B43">
              <w:rPr>
                <w:color w:val="000000"/>
                <w:sz w:val="22"/>
                <w:szCs w:val="22"/>
                <w:lang w:val="sr-Latn-CS"/>
              </w:rPr>
              <w:t xml:space="preserve"> sa kompletnim hematološkim odgovorom (CHR) od 78% nakon 8 nedjelja terapije. Visok stepen CHR je praćen razvojem kompletnog citogenetskog odgovora (CCyR) od 65% što je komparabilno sa rezultatima dobijenim kod odraslih pacijenta. Osim toga, parcijalan citogenetski odgovor (PCyR) je uočen kod 16% pacijenata a</w:t>
            </w:r>
            <w:r w:rsidRPr="00472B43">
              <w:rPr>
                <w:sz w:val="22"/>
                <w:szCs w:val="22"/>
                <w:lang w:val="sr-Latn-CS"/>
              </w:rPr>
              <w:t xml:space="preserve"> glavni citogenetski odgovor (MCyR) kod 81% pacijenata. Kod većine pacijenata koji su postigli kompletan citogenetski odgovor, CCyR se razvio</w:t>
            </w:r>
            <w:r w:rsidRPr="00472B43">
              <w:rPr>
                <w:color w:val="000000"/>
                <w:sz w:val="22"/>
                <w:szCs w:val="22"/>
                <w:lang w:val="sr-Latn-CS"/>
              </w:rPr>
              <w:t xml:space="preserve">  između 3. i 10. mjeseca liječenja sa srednjim vremenom do odgovora od 5,6 mjeseci, zasnovano na Kaplan-Meier-ovoj proc</w:t>
            </w:r>
            <w:r>
              <w:rPr>
                <w:color w:val="000000"/>
                <w:sz w:val="22"/>
                <w:szCs w:val="22"/>
                <w:lang w:val="sr-Latn-CS"/>
              </w:rPr>
              <w:t>j</w:t>
            </w:r>
            <w:r w:rsidRPr="00472B43">
              <w:rPr>
                <w:color w:val="000000"/>
                <w:sz w:val="22"/>
                <w:szCs w:val="22"/>
                <w:lang w:val="sr-Latn-CS"/>
              </w:rPr>
              <w:t>eni.</w:t>
            </w:r>
          </w:p>
          <w:p w:rsidR="000A2337" w:rsidRPr="00472B43" w:rsidRDefault="000A2337" w:rsidP="00161AB3">
            <w:pPr>
              <w:shd w:val="clear" w:color="auto" w:fill="FFFFFF"/>
              <w:jc w:val="both"/>
              <w:rPr>
                <w:color w:val="000000"/>
                <w:sz w:val="22"/>
                <w:szCs w:val="22"/>
                <w:lang w:val="sr-Latn-CS"/>
              </w:rPr>
            </w:pPr>
          </w:p>
          <w:p w:rsidR="000A2337" w:rsidRPr="00472B43" w:rsidRDefault="000A2337" w:rsidP="00161AB3">
            <w:pPr>
              <w:shd w:val="clear" w:color="auto" w:fill="FFFFFF"/>
              <w:jc w:val="both"/>
              <w:rPr>
                <w:sz w:val="22"/>
                <w:szCs w:val="22"/>
                <w:lang w:val="sr-Latn-CS"/>
              </w:rPr>
            </w:pPr>
            <w:r w:rsidRPr="00472B43">
              <w:rPr>
                <w:color w:val="000000"/>
                <w:sz w:val="22"/>
                <w:szCs w:val="22"/>
                <w:lang w:val="sr-Latn-CS"/>
              </w:rPr>
              <w:t xml:space="preserve">Evropska Medicinska Agencija je odbacila obavezu podnošenja rezultata studija sa </w:t>
            </w:r>
            <w:r>
              <w:rPr>
                <w:color w:val="000000"/>
                <w:sz w:val="22"/>
                <w:szCs w:val="22"/>
                <w:lang w:val="sr-Latn-CS"/>
              </w:rPr>
              <w:t>imatinibom</w:t>
            </w:r>
            <w:r w:rsidRPr="00472B43">
              <w:rPr>
                <w:color w:val="000000"/>
                <w:sz w:val="22"/>
                <w:szCs w:val="22"/>
                <w:lang w:val="sr-Latn-CS"/>
              </w:rPr>
              <w:t xml:space="preserve"> u svim podgrupama pedijatrijskih pacijenata sa </w:t>
            </w:r>
            <w:r>
              <w:rPr>
                <w:color w:val="000000"/>
                <w:sz w:val="22"/>
                <w:szCs w:val="22"/>
                <w:lang w:val="sr-Latn-CS"/>
              </w:rPr>
              <w:t>Ph+CML-om</w:t>
            </w:r>
            <w:r w:rsidRPr="00472B43">
              <w:rPr>
                <w:color w:val="000000"/>
                <w:sz w:val="22"/>
                <w:szCs w:val="22"/>
                <w:lang w:val="sr-Latn-CS"/>
              </w:rPr>
              <w:t xml:space="preserve"> (vidjeti odjeljak 4.2</w:t>
            </w:r>
            <w:r>
              <w:rPr>
                <w:color w:val="000000"/>
                <w:sz w:val="22"/>
                <w:szCs w:val="22"/>
                <w:lang w:val="sr-Latn-CS"/>
              </w:rPr>
              <w:t xml:space="preserve"> za informacije o pedijatrijskoj primjeni</w:t>
            </w:r>
            <w:r w:rsidRPr="00472B43">
              <w:rPr>
                <w:color w:val="000000"/>
                <w:sz w:val="22"/>
                <w:szCs w:val="22"/>
                <w:lang w:val="sr-Latn-CS"/>
              </w:rPr>
              <w:t>).</w:t>
            </w:r>
          </w:p>
          <w:p w:rsidR="000A2337" w:rsidRPr="0057670A" w:rsidRDefault="000A2337" w:rsidP="00161AB3">
            <w:pPr>
              <w:shd w:val="clear" w:color="auto" w:fill="FFFFFF"/>
              <w:spacing w:before="240" w:line="240" w:lineRule="atLeast"/>
              <w:jc w:val="both"/>
              <w:rPr>
                <w:sz w:val="22"/>
                <w:szCs w:val="22"/>
                <w:lang w:val="sr-Latn-CS"/>
              </w:rPr>
            </w:pPr>
            <w:r w:rsidRPr="00472B43">
              <w:rPr>
                <w:color w:val="000000"/>
                <w:sz w:val="22"/>
                <w:szCs w:val="22"/>
                <w:u w:val="single"/>
                <w:lang w:val="sr-Latn-CS"/>
              </w:rPr>
              <w:t xml:space="preserve">Kliničke studije kod Ph+ </w:t>
            </w:r>
            <w:smartTag w:uri="urn:schemas-microsoft-com:office:smarttags" w:element="stockticker">
              <w:r w:rsidRPr="00472B43">
                <w:rPr>
                  <w:color w:val="000000"/>
                  <w:sz w:val="22"/>
                  <w:szCs w:val="22"/>
                  <w:u w:val="single"/>
                  <w:lang w:val="sr-Latn-CS"/>
                </w:rPr>
                <w:t>ALL</w:t>
              </w:r>
            </w:smartTag>
          </w:p>
          <w:p w:rsidR="000A2337" w:rsidRDefault="000A2337" w:rsidP="00161AB3">
            <w:pPr>
              <w:shd w:val="clear" w:color="auto" w:fill="FFFFFF"/>
              <w:spacing w:line="240" w:lineRule="atLeast"/>
              <w:jc w:val="both"/>
              <w:rPr>
                <w:color w:val="000000"/>
                <w:sz w:val="22"/>
                <w:szCs w:val="22"/>
                <w:lang w:val="sr-Latn-CS"/>
              </w:rPr>
            </w:pPr>
            <w:r w:rsidRPr="0057670A">
              <w:rPr>
                <w:i/>
                <w:color w:val="000000"/>
                <w:sz w:val="22"/>
                <w:szCs w:val="22"/>
                <w:lang w:val="sr-Latn-CS"/>
              </w:rPr>
              <w:t>Novodijagnostikovana</w:t>
            </w:r>
            <w:r w:rsidRPr="0057670A">
              <w:rPr>
                <w:color w:val="000000"/>
                <w:sz w:val="22"/>
                <w:szCs w:val="22"/>
                <w:lang w:val="sr-Latn-CS"/>
              </w:rPr>
              <w:t xml:space="preserve"> </w:t>
            </w:r>
            <w:r w:rsidRPr="0057670A">
              <w:rPr>
                <w:i/>
                <w:iCs/>
                <w:color w:val="000000"/>
                <w:sz w:val="22"/>
                <w:szCs w:val="22"/>
                <w:lang w:val="sr-Latn-CS"/>
              </w:rPr>
              <w:t xml:space="preserve">Ph+ </w:t>
            </w:r>
            <w:smartTag w:uri="urn:schemas-microsoft-com:office:smarttags" w:element="stockticker">
              <w:r w:rsidRPr="0057670A">
                <w:rPr>
                  <w:i/>
                  <w:iCs/>
                  <w:color w:val="000000"/>
                  <w:sz w:val="22"/>
                  <w:szCs w:val="22"/>
                  <w:lang w:val="sr-Latn-CS"/>
                </w:rPr>
                <w:t>ALL</w:t>
              </w:r>
            </w:smartTag>
            <w:r w:rsidRPr="0057670A">
              <w:rPr>
                <w:i/>
                <w:iCs/>
                <w:color w:val="000000"/>
                <w:sz w:val="22"/>
                <w:szCs w:val="22"/>
                <w:lang w:val="sr-Latn-CS"/>
              </w:rPr>
              <w:t xml:space="preserve">: </w:t>
            </w:r>
            <w:r w:rsidRPr="0057670A">
              <w:rPr>
                <w:color w:val="000000"/>
                <w:sz w:val="22"/>
                <w:szCs w:val="22"/>
                <w:lang w:val="sr-Latn-CS"/>
              </w:rPr>
              <w:t>u kontrolisano</w:t>
            </w:r>
            <w:r>
              <w:rPr>
                <w:color w:val="000000"/>
                <w:sz w:val="22"/>
                <w:szCs w:val="22"/>
                <w:lang w:val="sr-Latn-CS"/>
              </w:rPr>
              <w:t xml:space="preserve">j studiji </w:t>
            </w:r>
            <w:r w:rsidRPr="0057670A">
              <w:rPr>
                <w:color w:val="000000"/>
                <w:sz w:val="22"/>
                <w:szCs w:val="22"/>
                <w:lang w:val="sr-Latn-CS"/>
              </w:rPr>
              <w:t>(ADE10) imatiniba nasuprot indukcij</w:t>
            </w:r>
            <w:r>
              <w:rPr>
                <w:color w:val="000000"/>
                <w:sz w:val="22"/>
                <w:szCs w:val="22"/>
                <w:lang w:val="sr-Latn-CS"/>
              </w:rPr>
              <w:t>i</w:t>
            </w:r>
            <w:r w:rsidRPr="0057670A">
              <w:rPr>
                <w:color w:val="000000"/>
                <w:sz w:val="22"/>
                <w:szCs w:val="22"/>
                <w:lang w:val="sr-Latn-CS"/>
              </w:rPr>
              <w:t xml:space="preserve"> hemioterapij</w:t>
            </w:r>
            <w:r>
              <w:rPr>
                <w:color w:val="000000"/>
                <w:sz w:val="22"/>
                <w:szCs w:val="22"/>
                <w:lang w:val="sr-Latn-CS"/>
              </w:rPr>
              <w:t>e</w:t>
            </w:r>
            <w:r w:rsidRPr="0057670A">
              <w:rPr>
                <w:color w:val="000000"/>
                <w:sz w:val="22"/>
                <w:szCs w:val="22"/>
                <w:lang w:val="sr-Latn-CS"/>
              </w:rPr>
              <w:t xml:space="preserve"> kod 55 novodijagnostikovanih </w:t>
            </w:r>
            <w:r>
              <w:rPr>
                <w:color w:val="000000"/>
                <w:sz w:val="22"/>
                <w:szCs w:val="22"/>
                <w:lang w:val="sr-Latn-CS"/>
              </w:rPr>
              <w:t>pacijenata</w:t>
            </w:r>
            <w:r w:rsidRPr="0057670A">
              <w:rPr>
                <w:color w:val="000000"/>
                <w:sz w:val="22"/>
                <w:szCs w:val="22"/>
                <w:lang w:val="sr-Latn-CS"/>
              </w:rPr>
              <w:t xml:space="preserve">, starosti 55 godina i više, imatinib </w:t>
            </w:r>
            <w:r>
              <w:rPr>
                <w:color w:val="000000"/>
                <w:sz w:val="22"/>
                <w:szCs w:val="22"/>
                <w:lang w:val="sr-Latn-CS"/>
              </w:rPr>
              <w:t>primijen</w:t>
            </w:r>
            <w:r w:rsidRPr="0057670A">
              <w:rPr>
                <w:color w:val="000000"/>
                <w:sz w:val="22"/>
                <w:szCs w:val="22"/>
                <w:lang w:val="sr-Latn-CS"/>
              </w:rPr>
              <w:t xml:space="preserve">jen kao pojedinačni </w:t>
            </w:r>
            <w:r>
              <w:rPr>
                <w:color w:val="000000"/>
                <w:sz w:val="22"/>
                <w:szCs w:val="22"/>
                <w:lang w:val="sr-Latn-CS"/>
              </w:rPr>
              <w:t>lijek</w:t>
            </w:r>
            <w:r w:rsidRPr="0057670A">
              <w:rPr>
                <w:color w:val="000000"/>
                <w:sz w:val="22"/>
                <w:szCs w:val="22"/>
                <w:lang w:val="sr-Latn-CS"/>
              </w:rPr>
              <w:t xml:space="preserve"> </w:t>
            </w:r>
            <w:r>
              <w:rPr>
                <w:color w:val="000000"/>
                <w:sz w:val="22"/>
                <w:szCs w:val="22"/>
                <w:lang w:val="sr-Latn-CS"/>
              </w:rPr>
              <w:t>indukovao je</w:t>
            </w:r>
            <w:r w:rsidRPr="0057670A">
              <w:rPr>
                <w:color w:val="000000"/>
                <w:sz w:val="22"/>
                <w:szCs w:val="22"/>
                <w:lang w:val="sr-Latn-CS"/>
              </w:rPr>
              <w:t xml:space="preserve"> </w:t>
            </w:r>
            <w:r w:rsidRPr="00F266FF">
              <w:rPr>
                <w:color w:val="000000"/>
                <w:sz w:val="22"/>
                <w:szCs w:val="22"/>
                <w:lang w:val="sr-Latn-CS"/>
              </w:rPr>
              <w:t xml:space="preserve">značajno veću stopu kompletnog hematološkog odgovora nego hemoterapija (96,3% prema 50%; p=0,0001). Kada je terapija imatinibom </w:t>
            </w:r>
            <w:r>
              <w:rPr>
                <w:color w:val="000000"/>
                <w:sz w:val="22"/>
                <w:szCs w:val="22"/>
                <w:lang w:val="sr-Latn-CS"/>
              </w:rPr>
              <w:t xml:space="preserve">primijenjena </w:t>
            </w:r>
            <w:r w:rsidRPr="00F266FF">
              <w:rPr>
                <w:color w:val="000000"/>
                <w:sz w:val="22"/>
                <w:szCs w:val="22"/>
                <w:lang w:val="sr-Latn-CS"/>
              </w:rPr>
              <w:t>pacijentima  koji ni</w:t>
            </w:r>
            <w:r>
              <w:rPr>
                <w:color w:val="000000"/>
                <w:sz w:val="22"/>
                <w:szCs w:val="22"/>
                <w:lang w:val="sr-Latn-CS"/>
              </w:rPr>
              <w:t>je</w:t>
            </w:r>
            <w:r w:rsidRPr="00F266FF">
              <w:rPr>
                <w:color w:val="000000"/>
                <w:sz w:val="22"/>
                <w:szCs w:val="22"/>
                <w:lang w:val="sr-Latn-CS"/>
              </w:rPr>
              <w:t xml:space="preserve">su reagovali ili su loše reagovali na hemoterapiju, rezultat je bio da je 9 pacijenata (81,8%) od 11 postiglo kompletan hematološki odgovor. Ovaj klinički efekat bio je udružen sa većom redukcijom bcr-abl transkripta kod pacijenata liječenih imatinibom nego kod grupe na hemoterapiji poslije 2 nedjelje terapije (p=0,02). Svi pacijenti su primili imatinib i konsolidovanu hemoterapiju (vidjeti </w:t>
            </w:r>
            <w:r w:rsidRPr="00F266FF">
              <w:rPr>
                <w:b/>
                <w:color w:val="000000"/>
                <w:sz w:val="22"/>
                <w:szCs w:val="22"/>
                <w:lang w:val="sr-Latn-CS"/>
              </w:rPr>
              <w:t xml:space="preserve">Tabelu </w:t>
            </w:r>
            <w:r>
              <w:rPr>
                <w:b/>
                <w:color w:val="000000"/>
                <w:sz w:val="22"/>
                <w:szCs w:val="22"/>
                <w:lang w:val="sr-Latn-CS"/>
              </w:rPr>
              <w:t>3</w:t>
            </w:r>
            <w:r w:rsidRPr="00F266FF">
              <w:rPr>
                <w:color w:val="000000"/>
                <w:sz w:val="22"/>
                <w:szCs w:val="22"/>
                <w:lang w:val="sr-Latn-CS"/>
              </w:rPr>
              <w:t>) poslije indukcije, a nivoi bcr-abl transkripta bili su identični kod ob</w:t>
            </w:r>
            <w:r>
              <w:rPr>
                <w:color w:val="000000"/>
                <w:sz w:val="22"/>
                <w:szCs w:val="22"/>
                <w:lang w:val="sr-Latn-CS"/>
              </w:rPr>
              <w:t>j</w:t>
            </w:r>
            <w:r w:rsidRPr="00F266FF">
              <w:rPr>
                <w:color w:val="000000"/>
                <w:sz w:val="22"/>
                <w:szCs w:val="22"/>
                <w:lang w:val="sr-Latn-CS"/>
              </w:rPr>
              <w:t>e grupe nakon 8 nedjelja. Kao što je očekivano na osnovu toga kako je studija osmišljena, ni</w:t>
            </w:r>
            <w:r>
              <w:rPr>
                <w:color w:val="000000"/>
                <w:sz w:val="22"/>
                <w:szCs w:val="22"/>
                <w:lang w:val="sr-Latn-CS"/>
              </w:rPr>
              <w:t>je</w:t>
            </w:r>
            <w:r w:rsidRPr="00F266FF">
              <w:rPr>
                <w:color w:val="000000"/>
                <w:sz w:val="22"/>
                <w:szCs w:val="22"/>
                <w:lang w:val="sr-Latn-CS"/>
              </w:rPr>
              <w:t xml:space="preserve">su uočene razlike u trajanju remisije, preživljavanju bez bolesti ili ukupnom preživljavanju, mada su pacijenti sa kompletnim molekulskim odgovorom i minimalnom rezidualnom bolešću imali bolji ishod u smislu trajanja remisije (p=0,01) i preživljavanja bez </w:t>
            </w:r>
            <w:r>
              <w:rPr>
                <w:color w:val="000000"/>
                <w:sz w:val="22"/>
                <w:szCs w:val="22"/>
                <w:lang w:val="sr-Latn-CS"/>
              </w:rPr>
              <w:t xml:space="preserve">znakova </w:t>
            </w:r>
            <w:r w:rsidRPr="00F266FF">
              <w:rPr>
                <w:color w:val="000000"/>
                <w:sz w:val="22"/>
                <w:szCs w:val="22"/>
                <w:lang w:val="sr-Latn-CS"/>
              </w:rPr>
              <w:t>bolesti (p=0,02).</w:t>
            </w:r>
          </w:p>
          <w:p w:rsidR="000A2337" w:rsidRDefault="000A2337" w:rsidP="00847E59">
            <w:pPr>
              <w:shd w:val="clear" w:color="auto" w:fill="FFFFFF"/>
              <w:jc w:val="both"/>
              <w:rPr>
                <w:color w:val="000000"/>
                <w:sz w:val="22"/>
                <w:szCs w:val="22"/>
                <w:lang w:val="sr-Latn-CS"/>
              </w:rPr>
            </w:pPr>
            <w:r w:rsidRPr="0057670A">
              <w:rPr>
                <w:color w:val="000000"/>
                <w:sz w:val="22"/>
                <w:szCs w:val="22"/>
                <w:lang w:val="sr-Latn-CS"/>
              </w:rPr>
              <w:t xml:space="preserve">Rezultati uočeni kod populacije od 211 novodijagnostikovanih </w:t>
            </w:r>
            <w:r>
              <w:rPr>
                <w:color w:val="000000"/>
                <w:sz w:val="22"/>
                <w:szCs w:val="22"/>
                <w:lang w:val="sr-Latn-CS"/>
              </w:rPr>
              <w:t>pacijenata</w:t>
            </w:r>
            <w:r w:rsidRPr="0057670A">
              <w:rPr>
                <w:color w:val="000000"/>
                <w:sz w:val="22"/>
                <w:szCs w:val="22"/>
                <w:lang w:val="sr-Latn-CS"/>
              </w:rPr>
              <w:t xml:space="preserve"> </w:t>
            </w:r>
            <w:r>
              <w:rPr>
                <w:color w:val="000000"/>
                <w:sz w:val="22"/>
                <w:szCs w:val="22"/>
                <w:lang w:val="sr-Latn-CS"/>
              </w:rPr>
              <w:t>sa</w:t>
            </w:r>
            <w:r w:rsidRPr="0057670A">
              <w:rPr>
                <w:color w:val="000000"/>
                <w:sz w:val="22"/>
                <w:szCs w:val="22"/>
                <w:lang w:val="sr-Latn-CS"/>
              </w:rPr>
              <w:t xml:space="preserve"> Ph+ </w:t>
            </w:r>
            <w:smartTag w:uri="urn:schemas-microsoft-com:office:smarttags" w:element="stockticker">
              <w:r w:rsidRPr="0057670A">
                <w:rPr>
                  <w:color w:val="000000"/>
                  <w:sz w:val="22"/>
                  <w:szCs w:val="22"/>
                  <w:lang w:val="sr-Latn-CS"/>
                </w:rPr>
                <w:t>ALL</w:t>
              </w:r>
            </w:smartTag>
            <w:r w:rsidRPr="0057670A">
              <w:rPr>
                <w:color w:val="000000"/>
                <w:sz w:val="22"/>
                <w:szCs w:val="22"/>
                <w:lang w:val="sr-Latn-CS"/>
              </w:rPr>
              <w:t xml:space="preserve"> u 4 nekontrolisan</w:t>
            </w:r>
            <w:r>
              <w:rPr>
                <w:color w:val="000000"/>
                <w:sz w:val="22"/>
                <w:szCs w:val="22"/>
                <w:lang w:val="sr-Latn-CS"/>
              </w:rPr>
              <w:t>e</w:t>
            </w:r>
            <w:r w:rsidRPr="0057670A">
              <w:rPr>
                <w:color w:val="000000"/>
                <w:sz w:val="22"/>
                <w:szCs w:val="22"/>
                <w:lang w:val="sr-Latn-CS"/>
              </w:rPr>
              <w:t xml:space="preserve"> kliničk</w:t>
            </w:r>
            <w:r>
              <w:rPr>
                <w:color w:val="000000"/>
                <w:sz w:val="22"/>
                <w:szCs w:val="22"/>
                <w:lang w:val="sr-Latn-CS"/>
              </w:rPr>
              <w:t xml:space="preserve">e </w:t>
            </w:r>
            <w:r w:rsidRPr="00F266FF">
              <w:rPr>
                <w:color w:val="000000"/>
                <w:sz w:val="22"/>
                <w:szCs w:val="22"/>
                <w:lang w:val="sr-Latn-CS"/>
              </w:rPr>
              <w:t xml:space="preserve">studije (AAU02, ADE04, AJP01 i AUS01) su konzistentni sa gore opisanim rezultatima. Imatinib u kombinaciji sa indukcionom hemoterapijom (vidjeti </w:t>
            </w:r>
            <w:r w:rsidRPr="00F266FF">
              <w:rPr>
                <w:b/>
                <w:color w:val="000000"/>
                <w:sz w:val="22"/>
                <w:szCs w:val="22"/>
                <w:lang w:val="sr-Latn-CS"/>
              </w:rPr>
              <w:t>Tabelu 5</w:t>
            </w:r>
            <w:r w:rsidRPr="00F266FF">
              <w:rPr>
                <w:color w:val="000000"/>
                <w:sz w:val="22"/>
                <w:szCs w:val="22"/>
                <w:lang w:val="sr-Latn-CS"/>
              </w:rPr>
              <w:t xml:space="preserve">) doveo je do stope kompletnog hematološkog odgovora od 93% (147 od 158 </w:t>
            </w:r>
            <w:r>
              <w:rPr>
                <w:color w:val="000000"/>
                <w:sz w:val="22"/>
                <w:szCs w:val="22"/>
                <w:lang w:val="sr-Latn-CS"/>
              </w:rPr>
              <w:t>evaluiranih</w:t>
            </w:r>
            <w:r w:rsidRPr="00F266FF">
              <w:rPr>
                <w:color w:val="000000"/>
                <w:sz w:val="22"/>
                <w:szCs w:val="22"/>
                <w:lang w:val="sr-Latn-CS"/>
              </w:rPr>
              <w:t xml:space="preserve"> pacijenata)  i  stope glavnog citogenetskog odgovora od 90% (19 od 21 </w:t>
            </w:r>
            <w:r>
              <w:rPr>
                <w:color w:val="000000"/>
                <w:sz w:val="22"/>
                <w:szCs w:val="22"/>
                <w:lang w:val="sr-Latn-CS"/>
              </w:rPr>
              <w:t>evaluiranih</w:t>
            </w:r>
            <w:r w:rsidRPr="00F266FF">
              <w:rPr>
                <w:color w:val="000000"/>
                <w:sz w:val="22"/>
                <w:szCs w:val="22"/>
                <w:lang w:val="sr-Latn-CS"/>
              </w:rPr>
              <w:t xml:space="preserve"> </w:t>
            </w:r>
            <w:r w:rsidRPr="00F266FF">
              <w:rPr>
                <w:color w:val="000000"/>
                <w:sz w:val="22"/>
                <w:szCs w:val="22"/>
                <w:lang w:val="sr-Latn-CS"/>
              </w:rPr>
              <w:lastRenderedPageBreak/>
              <w:t xml:space="preserve">pacijenta). Stopa  kompletnog molekulskog odgovora bila je 48% (49 od 102 </w:t>
            </w:r>
            <w:r>
              <w:rPr>
                <w:color w:val="000000"/>
                <w:sz w:val="22"/>
                <w:szCs w:val="22"/>
                <w:lang w:val="sr-Latn-CS"/>
              </w:rPr>
              <w:t xml:space="preserve">evaluirana </w:t>
            </w:r>
            <w:r w:rsidRPr="00F266FF">
              <w:rPr>
                <w:color w:val="000000"/>
                <w:sz w:val="22"/>
                <w:szCs w:val="22"/>
                <w:lang w:val="sr-Latn-CS"/>
              </w:rPr>
              <w:t>pacijenta). Preživljavanje bez bolesti (DFS- disease-free survival) i ukupno preživljavanje (OS- overall survival) konstantno su prela</w:t>
            </w:r>
            <w:r>
              <w:rPr>
                <w:color w:val="000000"/>
                <w:sz w:val="22"/>
                <w:szCs w:val="22"/>
                <w:lang w:val="sr-Latn-CS"/>
              </w:rPr>
              <w:t>zili 1 godinu i bili superiorn</w:t>
            </w:r>
            <w:r w:rsidRPr="00F266FF">
              <w:rPr>
                <w:color w:val="000000"/>
                <w:sz w:val="22"/>
                <w:szCs w:val="22"/>
                <w:lang w:val="sr-Latn-CS"/>
              </w:rPr>
              <w:t>i u odnosu na prošlu kontrolu (</w:t>
            </w:r>
            <w:smartTag w:uri="urn:schemas-microsoft-com:office:smarttags" w:element="stockticker">
              <w:r w:rsidRPr="00F266FF">
                <w:rPr>
                  <w:color w:val="000000"/>
                  <w:sz w:val="22"/>
                  <w:szCs w:val="22"/>
                  <w:lang w:val="sr-Latn-CS"/>
                </w:rPr>
                <w:t>DFS</w:t>
              </w:r>
            </w:smartTag>
            <w:r w:rsidRPr="00F266FF">
              <w:rPr>
                <w:color w:val="000000"/>
                <w:sz w:val="22"/>
                <w:szCs w:val="22"/>
                <w:lang w:val="sr-Latn-CS"/>
              </w:rPr>
              <w:t xml:space="preserve"> p&lt;0,001; OS p&lt;0,0001) u dve studije (AJP01 i AUS01).</w:t>
            </w:r>
          </w:p>
          <w:p w:rsidR="00847E59" w:rsidRDefault="00847E59" w:rsidP="00847E59">
            <w:pPr>
              <w:shd w:val="clear" w:color="auto" w:fill="FFFFFF"/>
              <w:jc w:val="both"/>
              <w:rPr>
                <w:color w:val="000000"/>
                <w:sz w:val="22"/>
                <w:szCs w:val="22"/>
                <w:lang w:val="sr-Latn-CS"/>
              </w:rPr>
            </w:pPr>
          </w:p>
          <w:p w:rsidR="000A2337" w:rsidRDefault="000A2337" w:rsidP="00847E59">
            <w:pPr>
              <w:pStyle w:val="Header"/>
              <w:tabs>
                <w:tab w:val="left" w:pos="284"/>
              </w:tabs>
              <w:rPr>
                <w:b/>
                <w:color w:val="000000"/>
                <w:sz w:val="22"/>
                <w:szCs w:val="22"/>
                <w:lang w:val="sr-Latn-CS"/>
              </w:rPr>
            </w:pPr>
            <w:r w:rsidRPr="00FF1F03">
              <w:rPr>
                <w:b/>
                <w:color w:val="000000"/>
                <w:sz w:val="22"/>
                <w:szCs w:val="22"/>
                <w:lang w:val="sr-Latn-CS"/>
              </w:rPr>
              <w:t xml:space="preserve">Tabela </w:t>
            </w:r>
            <w:r>
              <w:rPr>
                <w:b/>
                <w:color w:val="000000"/>
                <w:sz w:val="22"/>
                <w:szCs w:val="22"/>
                <w:lang w:val="sr-Latn-CS"/>
              </w:rPr>
              <w:t>3</w:t>
            </w:r>
            <w:r>
              <w:rPr>
                <w:color w:val="000000"/>
                <w:sz w:val="22"/>
                <w:szCs w:val="22"/>
                <w:lang w:val="sr-Latn-CS"/>
              </w:rPr>
              <w:t xml:space="preserve">     </w:t>
            </w:r>
            <w:r w:rsidRPr="007044F6">
              <w:rPr>
                <w:b/>
                <w:color w:val="000000"/>
                <w:sz w:val="22"/>
                <w:szCs w:val="22"/>
                <w:lang w:val="sr-Latn-CS"/>
              </w:rPr>
              <w:t>Režim hemoterapije koji se koristi u kombinaciji sa imatinibom</w:t>
            </w:r>
          </w:p>
          <w:p w:rsidR="00847E59" w:rsidRPr="007044F6" w:rsidRDefault="00847E59" w:rsidP="00847E59">
            <w:pPr>
              <w:pStyle w:val="Header"/>
              <w:tabs>
                <w:tab w:val="left" w:pos="284"/>
              </w:tabs>
              <w:rPr>
                <w:rFonts w:cs="Arial"/>
                <w:b/>
                <w:sz w:val="22"/>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122"/>
            </w:tblGrid>
            <w:tr w:rsidR="000A2337" w:rsidRPr="00DF071B" w:rsidTr="00161AB3">
              <w:trPr>
                <w:jc w:val="center"/>
              </w:trPr>
              <w:tc>
                <w:tcPr>
                  <w:tcW w:w="2943" w:type="dxa"/>
                </w:tcPr>
                <w:p w:rsidR="000A2337" w:rsidRPr="00DF071B" w:rsidRDefault="000A2337" w:rsidP="00161AB3">
                  <w:pPr>
                    <w:rPr>
                      <w:sz w:val="22"/>
                      <w:szCs w:val="22"/>
                      <w:lang w:val="sr-Latn-CS"/>
                    </w:rPr>
                  </w:pPr>
                  <w:r>
                    <w:rPr>
                      <w:b/>
                      <w:bCs/>
                      <w:color w:val="000000"/>
                      <w:sz w:val="22"/>
                      <w:szCs w:val="22"/>
                      <w:lang w:val="sr-Latn-CS"/>
                    </w:rPr>
                    <w:t>Studija</w:t>
                  </w:r>
                  <w:r w:rsidRPr="00DF071B">
                    <w:rPr>
                      <w:b/>
                      <w:bCs/>
                      <w:color w:val="000000"/>
                      <w:sz w:val="22"/>
                      <w:szCs w:val="22"/>
                      <w:lang w:val="sr-Latn-CS"/>
                    </w:rPr>
                    <w:t xml:space="preserve"> ADE10</w:t>
                  </w:r>
                </w:p>
              </w:tc>
              <w:tc>
                <w:tcPr>
                  <w:tcW w:w="6122" w:type="dxa"/>
                </w:tcPr>
                <w:p w:rsidR="000A2337" w:rsidRPr="00DF071B" w:rsidRDefault="000A2337" w:rsidP="00161AB3">
                  <w:pPr>
                    <w:rPr>
                      <w:sz w:val="22"/>
                      <w:szCs w:val="22"/>
                      <w:lang w:val="sr-Latn-CS"/>
                    </w:rPr>
                  </w:pPr>
                </w:p>
              </w:tc>
            </w:tr>
            <w:tr w:rsidR="000A2337" w:rsidRPr="00DF071B" w:rsidTr="00161AB3">
              <w:trPr>
                <w:jc w:val="center"/>
              </w:trPr>
              <w:tc>
                <w:tcPr>
                  <w:tcW w:w="2943" w:type="dxa"/>
                </w:tcPr>
                <w:p w:rsidR="000A2337" w:rsidRPr="00DF071B" w:rsidRDefault="000A2337" w:rsidP="00161AB3">
                  <w:pPr>
                    <w:rPr>
                      <w:sz w:val="22"/>
                      <w:szCs w:val="22"/>
                      <w:lang w:val="sr-Latn-CS"/>
                    </w:rPr>
                  </w:pPr>
                  <w:r w:rsidRPr="00DF071B">
                    <w:rPr>
                      <w:color w:val="000000"/>
                      <w:sz w:val="22"/>
                      <w:szCs w:val="22"/>
                      <w:lang w:val="sr-Latn-CS"/>
                    </w:rPr>
                    <w:t>Prethodna faza</w:t>
                  </w:r>
                </w:p>
              </w:tc>
              <w:tc>
                <w:tcPr>
                  <w:tcW w:w="6122" w:type="dxa"/>
                </w:tcPr>
                <w:p w:rsidR="000A2337" w:rsidRPr="00DF071B" w:rsidRDefault="000A2337" w:rsidP="00161AB3">
                  <w:pPr>
                    <w:rPr>
                      <w:sz w:val="22"/>
                      <w:szCs w:val="22"/>
                      <w:lang w:val="sr-Latn-CS"/>
                    </w:rPr>
                  </w:pPr>
                  <w:r w:rsidRPr="00DF071B">
                    <w:rPr>
                      <w:sz w:val="22"/>
                      <w:szCs w:val="22"/>
                      <w:lang w:val="sr-Latn-CS"/>
                    </w:rPr>
                    <w:t>DEX 10 mg/m</w:t>
                  </w:r>
                  <w:r w:rsidRPr="00DF071B">
                    <w:rPr>
                      <w:sz w:val="22"/>
                      <w:szCs w:val="22"/>
                      <w:vertAlign w:val="superscript"/>
                      <w:lang w:val="sr-Latn-CS"/>
                    </w:rPr>
                    <w:t xml:space="preserve">2 </w:t>
                  </w:r>
                  <w:r w:rsidRPr="00DF071B">
                    <w:rPr>
                      <w:sz w:val="22"/>
                      <w:szCs w:val="22"/>
                      <w:lang w:val="sr-Latn-CS"/>
                    </w:rPr>
                    <w:t>oralno, dana 1-5; CP 200 mg/m</w:t>
                  </w:r>
                  <w:r w:rsidRPr="00DF071B">
                    <w:rPr>
                      <w:sz w:val="22"/>
                      <w:szCs w:val="22"/>
                      <w:vertAlign w:val="superscript"/>
                      <w:lang w:val="sr-Latn-CS"/>
                    </w:rPr>
                    <w:t>2</w:t>
                  </w:r>
                  <w:r>
                    <w:rPr>
                      <w:sz w:val="22"/>
                      <w:szCs w:val="22"/>
                      <w:lang w:val="sr-Latn-CS"/>
                    </w:rPr>
                    <w:t xml:space="preserve"> i.v., dana 3, 4, </w:t>
                  </w:r>
                  <w:r w:rsidRPr="00DF071B">
                    <w:rPr>
                      <w:sz w:val="22"/>
                      <w:szCs w:val="22"/>
                      <w:lang w:val="sr-Latn-CS"/>
                    </w:rPr>
                    <w:t xml:space="preserve">5; </w:t>
                  </w:r>
                  <w:smartTag w:uri="urn:schemas-microsoft-com:office:smarttags" w:element="stockticker">
                    <w:r w:rsidRPr="00DF071B">
                      <w:rPr>
                        <w:sz w:val="22"/>
                        <w:szCs w:val="22"/>
                        <w:lang w:val="sr-Latn-CS"/>
                      </w:rPr>
                      <w:t>MTX</w:t>
                    </w:r>
                  </w:smartTag>
                  <w:r w:rsidRPr="00DF071B">
                    <w:rPr>
                      <w:sz w:val="22"/>
                      <w:szCs w:val="22"/>
                      <w:lang w:val="sr-Latn-CS"/>
                    </w:rPr>
                    <w:t xml:space="preserve"> 12 mg intratekalno, dan 1</w:t>
                  </w:r>
                </w:p>
              </w:tc>
            </w:tr>
            <w:tr w:rsidR="000A2337" w:rsidRPr="00DF071B" w:rsidTr="00161AB3">
              <w:trPr>
                <w:jc w:val="center"/>
              </w:trPr>
              <w:tc>
                <w:tcPr>
                  <w:tcW w:w="2943" w:type="dxa"/>
                </w:tcPr>
                <w:p w:rsidR="000A2337" w:rsidRPr="00DF071B" w:rsidRDefault="000A2337" w:rsidP="00161AB3">
                  <w:pPr>
                    <w:rPr>
                      <w:sz w:val="22"/>
                      <w:szCs w:val="22"/>
                      <w:lang w:val="sr-Latn-CS"/>
                    </w:rPr>
                  </w:pPr>
                  <w:r w:rsidRPr="00DF071B">
                    <w:rPr>
                      <w:color w:val="000000"/>
                      <w:sz w:val="22"/>
                      <w:szCs w:val="22"/>
                      <w:lang w:val="sr-Latn-CS"/>
                    </w:rPr>
                    <w:t xml:space="preserve">Indukcija remisije </w:t>
                  </w:r>
                </w:p>
              </w:tc>
              <w:tc>
                <w:tcPr>
                  <w:tcW w:w="6122" w:type="dxa"/>
                </w:tcPr>
                <w:p w:rsidR="000A2337" w:rsidRPr="00DF071B" w:rsidRDefault="000A2337" w:rsidP="00161AB3">
                  <w:pPr>
                    <w:rPr>
                      <w:sz w:val="22"/>
                      <w:szCs w:val="22"/>
                      <w:lang w:val="sr-Latn-CS"/>
                    </w:rPr>
                  </w:pPr>
                  <w:r w:rsidRPr="00DF071B">
                    <w:rPr>
                      <w:sz w:val="22"/>
                      <w:szCs w:val="22"/>
                      <w:lang w:val="sr-Latn-CS"/>
                    </w:rPr>
                    <w:t>DEX 10 mg/m</w:t>
                  </w:r>
                  <w:r w:rsidRPr="00DF071B">
                    <w:rPr>
                      <w:sz w:val="22"/>
                      <w:szCs w:val="22"/>
                      <w:vertAlign w:val="superscript"/>
                      <w:lang w:val="sr-Latn-CS"/>
                    </w:rPr>
                    <w:t>2</w:t>
                  </w:r>
                  <w:r w:rsidRPr="00DF071B">
                    <w:rPr>
                      <w:sz w:val="22"/>
                      <w:szCs w:val="22"/>
                      <w:lang w:val="sr-Latn-CS"/>
                    </w:rPr>
                    <w:t xml:space="preserve"> oralno, dana 6-7, 13-16; VCR 1 mg i.v., dana 7, 14; </w:t>
                  </w:r>
                  <w:smartTag w:uri="urn:schemas-microsoft-com:office:smarttags" w:element="stockticker">
                    <w:r w:rsidRPr="00DF071B">
                      <w:rPr>
                        <w:sz w:val="22"/>
                        <w:szCs w:val="22"/>
                        <w:lang w:val="sr-Latn-CS"/>
                      </w:rPr>
                      <w:t>IDA</w:t>
                    </w:r>
                  </w:smartTag>
                  <w:r w:rsidRPr="00DF071B">
                    <w:rPr>
                      <w:sz w:val="22"/>
                      <w:szCs w:val="22"/>
                      <w:lang w:val="sr-Latn-CS"/>
                    </w:rPr>
                    <w:t xml:space="preserve"> 8 mg/m</w:t>
                  </w:r>
                  <w:r w:rsidRPr="00DF071B">
                    <w:rPr>
                      <w:sz w:val="22"/>
                      <w:szCs w:val="22"/>
                      <w:vertAlign w:val="superscript"/>
                      <w:lang w:val="sr-Latn-CS"/>
                    </w:rPr>
                    <w:t>2</w:t>
                  </w:r>
                  <w:r w:rsidRPr="00DF071B">
                    <w:rPr>
                      <w:sz w:val="22"/>
                      <w:szCs w:val="22"/>
                      <w:lang w:val="sr-Latn-CS"/>
                    </w:rPr>
                    <w:t xml:space="preserve"> i.v. (0,5 h), dana 7, 8, 14, 15; CP 500 mg/m</w:t>
                  </w:r>
                  <w:r w:rsidRPr="00DF071B">
                    <w:rPr>
                      <w:sz w:val="22"/>
                      <w:szCs w:val="22"/>
                      <w:vertAlign w:val="superscript"/>
                      <w:lang w:val="sr-Latn-CS"/>
                    </w:rPr>
                    <w:t>2</w:t>
                  </w:r>
                  <w:r w:rsidRPr="00DF071B">
                    <w:rPr>
                      <w:sz w:val="22"/>
                      <w:szCs w:val="22"/>
                      <w:lang w:val="sr-Latn-CS"/>
                    </w:rPr>
                    <w:t xml:space="preserve"> i.v.(1 h) dan 1; Ara-C 60 mg/m</w:t>
                  </w:r>
                  <w:r w:rsidRPr="00DF071B">
                    <w:rPr>
                      <w:sz w:val="22"/>
                      <w:szCs w:val="22"/>
                      <w:vertAlign w:val="superscript"/>
                      <w:lang w:val="sr-Latn-CS"/>
                    </w:rPr>
                    <w:t>2</w:t>
                  </w:r>
                  <w:r w:rsidRPr="00DF071B">
                    <w:rPr>
                      <w:sz w:val="22"/>
                      <w:szCs w:val="22"/>
                      <w:lang w:val="sr-Latn-CS"/>
                    </w:rPr>
                    <w:t xml:space="preserve"> i.v., dana 22-25, 29-32</w:t>
                  </w:r>
                </w:p>
              </w:tc>
            </w:tr>
            <w:tr w:rsidR="000A2337" w:rsidRPr="00DF071B" w:rsidTr="00161AB3">
              <w:trPr>
                <w:jc w:val="center"/>
              </w:trPr>
              <w:tc>
                <w:tcPr>
                  <w:tcW w:w="2943" w:type="dxa"/>
                </w:tcPr>
                <w:p w:rsidR="000A2337" w:rsidRPr="00DF071B" w:rsidRDefault="000A2337" w:rsidP="00161AB3">
                  <w:pPr>
                    <w:rPr>
                      <w:sz w:val="22"/>
                      <w:szCs w:val="22"/>
                      <w:lang w:val="sr-Latn-CS"/>
                    </w:rPr>
                  </w:pPr>
                  <w:r w:rsidRPr="00DF071B">
                    <w:rPr>
                      <w:color w:val="000000"/>
                      <w:sz w:val="22"/>
                      <w:szCs w:val="22"/>
                      <w:lang w:val="sr-Latn-CS"/>
                    </w:rPr>
                    <w:t>Terapija konsolidacije I, III, V</w:t>
                  </w:r>
                </w:p>
              </w:tc>
              <w:tc>
                <w:tcPr>
                  <w:tcW w:w="6122" w:type="dxa"/>
                </w:tcPr>
                <w:p w:rsidR="000A2337" w:rsidRPr="00DF071B" w:rsidRDefault="000A2337" w:rsidP="00161AB3">
                  <w:pPr>
                    <w:rPr>
                      <w:sz w:val="22"/>
                      <w:szCs w:val="22"/>
                      <w:lang w:val="sr-Latn-CS"/>
                    </w:rPr>
                  </w:pPr>
                  <w:smartTag w:uri="urn:schemas-microsoft-com:office:smarttags" w:element="stockticker">
                    <w:r w:rsidRPr="00DF071B">
                      <w:rPr>
                        <w:sz w:val="22"/>
                        <w:szCs w:val="22"/>
                        <w:lang w:val="sr-Latn-CS"/>
                      </w:rPr>
                      <w:t>MTX</w:t>
                    </w:r>
                  </w:smartTag>
                  <w:r w:rsidRPr="00DF071B">
                    <w:rPr>
                      <w:sz w:val="22"/>
                      <w:szCs w:val="22"/>
                      <w:lang w:val="sr-Latn-CS"/>
                    </w:rPr>
                    <w:t xml:space="preserve"> 500 mg/m</w:t>
                  </w:r>
                  <w:r w:rsidRPr="00DF071B">
                    <w:rPr>
                      <w:sz w:val="22"/>
                      <w:szCs w:val="22"/>
                      <w:vertAlign w:val="superscript"/>
                      <w:lang w:val="sr-Latn-CS"/>
                    </w:rPr>
                    <w:t>2</w:t>
                  </w:r>
                  <w:r w:rsidRPr="00DF071B">
                    <w:rPr>
                      <w:sz w:val="22"/>
                      <w:szCs w:val="22"/>
                      <w:lang w:val="sr-Latn-CS"/>
                    </w:rPr>
                    <w:t xml:space="preserve"> i.v. (24 h), dana 1, 15; 6-MP 25 mg/m</w:t>
                  </w:r>
                  <w:r w:rsidRPr="007044F6">
                    <w:rPr>
                      <w:sz w:val="22"/>
                      <w:szCs w:val="22"/>
                      <w:vertAlign w:val="superscript"/>
                      <w:lang w:val="sr-Latn-CS"/>
                    </w:rPr>
                    <w:t>2</w:t>
                  </w:r>
                  <w:r w:rsidRPr="00DF071B">
                    <w:rPr>
                      <w:sz w:val="22"/>
                      <w:szCs w:val="22"/>
                      <w:lang w:val="sr-Latn-CS"/>
                    </w:rPr>
                    <w:t xml:space="preserve"> oralno, dana 1-20</w:t>
                  </w:r>
                </w:p>
              </w:tc>
            </w:tr>
            <w:tr w:rsidR="000A2337" w:rsidRPr="00DF071B" w:rsidTr="00161AB3">
              <w:trPr>
                <w:jc w:val="center"/>
              </w:trPr>
              <w:tc>
                <w:tcPr>
                  <w:tcW w:w="2943" w:type="dxa"/>
                </w:tcPr>
                <w:p w:rsidR="000A2337" w:rsidRPr="00DF071B" w:rsidRDefault="000A2337" w:rsidP="00161AB3">
                  <w:pPr>
                    <w:rPr>
                      <w:b/>
                      <w:bCs/>
                      <w:color w:val="000000"/>
                      <w:sz w:val="22"/>
                      <w:szCs w:val="22"/>
                      <w:lang w:val="sr-Latn-CS"/>
                    </w:rPr>
                  </w:pPr>
                  <w:r>
                    <w:rPr>
                      <w:color w:val="000000"/>
                      <w:sz w:val="22"/>
                      <w:szCs w:val="22"/>
                      <w:lang w:val="sr-Latn-CS"/>
                    </w:rPr>
                    <w:t>Terapija konsolidacije II, IV</w:t>
                  </w:r>
                </w:p>
              </w:tc>
              <w:tc>
                <w:tcPr>
                  <w:tcW w:w="6122" w:type="dxa"/>
                </w:tcPr>
                <w:p w:rsidR="000A2337" w:rsidRPr="00DF071B" w:rsidRDefault="000A2337" w:rsidP="00161AB3">
                  <w:pPr>
                    <w:rPr>
                      <w:sz w:val="22"/>
                      <w:szCs w:val="22"/>
                      <w:lang w:val="sr-Latn-CS"/>
                    </w:rPr>
                  </w:pPr>
                  <w:r w:rsidRPr="00DF071B">
                    <w:rPr>
                      <w:sz w:val="22"/>
                      <w:szCs w:val="22"/>
                      <w:lang w:val="sr-Latn-CS"/>
                    </w:rPr>
                    <w:t>Ara-C 75 mg/m</w:t>
                  </w:r>
                  <w:r w:rsidRPr="00DF071B">
                    <w:rPr>
                      <w:sz w:val="22"/>
                      <w:szCs w:val="22"/>
                      <w:vertAlign w:val="superscript"/>
                      <w:lang w:val="sr-Latn-CS"/>
                    </w:rPr>
                    <w:t>2</w:t>
                  </w:r>
                  <w:r w:rsidRPr="00DF071B">
                    <w:rPr>
                      <w:sz w:val="22"/>
                      <w:szCs w:val="22"/>
                      <w:lang w:val="sr-Latn-CS"/>
                    </w:rPr>
                    <w:t xml:space="preserve"> i.v.(1</w:t>
                  </w:r>
                  <w:r>
                    <w:rPr>
                      <w:sz w:val="22"/>
                      <w:szCs w:val="22"/>
                      <w:lang w:val="sr-Latn-CS"/>
                    </w:rPr>
                    <w:t xml:space="preserve"> </w:t>
                  </w:r>
                  <w:r w:rsidRPr="00DF071B">
                    <w:rPr>
                      <w:sz w:val="22"/>
                      <w:szCs w:val="22"/>
                      <w:lang w:val="sr-Latn-CS"/>
                    </w:rPr>
                    <w:t>h), dana 1-5, VM26 60 mg/m</w:t>
                  </w:r>
                  <w:r w:rsidRPr="00DF071B">
                    <w:rPr>
                      <w:sz w:val="22"/>
                      <w:szCs w:val="22"/>
                      <w:vertAlign w:val="superscript"/>
                      <w:lang w:val="sr-Latn-CS"/>
                    </w:rPr>
                    <w:t>2</w:t>
                  </w:r>
                  <w:r w:rsidRPr="00DF071B">
                    <w:rPr>
                      <w:sz w:val="22"/>
                      <w:szCs w:val="22"/>
                      <w:lang w:val="sr-Latn-CS"/>
                    </w:rPr>
                    <w:t xml:space="preserve"> i.v. (1</w:t>
                  </w:r>
                  <w:r>
                    <w:rPr>
                      <w:sz w:val="22"/>
                      <w:szCs w:val="22"/>
                      <w:lang w:val="sr-Latn-CS"/>
                    </w:rPr>
                    <w:t xml:space="preserve"> h&lt;)</w:t>
                  </w:r>
                  <w:r w:rsidRPr="00DF071B">
                    <w:rPr>
                      <w:sz w:val="22"/>
                      <w:szCs w:val="22"/>
                      <w:lang w:val="sr-Latn-CS"/>
                    </w:rPr>
                    <w:t xml:space="preserve">, dana 1-5 </w:t>
                  </w:r>
                </w:p>
              </w:tc>
            </w:tr>
            <w:tr w:rsidR="000A2337" w:rsidRPr="00DF071B" w:rsidTr="00161AB3">
              <w:trPr>
                <w:jc w:val="center"/>
              </w:trPr>
              <w:tc>
                <w:tcPr>
                  <w:tcW w:w="2943" w:type="dxa"/>
                </w:tcPr>
                <w:p w:rsidR="000A2337" w:rsidRPr="00DF071B" w:rsidRDefault="000A2337" w:rsidP="00161AB3">
                  <w:pPr>
                    <w:rPr>
                      <w:sz w:val="22"/>
                      <w:szCs w:val="22"/>
                      <w:lang w:val="sr-Latn-CS"/>
                    </w:rPr>
                  </w:pPr>
                  <w:r>
                    <w:rPr>
                      <w:b/>
                      <w:bCs/>
                      <w:color w:val="000000"/>
                      <w:sz w:val="22"/>
                      <w:szCs w:val="22"/>
                      <w:lang w:val="sr-Latn-CS"/>
                    </w:rPr>
                    <w:t>Studija</w:t>
                  </w:r>
                  <w:r w:rsidRPr="00DF071B">
                    <w:rPr>
                      <w:b/>
                      <w:bCs/>
                      <w:color w:val="000000"/>
                      <w:sz w:val="22"/>
                      <w:szCs w:val="22"/>
                      <w:lang w:val="sr-Latn-CS"/>
                    </w:rPr>
                    <w:t xml:space="preserve"> AAU02</w:t>
                  </w:r>
                </w:p>
              </w:tc>
              <w:tc>
                <w:tcPr>
                  <w:tcW w:w="6122" w:type="dxa"/>
                </w:tcPr>
                <w:p w:rsidR="000A2337" w:rsidRPr="00DF071B" w:rsidRDefault="000A2337" w:rsidP="00161AB3">
                  <w:pPr>
                    <w:rPr>
                      <w:sz w:val="22"/>
                      <w:szCs w:val="22"/>
                      <w:lang w:val="sr-Latn-CS"/>
                    </w:rPr>
                  </w:pPr>
                </w:p>
              </w:tc>
            </w:tr>
            <w:tr w:rsidR="000A2337" w:rsidRPr="00DF071B" w:rsidTr="00161AB3">
              <w:trPr>
                <w:jc w:val="center"/>
              </w:trPr>
              <w:tc>
                <w:tcPr>
                  <w:tcW w:w="2943" w:type="dxa"/>
                </w:tcPr>
                <w:p w:rsidR="000A2337" w:rsidRPr="00DF071B" w:rsidRDefault="000A2337" w:rsidP="00161AB3">
                  <w:pPr>
                    <w:rPr>
                      <w:sz w:val="22"/>
                      <w:szCs w:val="22"/>
                      <w:lang w:val="sr-Latn-CS"/>
                    </w:rPr>
                  </w:pPr>
                  <w:r w:rsidRPr="00DF071B">
                    <w:rPr>
                      <w:color w:val="000000"/>
                      <w:sz w:val="22"/>
                      <w:szCs w:val="22"/>
                      <w:lang w:val="sr-Latn-CS"/>
                    </w:rPr>
                    <w:t xml:space="preserve">Indukcijska terapija </w:t>
                  </w:r>
                  <w:r w:rsidRPr="00DF071B">
                    <w:rPr>
                      <w:i/>
                      <w:iCs/>
                      <w:color w:val="000000"/>
                      <w:sz w:val="22"/>
                      <w:szCs w:val="22"/>
                      <w:lang w:val="sr-Latn-CS"/>
                    </w:rPr>
                    <w:t xml:space="preserve">(de novo </w:t>
                  </w:r>
                  <w:r w:rsidRPr="00DF071B">
                    <w:rPr>
                      <w:color w:val="000000"/>
                      <w:sz w:val="22"/>
                      <w:szCs w:val="22"/>
                      <w:lang w:val="sr-Latn-CS"/>
                    </w:rPr>
                    <w:t xml:space="preserve">Ph+ </w:t>
                  </w:r>
                  <w:smartTag w:uri="urn:schemas-microsoft-com:office:smarttags" w:element="stockticker">
                    <w:r w:rsidRPr="00DF071B">
                      <w:rPr>
                        <w:color w:val="000000"/>
                        <w:sz w:val="22"/>
                        <w:szCs w:val="22"/>
                        <w:lang w:val="sr-Latn-CS"/>
                      </w:rPr>
                      <w:t>ALL</w:t>
                    </w:r>
                  </w:smartTag>
                  <w:r w:rsidRPr="00DF071B">
                    <w:rPr>
                      <w:color w:val="000000"/>
                      <w:sz w:val="22"/>
                      <w:szCs w:val="22"/>
                      <w:lang w:val="sr-Latn-CS"/>
                    </w:rPr>
                    <w:t>)</w:t>
                  </w:r>
                </w:p>
              </w:tc>
              <w:tc>
                <w:tcPr>
                  <w:tcW w:w="6122" w:type="dxa"/>
                </w:tcPr>
                <w:p w:rsidR="000A2337" w:rsidRPr="00DF071B" w:rsidRDefault="000A2337" w:rsidP="00161AB3">
                  <w:pPr>
                    <w:rPr>
                      <w:sz w:val="22"/>
                      <w:szCs w:val="22"/>
                      <w:lang w:val="sr-Latn-CS"/>
                    </w:rPr>
                  </w:pPr>
                  <w:r w:rsidRPr="00DF071B">
                    <w:rPr>
                      <w:sz w:val="22"/>
                      <w:szCs w:val="22"/>
                      <w:lang w:val="sr-Latn-CS"/>
                    </w:rPr>
                    <w:t>Daunorubicin 30 mg/m</w:t>
                  </w:r>
                  <w:r w:rsidRPr="00DF071B">
                    <w:rPr>
                      <w:sz w:val="22"/>
                      <w:szCs w:val="22"/>
                      <w:vertAlign w:val="superscript"/>
                      <w:lang w:val="sr-Latn-CS"/>
                    </w:rPr>
                    <w:t>2</w:t>
                  </w:r>
                  <w:r w:rsidRPr="00DF071B">
                    <w:rPr>
                      <w:sz w:val="22"/>
                      <w:szCs w:val="22"/>
                      <w:lang w:val="sr-Latn-CS"/>
                    </w:rPr>
                    <w:t xml:space="preserve"> i.v., dana 1-3, 15-16; VCR 2 mg ukupna doza i.v., dana 1, 8, 15, 22; CP 750 mg/m</w:t>
                  </w:r>
                  <w:r w:rsidRPr="00DF071B">
                    <w:rPr>
                      <w:sz w:val="22"/>
                      <w:szCs w:val="22"/>
                      <w:vertAlign w:val="superscript"/>
                      <w:lang w:val="sr-Latn-CS"/>
                    </w:rPr>
                    <w:t>2</w:t>
                  </w:r>
                  <w:r w:rsidRPr="00DF071B">
                    <w:rPr>
                      <w:sz w:val="22"/>
                      <w:szCs w:val="22"/>
                      <w:lang w:val="sr-Latn-CS"/>
                    </w:rPr>
                    <w:t xml:space="preserve"> i.v., dana 1, 8; prednizon 60 mg/m</w:t>
                  </w:r>
                  <w:r w:rsidRPr="00DF071B">
                    <w:rPr>
                      <w:sz w:val="22"/>
                      <w:szCs w:val="22"/>
                      <w:vertAlign w:val="superscript"/>
                      <w:lang w:val="sr-Latn-CS"/>
                    </w:rPr>
                    <w:t xml:space="preserve">2 </w:t>
                  </w:r>
                  <w:r w:rsidRPr="00DF071B">
                    <w:rPr>
                      <w:sz w:val="22"/>
                      <w:szCs w:val="22"/>
                      <w:lang w:val="sr-Latn-CS"/>
                    </w:rPr>
                    <w:t xml:space="preserve">oralno, dana 1-7, 15-21; </w:t>
                  </w:r>
                  <w:smartTag w:uri="urn:schemas-microsoft-com:office:smarttags" w:element="stockticker">
                    <w:r w:rsidRPr="00DF071B">
                      <w:rPr>
                        <w:sz w:val="22"/>
                        <w:szCs w:val="22"/>
                        <w:lang w:val="sr-Latn-CS"/>
                      </w:rPr>
                      <w:t>IDA</w:t>
                    </w:r>
                  </w:smartTag>
                  <w:r w:rsidRPr="00DF071B">
                    <w:rPr>
                      <w:sz w:val="22"/>
                      <w:szCs w:val="22"/>
                      <w:lang w:val="sr-Latn-CS"/>
                    </w:rPr>
                    <w:t xml:space="preserve"> 9 mg/m</w:t>
                  </w:r>
                  <w:r w:rsidRPr="00DF071B">
                    <w:rPr>
                      <w:sz w:val="22"/>
                      <w:szCs w:val="22"/>
                      <w:vertAlign w:val="superscript"/>
                      <w:lang w:val="sr-Latn-CS"/>
                    </w:rPr>
                    <w:t>2</w:t>
                  </w:r>
                  <w:r w:rsidRPr="00DF071B">
                    <w:rPr>
                      <w:sz w:val="22"/>
                      <w:szCs w:val="22"/>
                      <w:lang w:val="sr-Latn-CS"/>
                    </w:rPr>
                    <w:t xml:space="preserve"> oralno, dana 1-28; </w:t>
                  </w:r>
                  <w:smartTag w:uri="urn:schemas-microsoft-com:office:smarttags" w:element="stockticker">
                    <w:r w:rsidRPr="00DF071B">
                      <w:rPr>
                        <w:sz w:val="22"/>
                        <w:szCs w:val="22"/>
                        <w:lang w:val="sr-Latn-CS"/>
                      </w:rPr>
                      <w:t>MTX</w:t>
                    </w:r>
                  </w:smartTag>
                  <w:r w:rsidRPr="00DF071B">
                    <w:rPr>
                      <w:sz w:val="22"/>
                      <w:szCs w:val="22"/>
                      <w:lang w:val="sr-Latn-CS"/>
                    </w:rPr>
                    <w:t xml:space="preserve"> 15 mg intratekalno, dana 1, 8, 15, 22; Ara-C 40 mg intratekalno, dana 1, 8, 15, 22; metilprednizolon 40 mg intratekalno, dana 1, 8, 15, 22</w:t>
                  </w:r>
                </w:p>
              </w:tc>
            </w:tr>
            <w:tr w:rsidR="000A2337" w:rsidRPr="00DF071B" w:rsidTr="00161AB3">
              <w:trPr>
                <w:jc w:val="center"/>
              </w:trPr>
              <w:tc>
                <w:tcPr>
                  <w:tcW w:w="2943" w:type="dxa"/>
                </w:tcPr>
                <w:p w:rsidR="000A2337" w:rsidRPr="00DF071B" w:rsidRDefault="000A2337" w:rsidP="00161AB3">
                  <w:pPr>
                    <w:rPr>
                      <w:sz w:val="22"/>
                      <w:szCs w:val="22"/>
                      <w:lang w:val="sr-Latn-CS"/>
                    </w:rPr>
                  </w:pPr>
                  <w:r w:rsidRPr="00DF071B">
                    <w:rPr>
                      <w:color w:val="000000"/>
                      <w:sz w:val="22"/>
                      <w:szCs w:val="22"/>
                      <w:lang w:val="sr-Latn-CS"/>
                    </w:rPr>
                    <w:t xml:space="preserve">Konsolidacija </w:t>
                  </w:r>
                  <w:r w:rsidRPr="00DF071B">
                    <w:rPr>
                      <w:i/>
                      <w:iCs/>
                      <w:color w:val="000000"/>
                      <w:sz w:val="22"/>
                      <w:szCs w:val="22"/>
                      <w:lang w:val="sr-Latn-CS"/>
                    </w:rPr>
                    <w:t xml:space="preserve">(de novo </w:t>
                  </w:r>
                  <w:r w:rsidRPr="00DF071B">
                    <w:rPr>
                      <w:color w:val="000000"/>
                      <w:sz w:val="22"/>
                      <w:szCs w:val="22"/>
                      <w:lang w:val="sr-Latn-CS"/>
                    </w:rPr>
                    <w:t xml:space="preserve">Ph+ </w:t>
                  </w:r>
                  <w:smartTag w:uri="urn:schemas-microsoft-com:office:smarttags" w:element="stockticker">
                    <w:r w:rsidRPr="00DF071B">
                      <w:rPr>
                        <w:color w:val="000000"/>
                        <w:sz w:val="22"/>
                        <w:szCs w:val="22"/>
                        <w:lang w:val="sr-Latn-CS"/>
                      </w:rPr>
                      <w:t>ALL</w:t>
                    </w:r>
                  </w:smartTag>
                  <w:r w:rsidRPr="00DF071B">
                    <w:rPr>
                      <w:color w:val="000000"/>
                      <w:sz w:val="22"/>
                      <w:szCs w:val="22"/>
                      <w:lang w:val="sr-Latn-CS"/>
                    </w:rPr>
                    <w:t>)</w:t>
                  </w:r>
                </w:p>
              </w:tc>
              <w:tc>
                <w:tcPr>
                  <w:tcW w:w="6122" w:type="dxa"/>
                </w:tcPr>
                <w:p w:rsidR="000A2337" w:rsidRPr="00DF071B" w:rsidRDefault="000A2337" w:rsidP="00161AB3">
                  <w:pPr>
                    <w:rPr>
                      <w:sz w:val="22"/>
                      <w:szCs w:val="22"/>
                      <w:lang w:val="sr-Latn-CS"/>
                    </w:rPr>
                  </w:pPr>
                  <w:r w:rsidRPr="00DF071B">
                    <w:rPr>
                      <w:sz w:val="22"/>
                      <w:szCs w:val="22"/>
                      <w:lang w:val="sr-Latn-CS"/>
                    </w:rPr>
                    <w:t>Ara-C 1,000 mg/m</w:t>
                  </w:r>
                  <w:r w:rsidRPr="00DF071B">
                    <w:rPr>
                      <w:sz w:val="22"/>
                      <w:szCs w:val="22"/>
                      <w:vertAlign w:val="superscript"/>
                      <w:lang w:val="sr-Latn-CS"/>
                    </w:rPr>
                    <w:t>2</w:t>
                  </w:r>
                  <w:r w:rsidRPr="00DF071B">
                    <w:rPr>
                      <w:sz w:val="22"/>
                      <w:szCs w:val="22"/>
                      <w:lang w:val="sr-Latn-CS"/>
                    </w:rPr>
                    <w:t>/12 h i.v.(3 h), dana 1-4; mitoksantron 10 mg/m</w:t>
                  </w:r>
                  <w:r w:rsidRPr="00DF071B">
                    <w:rPr>
                      <w:sz w:val="22"/>
                      <w:szCs w:val="22"/>
                      <w:vertAlign w:val="superscript"/>
                      <w:lang w:val="sr-Latn-CS"/>
                    </w:rPr>
                    <w:t>2</w:t>
                  </w:r>
                  <w:r w:rsidRPr="00DF071B">
                    <w:rPr>
                      <w:sz w:val="22"/>
                      <w:szCs w:val="22"/>
                      <w:lang w:val="sr-Latn-CS"/>
                    </w:rPr>
                    <w:t xml:space="preserve"> i.v. dana 3-5; </w:t>
                  </w:r>
                  <w:smartTag w:uri="urn:schemas-microsoft-com:office:smarttags" w:element="stockticker">
                    <w:r w:rsidRPr="00DF071B">
                      <w:rPr>
                        <w:sz w:val="22"/>
                        <w:szCs w:val="22"/>
                        <w:lang w:val="sr-Latn-CS"/>
                      </w:rPr>
                      <w:t>MTX</w:t>
                    </w:r>
                  </w:smartTag>
                  <w:r w:rsidRPr="00DF071B">
                    <w:rPr>
                      <w:sz w:val="22"/>
                      <w:szCs w:val="22"/>
                      <w:lang w:val="sr-Latn-CS"/>
                    </w:rPr>
                    <w:t xml:space="preserve"> 15 mg intratekalno, dan 1; metilprednizolon 40 mg intratekalno, dan 1</w:t>
                  </w:r>
                </w:p>
              </w:tc>
            </w:tr>
            <w:tr w:rsidR="000A2337" w:rsidRPr="00DF071B" w:rsidTr="00161AB3">
              <w:trPr>
                <w:jc w:val="center"/>
              </w:trPr>
              <w:tc>
                <w:tcPr>
                  <w:tcW w:w="2943" w:type="dxa"/>
                </w:tcPr>
                <w:p w:rsidR="000A2337" w:rsidRPr="00DF071B" w:rsidRDefault="000A2337" w:rsidP="00161AB3">
                  <w:pPr>
                    <w:rPr>
                      <w:sz w:val="22"/>
                      <w:szCs w:val="22"/>
                      <w:lang w:val="sr-Latn-CS"/>
                    </w:rPr>
                  </w:pPr>
                  <w:r>
                    <w:rPr>
                      <w:b/>
                      <w:bCs/>
                      <w:color w:val="000000"/>
                      <w:sz w:val="22"/>
                      <w:szCs w:val="22"/>
                      <w:lang w:val="sr-Latn-CS"/>
                    </w:rPr>
                    <w:t>Studija</w:t>
                  </w:r>
                  <w:r w:rsidRPr="00DF071B">
                    <w:rPr>
                      <w:b/>
                      <w:bCs/>
                      <w:color w:val="000000"/>
                      <w:sz w:val="22"/>
                      <w:szCs w:val="22"/>
                      <w:lang w:val="sr-Latn-CS"/>
                    </w:rPr>
                    <w:t xml:space="preserve"> ADE04</w:t>
                  </w:r>
                </w:p>
              </w:tc>
              <w:tc>
                <w:tcPr>
                  <w:tcW w:w="6122" w:type="dxa"/>
                </w:tcPr>
                <w:p w:rsidR="000A2337" w:rsidRPr="00DF071B" w:rsidRDefault="000A2337" w:rsidP="00161AB3">
                  <w:pPr>
                    <w:rPr>
                      <w:sz w:val="22"/>
                      <w:szCs w:val="22"/>
                      <w:lang w:val="sr-Latn-CS"/>
                    </w:rPr>
                  </w:pPr>
                </w:p>
              </w:tc>
            </w:tr>
            <w:tr w:rsidR="000A2337" w:rsidRPr="00DF071B" w:rsidTr="00161AB3">
              <w:trPr>
                <w:jc w:val="center"/>
              </w:trPr>
              <w:tc>
                <w:tcPr>
                  <w:tcW w:w="2943" w:type="dxa"/>
                </w:tcPr>
                <w:p w:rsidR="000A2337" w:rsidRPr="00DF071B" w:rsidRDefault="000A2337" w:rsidP="00161AB3">
                  <w:pPr>
                    <w:rPr>
                      <w:b/>
                      <w:bCs/>
                      <w:color w:val="000000"/>
                      <w:sz w:val="22"/>
                      <w:szCs w:val="22"/>
                      <w:lang w:val="sr-Latn-CS"/>
                    </w:rPr>
                  </w:pPr>
                  <w:r w:rsidRPr="00DF071B">
                    <w:rPr>
                      <w:color w:val="000000"/>
                      <w:sz w:val="22"/>
                      <w:szCs w:val="22"/>
                      <w:lang w:val="sr-Latn-CS"/>
                    </w:rPr>
                    <w:t>Prethodna faza</w:t>
                  </w:r>
                </w:p>
              </w:tc>
              <w:tc>
                <w:tcPr>
                  <w:tcW w:w="6122" w:type="dxa"/>
                </w:tcPr>
                <w:p w:rsidR="000A2337" w:rsidRPr="00DF071B" w:rsidRDefault="000A2337" w:rsidP="00161AB3">
                  <w:pPr>
                    <w:rPr>
                      <w:sz w:val="22"/>
                      <w:szCs w:val="22"/>
                      <w:lang w:val="sr-Latn-CS"/>
                    </w:rPr>
                  </w:pPr>
                  <w:r w:rsidRPr="00DF071B">
                    <w:rPr>
                      <w:sz w:val="22"/>
                      <w:szCs w:val="22"/>
                      <w:lang w:val="sr-Latn-CS"/>
                    </w:rPr>
                    <w:t>DEX 10 mg/m</w:t>
                  </w:r>
                  <w:r w:rsidRPr="00DF071B">
                    <w:rPr>
                      <w:sz w:val="22"/>
                      <w:szCs w:val="22"/>
                      <w:vertAlign w:val="superscript"/>
                      <w:lang w:val="sr-Latn-CS"/>
                    </w:rPr>
                    <w:t>2</w:t>
                  </w:r>
                  <w:r w:rsidRPr="00DF071B">
                    <w:rPr>
                      <w:sz w:val="22"/>
                      <w:szCs w:val="22"/>
                      <w:lang w:val="sr-Latn-CS"/>
                    </w:rPr>
                    <w:t xml:space="preserve"> oralno, dana 1-5; CP 200 mg/m</w:t>
                  </w:r>
                  <w:r w:rsidRPr="00DF071B">
                    <w:rPr>
                      <w:sz w:val="22"/>
                      <w:szCs w:val="22"/>
                      <w:vertAlign w:val="superscript"/>
                      <w:lang w:val="sr-Latn-CS"/>
                    </w:rPr>
                    <w:t>2</w:t>
                  </w:r>
                  <w:r w:rsidRPr="00DF071B">
                    <w:rPr>
                      <w:sz w:val="22"/>
                      <w:szCs w:val="22"/>
                      <w:lang w:val="sr-Latn-CS"/>
                    </w:rPr>
                    <w:t xml:space="preserve"> i.v., dana 3-5; </w:t>
                  </w:r>
                  <w:smartTag w:uri="urn:schemas-microsoft-com:office:smarttags" w:element="stockticker">
                    <w:r w:rsidRPr="00DF071B">
                      <w:rPr>
                        <w:sz w:val="22"/>
                        <w:szCs w:val="22"/>
                        <w:lang w:val="sr-Latn-CS"/>
                      </w:rPr>
                      <w:t>MTX</w:t>
                    </w:r>
                  </w:smartTag>
                  <w:r w:rsidRPr="00DF071B">
                    <w:rPr>
                      <w:sz w:val="22"/>
                      <w:szCs w:val="22"/>
                      <w:lang w:val="sr-Latn-CS"/>
                    </w:rPr>
                    <w:t xml:space="preserve"> 15 mg intratekalno, dan 1</w:t>
                  </w:r>
                </w:p>
              </w:tc>
            </w:tr>
            <w:tr w:rsidR="000A2337" w:rsidRPr="00DF071B" w:rsidTr="00161AB3">
              <w:trPr>
                <w:jc w:val="center"/>
              </w:trPr>
              <w:tc>
                <w:tcPr>
                  <w:tcW w:w="2943" w:type="dxa"/>
                </w:tcPr>
                <w:p w:rsidR="000A2337" w:rsidRPr="00DF071B" w:rsidRDefault="000A2337" w:rsidP="00161AB3">
                  <w:pPr>
                    <w:rPr>
                      <w:b/>
                      <w:bCs/>
                      <w:color w:val="000000"/>
                      <w:sz w:val="22"/>
                      <w:szCs w:val="22"/>
                      <w:lang w:val="sr-Latn-CS"/>
                    </w:rPr>
                  </w:pPr>
                  <w:r w:rsidRPr="00DF071B">
                    <w:rPr>
                      <w:sz w:val="22"/>
                      <w:szCs w:val="22"/>
                      <w:lang w:val="sr-Latn-CS"/>
                    </w:rPr>
                    <w:t>Indukcijska terapija I</w:t>
                  </w:r>
                </w:p>
              </w:tc>
              <w:tc>
                <w:tcPr>
                  <w:tcW w:w="6122" w:type="dxa"/>
                </w:tcPr>
                <w:p w:rsidR="000A2337" w:rsidRPr="00DF071B" w:rsidRDefault="000A2337" w:rsidP="00161AB3">
                  <w:pPr>
                    <w:rPr>
                      <w:sz w:val="22"/>
                      <w:szCs w:val="22"/>
                      <w:lang w:val="sr-Latn-CS"/>
                    </w:rPr>
                  </w:pPr>
                  <w:r w:rsidRPr="00DF071B">
                    <w:rPr>
                      <w:sz w:val="22"/>
                      <w:szCs w:val="22"/>
                      <w:lang w:val="sr-Latn-CS"/>
                    </w:rPr>
                    <w:t>DEX 10 mg/m</w:t>
                  </w:r>
                  <w:r w:rsidRPr="00DF071B">
                    <w:rPr>
                      <w:sz w:val="22"/>
                      <w:szCs w:val="22"/>
                      <w:vertAlign w:val="superscript"/>
                      <w:lang w:val="sr-Latn-CS"/>
                    </w:rPr>
                    <w:t>2</w:t>
                  </w:r>
                  <w:r w:rsidRPr="00DF071B">
                    <w:rPr>
                      <w:sz w:val="22"/>
                      <w:szCs w:val="22"/>
                      <w:lang w:val="sr-Latn-CS"/>
                    </w:rPr>
                    <w:t xml:space="preserve"> oralno, dana 1-5; VCR 2 mg i.v., dana 6, 13, 20; daunorubicin 45 mg/m</w:t>
                  </w:r>
                  <w:r w:rsidRPr="00DF071B">
                    <w:rPr>
                      <w:sz w:val="22"/>
                      <w:szCs w:val="22"/>
                      <w:vertAlign w:val="superscript"/>
                      <w:lang w:val="sr-Latn-CS"/>
                    </w:rPr>
                    <w:t>2</w:t>
                  </w:r>
                  <w:r w:rsidRPr="00DF071B">
                    <w:rPr>
                      <w:sz w:val="22"/>
                      <w:szCs w:val="22"/>
                      <w:lang w:val="sr-Latn-CS"/>
                    </w:rPr>
                    <w:t xml:space="preserve"> i.v., dana 6-7, 13-14</w:t>
                  </w:r>
                </w:p>
              </w:tc>
            </w:tr>
            <w:tr w:rsidR="000A2337" w:rsidRPr="00DF071B" w:rsidTr="00161AB3">
              <w:trPr>
                <w:jc w:val="center"/>
              </w:trPr>
              <w:tc>
                <w:tcPr>
                  <w:tcW w:w="2943" w:type="dxa"/>
                </w:tcPr>
                <w:p w:rsidR="000A2337" w:rsidRPr="00DF071B" w:rsidRDefault="000A2337" w:rsidP="00161AB3">
                  <w:pPr>
                    <w:rPr>
                      <w:b/>
                      <w:bCs/>
                      <w:color w:val="000000"/>
                      <w:sz w:val="22"/>
                      <w:szCs w:val="22"/>
                      <w:lang w:val="sr-Latn-CS"/>
                    </w:rPr>
                  </w:pPr>
                  <w:r w:rsidRPr="00DF071B">
                    <w:rPr>
                      <w:color w:val="000000"/>
                      <w:sz w:val="22"/>
                      <w:szCs w:val="22"/>
                      <w:lang w:val="sr-Latn-CS"/>
                    </w:rPr>
                    <w:t>Indukcijska terapija</w:t>
                  </w:r>
                  <w:r w:rsidRPr="00DF071B">
                    <w:rPr>
                      <w:sz w:val="22"/>
                      <w:szCs w:val="22"/>
                      <w:lang w:val="sr-Latn-CS"/>
                    </w:rPr>
                    <w:t xml:space="preserve"> II</w:t>
                  </w:r>
                </w:p>
              </w:tc>
              <w:tc>
                <w:tcPr>
                  <w:tcW w:w="6122" w:type="dxa"/>
                </w:tcPr>
                <w:p w:rsidR="000A2337" w:rsidRPr="00DF071B" w:rsidRDefault="000A2337" w:rsidP="00161AB3">
                  <w:pPr>
                    <w:rPr>
                      <w:sz w:val="22"/>
                      <w:szCs w:val="22"/>
                      <w:lang w:val="sr-Latn-CS"/>
                    </w:rPr>
                  </w:pPr>
                  <w:r w:rsidRPr="00DF071B">
                    <w:rPr>
                      <w:sz w:val="22"/>
                      <w:szCs w:val="22"/>
                      <w:lang w:val="sr-Latn-CS"/>
                    </w:rPr>
                    <w:t>CP 1 g/m</w:t>
                  </w:r>
                  <w:r w:rsidRPr="00DF071B">
                    <w:rPr>
                      <w:sz w:val="22"/>
                      <w:szCs w:val="22"/>
                      <w:vertAlign w:val="superscript"/>
                      <w:lang w:val="sr-Latn-CS"/>
                    </w:rPr>
                    <w:t>2</w:t>
                  </w:r>
                  <w:r w:rsidRPr="00DF071B">
                    <w:rPr>
                      <w:sz w:val="22"/>
                      <w:szCs w:val="22"/>
                      <w:lang w:val="sr-Latn-CS"/>
                    </w:rPr>
                    <w:t xml:space="preserve"> i.v. (1 h), dana 26, 46; Ara-C 75 mg/m</w:t>
                  </w:r>
                  <w:r w:rsidRPr="00DF071B">
                    <w:rPr>
                      <w:sz w:val="22"/>
                      <w:szCs w:val="22"/>
                      <w:vertAlign w:val="superscript"/>
                      <w:lang w:val="sr-Latn-CS"/>
                    </w:rPr>
                    <w:t>2</w:t>
                  </w:r>
                  <w:r w:rsidRPr="00DF071B">
                    <w:rPr>
                      <w:sz w:val="22"/>
                      <w:szCs w:val="22"/>
                      <w:lang w:val="sr-Latn-CS"/>
                    </w:rPr>
                    <w:t xml:space="preserve"> i.v. (1 h), dana 28-31, 35-38, 42-45; 6-MP 60 mg/m</w:t>
                  </w:r>
                  <w:r w:rsidRPr="00DF071B">
                    <w:rPr>
                      <w:sz w:val="22"/>
                      <w:szCs w:val="22"/>
                      <w:vertAlign w:val="superscript"/>
                      <w:lang w:val="sr-Latn-CS"/>
                    </w:rPr>
                    <w:t>2</w:t>
                  </w:r>
                  <w:r w:rsidRPr="00DF071B">
                    <w:rPr>
                      <w:sz w:val="22"/>
                      <w:szCs w:val="22"/>
                      <w:lang w:val="sr-Latn-CS"/>
                    </w:rPr>
                    <w:t xml:space="preserve"> oralno, dana 26-46</w:t>
                  </w:r>
                </w:p>
              </w:tc>
            </w:tr>
            <w:tr w:rsidR="000A2337" w:rsidRPr="00DF071B" w:rsidTr="00161AB3">
              <w:trPr>
                <w:jc w:val="center"/>
              </w:trPr>
              <w:tc>
                <w:tcPr>
                  <w:tcW w:w="2943" w:type="dxa"/>
                </w:tcPr>
                <w:p w:rsidR="000A2337" w:rsidRPr="00DF071B" w:rsidRDefault="000A2337" w:rsidP="00161AB3">
                  <w:pPr>
                    <w:rPr>
                      <w:b/>
                      <w:bCs/>
                      <w:color w:val="000000"/>
                      <w:sz w:val="22"/>
                      <w:szCs w:val="22"/>
                      <w:lang w:val="sr-Latn-CS"/>
                    </w:rPr>
                  </w:pPr>
                  <w:r w:rsidRPr="00DF071B">
                    <w:rPr>
                      <w:color w:val="000000"/>
                      <w:sz w:val="22"/>
                      <w:szCs w:val="22"/>
                      <w:lang w:val="sr-Latn-CS"/>
                    </w:rPr>
                    <w:t>Terapija konsolidacije</w:t>
                  </w:r>
                </w:p>
              </w:tc>
              <w:tc>
                <w:tcPr>
                  <w:tcW w:w="6122" w:type="dxa"/>
                </w:tcPr>
                <w:p w:rsidR="000A2337" w:rsidRPr="00DF071B" w:rsidRDefault="000A2337" w:rsidP="00161AB3">
                  <w:pPr>
                    <w:rPr>
                      <w:sz w:val="22"/>
                      <w:szCs w:val="22"/>
                      <w:lang w:val="sr-Latn-CS"/>
                    </w:rPr>
                  </w:pPr>
                  <w:r w:rsidRPr="00DF071B">
                    <w:rPr>
                      <w:sz w:val="22"/>
                      <w:szCs w:val="22"/>
                      <w:lang w:val="sr-Latn-CS"/>
                    </w:rPr>
                    <w:t>DEX 10 mg/m</w:t>
                  </w:r>
                  <w:r w:rsidRPr="00DF071B">
                    <w:rPr>
                      <w:sz w:val="22"/>
                      <w:szCs w:val="22"/>
                      <w:vertAlign w:val="superscript"/>
                      <w:lang w:val="sr-Latn-CS"/>
                    </w:rPr>
                    <w:t>2</w:t>
                  </w:r>
                  <w:r w:rsidRPr="00DF071B">
                    <w:rPr>
                      <w:sz w:val="22"/>
                      <w:szCs w:val="22"/>
                      <w:lang w:val="sr-Latn-CS"/>
                    </w:rPr>
                    <w:t xml:space="preserve"> oralno, dana 1-5; vindezin 3 mg/m</w:t>
                  </w:r>
                  <w:r w:rsidRPr="00DF071B">
                    <w:rPr>
                      <w:sz w:val="22"/>
                      <w:szCs w:val="22"/>
                      <w:vertAlign w:val="superscript"/>
                      <w:lang w:val="sr-Latn-CS"/>
                    </w:rPr>
                    <w:t>2</w:t>
                  </w:r>
                  <w:r w:rsidRPr="00DF071B">
                    <w:rPr>
                      <w:sz w:val="22"/>
                      <w:szCs w:val="22"/>
                      <w:lang w:val="sr-Latn-CS"/>
                    </w:rPr>
                    <w:t xml:space="preserve"> i.v., dan 1; </w:t>
                  </w:r>
                  <w:smartTag w:uri="urn:schemas-microsoft-com:office:smarttags" w:element="stockticker">
                    <w:r w:rsidRPr="00DF071B">
                      <w:rPr>
                        <w:sz w:val="22"/>
                        <w:szCs w:val="22"/>
                        <w:lang w:val="sr-Latn-CS"/>
                      </w:rPr>
                      <w:t>MTX</w:t>
                    </w:r>
                  </w:smartTag>
                  <w:r w:rsidRPr="00DF071B">
                    <w:rPr>
                      <w:sz w:val="22"/>
                      <w:szCs w:val="22"/>
                      <w:lang w:val="sr-Latn-CS"/>
                    </w:rPr>
                    <w:t xml:space="preserve"> 1,5 g/m</w:t>
                  </w:r>
                  <w:r w:rsidRPr="00DF071B">
                    <w:rPr>
                      <w:sz w:val="22"/>
                      <w:szCs w:val="22"/>
                      <w:vertAlign w:val="superscript"/>
                      <w:lang w:val="sr-Latn-CS"/>
                    </w:rPr>
                    <w:t>2</w:t>
                  </w:r>
                  <w:r w:rsidRPr="00DF071B">
                    <w:rPr>
                      <w:sz w:val="22"/>
                      <w:szCs w:val="22"/>
                      <w:lang w:val="sr-Latn-CS"/>
                    </w:rPr>
                    <w:t xml:space="preserve"> i.v. (24 h), dan 1; etopozid 250 mg/m</w:t>
                  </w:r>
                  <w:r w:rsidRPr="00DF071B">
                    <w:rPr>
                      <w:sz w:val="22"/>
                      <w:szCs w:val="22"/>
                      <w:vertAlign w:val="superscript"/>
                      <w:lang w:val="sr-Latn-CS"/>
                    </w:rPr>
                    <w:t>2</w:t>
                  </w:r>
                  <w:r w:rsidRPr="00DF071B">
                    <w:rPr>
                      <w:sz w:val="22"/>
                      <w:szCs w:val="22"/>
                      <w:lang w:val="sr-Latn-CS"/>
                    </w:rPr>
                    <w:t xml:space="preserve"> i.v. (1 h) dana 4-5; Ara-C 2x 2 g/m</w:t>
                  </w:r>
                  <w:r w:rsidRPr="00DF071B">
                    <w:rPr>
                      <w:sz w:val="22"/>
                      <w:szCs w:val="22"/>
                      <w:vertAlign w:val="superscript"/>
                      <w:lang w:val="sr-Latn-CS"/>
                    </w:rPr>
                    <w:t>2</w:t>
                  </w:r>
                  <w:r>
                    <w:rPr>
                      <w:sz w:val="22"/>
                      <w:szCs w:val="22"/>
                      <w:lang w:val="sr-Latn-CS"/>
                    </w:rPr>
                    <w:t xml:space="preserve"> i.v. (3 h, svakih</w:t>
                  </w:r>
                  <w:r w:rsidRPr="00DF071B">
                    <w:rPr>
                      <w:sz w:val="22"/>
                      <w:szCs w:val="22"/>
                      <w:lang w:val="sr-Latn-CS"/>
                    </w:rPr>
                    <w:t xml:space="preserve"> 12 h), dan 5</w:t>
                  </w:r>
                </w:p>
              </w:tc>
            </w:tr>
            <w:tr w:rsidR="000A2337" w:rsidRPr="00DF071B" w:rsidTr="00161AB3">
              <w:trPr>
                <w:jc w:val="center"/>
              </w:trPr>
              <w:tc>
                <w:tcPr>
                  <w:tcW w:w="2943" w:type="dxa"/>
                </w:tcPr>
                <w:p w:rsidR="000A2337" w:rsidRPr="00DF071B" w:rsidRDefault="000A2337" w:rsidP="00161AB3">
                  <w:pPr>
                    <w:rPr>
                      <w:b/>
                      <w:bCs/>
                      <w:color w:val="000000"/>
                      <w:sz w:val="22"/>
                      <w:szCs w:val="22"/>
                      <w:lang w:val="sr-Latn-CS"/>
                    </w:rPr>
                  </w:pPr>
                  <w:r>
                    <w:rPr>
                      <w:b/>
                      <w:bCs/>
                      <w:color w:val="000000"/>
                      <w:sz w:val="22"/>
                      <w:szCs w:val="22"/>
                      <w:lang w:val="sr-Latn-CS"/>
                    </w:rPr>
                    <w:t>Studija</w:t>
                  </w:r>
                  <w:r w:rsidRPr="00DF071B">
                    <w:rPr>
                      <w:b/>
                      <w:bCs/>
                      <w:color w:val="000000"/>
                      <w:sz w:val="22"/>
                      <w:szCs w:val="22"/>
                      <w:lang w:val="sr-Latn-CS"/>
                    </w:rPr>
                    <w:t xml:space="preserve"> AJP01</w:t>
                  </w:r>
                </w:p>
              </w:tc>
              <w:tc>
                <w:tcPr>
                  <w:tcW w:w="6122" w:type="dxa"/>
                </w:tcPr>
                <w:p w:rsidR="000A2337" w:rsidRPr="00DF071B" w:rsidRDefault="000A2337" w:rsidP="00161AB3">
                  <w:pPr>
                    <w:rPr>
                      <w:sz w:val="22"/>
                      <w:szCs w:val="22"/>
                      <w:lang w:val="sr-Latn-CS"/>
                    </w:rPr>
                  </w:pPr>
                </w:p>
              </w:tc>
            </w:tr>
            <w:tr w:rsidR="000A2337" w:rsidRPr="00DF071B" w:rsidTr="00161AB3">
              <w:trPr>
                <w:jc w:val="center"/>
              </w:trPr>
              <w:tc>
                <w:tcPr>
                  <w:tcW w:w="2943" w:type="dxa"/>
                </w:tcPr>
                <w:p w:rsidR="000A2337" w:rsidRPr="00DF071B" w:rsidRDefault="000A2337" w:rsidP="00161AB3">
                  <w:pPr>
                    <w:rPr>
                      <w:b/>
                      <w:bCs/>
                      <w:color w:val="000000"/>
                      <w:sz w:val="22"/>
                      <w:szCs w:val="22"/>
                      <w:lang w:val="sr-Latn-CS"/>
                    </w:rPr>
                  </w:pPr>
                  <w:r w:rsidRPr="00DF071B">
                    <w:rPr>
                      <w:color w:val="000000"/>
                      <w:sz w:val="22"/>
                      <w:szCs w:val="22"/>
                      <w:lang w:val="sr-Latn-CS"/>
                    </w:rPr>
                    <w:t>Indukcijska terapija</w:t>
                  </w:r>
                </w:p>
              </w:tc>
              <w:tc>
                <w:tcPr>
                  <w:tcW w:w="6122" w:type="dxa"/>
                </w:tcPr>
                <w:p w:rsidR="000A2337" w:rsidRPr="00DF071B" w:rsidRDefault="000A2337" w:rsidP="00161AB3">
                  <w:pPr>
                    <w:rPr>
                      <w:sz w:val="22"/>
                      <w:szCs w:val="22"/>
                      <w:lang w:val="sr-Latn-CS"/>
                    </w:rPr>
                  </w:pPr>
                  <w:r w:rsidRPr="00DF071B">
                    <w:rPr>
                      <w:sz w:val="22"/>
                      <w:szCs w:val="22"/>
                      <w:lang w:val="sr-Latn-CS"/>
                    </w:rPr>
                    <w:t>CP 1.2 g/m</w:t>
                  </w:r>
                  <w:r w:rsidRPr="00DF071B">
                    <w:rPr>
                      <w:sz w:val="22"/>
                      <w:szCs w:val="22"/>
                      <w:vertAlign w:val="superscript"/>
                      <w:lang w:val="sr-Latn-CS"/>
                    </w:rPr>
                    <w:t>2</w:t>
                  </w:r>
                  <w:r w:rsidRPr="00DF071B">
                    <w:rPr>
                      <w:sz w:val="22"/>
                      <w:szCs w:val="22"/>
                      <w:lang w:val="sr-Latn-CS"/>
                    </w:rPr>
                    <w:t xml:space="preserve"> i.v. (3 h), dan 1; daunorubicin 60 mg/m</w:t>
                  </w:r>
                  <w:r w:rsidRPr="00DF071B">
                    <w:rPr>
                      <w:sz w:val="22"/>
                      <w:szCs w:val="22"/>
                      <w:vertAlign w:val="superscript"/>
                      <w:lang w:val="sr-Latn-CS"/>
                    </w:rPr>
                    <w:t>2</w:t>
                  </w:r>
                  <w:r w:rsidRPr="00DF071B">
                    <w:rPr>
                      <w:sz w:val="22"/>
                      <w:szCs w:val="22"/>
                      <w:lang w:val="sr-Latn-CS"/>
                    </w:rPr>
                    <w:t xml:space="preserve"> i.v. (1 h), dana 1-3; vinkristin 1,3 mg/m</w:t>
                  </w:r>
                  <w:r w:rsidRPr="00DF071B">
                    <w:rPr>
                      <w:sz w:val="22"/>
                      <w:szCs w:val="22"/>
                      <w:vertAlign w:val="superscript"/>
                      <w:lang w:val="sr-Latn-CS"/>
                    </w:rPr>
                    <w:t>2</w:t>
                  </w:r>
                  <w:r w:rsidRPr="00DF071B">
                    <w:rPr>
                      <w:sz w:val="22"/>
                      <w:szCs w:val="22"/>
                      <w:lang w:val="sr-Latn-CS"/>
                    </w:rPr>
                    <w:t xml:space="preserve"> i.v., dana 1, 8, 15, 21; prednizolon 60 g/m</w:t>
                  </w:r>
                  <w:r w:rsidRPr="00DF071B">
                    <w:rPr>
                      <w:sz w:val="22"/>
                      <w:szCs w:val="22"/>
                      <w:vertAlign w:val="superscript"/>
                      <w:lang w:val="sr-Latn-CS"/>
                    </w:rPr>
                    <w:t>2</w:t>
                  </w:r>
                  <w:r w:rsidRPr="00DF071B">
                    <w:rPr>
                      <w:sz w:val="22"/>
                      <w:szCs w:val="22"/>
                      <w:lang w:val="sr-Latn-CS"/>
                    </w:rPr>
                    <w:t>/dan oralno</w:t>
                  </w:r>
                </w:p>
              </w:tc>
            </w:tr>
            <w:tr w:rsidR="000A2337" w:rsidRPr="00DF071B" w:rsidTr="00161AB3">
              <w:trPr>
                <w:jc w:val="center"/>
              </w:trPr>
              <w:tc>
                <w:tcPr>
                  <w:tcW w:w="2943" w:type="dxa"/>
                </w:tcPr>
                <w:p w:rsidR="000A2337" w:rsidRPr="00DF071B" w:rsidRDefault="000A2337" w:rsidP="00161AB3">
                  <w:pPr>
                    <w:rPr>
                      <w:sz w:val="22"/>
                      <w:szCs w:val="22"/>
                      <w:lang w:val="sr-Latn-CS"/>
                    </w:rPr>
                  </w:pPr>
                  <w:r w:rsidRPr="00DF071B">
                    <w:rPr>
                      <w:color w:val="000000"/>
                      <w:sz w:val="22"/>
                      <w:szCs w:val="22"/>
                      <w:lang w:val="sr-Latn-CS"/>
                    </w:rPr>
                    <w:t>Terapija konsolidacije</w:t>
                  </w:r>
                </w:p>
              </w:tc>
              <w:tc>
                <w:tcPr>
                  <w:tcW w:w="6122" w:type="dxa"/>
                </w:tcPr>
                <w:p w:rsidR="000A2337" w:rsidRPr="00DF071B" w:rsidRDefault="000A2337" w:rsidP="00161AB3">
                  <w:pPr>
                    <w:rPr>
                      <w:sz w:val="22"/>
                      <w:szCs w:val="22"/>
                      <w:lang w:val="sr-Latn-CS"/>
                    </w:rPr>
                  </w:pPr>
                  <w:r w:rsidRPr="00DF071B">
                    <w:rPr>
                      <w:sz w:val="22"/>
                      <w:szCs w:val="22"/>
                      <w:lang w:val="sr-Latn-CS"/>
                    </w:rPr>
                    <w:t xml:space="preserve">Alternišuće kure hemioterapije: visoka doza hemioterapije pomoću </w:t>
                  </w:r>
                  <w:smartTag w:uri="urn:schemas-microsoft-com:office:smarttags" w:element="stockticker">
                    <w:r w:rsidRPr="00DF071B">
                      <w:rPr>
                        <w:sz w:val="22"/>
                        <w:szCs w:val="22"/>
                        <w:lang w:val="sr-Latn-CS"/>
                      </w:rPr>
                      <w:t>MTX</w:t>
                    </w:r>
                  </w:smartTag>
                  <w:r w:rsidRPr="00DF071B">
                    <w:rPr>
                      <w:sz w:val="22"/>
                      <w:szCs w:val="22"/>
                      <w:lang w:val="sr-Latn-CS"/>
                    </w:rPr>
                    <w:t xml:space="preserve"> 1 g/m</w:t>
                  </w:r>
                  <w:r w:rsidRPr="00DF071B">
                    <w:rPr>
                      <w:sz w:val="22"/>
                      <w:szCs w:val="22"/>
                      <w:vertAlign w:val="superscript"/>
                      <w:lang w:val="sr-Latn-CS"/>
                    </w:rPr>
                    <w:t>2</w:t>
                  </w:r>
                  <w:r w:rsidRPr="00DF071B">
                    <w:rPr>
                      <w:sz w:val="22"/>
                      <w:szCs w:val="22"/>
                      <w:lang w:val="sr-Latn-CS"/>
                    </w:rPr>
                    <w:t xml:space="preserve"> i.v. (24 h), dan 1 i Ara-C 2 g/m</w:t>
                  </w:r>
                  <w:r w:rsidRPr="00DF071B">
                    <w:rPr>
                      <w:sz w:val="22"/>
                      <w:szCs w:val="22"/>
                      <w:vertAlign w:val="superscript"/>
                      <w:lang w:val="sr-Latn-CS"/>
                    </w:rPr>
                    <w:t>2</w:t>
                  </w:r>
                  <w:r>
                    <w:rPr>
                      <w:sz w:val="22"/>
                      <w:szCs w:val="22"/>
                      <w:lang w:val="sr-Latn-CS"/>
                    </w:rPr>
                    <w:t xml:space="preserve"> i.v. (svakih</w:t>
                  </w:r>
                  <w:r w:rsidRPr="00DF071B">
                    <w:rPr>
                      <w:sz w:val="22"/>
                      <w:szCs w:val="22"/>
                      <w:lang w:val="sr-Latn-CS"/>
                    </w:rPr>
                    <w:t xml:space="preserve"> 12 h), dana 2-3, tokom 4 ciklusa</w:t>
                  </w:r>
                </w:p>
              </w:tc>
            </w:tr>
            <w:tr w:rsidR="000A2337" w:rsidRPr="00DF071B" w:rsidTr="00161AB3">
              <w:trPr>
                <w:jc w:val="center"/>
              </w:trPr>
              <w:tc>
                <w:tcPr>
                  <w:tcW w:w="2943" w:type="dxa"/>
                </w:tcPr>
                <w:p w:rsidR="000A2337" w:rsidRPr="00DF071B" w:rsidRDefault="000A2337" w:rsidP="00161AB3">
                  <w:pPr>
                    <w:rPr>
                      <w:sz w:val="22"/>
                      <w:szCs w:val="22"/>
                      <w:lang w:val="sr-Latn-CS"/>
                    </w:rPr>
                  </w:pPr>
                  <w:r w:rsidRPr="00DF071B">
                    <w:rPr>
                      <w:sz w:val="22"/>
                      <w:szCs w:val="22"/>
                      <w:lang w:val="sr-Latn-CS"/>
                    </w:rPr>
                    <w:t>Održavanje</w:t>
                  </w:r>
                </w:p>
              </w:tc>
              <w:tc>
                <w:tcPr>
                  <w:tcW w:w="6122" w:type="dxa"/>
                </w:tcPr>
                <w:p w:rsidR="000A2337" w:rsidRPr="00DF071B" w:rsidRDefault="000A2337" w:rsidP="00161AB3">
                  <w:pPr>
                    <w:rPr>
                      <w:sz w:val="22"/>
                      <w:szCs w:val="22"/>
                      <w:lang w:val="sr-Latn-CS"/>
                    </w:rPr>
                  </w:pPr>
                  <w:r w:rsidRPr="00DF071B">
                    <w:rPr>
                      <w:sz w:val="22"/>
                      <w:szCs w:val="22"/>
                      <w:lang w:val="sr-Latn-CS"/>
                    </w:rPr>
                    <w:t>VCR 1,3 g/m</w:t>
                  </w:r>
                  <w:r w:rsidRPr="00DF071B">
                    <w:rPr>
                      <w:sz w:val="22"/>
                      <w:szCs w:val="22"/>
                      <w:vertAlign w:val="superscript"/>
                      <w:lang w:val="sr-Latn-CS"/>
                    </w:rPr>
                    <w:t>2</w:t>
                  </w:r>
                  <w:r w:rsidRPr="00DF071B">
                    <w:rPr>
                      <w:sz w:val="22"/>
                      <w:szCs w:val="22"/>
                      <w:lang w:val="sr-Latn-CS"/>
                    </w:rPr>
                    <w:t xml:space="preserve"> i.v., dan 1; prednizolon 60 mg/m</w:t>
                  </w:r>
                  <w:r w:rsidRPr="00DF071B">
                    <w:rPr>
                      <w:sz w:val="22"/>
                      <w:szCs w:val="22"/>
                      <w:vertAlign w:val="superscript"/>
                      <w:lang w:val="sr-Latn-CS"/>
                    </w:rPr>
                    <w:t>2</w:t>
                  </w:r>
                  <w:r w:rsidRPr="00DF071B">
                    <w:rPr>
                      <w:sz w:val="22"/>
                      <w:szCs w:val="22"/>
                      <w:lang w:val="sr-Latn-CS"/>
                    </w:rPr>
                    <w:t xml:space="preserve"> oralno, dana 1-5</w:t>
                  </w:r>
                </w:p>
              </w:tc>
            </w:tr>
            <w:tr w:rsidR="000A2337" w:rsidRPr="00DF071B" w:rsidTr="00161AB3">
              <w:trPr>
                <w:jc w:val="center"/>
              </w:trPr>
              <w:tc>
                <w:tcPr>
                  <w:tcW w:w="2943" w:type="dxa"/>
                </w:tcPr>
                <w:p w:rsidR="000A2337" w:rsidRPr="00DF071B" w:rsidRDefault="000A2337" w:rsidP="00161AB3">
                  <w:pPr>
                    <w:rPr>
                      <w:sz w:val="22"/>
                      <w:szCs w:val="22"/>
                      <w:lang w:val="sr-Latn-CS"/>
                    </w:rPr>
                  </w:pPr>
                  <w:r w:rsidRPr="00DF071B">
                    <w:rPr>
                      <w:b/>
                      <w:bCs/>
                      <w:color w:val="000000"/>
                      <w:sz w:val="22"/>
                      <w:szCs w:val="22"/>
                      <w:lang w:val="sr-Latn-CS"/>
                    </w:rPr>
                    <w:t>Studija AUS01</w:t>
                  </w:r>
                </w:p>
              </w:tc>
              <w:tc>
                <w:tcPr>
                  <w:tcW w:w="6122" w:type="dxa"/>
                </w:tcPr>
                <w:p w:rsidR="000A2337" w:rsidRPr="00DF071B" w:rsidRDefault="000A2337" w:rsidP="00161AB3">
                  <w:pPr>
                    <w:rPr>
                      <w:sz w:val="22"/>
                      <w:szCs w:val="22"/>
                      <w:lang w:val="sr-Latn-CS"/>
                    </w:rPr>
                  </w:pPr>
                </w:p>
              </w:tc>
            </w:tr>
            <w:tr w:rsidR="000A2337" w:rsidRPr="00DF071B" w:rsidTr="00161AB3">
              <w:trPr>
                <w:jc w:val="center"/>
              </w:trPr>
              <w:tc>
                <w:tcPr>
                  <w:tcW w:w="2943" w:type="dxa"/>
                </w:tcPr>
                <w:p w:rsidR="000A2337" w:rsidRPr="00DF071B" w:rsidRDefault="000A2337" w:rsidP="00161AB3">
                  <w:pPr>
                    <w:rPr>
                      <w:b/>
                      <w:bCs/>
                      <w:color w:val="000000"/>
                      <w:sz w:val="22"/>
                      <w:szCs w:val="22"/>
                      <w:lang w:val="sr-Latn-CS"/>
                    </w:rPr>
                  </w:pPr>
                  <w:r w:rsidRPr="00DF071B">
                    <w:rPr>
                      <w:sz w:val="22"/>
                      <w:szCs w:val="22"/>
                      <w:lang w:val="sr-Latn-CS"/>
                    </w:rPr>
                    <w:lastRenderedPageBreak/>
                    <w:t>Indukcijsko-konsolidacijska terapija</w:t>
                  </w:r>
                </w:p>
              </w:tc>
              <w:tc>
                <w:tcPr>
                  <w:tcW w:w="6122" w:type="dxa"/>
                </w:tcPr>
                <w:p w:rsidR="000A2337" w:rsidRPr="00DF071B" w:rsidRDefault="000A2337" w:rsidP="00161AB3">
                  <w:pPr>
                    <w:rPr>
                      <w:sz w:val="22"/>
                      <w:szCs w:val="22"/>
                      <w:lang w:val="sr-Latn-CS"/>
                    </w:rPr>
                  </w:pPr>
                  <w:r w:rsidRPr="00DF071B">
                    <w:rPr>
                      <w:sz w:val="22"/>
                      <w:szCs w:val="22"/>
                      <w:lang w:val="sr-Latn-CS"/>
                    </w:rPr>
                    <w:t xml:space="preserve">Hiper-CVAD </w:t>
                  </w:r>
                  <w:r>
                    <w:rPr>
                      <w:sz w:val="22"/>
                      <w:szCs w:val="22"/>
                      <w:lang w:val="sr-Latn-CS"/>
                    </w:rPr>
                    <w:t>režim: CP 300 mg/m2 i.v. (3 h, svakih</w:t>
                  </w:r>
                  <w:r w:rsidRPr="00DF071B">
                    <w:rPr>
                      <w:sz w:val="22"/>
                      <w:szCs w:val="22"/>
                      <w:lang w:val="sr-Latn-CS"/>
                    </w:rPr>
                    <w:t xml:space="preserve"> 12 h), dana 1-3; vinkristin 2 mg i.v., dana 4, 11; doksorubicin 50 mg/m</w:t>
                  </w:r>
                  <w:r w:rsidRPr="00DF071B">
                    <w:rPr>
                      <w:sz w:val="22"/>
                      <w:szCs w:val="22"/>
                      <w:vertAlign w:val="superscript"/>
                      <w:lang w:val="sr-Latn-CS"/>
                    </w:rPr>
                    <w:t>2</w:t>
                  </w:r>
                  <w:r w:rsidRPr="00DF071B">
                    <w:rPr>
                      <w:sz w:val="22"/>
                      <w:szCs w:val="22"/>
                      <w:lang w:val="sr-Latn-CS"/>
                    </w:rPr>
                    <w:t xml:space="preserve"> i.v. (24 h), dan 4; DEX 40 mg/dan  1-4. dana i 11-14., alternira se sa </w:t>
                  </w:r>
                  <w:smartTag w:uri="urn:schemas-microsoft-com:office:smarttags" w:element="stockticker">
                    <w:r w:rsidRPr="00DF071B">
                      <w:rPr>
                        <w:sz w:val="22"/>
                        <w:szCs w:val="22"/>
                        <w:lang w:val="sr-Latn-CS"/>
                      </w:rPr>
                      <w:t>MTX</w:t>
                    </w:r>
                  </w:smartTag>
                  <w:r w:rsidRPr="00DF071B">
                    <w:rPr>
                      <w:sz w:val="22"/>
                      <w:szCs w:val="22"/>
                      <w:lang w:val="sr-Latn-CS"/>
                    </w:rPr>
                    <w:t xml:space="preserve"> 1 g/m</w:t>
                  </w:r>
                  <w:r w:rsidRPr="00DF071B">
                    <w:rPr>
                      <w:sz w:val="22"/>
                      <w:szCs w:val="22"/>
                      <w:vertAlign w:val="superscript"/>
                      <w:lang w:val="sr-Latn-CS"/>
                    </w:rPr>
                    <w:t>2</w:t>
                  </w:r>
                  <w:r w:rsidRPr="00DF071B">
                    <w:rPr>
                      <w:sz w:val="22"/>
                      <w:szCs w:val="22"/>
                      <w:lang w:val="sr-Latn-CS"/>
                    </w:rPr>
                    <w:t xml:space="preserve"> i.v. (24 h), dan 1, Ara-C 1 g/m</w:t>
                  </w:r>
                  <w:r w:rsidRPr="00DF071B">
                    <w:rPr>
                      <w:sz w:val="22"/>
                      <w:szCs w:val="22"/>
                      <w:vertAlign w:val="superscript"/>
                      <w:lang w:val="sr-Latn-CS"/>
                    </w:rPr>
                    <w:t>2</w:t>
                  </w:r>
                  <w:r w:rsidRPr="00DF071B">
                    <w:rPr>
                      <w:sz w:val="22"/>
                      <w:szCs w:val="22"/>
                      <w:lang w:val="sr-Latn-CS"/>
                    </w:rPr>
                    <w:t xml:space="preserve"> i.v. (2 h, </w:t>
                  </w:r>
                  <w:r>
                    <w:rPr>
                      <w:sz w:val="22"/>
                      <w:szCs w:val="22"/>
                      <w:lang w:val="sr-Latn-CS"/>
                    </w:rPr>
                    <w:t>svakih</w:t>
                  </w:r>
                  <w:r w:rsidRPr="00DF071B">
                    <w:rPr>
                      <w:sz w:val="22"/>
                      <w:szCs w:val="22"/>
                      <w:lang w:val="sr-Latn-CS"/>
                    </w:rPr>
                    <w:t xml:space="preserve"> 12 h), dana 2-3 (ukupno 8 kura)</w:t>
                  </w:r>
                </w:p>
              </w:tc>
            </w:tr>
            <w:tr w:rsidR="000A2337" w:rsidRPr="00DF071B" w:rsidTr="00161AB3">
              <w:trPr>
                <w:jc w:val="center"/>
              </w:trPr>
              <w:tc>
                <w:tcPr>
                  <w:tcW w:w="2943" w:type="dxa"/>
                </w:tcPr>
                <w:p w:rsidR="000A2337" w:rsidRPr="00DF071B" w:rsidRDefault="000A2337" w:rsidP="00161AB3">
                  <w:pPr>
                    <w:rPr>
                      <w:b/>
                      <w:bCs/>
                      <w:color w:val="000000"/>
                      <w:sz w:val="22"/>
                      <w:szCs w:val="22"/>
                      <w:lang w:val="sr-Latn-CS"/>
                    </w:rPr>
                  </w:pPr>
                  <w:r w:rsidRPr="00DF071B">
                    <w:rPr>
                      <w:sz w:val="22"/>
                      <w:szCs w:val="22"/>
                      <w:lang w:val="sr-Latn-CS"/>
                    </w:rPr>
                    <w:t>Održavanje</w:t>
                  </w:r>
                </w:p>
              </w:tc>
              <w:tc>
                <w:tcPr>
                  <w:tcW w:w="6122" w:type="dxa"/>
                </w:tcPr>
                <w:p w:rsidR="000A2337" w:rsidRPr="00DF071B" w:rsidRDefault="000A2337" w:rsidP="00161AB3">
                  <w:pPr>
                    <w:rPr>
                      <w:sz w:val="22"/>
                      <w:szCs w:val="22"/>
                      <w:lang w:val="sr-Latn-CS"/>
                    </w:rPr>
                  </w:pPr>
                  <w:r w:rsidRPr="00DF071B">
                    <w:rPr>
                      <w:sz w:val="22"/>
                      <w:szCs w:val="22"/>
                      <w:lang w:val="sr-Latn-CS"/>
                    </w:rPr>
                    <w:t>VCR 2 mg i.v. m</w:t>
                  </w:r>
                  <w:r>
                    <w:rPr>
                      <w:sz w:val="22"/>
                      <w:szCs w:val="22"/>
                      <w:lang w:val="sr-Latn-CS"/>
                    </w:rPr>
                    <w:t>j</w:t>
                  </w:r>
                  <w:r w:rsidRPr="00DF071B">
                    <w:rPr>
                      <w:sz w:val="22"/>
                      <w:szCs w:val="22"/>
                      <w:lang w:val="sr-Latn-CS"/>
                    </w:rPr>
                    <w:t xml:space="preserve">esečno tokom 13 </w:t>
                  </w:r>
                  <w:r>
                    <w:rPr>
                      <w:sz w:val="22"/>
                      <w:szCs w:val="22"/>
                      <w:lang w:val="sr-Latn-CS"/>
                    </w:rPr>
                    <w:t>mjesec</w:t>
                  </w:r>
                  <w:r w:rsidRPr="00DF071B">
                    <w:rPr>
                      <w:sz w:val="22"/>
                      <w:szCs w:val="22"/>
                      <w:lang w:val="sr-Latn-CS"/>
                    </w:rPr>
                    <w:t>i; prednizolon 200 mg oralno, 5 dana m</w:t>
                  </w:r>
                  <w:r>
                    <w:rPr>
                      <w:sz w:val="22"/>
                      <w:szCs w:val="22"/>
                      <w:lang w:val="sr-Latn-CS"/>
                    </w:rPr>
                    <w:t>j</w:t>
                  </w:r>
                  <w:r w:rsidRPr="00DF071B">
                    <w:rPr>
                      <w:sz w:val="22"/>
                      <w:szCs w:val="22"/>
                      <w:lang w:val="sr-Latn-CS"/>
                    </w:rPr>
                    <w:t xml:space="preserve">esečno tokom 13 </w:t>
                  </w:r>
                  <w:r>
                    <w:rPr>
                      <w:sz w:val="22"/>
                      <w:szCs w:val="22"/>
                      <w:lang w:val="sr-Latn-CS"/>
                    </w:rPr>
                    <w:t>mjesec</w:t>
                  </w:r>
                  <w:r w:rsidRPr="00DF071B">
                    <w:rPr>
                      <w:sz w:val="22"/>
                      <w:szCs w:val="22"/>
                      <w:lang w:val="sr-Latn-CS"/>
                    </w:rPr>
                    <w:t>i</w:t>
                  </w:r>
                </w:p>
              </w:tc>
            </w:tr>
            <w:tr w:rsidR="000A2337" w:rsidRPr="00DF071B" w:rsidTr="00161AB3">
              <w:trPr>
                <w:jc w:val="center"/>
              </w:trPr>
              <w:tc>
                <w:tcPr>
                  <w:tcW w:w="9065" w:type="dxa"/>
                  <w:gridSpan w:val="2"/>
                </w:tcPr>
                <w:p w:rsidR="000A2337" w:rsidRPr="00DF071B" w:rsidRDefault="000A2337" w:rsidP="00161AB3">
                  <w:pPr>
                    <w:jc w:val="both"/>
                    <w:rPr>
                      <w:sz w:val="22"/>
                      <w:szCs w:val="22"/>
                      <w:lang w:val="sr-Latn-CS"/>
                    </w:rPr>
                  </w:pPr>
                  <w:r w:rsidRPr="00DF071B">
                    <w:rPr>
                      <w:sz w:val="22"/>
                      <w:szCs w:val="22"/>
                      <w:lang w:val="sr-Latn-CS"/>
                    </w:rPr>
                    <w:t xml:space="preserve">Svi </w:t>
                  </w:r>
                  <w:r>
                    <w:rPr>
                      <w:sz w:val="22"/>
                      <w:szCs w:val="22"/>
                      <w:lang w:val="sr-Latn-CS"/>
                    </w:rPr>
                    <w:t>terapijski režimi</w:t>
                  </w:r>
                  <w:r w:rsidRPr="00DF071B">
                    <w:rPr>
                      <w:sz w:val="22"/>
                      <w:szCs w:val="22"/>
                      <w:lang w:val="sr-Latn-CS"/>
                    </w:rPr>
                    <w:t xml:space="preserve"> uključuju davanje steroida za CNS profilaksu.</w:t>
                  </w:r>
                </w:p>
              </w:tc>
            </w:tr>
            <w:tr w:rsidR="000A2337" w:rsidRPr="00DF071B" w:rsidTr="00161AB3">
              <w:trPr>
                <w:jc w:val="center"/>
              </w:trPr>
              <w:tc>
                <w:tcPr>
                  <w:tcW w:w="9065" w:type="dxa"/>
                  <w:gridSpan w:val="2"/>
                </w:tcPr>
                <w:p w:rsidR="000A2337" w:rsidRPr="00DF071B" w:rsidRDefault="000A2337" w:rsidP="00161AB3">
                  <w:pPr>
                    <w:jc w:val="both"/>
                    <w:rPr>
                      <w:sz w:val="22"/>
                      <w:szCs w:val="22"/>
                      <w:lang w:val="sr-Latn-CS"/>
                    </w:rPr>
                  </w:pPr>
                  <w:r w:rsidRPr="00DF071B">
                    <w:rPr>
                      <w:sz w:val="22"/>
                      <w:szCs w:val="22"/>
                      <w:lang w:val="sr-Latn-CS"/>
                    </w:rPr>
                    <w:t xml:space="preserve">Ara-C: citozin arabinozid; CP: ciklofosfamid; DEX: deksametazon; </w:t>
                  </w:r>
                  <w:smartTag w:uri="urn:schemas-microsoft-com:office:smarttags" w:element="stockticker">
                    <w:r w:rsidRPr="00DF071B">
                      <w:rPr>
                        <w:sz w:val="22"/>
                        <w:szCs w:val="22"/>
                        <w:lang w:val="sr-Latn-CS"/>
                      </w:rPr>
                      <w:t>MTX</w:t>
                    </w:r>
                  </w:smartTag>
                  <w:r w:rsidRPr="00DF071B">
                    <w:rPr>
                      <w:sz w:val="22"/>
                      <w:szCs w:val="22"/>
                      <w:lang w:val="sr-Latn-CS"/>
                    </w:rPr>
                    <w:t>: metotreksat;</w:t>
                  </w:r>
                </w:p>
                <w:p w:rsidR="000A2337" w:rsidRPr="00DF071B" w:rsidRDefault="000A2337" w:rsidP="00161AB3">
                  <w:pPr>
                    <w:jc w:val="both"/>
                    <w:rPr>
                      <w:sz w:val="22"/>
                      <w:szCs w:val="22"/>
                      <w:lang w:val="sr-Latn-CS"/>
                    </w:rPr>
                  </w:pPr>
                  <w:r w:rsidRPr="00DF071B">
                    <w:rPr>
                      <w:sz w:val="22"/>
                      <w:szCs w:val="22"/>
                      <w:lang w:val="sr-Latn-CS"/>
                    </w:rPr>
                    <w:t xml:space="preserve">6-MP: 6-merkaptopurin VM26: tenipozid; VCR: vinkristin; </w:t>
                  </w:r>
                  <w:smartTag w:uri="urn:schemas-microsoft-com:office:smarttags" w:element="stockticker">
                    <w:r w:rsidRPr="00DF071B">
                      <w:rPr>
                        <w:sz w:val="22"/>
                        <w:szCs w:val="22"/>
                        <w:lang w:val="sr-Latn-CS"/>
                      </w:rPr>
                      <w:t>IDA</w:t>
                    </w:r>
                  </w:smartTag>
                  <w:r w:rsidRPr="00DF071B">
                    <w:rPr>
                      <w:sz w:val="22"/>
                      <w:szCs w:val="22"/>
                      <w:lang w:val="sr-Latn-CS"/>
                    </w:rPr>
                    <w:t>: idarubicin; i.v.: intravenski</w:t>
                  </w:r>
                </w:p>
              </w:tc>
            </w:tr>
          </w:tbl>
          <w:p w:rsidR="000A2337" w:rsidRPr="009D18B1" w:rsidRDefault="000A2337" w:rsidP="00161AB3">
            <w:pPr>
              <w:pStyle w:val="Header"/>
              <w:tabs>
                <w:tab w:val="left" w:pos="284"/>
              </w:tabs>
              <w:rPr>
                <w:rFonts w:cs="Arial"/>
                <w:sz w:val="22"/>
                <w:lang w:val="sr-Latn-CS"/>
              </w:rPr>
            </w:pPr>
          </w:p>
          <w:p w:rsidR="000A2337" w:rsidRPr="005E5B70" w:rsidRDefault="000A2337" w:rsidP="00161AB3">
            <w:pPr>
              <w:jc w:val="both"/>
              <w:rPr>
                <w:sz w:val="22"/>
                <w:szCs w:val="22"/>
                <w:lang w:val="sr-Latn-CS"/>
              </w:rPr>
            </w:pPr>
            <w:r w:rsidRPr="005E5B70">
              <w:rPr>
                <w:i/>
                <w:sz w:val="22"/>
                <w:szCs w:val="22"/>
                <w:lang w:val="sr-Latn-CS"/>
              </w:rPr>
              <w:t xml:space="preserve">Pedijatrijski </w:t>
            </w:r>
            <w:r>
              <w:rPr>
                <w:i/>
                <w:sz w:val="22"/>
                <w:szCs w:val="22"/>
                <w:lang w:val="sr-Latn-CS"/>
              </w:rPr>
              <w:t>pacijent</w:t>
            </w:r>
            <w:r w:rsidRPr="005E5B70">
              <w:rPr>
                <w:i/>
                <w:sz w:val="22"/>
                <w:szCs w:val="22"/>
                <w:lang w:val="sr-Latn-CS"/>
              </w:rPr>
              <w:t>i</w:t>
            </w:r>
            <w:r w:rsidRPr="005E5B70">
              <w:rPr>
                <w:sz w:val="22"/>
                <w:szCs w:val="22"/>
                <w:lang w:val="sr-Latn-CS"/>
              </w:rPr>
              <w:t>: U ispitivanju I2301 ukupno 93 djece, adolescenata i mladih odraslih osoba (u</w:t>
            </w:r>
            <w:r>
              <w:rPr>
                <w:sz w:val="22"/>
                <w:szCs w:val="22"/>
                <w:lang w:val="sr-Latn-CS"/>
              </w:rPr>
              <w:t xml:space="preserve">zrasta 1 do </w:t>
            </w:r>
            <w:r w:rsidRPr="005E5B70">
              <w:rPr>
                <w:sz w:val="22"/>
                <w:szCs w:val="22"/>
                <w:lang w:val="sr-Latn-CS"/>
              </w:rPr>
              <w:t>22 godine) s</w:t>
            </w:r>
            <w:r>
              <w:rPr>
                <w:sz w:val="22"/>
                <w:szCs w:val="22"/>
                <w:lang w:val="sr-Latn-CS"/>
              </w:rPr>
              <w:t>a</w:t>
            </w:r>
            <w:r w:rsidRPr="005E5B70">
              <w:rPr>
                <w:sz w:val="22"/>
                <w:szCs w:val="22"/>
                <w:lang w:val="sr-Latn-CS"/>
              </w:rPr>
              <w:t xml:space="preserve"> Ph+ ALL bilo je uključeno u otvoreno, multicentrično, sekvencij</w:t>
            </w:r>
            <w:r>
              <w:rPr>
                <w:sz w:val="22"/>
                <w:szCs w:val="22"/>
                <w:lang w:val="sr-Latn-CS"/>
              </w:rPr>
              <w:t>alno kohortno, nerandomizov</w:t>
            </w:r>
            <w:r w:rsidRPr="005E5B70">
              <w:rPr>
                <w:sz w:val="22"/>
                <w:szCs w:val="22"/>
                <w:lang w:val="sr-Latn-CS"/>
              </w:rPr>
              <w:t>ano ispitivanje faze III u kojem su primali imatinib (340 mg/m</w:t>
            </w:r>
            <w:r w:rsidRPr="005E5B70">
              <w:rPr>
                <w:sz w:val="22"/>
                <w:szCs w:val="22"/>
                <w:vertAlign w:val="superscript"/>
                <w:lang w:val="sr-Latn-CS"/>
              </w:rPr>
              <w:t>2</w:t>
            </w:r>
            <w:r w:rsidRPr="005E5B70">
              <w:rPr>
                <w:sz w:val="22"/>
                <w:szCs w:val="22"/>
                <w:lang w:val="sr-Latn-CS"/>
              </w:rPr>
              <w:t>/dan) u</w:t>
            </w:r>
            <w:r>
              <w:rPr>
                <w:sz w:val="22"/>
                <w:szCs w:val="22"/>
                <w:lang w:val="sr-Latn-CS"/>
              </w:rPr>
              <w:t xml:space="preserve"> </w:t>
            </w:r>
            <w:r w:rsidRPr="005E5B70">
              <w:rPr>
                <w:sz w:val="22"/>
                <w:szCs w:val="22"/>
                <w:lang w:val="sr-Latn-CS"/>
              </w:rPr>
              <w:t>kombinaciji s</w:t>
            </w:r>
            <w:r>
              <w:rPr>
                <w:sz w:val="22"/>
                <w:szCs w:val="22"/>
                <w:lang w:val="sr-Latn-CS"/>
              </w:rPr>
              <w:t>a intenzivnom h</w:t>
            </w:r>
            <w:r w:rsidRPr="005E5B70">
              <w:rPr>
                <w:sz w:val="22"/>
                <w:szCs w:val="22"/>
                <w:lang w:val="sr-Latn-CS"/>
              </w:rPr>
              <w:t>emoterapijom nakon indukcijskog liječenja. Imatinib je povremeno</w:t>
            </w:r>
            <w:r>
              <w:rPr>
                <w:sz w:val="22"/>
                <w:szCs w:val="22"/>
                <w:lang w:val="sr-Latn-CS"/>
              </w:rPr>
              <w:t xml:space="preserve"> </w:t>
            </w:r>
            <w:r w:rsidRPr="005E5B70">
              <w:rPr>
                <w:sz w:val="22"/>
                <w:szCs w:val="22"/>
                <w:lang w:val="sr-Latn-CS"/>
              </w:rPr>
              <w:t>primjenjivan u kohor</w:t>
            </w:r>
            <w:r>
              <w:rPr>
                <w:sz w:val="22"/>
                <w:szCs w:val="22"/>
                <w:lang w:val="sr-Latn-CS"/>
              </w:rPr>
              <w:t>tama 1-5, uz progresivno produž</w:t>
            </w:r>
            <w:r w:rsidRPr="005E5B70">
              <w:rPr>
                <w:sz w:val="22"/>
                <w:szCs w:val="22"/>
                <w:lang w:val="sr-Latn-CS"/>
              </w:rPr>
              <w:t>enje i raniji početak primjene imatiniba od jedne</w:t>
            </w:r>
            <w:r>
              <w:rPr>
                <w:sz w:val="22"/>
                <w:szCs w:val="22"/>
                <w:lang w:val="sr-Latn-CS"/>
              </w:rPr>
              <w:t xml:space="preserve"> </w:t>
            </w:r>
            <w:r w:rsidRPr="005E5B70">
              <w:rPr>
                <w:sz w:val="22"/>
                <w:szCs w:val="22"/>
                <w:lang w:val="sr-Latn-CS"/>
              </w:rPr>
              <w:t>do druge kohorte, pri čemu je kohorta 1 primala najmanji intenzitet, a kohorta 5 najveći intenzitet</w:t>
            </w:r>
            <w:r>
              <w:rPr>
                <w:sz w:val="22"/>
                <w:szCs w:val="22"/>
                <w:lang w:val="sr-Latn-CS"/>
              </w:rPr>
              <w:t xml:space="preserve"> imatiniba (najduž</w:t>
            </w:r>
            <w:r w:rsidRPr="005E5B70">
              <w:rPr>
                <w:sz w:val="22"/>
                <w:szCs w:val="22"/>
                <w:lang w:val="sr-Latn-CS"/>
              </w:rPr>
              <w:t>e trajanje u danima kontinuiranog uzi</w:t>
            </w:r>
            <w:r>
              <w:rPr>
                <w:sz w:val="22"/>
                <w:szCs w:val="22"/>
                <w:lang w:val="sr-Latn-CS"/>
              </w:rPr>
              <w:t>manja dnevne doze imatiniba to</w:t>
            </w:r>
            <w:r w:rsidRPr="005E5B70">
              <w:rPr>
                <w:sz w:val="22"/>
                <w:szCs w:val="22"/>
                <w:lang w:val="sr-Latn-CS"/>
              </w:rPr>
              <w:t>kom prvih</w:t>
            </w:r>
            <w:r>
              <w:rPr>
                <w:sz w:val="22"/>
                <w:szCs w:val="22"/>
                <w:lang w:val="sr-Latn-CS"/>
              </w:rPr>
              <w:t xml:space="preserve"> ciklusa h</w:t>
            </w:r>
            <w:r w:rsidRPr="005E5B70">
              <w:rPr>
                <w:sz w:val="22"/>
                <w:szCs w:val="22"/>
                <w:lang w:val="sr-Latn-CS"/>
              </w:rPr>
              <w:t>emoterapije). Stalna svakodnevna izloženost imatinibu u ranoj fazi liječenja u kombinaciji s</w:t>
            </w:r>
            <w:r>
              <w:rPr>
                <w:sz w:val="22"/>
                <w:szCs w:val="22"/>
                <w:lang w:val="sr-Latn-CS"/>
              </w:rPr>
              <w:t>a hemoterapijom dovela je kod</w:t>
            </w:r>
            <w:r w:rsidRPr="005E5B70">
              <w:rPr>
                <w:sz w:val="22"/>
                <w:szCs w:val="22"/>
                <w:lang w:val="sr-Latn-CS"/>
              </w:rPr>
              <w:t xml:space="preserve"> </w:t>
            </w:r>
            <w:r>
              <w:rPr>
                <w:sz w:val="22"/>
                <w:szCs w:val="22"/>
                <w:lang w:val="sr-Latn-CS"/>
              </w:rPr>
              <w:t>pacijenat</w:t>
            </w:r>
            <w:r w:rsidRPr="005E5B70">
              <w:rPr>
                <w:sz w:val="22"/>
                <w:szCs w:val="22"/>
                <w:lang w:val="sr-Latn-CS"/>
              </w:rPr>
              <w:t>a iz kohorte 5 (n=50) do poboljšanja stope 4-godišnjeg</w:t>
            </w:r>
            <w:r>
              <w:rPr>
                <w:sz w:val="22"/>
                <w:szCs w:val="22"/>
                <w:lang w:val="sr-Latn-CS"/>
              </w:rPr>
              <w:t xml:space="preserve"> </w:t>
            </w:r>
            <w:r w:rsidRPr="005E5B70">
              <w:rPr>
                <w:sz w:val="22"/>
                <w:szCs w:val="22"/>
                <w:lang w:val="sr-Latn-CS"/>
              </w:rPr>
              <w:t xml:space="preserve">preživljavanja bez događaja (EFS) u </w:t>
            </w:r>
            <w:r>
              <w:rPr>
                <w:sz w:val="22"/>
                <w:szCs w:val="22"/>
                <w:lang w:val="sr-Latn-CS"/>
              </w:rPr>
              <w:t>poređenju</w:t>
            </w:r>
            <w:r w:rsidRPr="005E5B70">
              <w:rPr>
                <w:sz w:val="22"/>
                <w:szCs w:val="22"/>
                <w:lang w:val="sr-Latn-CS"/>
              </w:rPr>
              <w:t xml:space="preserve"> s</w:t>
            </w:r>
            <w:r>
              <w:rPr>
                <w:sz w:val="22"/>
                <w:szCs w:val="22"/>
                <w:lang w:val="sr-Latn-CS"/>
              </w:rPr>
              <w:t>a</w:t>
            </w:r>
            <w:r w:rsidRPr="005E5B70">
              <w:rPr>
                <w:sz w:val="22"/>
                <w:szCs w:val="22"/>
                <w:lang w:val="sr-Latn-CS"/>
              </w:rPr>
              <w:t xml:space="preserve"> </w:t>
            </w:r>
            <w:r>
              <w:rPr>
                <w:sz w:val="22"/>
                <w:szCs w:val="22"/>
                <w:lang w:val="sr-Latn-CS"/>
              </w:rPr>
              <w:t>pacijent</w:t>
            </w:r>
            <w:r w:rsidRPr="005E5B70">
              <w:rPr>
                <w:sz w:val="22"/>
                <w:szCs w:val="22"/>
                <w:lang w:val="sr-Latn-CS"/>
              </w:rPr>
              <w:t>ima iz kontrolne kohorte (n=120), koji su</w:t>
            </w:r>
            <w:r>
              <w:rPr>
                <w:sz w:val="22"/>
                <w:szCs w:val="22"/>
                <w:lang w:val="sr-Latn-CS"/>
              </w:rPr>
              <w:t xml:space="preserve"> primali standardnu h</w:t>
            </w:r>
            <w:r w:rsidRPr="005E5B70">
              <w:rPr>
                <w:sz w:val="22"/>
                <w:szCs w:val="22"/>
                <w:lang w:val="sr-Latn-CS"/>
              </w:rPr>
              <w:t>emoterapiju bez imatiniba (69,6% u odnosu na 31,6%). Procijenjeno 4-godišnje</w:t>
            </w:r>
            <w:r>
              <w:rPr>
                <w:sz w:val="22"/>
                <w:szCs w:val="22"/>
                <w:lang w:val="sr-Latn-CS"/>
              </w:rPr>
              <w:t xml:space="preserve"> ukupno preživljavanje kod</w:t>
            </w:r>
            <w:r w:rsidRPr="005E5B70">
              <w:rPr>
                <w:sz w:val="22"/>
                <w:szCs w:val="22"/>
                <w:lang w:val="sr-Latn-CS"/>
              </w:rPr>
              <w:t xml:space="preserve"> </w:t>
            </w:r>
            <w:r>
              <w:rPr>
                <w:sz w:val="22"/>
                <w:szCs w:val="22"/>
                <w:lang w:val="sr-Latn-CS"/>
              </w:rPr>
              <w:t>pacijenat</w:t>
            </w:r>
            <w:r w:rsidRPr="005E5B70">
              <w:rPr>
                <w:sz w:val="22"/>
                <w:szCs w:val="22"/>
                <w:lang w:val="sr-Latn-CS"/>
              </w:rPr>
              <w:t xml:space="preserve">a u kohorti 5 bilo je 83,6% u </w:t>
            </w:r>
            <w:r>
              <w:rPr>
                <w:sz w:val="22"/>
                <w:szCs w:val="22"/>
                <w:lang w:val="sr-Latn-CS"/>
              </w:rPr>
              <w:t xml:space="preserve">poređenju </w:t>
            </w:r>
            <w:r w:rsidRPr="005E5B70">
              <w:rPr>
                <w:sz w:val="22"/>
                <w:szCs w:val="22"/>
                <w:lang w:val="sr-Latn-CS"/>
              </w:rPr>
              <w:t>s</w:t>
            </w:r>
            <w:r>
              <w:rPr>
                <w:sz w:val="22"/>
                <w:szCs w:val="22"/>
                <w:lang w:val="sr-Latn-CS"/>
              </w:rPr>
              <w:t>a</w:t>
            </w:r>
            <w:r w:rsidRPr="005E5B70">
              <w:rPr>
                <w:sz w:val="22"/>
                <w:szCs w:val="22"/>
                <w:lang w:val="sr-Latn-CS"/>
              </w:rPr>
              <w:t xml:space="preserve"> 44,8% u kontrolnoj kohorti.</w:t>
            </w:r>
          </w:p>
          <w:p w:rsidR="000A2337" w:rsidRDefault="000A2337" w:rsidP="00161AB3">
            <w:pPr>
              <w:rPr>
                <w:sz w:val="22"/>
                <w:szCs w:val="22"/>
                <w:lang w:val="sr-Latn-CS"/>
              </w:rPr>
            </w:pPr>
            <w:r w:rsidRPr="005E5B70">
              <w:rPr>
                <w:sz w:val="22"/>
                <w:szCs w:val="22"/>
                <w:lang w:val="sr-Latn-CS"/>
              </w:rPr>
              <w:t xml:space="preserve">Od 50 </w:t>
            </w:r>
            <w:r>
              <w:rPr>
                <w:sz w:val="22"/>
                <w:szCs w:val="22"/>
                <w:lang w:val="sr-Latn-CS"/>
              </w:rPr>
              <w:t>pacijenat</w:t>
            </w:r>
            <w:r w:rsidRPr="005E5B70">
              <w:rPr>
                <w:sz w:val="22"/>
                <w:szCs w:val="22"/>
                <w:lang w:val="sr-Latn-CS"/>
              </w:rPr>
              <w:t xml:space="preserve">a u kohorti 5, 20 (40%) ih je primilo transplantirane hematopoetske matične </w:t>
            </w:r>
            <w:r>
              <w:rPr>
                <w:sz w:val="22"/>
                <w:szCs w:val="22"/>
                <w:lang w:val="sr-Latn-CS"/>
              </w:rPr>
              <w:t>ćelij</w:t>
            </w:r>
            <w:r w:rsidRPr="005E5B70">
              <w:rPr>
                <w:sz w:val="22"/>
                <w:szCs w:val="22"/>
                <w:lang w:val="sr-Latn-CS"/>
              </w:rPr>
              <w:t>e.</w:t>
            </w:r>
          </w:p>
          <w:p w:rsidR="000A2337" w:rsidRDefault="000A2337" w:rsidP="00161AB3">
            <w:pPr>
              <w:rPr>
                <w:sz w:val="22"/>
                <w:szCs w:val="22"/>
                <w:lang w:val="sr-Latn-CS"/>
              </w:rPr>
            </w:pPr>
          </w:p>
          <w:p w:rsidR="000A2337" w:rsidRPr="007044F6" w:rsidRDefault="000A2337" w:rsidP="00161AB3">
            <w:pPr>
              <w:rPr>
                <w:b/>
                <w:bCs/>
                <w:sz w:val="22"/>
                <w:szCs w:val="22"/>
              </w:rPr>
            </w:pPr>
            <w:r w:rsidRPr="007044F6">
              <w:rPr>
                <w:b/>
                <w:bCs/>
                <w:sz w:val="22"/>
                <w:szCs w:val="22"/>
              </w:rPr>
              <w:t>Tabela 4 Režim hemoterapije primijenjen u kombinaciji sa imatinibom u ispitivanju I2301</w:t>
            </w:r>
          </w:p>
          <w:p w:rsidR="000A2337" w:rsidRDefault="000A2337" w:rsidP="00161AB3">
            <w:pPr>
              <w:rPr>
                <w:rFonts w:ascii="TimesNewRomanPS-BoldMT" w:hAnsi="TimesNewRomanPS-BoldMT" w:cs="TimesNewRomanPS-BoldMT"/>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7200"/>
            </w:tblGrid>
            <w:tr w:rsidR="000A2337" w:rsidRPr="007F411F" w:rsidTr="00161AB3">
              <w:tc>
                <w:tcPr>
                  <w:tcW w:w="2245"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Konsolidacijska</w:t>
                  </w:r>
                </w:p>
                <w:p w:rsidR="000A2337" w:rsidRPr="007044F6" w:rsidRDefault="000A2337" w:rsidP="00161AB3">
                  <w:pPr>
                    <w:autoSpaceDE w:val="0"/>
                    <w:autoSpaceDN w:val="0"/>
                    <w:adjustRightInd w:val="0"/>
                    <w:rPr>
                      <w:sz w:val="22"/>
                      <w:szCs w:val="22"/>
                    </w:rPr>
                  </w:pPr>
                  <w:r w:rsidRPr="007044F6">
                    <w:rPr>
                      <w:sz w:val="22"/>
                      <w:szCs w:val="22"/>
                    </w:rPr>
                    <w:t>terapija 1 (3 nedjelje)</w:t>
                  </w:r>
                </w:p>
              </w:tc>
              <w:tc>
                <w:tcPr>
                  <w:tcW w:w="7200"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VP-16 (100 mg/m</w:t>
                  </w:r>
                  <w:r w:rsidRPr="007044F6">
                    <w:rPr>
                      <w:sz w:val="22"/>
                      <w:szCs w:val="22"/>
                      <w:vertAlign w:val="superscript"/>
                    </w:rPr>
                    <w:t>2</w:t>
                  </w:r>
                  <w:r w:rsidRPr="007044F6">
                    <w:rPr>
                      <w:sz w:val="22"/>
                      <w:szCs w:val="22"/>
                    </w:rPr>
                    <w:t>/dan, i.v.): dani 1-5</w:t>
                  </w:r>
                </w:p>
                <w:p w:rsidR="000A2337" w:rsidRPr="007044F6" w:rsidRDefault="000A2337" w:rsidP="00161AB3">
                  <w:pPr>
                    <w:autoSpaceDE w:val="0"/>
                    <w:autoSpaceDN w:val="0"/>
                    <w:adjustRightInd w:val="0"/>
                    <w:rPr>
                      <w:sz w:val="22"/>
                      <w:szCs w:val="22"/>
                    </w:rPr>
                  </w:pPr>
                  <w:r w:rsidRPr="007044F6">
                    <w:rPr>
                      <w:sz w:val="22"/>
                      <w:szCs w:val="22"/>
                    </w:rPr>
                    <w:t>Ifosfamid (1,8 g/m</w:t>
                  </w:r>
                  <w:r w:rsidRPr="007044F6">
                    <w:rPr>
                      <w:sz w:val="22"/>
                      <w:szCs w:val="22"/>
                      <w:vertAlign w:val="superscript"/>
                    </w:rPr>
                    <w:t>2</w:t>
                  </w:r>
                  <w:r w:rsidRPr="007044F6">
                    <w:rPr>
                      <w:sz w:val="22"/>
                      <w:szCs w:val="22"/>
                    </w:rPr>
                    <w:t>/dan, i.v.): dani 1-5</w:t>
                  </w:r>
                </w:p>
                <w:p w:rsidR="000A2337" w:rsidRPr="007044F6" w:rsidRDefault="000A2337" w:rsidP="00161AB3">
                  <w:pPr>
                    <w:autoSpaceDE w:val="0"/>
                    <w:autoSpaceDN w:val="0"/>
                    <w:adjustRightInd w:val="0"/>
                    <w:rPr>
                      <w:sz w:val="22"/>
                      <w:szCs w:val="22"/>
                    </w:rPr>
                  </w:pPr>
                  <w:r w:rsidRPr="007044F6">
                    <w:rPr>
                      <w:sz w:val="22"/>
                      <w:szCs w:val="22"/>
                    </w:rPr>
                    <w:t>MESNA (360 mg/m</w:t>
                  </w:r>
                  <w:r w:rsidRPr="007044F6">
                    <w:rPr>
                      <w:sz w:val="22"/>
                      <w:szCs w:val="22"/>
                      <w:vertAlign w:val="superscript"/>
                    </w:rPr>
                    <w:t>2</w:t>
                  </w:r>
                  <w:r w:rsidRPr="007044F6">
                    <w:rPr>
                      <w:sz w:val="22"/>
                      <w:szCs w:val="22"/>
                    </w:rPr>
                    <w:t>/doza svaka 3 sata x 8 doza/dan, i.v.): dani 1-5</w:t>
                  </w:r>
                </w:p>
                <w:p w:rsidR="000A2337" w:rsidRPr="007044F6" w:rsidRDefault="000A2337" w:rsidP="00161AB3">
                  <w:pPr>
                    <w:autoSpaceDE w:val="0"/>
                    <w:autoSpaceDN w:val="0"/>
                    <w:adjustRightInd w:val="0"/>
                    <w:rPr>
                      <w:sz w:val="22"/>
                      <w:szCs w:val="22"/>
                    </w:rPr>
                  </w:pPr>
                  <w:r w:rsidRPr="007044F6">
                    <w:rPr>
                      <w:sz w:val="22"/>
                      <w:szCs w:val="22"/>
                    </w:rPr>
                    <w:t>G-CSF (5 μg/kg, s.c.): dani 6-15 ili do porasta ANC &gt;1500 nakon najniže izmjerene vrijednosti</w:t>
                  </w:r>
                </w:p>
                <w:p w:rsidR="000A2337" w:rsidRPr="007044F6" w:rsidRDefault="000A2337" w:rsidP="00161AB3">
                  <w:pPr>
                    <w:autoSpaceDE w:val="0"/>
                    <w:autoSpaceDN w:val="0"/>
                    <w:adjustRightInd w:val="0"/>
                    <w:rPr>
                      <w:sz w:val="22"/>
                      <w:szCs w:val="22"/>
                    </w:rPr>
                  </w:pPr>
                  <w:r>
                    <w:rPr>
                      <w:sz w:val="22"/>
                      <w:szCs w:val="22"/>
                    </w:rPr>
                    <w:t>IT</w:t>
                  </w:r>
                  <w:r w:rsidRPr="007044F6">
                    <w:rPr>
                      <w:sz w:val="22"/>
                      <w:szCs w:val="22"/>
                    </w:rPr>
                    <w:t xml:space="preserve"> metotreksat (prilagođeno uzrastu): SAMO dan 1</w:t>
                  </w:r>
                </w:p>
                <w:p w:rsidR="000A2337" w:rsidRPr="007044F6" w:rsidRDefault="000A2337" w:rsidP="00161AB3">
                  <w:pPr>
                    <w:rPr>
                      <w:sz w:val="22"/>
                      <w:szCs w:val="22"/>
                      <w:lang w:val="sr-Latn-CS"/>
                    </w:rPr>
                  </w:pPr>
                  <w:r w:rsidRPr="007044F6">
                    <w:rPr>
                      <w:sz w:val="22"/>
                      <w:szCs w:val="22"/>
                    </w:rPr>
                    <w:t xml:space="preserve">Trostruka </w:t>
                  </w:r>
                  <w:r>
                    <w:rPr>
                      <w:sz w:val="22"/>
                      <w:szCs w:val="22"/>
                    </w:rPr>
                    <w:t>i.t.</w:t>
                  </w:r>
                  <w:r w:rsidRPr="007044F6">
                    <w:rPr>
                      <w:sz w:val="22"/>
                      <w:szCs w:val="22"/>
                    </w:rPr>
                    <w:t xml:space="preserve"> terapija (prilagođena uzrastu): dan 8, 15</w:t>
                  </w:r>
                </w:p>
              </w:tc>
            </w:tr>
            <w:tr w:rsidR="000A2337" w:rsidRPr="007F411F" w:rsidTr="00161AB3">
              <w:tc>
                <w:tcPr>
                  <w:tcW w:w="2245"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Konsolidacijska</w:t>
                  </w:r>
                </w:p>
                <w:p w:rsidR="000A2337" w:rsidRPr="00585B76" w:rsidRDefault="000A2337" w:rsidP="00161AB3">
                  <w:pPr>
                    <w:rPr>
                      <w:sz w:val="22"/>
                      <w:szCs w:val="22"/>
                      <w:lang w:val="sr-Latn-CS"/>
                    </w:rPr>
                  </w:pPr>
                  <w:r w:rsidRPr="007044F6">
                    <w:rPr>
                      <w:sz w:val="22"/>
                      <w:szCs w:val="22"/>
                    </w:rPr>
                    <w:t>terapija 2 (3 nedjelje)</w:t>
                  </w:r>
                </w:p>
              </w:tc>
              <w:tc>
                <w:tcPr>
                  <w:tcW w:w="7200"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Metotreksat (5 g/m</w:t>
                  </w:r>
                  <w:r w:rsidRPr="007044F6">
                    <w:rPr>
                      <w:sz w:val="22"/>
                      <w:szCs w:val="22"/>
                      <w:vertAlign w:val="superscript"/>
                    </w:rPr>
                    <w:t xml:space="preserve">2 </w:t>
                  </w:r>
                  <w:r w:rsidRPr="007044F6">
                    <w:rPr>
                      <w:sz w:val="22"/>
                      <w:szCs w:val="22"/>
                    </w:rPr>
                    <w:t>kroz 24 sata, i.v.): dan 1</w:t>
                  </w:r>
                </w:p>
                <w:p w:rsidR="000A2337" w:rsidRPr="007044F6" w:rsidRDefault="000A2337" w:rsidP="00161AB3">
                  <w:pPr>
                    <w:autoSpaceDE w:val="0"/>
                    <w:autoSpaceDN w:val="0"/>
                    <w:adjustRightInd w:val="0"/>
                    <w:rPr>
                      <w:sz w:val="22"/>
                      <w:szCs w:val="22"/>
                    </w:rPr>
                  </w:pPr>
                  <w:r w:rsidRPr="007044F6">
                    <w:rPr>
                      <w:sz w:val="22"/>
                      <w:szCs w:val="22"/>
                    </w:rPr>
                    <w:t>Leucovorin (75 mg/m</w:t>
                  </w:r>
                  <w:r w:rsidRPr="007044F6">
                    <w:rPr>
                      <w:sz w:val="22"/>
                      <w:szCs w:val="22"/>
                      <w:vertAlign w:val="superscript"/>
                    </w:rPr>
                    <w:t>2</w:t>
                  </w:r>
                  <w:r w:rsidRPr="007044F6">
                    <w:rPr>
                      <w:sz w:val="22"/>
                      <w:szCs w:val="22"/>
                    </w:rPr>
                    <w:t xml:space="preserve"> u 36. satu, i.v.; 15 mg/m</w:t>
                  </w:r>
                  <w:r w:rsidRPr="007044F6">
                    <w:rPr>
                      <w:sz w:val="22"/>
                      <w:szCs w:val="22"/>
                      <w:vertAlign w:val="superscript"/>
                    </w:rPr>
                    <w:t>2</w:t>
                  </w:r>
                  <w:r w:rsidRPr="007044F6">
                    <w:rPr>
                      <w:sz w:val="22"/>
                      <w:szCs w:val="22"/>
                    </w:rPr>
                    <w:t xml:space="preserve"> i.v. ili p.o. svakih 6 sati x</w:t>
                  </w:r>
                </w:p>
                <w:p w:rsidR="000A2337" w:rsidRDefault="000A2337" w:rsidP="00161AB3">
                  <w:pPr>
                    <w:autoSpaceDE w:val="0"/>
                    <w:autoSpaceDN w:val="0"/>
                    <w:adjustRightInd w:val="0"/>
                    <w:rPr>
                      <w:sz w:val="22"/>
                      <w:szCs w:val="22"/>
                    </w:rPr>
                  </w:pPr>
                  <w:r w:rsidRPr="007044F6">
                    <w:rPr>
                      <w:sz w:val="22"/>
                      <w:szCs w:val="22"/>
                    </w:rPr>
                    <w:t xml:space="preserve">6 doza)iii: </w:t>
                  </w:r>
                </w:p>
                <w:p w:rsidR="000A2337" w:rsidRPr="007044F6" w:rsidRDefault="000A2337" w:rsidP="00161AB3">
                  <w:pPr>
                    <w:autoSpaceDE w:val="0"/>
                    <w:autoSpaceDN w:val="0"/>
                    <w:adjustRightInd w:val="0"/>
                    <w:rPr>
                      <w:sz w:val="22"/>
                      <w:szCs w:val="22"/>
                    </w:rPr>
                  </w:pPr>
                  <w:r w:rsidRPr="007044F6">
                    <w:rPr>
                      <w:sz w:val="22"/>
                      <w:szCs w:val="22"/>
                    </w:rPr>
                    <w:t>Dani 2 i 3</w:t>
                  </w:r>
                </w:p>
                <w:p w:rsidR="000A2337" w:rsidRPr="007044F6" w:rsidRDefault="000A2337" w:rsidP="00161AB3">
                  <w:pPr>
                    <w:autoSpaceDE w:val="0"/>
                    <w:autoSpaceDN w:val="0"/>
                    <w:adjustRightInd w:val="0"/>
                    <w:rPr>
                      <w:sz w:val="22"/>
                      <w:szCs w:val="22"/>
                    </w:rPr>
                  </w:pPr>
                  <w:r w:rsidRPr="007044F6">
                    <w:rPr>
                      <w:sz w:val="22"/>
                      <w:szCs w:val="22"/>
                    </w:rPr>
                    <w:t xml:space="preserve">Trostruka </w:t>
                  </w:r>
                  <w:r>
                    <w:rPr>
                      <w:sz w:val="22"/>
                      <w:szCs w:val="22"/>
                    </w:rPr>
                    <w:t>i.t.</w:t>
                  </w:r>
                  <w:r w:rsidRPr="007044F6">
                    <w:rPr>
                      <w:sz w:val="22"/>
                      <w:szCs w:val="22"/>
                    </w:rPr>
                    <w:t xml:space="preserve"> terapija (prilagođena uzrastu): dan 1</w:t>
                  </w:r>
                </w:p>
                <w:p w:rsidR="000A2337" w:rsidRPr="007044F6" w:rsidRDefault="000A2337" w:rsidP="00161AB3">
                  <w:pPr>
                    <w:autoSpaceDE w:val="0"/>
                    <w:autoSpaceDN w:val="0"/>
                    <w:adjustRightInd w:val="0"/>
                    <w:rPr>
                      <w:sz w:val="22"/>
                      <w:szCs w:val="22"/>
                    </w:rPr>
                  </w:pPr>
                  <w:r w:rsidRPr="007044F6">
                    <w:rPr>
                      <w:sz w:val="22"/>
                      <w:szCs w:val="22"/>
                    </w:rPr>
                    <w:t>ARA-C (3 g/m</w:t>
                  </w:r>
                  <w:r w:rsidRPr="007044F6">
                    <w:rPr>
                      <w:sz w:val="22"/>
                      <w:szCs w:val="22"/>
                      <w:vertAlign w:val="superscript"/>
                    </w:rPr>
                    <w:t>2</w:t>
                  </w:r>
                  <w:r w:rsidRPr="007044F6">
                    <w:rPr>
                      <w:sz w:val="22"/>
                      <w:szCs w:val="22"/>
                    </w:rPr>
                    <w:t>/doza svakih 12 sati x 4, i.v.): dani 2 i 3</w:t>
                  </w:r>
                </w:p>
                <w:p w:rsidR="000A2337" w:rsidRPr="007044F6" w:rsidRDefault="000A2337" w:rsidP="00161AB3">
                  <w:pPr>
                    <w:autoSpaceDE w:val="0"/>
                    <w:autoSpaceDN w:val="0"/>
                    <w:adjustRightInd w:val="0"/>
                    <w:rPr>
                      <w:sz w:val="22"/>
                      <w:szCs w:val="22"/>
                    </w:rPr>
                  </w:pPr>
                  <w:r w:rsidRPr="007044F6">
                    <w:rPr>
                      <w:sz w:val="22"/>
                      <w:szCs w:val="22"/>
                    </w:rPr>
                    <w:t>G-CSF (5 μg/kg, s.c.): dani 4-13 ili do porasta ANC &gt;1500 nakon najniže</w:t>
                  </w:r>
                </w:p>
                <w:p w:rsidR="000A2337" w:rsidRPr="00585B76" w:rsidRDefault="000A2337" w:rsidP="00161AB3">
                  <w:pPr>
                    <w:rPr>
                      <w:sz w:val="22"/>
                      <w:szCs w:val="22"/>
                      <w:lang w:val="sr-Latn-CS"/>
                    </w:rPr>
                  </w:pPr>
                  <w:r w:rsidRPr="007044F6">
                    <w:rPr>
                      <w:sz w:val="22"/>
                      <w:szCs w:val="22"/>
                    </w:rPr>
                    <w:t>izmjerene vrijednosti</w:t>
                  </w:r>
                </w:p>
              </w:tc>
            </w:tr>
            <w:tr w:rsidR="000A2337" w:rsidRPr="007F411F" w:rsidTr="00161AB3">
              <w:tc>
                <w:tcPr>
                  <w:tcW w:w="2245"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Reindukcijska terapija 1 (3 nedjelje)</w:t>
                  </w:r>
                </w:p>
              </w:tc>
              <w:tc>
                <w:tcPr>
                  <w:tcW w:w="7200"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VCR (1,5 mg/m</w:t>
                  </w:r>
                  <w:r w:rsidRPr="007044F6">
                    <w:rPr>
                      <w:sz w:val="22"/>
                      <w:szCs w:val="22"/>
                      <w:vertAlign w:val="superscript"/>
                    </w:rPr>
                    <w:t>2</w:t>
                  </w:r>
                  <w:r w:rsidRPr="007044F6">
                    <w:rPr>
                      <w:sz w:val="22"/>
                      <w:szCs w:val="22"/>
                    </w:rPr>
                    <w:t>/dan, i.v.): dani 1, 8, i 15</w:t>
                  </w:r>
                </w:p>
                <w:p w:rsidR="000A2337" w:rsidRPr="007044F6" w:rsidRDefault="000A2337" w:rsidP="00161AB3">
                  <w:pPr>
                    <w:autoSpaceDE w:val="0"/>
                    <w:autoSpaceDN w:val="0"/>
                    <w:adjustRightInd w:val="0"/>
                    <w:rPr>
                      <w:sz w:val="22"/>
                      <w:szCs w:val="22"/>
                    </w:rPr>
                  </w:pPr>
                  <w:r w:rsidRPr="007044F6">
                    <w:rPr>
                      <w:sz w:val="22"/>
                      <w:szCs w:val="22"/>
                    </w:rPr>
                    <w:t>DAUN (45 mg/m</w:t>
                  </w:r>
                  <w:r w:rsidRPr="007044F6">
                    <w:rPr>
                      <w:sz w:val="22"/>
                      <w:szCs w:val="22"/>
                      <w:vertAlign w:val="superscript"/>
                    </w:rPr>
                    <w:t>2</w:t>
                  </w:r>
                  <w:r w:rsidRPr="007044F6">
                    <w:rPr>
                      <w:sz w:val="22"/>
                      <w:szCs w:val="22"/>
                    </w:rPr>
                    <w:t>/dan bolus, i.v.): dani 1 i 2</w:t>
                  </w:r>
                </w:p>
                <w:p w:rsidR="000A2337" w:rsidRPr="007044F6" w:rsidRDefault="000A2337" w:rsidP="00161AB3">
                  <w:pPr>
                    <w:autoSpaceDE w:val="0"/>
                    <w:autoSpaceDN w:val="0"/>
                    <w:adjustRightInd w:val="0"/>
                    <w:rPr>
                      <w:sz w:val="22"/>
                      <w:szCs w:val="22"/>
                    </w:rPr>
                  </w:pPr>
                  <w:r w:rsidRPr="007044F6">
                    <w:rPr>
                      <w:sz w:val="22"/>
                      <w:szCs w:val="22"/>
                    </w:rPr>
                    <w:t>CPM (250 mg/m</w:t>
                  </w:r>
                  <w:r w:rsidRPr="007044F6">
                    <w:rPr>
                      <w:sz w:val="22"/>
                      <w:szCs w:val="22"/>
                      <w:vertAlign w:val="superscript"/>
                    </w:rPr>
                    <w:t>2</w:t>
                  </w:r>
                  <w:r w:rsidRPr="007044F6">
                    <w:rPr>
                      <w:sz w:val="22"/>
                      <w:szCs w:val="22"/>
                    </w:rPr>
                    <w:t>/doza svakih 12 sati x 4 doze, i.v.): dani 3 i 4</w:t>
                  </w:r>
                </w:p>
                <w:p w:rsidR="000A2337" w:rsidRPr="007044F6" w:rsidRDefault="000A2337" w:rsidP="00161AB3">
                  <w:pPr>
                    <w:autoSpaceDE w:val="0"/>
                    <w:autoSpaceDN w:val="0"/>
                    <w:adjustRightInd w:val="0"/>
                    <w:rPr>
                      <w:sz w:val="22"/>
                      <w:szCs w:val="22"/>
                    </w:rPr>
                  </w:pPr>
                  <w:r w:rsidRPr="007044F6">
                    <w:rPr>
                      <w:sz w:val="22"/>
                      <w:szCs w:val="22"/>
                    </w:rPr>
                    <w:t>PEG-ASP (2500 IU/m</w:t>
                  </w:r>
                  <w:r w:rsidRPr="007044F6">
                    <w:rPr>
                      <w:sz w:val="22"/>
                      <w:szCs w:val="22"/>
                      <w:vertAlign w:val="superscript"/>
                    </w:rPr>
                    <w:t>2</w:t>
                  </w:r>
                  <w:r w:rsidRPr="007044F6">
                    <w:rPr>
                      <w:sz w:val="22"/>
                      <w:szCs w:val="22"/>
                    </w:rPr>
                    <w:t>, i.m.): dan 4</w:t>
                  </w:r>
                </w:p>
                <w:p w:rsidR="000A2337" w:rsidRPr="007044F6" w:rsidRDefault="000A2337" w:rsidP="00161AB3">
                  <w:pPr>
                    <w:autoSpaceDE w:val="0"/>
                    <w:autoSpaceDN w:val="0"/>
                    <w:adjustRightInd w:val="0"/>
                    <w:rPr>
                      <w:sz w:val="22"/>
                      <w:szCs w:val="22"/>
                    </w:rPr>
                  </w:pPr>
                  <w:r w:rsidRPr="007044F6">
                    <w:rPr>
                      <w:sz w:val="22"/>
                      <w:szCs w:val="22"/>
                    </w:rPr>
                    <w:t>G-CSF (5 μg/kg, s.c.): dani 5-14 ili do porasta ANC &gt;1500 nakon najniže</w:t>
                  </w:r>
                </w:p>
                <w:p w:rsidR="000A2337" w:rsidRPr="007044F6" w:rsidRDefault="000A2337" w:rsidP="00161AB3">
                  <w:pPr>
                    <w:autoSpaceDE w:val="0"/>
                    <w:autoSpaceDN w:val="0"/>
                    <w:adjustRightInd w:val="0"/>
                    <w:rPr>
                      <w:sz w:val="22"/>
                      <w:szCs w:val="22"/>
                    </w:rPr>
                  </w:pPr>
                  <w:r w:rsidRPr="007044F6">
                    <w:rPr>
                      <w:sz w:val="22"/>
                      <w:szCs w:val="22"/>
                    </w:rPr>
                    <w:lastRenderedPageBreak/>
                    <w:t>izmjerene vrijednosti</w:t>
                  </w:r>
                </w:p>
                <w:p w:rsidR="000A2337" w:rsidRPr="007044F6" w:rsidRDefault="000A2337" w:rsidP="00161AB3">
                  <w:pPr>
                    <w:autoSpaceDE w:val="0"/>
                    <w:autoSpaceDN w:val="0"/>
                    <w:adjustRightInd w:val="0"/>
                    <w:rPr>
                      <w:sz w:val="22"/>
                      <w:szCs w:val="22"/>
                    </w:rPr>
                  </w:pPr>
                  <w:r w:rsidRPr="007044F6">
                    <w:rPr>
                      <w:sz w:val="22"/>
                      <w:szCs w:val="22"/>
                    </w:rPr>
                    <w:t>Trostruka i.t. terapija (prilagođena uzrastu): dani 1 i 15</w:t>
                  </w:r>
                </w:p>
                <w:p w:rsidR="000A2337" w:rsidRPr="007044F6" w:rsidRDefault="000A2337" w:rsidP="00161AB3">
                  <w:pPr>
                    <w:rPr>
                      <w:sz w:val="22"/>
                      <w:szCs w:val="22"/>
                      <w:lang w:val="sr-Latn-CS"/>
                    </w:rPr>
                  </w:pPr>
                  <w:r w:rsidRPr="007044F6">
                    <w:rPr>
                      <w:sz w:val="22"/>
                      <w:szCs w:val="22"/>
                    </w:rPr>
                    <w:t>DEX (6 mg/m</w:t>
                  </w:r>
                  <w:r w:rsidRPr="007044F6">
                    <w:rPr>
                      <w:sz w:val="22"/>
                      <w:szCs w:val="22"/>
                      <w:vertAlign w:val="superscript"/>
                    </w:rPr>
                    <w:t>2</w:t>
                  </w:r>
                  <w:r w:rsidRPr="007044F6">
                    <w:rPr>
                      <w:sz w:val="22"/>
                      <w:szCs w:val="22"/>
                    </w:rPr>
                    <w:t>/dan, p.o.): dani 1-7 i 15-21</w:t>
                  </w:r>
                </w:p>
              </w:tc>
            </w:tr>
            <w:tr w:rsidR="000A2337" w:rsidRPr="007F411F" w:rsidTr="00161AB3">
              <w:tc>
                <w:tcPr>
                  <w:tcW w:w="2245" w:type="dxa"/>
                  <w:shd w:val="clear" w:color="auto" w:fill="auto"/>
                </w:tcPr>
                <w:p w:rsidR="000A2337" w:rsidRPr="007044F6" w:rsidRDefault="000A2337" w:rsidP="002A0BFB">
                  <w:pPr>
                    <w:autoSpaceDE w:val="0"/>
                    <w:autoSpaceDN w:val="0"/>
                    <w:adjustRightInd w:val="0"/>
                    <w:rPr>
                      <w:sz w:val="22"/>
                      <w:szCs w:val="22"/>
                    </w:rPr>
                  </w:pPr>
                  <w:r w:rsidRPr="007044F6">
                    <w:rPr>
                      <w:sz w:val="22"/>
                      <w:szCs w:val="22"/>
                    </w:rPr>
                    <w:lastRenderedPageBreak/>
                    <w:t xml:space="preserve">Intenzifikacijska terapija 1 (9 </w:t>
                  </w:r>
                  <w:r w:rsidR="002A0BFB">
                    <w:rPr>
                      <w:sz w:val="22"/>
                      <w:szCs w:val="22"/>
                    </w:rPr>
                    <w:t>nedjelj</w:t>
                  </w:r>
                  <w:r w:rsidRPr="007044F6">
                    <w:rPr>
                      <w:sz w:val="22"/>
                      <w:szCs w:val="22"/>
                    </w:rPr>
                    <w:t>a)</w:t>
                  </w:r>
                </w:p>
              </w:tc>
              <w:tc>
                <w:tcPr>
                  <w:tcW w:w="7200" w:type="dxa"/>
                  <w:shd w:val="clear" w:color="auto" w:fill="auto"/>
                </w:tcPr>
                <w:p w:rsidR="000A2337" w:rsidRPr="007044F6" w:rsidRDefault="000A2337" w:rsidP="00161AB3">
                  <w:pPr>
                    <w:rPr>
                      <w:sz w:val="22"/>
                      <w:szCs w:val="22"/>
                    </w:rPr>
                  </w:pPr>
                  <w:r w:rsidRPr="007044F6">
                    <w:rPr>
                      <w:sz w:val="22"/>
                      <w:szCs w:val="22"/>
                    </w:rPr>
                    <w:t>Metotreksat (5 g/m</w:t>
                  </w:r>
                  <w:r w:rsidRPr="007044F6">
                    <w:rPr>
                      <w:sz w:val="22"/>
                      <w:szCs w:val="22"/>
                      <w:vertAlign w:val="superscript"/>
                    </w:rPr>
                    <w:t>2</w:t>
                  </w:r>
                  <w:r w:rsidRPr="007044F6">
                    <w:rPr>
                      <w:sz w:val="22"/>
                      <w:szCs w:val="22"/>
                    </w:rPr>
                    <w:t xml:space="preserve"> kroz 24 sata, i.v.): dani 1 i 15</w:t>
                  </w:r>
                </w:p>
                <w:p w:rsidR="000A2337" w:rsidRPr="007044F6" w:rsidRDefault="000A2337" w:rsidP="00161AB3">
                  <w:pPr>
                    <w:autoSpaceDE w:val="0"/>
                    <w:autoSpaceDN w:val="0"/>
                    <w:adjustRightInd w:val="0"/>
                    <w:rPr>
                      <w:sz w:val="22"/>
                      <w:szCs w:val="22"/>
                    </w:rPr>
                  </w:pPr>
                  <w:r w:rsidRPr="007044F6">
                    <w:rPr>
                      <w:sz w:val="22"/>
                      <w:szCs w:val="22"/>
                    </w:rPr>
                    <w:t>Leucovorin (75 mg/m</w:t>
                  </w:r>
                  <w:r w:rsidRPr="007044F6">
                    <w:rPr>
                      <w:sz w:val="22"/>
                      <w:szCs w:val="22"/>
                      <w:vertAlign w:val="superscript"/>
                    </w:rPr>
                    <w:t>2</w:t>
                  </w:r>
                  <w:r w:rsidRPr="007044F6">
                    <w:rPr>
                      <w:sz w:val="22"/>
                      <w:szCs w:val="22"/>
                    </w:rPr>
                    <w:t xml:space="preserve"> u 36. satu, i.v.; 15 mg/m</w:t>
                  </w:r>
                  <w:r w:rsidRPr="007044F6">
                    <w:rPr>
                      <w:sz w:val="22"/>
                      <w:szCs w:val="22"/>
                      <w:vertAlign w:val="superscript"/>
                    </w:rPr>
                    <w:t>2</w:t>
                  </w:r>
                  <w:r w:rsidRPr="007044F6">
                    <w:rPr>
                      <w:sz w:val="22"/>
                      <w:szCs w:val="22"/>
                    </w:rPr>
                    <w:t xml:space="preserve"> i.v. ili p.o. svakih 6 sati x</w:t>
                  </w:r>
                </w:p>
                <w:p w:rsidR="000A2337" w:rsidRPr="007044F6" w:rsidRDefault="000A2337" w:rsidP="00161AB3">
                  <w:pPr>
                    <w:autoSpaceDE w:val="0"/>
                    <w:autoSpaceDN w:val="0"/>
                    <w:adjustRightInd w:val="0"/>
                    <w:rPr>
                      <w:sz w:val="22"/>
                      <w:szCs w:val="22"/>
                    </w:rPr>
                  </w:pPr>
                  <w:r w:rsidRPr="007044F6">
                    <w:rPr>
                      <w:sz w:val="22"/>
                      <w:szCs w:val="22"/>
                    </w:rPr>
                    <w:t>6 doza)iii: Dani 2, 3, 16 i 17</w:t>
                  </w:r>
                </w:p>
                <w:p w:rsidR="000A2337" w:rsidRPr="007044F6" w:rsidRDefault="000A2337" w:rsidP="00161AB3">
                  <w:pPr>
                    <w:autoSpaceDE w:val="0"/>
                    <w:autoSpaceDN w:val="0"/>
                    <w:adjustRightInd w:val="0"/>
                    <w:rPr>
                      <w:sz w:val="22"/>
                      <w:szCs w:val="22"/>
                    </w:rPr>
                  </w:pPr>
                  <w:r w:rsidRPr="007044F6">
                    <w:rPr>
                      <w:sz w:val="22"/>
                      <w:szCs w:val="22"/>
                    </w:rPr>
                    <w:t xml:space="preserve">Trostruka </w:t>
                  </w:r>
                  <w:r>
                    <w:rPr>
                      <w:sz w:val="22"/>
                      <w:szCs w:val="22"/>
                    </w:rPr>
                    <w:t>IT</w:t>
                  </w:r>
                  <w:r w:rsidRPr="007044F6">
                    <w:rPr>
                      <w:sz w:val="22"/>
                      <w:szCs w:val="22"/>
                    </w:rPr>
                    <w:t xml:space="preserve"> terapija (prilagođena uzrastu): dani 1 i 22</w:t>
                  </w:r>
                </w:p>
                <w:p w:rsidR="000A2337" w:rsidRPr="007044F6" w:rsidRDefault="000A2337" w:rsidP="00161AB3">
                  <w:pPr>
                    <w:autoSpaceDE w:val="0"/>
                    <w:autoSpaceDN w:val="0"/>
                    <w:adjustRightInd w:val="0"/>
                    <w:rPr>
                      <w:sz w:val="22"/>
                      <w:szCs w:val="22"/>
                    </w:rPr>
                  </w:pPr>
                  <w:r w:rsidRPr="007044F6">
                    <w:rPr>
                      <w:sz w:val="22"/>
                      <w:szCs w:val="22"/>
                    </w:rPr>
                    <w:t>VP-16 (100 mg/m</w:t>
                  </w:r>
                  <w:r w:rsidRPr="007044F6">
                    <w:rPr>
                      <w:sz w:val="22"/>
                      <w:szCs w:val="22"/>
                      <w:vertAlign w:val="superscript"/>
                    </w:rPr>
                    <w:t>2</w:t>
                  </w:r>
                  <w:r w:rsidRPr="007044F6">
                    <w:rPr>
                      <w:sz w:val="22"/>
                      <w:szCs w:val="22"/>
                    </w:rPr>
                    <w:t>/dan, i.v.): dani 22-26</w:t>
                  </w:r>
                </w:p>
                <w:p w:rsidR="000A2337" w:rsidRPr="007044F6" w:rsidRDefault="000A2337" w:rsidP="00161AB3">
                  <w:pPr>
                    <w:autoSpaceDE w:val="0"/>
                    <w:autoSpaceDN w:val="0"/>
                    <w:adjustRightInd w:val="0"/>
                    <w:rPr>
                      <w:sz w:val="22"/>
                      <w:szCs w:val="22"/>
                    </w:rPr>
                  </w:pPr>
                  <w:r w:rsidRPr="007044F6">
                    <w:rPr>
                      <w:sz w:val="22"/>
                      <w:szCs w:val="22"/>
                    </w:rPr>
                    <w:t>CPM (300 mg/m</w:t>
                  </w:r>
                  <w:r w:rsidRPr="007044F6">
                    <w:rPr>
                      <w:sz w:val="22"/>
                      <w:szCs w:val="22"/>
                      <w:vertAlign w:val="superscript"/>
                    </w:rPr>
                    <w:t>2</w:t>
                  </w:r>
                  <w:r w:rsidRPr="007044F6">
                    <w:rPr>
                      <w:sz w:val="22"/>
                      <w:szCs w:val="22"/>
                    </w:rPr>
                    <w:t>/dan, i.v.): dani 22-26</w:t>
                  </w:r>
                </w:p>
                <w:p w:rsidR="000A2337" w:rsidRPr="007044F6" w:rsidRDefault="000A2337" w:rsidP="00161AB3">
                  <w:pPr>
                    <w:autoSpaceDE w:val="0"/>
                    <w:autoSpaceDN w:val="0"/>
                    <w:adjustRightInd w:val="0"/>
                    <w:rPr>
                      <w:sz w:val="22"/>
                      <w:szCs w:val="22"/>
                    </w:rPr>
                  </w:pPr>
                  <w:r w:rsidRPr="007044F6">
                    <w:rPr>
                      <w:sz w:val="22"/>
                      <w:szCs w:val="22"/>
                    </w:rPr>
                    <w:t>MESNA (150 mg/m</w:t>
                  </w:r>
                  <w:r w:rsidRPr="007044F6">
                    <w:rPr>
                      <w:sz w:val="22"/>
                      <w:szCs w:val="22"/>
                      <w:vertAlign w:val="superscript"/>
                    </w:rPr>
                    <w:t>2</w:t>
                  </w:r>
                  <w:r w:rsidRPr="007044F6">
                    <w:rPr>
                      <w:sz w:val="22"/>
                      <w:szCs w:val="22"/>
                    </w:rPr>
                    <w:t>/dan, i.v.): dani 22-26</w:t>
                  </w:r>
                </w:p>
                <w:p w:rsidR="000A2337" w:rsidRPr="007044F6" w:rsidRDefault="000A2337" w:rsidP="00161AB3">
                  <w:pPr>
                    <w:autoSpaceDE w:val="0"/>
                    <w:autoSpaceDN w:val="0"/>
                    <w:adjustRightInd w:val="0"/>
                    <w:rPr>
                      <w:sz w:val="22"/>
                      <w:szCs w:val="22"/>
                    </w:rPr>
                  </w:pPr>
                  <w:r w:rsidRPr="007044F6">
                    <w:rPr>
                      <w:sz w:val="22"/>
                      <w:szCs w:val="22"/>
                    </w:rPr>
                    <w:t>G-CSF (5 μg/kg, s.c.): dani 27-36 ili do porasta ANC &gt;1500 nakon najniže izmjerene vrijednosti</w:t>
                  </w:r>
                </w:p>
                <w:p w:rsidR="000A2337" w:rsidRPr="007044F6" w:rsidRDefault="000A2337" w:rsidP="00161AB3">
                  <w:pPr>
                    <w:autoSpaceDE w:val="0"/>
                    <w:autoSpaceDN w:val="0"/>
                    <w:adjustRightInd w:val="0"/>
                    <w:rPr>
                      <w:sz w:val="22"/>
                      <w:szCs w:val="22"/>
                    </w:rPr>
                  </w:pPr>
                  <w:r w:rsidRPr="007044F6">
                    <w:rPr>
                      <w:sz w:val="22"/>
                      <w:szCs w:val="22"/>
                    </w:rPr>
                    <w:t>ARA-C (3 g/m</w:t>
                  </w:r>
                  <w:r w:rsidRPr="007044F6">
                    <w:rPr>
                      <w:sz w:val="22"/>
                      <w:szCs w:val="22"/>
                      <w:vertAlign w:val="superscript"/>
                    </w:rPr>
                    <w:t>2</w:t>
                  </w:r>
                  <w:r w:rsidRPr="007044F6">
                    <w:rPr>
                      <w:sz w:val="22"/>
                      <w:szCs w:val="22"/>
                    </w:rPr>
                    <w:t>, svakih 12 sati, i.v.): dani 43, 44</w:t>
                  </w:r>
                </w:p>
                <w:p w:rsidR="000A2337" w:rsidRPr="007044F6" w:rsidRDefault="000A2337" w:rsidP="00161AB3">
                  <w:pPr>
                    <w:rPr>
                      <w:sz w:val="22"/>
                      <w:szCs w:val="22"/>
                      <w:lang w:val="sr-Latn-CS"/>
                    </w:rPr>
                  </w:pPr>
                  <w:r w:rsidRPr="007044F6">
                    <w:rPr>
                      <w:sz w:val="22"/>
                      <w:szCs w:val="22"/>
                    </w:rPr>
                    <w:t>L-ASP (6000 IU/m</w:t>
                  </w:r>
                  <w:r w:rsidRPr="007044F6">
                    <w:rPr>
                      <w:sz w:val="22"/>
                      <w:szCs w:val="22"/>
                      <w:vertAlign w:val="superscript"/>
                    </w:rPr>
                    <w:t>2</w:t>
                  </w:r>
                  <w:r w:rsidRPr="007044F6">
                    <w:rPr>
                      <w:sz w:val="22"/>
                      <w:szCs w:val="22"/>
                    </w:rPr>
                    <w:t>, i.m.): dan 44</w:t>
                  </w:r>
                </w:p>
              </w:tc>
            </w:tr>
            <w:tr w:rsidR="000A2337" w:rsidRPr="007F411F" w:rsidTr="00161AB3">
              <w:tc>
                <w:tcPr>
                  <w:tcW w:w="2245"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Reindukcijska terapija 2</w:t>
                  </w:r>
                </w:p>
                <w:p w:rsidR="000A2337" w:rsidRPr="007044F6" w:rsidRDefault="000A2337" w:rsidP="00161AB3">
                  <w:pPr>
                    <w:rPr>
                      <w:sz w:val="22"/>
                      <w:szCs w:val="22"/>
                      <w:lang w:val="sr-Latn-CS"/>
                    </w:rPr>
                  </w:pPr>
                  <w:r w:rsidRPr="007044F6">
                    <w:rPr>
                      <w:sz w:val="22"/>
                      <w:szCs w:val="22"/>
                    </w:rPr>
                    <w:t>(3 nedjelje)</w:t>
                  </w:r>
                </w:p>
              </w:tc>
              <w:tc>
                <w:tcPr>
                  <w:tcW w:w="7200"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VCR (1,5 mg/m</w:t>
                  </w:r>
                  <w:r w:rsidRPr="007044F6">
                    <w:rPr>
                      <w:sz w:val="22"/>
                      <w:szCs w:val="22"/>
                      <w:vertAlign w:val="superscript"/>
                    </w:rPr>
                    <w:t>2</w:t>
                  </w:r>
                  <w:r w:rsidRPr="007044F6">
                    <w:rPr>
                      <w:sz w:val="22"/>
                      <w:szCs w:val="22"/>
                    </w:rPr>
                    <w:t>/dan, i.v.): dani 1, 8 i 15</w:t>
                  </w:r>
                </w:p>
                <w:p w:rsidR="000A2337" w:rsidRPr="007044F6" w:rsidRDefault="000A2337" w:rsidP="00161AB3">
                  <w:pPr>
                    <w:autoSpaceDE w:val="0"/>
                    <w:autoSpaceDN w:val="0"/>
                    <w:adjustRightInd w:val="0"/>
                    <w:rPr>
                      <w:sz w:val="22"/>
                      <w:szCs w:val="22"/>
                    </w:rPr>
                  </w:pPr>
                  <w:r w:rsidRPr="007044F6">
                    <w:rPr>
                      <w:sz w:val="22"/>
                      <w:szCs w:val="22"/>
                    </w:rPr>
                    <w:t>DAUN (45 mg/m</w:t>
                  </w:r>
                  <w:r w:rsidRPr="007044F6">
                    <w:rPr>
                      <w:sz w:val="22"/>
                      <w:szCs w:val="22"/>
                      <w:vertAlign w:val="superscript"/>
                    </w:rPr>
                    <w:t>2</w:t>
                  </w:r>
                  <w:r w:rsidRPr="007044F6">
                    <w:rPr>
                      <w:sz w:val="22"/>
                      <w:szCs w:val="22"/>
                    </w:rPr>
                    <w:t>/dan bolus, i.v.): dani 1 i 2</w:t>
                  </w:r>
                </w:p>
                <w:p w:rsidR="000A2337" w:rsidRPr="007044F6" w:rsidRDefault="000A2337" w:rsidP="00161AB3">
                  <w:pPr>
                    <w:autoSpaceDE w:val="0"/>
                    <w:autoSpaceDN w:val="0"/>
                    <w:adjustRightInd w:val="0"/>
                    <w:rPr>
                      <w:sz w:val="22"/>
                      <w:szCs w:val="22"/>
                    </w:rPr>
                  </w:pPr>
                  <w:r w:rsidRPr="007044F6">
                    <w:rPr>
                      <w:sz w:val="22"/>
                      <w:szCs w:val="22"/>
                    </w:rPr>
                    <w:t>CPM (250 mg/m</w:t>
                  </w:r>
                  <w:r w:rsidRPr="007044F6">
                    <w:rPr>
                      <w:sz w:val="22"/>
                      <w:szCs w:val="22"/>
                      <w:vertAlign w:val="superscript"/>
                    </w:rPr>
                    <w:t>2</w:t>
                  </w:r>
                  <w:r w:rsidRPr="007044F6">
                    <w:rPr>
                      <w:sz w:val="22"/>
                      <w:szCs w:val="22"/>
                    </w:rPr>
                    <w:t>/doza svakih 12 sati x 4 doze, i.v.): Dani 3 i 4</w:t>
                  </w:r>
                </w:p>
                <w:p w:rsidR="000A2337" w:rsidRPr="007044F6" w:rsidRDefault="000A2337" w:rsidP="00161AB3">
                  <w:pPr>
                    <w:autoSpaceDE w:val="0"/>
                    <w:autoSpaceDN w:val="0"/>
                    <w:adjustRightInd w:val="0"/>
                    <w:rPr>
                      <w:sz w:val="22"/>
                      <w:szCs w:val="22"/>
                    </w:rPr>
                  </w:pPr>
                  <w:r w:rsidRPr="007044F6">
                    <w:rPr>
                      <w:sz w:val="22"/>
                      <w:szCs w:val="22"/>
                    </w:rPr>
                    <w:t>PEG-ASP (2500 IU/m</w:t>
                  </w:r>
                  <w:r w:rsidRPr="007044F6">
                    <w:rPr>
                      <w:sz w:val="22"/>
                      <w:szCs w:val="22"/>
                      <w:vertAlign w:val="superscript"/>
                    </w:rPr>
                    <w:t>2</w:t>
                  </w:r>
                  <w:r w:rsidRPr="007044F6">
                    <w:rPr>
                      <w:sz w:val="22"/>
                      <w:szCs w:val="22"/>
                    </w:rPr>
                    <w:t>, i.m.): dan 4</w:t>
                  </w:r>
                </w:p>
                <w:p w:rsidR="000A2337" w:rsidRPr="007044F6" w:rsidRDefault="000A2337" w:rsidP="00161AB3">
                  <w:pPr>
                    <w:autoSpaceDE w:val="0"/>
                    <w:autoSpaceDN w:val="0"/>
                    <w:adjustRightInd w:val="0"/>
                    <w:rPr>
                      <w:sz w:val="22"/>
                      <w:szCs w:val="22"/>
                    </w:rPr>
                  </w:pPr>
                  <w:r w:rsidRPr="007044F6">
                    <w:rPr>
                      <w:sz w:val="22"/>
                      <w:szCs w:val="22"/>
                    </w:rPr>
                    <w:t>G-CSF (5 μg/kg, s.c.): dani 5-14 ili do porasta ANC &gt;1500 nakon najniže izmjerene vrijednosti</w:t>
                  </w:r>
                </w:p>
                <w:p w:rsidR="000A2337" w:rsidRPr="007044F6" w:rsidRDefault="000A2337" w:rsidP="00161AB3">
                  <w:pPr>
                    <w:autoSpaceDE w:val="0"/>
                    <w:autoSpaceDN w:val="0"/>
                    <w:adjustRightInd w:val="0"/>
                    <w:rPr>
                      <w:sz w:val="22"/>
                      <w:szCs w:val="22"/>
                    </w:rPr>
                  </w:pPr>
                  <w:r w:rsidRPr="007044F6">
                    <w:rPr>
                      <w:sz w:val="22"/>
                      <w:szCs w:val="22"/>
                    </w:rPr>
                    <w:t xml:space="preserve">Trostruka </w:t>
                  </w:r>
                  <w:r>
                    <w:rPr>
                      <w:sz w:val="22"/>
                      <w:szCs w:val="22"/>
                    </w:rPr>
                    <w:t>i.t.</w:t>
                  </w:r>
                  <w:r w:rsidRPr="007044F6">
                    <w:rPr>
                      <w:sz w:val="22"/>
                      <w:szCs w:val="22"/>
                    </w:rPr>
                    <w:t xml:space="preserve"> terapija (prilagođena uzrastu): dani 1 i 15</w:t>
                  </w:r>
                </w:p>
                <w:p w:rsidR="000A2337" w:rsidRPr="007044F6" w:rsidRDefault="000A2337" w:rsidP="00161AB3">
                  <w:pPr>
                    <w:rPr>
                      <w:sz w:val="22"/>
                      <w:szCs w:val="22"/>
                      <w:lang w:val="sr-Latn-CS"/>
                    </w:rPr>
                  </w:pPr>
                  <w:r w:rsidRPr="007044F6">
                    <w:rPr>
                      <w:sz w:val="22"/>
                      <w:szCs w:val="22"/>
                    </w:rPr>
                    <w:t>DEX (6 mg/m</w:t>
                  </w:r>
                  <w:r w:rsidRPr="007044F6">
                    <w:rPr>
                      <w:sz w:val="22"/>
                      <w:szCs w:val="22"/>
                      <w:vertAlign w:val="superscript"/>
                    </w:rPr>
                    <w:t>2</w:t>
                  </w:r>
                  <w:r w:rsidRPr="007044F6">
                    <w:rPr>
                      <w:sz w:val="22"/>
                      <w:szCs w:val="22"/>
                    </w:rPr>
                    <w:t>/dan, p.o.): dani 1-7 i 15-21</w:t>
                  </w:r>
                </w:p>
              </w:tc>
            </w:tr>
            <w:tr w:rsidR="000A2337" w:rsidRPr="007F411F" w:rsidTr="00161AB3">
              <w:tc>
                <w:tcPr>
                  <w:tcW w:w="2245"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Intenzifikacijska</w:t>
                  </w:r>
                </w:p>
                <w:p w:rsidR="000A2337" w:rsidRPr="007044F6" w:rsidRDefault="000A2337" w:rsidP="00161AB3">
                  <w:pPr>
                    <w:autoSpaceDE w:val="0"/>
                    <w:autoSpaceDN w:val="0"/>
                    <w:adjustRightInd w:val="0"/>
                    <w:rPr>
                      <w:sz w:val="22"/>
                      <w:szCs w:val="22"/>
                    </w:rPr>
                  </w:pPr>
                  <w:r w:rsidRPr="007044F6">
                    <w:rPr>
                      <w:sz w:val="22"/>
                      <w:szCs w:val="22"/>
                    </w:rPr>
                    <w:t>terapija 2</w:t>
                  </w:r>
                </w:p>
                <w:p w:rsidR="000A2337" w:rsidRPr="007044F6" w:rsidRDefault="000A2337" w:rsidP="00161AB3">
                  <w:pPr>
                    <w:rPr>
                      <w:sz w:val="22"/>
                      <w:szCs w:val="22"/>
                      <w:lang w:val="sr-Latn-CS"/>
                    </w:rPr>
                  </w:pPr>
                  <w:r w:rsidRPr="007044F6">
                    <w:rPr>
                      <w:sz w:val="22"/>
                      <w:szCs w:val="22"/>
                    </w:rPr>
                    <w:t>(9 nedjelja)</w:t>
                  </w:r>
                </w:p>
              </w:tc>
              <w:tc>
                <w:tcPr>
                  <w:tcW w:w="7200"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Metotreksat (5 g/m</w:t>
                  </w:r>
                  <w:r w:rsidRPr="007044F6">
                    <w:rPr>
                      <w:sz w:val="22"/>
                      <w:szCs w:val="22"/>
                      <w:vertAlign w:val="superscript"/>
                    </w:rPr>
                    <w:t>2</w:t>
                  </w:r>
                  <w:r w:rsidRPr="007044F6">
                    <w:rPr>
                      <w:sz w:val="22"/>
                      <w:szCs w:val="22"/>
                    </w:rPr>
                    <w:t xml:space="preserve"> kroz 24 sata, i.v.): dani 1 i 15</w:t>
                  </w:r>
                </w:p>
                <w:p w:rsidR="000A2337" w:rsidRPr="007044F6" w:rsidRDefault="000A2337" w:rsidP="00161AB3">
                  <w:pPr>
                    <w:autoSpaceDE w:val="0"/>
                    <w:autoSpaceDN w:val="0"/>
                    <w:adjustRightInd w:val="0"/>
                    <w:rPr>
                      <w:sz w:val="22"/>
                      <w:szCs w:val="22"/>
                    </w:rPr>
                  </w:pPr>
                  <w:r w:rsidRPr="007044F6">
                    <w:rPr>
                      <w:sz w:val="22"/>
                      <w:szCs w:val="22"/>
                    </w:rPr>
                    <w:t>Leucovorin (75 mg/m</w:t>
                  </w:r>
                  <w:r w:rsidRPr="007044F6">
                    <w:rPr>
                      <w:sz w:val="22"/>
                      <w:szCs w:val="22"/>
                      <w:vertAlign w:val="superscript"/>
                    </w:rPr>
                    <w:t>2</w:t>
                  </w:r>
                  <w:r w:rsidRPr="007044F6">
                    <w:rPr>
                      <w:sz w:val="22"/>
                      <w:szCs w:val="22"/>
                    </w:rPr>
                    <w:t xml:space="preserve"> u36. satu, i.v.; 15 mg/m</w:t>
                  </w:r>
                  <w:r w:rsidRPr="007044F6">
                    <w:rPr>
                      <w:sz w:val="22"/>
                      <w:szCs w:val="22"/>
                      <w:vertAlign w:val="superscript"/>
                    </w:rPr>
                    <w:t>2</w:t>
                  </w:r>
                  <w:r w:rsidRPr="007044F6">
                    <w:rPr>
                      <w:sz w:val="22"/>
                      <w:szCs w:val="22"/>
                    </w:rPr>
                    <w:t xml:space="preserve"> i.v. ili p.o. svakih 6 sati x 6 doza) iii: dani 2, 3, 16 i 17</w:t>
                  </w:r>
                </w:p>
                <w:p w:rsidR="000A2337" w:rsidRPr="007044F6" w:rsidRDefault="000A2337" w:rsidP="00161AB3">
                  <w:pPr>
                    <w:autoSpaceDE w:val="0"/>
                    <w:autoSpaceDN w:val="0"/>
                    <w:adjustRightInd w:val="0"/>
                    <w:rPr>
                      <w:sz w:val="22"/>
                      <w:szCs w:val="22"/>
                    </w:rPr>
                  </w:pPr>
                  <w:r w:rsidRPr="007044F6">
                    <w:rPr>
                      <w:sz w:val="22"/>
                      <w:szCs w:val="22"/>
                    </w:rPr>
                    <w:t xml:space="preserve">Trostruka </w:t>
                  </w:r>
                  <w:r>
                    <w:rPr>
                      <w:sz w:val="22"/>
                      <w:szCs w:val="22"/>
                    </w:rPr>
                    <w:t>i.t.</w:t>
                  </w:r>
                  <w:r w:rsidRPr="007044F6">
                    <w:rPr>
                      <w:sz w:val="22"/>
                      <w:szCs w:val="22"/>
                    </w:rPr>
                    <w:t xml:space="preserve"> terapija (prilagođena uzrastu): dani 1 i 22</w:t>
                  </w:r>
                </w:p>
                <w:p w:rsidR="000A2337" w:rsidRPr="007044F6" w:rsidRDefault="000A2337" w:rsidP="00161AB3">
                  <w:pPr>
                    <w:autoSpaceDE w:val="0"/>
                    <w:autoSpaceDN w:val="0"/>
                    <w:adjustRightInd w:val="0"/>
                    <w:rPr>
                      <w:sz w:val="22"/>
                      <w:szCs w:val="22"/>
                    </w:rPr>
                  </w:pPr>
                  <w:r w:rsidRPr="007044F6">
                    <w:rPr>
                      <w:sz w:val="22"/>
                      <w:szCs w:val="22"/>
                    </w:rPr>
                    <w:t>VP-16 (100 mg/m</w:t>
                  </w:r>
                  <w:r w:rsidRPr="007044F6">
                    <w:rPr>
                      <w:sz w:val="22"/>
                      <w:szCs w:val="22"/>
                      <w:vertAlign w:val="superscript"/>
                    </w:rPr>
                    <w:t>2</w:t>
                  </w:r>
                  <w:r w:rsidRPr="007044F6">
                    <w:rPr>
                      <w:sz w:val="22"/>
                      <w:szCs w:val="22"/>
                    </w:rPr>
                    <w:t>/dan, i.v.): dani 22-26</w:t>
                  </w:r>
                </w:p>
                <w:p w:rsidR="000A2337" w:rsidRPr="007044F6" w:rsidRDefault="000A2337" w:rsidP="00161AB3">
                  <w:pPr>
                    <w:autoSpaceDE w:val="0"/>
                    <w:autoSpaceDN w:val="0"/>
                    <w:adjustRightInd w:val="0"/>
                    <w:rPr>
                      <w:sz w:val="22"/>
                      <w:szCs w:val="22"/>
                    </w:rPr>
                  </w:pPr>
                  <w:r w:rsidRPr="007044F6">
                    <w:rPr>
                      <w:sz w:val="22"/>
                      <w:szCs w:val="22"/>
                    </w:rPr>
                    <w:t>CPM (300 mg/m</w:t>
                  </w:r>
                  <w:r w:rsidRPr="007044F6">
                    <w:rPr>
                      <w:sz w:val="22"/>
                      <w:szCs w:val="22"/>
                      <w:vertAlign w:val="superscript"/>
                    </w:rPr>
                    <w:t>2</w:t>
                  </w:r>
                  <w:r w:rsidRPr="007044F6">
                    <w:rPr>
                      <w:sz w:val="22"/>
                      <w:szCs w:val="22"/>
                    </w:rPr>
                    <w:t>/dan, i.v.): dani 22-26</w:t>
                  </w:r>
                </w:p>
                <w:p w:rsidR="000A2337" w:rsidRPr="007044F6" w:rsidRDefault="000A2337" w:rsidP="00161AB3">
                  <w:pPr>
                    <w:autoSpaceDE w:val="0"/>
                    <w:autoSpaceDN w:val="0"/>
                    <w:adjustRightInd w:val="0"/>
                    <w:rPr>
                      <w:sz w:val="22"/>
                      <w:szCs w:val="22"/>
                    </w:rPr>
                  </w:pPr>
                  <w:r w:rsidRPr="007044F6">
                    <w:rPr>
                      <w:sz w:val="22"/>
                      <w:szCs w:val="22"/>
                    </w:rPr>
                    <w:t>MESNA (150 mg/m</w:t>
                  </w:r>
                  <w:r w:rsidRPr="007044F6">
                    <w:rPr>
                      <w:sz w:val="22"/>
                      <w:szCs w:val="22"/>
                      <w:vertAlign w:val="superscript"/>
                    </w:rPr>
                    <w:t>2</w:t>
                  </w:r>
                  <w:r w:rsidRPr="007044F6">
                    <w:rPr>
                      <w:sz w:val="22"/>
                      <w:szCs w:val="22"/>
                    </w:rPr>
                    <w:t>/dan, i.v.): dani 22-26</w:t>
                  </w:r>
                </w:p>
                <w:p w:rsidR="000A2337" w:rsidRPr="007044F6" w:rsidRDefault="000A2337" w:rsidP="00161AB3">
                  <w:pPr>
                    <w:autoSpaceDE w:val="0"/>
                    <w:autoSpaceDN w:val="0"/>
                    <w:adjustRightInd w:val="0"/>
                    <w:rPr>
                      <w:sz w:val="22"/>
                      <w:szCs w:val="22"/>
                    </w:rPr>
                  </w:pPr>
                  <w:r w:rsidRPr="007044F6">
                    <w:rPr>
                      <w:sz w:val="22"/>
                      <w:szCs w:val="22"/>
                    </w:rPr>
                    <w:t>G-CSF (5 μg/kg, s.c.): dani 27-36 ili do porasta ANC &gt;1500 nakon najniže izmjerene vrijednosti</w:t>
                  </w:r>
                </w:p>
                <w:p w:rsidR="000A2337" w:rsidRPr="007044F6" w:rsidRDefault="000A2337" w:rsidP="00161AB3">
                  <w:pPr>
                    <w:autoSpaceDE w:val="0"/>
                    <w:autoSpaceDN w:val="0"/>
                    <w:adjustRightInd w:val="0"/>
                    <w:rPr>
                      <w:sz w:val="22"/>
                      <w:szCs w:val="22"/>
                    </w:rPr>
                  </w:pPr>
                  <w:r w:rsidRPr="007044F6">
                    <w:rPr>
                      <w:sz w:val="22"/>
                      <w:szCs w:val="22"/>
                    </w:rPr>
                    <w:t>ARA-C (3 g/m</w:t>
                  </w:r>
                  <w:r w:rsidRPr="007044F6">
                    <w:rPr>
                      <w:sz w:val="22"/>
                      <w:szCs w:val="22"/>
                      <w:vertAlign w:val="superscript"/>
                    </w:rPr>
                    <w:t>2</w:t>
                  </w:r>
                  <w:r w:rsidRPr="007044F6">
                    <w:rPr>
                      <w:sz w:val="22"/>
                      <w:szCs w:val="22"/>
                    </w:rPr>
                    <w:t>, svakih 12 sati, i.v.): dani 43, 44</w:t>
                  </w:r>
                </w:p>
                <w:p w:rsidR="000A2337" w:rsidRPr="007044F6" w:rsidRDefault="000A2337" w:rsidP="00161AB3">
                  <w:pPr>
                    <w:rPr>
                      <w:sz w:val="22"/>
                      <w:szCs w:val="22"/>
                      <w:lang w:val="sr-Latn-CS"/>
                    </w:rPr>
                  </w:pPr>
                  <w:r w:rsidRPr="007044F6">
                    <w:rPr>
                      <w:sz w:val="22"/>
                      <w:szCs w:val="22"/>
                    </w:rPr>
                    <w:t>L-ASP (6000 IU/m</w:t>
                  </w:r>
                  <w:r w:rsidRPr="007044F6">
                    <w:rPr>
                      <w:sz w:val="22"/>
                      <w:szCs w:val="22"/>
                      <w:vertAlign w:val="superscript"/>
                    </w:rPr>
                    <w:t>2</w:t>
                  </w:r>
                  <w:r w:rsidRPr="007044F6">
                    <w:rPr>
                      <w:sz w:val="22"/>
                      <w:szCs w:val="22"/>
                    </w:rPr>
                    <w:t>, i.m.): dan 44</w:t>
                  </w:r>
                </w:p>
              </w:tc>
            </w:tr>
            <w:tr w:rsidR="000A2337" w:rsidRPr="007F411F" w:rsidTr="00161AB3">
              <w:tc>
                <w:tcPr>
                  <w:tcW w:w="2245"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Održavanje</w:t>
                  </w:r>
                </w:p>
                <w:p w:rsidR="000A2337" w:rsidRPr="007044F6" w:rsidRDefault="000A2337" w:rsidP="00161AB3">
                  <w:pPr>
                    <w:autoSpaceDE w:val="0"/>
                    <w:autoSpaceDN w:val="0"/>
                    <w:adjustRightInd w:val="0"/>
                    <w:rPr>
                      <w:sz w:val="22"/>
                      <w:szCs w:val="22"/>
                    </w:rPr>
                  </w:pPr>
                  <w:r w:rsidRPr="007044F6">
                    <w:rPr>
                      <w:sz w:val="22"/>
                      <w:szCs w:val="22"/>
                    </w:rPr>
                    <w:t>(8-nedjeljni ciklusi)</w:t>
                  </w:r>
                </w:p>
                <w:p w:rsidR="000A2337" w:rsidRPr="007044F6" w:rsidRDefault="000A2337" w:rsidP="00161AB3">
                  <w:pPr>
                    <w:rPr>
                      <w:sz w:val="22"/>
                      <w:szCs w:val="22"/>
                      <w:lang w:val="sr-Latn-CS"/>
                    </w:rPr>
                  </w:pPr>
                  <w:r w:rsidRPr="007044F6">
                    <w:rPr>
                      <w:sz w:val="22"/>
                      <w:szCs w:val="22"/>
                    </w:rPr>
                    <w:t>Ciklusi 1–4</w:t>
                  </w:r>
                </w:p>
              </w:tc>
              <w:tc>
                <w:tcPr>
                  <w:tcW w:w="7200"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MTX (5 g/m</w:t>
                  </w:r>
                  <w:r w:rsidRPr="007044F6">
                    <w:rPr>
                      <w:sz w:val="22"/>
                      <w:szCs w:val="22"/>
                      <w:vertAlign w:val="superscript"/>
                    </w:rPr>
                    <w:t>2</w:t>
                  </w:r>
                  <w:r w:rsidRPr="007044F6">
                    <w:rPr>
                      <w:sz w:val="22"/>
                      <w:szCs w:val="22"/>
                    </w:rPr>
                    <w:t xml:space="preserve"> kroz 24 sata, i.v.): dan 1</w:t>
                  </w:r>
                </w:p>
                <w:p w:rsidR="000A2337" w:rsidRPr="007044F6" w:rsidRDefault="000A2337" w:rsidP="00161AB3">
                  <w:pPr>
                    <w:autoSpaceDE w:val="0"/>
                    <w:autoSpaceDN w:val="0"/>
                    <w:adjustRightInd w:val="0"/>
                    <w:rPr>
                      <w:sz w:val="22"/>
                      <w:szCs w:val="22"/>
                    </w:rPr>
                  </w:pPr>
                  <w:r w:rsidRPr="007044F6">
                    <w:rPr>
                      <w:sz w:val="22"/>
                      <w:szCs w:val="22"/>
                    </w:rPr>
                    <w:t>Leucovorin (75 mg/m</w:t>
                  </w:r>
                  <w:r w:rsidRPr="007044F6">
                    <w:rPr>
                      <w:sz w:val="22"/>
                      <w:szCs w:val="22"/>
                      <w:vertAlign w:val="superscript"/>
                    </w:rPr>
                    <w:t>2</w:t>
                  </w:r>
                  <w:r w:rsidRPr="007044F6">
                    <w:rPr>
                      <w:sz w:val="22"/>
                      <w:szCs w:val="22"/>
                    </w:rPr>
                    <w:t xml:space="preserve"> u 36. satu, i.v.; 15 mg/m</w:t>
                  </w:r>
                  <w:r w:rsidRPr="007044F6">
                    <w:rPr>
                      <w:sz w:val="22"/>
                      <w:szCs w:val="22"/>
                      <w:vertAlign w:val="superscript"/>
                    </w:rPr>
                    <w:t>2</w:t>
                  </w:r>
                  <w:r w:rsidRPr="007044F6">
                    <w:rPr>
                      <w:sz w:val="22"/>
                      <w:szCs w:val="22"/>
                    </w:rPr>
                    <w:t xml:space="preserve"> i.v. ili p.o. svakih 6 sati x 6 doza) iii: dani 2 i 3</w:t>
                  </w:r>
                </w:p>
                <w:p w:rsidR="000A2337" w:rsidRPr="007044F6" w:rsidRDefault="000A2337" w:rsidP="00161AB3">
                  <w:pPr>
                    <w:autoSpaceDE w:val="0"/>
                    <w:autoSpaceDN w:val="0"/>
                    <w:adjustRightInd w:val="0"/>
                    <w:rPr>
                      <w:sz w:val="22"/>
                      <w:szCs w:val="22"/>
                    </w:rPr>
                  </w:pPr>
                  <w:r w:rsidRPr="007044F6">
                    <w:rPr>
                      <w:sz w:val="22"/>
                      <w:szCs w:val="22"/>
                    </w:rPr>
                    <w:t xml:space="preserve">Trostruka </w:t>
                  </w:r>
                  <w:r>
                    <w:rPr>
                      <w:sz w:val="22"/>
                      <w:szCs w:val="22"/>
                    </w:rPr>
                    <w:t>i.t.</w:t>
                  </w:r>
                  <w:r w:rsidRPr="007044F6">
                    <w:rPr>
                      <w:sz w:val="22"/>
                      <w:szCs w:val="22"/>
                    </w:rPr>
                    <w:t xml:space="preserve"> terapija (prilagođena uzrastu): dani 1, 29</w:t>
                  </w:r>
                </w:p>
                <w:p w:rsidR="000A2337" w:rsidRPr="007044F6" w:rsidRDefault="000A2337" w:rsidP="00161AB3">
                  <w:pPr>
                    <w:autoSpaceDE w:val="0"/>
                    <w:autoSpaceDN w:val="0"/>
                    <w:adjustRightInd w:val="0"/>
                    <w:rPr>
                      <w:sz w:val="22"/>
                      <w:szCs w:val="22"/>
                    </w:rPr>
                  </w:pPr>
                  <w:r w:rsidRPr="007044F6">
                    <w:rPr>
                      <w:sz w:val="22"/>
                      <w:szCs w:val="22"/>
                    </w:rPr>
                    <w:t>VCR (1,5 mg/m</w:t>
                  </w:r>
                  <w:r w:rsidRPr="007044F6">
                    <w:rPr>
                      <w:sz w:val="22"/>
                      <w:szCs w:val="22"/>
                      <w:vertAlign w:val="superscript"/>
                    </w:rPr>
                    <w:t>2</w:t>
                  </w:r>
                  <w:r w:rsidRPr="007044F6">
                    <w:rPr>
                      <w:sz w:val="22"/>
                      <w:szCs w:val="22"/>
                    </w:rPr>
                    <w:t>, i.v.): dani 1, 29</w:t>
                  </w:r>
                </w:p>
                <w:p w:rsidR="000A2337" w:rsidRPr="007044F6" w:rsidRDefault="000A2337" w:rsidP="00161AB3">
                  <w:pPr>
                    <w:autoSpaceDE w:val="0"/>
                    <w:autoSpaceDN w:val="0"/>
                    <w:adjustRightInd w:val="0"/>
                    <w:rPr>
                      <w:sz w:val="22"/>
                      <w:szCs w:val="22"/>
                    </w:rPr>
                  </w:pPr>
                  <w:r w:rsidRPr="007044F6">
                    <w:rPr>
                      <w:sz w:val="22"/>
                      <w:szCs w:val="22"/>
                    </w:rPr>
                    <w:t>DEX (6 mg/m</w:t>
                  </w:r>
                  <w:r w:rsidRPr="007044F6">
                    <w:rPr>
                      <w:sz w:val="22"/>
                      <w:szCs w:val="22"/>
                      <w:vertAlign w:val="superscript"/>
                    </w:rPr>
                    <w:t>2</w:t>
                  </w:r>
                  <w:r w:rsidRPr="007044F6">
                    <w:rPr>
                      <w:sz w:val="22"/>
                      <w:szCs w:val="22"/>
                    </w:rPr>
                    <w:t>/dan, p.o.): dani 1-5; 29-33</w:t>
                  </w:r>
                </w:p>
                <w:p w:rsidR="000A2337" w:rsidRPr="007044F6" w:rsidRDefault="000A2337" w:rsidP="00161AB3">
                  <w:pPr>
                    <w:autoSpaceDE w:val="0"/>
                    <w:autoSpaceDN w:val="0"/>
                    <w:adjustRightInd w:val="0"/>
                    <w:rPr>
                      <w:sz w:val="22"/>
                      <w:szCs w:val="22"/>
                    </w:rPr>
                  </w:pPr>
                  <w:r w:rsidRPr="007044F6">
                    <w:rPr>
                      <w:sz w:val="22"/>
                      <w:szCs w:val="22"/>
                    </w:rPr>
                    <w:t>6-MP (75 mg/m</w:t>
                  </w:r>
                  <w:r w:rsidRPr="007044F6">
                    <w:rPr>
                      <w:sz w:val="22"/>
                      <w:szCs w:val="22"/>
                      <w:vertAlign w:val="superscript"/>
                    </w:rPr>
                    <w:t>2</w:t>
                  </w:r>
                  <w:r w:rsidRPr="007044F6">
                    <w:rPr>
                      <w:sz w:val="22"/>
                      <w:szCs w:val="22"/>
                    </w:rPr>
                    <w:t>/dan, p.o.): dani 8-28</w:t>
                  </w:r>
                </w:p>
                <w:p w:rsidR="000A2337" w:rsidRPr="007044F6" w:rsidRDefault="000A2337" w:rsidP="00161AB3">
                  <w:pPr>
                    <w:autoSpaceDE w:val="0"/>
                    <w:autoSpaceDN w:val="0"/>
                    <w:adjustRightInd w:val="0"/>
                    <w:rPr>
                      <w:sz w:val="22"/>
                      <w:szCs w:val="22"/>
                    </w:rPr>
                  </w:pPr>
                  <w:r w:rsidRPr="007044F6">
                    <w:rPr>
                      <w:sz w:val="22"/>
                      <w:szCs w:val="22"/>
                    </w:rPr>
                    <w:t>Metotreksat (20 mg/m</w:t>
                  </w:r>
                  <w:r w:rsidRPr="007044F6">
                    <w:rPr>
                      <w:sz w:val="22"/>
                      <w:szCs w:val="22"/>
                      <w:vertAlign w:val="superscript"/>
                    </w:rPr>
                    <w:t>2</w:t>
                  </w:r>
                  <w:r w:rsidRPr="007044F6">
                    <w:rPr>
                      <w:sz w:val="22"/>
                      <w:szCs w:val="22"/>
                    </w:rPr>
                    <w:t>/tjedan, p.o.): dani 8, 15, 22</w:t>
                  </w:r>
                </w:p>
                <w:p w:rsidR="000A2337" w:rsidRPr="007044F6" w:rsidRDefault="000A2337" w:rsidP="00161AB3">
                  <w:pPr>
                    <w:autoSpaceDE w:val="0"/>
                    <w:autoSpaceDN w:val="0"/>
                    <w:adjustRightInd w:val="0"/>
                    <w:rPr>
                      <w:sz w:val="22"/>
                      <w:szCs w:val="22"/>
                    </w:rPr>
                  </w:pPr>
                  <w:r w:rsidRPr="007044F6">
                    <w:rPr>
                      <w:sz w:val="22"/>
                      <w:szCs w:val="22"/>
                    </w:rPr>
                    <w:t>VP-16 (100 mg/m</w:t>
                  </w:r>
                  <w:r w:rsidRPr="007044F6">
                    <w:rPr>
                      <w:sz w:val="22"/>
                      <w:szCs w:val="22"/>
                      <w:vertAlign w:val="superscript"/>
                    </w:rPr>
                    <w:t>2</w:t>
                  </w:r>
                  <w:r w:rsidRPr="007044F6">
                    <w:rPr>
                      <w:sz w:val="22"/>
                      <w:szCs w:val="22"/>
                    </w:rPr>
                    <w:t>, i.v.): dani 29-33</w:t>
                  </w:r>
                </w:p>
                <w:p w:rsidR="000A2337" w:rsidRPr="007044F6" w:rsidRDefault="000A2337" w:rsidP="00161AB3">
                  <w:pPr>
                    <w:autoSpaceDE w:val="0"/>
                    <w:autoSpaceDN w:val="0"/>
                    <w:adjustRightInd w:val="0"/>
                    <w:rPr>
                      <w:sz w:val="22"/>
                      <w:szCs w:val="22"/>
                    </w:rPr>
                  </w:pPr>
                  <w:r w:rsidRPr="007044F6">
                    <w:rPr>
                      <w:sz w:val="22"/>
                      <w:szCs w:val="22"/>
                    </w:rPr>
                    <w:t>CPM (300 mg/m</w:t>
                  </w:r>
                  <w:r w:rsidRPr="007044F6">
                    <w:rPr>
                      <w:sz w:val="22"/>
                      <w:szCs w:val="22"/>
                      <w:vertAlign w:val="superscript"/>
                    </w:rPr>
                    <w:t>2</w:t>
                  </w:r>
                  <w:r w:rsidRPr="007044F6">
                    <w:rPr>
                      <w:sz w:val="22"/>
                      <w:szCs w:val="22"/>
                    </w:rPr>
                    <w:t>, i.v.): dani 29-33</w:t>
                  </w:r>
                </w:p>
                <w:p w:rsidR="000A2337" w:rsidRPr="007044F6" w:rsidRDefault="000A2337" w:rsidP="00161AB3">
                  <w:pPr>
                    <w:autoSpaceDE w:val="0"/>
                    <w:autoSpaceDN w:val="0"/>
                    <w:adjustRightInd w:val="0"/>
                    <w:rPr>
                      <w:sz w:val="22"/>
                      <w:szCs w:val="22"/>
                    </w:rPr>
                  </w:pPr>
                  <w:r w:rsidRPr="007044F6">
                    <w:rPr>
                      <w:sz w:val="22"/>
                      <w:szCs w:val="22"/>
                    </w:rPr>
                    <w:t>MESNA i.v., dani 29-33</w:t>
                  </w:r>
                </w:p>
                <w:p w:rsidR="000A2337" w:rsidRDefault="000A2337" w:rsidP="00161AB3">
                  <w:pPr>
                    <w:rPr>
                      <w:sz w:val="22"/>
                      <w:szCs w:val="22"/>
                    </w:rPr>
                  </w:pPr>
                  <w:r w:rsidRPr="007044F6">
                    <w:rPr>
                      <w:sz w:val="22"/>
                      <w:szCs w:val="22"/>
                    </w:rPr>
                    <w:t>G-CSF (5 μg/kg, s.c.): dani 34-43</w:t>
                  </w:r>
                </w:p>
                <w:p w:rsidR="000748B4" w:rsidRPr="007044F6" w:rsidRDefault="000748B4" w:rsidP="00161AB3">
                  <w:pPr>
                    <w:rPr>
                      <w:sz w:val="22"/>
                      <w:szCs w:val="22"/>
                      <w:lang w:val="sr-Latn-CS"/>
                    </w:rPr>
                  </w:pPr>
                </w:p>
              </w:tc>
            </w:tr>
            <w:tr w:rsidR="000A2337" w:rsidRPr="007F411F" w:rsidTr="00161AB3">
              <w:tc>
                <w:tcPr>
                  <w:tcW w:w="2245"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Održavanje</w:t>
                  </w:r>
                </w:p>
                <w:p w:rsidR="000A2337" w:rsidRPr="007044F6" w:rsidRDefault="000A2337" w:rsidP="00161AB3">
                  <w:pPr>
                    <w:autoSpaceDE w:val="0"/>
                    <w:autoSpaceDN w:val="0"/>
                    <w:adjustRightInd w:val="0"/>
                    <w:rPr>
                      <w:sz w:val="22"/>
                      <w:szCs w:val="22"/>
                    </w:rPr>
                  </w:pPr>
                  <w:r w:rsidRPr="007044F6">
                    <w:rPr>
                      <w:sz w:val="22"/>
                      <w:szCs w:val="22"/>
                    </w:rPr>
                    <w:lastRenderedPageBreak/>
                    <w:t>(8-nedjeljni ciklusi)</w:t>
                  </w:r>
                </w:p>
                <w:p w:rsidR="000A2337" w:rsidRPr="007044F6" w:rsidRDefault="000A2337" w:rsidP="00161AB3">
                  <w:pPr>
                    <w:rPr>
                      <w:sz w:val="22"/>
                      <w:szCs w:val="22"/>
                      <w:lang w:val="sr-Latn-CS"/>
                    </w:rPr>
                  </w:pPr>
                  <w:r w:rsidRPr="007044F6">
                    <w:rPr>
                      <w:sz w:val="22"/>
                      <w:szCs w:val="22"/>
                    </w:rPr>
                    <w:t>Ciklus 5</w:t>
                  </w:r>
                </w:p>
              </w:tc>
              <w:tc>
                <w:tcPr>
                  <w:tcW w:w="7200"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lastRenderedPageBreak/>
                    <w:t>Kranijalna iradijacija (Samo blok br. 5)</w:t>
                  </w:r>
                </w:p>
                <w:p w:rsidR="000A2337" w:rsidRPr="007044F6" w:rsidRDefault="000A2337" w:rsidP="00161AB3">
                  <w:pPr>
                    <w:autoSpaceDE w:val="0"/>
                    <w:autoSpaceDN w:val="0"/>
                    <w:adjustRightInd w:val="0"/>
                    <w:rPr>
                      <w:sz w:val="22"/>
                      <w:szCs w:val="22"/>
                    </w:rPr>
                  </w:pPr>
                  <w:r w:rsidRPr="007044F6">
                    <w:rPr>
                      <w:sz w:val="22"/>
                      <w:szCs w:val="22"/>
                    </w:rPr>
                    <w:lastRenderedPageBreak/>
                    <w:t>12 Gy u 8 frakcija za sve pacijente koji imaju CNS1 i CNS2 u trenutku dijagnoze</w:t>
                  </w:r>
                </w:p>
                <w:p w:rsidR="000A2337" w:rsidRPr="007044F6" w:rsidRDefault="000A2337" w:rsidP="00161AB3">
                  <w:pPr>
                    <w:autoSpaceDE w:val="0"/>
                    <w:autoSpaceDN w:val="0"/>
                    <w:adjustRightInd w:val="0"/>
                    <w:rPr>
                      <w:sz w:val="22"/>
                      <w:szCs w:val="22"/>
                    </w:rPr>
                  </w:pPr>
                  <w:r w:rsidRPr="007044F6">
                    <w:rPr>
                      <w:sz w:val="22"/>
                      <w:szCs w:val="22"/>
                    </w:rPr>
                    <w:t>18 Gy u 10 frakcija za pacijente koji imaju CNS3 u trenutku dijagnoze</w:t>
                  </w:r>
                </w:p>
                <w:p w:rsidR="000A2337" w:rsidRPr="007044F6" w:rsidRDefault="000A2337" w:rsidP="00161AB3">
                  <w:pPr>
                    <w:autoSpaceDE w:val="0"/>
                    <w:autoSpaceDN w:val="0"/>
                    <w:adjustRightInd w:val="0"/>
                    <w:rPr>
                      <w:sz w:val="22"/>
                      <w:szCs w:val="22"/>
                    </w:rPr>
                  </w:pPr>
                  <w:r w:rsidRPr="007044F6">
                    <w:rPr>
                      <w:sz w:val="22"/>
                      <w:szCs w:val="22"/>
                    </w:rPr>
                    <w:t>VCR (1,5 mg/m</w:t>
                  </w:r>
                  <w:r w:rsidRPr="007044F6">
                    <w:rPr>
                      <w:sz w:val="22"/>
                      <w:szCs w:val="22"/>
                      <w:vertAlign w:val="superscript"/>
                    </w:rPr>
                    <w:t>2</w:t>
                  </w:r>
                  <w:r w:rsidRPr="007044F6">
                    <w:rPr>
                      <w:sz w:val="22"/>
                      <w:szCs w:val="22"/>
                    </w:rPr>
                    <w:t>/dan, i.v.): dani 1, 29</w:t>
                  </w:r>
                </w:p>
                <w:p w:rsidR="000A2337" w:rsidRPr="007044F6" w:rsidRDefault="000A2337" w:rsidP="00161AB3">
                  <w:pPr>
                    <w:autoSpaceDE w:val="0"/>
                    <w:autoSpaceDN w:val="0"/>
                    <w:adjustRightInd w:val="0"/>
                    <w:rPr>
                      <w:sz w:val="22"/>
                      <w:szCs w:val="22"/>
                    </w:rPr>
                  </w:pPr>
                  <w:r w:rsidRPr="007044F6">
                    <w:rPr>
                      <w:sz w:val="22"/>
                      <w:szCs w:val="22"/>
                    </w:rPr>
                    <w:t>DEX (6 mg/m</w:t>
                  </w:r>
                  <w:r w:rsidRPr="007044F6">
                    <w:rPr>
                      <w:sz w:val="22"/>
                      <w:szCs w:val="22"/>
                      <w:vertAlign w:val="superscript"/>
                    </w:rPr>
                    <w:t>2</w:t>
                  </w:r>
                  <w:r w:rsidRPr="007044F6">
                    <w:rPr>
                      <w:sz w:val="22"/>
                      <w:szCs w:val="22"/>
                    </w:rPr>
                    <w:t>/dan, p.o.): dani 1-5; 29-33</w:t>
                  </w:r>
                </w:p>
                <w:p w:rsidR="000A2337" w:rsidRPr="007044F6" w:rsidRDefault="000A2337" w:rsidP="00161AB3">
                  <w:pPr>
                    <w:autoSpaceDE w:val="0"/>
                    <w:autoSpaceDN w:val="0"/>
                    <w:adjustRightInd w:val="0"/>
                    <w:rPr>
                      <w:sz w:val="22"/>
                      <w:szCs w:val="22"/>
                    </w:rPr>
                  </w:pPr>
                  <w:r w:rsidRPr="007044F6">
                    <w:rPr>
                      <w:sz w:val="22"/>
                      <w:szCs w:val="22"/>
                    </w:rPr>
                    <w:t>6-MP (75 mg/m</w:t>
                  </w:r>
                  <w:r w:rsidRPr="007044F6">
                    <w:rPr>
                      <w:sz w:val="22"/>
                      <w:szCs w:val="22"/>
                      <w:vertAlign w:val="superscript"/>
                    </w:rPr>
                    <w:t>2</w:t>
                  </w:r>
                  <w:r w:rsidRPr="007044F6">
                    <w:rPr>
                      <w:sz w:val="22"/>
                      <w:szCs w:val="22"/>
                    </w:rPr>
                    <w:t>/dan, p.o.): dani 11-56 (Uskratiti 6-MP tokom 6-10 dana kranijalne iradijacije dana 1, ciklusa 5. Započeti 6-MP 1-og dana nakon završetka kranijalne iradijacije.)</w:t>
                  </w:r>
                </w:p>
                <w:p w:rsidR="000A2337" w:rsidRPr="007044F6" w:rsidRDefault="000A2337" w:rsidP="00161AB3">
                  <w:pPr>
                    <w:rPr>
                      <w:sz w:val="22"/>
                      <w:szCs w:val="22"/>
                      <w:lang w:val="sr-Latn-CS"/>
                    </w:rPr>
                  </w:pPr>
                  <w:r w:rsidRPr="007044F6">
                    <w:rPr>
                      <w:sz w:val="22"/>
                      <w:szCs w:val="22"/>
                    </w:rPr>
                    <w:t>Metotreksat (20 mg/m</w:t>
                  </w:r>
                  <w:r w:rsidRPr="007044F6">
                    <w:rPr>
                      <w:sz w:val="22"/>
                      <w:szCs w:val="22"/>
                      <w:vertAlign w:val="superscript"/>
                    </w:rPr>
                    <w:t>2</w:t>
                  </w:r>
                  <w:r w:rsidRPr="007044F6">
                    <w:rPr>
                      <w:sz w:val="22"/>
                      <w:szCs w:val="22"/>
                    </w:rPr>
                    <w:t>/nedjelja, p.o.): dani 8, 15, 22, 29, 36, 43, 50</w:t>
                  </w:r>
                </w:p>
              </w:tc>
            </w:tr>
            <w:tr w:rsidR="000A2337" w:rsidRPr="007F411F" w:rsidTr="00161AB3">
              <w:tc>
                <w:tcPr>
                  <w:tcW w:w="2245"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lastRenderedPageBreak/>
                    <w:t>Održavanje</w:t>
                  </w:r>
                </w:p>
                <w:p w:rsidR="000A2337" w:rsidRPr="007044F6" w:rsidRDefault="000A2337" w:rsidP="00161AB3">
                  <w:pPr>
                    <w:autoSpaceDE w:val="0"/>
                    <w:autoSpaceDN w:val="0"/>
                    <w:adjustRightInd w:val="0"/>
                    <w:rPr>
                      <w:sz w:val="22"/>
                      <w:szCs w:val="22"/>
                    </w:rPr>
                  </w:pPr>
                  <w:r w:rsidRPr="007044F6">
                    <w:rPr>
                      <w:sz w:val="22"/>
                      <w:szCs w:val="22"/>
                    </w:rPr>
                    <w:t>(8-nedjeljni ciklusi)</w:t>
                  </w:r>
                </w:p>
                <w:p w:rsidR="000A2337" w:rsidRPr="007044F6" w:rsidRDefault="000A2337" w:rsidP="00161AB3">
                  <w:pPr>
                    <w:rPr>
                      <w:sz w:val="22"/>
                      <w:szCs w:val="22"/>
                      <w:lang w:val="sr-Latn-CS"/>
                    </w:rPr>
                  </w:pPr>
                  <w:r w:rsidRPr="007044F6">
                    <w:rPr>
                      <w:sz w:val="22"/>
                      <w:szCs w:val="22"/>
                    </w:rPr>
                    <w:t>Ciklusi 6-12</w:t>
                  </w:r>
                </w:p>
              </w:tc>
              <w:tc>
                <w:tcPr>
                  <w:tcW w:w="7200" w:type="dxa"/>
                  <w:shd w:val="clear" w:color="auto" w:fill="auto"/>
                </w:tcPr>
                <w:p w:rsidR="000A2337" w:rsidRPr="007044F6" w:rsidRDefault="000A2337" w:rsidP="00161AB3">
                  <w:pPr>
                    <w:autoSpaceDE w:val="0"/>
                    <w:autoSpaceDN w:val="0"/>
                    <w:adjustRightInd w:val="0"/>
                    <w:rPr>
                      <w:sz w:val="22"/>
                      <w:szCs w:val="22"/>
                    </w:rPr>
                  </w:pPr>
                  <w:r w:rsidRPr="007044F6">
                    <w:rPr>
                      <w:sz w:val="22"/>
                      <w:szCs w:val="22"/>
                    </w:rPr>
                    <w:t>VCR (1,5 mg/m</w:t>
                  </w:r>
                  <w:r w:rsidRPr="007044F6">
                    <w:rPr>
                      <w:sz w:val="22"/>
                      <w:szCs w:val="22"/>
                      <w:vertAlign w:val="superscript"/>
                    </w:rPr>
                    <w:t>2</w:t>
                  </w:r>
                  <w:r w:rsidRPr="007044F6">
                    <w:rPr>
                      <w:sz w:val="22"/>
                      <w:szCs w:val="22"/>
                    </w:rPr>
                    <w:t>/dan, i.v.): dani 1, 29</w:t>
                  </w:r>
                </w:p>
                <w:p w:rsidR="000A2337" w:rsidRPr="007044F6" w:rsidRDefault="000A2337" w:rsidP="00161AB3">
                  <w:pPr>
                    <w:autoSpaceDE w:val="0"/>
                    <w:autoSpaceDN w:val="0"/>
                    <w:adjustRightInd w:val="0"/>
                    <w:rPr>
                      <w:sz w:val="22"/>
                      <w:szCs w:val="22"/>
                    </w:rPr>
                  </w:pPr>
                  <w:r w:rsidRPr="007044F6">
                    <w:rPr>
                      <w:sz w:val="22"/>
                      <w:szCs w:val="22"/>
                    </w:rPr>
                    <w:t>DEX (6 mg/m</w:t>
                  </w:r>
                  <w:r w:rsidRPr="007044F6">
                    <w:rPr>
                      <w:sz w:val="22"/>
                      <w:szCs w:val="22"/>
                      <w:vertAlign w:val="superscript"/>
                    </w:rPr>
                    <w:t>2</w:t>
                  </w:r>
                  <w:r w:rsidRPr="007044F6">
                    <w:rPr>
                      <w:sz w:val="22"/>
                      <w:szCs w:val="22"/>
                    </w:rPr>
                    <w:t>/dan, p.o.): dani 1-5; 29-33</w:t>
                  </w:r>
                </w:p>
                <w:p w:rsidR="000A2337" w:rsidRPr="007044F6" w:rsidRDefault="000A2337" w:rsidP="00161AB3">
                  <w:pPr>
                    <w:autoSpaceDE w:val="0"/>
                    <w:autoSpaceDN w:val="0"/>
                    <w:adjustRightInd w:val="0"/>
                    <w:rPr>
                      <w:sz w:val="22"/>
                      <w:szCs w:val="22"/>
                    </w:rPr>
                  </w:pPr>
                  <w:r w:rsidRPr="007044F6">
                    <w:rPr>
                      <w:sz w:val="22"/>
                      <w:szCs w:val="22"/>
                    </w:rPr>
                    <w:t>6-MP (75 mg/m</w:t>
                  </w:r>
                  <w:r w:rsidRPr="007044F6">
                    <w:rPr>
                      <w:sz w:val="22"/>
                      <w:szCs w:val="22"/>
                      <w:vertAlign w:val="superscript"/>
                    </w:rPr>
                    <w:t>2</w:t>
                  </w:r>
                  <w:r w:rsidRPr="007044F6">
                    <w:rPr>
                      <w:sz w:val="22"/>
                      <w:szCs w:val="22"/>
                    </w:rPr>
                    <w:t>/dan, p.o.): dani 1-56</w:t>
                  </w:r>
                </w:p>
                <w:p w:rsidR="000A2337" w:rsidRPr="007044F6" w:rsidRDefault="000A2337" w:rsidP="00161AB3">
                  <w:pPr>
                    <w:rPr>
                      <w:sz w:val="22"/>
                      <w:szCs w:val="22"/>
                      <w:lang w:val="sr-Latn-CS"/>
                    </w:rPr>
                  </w:pPr>
                  <w:r w:rsidRPr="007044F6">
                    <w:rPr>
                      <w:sz w:val="22"/>
                      <w:szCs w:val="22"/>
                    </w:rPr>
                    <w:t>Metotreksat (20 mg/m2/tjedan, p.o.): dani 1, 8, 15, 22, 29, 36, 43, 50</w:t>
                  </w:r>
                </w:p>
              </w:tc>
            </w:tr>
          </w:tbl>
          <w:p w:rsidR="000748B4" w:rsidRDefault="000A2337" w:rsidP="00161AB3">
            <w:pPr>
              <w:autoSpaceDE w:val="0"/>
              <w:autoSpaceDN w:val="0"/>
              <w:adjustRightInd w:val="0"/>
              <w:rPr>
                <w:sz w:val="22"/>
                <w:szCs w:val="22"/>
              </w:rPr>
            </w:pPr>
            <w:r w:rsidRPr="007044F6">
              <w:rPr>
                <w:sz w:val="22"/>
                <w:szCs w:val="22"/>
              </w:rPr>
              <w:t xml:space="preserve">G-CSF = faktor stimulacije rasta granulocita, VP-16 = etoposid, MTX = metotreksat, i.v. = intravenski, </w:t>
            </w:r>
          </w:p>
          <w:p w:rsidR="000748B4" w:rsidRDefault="000A2337" w:rsidP="00161AB3">
            <w:pPr>
              <w:autoSpaceDE w:val="0"/>
              <w:autoSpaceDN w:val="0"/>
              <w:adjustRightInd w:val="0"/>
              <w:rPr>
                <w:sz w:val="22"/>
                <w:szCs w:val="22"/>
              </w:rPr>
            </w:pPr>
            <w:r w:rsidRPr="007044F6">
              <w:rPr>
                <w:sz w:val="22"/>
                <w:szCs w:val="22"/>
              </w:rPr>
              <w:t xml:space="preserve">SC = potkožno, i.t = intratekalno, p.o. = oralno, i.m. = u mišić, ARA-C = citarabin, CPM = ciklofosfamid, </w:t>
            </w:r>
          </w:p>
          <w:p w:rsidR="000748B4" w:rsidRDefault="000A2337" w:rsidP="00161AB3">
            <w:pPr>
              <w:autoSpaceDE w:val="0"/>
              <w:autoSpaceDN w:val="0"/>
              <w:adjustRightInd w:val="0"/>
              <w:rPr>
                <w:sz w:val="22"/>
                <w:szCs w:val="22"/>
              </w:rPr>
            </w:pPr>
            <w:r w:rsidRPr="007044F6">
              <w:rPr>
                <w:sz w:val="22"/>
                <w:szCs w:val="22"/>
              </w:rPr>
              <w:t xml:space="preserve">VCR = vinkristin, DEX = deksametazon, DAUN = daunorubicin, 6-MP = 6-merkaptopurin, </w:t>
            </w:r>
          </w:p>
          <w:p w:rsidR="000748B4" w:rsidRDefault="000A2337" w:rsidP="00161AB3">
            <w:pPr>
              <w:autoSpaceDE w:val="0"/>
              <w:autoSpaceDN w:val="0"/>
              <w:adjustRightInd w:val="0"/>
              <w:rPr>
                <w:sz w:val="22"/>
                <w:szCs w:val="22"/>
              </w:rPr>
            </w:pPr>
            <w:r w:rsidRPr="007044F6">
              <w:rPr>
                <w:sz w:val="22"/>
                <w:szCs w:val="22"/>
              </w:rPr>
              <w:t xml:space="preserve">E.Coli L-ASP = L-asparaginaza, PEG-ASP = PEG asparaginaza, </w:t>
            </w:r>
          </w:p>
          <w:p w:rsidR="000A2337" w:rsidRPr="007044F6" w:rsidRDefault="000A2337" w:rsidP="00161AB3">
            <w:pPr>
              <w:autoSpaceDE w:val="0"/>
              <w:autoSpaceDN w:val="0"/>
              <w:adjustRightInd w:val="0"/>
              <w:rPr>
                <w:sz w:val="22"/>
                <w:szCs w:val="22"/>
              </w:rPr>
            </w:pPr>
            <w:r w:rsidRPr="007044F6">
              <w:rPr>
                <w:sz w:val="22"/>
                <w:szCs w:val="22"/>
              </w:rPr>
              <w:t>MESNA= natrijum 2-merkaptoetan sulfonat, iii= ili dok vrijednost MTX-a ne bude &lt;0,1 μm, Gy= Gray</w:t>
            </w:r>
          </w:p>
          <w:p w:rsidR="000A2337" w:rsidRPr="00585B76" w:rsidRDefault="000A2337" w:rsidP="00161AB3">
            <w:pPr>
              <w:rPr>
                <w:sz w:val="22"/>
                <w:szCs w:val="22"/>
              </w:rPr>
            </w:pPr>
          </w:p>
          <w:p w:rsidR="000A2337" w:rsidRPr="007F411F" w:rsidRDefault="000A2337" w:rsidP="00161AB3">
            <w:pPr>
              <w:autoSpaceDE w:val="0"/>
              <w:autoSpaceDN w:val="0"/>
              <w:adjustRightInd w:val="0"/>
              <w:jc w:val="both"/>
              <w:rPr>
                <w:sz w:val="22"/>
                <w:szCs w:val="22"/>
              </w:rPr>
            </w:pPr>
            <w:r w:rsidRPr="007F411F">
              <w:rPr>
                <w:sz w:val="22"/>
                <w:szCs w:val="22"/>
              </w:rPr>
              <w:t xml:space="preserve">Ispitivanje AIT07 bilo je multicentrično, otvoreno, randomizovano ispitivanje faze II/III u kojem je učestvovalo 128 </w:t>
            </w:r>
            <w:r>
              <w:rPr>
                <w:sz w:val="22"/>
                <w:szCs w:val="22"/>
              </w:rPr>
              <w:t>pacijenat</w:t>
            </w:r>
            <w:r w:rsidRPr="007F411F">
              <w:rPr>
                <w:sz w:val="22"/>
                <w:szCs w:val="22"/>
              </w:rPr>
              <w:t>a (od 1 do &lt;18 godina) liječenih imatinibom u kombinaciji sa hemoterapijom.</w:t>
            </w:r>
          </w:p>
          <w:p w:rsidR="000A2337" w:rsidRPr="007F411F" w:rsidRDefault="000A2337" w:rsidP="00161AB3">
            <w:pPr>
              <w:autoSpaceDE w:val="0"/>
              <w:autoSpaceDN w:val="0"/>
              <w:adjustRightInd w:val="0"/>
              <w:jc w:val="both"/>
              <w:rPr>
                <w:sz w:val="22"/>
                <w:szCs w:val="22"/>
              </w:rPr>
            </w:pPr>
            <w:r w:rsidRPr="007F411F">
              <w:rPr>
                <w:sz w:val="22"/>
                <w:szCs w:val="22"/>
              </w:rPr>
              <w:t xml:space="preserve">Podaci o bezbjednosti primjene iz ovog ispitivanja u skladu su sa bezbjednosnim profilom imatiniba kod     </w:t>
            </w:r>
            <w:r>
              <w:rPr>
                <w:sz w:val="22"/>
                <w:szCs w:val="22"/>
              </w:rPr>
              <w:t>pacijenat</w:t>
            </w:r>
            <w:r w:rsidRPr="007F411F">
              <w:rPr>
                <w:sz w:val="22"/>
                <w:szCs w:val="22"/>
              </w:rPr>
              <w:t>a sa Ph+ ALL.</w:t>
            </w:r>
          </w:p>
          <w:p w:rsidR="000A2337" w:rsidRPr="005E5B70" w:rsidRDefault="000A2337" w:rsidP="00161AB3">
            <w:pPr>
              <w:jc w:val="both"/>
              <w:rPr>
                <w:sz w:val="22"/>
                <w:szCs w:val="22"/>
                <w:lang w:val="sr-Latn-CS"/>
              </w:rPr>
            </w:pPr>
          </w:p>
          <w:p w:rsidR="000A2337" w:rsidRPr="004239CB" w:rsidRDefault="000A2337" w:rsidP="00161AB3">
            <w:pPr>
              <w:pStyle w:val="Header"/>
              <w:tabs>
                <w:tab w:val="left" w:pos="284"/>
              </w:tabs>
              <w:jc w:val="both"/>
              <w:rPr>
                <w:bCs/>
                <w:i/>
                <w:sz w:val="22"/>
                <w:szCs w:val="22"/>
                <w:lang w:val="da-DK"/>
              </w:rPr>
            </w:pPr>
            <w:r>
              <w:rPr>
                <w:bCs/>
                <w:i/>
                <w:sz w:val="22"/>
                <w:szCs w:val="22"/>
                <w:lang w:val="da-DK"/>
              </w:rPr>
              <w:t>Relaps</w:t>
            </w:r>
            <w:r w:rsidRPr="004239CB">
              <w:rPr>
                <w:bCs/>
                <w:i/>
                <w:sz w:val="22"/>
                <w:szCs w:val="22"/>
                <w:lang w:val="da-DK"/>
              </w:rPr>
              <w:t>/refraktorna Ph+ ALL</w:t>
            </w:r>
            <w:r w:rsidRPr="004239CB">
              <w:rPr>
                <w:i/>
                <w:iCs/>
                <w:sz w:val="22"/>
                <w:szCs w:val="22"/>
                <w:lang w:val="sr-Latn-CS"/>
              </w:rPr>
              <w:t xml:space="preserve">: </w:t>
            </w:r>
            <w:r>
              <w:rPr>
                <w:sz w:val="22"/>
                <w:szCs w:val="22"/>
                <w:lang w:val="sr-Latn-CS"/>
              </w:rPr>
              <w:t>samostalna primjena</w:t>
            </w:r>
            <w:r w:rsidRPr="004239CB">
              <w:rPr>
                <w:sz w:val="22"/>
                <w:szCs w:val="22"/>
                <w:lang w:val="sr-Latn-CS"/>
              </w:rPr>
              <w:t xml:space="preserve"> imatinib</w:t>
            </w:r>
            <w:r>
              <w:rPr>
                <w:sz w:val="22"/>
                <w:szCs w:val="22"/>
                <w:lang w:val="sr-Latn-CS"/>
              </w:rPr>
              <w:t>a kod pacijenata sa relapsnom</w:t>
            </w:r>
            <w:r w:rsidRPr="004239CB">
              <w:rPr>
                <w:sz w:val="22"/>
                <w:szCs w:val="22"/>
                <w:lang w:val="sr-Latn-CS"/>
              </w:rPr>
              <w:t xml:space="preserve">/refraktarnom Ph+ </w:t>
            </w:r>
            <w:smartTag w:uri="urn:schemas-microsoft-com:office:smarttags" w:element="stockticker">
              <w:r w:rsidRPr="004239CB">
                <w:rPr>
                  <w:sz w:val="22"/>
                  <w:szCs w:val="22"/>
                  <w:lang w:val="sr-Latn-CS"/>
                </w:rPr>
                <w:t>ALL</w:t>
              </w:r>
            </w:smartTag>
            <w:r w:rsidRPr="004239CB">
              <w:rPr>
                <w:sz w:val="22"/>
                <w:szCs w:val="22"/>
                <w:lang w:val="sr-Latn-CS"/>
              </w:rPr>
              <w:t xml:space="preserve">, </w:t>
            </w:r>
            <w:r>
              <w:rPr>
                <w:sz w:val="22"/>
                <w:szCs w:val="22"/>
                <w:lang w:val="sr-Latn-CS"/>
              </w:rPr>
              <w:t>rezultirala je odgovorom</w:t>
            </w:r>
            <w:r w:rsidRPr="004239CB">
              <w:rPr>
                <w:sz w:val="22"/>
                <w:szCs w:val="22"/>
                <w:lang w:val="sr-Latn-CS"/>
              </w:rPr>
              <w:t xml:space="preserve"> </w:t>
            </w:r>
            <w:r>
              <w:rPr>
                <w:sz w:val="22"/>
                <w:szCs w:val="22"/>
                <w:lang w:val="sr-Latn-CS"/>
              </w:rPr>
              <w:t>kod</w:t>
            </w:r>
            <w:r w:rsidRPr="004239CB">
              <w:rPr>
                <w:sz w:val="22"/>
                <w:szCs w:val="22"/>
                <w:lang w:val="sr-Latn-CS"/>
              </w:rPr>
              <w:t xml:space="preserve"> 53 od 411 </w:t>
            </w:r>
            <w:r>
              <w:rPr>
                <w:sz w:val="22"/>
                <w:szCs w:val="22"/>
                <w:lang w:val="sr-Latn-CS"/>
              </w:rPr>
              <w:t>evaluirana pacijenta</w:t>
            </w:r>
            <w:r w:rsidRPr="004239CB">
              <w:rPr>
                <w:sz w:val="22"/>
                <w:szCs w:val="22"/>
                <w:lang w:val="sr-Latn-CS"/>
              </w:rPr>
              <w:t xml:space="preserve">, </w:t>
            </w:r>
            <w:r>
              <w:rPr>
                <w:sz w:val="22"/>
                <w:szCs w:val="22"/>
                <w:lang w:val="sr-Latn-CS"/>
              </w:rPr>
              <w:t xml:space="preserve">rezultovalo stopom </w:t>
            </w:r>
            <w:r w:rsidRPr="004239CB">
              <w:rPr>
                <w:sz w:val="22"/>
                <w:szCs w:val="22"/>
                <w:lang w:val="sr-Latn-CS"/>
              </w:rPr>
              <w:t>hematološk</w:t>
            </w:r>
            <w:r>
              <w:rPr>
                <w:sz w:val="22"/>
                <w:szCs w:val="22"/>
                <w:lang w:val="sr-Latn-CS"/>
              </w:rPr>
              <w:t>og</w:t>
            </w:r>
            <w:r w:rsidRPr="004239CB">
              <w:rPr>
                <w:sz w:val="22"/>
                <w:szCs w:val="22"/>
                <w:lang w:val="sr-Latn-CS"/>
              </w:rPr>
              <w:t xml:space="preserve"> </w:t>
            </w:r>
            <w:r>
              <w:rPr>
                <w:sz w:val="22"/>
                <w:szCs w:val="22"/>
                <w:lang w:val="sr-Latn-CS"/>
              </w:rPr>
              <w:t>odgovora</w:t>
            </w:r>
            <w:r w:rsidRPr="004239CB">
              <w:rPr>
                <w:sz w:val="22"/>
                <w:szCs w:val="22"/>
                <w:lang w:val="sr-Latn-CS"/>
              </w:rPr>
              <w:t xml:space="preserve"> od 30% (9% od ukupnog) i </w:t>
            </w:r>
            <w:r>
              <w:rPr>
                <w:sz w:val="22"/>
                <w:szCs w:val="22"/>
                <w:lang w:val="sr-Latn-CS"/>
              </w:rPr>
              <w:t xml:space="preserve">stopom </w:t>
            </w:r>
            <w:r w:rsidRPr="004239CB">
              <w:rPr>
                <w:sz w:val="22"/>
                <w:szCs w:val="22"/>
                <w:lang w:val="sr-Latn-CS"/>
              </w:rPr>
              <w:t>glavn</w:t>
            </w:r>
            <w:r>
              <w:rPr>
                <w:sz w:val="22"/>
                <w:szCs w:val="22"/>
                <w:lang w:val="sr-Latn-CS"/>
              </w:rPr>
              <w:t>og</w:t>
            </w:r>
            <w:r w:rsidRPr="004239CB">
              <w:rPr>
                <w:sz w:val="22"/>
                <w:szCs w:val="22"/>
                <w:lang w:val="sr-Latn-CS"/>
              </w:rPr>
              <w:t xml:space="preserve"> citogenetsk</w:t>
            </w:r>
            <w:r>
              <w:rPr>
                <w:sz w:val="22"/>
                <w:szCs w:val="22"/>
                <w:lang w:val="sr-Latn-CS"/>
              </w:rPr>
              <w:t>og</w:t>
            </w:r>
            <w:r w:rsidRPr="004239CB">
              <w:rPr>
                <w:sz w:val="22"/>
                <w:szCs w:val="22"/>
                <w:lang w:val="sr-Latn-CS"/>
              </w:rPr>
              <w:t xml:space="preserve"> </w:t>
            </w:r>
            <w:r>
              <w:rPr>
                <w:sz w:val="22"/>
                <w:szCs w:val="22"/>
                <w:lang w:val="sr-Latn-CS"/>
              </w:rPr>
              <w:t>odgovora</w:t>
            </w:r>
            <w:r w:rsidRPr="004239CB">
              <w:rPr>
                <w:sz w:val="22"/>
                <w:szCs w:val="22"/>
                <w:lang w:val="sr-Latn-CS"/>
              </w:rPr>
              <w:t xml:space="preserve"> od 23%. Medijana vremena do progresije u ukupnoj populaciji od 411 </w:t>
            </w:r>
            <w:r>
              <w:rPr>
                <w:sz w:val="22"/>
                <w:szCs w:val="22"/>
                <w:lang w:val="sr-Latn-CS"/>
              </w:rPr>
              <w:t>pacijenata sa relapsnom/refrakto</w:t>
            </w:r>
            <w:r w:rsidRPr="004239CB">
              <w:rPr>
                <w:sz w:val="22"/>
                <w:szCs w:val="22"/>
                <w:lang w:val="sr-Latn-CS"/>
              </w:rPr>
              <w:t xml:space="preserve">rnom Ph+ </w:t>
            </w:r>
            <w:smartTag w:uri="urn:schemas-microsoft-com:office:smarttags" w:element="stockticker">
              <w:r w:rsidRPr="004239CB">
                <w:rPr>
                  <w:sz w:val="22"/>
                  <w:szCs w:val="22"/>
                  <w:lang w:val="sr-Latn-CS"/>
                </w:rPr>
                <w:t>ALL</w:t>
              </w:r>
            </w:smartTag>
            <w:r w:rsidRPr="004239CB">
              <w:rPr>
                <w:sz w:val="22"/>
                <w:szCs w:val="22"/>
                <w:lang w:val="sr-Latn-CS"/>
              </w:rPr>
              <w:t xml:space="preserve"> kretala se od 2,6 do 3,1 </w:t>
            </w:r>
            <w:r>
              <w:rPr>
                <w:sz w:val="22"/>
                <w:szCs w:val="22"/>
                <w:lang w:val="sr-Latn-CS"/>
              </w:rPr>
              <w:t>mjesec</w:t>
            </w:r>
            <w:r w:rsidRPr="004239CB">
              <w:rPr>
                <w:sz w:val="22"/>
                <w:szCs w:val="22"/>
                <w:lang w:val="sr-Latn-CS"/>
              </w:rPr>
              <w:t xml:space="preserve">a, a medijana ukupnog preživljavanja kod 401 </w:t>
            </w:r>
            <w:r>
              <w:rPr>
                <w:sz w:val="22"/>
                <w:szCs w:val="22"/>
                <w:lang w:val="sr-Latn-CS"/>
              </w:rPr>
              <w:t>procijen</w:t>
            </w:r>
            <w:r w:rsidRPr="004239CB">
              <w:rPr>
                <w:sz w:val="22"/>
                <w:szCs w:val="22"/>
                <w:lang w:val="sr-Latn-CS"/>
              </w:rPr>
              <w:t xml:space="preserve">jivog </w:t>
            </w:r>
            <w:r>
              <w:rPr>
                <w:sz w:val="22"/>
                <w:szCs w:val="22"/>
                <w:lang w:val="sr-Latn-CS"/>
              </w:rPr>
              <w:t>pacijenta</w:t>
            </w:r>
            <w:r w:rsidRPr="004239CB">
              <w:rPr>
                <w:sz w:val="22"/>
                <w:szCs w:val="22"/>
                <w:lang w:val="sr-Latn-CS"/>
              </w:rPr>
              <w:t xml:space="preserve"> kretala se od 4,9 do 9 </w:t>
            </w:r>
            <w:r>
              <w:rPr>
                <w:sz w:val="22"/>
                <w:szCs w:val="22"/>
                <w:lang w:val="sr-Latn-CS"/>
              </w:rPr>
              <w:t>mjesec</w:t>
            </w:r>
            <w:r w:rsidRPr="004239CB">
              <w:rPr>
                <w:sz w:val="22"/>
                <w:szCs w:val="22"/>
                <w:lang w:val="sr-Latn-CS"/>
              </w:rPr>
              <w:t xml:space="preserve">i. </w:t>
            </w:r>
            <w:r>
              <w:rPr>
                <w:sz w:val="22"/>
                <w:szCs w:val="22"/>
                <w:lang w:val="sr-Latn-CS"/>
              </w:rPr>
              <w:t xml:space="preserve">Podaci su bili slični kad su ponovo analizirani </w:t>
            </w:r>
            <w:r w:rsidRPr="004239CB">
              <w:rPr>
                <w:sz w:val="22"/>
                <w:szCs w:val="22"/>
                <w:lang w:val="sr-Latn-CS"/>
              </w:rPr>
              <w:t xml:space="preserve">da bi se uključili samo </w:t>
            </w:r>
            <w:r>
              <w:rPr>
                <w:sz w:val="22"/>
                <w:szCs w:val="22"/>
                <w:lang w:val="sr-Latn-CS"/>
              </w:rPr>
              <w:t>pacijenti</w:t>
            </w:r>
            <w:r w:rsidRPr="004239CB">
              <w:rPr>
                <w:sz w:val="22"/>
                <w:szCs w:val="22"/>
                <w:lang w:val="sr-Latn-CS"/>
              </w:rPr>
              <w:t xml:space="preserve"> </w:t>
            </w:r>
            <w:r>
              <w:rPr>
                <w:sz w:val="22"/>
                <w:szCs w:val="22"/>
                <w:lang w:val="sr-Latn-CS"/>
              </w:rPr>
              <w:t xml:space="preserve">starosti </w:t>
            </w:r>
            <w:r w:rsidRPr="004239CB">
              <w:rPr>
                <w:sz w:val="22"/>
                <w:szCs w:val="22"/>
                <w:lang w:val="sr-Latn-CS"/>
              </w:rPr>
              <w:t>55 godina ili stariji.</w:t>
            </w:r>
          </w:p>
          <w:p w:rsidR="000A2337" w:rsidRPr="00121148" w:rsidRDefault="000A2337" w:rsidP="00161AB3">
            <w:pPr>
              <w:shd w:val="clear" w:color="auto" w:fill="FFFFFF"/>
              <w:spacing w:before="240" w:line="240" w:lineRule="atLeast"/>
              <w:jc w:val="both"/>
              <w:rPr>
                <w:sz w:val="22"/>
                <w:szCs w:val="22"/>
                <w:lang w:val="sr-Latn-CS"/>
              </w:rPr>
            </w:pPr>
            <w:r w:rsidRPr="00585B76">
              <w:rPr>
                <w:color w:val="000000"/>
                <w:sz w:val="22"/>
                <w:szCs w:val="22"/>
                <w:u w:val="single"/>
                <w:lang w:val="sr-Latn-CS"/>
              </w:rPr>
              <w:t>Kliničke studije kod MDS/MPD</w:t>
            </w:r>
          </w:p>
          <w:p w:rsidR="000A2337" w:rsidRDefault="000A2337" w:rsidP="00161AB3">
            <w:pPr>
              <w:shd w:val="clear" w:color="auto" w:fill="FFFFFF"/>
              <w:spacing w:before="240" w:line="240" w:lineRule="atLeast"/>
              <w:jc w:val="both"/>
              <w:rPr>
                <w:color w:val="000000"/>
                <w:sz w:val="22"/>
                <w:szCs w:val="22"/>
                <w:lang w:val="sr-Latn-CS"/>
              </w:rPr>
            </w:pPr>
            <w:r w:rsidRPr="00320917">
              <w:rPr>
                <w:color w:val="000000"/>
                <w:sz w:val="22"/>
                <w:szCs w:val="22"/>
                <w:lang w:val="sr-Latn-CS"/>
              </w:rPr>
              <w:t xml:space="preserve">Iskustvo sa </w:t>
            </w:r>
            <w:r w:rsidRPr="00E66F58">
              <w:rPr>
                <w:color w:val="000000"/>
                <w:sz w:val="22"/>
                <w:szCs w:val="22"/>
                <w:lang w:val="sr-Latn-CS"/>
              </w:rPr>
              <w:t>i</w:t>
            </w:r>
            <w:r w:rsidRPr="00213A78">
              <w:rPr>
                <w:bCs/>
                <w:sz w:val="22"/>
                <w:szCs w:val="22"/>
                <w:lang w:val="da-DK"/>
              </w:rPr>
              <w:t>matinib</w:t>
            </w:r>
            <w:r w:rsidRPr="00F14C62">
              <w:rPr>
                <w:bCs/>
                <w:sz w:val="22"/>
                <w:szCs w:val="22"/>
                <w:lang w:val="da-DK"/>
              </w:rPr>
              <w:t>om</w:t>
            </w:r>
            <w:r w:rsidRPr="006B68C2">
              <w:rPr>
                <w:bCs/>
                <w:sz w:val="22"/>
                <w:szCs w:val="22"/>
                <w:vertAlign w:val="superscript"/>
                <w:lang w:val="da-DK"/>
              </w:rPr>
              <w:t xml:space="preserve">  </w:t>
            </w:r>
            <w:r w:rsidRPr="005679A2">
              <w:rPr>
                <w:color w:val="000000"/>
                <w:sz w:val="22"/>
                <w:szCs w:val="22"/>
                <w:lang w:val="sr-Latn-CS"/>
              </w:rPr>
              <w:t>kod ove indikacije je veoma ograničeno i zasnovano na stopi hematološkog i citogenetskog odgovora. Nema kontrolisanih studija koje bi pokazale kliničku korist ili po</w:t>
            </w:r>
            <w:r w:rsidRPr="008733C4">
              <w:rPr>
                <w:color w:val="000000"/>
                <w:sz w:val="22"/>
                <w:szCs w:val="22"/>
                <w:lang w:val="sr-Latn-CS"/>
              </w:rPr>
              <w:t xml:space="preserve">većano preživljavanje. Jedna otvorena, multicentrična, studija faze II (studija B2225) je izvedena da bi se ispitala primjena </w:t>
            </w:r>
            <w:r w:rsidRPr="00F84966">
              <w:rPr>
                <w:color w:val="000000"/>
                <w:sz w:val="22"/>
                <w:szCs w:val="22"/>
                <w:lang w:val="sr-Latn-CS"/>
              </w:rPr>
              <w:t>i</w:t>
            </w:r>
            <w:r w:rsidRPr="006D6B4A">
              <w:rPr>
                <w:bCs/>
                <w:sz w:val="22"/>
                <w:szCs w:val="22"/>
                <w:lang w:val="da-DK"/>
              </w:rPr>
              <w:t>matinib</w:t>
            </w:r>
            <w:r w:rsidRPr="00FB0E0D">
              <w:rPr>
                <w:bCs/>
                <w:sz w:val="22"/>
                <w:szCs w:val="22"/>
                <w:lang w:val="da-DK"/>
              </w:rPr>
              <w:t>a</w:t>
            </w:r>
            <w:r w:rsidRPr="00FB0E0D">
              <w:rPr>
                <w:bCs/>
                <w:sz w:val="22"/>
                <w:szCs w:val="22"/>
                <w:vertAlign w:val="superscript"/>
                <w:lang w:val="da-DK"/>
              </w:rPr>
              <w:t xml:space="preserve">  </w:t>
            </w:r>
            <w:r w:rsidRPr="007044F6">
              <w:rPr>
                <w:color w:val="000000"/>
                <w:sz w:val="22"/>
                <w:szCs w:val="22"/>
                <w:lang w:val="sr-Latn-CS"/>
              </w:rPr>
              <w:t xml:space="preserve">kod različitih populacija pacijenata koji su patili od po život opasnih bolesti udruženih sa Abl, Kit ili PDGFR proteinskim tirozin kinazama. Ovo ispitivanje je uključilo 7 pacijenata sa </w:t>
            </w:r>
            <w:smartTag w:uri="urn:schemas-microsoft-com:office:smarttags" w:element="stockticker">
              <w:r w:rsidRPr="007044F6">
                <w:rPr>
                  <w:color w:val="000000"/>
                  <w:sz w:val="22"/>
                  <w:szCs w:val="22"/>
                  <w:lang w:val="sr-Latn-CS"/>
                </w:rPr>
                <w:t>MDS</w:t>
              </w:r>
            </w:smartTag>
            <w:r w:rsidRPr="007044F6">
              <w:rPr>
                <w:color w:val="000000"/>
                <w:sz w:val="22"/>
                <w:szCs w:val="22"/>
                <w:lang w:val="sr-Latn-CS"/>
              </w:rPr>
              <w:t>/MPD-om koji su liječeni i</w:t>
            </w:r>
            <w:r w:rsidRPr="007044F6">
              <w:rPr>
                <w:bCs/>
                <w:sz w:val="22"/>
                <w:szCs w:val="22"/>
                <w:lang w:val="da-DK"/>
              </w:rPr>
              <w:t>matinibom</w:t>
            </w:r>
            <w:r w:rsidRPr="007044F6">
              <w:rPr>
                <w:bCs/>
                <w:sz w:val="22"/>
                <w:szCs w:val="22"/>
                <w:vertAlign w:val="superscript"/>
                <w:lang w:val="da-DK"/>
              </w:rPr>
              <w:t xml:space="preserve"> </w:t>
            </w:r>
            <w:r w:rsidRPr="007044F6">
              <w:rPr>
                <w:color w:val="000000"/>
                <w:sz w:val="22"/>
                <w:szCs w:val="22"/>
                <w:lang w:val="sr-Latn-CS"/>
              </w:rPr>
              <w:t>400 mg dnevno. Tri pacijenta su ispoljila kompletan hematološki odgovor (</w:t>
            </w:r>
            <w:smartTag w:uri="urn:schemas-microsoft-com:office:smarttags" w:element="stockticker">
              <w:r w:rsidRPr="007044F6">
                <w:rPr>
                  <w:color w:val="000000"/>
                  <w:sz w:val="22"/>
                  <w:szCs w:val="22"/>
                  <w:lang w:val="sr-Latn-CS"/>
                </w:rPr>
                <w:t>CHR</w:t>
              </w:r>
            </w:smartTag>
            <w:r w:rsidRPr="007044F6">
              <w:rPr>
                <w:color w:val="000000"/>
                <w:sz w:val="22"/>
                <w:szCs w:val="22"/>
                <w:lang w:val="sr-Latn-CS"/>
              </w:rPr>
              <w:t xml:space="preserve">), a jedan pacijent je imao djelimičan hematološki odgovor (PHR- partial haematological response). U vrijeme početne analize, tri od četiri pacijenta sa otkrivenim rearanžiranjem PDGFR gena ispoljilo je hematološki odgovor (2 </w:t>
            </w:r>
            <w:smartTag w:uri="urn:schemas-microsoft-com:office:smarttags" w:element="stockticker">
              <w:r w:rsidRPr="007044F6">
                <w:rPr>
                  <w:color w:val="000000"/>
                  <w:sz w:val="22"/>
                  <w:szCs w:val="22"/>
                  <w:lang w:val="sr-Latn-CS"/>
                </w:rPr>
                <w:t>CHR</w:t>
              </w:r>
            </w:smartTag>
            <w:r w:rsidRPr="007044F6">
              <w:rPr>
                <w:color w:val="000000"/>
                <w:sz w:val="22"/>
                <w:szCs w:val="22"/>
                <w:lang w:val="sr-Latn-CS"/>
              </w:rPr>
              <w:t xml:space="preserve"> i 1 PHR). Starost ovih pacijenata se kretala od 20 do 72 godine. Dodatno, drugih 24 pacijenata sa </w:t>
            </w:r>
            <w:smartTag w:uri="urn:schemas-microsoft-com:office:smarttags" w:element="stockticker">
              <w:r w:rsidRPr="007044F6">
                <w:rPr>
                  <w:color w:val="000000"/>
                  <w:sz w:val="22"/>
                  <w:szCs w:val="22"/>
                  <w:lang w:val="sr-Latn-CS"/>
                </w:rPr>
                <w:t>MDS</w:t>
              </w:r>
            </w:smartTag>
            <w:r w:rsidRPr="007044F6">
              <w:rPr>
                <w:color w:val="000000"/>
                <w:sz w:val="22"/>
                <w:szCs w:val="22"/>
                <w:lang w:val="sr-Latn-CS"/>
              </w:rPr>
              <w:t>/MPD je opisano u 13 publikacija. 21 pacijent je liječen i</w:t>
            </w:r>
            <w:r w:rsidRPr="007044F6">
              <w:rPr>
                <w:bCs/>
                <w:sz w:val="22"/>
                <w:szCs w:val="22"/>
                <w:lang w:val="da-DK"/>
              </w:rPr>
              <w:t>matinibom 400 mg</w:t>
            </w:r>
            <w:r w:rsidRPr="007044F6">
              <w:rPr>
                <w:bCs/>
                <w:sz w:val="22"/>
                <w:szCs w:val="22"/>
                <w:vertAlign w:val="superscript"/>
                <w:lang w:val="da-DK"/>
              </w:rPr>
              <w:t xml:space="preserve">  </w:t>
            </w:r>
            <w:r w:rsidRPr="007044F6">
              <w:rPr>
                <w:color w:val="000000"/>
                <w:sz w:val="22"/>
                <w:szCs w:val="22"/>
                <w:lang w:val="sr-Latn-CS"/>
              </w:rPr>
              <w:t xml:space="preserve">dnevno, dok su preostala 3 pacijenta primila niže doze. Kod 11 pacijenata kod kojih je detektovano </w:t>
            </w:r>
            <w:r>
              <w:rPr>
                <w:color w:val="000000"/>
                <w:sz w:val="22"/>
                <w:szCs w:val="22"/>
                <w:lang w:val="sr-Latn-CS"/>
              </w:rPr>
              <w:t>preraspodjelu</w:t>
            </w:r>
            <w:r w:rsidRPr="00585B76">
              <w:rPr>
                <w:color w:val="000000"/>
                <w:sz w:val="22"/>
                <w:szCs w:val="22"/>
                <w:lang w:val="sr-Latn-CS"/>
              </w:rPr>
              <w:t xml:space="preserve"> </w:t>
            </w:r>
            <w:r w:rsidRPr="00121148">
              <w:rPr>
                <w:color w:val="000000"/>
                <w:sz w:val="22"/>
                <w:szCs w:val="22"/>
                <w:lang w:val="sr-Latn-CS"/>
              </w:rPr>
              <w:t>PDGFR gena, 9 njih je postiglo kompletan hematološk</w:t>
            </w:r>
            <w:r w:rsidRPr="00320917">
              <w:rPr>
                <w:color w:val="000000"/>
                <w:sz w:val="22"/>
                <w:szCs w:val="22"/>
                <w:lang w:val="sr-Latn-CS"/>
              </w:rPr>
              <w:t>i odgovor a jedan djelimičan hematološki odgovor. Starost ovih pacijenata kretala se od 2 do 79 godina. U nedavnoj publikaciji aktuelni podaci za 6 od tih 11 pacijenata otkrili su da su svi oni ostali u citogenetskoj remisiji (raspon 32-38 mjeseci). Ista p</w:t>
            </w:r>
            <w:r w:rsidRPr="00E66F58">
              <w:rPr>
                <w:color w:val="000000"/>
                <w:sz w:val="22"/>
                <w:szCs w:val="22"/>
                <w:lang w:val="sr-Latn-CS"/>
              </w:rPr>
              <w:t xml:space="preserve">ublikacija je objavila rezultate dugoročnog praćenja za 12 MDS/MPD pacijenata sa </w:t>
            </w:r>
            <w:r>
              <w:rPr>
                <w:color w:val="000000"/>
                <w:sz w:val="22"/>
                <w:szCs w:val="22"/>
                <w:lang w:val="sr-Latn-CS"/>
              </w:rPr>
              <w:t>preraspodjelom</w:t>
            </w:r>
            <w:r w:rsidRPr="00585B76">
              <w:rPr>
                <w:color w:val="000000"/>
                <w:sz w:val="22"/>
                <w:szCs w:val="22"/>
                <w:lang w:val="sr-Latn-CS"/>
              </w:rPr>
              <w:t xml:space="preserve"> </w:t>
            </w:r>
            <w:r w:rsidRPr="00121148">
              <w:rPr>
                <w:color w:val="000000"/>
                <w:sz w:val="22"/>
                <w:szCs w:val="22"/>
                <w:lang w:val="sr-Latn-CS"/>
              </w:rPr>
              <w:t xml:space="preserve">PDGFR gena </w:t>
            </w:r>
            <w:r w:rsidRPr="00121148">
              <w:rPr>
                <w:color w:val="000000"/>
                <w:sz w:val="22"/>
                <w:szCs w:val="22"/>
                <w:lang w:val="sr-Latn-CS"/>
              </w:rPr>
              <w:lastRenderedPageBreak/>
              <w:t xml:space="preserve">(5 pacijenata iz studije B2225). Ovi pacijenti su primali </w:t>
            </w:r>
            <w:r w:rsidRPr="00320917">
              <w:rPr>
                <w:bCs/>
                <w:sz w:val="22"/>
                <w:szCs w:val="22"/>
                <w:lang w:val="da-DK"/>
              </w:rPr>
              <w:t>i</w:t>
            </w:r>
            <w:r w:rsidRPr="00E66F58">
              <w:rPr>
                <w:bCs/>
                <w:sz w:val="22"/>
                <w:szCs w:val="22"/>
                <w:lang w:val="da-DK"/>
              </w:rPr>
              <w:t>matinib</w:t>
            </w:r>
            <w:r w:rsidRPr="00213A78">
              <w:rPr>
                <w:bCs/>
                <w:sz w:val="22"/>
                <w:szCs w:val="22"/>
                <w:vertAlign w:val="superscript"/>
                <w:lang w:val="da-DK"/>
              </w:rPr>
              <w:t xml:space="preserve"> </w:t>
            </w:r>
            <w:r w:rsidRPr="00F14C62">
              <w:rPr>
                <w:color w:val="000000"/>
                <w:sz w:val="22"/>
                <w:szCs w:val="22"/>
                <w:lang w:val="sr-Latn-CS"/>
              </w:rPr>
              <w:t xml:space="preserve"> sa medijanom od 47 mjeseci (raspon 24 dana - 60 mjeseci). Kod 6 od</w:t>
            </w:r>
            <w:r w:rsidRPr="006B68C2">
              <w:rPr>
                <w:color w:val="000000"/>
                <w:sz w:val="22"/>
                <w:szCs w:val="22"/>
                <w:lang w:val="sr-Latn-CS"/>
              </w:rPr>
              <w:t xml:space="preserve"> ovih pacijenata sada je praćenje premašilo 4 godine. Jedanaest pacijenata je postiglo brz kompletan hematološki odgovor; deset je imalo potpunu rezoluciju citogenetskih abnormalnosti i smanjenje ili nestanak fuzijskih transkripta, mjereno pomoću RT-</w:t>
            </w:r>
            <w:smartTag w:uri="urn:schemas-microsoft-com:office:smarttags" w:element="stockticker">
              <w:r w:rsidRPr="006B68C2">
                <w:rPr>
                  <w:color w:val="000000"/>
                  <w:sz w:val="22"/>
                  <w:szCs w:val="22"/>
                  <w:lang w:val="sr-Latn-CS"/>
                </w:rPr>
                <w:t>PCR</w:t>
              </w:r>
            </w:smartTag>
            <w:r w:rsidRPr="006B68C2">
              <w:rPr>
                <w:color w:val="000000"/>
                <w:sz w:val="22"/>
                <w:szCs w:val="22"/>
                <w:lang w:val="sr-Latn-CS"/>
              </w:rPr>
              <w:t>. H</w:t>
            </w:r>
            <w:r w:rsidRPr="005679A2">
              <w:rPr>
                <w:color w:val="000000"/>
                <w:sz w:val="22"/>
                <w:szCs w:val="22"/>
                <w:lang w:val="sr-Latn-CS"/>
              </w:rPr>
              <w:t xml:space="preserve">ematološki i citogenetski odgovor održavali su se za medijanu od 49 mjeseci (raspon 19-60), odnosno 47 mjeseci (raspon 16-59). Ukupno preživljavanje je 65 mjeseci od dijagnoze (raspon 25-234). </w:t>
            </w:r>
            <w:r w:rsidRPr="008733C4">
              <w:rPr>
                <w:color w:val="000000"/>
                <w:sz w:val="22"/>
                <w:szCs w:val="22"/>
                <w:lang w:val="sr-Latn-CS"/>
              </w:rPr>
              <w:t>Primjena</w:t>
            </w:r>
            <w:r w:rsidRPr="00F84966">
              <w:rPr>
                <w:color w:val="000000"/>
                <w:sz w:val="22"/>
                <w:szCs w:val="22"/>
                <w:lang w:val="sr-Latn-CS"/>
              </w:rPr>
              <w:t xml:space="preserve"> </w:t>
            </w:r>
            <w:r w:rsidRPr="006D6B4A">
              <w:rPr>
                <w:color w:val="000000"/>
                <w:sz w:val="22"/>
                <w:szCs w:val="22"/>
                <w:lang w:val="sr-Latn-CS"/>
              </w:rPr>
              <w:t>i</w:t>
            </w:r>
            <w:r w:rsidRPr="00FB0E0D">
              <w:rPr>
                <w:bCs/>
                <w:sz w:val="22"/>
                <w:szCs w:val="22"/>
                <w:lang w:val="da-DK"/>
              </w:rPr>
              <w:t>matiniba</w:t>
            </w:r>
            <w:r w:rsidRPr="00FB0E0D">
              <w:rPr>
                <w:bCs/>
                <w:sz w:val="22"/>
                <w:szCs w:val="22"/>
                <w:vertAlign w:val="superscript"/>
                <w:lang w:val="da-DK"/>
              </w:rPr>
              <w:t xml:space="preserve">  </w:t>
            </w:r>
            <w:r w:rsidRPr="00FB0E0D">
              <w:rPr>
                <w:color w:val="000000"/>
                <w:sz w:val="22"/>
                <w:szCs w:val="22"/>
                <w:lang w:val="sr-Latn-CS"/>
              </w:rPr>
              <w:t>pacijentima bez genetske translokacije obično ne rezu</w:t>
            </w:r>
            <w:r w:rsidRPr="007044F6">
              <w:rPr>
                <w:color w:val="000000"/>
                <w:sz w:val="22"/>
                <w:szCs w:val="22"/>
                <w:lang w:val="sr-Latn-CS"/>
              </w:rPr>
              <w:t>ltuje bilo kakvim poboljšanjem.</w:t>
            </w:r>
          </w:p>
          <w:p w:rsidR="002A0BFB" w:rsidRPr="00121148" w:rsidRDefault="002A0BFB" w:rsidP="002A0BFB">
            <w:pPr>
              <w:shd w:val="clear" w:color="auto" w:fill="FFFFFF"/>
              <w:jc w:val="both"/>
              <w:rPr>
                <w:color w:val="000000"/>
                <w:sz w:val="22"/>
                <w:szCs w:val="22"/>
                <w:lang w:val="sr-Latn-CS"/>
              </w:rPr>
            </w:pPr>
          </w:p>
          <w:p w:rsidR="000A2337" w:rsidRPr="00121148" w:rsidRDefault="000A2337" w:rsidP="00161AB3">
            <w:pPr>
              <w:autoSpaceDE w:val="0"/>
              <w:autoSpaceDN w:val="0"/>
              <w:adjustRightInd w:val="0"/>
              <w:jc w:val="both"/>
              <w:rPr>
                <w:sz w:val="22"/>
                <w:szCs w:val="22"/>
              </w:rPr>
            </w:pPr>
            <w:r w:rsidRPr="00320917">
              <w:rPr>
                <w:sz w:val="22"/>
                <w:szCs w:val="22"/>
              </w:rPr>
              <w:t xml:space="preserve">Nema kontrolisanih ispitivanja kod pedijatrijskih </w:t>
            </w:r>
            <w:r w:rsidRPr="00E66F58">
              <w:rPr>
                <w:sz w:val="22"/>
                <w:szCs w:val="22"/>
              </w:rPr>
              <w:t>pacijenat</w:t>
            </w:r>
            <w:r w:rsidRPr="00213A78">
              <w:rPr>
                <w:sz w:val="22"/>
                <w:szCs w:val="22"/>
              </w:rPr>
              <w:t xml:space="preserve">a sa MDS/MPD-om. U 4 publikacije zabilježeno je pet (5) </w:t>
            </w:r>
            <w:r w:rsidRPr="00F14C62">
              <w:rPr>
                <w:sz w:val="22"/>
                <w:szCs w:val="22"/>
              </w:rPr>
              <w:t>pacijenat</w:t>
            </w:r>
            <w:r w:rsidRPr="006B68C2">
              <w:rPr>
                <w:sz w:val="22"/>
                <w:szCs w:val="22"/>
              </w:rPr>
              <w:t xml:space="preserve">a sa MDS/MPD-om povezanim sa </w:t>
            </w:r>
            <w:r w:rsidRPr="00F84966">
              <w:rPr>
                <w:color w:val="000000"/>
                <w:sz w:val="22"/>
                <w:szCs w:val="22"/>
                <w:lang w:val="sr-Latn-CS"/>
              </w:rPr>
              <w:t>preraspodjelom</w:t>
            </w:r>
            <w:r w:rsidRPr="006D6B4A">
              <w:rPr>
                <w:sz w:val="22"/>
                <w:szCs w:val="22"/>
              </w:rPr>
              <w:t xml:space="preserve"> </w:t>
            </w:r>
            <w:r w:rsidRPr="00FB0E0D">
              <w:rPr>
                <w:sz w:val="22"/>
                <w:szCs w:val="22"/>
              </w:rPr>
              <w:t xml:space="preserve">gena za PDGFR. Starost tih </w:t>
            </w:r>
            <w:r w:rsidRPr="007044F6">
              <w:rPr>
                <w:sz w:val="22"/>
                <w:szCs w:val="22"/>
              </w:rPr>
              <w:t>pacijenata je bila  u rasponu od 3 mjeseca do 4 godine, a imatinib se primjenjivao u dozi od 50 mg dnevno ili dozama u rasponu od 92,5 do 340 mg/m</w:t>
            </w:r>
            <w:r w:rsidRPr="007044F6">
              <w:rPr>
                <w:sz w:val="22"/>
                <w:szCs w:val="22"/>
                <w:vertAlign w:val="superscript"/>
              </w:rPr>
              <w:t>2</w:t>
            </w:r>
            <w:r w:rsidRPr="007044F6">
              <w:rPr>
                <w:sz w:val="22"/>
                <w:szCs w:val="22"/>
              </w:rPr>
              <w:t xml:space="preserve"> </w:t>
            </w:r>
            <w:r w:rsidRPr="00585B76">
              <w:rPr>
                <w:sz w:val="22"/>
                <w:szCs w:val="22"/>
              </w:rPr>
              <w:t xml:space="preserve">na dan. Svi </w:t>
            </w:r>
            <w:r w:rsidRPr="00121148">
              <w:rPr>
                <w:sz w:val="22"/>
                <w:szCs w:val="22"/>
              </w:rPr>
              <w:t>pacijenti su postigli kompletni hematološki odgovor, citogenetski odgovor i/ili klinički odgovor.</w:t>
            </w:r>
          </w:p>
          <w:p w:rsidR="002A0BFB" w:rsidRDefault="002A0BFB" w:rsidP="002A0BFB">
            <w:pPr>
              <w:shd w:val="clear" w:color="auto" w:fill="FFFFFF"/>
              <w:jc w:val="both"/>
              <w:rPr>
                <w:color w:val="000000"/>
                <w:sz w:val="22"/>
                <w:szCs w:val="22"/>
                <w:u w:val="single"/>
                <w:lang w:val="sr-Latn-CS"/>
              </w:rPr>
            </w:pPr>
          </w:p>
          <w:p w:rsidR="000A2337" w:rsidRPr="00320917" w:rsidRDefault="000A2337" w:rsidP="002A0BFB">
            <w:pPr>
              <w:shd w:val="clear" w:color="auto" w:fill="FFFFFF"/>
              <w:jc w:val="both"/>
              <w:rPr>
                <w:sz w:val="22"/>
                <w:szCs w:val="22"/>
                <w:lang w:val="sr-Latn-CS"/>
              </w:rPr>
            </w:pPr>
            <w:r w:rsidRPr="00121148">
              <w:rPr>
                <w:color w:val="000000"/>
                <w:sz w:val="22"/>
                <w:szCs w:val="22"/>
                <w:u w:val="single"/>
                <w:lang w:val="sr-Latn-CS"/>
              </w:rPr>
              <w:t>Kliničke studije kod HES/CEL</w:t>
            </w:r>
          </w:p>
          <w:p w:rsidR="000A2337" w:rsidRDefault="000A2337" w:rsidP="00161AB3">
            <w:pPr>
              <w:shd w:val="clear" w:color="auto" w:fill="FFFFFF"/>
              <w:spacing w:line="240" w:lineRule="atLeast"/>
              <w:jc w:val="both"/>
              <w:rPr>
                <w:sz w:val="22"/>
                <w:szCs w:val="22"/>
                <w:lang w:val="sr-Latn-CS"/>
              </w:rPr>
            </w:pPr>
            <w:r w:rsidRPr="00AB6502">
              <w:rPr>
                <w:color w:val="000000"/>
                <w:sz w:val="22"/>
                <w:szCs w:val="22"/>
                <w:lang w:val="sr-Latn-CS"/>
              </w:rPr>
              <w:t>Jedna otvorena, multicentrična, klinička studija faze II (studija B2225) je izvedena d</w:t>
            </w:r>
            <w:r>
              <w:rPr>
                <w:color w:val="000000"/>
                <w:sz w:val="22"/>
                <w:szCs w:val="22"/>
                <w:lang w:val="sr-Latn-CS"/>
              </w:rPr>
              <w:t>a bi se ispitala primjena i</w:t>
            </w:r>
            <w:r>
              <w:rPr>
                <w:bCs/>
                <w:sz w:val="22"/>
                <w:szCs w:val="22"/>
                <w:lang w:val="da-DK"/>
              </w:rPr>
              <w:t>matiniba</w:t>
            </w:r>
            <w:r w:rsidRPr="00AB6502">
              <w:rPr>
                <w:bCs/>
                <w:sz w:val="22"/>
                <w:szCs w:val="22"/>
                <w:vertAlign w:val="superscript"/>
                <w:lang w:val="da-DK"/>
              </w:rPr>
              <w:t xml:space="preserve">  </w:t>
            </w:r>
            <w:r w:rsidRPr="00AB6502">
              <w:rPr>
                <w:color w:val="000000"/>
                <w:sz w:val="22"/>
                <w:szCs w:val="22"/>
                <w:lang w:val="sr-Latn-CS"/>
              </w:rPr>
              <w:t xml:space="preserve"> kod različitih populacija pacijenata koji su patili od po život opasnih bolesti udruženih sa Abl, Kit ili PDGFR proteinskim tirozin kinazama. U ovoj studiji, 14 pacijenata sa HES/CEL liječeno je sa 100 mg do 1000 mg lijeka </w:t>
            </w:r>
            <w:r>
              <w:rPr>
                <w:bCs/>
                <w:sz w:val="22"/>
                <w:szCs w:val="22"/>
                <w:lang w:val="da-DK"/>
              </w:rPr>
              <w:t>Imatinib</w:t>
            </w:r>
            <w:r w:rsidRPr="00AB6502">
              <w:rPr>
                <w:bCs/>
                <w:sz w:val="22"/>
                <w:szCs w:val="22"/>
                <w:vertAlign w:val="superscript"/>
                <w:lang w:val="da-DK"/>
              </w:rPr>
              <w:t xml:space="preserve">  </w:t>
            </w:r>
            <w:r w:rsidRPr="00AB6502">
              <w:rPr>
                <w:color w:val="000000"/>
                <w:sz w:val="22"/>
                <w:szCs w:val="22"/>
                <w:lang w:val="sr-Latn-CS"/>
              </w:rPr>
              <w:t xml:space="preserve">dnevno. Drugih 162 pacijenata sa HES/CEL, opisanih u 35 publikovanih prikaza slučajeva i serija slučajeva primali su </w:t>
            </w:r>
            <w:r>
              <w:rPr>
                <w:color w:val="000000"/>
                <w:sz w:val="22"/>
                <w:szCs w:val="22"/>
                <w:lang w:val="sr-Latn-CS"/>
              </w:rPr>
              <w:t>i</w:t>
            </w:r>
            <w:r>
              <w:rPr>
                <w:bCs/>
                <w:sz w:val="22"/>
                <w:szCs w:val="22"/>
                <w:lang w:val="da-DK"/>
              </w:rPr>
              <w:t>matinib</w:t>
            </w:r>
            <w:r w:rsidRPr="00AB6502">
              <w:rPr>
                <w:bCs/>
                <w:sz w:val="22"/>
                <w:szCs w:val="22"/>
                <w:vertAlign w:val="superscript"/>
                <w:lang w:val="da-DK"/>
              </w:rPr>
              <w:t xml:space="preserve"> </w:t>
            </w:r>
            <w:r w:rsidRPr="00AB6502">
              <w:rPr>
                <w:color w:val="000000"/>
                <w:sz w:val="22"/>
                <w:szCs w:val="22"/>
                <w:lang w:val="sr-Latn-CS"/>
              </w:rPr>
              <w:t xml:space="preserve"> u dozama od 75 mg do 800 mg dnevno. Citogenetske abnormalnosti bile su proc</w:t>
            </w:r>
            <w:r>
              <w:rPr>
                <w:color w:val="000000"/>
                <w:sz w:val="22"/>
                <w:szCs w:val="22"/>
                <w:lang w:val="sr-Latn-CS"/>
              </w:rPr>
              <w:t>ij</w:t>
            </w:r>
            <w:r w:rsidRPr="00AB6502">
              <w:rPr>
                <w:color w:val="000000"/>
                <w:sz w:val="22"/>
                <w:szCs w:val="22"/>
                <w:lang w:val="sr-Latn-CS"/>
              </w:rPr>
              <w:t>enjivane kod 117 od ukupne populacije od 176 pacijenata. Kod 61 od tih 117 pacijenata identifikovana je FIP1L1-PDGFRα fuzijska kinaza. Kod dodatna četiri pacijenata od HES nađeno je da su FIP1L1-PDGFRα-pozitivni u druga 3 publikovana izveštaja. Svih 65 pacijenata pozitivnih na FIP1L1-PDGFRα fuzijsku kinazu postiglo je kompletan hematološki odgovor koji se mjesecima održavao (raspon od 1+ do 44+ mjeseci, prekinuto u vrijeme izveštaja). K</w:t>
            </w:r>
            <w:r>
              <w:rPr>
                <w:color w:val="000000"/>
                <w:sz w:val="22"/>
                <w:szCs w:val="22"/>
                <w:lang w:val="sr-Latn-CS"/>
              </w:rPr>
              <w:t>a</w:t>
            </w:r>
            <w:r w:rsidRPr="00AB6502">
              <w:rPr>
                <w:color w:val="000000"/>
                <w:sz w:val="22"/>
                <w:szCs w:val="22"/>
                <w:lang w:val="sr-Latn-CS"/>
              </w:rPr>
              <w:t>o što je opisano u nedavnoj publikaciji, 21 od ovih 65 pacijenata takođe je postiglo kompletnu mo</w:t>
            </w:r>
            <w:r>
              <w:rPr>
                <w:color w:val="000000"/>
                <w:sz w:val="22"/>
                <w:szCs w:val="22"/>
                <w:lang w:val="sr-Latn-CS"/>
              </w:rPr>
              <w:t>l</w:t>
            </w:r>
            <w:r w:rsidRPr="00AB6502">
              <w:rPr>
                <w:color w:val="000000"/>
                <w:sz w:val="22"/>
                <w:szCs w:val="22"/>
                <w:lang w:val="sr-Latn-CS"/>
              </w:rPr>
              <w:t xml:space="preserve">ekulsku remisiju sa medijanom praćenja od 28 mjeseci (raspon 13-67 mjeseci). Starost ovih pacijenata kretala se od 25 do 72 godine. Istraživači su u prikazima slučajeva dodatno opisali poboljšanja u simptomatologiji i poremećajima funkcije drugih organa. </w:t>
            </w:r>
            <w:r w:rsidRPr="00AB6502">
              <w:rPr>
                <w:sz w:val="22"/>
                <w:szCs w:val="22"/>
                <w:lang w:val="sr-Latn-CS"/>
              </w:rPr>
              <w:t>Opisana su poboljšanja srčanog, nervnog sistema, kožnog/potkožnog tkiva</w:t>
            </w:r>
            <w:r>
              <w:rPr>
                <w:sz w:val="22"/>
                <w:szCs w:val="22"/>
                <w:lang w:val="sr-Latn-CS"/>
              </w:rPr>
              <w:t>, respiratornih/</w:t>
            </w:r>
            <w:r w:rsidRPr="00AB6502">
              <w:rPr>
                <w:sz w:val="22"/>
                <w:szCs w:val="22"/>
                <w:lang w:val="sr-Latn-CS"/>
              </w:rPr>
              <w:t>torakalnih/medijastinalnih organa, muskuloskeletnih organa, vezivnog tkiva, vaskularnog i gastrointestinalnog sistema organa.</w:t>
            </w:r>
          </w:p>
          <w:p w:rsidR="000A2337" w:rsidRDefault="000A2337" w:rsidP="00161AB3">
            <w:pPr>
              <w:shd w:val="clear" w:color="auto" w:fill="FFFFFF"/>
              <w:spacing w:line="240" w:lineRule="atLeast"/>
              <w:jc w:val="both"/>
              <w:rPr>
                <w:sz w:val="22"/>
                <w:szCs w:val="22"/>
                <w:lang w:val="sr-Latn-CS"/>
              </w:rPr>
            </w:pPr>
          </w:p>
          <w:p w:rsidR="000A2337" w:rsidRPr="00121148" w:rsidRDefault="000A2337" w:rsidP="002A0BFB">
            <w:pPr>
              <w:autoSpaceDE w:val="0"/>
              <w:autoSpaceDN w:val="0"/>
              <w:adjustRightInd w:val="0"/>
              <w:jc w:val="both"/>
              <w:rPr>
                <w:sz w:val="22"/>
                <w:szCs w:val="22"/>
              </w:rPr>
            </w:pPr>
            <w:r w:rsidRPr="00782A54">
              <w:rPr>
                <w:sz w:val="22"/>
                <w:szCs w:val="22"/>
              </w:rPr>
              <w:t xml:space="preserve">Nema kontrolisanih ispitivanja kod pedijatrijskih pacijenata sa HES/KEL-om. U 3 publikacije zabilježena su tri (3) pacijenta sa HES-om i KEL-om povezanim sa </w:t>
            </w:r>
            <w:r>
              <w:rPr>
                <w:color w:val="000000"/>
                <w:sz w:val="22"/>
                <w:szCs w:val="22"/>
                <w:lang w:val="sr-Latn-CS"/>
              </w:rPr>
              <w:t>preraspodjelom</w:t>
            </w:r>
            <w:r w:rsidRPr="00782A54">
              <w:rPr>
                <w:sz w:val="22"/>
                <w:szCs w:val="22"/>
              </w:rPr>
              <w:t xml:space="preserve"> gena za PDGFR. Starost tih pacijenata bila je </w:t>
            </w:r>
            <w:r w:rsidRPr="00585B76">
              <w:rPr>
                <w:sz w:val="22"/>
                <w:szCs w:val="22"/>
              </w:rPr>
              <w:t>rasponu od 2 do 16 godina, a imatinib se primjenjivao u dozi od 300 mg/m</w:t>
            </w:r>
            <w:r w:rsidRPr="007044F6">
              <w:rPr>
                <w:sz w:val="22"/>
                <w:szCs w:val="22"/>
                <w:vertAlign w:val="superscript"/>
              </w:rPr>
              <w:t>2</w:t>
            </w:r>
            <w:r w:rsidRPr="007044F6">
              <w:rPr>
                <w:sz w:val="22"/>
                <w:szCs w:val="22"/>
              </w:rPr>
              <w:t xml:space="preserve"> </w:t>
            </w:r>
            <w:r w:rsidRPr="00585B76">
              <w:rPr>
                <w:sz w:val="22"/>
                <w:szCs w:val="22"/>
              </w:rPr>
              <w:t xml:space="preserve">na dan ili u dozama u rasponu od 200 do 400 mg na dan. Svi pacijenti su postigli kompletan hematološki odgovor, kompletan citogenetski odgovor </w:t>
            </w:r>
            <w:r w:rsidRPr="00121148">
              <w:rPr>
                <w:sz w:val="22"/>
                <w:szCs w:val="22"/>
              </w:rPr>
              <w:t>i/ili kompletan molekularni odgovor.</w:t>
            </w:r>
          </w:p>
          <w:p w:rsidR="002A0BFB" w:rsidRDefault="002A0BFB" w:rsidP="002A0BFB">
            <w:pPr>
              <w:shd w:val="clear" w:color="auto" w:fill="FFFFFF"/>
              <w:jc w:val="both"/>
              <w:rPr>
                <w:color w:val="000000"/>
                <w:sz w:val="22"/>
                <w:szCs w:val="22"/>
                <w:u w:val="single"/>
                <w:lang w:val="sr-Latn-CS"/>
              </w:rPr>
            </w:pPr>
          </w:p>
          <w:p w:rsidR="000A2337" w:rsidRPr="00E66F58" w:rsidRDefault="000A2337" w:rsidP="002A0BFB">
            <w:pPr>
              <w:shd w:val="clear" w:color="auto" w:fill="FFFFFF"/>
              <w:jc w:val="both"/>
              <w:rPr>
                <w:sz w:val="22"/>
                <w:szCs w:val="22"/>
                <w:lang w:val="sr-Latn-CS"/>
              </w:rPr>
            </w:pPr>
            <w:r w:rsidRPr="00121148">
              <w:rPr>
                <w:color w:val="000000"/>
                <w:sz w:val="22"/>
                <w:szCs w:val="22"/>
                <w:u w:val="single"/>
                <w:lang w:val="sr-Latn-CS"/>
              </w:rPr>
              <w:t>Klinička studija kod DFSP</w:t>
            </w:r>
            <w:r w:rsidRPr="00320917">
              <w:rPr>
                <w:color w:val="000000"/>
                <w:sz w:val="22"/>
                <w:szCs w:val="22"/>
                <w:u w:val="single"/>
                <w:lang w:val="sr-Latn-CS"/>
              </w:rPr>
              <w:t>-a</w:t>
            </w:r>
          </w:p>
          <w:p w:rsidR="000A2337" w:rsidRPr="007044F6" w:rsidRDefault="000A2337" w:rsidP="00161AB3">
            <w:pPr>
              <w:shd w:val="clear" w:color="auto" w:fill="FFFFFF"/>
              <w:spacing w:line="240" w:lineRule="atLeast"/>
              <w:jc w:val="both"/>
              <w:rPr>
                <w:color w:val="000000"/>
                <w:sz w:val="22"/>
                <w:szCs w:val="22"/>
                <w:lang w:val="sr-Latn-CS"/>
              </w:rPr>
            </w:pPr>
            <w:r w:rsidRPr="00213A78">
              <w:rPr>
                <w:color w:val="000000"/>
                <w:sz w:val="22"/>
                <w:szCs w:val="22"/>
                <w:lang w:val="sr-Latn-CS"/>
              </w:rPr>
              <w:t>Jedna otvorena, multicentrična, klinička studija faze II (ispitivanje B2225) izvedena je na 12 pacijenata sa DFSP</w:t>
            </w:r>
            <w:r w:rsidRPr="00F14C62">
              <w:rPr>
                <w:color w:val="000000"/>
                <w:sz w:val="22"/>
                <w:szCs w:val="22"/>
                <w:lang w:val="sr-Latn-CS"/>
              </w:rPr>
              <w:t>-om</w:t>
            </w:r>
            <w:r w:rsidRPr="006B68C2">
              <w:rPr>
                <w:color w:val="000000"/>
                <w:sz w:val="22"/>
                <w:szCs w:val="22"/>
                <w:lang w:val="sr-Latn-CS"/>
              </w:rPr>
              <w:t xml:space="preserve"> liječenih </w:t>
            </w:r>
            <w:r w:rsidRPr="005679A2">
              <w:rPr>
                <w:color w:val="000000"/>
                <w:sz w:val="22"/>
                <w:szCs w:val="22"/>
                <w:lang w:val="sr-Latn-CS"/>
              </w:rPr>
              <w:t>i</w:t>
            </w:r>
            <w:r w:rsidRPr="008733C4">
              <w:rPr>
                <w:bCs/>
                <w:sz w:val="22"/>
                <w:szCs w:val="22"/>
                <w:lang w:val="da-DK"/>
              </w:rPr>
              <w:t>matinib</w:t>
            </w:r>
            <w:r w:rsidRPr="00F84966">
              <w:rPr>
                <w:bCs/>
                <w:sz w:val="22"/>
                <w:szCs w:val="22"/>
                <w:lang w:val="da-DK"/>
              </w:rPr>
              <w:t>om</w:t>
            </w:r>
            <w:r w:rsidRPr="006D6B4A">
              <w:rPr>
                <w:bCs/>
                <w:sz w:val="22"/>
                <w:szCs w:val="22"/>
                <w:vertAlign w:val="superscript"/>
                <w:lang w:val="da-DK"/>
              </w:rPr>
              <w:t xml:space="preserve"> </w:t>
            </w:r>
            <w:r w:rsidRPr="00FB0E0D">
              <w:rPr>
                <w:color w:val="000000"/>
                <w:sz w:val="22"/>
                <w:szCs w:val="22"/>
                <w:lang w:val="sr-Latn-CS"/>
              </w:rPr>
              <w:t xml:space="preserve"> u dozi od 800 </w:t>
            </w:r>
            <w:r w:rsidRPr="007044F6">
              <w:rPr>
                <w:color w:val="000000"/>
                <w:sz w:val="22"/>
                <w:szCs w:val="22"/>
                <w:lang w:val="sr-Latn-CS"/>
              </w:rPr>
              <w:t>mg dnevno. Starost pacijenata sa DFSP-om se kretala od 23 do 75 godina; DFSP je bio metastatski, uz lokalni recidiv, nakon inicijalne hirurške resekcije i nije se smatrao pogodnim za dalju resekcijsku hirurgiju u vrijeme uključivanja ovih pacijenata u studiju. Primarni dokaz o efikasnosti bio je zasnovan na stopi objektivnih odgovora. Od 12 uključenih pacijenata, 9 je reagovalo, jedan kompletno, a 8 djelimično. Tri pacijenta koja su ispoljila djelimičan odgovor su kasnije oslobođeni bolesti hirurškim zahvatom. Medijana trajanja terapije u studiji B2225 bila 6,2 mjeseca, sa maksimumom trajanja od 24,3 mjeseca. Drugih 6 pacijenata sa DFSP-om liječenih i</w:t>
            </w:r>
            <w:r w:rsidRPr="007044F6">
              <w:rPr>
                <w:bCs/>
                <w:sz w:val="22"/>
                <w:szCs w:val="22"/>
                <w:lang w:val="da-DK"/>
              </w:rPr>
              <w:t>matinibom</w:t>
            </w:r>
            <w:r w:rsidRPr="007044F6">
              <w:rPr>
                <w:color w:val="000000"/>
                <w:sz w:val="22"/>
                <w:szCs w:val="22"/>
                <w:lang w:val="sr-Latn-CS"/>
              </w:rPr>
              <w:t xml:space="preserve"> opisano je u 5 publikovanih prikaza pojedinačnih slučajeva, a starost im se kretala od 18 mjeseci do 49 godina. Odrasli pacijenti, opisani u objavljenoj literaturi, bili su liječeni ili sa 400 mg (4 slučaja) ili </w:t>
            </w:r>
            <w:r w:rsidRPr="007044F6">
              <w:rPr>
                <w:color w:val="000000"/>
                <w:sz w:val="22"/>
                <w:szCs w:val="22"/>
                <w:lang w:val="sr-Latn-CS"/>
              </w:rPr>
              <w:lastRenderedPageBreak/>
              <w:t xml:space="preserve">sa 800 mg (1 slučaj) </w:t>
            </w:r>
            <w:r w:rsidRPr="007044F6">
              <w:rPr>
                <w:bCs/>
                <w:sz w:val="22"/>
                <w:szCs w:val="22"/>
                <w:lang w:val="da-DK"/>
              </w:rPr>
              <w:t>imatiniba</w:t>
            </w:r>
            <w:r w:rsidRPr="007044F6">
              <w:rPr>
                <w:color w:val="000000"/>
                <w:sz w:val="22"/>
                <w:szCs w:val="22"/>
                <w:lang w:val="sr-Latn-CS"/>
              </w:rPr>
              <w:t xml:space="preserve"> dnevno. Petoro pacijenata je reagovalo, tri kompletno, a dva djelimično. Medijana trajanja terapije u objavljenoj literaturi kretala se između 4 nedjelje i više od 20 mjeseci. Translokacija t(17:22)[(q22:q13)], ili njen genski proizvod, bili su prisutni kod skoro svih pacijenata koji su reagovali na terapiju lijekom </w:t>
            </w:r>
            <w:r w:rsidRPr="007044F6">
              <w:rPr>
                <w:bCs/>
                <w:sz w:val="22"/>
                <w:szCs w:val="22"/>
                <w:lang w:val="da-DK"/>
              </w:rPr>
              <w:t>Imatinib</w:t>
            </w:r>
            <w:r w:rsidRPr="007044F6">
              <w:rPr>
                <w:color w:val="000000"/>
                <w:sz w:val="22"/>
                <w:szCs w:val="22"/>
                <w:lang w:val="sr-Latn-CS"/>
              </w:rPr>
              <w:t>.</w:t>
            </w:r>
          </w:p>
          <w:p w:rsidR="000A2337" w:rsidRPr="007044F6" w:rsidRDefault="000A2337" w:rsidP="00161AB3">
            <w:pPr>
              <w:pStyle w:val="Header"/>
              <w:tabs>
                <w:tab w:val="left" w:pos="284"/>
              </w:tabs>
              <w:jc w:val="both"/>
              <w:rPr>
                <w:rFonts w:cs="Arial"/>
                <w:sz w:val="22"/>
                <w:szCs w:val="22"/>
                <w:lang w:val="sr-Latn-CS"/>
              </w:rPr>
            </w:pPr>
          </w:p>
          <w:p w:rsidR="000A2337" w:rsidRPr="007044F6" w:rsidRDefault="000A2337" w:rsidP="002A0BFB">
            <w:pPr>
              <w:shd w:val="clear" w:color="auto" w:fill="FFFFFF"/>
              <w:jc w:val="both"/>
              <w:rPr>
                <w:color w:val="000000"/>
                <w:sz w:val="22"/>
                <w:szCs w:val="22"/>
                <w:lang w:val="sr-Latn-CS"/>
              </w:rPr>
            </w:pPr>
            <w:r w:rsidRPr="007044F6">
              <w:rPr>
                <w:color w:val="000000"/>
                <w:sz w:val="22"/>
                <w:szCs w:val="22"/>
                <w:lang w:val="sr-Latn-CS"/>
              </w:rPr>
              <w:t>Nema kontrolisanih ispitivanja kod pedijatrijskih pacijenata sa DFSP-om. U 3 publikacije zabilježeno je pet (5) pacijenata sa DFSP-om i prer</w:t>
            </w:r>
            <w:r>
              <w:rPr>
                <w:color w:val="000000"/>
                <w:sz w:val="22"/>
                <w:szCs w:val="22"/>
                <w:lang w:val="sr-Latn-CS"/>
              </w:rPr>
              <w:t>aspodjelom</w:t>
            </w:r>
            <w:r w:rsidRPr="00585B76">
              <w:rPr>
                <w:color w:val="000000"/>
                <w:sz w:val="22"/>
                <w:szCs w:val="22"/>
                <w:lang w:val="sr-Latn-CS"/>
              </w:rPr>
              <w:t xml:space="preserve"> </w:t>
            </w:r>
            <w:r w:rsidRPr="00121148">
              <w:rPr>
                <w:color w:val="000000"/>
                <w:sz w:val="22"/>
                <w:szCs w:val="22"/>
                <w:lang w:val="sr-Latn-CS"/>
              </w:rPr>
              <w:t>gena za PDGFR. Starost tih pacijenata bila je u rasponu od</w:t>
            </w:r>
            <w:r w:rsidRPr="00320917">
              <w:rPr>
                <w:color w:val="000000"/>
                <w:sz w:val="22"/>
                <w:szCs w:val="22"/>
                <w:lang w:val="sr-Latn-CS"/>
              </w:rPr>
              <w:t xml:space="preserve"> </w:t>
            </w:r>
            <w:r w:rsidRPr="00E66F58">
              <w:rPr>
                <w:color w:val="000000"/>
                <w:sz w:val="22"/>
                <w:szCs w:val="22"/>
                <w:lang w:val="sr-Latn-CS"/>
              </w:rPr>
              <w:t>novorođenčadi do 14 godina, a imatinib se primjenjivao u dozi od 50 mg na dan ili u dozama u</w:t>
            </w:r>
            <w:r w:rsidRPr="00213A78">
              <w:rPr>
                <w:color w:val="000000"/>
                <w:sz w:val="22"/>
                <w:szCs w:val="22"/>
                <w:lang w:val="sr-Latn-CS"/>
              </w:rPr>
              <w:t xml:space="preserve"> </w:t>
            </w:r>
            <w:r w:rsidRPr="00F14C62">
              <w:rPr>
                <w:color w:val="000000"/>
                <w:sz w:val="22"/>
                <w:szCs w:val="22"/>
                <w:lang w:val="sr-Latn-CS"/>
              </w:rPr>
              <w:t>rasponu od 400</w:t>
            </w:r>
            <w:r w:rsidRPr="006B68C2">
              <w:rPr>
                <w:color w:val="000000"/>
                <w:sz w:val="22"/>
                <w:szCs w:val="22"/>
                <w:lang w:val="sr-Latn-CS"/>
              </w:rPr>
              <w:t xml:space="preserve"> do 520 mg/m</w:t>
            </w:r>
            <w:r w:rsidRPr="005679A2">
              <w:rPr>
                <w:color w:val="000000"/>
                <w:sz w:val="22"/>
                <w:szCs w:val="22"/>
                <w:vertAlign w:val="superscript"/>
                <w:lang w:val="sr-Latn-CS"/>
              </w:rPr>
              <w:t>2</w:t>
            </w:r>
            <w:r w:rsidRPr="008733C4">
              <w:rPr>
                <w:color w:val="000000"/>
                <w:sz w:val="22"/>
                <w:szCs w:val="22"/>
                <w:lang w:val="sr-Latn-CS"/>
              </w:rPr>
              <w:t xml:space="preserve"> na dan.</w:t>
            </w:r>
            <w:r w:rsidRPr="00F84966">
              <w:rPr>
                <w:color w:val="000000"/>
                <w:sz w:val="22"/>
                <w:szCs w:val="22"/>
                <w:lang w:val="sr-Latn-CS"/>
              </w:rPr>
              <w:t xml:space="preserve"> Svi su </w:t>
            </w:r>
            <w:r w:rsidRPr="007044F6">
              <w:rPr>
                <w:color w:val="000000"/>
                <w:sz w:val="22"/>
                <w:szCs w:val="22"/>
                <w:lang w:val="sr-Latn-CS"/>
              </w:rPr>
              <w:t>pacijenti postigli djelimičan i/ili potpun odgovor.</w:t>
            </w:r>
          </w:p>
          <w:p w:rsidR="000A2337" w:rsidRPr="005A485B" w:rsidRDefault="000A2337" w:rsidP="00161AB3">
            <w:pPr>
              <w:shd w:val="clear" w:color="auto" w:fill="FFFFFF"/>
              <w:spacing w:line="240" w:lineRule="atLeast"/>
              <w:jc w:val="both"/>
              <w:rPr>
                <w:color w:val="000000"/>
                <w:sz w:val="22"/>
                <w:szCs w:val="22"/>
                <w:lang w:val="sr-Latn-CS"/>
              </w:rPr>
            </w:pPr>
          </w:p>
        </w:tc>
      </w:tr>
      <w:tr w:rsidR="000A2337" w:rsidRPr="00750E3C" w:rsidTr="00161AB3">
        <w:tc>
          <w:tcPr>
            <w:tcW w:w="10188" w:type="dxa"/>
            <w:gridSpan w:val="4"/>
            <w:vAlign w:val="center"/>
          </w:tcPr>
          <w:p w:rsidR="000A2337" w:rsidRPr="00750E3C" w:rsidRDefault="000A2337" w:rsidP="002A0BFB">
            <w:pPr>
              <w:pStyle w:val="Header"/>
              <w:tabs>
                <w:tab w:val="left" w:pos="284"/>
              </w:tabs>
              <w:rPr>
                <w:rFonts w:cs="Arial"/>
                <w:b/>
                <w:bCs/>
                <w:sz w:val="22"/>
              </w:rPr>
            </w:pPr>
            <w:r w:rsidRPr="00750E3C">
              <w:rPr>
                <w:rFonts w:cs="Arial"/>
                <w:b/>
                <w:bCs/>
                <w:sz w:val="22"/>
              </w:rPr>
              <w:lastRenderedPageBreak/>
              <w:t>5.2. Farmakokinetički podaci</w:t>
            </w:r>
          </w:p>
        </w:tc>
      </w:tr>
      <w:tr w:rsidR="000A2337" w:rsidRPr="003A00BF" w:rsidTr="00377419">
        <w:trPr>
          <w:trHeight w:val="2625"/>
        </w:trPr>
        <w:tc>
          <w:tcPr>
            <w:tcW w:w="10188" w:type="dxa"/>
            <w:gridSpan w:val="4"/>
            <w:vAlign w:val="center"/>
          </w:tcPr>
          <w:p w:rsidR="002A0BFB" w:rsidRDefault="002A0BFB" w:rsidP="002A0BFB">
            <w:pPr>
              <w:shd w:val="clear" w:color="auto" w:fill="FFFFFF"/>
              <w:jc w:val="both"/>
              <w:rPr>
                <w:color w:val="000000"/>
                <w:sz w:val="22"/>
                <w:szCs w:val="22"/>
                <w:u w:val="single"/>
                <w:lang w:val="sr-Latn-CS"/>
              </w:rPr>
            </w:pPr>
          </w:p>
          <w:p w:rsidR="000A2337" w:rsidRPr="00A2580D" w:rsidRDefault="000A2337" w:rsidP="002A0BFB">
            <w:pPr>
              <w:shd w:val="clear" w:color="auto" w:fill="FFFFFF"/>
              <w:jc w:val="both"/>
              <w:rPr>
                <w:sz w:val="22"/>
                <w:szCs w:val="22"/>
                <w:lang w:val="sr-Latn-CS"/>
              </w:rPr>
            </w:pPr>
            <w:r w:rsidRPr="00A2580D">
              <w:rPr>
                <w:color w:val="000000"/>
                <w:sz w:val="22"/>
                <w:szCs w:val="22"/>
                <w:u w:val="single"/>
                <w:lang w:val="sr-Latn-CS"/>
              </w:rPr>
              <w:t xml:space="preserve">Farmakokinetika </w:t>
            </w:r>
            <w:r>
              <w:rPr>
                <w:color w:val="000000"/>
                <w:sz w:val="22"/>
                <w:szCs w:val="22"/>
                <w:u w:val="single"/>
                <w:lang w:val="sr-Latn-CS"/>
              </w:rPr>
              <w:t>i</w:t>
            </w:r>
            <w:r>
              <w:rPr>
                <w:bCs/>
                <w:sz w:val="22"/>
                <w:szCs w:val="22"/>
                <w:u w:val="single"/>
                <w:lang w:val="da-DK"/>
              </w:rPr>
              <w:t>matiniba</w:t>
            </w:r>
          </w:p>
          <w:p w:rsidR="000A2337" w:rsidRPr="00A2580D" w:rsidRDefault="000A2337" w:rsidP="00161AB3">
            <w:pPr>
              <w:shd w:val="clear" w:color="auto" w:fill="FFFFFF"/>
              <w:spacing w:line="240" w:lineRule="atLeast"/>
              <w:jc w:val="both"/>
              <w:rPr>
                <w:sz w:val="22"/>
                <w:szCs w:val="22"/>
                <w:lang w:val="sr-Latn-CS"/>
              </w:rPr>
            </w:pPr>
            <w:r w:rsidRPr="00A2580D">
              <w:rPr>
                <w:color w:val="000000"/>
                <w:sz w:val="22"/>
                <w:szCs w:val="22"/>
                <w:lang w:val="sr-Latn-CS"/>
              </w:rPr>
              <w:t xml:space="preserve">Farmakokinetika </w:t>
            </w:r>
            <w:r>
              <w:rPr>
                <w:color w:val="000000"/>
                <w:sz w:val="22"/>
                <w:szCs w:val="22"/>
                <w:lang w:val="sr-Latn-CS"/>
              </w:rPr>
              <w:t>i</w:t>
            </w:r>
            <w:r>
              <w:rPr>
                <w:bCs/>
                <w:sz w:val="22"/>
                <w:szCs w:val="22"/>
                <w:lang w:val="da-DK"/>
              </w:rPr>
              <w:t>matiniba</w:t>
            </w:r>
            <w:r>
              <w:rPr>
                <w:bCs/>
                <w:sz w:val="22"/>
                <w:szCs w:val="22"/>
                <w:vertAlign w:val="superscript"/>
                <w:lang w:val="da-DK"/>
              </w:rPr>
              <w:t xml:space="preserve"> </w:t>
            </w:r>
            <w:r w:rsidRPr="00D63C5C">
              <w:rPr>
                <w:color w:val="000000"/>
                <w:sz w:val="22"/>
                <w:szCs w:val="22"/>
                <w:lang w:val="sr-Latn-CS"/>
              </w:rPr>
              <w:t>je</w:t>
            </w:r>
            <w:r w:rsidRPr="00A2580D">
              <w:rPr>
                <w:color w:val="000000"/>
                <w:sz w:val="22"/>
                <w:szCs w:val="22"/>
                <w:lang w:val="sr-Latn-CS"/>
              </w:rPr>
              <w:t xml:space="preserve"> proc</w:t>
            </w:r>
            <w:r>
              <w:rPr>
                <w:color w:val="000000"/>
                <w:sz w:val="22"/>
                <w:szCs w:val="22"/>
                <w:lang w:val="sr-Latn-CS"/>
              </w:rPr>
              <w:t>ij</w:t>
            </w:r>
            <w:r w:rsidRPr="00A2580D">
              <w:rPr>
                <w:color w:val="000000"/>
                <w:sz w:val="22"/>
                <w:szCs w:val="22"/>
                <w:lang w:val="sr-Latn-CS"/>
              </w:rPr>
              <w:t xml:space="preserve">enjena na </w:t>
            </w:r>
            <w:r>
              <w:rPr>
                <w:color w:val="000000"/>
                <w:sz w:val="22"/>
                <w:szCs w:val="22"/>
                <w:lang w:val="sr-Latn-CS"/>
              </w:rPr>
              <w:t>ukupnom rasponu doza od 25 do 1</w:t>
            </w:r>
            <w:r w:rsidRPr="00A2580D">
              <w:rPr>
                <w:color w:val="000000"/>
                <w:sz w:val="22"/>
                <w:szCs w:val="22"/>
                <w:lang w:val="sr-Latn-CS"/>
              </w:rPr>
              <w:t xml:space="preserve">000 mg. </w:t>
            </w:r>
            <w:r>
              <w:rPr>
                <w:color w:val="000000"/>
                <w:sz w:val="22"/>
                <w:szCs w:val="22"/>
                <w:lang w:val="sr-Latn-CS"/>
              </w:rPr>
              <w:t>F</w:t>
            </w:r>
            <w:r w:rsidRPr="00A2580D">
              <w:rPr>
                <w:color w:val="000000"/>
                <w:sz w:val="22"/>
                <w:szCs w:val="22"/>
                <w:lang w:val="sr-Latn-CS"/>
              </w:rPr>
              <w:t>armakokin</w:t>
            </w:r>
            <w:r>
              <w:rPr>
                <w:color w:val="000000"/>
                <w:sz w:val="22"/>
                <w:szCs w:val="22"/>
                <w:lang w:val="sr-Latn-CS"/>
              </w:rPr>
              <w:t>etski profili u plazmi bili su analizirani prvog</w:t>
            </w:r>
            <w:r w:rsidRPr="00A2580D">
              <w:rPr>
                <w:color w:val="000000"/>
                <w:sz w:val="22"/>
                <w:szCs w:val="22"/>
                <w:lang w:val="sr-Latn-CS"/>
              </w:rPr>
              <w:t xml:space="preserve"> dan</w:t>
            </w:r>
            <w:r>
              <w:rPr>
                <w:color w:val="000000"/>
                <w:sz w:val="22"/>
                <w:szCs w:val="22"/>
                <w:lang w:val="sr-Latn-CS"/>
              </w:rPr>
              <w:t>a</w:t>
            </w:r>
            <w:r w:rsidRPr="00A2580D">
              <w:rPr>
                <w:color w:val="000000"/>
                <w:sz w:val="22"/>
                <w:szCs w:val="22"/>
                <w:lang w:val="sr-Latn-CS"/>
              </w:rPr>
              <w:t xml:space="preserve"> i</w:t>
            </w:r>
            <w:r>
              <w:rPr>
                <w:color w:val="000000"/>
                <w:sz w:val="22"/>
                <w:szCs w:val="22"/>
                <w:lang w:val="sr-Latn-CS"/>
              </w:rPr>
              <w:t xml:space="preserve"> sedmog</w:t>
            </w:r>
            <w:r w:rsidRPr="00A2580D">
              <w:rPr>
                <w:color w:val="000000"/>
                <w:sz w:val="22"/>
                <w:szCs w:val="22"/>
                <w:lang w:val="sr-Latn-CS"/>
              </w:rPr>
              <w:t xml:space="preserve"> ili </w:t>
            </w:r>
            <w:r>
              <w:rPr>
                <w:color w:val="000000"/>
                <w:sz w:val="22"/>
                <w:szCs w:val="22"/>
                <w:lang w:val="sr-Latn-CS"/>
              </w:rPr>
              <w:t>28-og dana</w:t>
            </w:r>
            <w:r w:rsidRPr="00A2580D">
              <w:rPr>
                <w:color w:val="000000"/>
                <w:sz w:val="22"/>
                <w:szCs w:val="22"/>
                <w:lang w:val="sr-Latn-CS"/>
              </w:rPr>
              <w:t xml:space="preserve">, </w:t>
            </w:r>
            <w:r>
              <w:rPr>
                <w:color w:val="000000"/>
                <w:sz w:val="22"/>
                <w:szCs w:val="22"/>
                <w:lang w:val="sr-Latn-CS"/>
              </w:rPr>
              <w:t>do kada</w:t>
            </w:r>
            <w:r w:rsidRPr="00A2580D">
              <w:rPr>
                <w:color w:val="000000"/>
                <w:sz w:val="22"/>
                <w:szCs w:val="22"/>
                <w:lang w:val="sr-Latn-CS"/>
              </w:rPr>
              <w:t xml:space="preserve"> su koncentracije u plazmi dostigle </w:t>
            </w:r>
            <w:r>
              <w:rPr>
                <w:color w:val="000000"/>
                <w:sz w:val="22"/>
                <w:szCs w:val="22"/>
                <w:lang w:val="sr-Latn-CS"/>
              </w:rPr>
              <w:t>stanje dinamičke ravnoteže (</w:t>
            </w:r>
            <w:r w:rsidRPr="00A2580D">
              <w:rPr>
                <w:i/>
                <w:color w:val="000000"/>
                <w:sz w:val="22"/>
                <w:szCs w:val="22"/>
                <w:lang w:val="sr-Latn-CS"/>
              </w:rPr>
              <w:t>steady state</w:t>
            </w:r>
            <w:r>
              <w:rPr>
                <w:i/>
                <w:color w:val="000000"/>
                <w:sz w:val="22"/>
                <w:szCs w:val="22"/>
                <w:lang w:val="sr-Latn-CS"/>
              </w:rPr>
              <w:t>)</w:t>
            </w:r>
            <w:r w:rsidRPr="00A2580D">
              <w:rPr>
                <w:color w:val="000000"/>
                <w:sz w:val="22"/>
                <w:szCs w:val="22"/>
                <w:lang w:val="sr-Latn-CS"/>
              </w:rPr>
              <w:t>.</w:t>
            </w:r>
          </w:p>
          <w:p w:rsidR="002A0BFB" w:rsidRDefault="002A0BFB" w:rsidP="002A0BFB">
            <w:pPr>
              <w:shd w:val="clear" w:color="auto" w:fill="FFFFFF"/>
              <w:jc w:val="both"/>
              <w:rPr>
                <w:color w:val="000000"/>
                <w:sz w:val="22"/>
                <w:szCs w:val="22"/>
                <w:u w:val="single"/>
                <w:lang w:val="sr-Latn-CS"/>
              </w:rPr>
            </w:pPr>
          </w:p>
          <w:p w:rsidR="000A2337" w:rsidRPr="00A2580D" w:rsidRDefault="000A2337" w:rsidP="002A0BFB">
            <w:pPr>
              <w:shd w:val="clear" w:color="auto" w:fill="FFFFFF"/>
              <w:jc w:val="both"/>
              <w:rPr>
                <w:sz w:val="22"/>
                <w:szCs w:val="22"/>
                <w:lang w:val="sr-Latn-CS"/>
              </w:rPr>
            </w:pPr>
            <w:r w:rsidRPr="00A2580D">
              <w:rPr>
                <w:color w:val="000000"/>
                <w:sz w:val="22"/>
                <w:szCs w:val="22"/>
                <w:u w:val="single"/>
                <w:lang w:val="sr-Latn-CS"/>
              </w:rPr>
              <w:t>Resorpcija</w:t>
            </w:r>
          </w:p>
          <w:p w:rsidR="000A2337" w:rsidRPr="00A2580D" w:rsidRDefault="000A2337" w:rsidP="00161AB3">
            <w:pPr>
              <w:shd w:val="clear" w:color="auto" w:fill="FFFFFF"/>
              <w:spacing w:before="5" w:line="240" w:lineRule="atLeast"/>
              <w:jc w:val="both"/>
              <w:rPr>
                <w:sz w:val="22"/>
                <w:szCs w:val="22"/>
                <w:lang w:val="sr-Latn-CS"/>
              </w:rPr>
            </w:pPr>
            <w:r w:rsidRPr="00A2580D">
              <w:rPr>
                <w:color w:val="000000"/>
                <w:sz w:val="22"/>
                <w:szCs w:val="22"/>
                <w:lang w:val="sr-Latn-CS"/>
              </w:rPr>
              <w:t xml:space="preserve">Srednja apsolutna bioraspoloživost za </w:t>
            </w:r>
            <w:r>
              <w:rPr>
                <w:color w:val="000000"/>
                <w:sz w:val="22"/>
                <w:szCs w:val="22"/>
                <w:lang w:val="sr-Latn-CS"/>
              </w:rPr>
              <w:t>imatinib</w:t>
            </w:r>
            <w:r w:rsidRPr="00A2580D">
              <w:rPr>
                <w:color w:val="000000"/>
                <w:sz w:val="22"/>
                <w:szCs w:val="22"/>
                <w:lang w:val="sr-Latn-CS"/>
              </w:rPr>
              <w:t xml:space="preserve"> je 98%.</w:t>
            </w:r>
            <w:r>
              <w:rPr>
                <w:color w:val="000000"/>
                <w:sz w:val="22"/>
                <w:szCs w:val="22"/>
                <w:lang w:val="sr-Latn-CS"/>
              </w:rPr>
              <w:t xml:space="preserve"> Među pacijentima je p</w:t>
            </w:r>
            <w:r w:rsidRPr="00A2580D">
              <w:rPr>
                <w:color w:val="000000"/>
                <w:sz w:val="22"/>
                <w:szCs w:val="22"/>
                <w:lang w:val="sr-Latn-CS"/>
              </w:rPr>
              <w:t>ostojala  visoka</w:t>
            </w:r>
            <w:r>
              <w:rPr>
                <w:color w:val="000000"/>
                <w:sz w:val="22"/>
                <w:szCs w:val="22"/>
                <w:lang w:val="sr-Latn-CS"/>
              </w:rPr>
              <w:t xml:space="preserve"> varijabilnost u nivoima PIK-a</w:t>
            </w:r>
            <w:r w:rsidRPr="00A2580D">
              <w:rPr>
                <w:color w:val="000000"/>
                <w:sz w:val="22"/>
                <w:szCs w:val="22"/>
                <w:lang w:val="sr-Latn-CS"/>
              </w:rPr>
              <w:t xml:space="preserve"> imatiniba u plazmi </w:t>
            </w:r>
            <w:r>
              <w:rPr>
                <w:color w:val="000000"/>
                <w:sz w:val="22"/>
                <w:szCs w:val="22"/>
                <w:lang w:val="sr-Latn-CS"/>
              </w:rPr>
              <w:t>poslije</w:t>
            </w:r>
            <w:r w:rsidRPr="00A2580D">
              <w:rPr>
                <w:color w:val="000000"/>
                <w:sz w:val="22"/>
                <w:szCs w:val="22"/>
                <w:lang w:val="sr-Latn-CS"/>
              </w:rPr>
              <w:t xml:space="preserve"> oralne doze. Kad je davan </w:t>
            </w:r>
            <w:r>
              <w:rPr>
                <w:color w:val="000000"/>
                <w:sz w:val="22"/>
                <w:szCs w:val="22"/>
                <w:lang w:val="sr-Latn-CS"/>
              </w:rPr>
              <w:t>uz obrok sa velikim sadržajem</w:t>
            </w:r>
            <w:r w:rsidRPr="00A2580D">
              <w:rPr>
                <w:color w:val="000000"/>
                <w:sz w:val="22"/>
                <w:szCs w:val="22"/>
                <w:lang w:val="sr-Latn-CS"/>
              </w:rPr>
              <w:t xml:space="preserve"> mas</w:t>
            </w:r>
            <w:r>
              <w:rPr>
                <w:color w:val="000000"/>
                <w:sz w:val="22"/>
                <w:szCs w:val="22"/>
                <w:lang w:val="sr-Latn-CS"/>
              </w:rPr>
              <w:t>ti</w:t>
            </w:r>
            <w:r w:rsidRPr="00A2580D">
              <w:rPr>
                <w:color w:val="000000"/>
                <w:sz w:val="22"/>
                <w:szCs w:val="22"/>
                <w:lang w:val="sr-Latn-CS"/>
              </w:rPr>
              <w:t>, obim resorpcije imatiniba bio je minimalno redukovan (11% smanjenja C</w:t>
            </w:r>
            <w:r w:rsidRPr="00A2580D">
              <w:rPr>
                <w:color w:val="000000"/>
                <w:sz w:val="22"/>
                <w:szCs w:val="22"/>
                <w:vertAlign w:val="subscript"/>
                <w:lang w:val="sr-Latn-CS"/>
              </w:rPr>
              <w:t>max</w:t>
            </w:r>
            <w:r w:rsidRPr="00A2580D">
              <w:rPr>
                <w:color w:val="000000"/>
                <w:sz w:val="22"/>
                <w:szCs w:val="22"/>
                <w:lang w:val="sr-Latn-CS"/>
              </w:rPr>
              <w:t xml:space="preserve"> i produženja t</w:t>
            </w:r>
            <w:r w:rsidRPr="00A2580D">
              <w:rPr>
                <w:color w:val="000000"/>
                <w:sz w:val="22"/>
                <w:szCs w:val="22"/>
                <w:vertAlign w:val="subscript"/>
                <w:lang w:val="sr-Latn-CS"/>
              </w:rPr>
              <w:t>max</w:t>
            </w:r>
            <w:r w:rsidRPr="00A2580D">
              <w:rPr>
                <w:color w:val="000000"/>
                <w:sz w:val="22"/>
                <w:szCs w:val="22"/>
                <w:lang w:val="sr-Latn-CS"/>
              </w:rPr>
              <w:t xml:space="preserve"> za 1,5 h), sa malim redukovanjem </w:t>
            </w:r>
            <w:r>
              <w:rPr>
                <w:color w:val="000000"/>
                <w:sz w:val="22"/>
                <w:szCs w:val="22"/>
                <w:lang w:val="sr-Latn-CS"/>
              </w:rPr>
              <w:t>PIK-a</w:t>
            </w:r>
            <w:r w:rsidRPr="00A2580D">
              <w:rPr>
                <w:color w:val="000000"/>
                <w:sz w:val="22"/>
                <w:szCs w:val="22"/>
                <w:lang w:val="sr-Latn-CS"/>
              </w:rPr>
              <w:t xml:space="preserve"> (7,4%) u poređenju sa davanjem na</w:t>
            </w:r>
            <w:r>
              <w:rPr>
                <w:color w:val="000000"/>
                <w:sz w:val="22"/>
                <w:szCs w:val="22"/>
                <w:lang w:val="sr-Latn-CS"/>
              </w:rPr>
              <w:t>ta</w:t>
            </w:r>
            <w:r w:rsidRPr="00A2580D">
              <w:rPr>
                <w:color w:val="000000"/>
                <w:sz w:val="22"/>
                <w:szCs w:val="22"/>
                <w:lang w:val="sr-Latn-CS"/>
              </w:rPr>
              <w:t>šte. Efekat prethodne gastrointestin</w:t>
            </w:r>
            <w:r>
              <w:rPr>
                <w:color w:val="000000"/>
                <w:sz w:val="22"/>
                <w:szCs w:val="22"/>
                <w:lang w:val="sr-Latn-CS"/>
              </w:rPr>
              <w:t xml:space="preserve">alne </w:t>
            </w:r>
            <w:r w:rsidRPr="00A2580D">
              <w:rPr>
                <w:color w:val="000000"/>
                <w:sz w:val="22"/>
                <w:szCs w:val="22"/>
                <w:lang w:val="sr-Latn-CS"/>
              </w:rPr>
              <w:t xml:space="preserve">operacije na resorpciju </w:t>
            </w:r>
            <w:r>
              <w:rPr>
                <w:color w:val="000000"/>
                <w:sz w:val="22"/>
                <w:szCs w:val="22"/>
                <w:lang w:val="sr-Latn-CS"/>
              </w:rPr>
              <w:t>lijek</w:t>
            </w:r>
            <w:r w:rsidRPr="00A2580D">
              <w:rPr>
                <w:color w:val="000000"/>
                <w:sz w:val="22"/>
                <w:szCs w:val="22"/>
                <w:lang w:val="sr-Latn-CS"/>
              </w:rPr>
              <w:t>a nije ispitivan.</w:t>
            </w:r>
          </w:p>
          <w:p w:rsidR="000A2337" w:rsidRPr="00A2580D" w:rsidRDefault="000A2337" w:rsidP="00161AB3">
            <w:pPr>
              <w:shd w:val="clear" w:color="auto" w:fill="FFFFFF"/>
              <w:spacing w:before="235" w:line="240" w:lineRule="atLeast"/>
              <w:jc w:val="both"/>
              <w:rPr>
                <w:sz w:val="22"/>
                <w:szCs w:val="22"/>
                <w:lang w:val="sr-Latn-CS"/>
              </w:rPr>
            </w:pPr>
            <w:r w:rsidRPr="00A2580D">
              <w:rPr>
                <w:color w:val="000000"/>
                <w:sz w:val="22"/>
                <w:szCs w:val="22"/>
                <w:u w:val="single"/>
                <w:lang w:val="sr-Latn-CS"/>
              </w:rPr>
              <w:t>Distribucija</w:t>
            </w:r>
          </w:p>
          <w:p w:rsidR="000A2337" w:rsidRDefault="000A2337" w:rsidP="00161AB3">
            <w:pPr>
              <w:shd w:val="clear" w:color="auto" w:fill="FFFFFF"/>
              <w:spacing w:before="5" w:line="240" w:lineRule="atLeast"/>
              <w:jc w:val="both"/>
              <w:rPr>
                <w:color w:val="000000"/>
                <w:sz w:val="22"/>
                <w:szCs w:val="22"/>
                <w:lang w:val="sr-Latn-CS"/>
              </w:rPr>
            </w:pPr>
            <w:r w:rsidRPr="00A2580D">
              <w:rPr>
                <w:color w:val="000000"/>
                <w:sz w:val="22"/>
                <w:szCs w:val="22"/>
                <w:lang w:val="sr-Latn-CS"/>
              </w:rPr>
              <w:t>U klinički relevantnim koncentracijama imatini</w:t>
            </w:r>
            <w:r>
              <w:rPr>
                <w:color w:val="000000"/>
                <w:sz w:val="22"/>
                <w:szCs w:val="22"/>
                <w:lang w:val="sr-Latn-CS"/>
              </w:rPr>
              <w:t>ba, vezivanje za proteine plazme</w:t>
            </w:r>
            <w:r w:rsidRPr="00A2580D">
              <w:rPr>
                <w:color w:val="000000"/>
                <w:sz w:val="22"/>
                <w:szCs w:val="22"/>
                <w:lang w:val="sr-Latn-CS"/>
              </w:rPr>
              <w:t xml:space="preserve"> bilo je približno 95% na osnovu </w:t>
            </w:r>
            <w:r w:rsidRPr="00A2580D">
              <w:rPr>
                <w:i/>
                <w:iCs/>
                <w:color w:val="000000"/>
                <w:sz w:val="22"/>
                <w:szCs w:val="22"/>
                <w:lang w:val="sr-Latn-CS"/>
              </w:rPr>
              <w:t xml:space="preserve">in vitro </w:t>
            </w:r>
            <w:r w:rsidRPr="00A2580D">
              <w:rPr>
                <w:color w:val="000000"/>
                <w:sz w:val="22"/>
                <w:szCs w:val="22"/>
                <w:lang w:val="sr-Latn-CS"/>
              </w:rPr>
              <w:t>eksperimenata, uglavnom za albumin i alfa-kiseli-glikoprotein, sa malim vezivanjem za lipoprotein.</w:t>
            </w:r>
          </w:p>
          <w:p w:rsidR="000A2337" w:rsidRPr="00D63C5C" w:rsidRDefault="000A2337" w:rsidP="00161AB3">
            <w:pPr>
              <w:shd w:val="clear" w:color="auto" w:fill="FFFFFF"/>
              <w:spacing w:before="245" w:line="240" w:lineRule="atLeast"/>
              <w:jc w:val="both"/>
              <w:rPr>
                <w:sz w:val="22"/>
                <w:szCs w:val="22"/>
                <w:lang w:val="sr-Latn-CS"/>
              </w:rPr>
            </w:pPr>
            <w:r w:rsidRPr="00D63C5C">
              <w:rPr>
                <w:color w:val="000000"/>
                <w:sz w:val="22"/>
                <w:szCs w:val="22"/>
                <w:u w:val="single"/>
                <w:lang w:val="sr-Latn-CS"/>
              </w:rPr>
              <w:t>Metabolizam</w:t>
            </w:r>
          </w:p>
          <w:p w:rsidR="000A2337" w:rsidRPr="00D63C5C" w:rsidRDefault="000A2337" w:rsidP="00161AB3">
            <w:pPr>
              <w:shd w:val="clear" w:color="auto" w:fill="FFFFFF"/>
              <w:spacing w:before="10" w:line="240" w:lineRule="atLeast"/>
              <w:jc w:val="both"/>
              <w:rPr>
                <w:sz w:val="22"/>
                <w:szCs w:val="22"/>
                <w:lang w:val="sr-Latn-CS"/>
              </w:rPr>
            </w:pPr>
            <w:r w:rsidRPr="00D63C5C">
              <w:rPr>
                <w:color w:val="000000"/>
                <w:sz w:val="22"/>
                <w:szCs w:val="22"/>
                <w:lang w:val="sr-Latn-CS"/>
              </w:rPr>
              <w:t xml:space="preserve">Glavni cirkulišući metabolit kod ljudi je N-demetilovani piperazinski derivat, koji ispoljava sličnu </w:t>
            </w:r>
            <w:r>
              <w:rPr>
                <w:color w:val="000000"/>
                <w:sz w:val="22"/>
                <w:szCs w:val="22"/>
                <w:lang w:val="sr-Latn-CS"/>
              </w:rPr>
              <w:t>aktivnost</w:t>
            </w:r>
            <w:r w:rsidRPr="00D63C5C">
              <w:rPr>
                <w:color w:val="000000"/>
                <w:sz w:val="22"/>
                <w:szCs w:val="22"/>
                <w:lang w:val="sr-Latn-CS"/>
              </w:rPr>
              <w:t xml:space="preserve"> </w:t>
            </w:r>
            <w:r w:rsidRPr="00D63C5C">
              <w:rPr>
                <w:i/>
                <w:iCs/>
                <w:color w:val="000000"/>
                <w:sz w:val="22"/>
                <w:szCs w:val="22"/>
                <w:lang w:val="sr-Latn-CS"/>
              </w:rPr>
              <w:t xml:space="preserve">in vitro </w:t>
            </w:r>
            <w:r w:rsidRPr="00D63C5C">
              <w:rPr>
                <w:iCs/>
                <w:color w:val="000000"/>
                <w:sz w:val="22"/>
                <w:szCs w:val="22"/>
                <w:lang w:val="sr-Latn-CS"/>
              </w:rPr>
              <w:t>kao</w:t>
            </w:r>
            <w:r w:rsidRPr="00D63C5C">
              <w:rPr>
                <w:color w:val="000000"/>
                <w:sz w:val="22"/>
                <w:szCs w:val="22"/>
                <w:lang w:val="sr-Latn-CS"/>
              </w:rPr>
              <w:t xml:space="preserve"> i matično jedinjenje. </w:t>
            </w:r>
            <w:r>
              <w:rPr>
                <w:color w:val="000000"/>
                <w:sz w:val="22"/>
                <w:szCs w:val="22"/>
                <w:lang w:val="sr-Latn-CS"/>
              </w:rPr>
              <w:t>Plazma PIK</w:t>
            </w:r>
            <w:r w:rsidRPr="00D63C5C">
              <w:rPr>
                <w:color w:val="000000"/>
                <w:sz w:val="22"/>
                <w:szCs w:val="22"/>
                <w:lang w:val="sr-Latn-CS"/>
              </w:rPr>
              <w:t xml:space="preserve"> za ovaj metabolit bio je samo 16% od </w:t>
            </w:r>
            <w:r>
              <w:rPr>
                <w:color w:val="000000"/>
                <w:sz w:val="22"/>
                <w:szCs w:val="22"/>
                <w:lang w:val="sr-Latn-CS"/>
              </w:rPr>
              <w:t>PIK-a</w:t>
            </w:r>
            <w:r w:rsidRPr="00D63C5C">
              <w:rPr>
                <w:color w:val="000000"/>
                <w:sz w:val="22"/>
                <w:szCs w:val="22"/>
                <w:lang w:val="sr-Latn-CS"/>
              </w:rPr>
              <w:t xml:space="preserve"> za imatinib. Vezivanje za proteine plazme N-demetilovanog metabolita slično je onom</w:t>
            </w:r>
            <w:r>
              <w:rPr>
                <w:color w:val="000000"/>
                <w:sz w:val="22"/>
                <w:szCs w:val="22"/>
                <w:lang w:val="sr-Latn-CS"/>
              </w:rPr>
              <w:t xml:space="preserve"> kod</w:t>
            </w:r>
            <w:r w:rsidRPr="00D63C5C">
              <w:rPr>
                <w:color w:val="000000"/>
                <w:sz w:val="22"/>
                <w:szCs w:val="22"/>
                <w:lang w:val="sr-Latn-CS"/>
              </w:rPr>
              <w:t xml:space="preserve"> matičnog jedinjenja.</w:t>
            </w:r>
          </w:p>
          <w:p w:rsidR="000A2337" w:rsidRPr="00D63C5C" w:rsidRDefault="000A2337" w:rsidP="00161AB3">
            <w:pPr>
              <w:shd w:val="clear" w:color="auto" w:fill="FFFFFF"/>
              <w:spacing w:before="240" w:line="240" w:lineRule="atLeast"/>
              <w:jc w:val="both"/>
              <w:rPr>
                <w:sz w:val="22"/>
                <w:szCs w:val="22"/>
                <w:lang w:val="sr-Latn-CS"/>
              </w:rPr>
            </w:pPr>
            <w:r w:rsidRPr="00D63C5C">
              <w:rPr>
                <w:color w:val="000000"/>
                <w:sz w:val="22"/>
                <w:szCs w:val="22"/>
                <w:lang w:val="sr-Latn-CS"/>
              </w:rPr>
              <w:t>Imatinib i N-demetilovani metabolit zajedno su odgovorni za oko 65% cirkulišuće radioaktivnosti (</w:t>
            </w:r>
            <w:r>
              <w:rPr>
                <w:color w:val="000000"/>
                <w:sz w:val="22"/>
                <w:szCs w:val="22"/>
                <w:lang w:val="sr-Latn-CS"/>
              </w:rPr>
              <w:t>PIK</w:t>
            </w:r>
            <w:r w:rsidRPr="00D63C5C">
              <w:rPr>
                <w:color w:val="000000"/>
                <w:sz w:val="22"/>
                <w:szCs w:val="22"/>
                <w:vertAlign w:val="subscript"/>
                <w:lang w:val="sr-Latn-CS"/>
              </w:rPr>
              <w:t>(0-48 h)</w:t>
            </w:r>
            <w:r w:rsidRPr="00D63C5C">
              <w:rPr>
                <w:color w:val="000000"/>
                <w:sz w:val="22"/>
                <w:szCs w:val="22"/>
                <w:lang w:val="sr-Latn-CS"/>
              </w:rPr>
              <w:t>). Preostala cirkulišuća radioaktivnost sastojala se od brojnih manjih metabolita.</w:t>
            </w:r>
          </w:p>
          <w:p w:rsidR="000A2337" w:rsidRDefault="000A2337" w:rsidP="00161AB3">
            <w:pPr>
              <w:shd w:val="clear" w:color="auto" w:fill="FFFFFF"/>
              <w:spacing w:before="230" w:line="240" w:lineRule="atLeast"/>
              <w:jc w:val="both"/>
              <w:rPr>
                <w:color w:val="000000"/>
                <w:sz w:val="22"/>
                <w:szCs w:val="22"/>
                <w:lang w:val="sr-Latn-CS"/>
              </w:rPr>
            </w:pPr>
            <w:r w:rsidRPr="00D63C5C">
              <w:rPr>
                <w:color w:val="000000"/>
                <w:sz w:val="22"/>
                <w:szCs w:val="22"/>
                <w:lang w:val="sr-Latn-CS"/>
              </w:rPr>
              <w:t xml:space="preserve">Rezultati </w:t>
            </w:r>
            <w:r w:rsidRPr="00D63C5C">
              <w:rPr>
                <w:i/>
                <w:iCs/>
                <w:color w:val="000000"/>
                <w:sz w:val="22"/>
                <w:szCs w:val="22"/>
                <w:lang w:val="sr-Latn-CS"/>
              </w:rPr>
              <w:t xml:space="preserve">in vitro </w:t>
            </w:r>
            <w:r w:rsidRPr="00D63C5C">
              <w:rPr>
                <w:color w:val="000000"/>
                <w:sz w:val="22"/>
                <w:szCs w:val="22"/>
                <w:lang w:val="sr-Latn-CS"/>
              </w:rPr>
              <w:t>pokazali su da je CYP3A4 glavni humani P450 enzim koji katalizuje biotransformaciju imatiniba. Od palete potencijalne komedikacije (acetaminofen, aciklovir, alopurinol, amfotericin, citarabin, eritromicin, flukonazol, hidroksiureja, norfloksacin, penicilin V) samo eritromicin (IC</w:t>
            </w:r>
            <w:r w:rsidRPr="00D63C5C">
              <w:rPr>
                <w:color w:val="000000"/>
                <w:sz w:val="22"/>
                <w:szCs w:val="22"/>
                <w:vertAlign w:val="subscript"/>
                <w:lang w:val="sr-Latn-CS"/>
              </w:rPr>
              <w:t>50</w:t>
            </w:r>
            <w:r>
              <w:rPr>
                <w:color w:val="000000"/>
                <w:sz w:val="22"/>
                <w:szCs w:val="22"/>
                <w:lang w:val="sr-Latn-CS"/>
              </w:rPr>
              <w:t xml:space="preserve"> 50 µ</w:t>
            </w:r>
            <w:r w:rsidRPr="00D63C5C">
              <w:rPr>
                <w:color w:val="000000"/>
                <w:sz w:val="22"/>
                <w:szCs w:val="22"/>
                <w:lang w:val="sr-Latn-CS"/>
              </w:rPr>
              <w:t>M) i flukonazol (IC</w:t>
            </w:r>
            <w:r w:rsidRPr="00D63C5C">
              <w:rPr>
                <w:color w:val="000000"/>
                <w:sz w:val="22"/>
                <w:szCs w:val="22"/>
                <w:vertAlign w:val="subscript"/>
                <w:lang w:val="sr-Latn-CS"/>
              </w:rPr>
              <w:t>50</w:t>
            </w:r>
            <w:r>
              <w:rPr>
                <w:color w:val="000000"/>
                <w:sz w:val="22"/>
                <w:szCs w:val="22"/>
                <w:lang w:val="sr-Latn-CS"/>
              </w:rPr>
              <w:t>118 µ</w:t>
            </w:r>
            <w:r w:rsidRPr="00D63C5C">
              <w:rPr>
                <w:color w:val="000000"/>
                <w:sz w:val="22"/>
                <w:szCs w:val="22"/>
                <w:lang w:val="sr-Latn-CS"/>
              </w:rPr>
              <w:t>M) pokazali su inhibiciju metabolizma imatiniba</w:t>
            </w:r>
            <w:r>
              <w:rPr>
                <w:color w:val="000000"/>
                <w:sz w:val="22"/>
                <w:szCs w:val="22"/>
                <w:lang w:val="sr-Latn-CS"/>
              </w:rPr>
              <w:t xml:space="preserve"> koja</w:t>
            </w:r>
            <w:r w:rsidRPr="00D63C5C">
              <w:rPr>
                <w:color w:val="000000"/>
                <w:sz w:val="22"/>
                <w:szCs w:val="22"/>
                <w:lang w:val="sr-Latn-CS"/>
              </w:rPr>
              <w:t xml:space="preserve"> može biti klinički relevantn</w:t>
            </w:r>
            <w:r>
              <w:rPr>
                <w:color w:val="000000"/>
                <w:sz w:val="22"/>
                <w:szCs w:val="22"/>
                <w:lang w:val="sr-Latn-CS"/>
              </w:rPr>
              <w:t>a</w:t>
            </w:r>
            <w:r w:rsidRPr="00D63C5C">
              <w:rPr>
                <w:color w:val="000000"/>
                <w:sz w:val="22"/>
                <w:szCs w:val="22"/>
                <w:lang w:val="sr-Latn-CS"/>
              </w:rPr>
              <w:t>.</w:t>
            </w:r>
          </w:p>
          <w:p w:rsidR="000A2337" w:rsidRDefault="000A2337" w:rsidP="00161AB3">
            <w:pPr>
              <w:shd w:val="clear" w:color="auto" w:fill="FFFFFF"/>
              <w:spacing w:line="240" w:lineRule="atLeast"/>
              <w:rPr>
                <w:color w:val="000000"/>
                <w:sz w:val="22"/>
                <w:szCs w:val="22"/>
                <w:lang w:val="sr-Latn-CS"/>
              </w:rPr>
            </w:pPr>
          </w:p>
          <w:p w:rsidR="000A2337" w:rsidRDefault="000A2337" w:rsidP="000748B4">
            <w:pPr>
              <w:shd w:val="clear" w:color="auto" w:fill="FFFFFF"/>
              <w:spacing w:line="240" w:lineRule="atLeast"/>
              <w:jc w:val="both"/>
              <w:rPr>
                <w:color w:val="000000"/>
                <w:sz w:val="22"/>
                <w:szCs w:val="22"/>
                <w:lang w:val="sr-Latn-CS"/>
              </w:rPr>
            </w:pPr>
            <w:r w:rsidRPr="00D63C5C">
              <w:rPr>
                <w:color w:val="000000"/>
                <w:sz w:val="22"/>
                <w:szCs w:val="22"/>
                <w:lang w:val="sr-Latn-CS"/>
              </w:rPr>
              <w:t xml:space="preserve">Za imatinib je pokazano </w:t>
            </w:r>
            <w:r w:rsidRPr="00D63C5C">
              <w:rPr>
                <w:i/>
                <w:iCs/>
                <w:color w:val="000000"/>
                <w:sz w:val="22"/>
                <w:szCs w:val="22"/>
                <w:lang w:val="sr-Latn-CS"/>
              </w:rPr>
              <w:t xml:space="preserve">in vitro </w:t>
            </w:r>
            <w:r w:rsidRPr="00D63C5C">
              <w:rPr>
                <w:color w:val="000000"/>
                <w:sz w:val="22"/>
                <w:szCs w:val="22"/>
                <w:lang w:val="sr-Latn-CS"/>
              </w:rPr>
              <w:t xml:space="preserve">da je kompetitivni inhibitor supstrata </w:t>
            </w:r>
            <w:r>
              <w:rPr>
                <w:color w:val="000000"/>
                <w:sz w:val="22"/>
                <w:szCs w:val="22"/>
                <w:lang w:val="sr-Latn-CS"/>
              </w:rPr>
              <w:t>markera</w:t>
            </w:r>
            <w:r w:rsidRPr="00D63C5C">
              <w:rPr>
                <w:color w:val="000000"/>
                <w:sz w:val="22"/>
                <w:szCs w:val="22"/>
                <w:lang w:val="sr-Latn-CS"/>
              </w:rPr>
              <w:t xml:space="preserve"> za CYP2C9, CYP2D6 i CYP3A4/5. K</w:t>
            </w:r>
            <w:r w:rsidRPr="00CF4C89">
              <w:rPr>
                <w:color w:val="000000"/>
                <w:sz w:val="22"/>
                <w:szCs w:val="22"/>
                <w:vertAlign w:val="subscript"/>
                <w:lang w:val="sr-Latn-CS"/>
              </w:rPr>
              <w:t>i</w:t>
            </w:r>
            <w:r w:rsidRPr="00D63C5C">
              <w:rPr>
                <w:color w:val="000000"/>
                <w:sz w:val="22"/>
                <w:szCs w:val="22"/>
                <w:lang w:val="sr-Latn-CS"/>
              </w:rPr>
              <w:t xml:space="preserve"> </w:t>
            </w:r>
            <w:r>
              <w:rPr>
                <w:color w:val="000000"/>
                <w:sz w:val="22"/>
                <w:szCs w:val="22"/>
                <w:lang w:val="sr-Latn-CS"/>
              </w:rPr>
              <w:t>vrijedno</w:t>
            </w:r>
            <w:r w:rsidRPr="00D63C5C">
              <w:rPr>
                <w:color w:val="000000"/>
                <w:sz w:val="22"/>
                <w:szCs w:val="22"/>
                <w:lang w:val="sr-Latn-CS"/>
              </w:rPr>
              <w:t xml:space="preserve">sti u humanim mikrozomima jetre bile </w:t>
            </w:r>
            <w:r w:rsidRPr="00021879">
              <w:rPr>
                <w:color w:val="000000"/>
                <w:sz w:val="22"/>
                <w:szCs w:val="22"/>
                <w:lang w:val="sr-Latn-CS"/>
              </w:rPr>
              <w:t>su redom 27,</w:t>
            </w:r>
            <w:r w:rsidRPr="00D63C5C">
              <w:rPr>
                <w:color w:val="000000"/>
                <w:sz w:val="22"/>
                <w:szCs w:val="22"/>
                <w:lang w:val="sr-Latn-CS"/>
              </w:rPr>
              <w:t xml:space="preserve"> 7,5 i 7,9 </w:t>
            </w:r>
            <w:r>
              <w:rPr>
                <w:color w:val="000000"/>
                <w:sz w:val="22"/>
                <w:szCs w:val="22"/>
                <w:lang w:val="sr-Latn-CS"/>
              </w:rPr>
              <w:t>µ</w:t>
            </w:r>
            <w:r w:rsidRPr="00D63C5C">
              <w:rPr>
                <w:color w:val="000000"/>
                <w:sz w:val="22"/>
                <w:szCs w:val="22"/>
                <w:lang w:val="sr-Latn-CS"/>
              </w:rPr>
              <w:t xml:space="preserve">mol/l. Maksimalne koncentracije u plazmi imatiniba kod </w:t>
            </w:r>
            <w:r>
              <w:rPr>
                <w:color w:val="000000"/>
                <w:sz w:val="22"/>
                <w:szCs w:val="22"/>
                <w:lang w:val="sr-Latn-CS"/>
              </w:rPr>
              <w:t>pacijenata</w:t>
            </w:r>
            <w:r w:rsidRPr="00D63C5C">
              <w:rPr>
                <w:color w:val="000000"/>
                <w:sz w:val="22"/>
                <w:szCs w:val="22"/>
                <w:lang w:val="sr-Latn-CS"/>
              </w:rPr>
              <w:t xml:space="preserve"> su </w:t>
            </w:r>
            <w:r w:rsidRPr="00D63C5C">
              <w:rPr>
                <w:iCs/>
                <w:color w:val="000000"/>
                <w:sz w:val="22"/>
                <w:szCs w:val="22"/>
                <w:lang w:val="sr-Latn-CS"/>
              </w:rPr>
              <w:t>2-4</w:t>
            </w:r>
            <w:r>
              <w:rPr>
                <w:color w:val="000000"/>
                <w:sz w:val="22"/>
                <w:szCs w:val="22"/>
                <w:lang w:val="sr-Latn-CS"/>
              </w:rPr>
              <w:t xml:space="preserve"> µ</w:t>
            </w:r>
            <w:r w:rsidRPr="00D63C5C">
              <w:rPr>
                <w:color w:val="000000"/>
                <w:sz w:val="22"/>
                <w:szCs w:val="22"/>
                <w:lang w:val="sr-Latn-CS"/>
              </w:rPr>
              <w:t xml:space="preserve">mol/l, usled čega je inhibicija CYP2D6 i/ili CYP3A4/5-posredovanog metabolizma istovremeno datih </w:t>
            </w:r>
            <w:r>
              <w:rPr>
                <w:color w:val="000000"/>
                <w:sz w:val="22"/>
                <w:szCs w:val="22"/>
                <w:lang w:val="sr-Latn-CS"/>
              </w:rPr>
              <w:t>ljek</w:t>
            </w:r>
            <w:r w:rsidRPr="00D63C5C">
              <w:rPr>
                <w:color w:val="000000"/>
                <w:sz w:val="22"/>
                <w:szCs w:val="22"/>
                <w:lang w:val="sr-Latn-CS"/>
              </w:rPr>
              <w:t xml:space="preserve">ova moguća. Imatinib nije uticao na biotransformaciju </w:t>
            </w:r>
            <w:r w:rsidR="000748B4">
              <w:rPr>
                <w:color w:val="000000"/>
                <w:sz w:val="22"/>
                <w:szCs w:val="22"/>
                <w:lang w:val="sr-Latn-CS"/>
              </w:rPr>
              <w:t xml:space="preserve">           </w:t>
            </w:r>
            <w:r w:rsidRPr="00D63C5C">
              <w:rPr>
                <w:color w:val="000000"/>
                <w:sz w:val="22"/>
                <w:szCs w:val="22"/>
                <w:lang w:val="sr-Latn-CS"/>
              </w:rPr>
              <w:t xml:space="preserve">5-fluorouracila, ali je inhibisao metabolizam paklitaksela kao rezultat kompetitivne inhibicije CYP2C8 </w:t>
            </w:r>
            <w:r w:rsidR="000748B4">
              <w:rPr>
                <w:color w:val="000000"/>
                <w:sz w:val="22"/>
                <w:szCs w:val="22"/>
                <w:lang w:val="sr-Latn-CS"/>
              </w:rPr>
              <w:t xml:space="preserve">            </w:t>
            </w:r>
            <w:r w:rsidRPr="00D63C5C">
              <w:rPr>
                <w:color w:val="000000"/>
                <w:sz w:val="22"/>
                <w:szCs w:val="22"/>
                <w:lang w:val="sr-Latn-CS"/>
              </w:rPr>
              <w:t>(K</w:t>
            </w:r>
            <w:r w:rsidRPr="00CF4C89">
              <w:rPr>
                <w:color w:val="000000"/>
                <w:sz w:val="22"/>
                <w:szCs w:val="22"/>
                <w:vertAlign w:val="subscript"/>
                <w:lang w:val="sr-Latn-CS"/>
              </w:rPr>
              <w:t>i</w:t>
            </w:r>
            <w:r w:rsidRPr="00D63C5C">
              <w:rPr>
                <w:color w:val="000000"/>
                <w:sz w:val="22"/>
                <w:szCs w:val="22"/>
                <w:lang w:val="sr-Latn-CS"/>
              </w:rPr>
              <w:t xml:space="preserve"> = 34.7 </w:t>
            </w:r>
            <w:r>
              <w:rPr>
                <w:color w:val="000000"/>
                <w:sz w:val="22"/>
                <w:szCs w:val="22"/>
                <w:lang w:val="sr-Latn-CS"/>
              </w:rPr>
              <w:t>µM</w:t>
            </w:r>
            <w:r w:rsidRPr="00D63C5C">
              <w:rPr>
                <w:color w:val="000000"/>
                <w:sz w:val="22"/>
                <w:szCs w:val="22"/>
                <w:lang w:val="sr-Latn-CS"/>
              </w:rPr>
              <w:t xml:space="preserve">). </w:t>
            </w:r>
            <w:r w:rsidRPr="00D63C5C">
              <w:rPr>
                <w:color w:val="000000"/>
                <w:sz w:val="22"/>
                <w:szCs w:val="22"/>
                <w:lang w:val="sr-Latn-CS"/>
              </w:rPr>
              <w:lastRenderedPageBreak/>
              <w:t>Ova K</w:t>
            </w:r>
            <w:r w:rsidRPr="00372061">
              <w:rPr>
                <w:color w:val="000000"/>
                <w:sz w:val="22"/>
                <w:szCs w:val="22"/>
                <w:vertAlign w:val="subscript"/>
                <w:lang w:val="sr-Latn-CS"/>
              </w:rPr>
              <w:t>i</w:t>
            </w:r>
            <w:r w:rsidRPr="00D63C5C">
              <w:rPr>
                <w:color w:val="000000"/>
                <w:sz w:val="22"/>
                <w:szCs w:val="22"/>
                <w:lang w:val="sr-Latn-CS"/>
              </w:rPr>
              <w:t xml:space="preserve"> </w:t>
            </w:r>
            <w:r>
              <w:rPr>
                <w:color w:val="000000"/>
                <w:sz w:val="22"/>
                <w:szCs w:val="22"/>
                <w:lang w:val="sr-Latn-CS"/>
              </w:rPr>
              <w:t>vrijedno</w:t>
            </w:r>
            <w:r w:rsidRPr="00D63C5C">
              <w:rPr>
                <w:color w:val="000000"/>
                <w:sz w:val="22"/>
                <w:szCs w:val="22"/>
                <w:lang w:val="sr-Latn-CS"/>
              </w:rPr>
              <w:t xml:space="preserve">st je daleko viša od očekivanih nivoa imatiniba u plazmi </w:t>
            </w:r>
            <w:r>
              <w:rPr>
                <w:color w:val="000000"/>
                <w:sz w:val="22"/>
                <w:szCs w:val="22"/>
                <w:lang w:val="sr-Latn-CS"/>
              </w:rPr>
              <w:t>pacijenta</w:t>
            </w:r>
            <w:r w:rsidRPr="00D63C5C">
              <w:rPr>
                <w:color w:val="000000"/>
                <w:sz w:val="22"/>
                <w:szCs w:val="22"/>
                <w:lang w:val="sr-Latn-CS"/>
              </w:rPr>
              <w:t xml:space="preserve">, pa se </w:t>
            </w:r>
            <w:r>
              <w:rPr>
                <w:color w:val="000000"/>
                <w:sz w:val="22"/>
                <w:szCs w:val="22"/>
                <w:lang w:val="sr-Latn-CS"/>
              </w:rPr>
              <w:t>prema tome</w:t>
            </w:r>
            <w:r w:rsidRPr="00D63C5C">
              <w:rPr>
                <w:color w:val="000000"/>
                <w:sz w:val="22"/>
                <w:szCs w:val="22"/>
                <w:lang w:val="sr-Latn-CS"/>
              </w:rPr>
              <w:t xml:space="preserve"> ne očekuje nikakva interakcija nakon istovremenog davanja 5-fluorouracila ili paklitaksela i imatiniba.</w:t>
            </w:r>
          </w:p>
          <w:p w:rsidR="000A2337" w:rsidRPr="00121148" w:rsidRDefault="000A2337" w:rsidP="00161AB3">
            <w:pPr>
              <w:shd w:val="clear" w:color="auto" w:fill="FFFFFF"/>
              <w:spacing w:before="235" w:line="240" w:lineRule="atLeast"/>
              <w:jc w:val="both"/>
              <w:rPr>
                <w:sz w:val="22"/>
                <w:szCs w:val="22"/>
                <w:lang w:val="sr-Latn-CS"/>
              </w:rPr>
            </w:pPr>
            <w:r w:rsidRPr="00585B76">
              <w:rPr>
                <w:color w:val="000000"/>
                <w:sz w:val="22"/>
                <w:szCs w:val="22"/>
                <w:u w:val="single"/>
                <w:lang w:val="sr-Latn-CS"/>
              </w:rPr>
              <w:t>Eliminacija</w:t>
            </w:r>
          </w:p>
          <w:p w:rsidR="000A2337" w:rsidRPr="006B68C2" w:rsidRDefault="000A2337" w:rsidP="00161AB3">
            <w:pPr>
              <w:shd w:val="clear" w:color="auto" w:fill="FFFFFF"/>
              <w:spacing w:before="5" w:line="240" w:lineRule="atLeast"/>
              <w:jc w:val="both"/>
              <w:rPr>
                <w:sz w:val="22"/>
                <w:szCs w:val="22"/>
                <w:lang w:val="sr-Latn-CS"/>
              </w:rPr>
            </w:pPr>
            <w:r w:rsidRPr="00320917">
              <w:rPr>
                <w:color w:val="000000"/>
                <w:sz w:val="22"/>
                <w:szCs w:val="22"/>
                <w:lang w:val="sr-Latn-CS"/>
              </w:rPr>
              <w:t>Na osnovu pronalaženja jedinjenja poslije oralne doze imatiniba markiranog sa</w:t>
            </w:r>
            <w:r w:rsidRPr="00E66F58">
              <w:rPr>
                <w:color w:val="000000"/>
                <w:sz w:val="22"/>
                <w:szCs w:val="22"/>
                <w:vertAlign w:val="superscript"/>
                <w:lang w:val="sr-Latn-CS"/>
              </w:rPr>
              <w:t xml:space="preserve"> 14</w:t>
            </w:r>
            <w:r w:rsidRPr="00213A78">
              <w:rPr>
                <w:color w:val="000000"/>
                <w:sz w:val="22"/>
                <w:szCs w:val="22"/>
                <w:lang w:val="sr-Latn-CS"/>
              </w:rPr>
              <w:t>C, približno 81% doze je pronađeno unutar 7 dana u fecesu (68% doze) i urinu (13% doze). Na nepromijenjeni imatinib odlazilo je 25% doze (5% urin, 20% feces), a ostatak su bil</w:t>
            </w:r>
            <w:r w:rsidRPr="00F14C62">
              <w:rPr>
                <w:color w:val="000000"/>
                <w:sz w:val="22"/>
                <w:szCs w:val="22"/>
                <w:lang w:val="sr-Latn-CS"/>
              </w:rPr>
              <w:t>i metaboliti.</w:t>
            </w:r>
          </w:p>
          <w:p w:rsidR="000A2337" w:rsidRPr="008733C4" w:rsidRDefault="000A2337" w:rsidP="00161AB3">
            <w:pPr>
              <w:shd w:val="clear" w:color="auto" w:fill="FFFFFF"/>
              <w:spacing w:before="235" w:line="240" w:lineRule="atLeast"/>
              <w:jc w:val="both"/>
              <w:rPr>
                <w:sz w:val="22"/>
                <w:szCs w:val="22"/>
                <w:lang w:val="sr-Latn-CS"/>
              </w:rPr>
            </w:pPr>
            <w:r w:rsidRPr="005679A2">
              <w:rPr>
                <w:color w:val="000000"/>
                <w:sz w:val="22"/>
                <w:szCs w:val="22"/>
                <w:u w:val="single"/>
                <w:lang w:val="sr-Latn-CS"/>
              </w:rPr>
              <w:t xml:space="preserve">Farmakokinetika u plazmi </w:t>
            </w:r>
          </w:p>
          <w:p w:rsidR="000A2337" w:rsidRPr="007044F6" w:rsidRDefault="000A2337" w:rsidP="00161AB3">
            <w:pPr>
              <w:shd w:val="clear" w:color="auto" w:fill="FFFFFF"/>
              <w:spacing w:line="240" w:lineRule="atLeast"/>
              <w:jc w:val="both"/>
              <w:rPr>
                <w:sz w:val="22"/>
                <w:szCs w:val="22"/>
                <w:lang w:val="sr-Latn-CS"/>
              </w:rPr>
            </w:pPr>
            <w:r w:rsidRPr="00F84966">
              <w:rPr>
                <w:color w:val="000000"/>
                <w:sz w:val="22"/>
                <w:szCs w:val="22"/>
                <w:lang w:val="sr-Latn-CS"/>
              </w:rPr>
              <w:t>Nakon oralnog davanja zdravim dobrovoljcima, poluvrijeme eliminacije(t</w:t>
            </w:r>
            <w:r w:rsidRPr="006D6B4A">
              <w:rPr>
                <w:color w:val="000000"/>
                <w:sz w:val="22"/>
                <w:szCs w:val="22"/>
                <w:vertAlign w:val="subscript"/>
                <w:lang w:val="sr-Latn-CS"/>
              </w:rPr>
              <w:t>1/2</w:t>
            </w:r>
            <w:r w:rsidRPr="00FB0E0D">
              <w:rPr>
                <w:color w:val="000000"/>
                <w:sz w:val="22"/>
                <w:szCs w:val="22"/>
                <w:lang w:val="sr-Latn-CS"/>
              </w:rPr>
              <w:t>)</w:t>
            </w:r>
            <w:r w:rsidRPr="00FB0E0D">
              <w:rPr>
                <w:color w:val="000000"/>
                <w:sz w:val="22"/>
                <w:szCs w:val="22"/>
                <w:vertAlign w:val="subscript"/>
                <w:lang w:val="sr-Latn-CS"/>
              </w:rPr>
              <w:t xml:space="preserve"> </w:t>
            </w:r>
            <w:r w:rsidRPr="00FB0E0D">
              <w:rPr>
                <w:color w:val="000000"/>
                <w:sz w:val="22"/>
                <w:szCs w:val="22"/>
                <w:lang w:val="sr-Latn-CS"/>
              </w:rPr>
              <w:t>iznosilo je približno 18 h, potvrđujući da je doziranje jednom dnevno odgovarajuće. Povećanje srednjeg PIK-a sa povećanjem doze bilo je linearno, a doz</w:t>
            </w:r>
            <w:r w:rsidRPr="007044F6">
              <w:rPr>
                <w:color w:val="000000"/>
                <w:sz w:val="22"/>
                <w:szCs w:val="22"/>
                <w:lang w:val="sr-Latn-CS"/>
              </w:rPr>
              <w:t>a proporcionalna u rasponu od 25 do 1000 mg imatiniba poslije oralnog davanja. Nije bilo promjena u kinetici imatiniba na ponovljeno davanje, a akumulacija je bila 1,5-2,5-puta u ravnotežnom stanju kad se dozira jednom dnevno.</w:t>
            </w:r>
          </w:p>
          <w:p w:rsidR="000A2337" w:rsidRPr="007044F6" w:rsidRDefault="000A2337" w:rsidP="00161AB3">
            <w:pPr>
              <w:shd w:val="clear" w:color="auto" w:fill="FFFFFF"/>
              <w:spacing w:before="240" w:line="240" w:lineRule="atLeast"/>
              <w:jc w:val="both"/>
              <w:rPr>
                <w:sz w:val="22"/>
                <w:szCs w:val="22"/>
                <w:lang w:val="sr-Latn-CS"/>
              </w:rPr>
            </w:pPr>
            <w:r w:rsidRPr="007044F6">
              <w:rPr>
                <w:color w:val="000000"/>
                <w:sz w:val="22"/>
                <w:szCs w:val="22"/>
                <w:u w:val="single"/>
                <w:lang w:val="sr-Latn-CS"/>
              </w:rPr>
              <w:t>Farmakokinetika kod pacijenata sa GIST-om</w:t>
            </w:r>
          </w:p>
          <w:p w:rsidR="000A2337" w:rsidRPr="007044F6" w:rsidRDefault="000A2337" w:rsidP="00161AB3">
            <w:pPr>
              <w:shd w:val="clear" w:color="auto" w:fill="FFFFFF"/>
              <w:spacing w:line="240" w:lineRule="atLeast"/>
              <w:jc w:val="both"/>
              <w:rPr>
                <w:color w:val="000000"/>
                <w:sz w:val="22"/>
                <w:szCs w:val="22"/>
                <w:lang w:val="sr-Latn-CS"/>
              </w:rPr>
            </w:pPr>
            <w:r w:rsidRPr="007044F6">
              <w:rPr>
                <w:color w:val="000000"/>
                <w:sz w:val="22"/>
                <w:szCs w:val="22"/>
                <w:lang w:val="sr-Latn-CS"/>
              </w:rPr>
              <w:t>Kod pacijenata sa GIST-om ekspozicija u ravnotežnom stanju bila je 1,5-puta viša nego ona uočena kod pacijenata sa CML-om pri istoj dozi (400 mg dnevno). Na osnovu preliminarne populacijske farmakokinetske analize kod pacijenata sa GIST-om, za tri varijable (albumin, bijela krvna zrnca i bilirubin) je pronađeno da imaju statistički značajan odnos sa farmakokinetikom imatiniba. Smanjenje vrijednosti albumina izazvale su redukciju klirensa (CL/f); pri višim nivoima  bijelih krvnih zrnaca dolazilo je do redukcije CL/f. Međutim, ova povezanost nije dovoljno naglašena da bi opravdala podešavanje doze. U ovoj populaciji pacijenata, prisustvo jetrinih metastaza može potencijalno da dovede do hepatične insuficijencije i redukovanog metabolizma.</w:t>
            </w:r>
          </w:p>
          <w:p w:rsidR="000A2337" w:rsidRPr="00121148" w:rsidRDefault="000A2337" w:rsidP="00161AB3">
            <w:pPr>
              <w:shd w:val="clear" w:color="auto" w:fill="FFFFFF"/>
              <w:spacing w:before="235" w:line="240" w:lineRule="atLeast"/>
              <w:jc w:val="both"/>
              <w:rPr>
                <w:sz w:val="22"/>
                <w:szCs w:val="22"/>
                <w:lang w:val="sr-Latn-CS"/>
              </w:rPr>
            </w:pPr>
            <w:r w:rsidRPr="00585B76">
              <w:rPr>
                <w:color w:val="000000"/>
                <w:sz w:val="22"/>
                <w:szCs w:val="22"/>
                <w:u w:val="single"/>
                <w:lang w:val="sr-Latn-CS"/>
              </w:rPr>
              <w:t>Populacijska farmakokinetika</w:t>
            </w:r>
          </w:p>
          <w:p w:rsidR="000A2337" w:rsidRPr="008733C4" w:rsidRDefault="000A2337" w:rsidP="00161AB3">
            <w:pPr>
              <w:shd w:val="clear" w:color="auto" w:fill="FFFFFF"/>
              <w:spacing w:line="240" w:lineRule="atLeast"/>
              <w:jc w:val="both"/>
              <w:rPr>
                <w:sz w:val="22"/>
                <w:szCs w:val="22"/>
                <w:lang w:val="sr-Latn-CS"/>
              </w:rPr>
            </w:pPr>
            <w:r w:rsidRPr="00320917">
              <w:rPr>
                <w:color w:val="000000"/>
                <w:sz w:val="22"/>
                <w:szCs w:val="22"/>
                <w:lang w:val="sr-Latn-CS"/>
              </w:rPr>
              <w:t xml:space="preserve">Na osnovu populacijske farmakokinetske analize kod </w:t>
            </w:r>
            <w:r w:rsidRPr="00E66F58">
              <w:rPr>
                <w:color w:val="000000"/>
                <w:sz w:val="22"/>
                <w:szCs w:val="22"/>
                <w:lang w:val="sr-Latn-CS"/>
              </w:rPr>
              <w:t xml:space="preserve">pacijenata sa </w:t>
            </w:r>
            <w:r w:rsidRPr="00213A78">
              <w:rPr>
                <w:color w:val="000000"/>
                <w:sz w:val="22"/>
                <w:szCs w:val="22"/>
                <w:lang w:val="sr-Latn-CS"/>
              </w:rPr>
              <w:t>CML</w:t>
            </w:r>
            <w:r w:rsidRPr="00F14C62">
              <w:rPr>
                <w:color w:val="000000"/>
                <w:sz w:val="22"/>
                <w:szCs w:val="22"/>
                <w:lang w:val="sr-Latn-CS"/>
              </w:rPr>
              <w:t>-om</w:t>
            </w:r>
            <w:r w:rsidRPr="006B68C2">
              <w:rPr>
                <w:color w:val="000000"/>
                <w:sz w:val="22"/>
                <w:szCs w:val="22"/>
                <w:lang w:val="sr-Latn-CS"/>
              </w:rPr>
              <w:t>, postojao je mali efekat starosti na volumen distribucije (12% povećanja kod pacijenata &gt; 65 godina). Smatra se da ova promjena nije klinički značajna. E</w:t>
            </w:r>
            <w:r w:rsidRPr="005679A2">
              <w:rPr>
                <w:color w:val="000000"/>
                <w:sz w:val="22"/>
                <w:szCs w:val="22"/>
                <w:lang w:val="sr-Latn-CS"/>
              </w:rPr>
              <w:t>fekat tjelesne težine na klirens imatiniba je takav  da se za pacijenta koji ima 50 kg očekuje srednji klirens od 8,5 l/h, dok se za pacijenta težine 100 kg očekuje klirens povećan do 11,8 l/h. Ove promjene se ne smatraju dovoljnim da opravdaju podešavanje doze na osnovu tjelesne mase. Nema uticaja pola na kinetiku imatiniba.</w:t>
            </w:r>
          </w:p>
          <w:p w:rsidR="000A2337" w:rsidRPr="006D6B4A" w:rsidRDefault="000A2337" w:rsidP="00161AB3">
            <w:pPr>
              <w:shd w:val="clear" w:color="auto" w:fill="FFFFFF"/>
              <w:spacing w:before="240" w:line="240" w:lineRule="atLeast"/>
              <w:jc w:val="both"/>
              <w:rPr>
                <w:sz w:val="22"/>
                <w:szCs w:val="22"/>
                <w:lang w:val="sr-Latn-CS"/>
              </w:rPr>
            </w:pPr>
            <w:r w:rsidRPr="00F84966">
              <w:rPr>
                <w:color w:val="000000"/>
                <w:sz w:val="22"/>
                <w:szCs w:val="22"/>
                <w:u w:val="single"/>
                <w:lang w:val="sr-Latn-CS"/>
              </w:rPr>
              <w:t>Farmakokinetika kod djece</w:t>
            </w:r>
          </w:p>
          <w:p w:rsidR="000A2337" w:rsidRPr="007044F6" w:rsidRDefault="000A2337" w:rsidP="00161AB3">
            <w:pPr>
              <w:shd w:val="clear" w:color="auto" w:fill="FFFFFF"/>
              <w:spacing w:line="240" w:lineRule="atLeast"/>
              <w:jc w:val="both"/>
              <w:rPr>
                <w:color w:val="000000"/>
                <w:sz w:val="22"/>
                <w:szCs w:val="22"/>
                <w:lang w:val="sr-Latn-CS"/>
              </w:rPr>
            </w:pPr>
            <w:r w:rsidRPr="00FB0E0D">
              <w:rPr>
                <w:color w:val="000000"/>
                <w:sz w:val="22"/>
                <w:szCs w:val="22"/>
                <w:lang w:val="sr-Latn-CS"/>
              </w:rPr>
              <w:t>Kao i kod odraslih pacijenata, imatinib se brzo resorbuje poslije oralnog davanja kod pedijatrijskih pacijenata u studijama faze I i faze II. Doziranje kod djece od 260</w:t>
            </w:r>
            <w:r w:rsidRPr="007044F6">
              <w:rPr>
                <w:color w:val="000000"/>
                <w:sz w:val="22"/>
                <w:szCs w:val="22"/>
                <w:lang w:val="sr-Latn-CS"/>
              </w:rPr>
              <w:t xml:space="preserve"> i 340 mg/m</w:t>
            </w:r>
            <w:r w:rsidRPr="007044F6">
              <w:rPr>
                <w:color w:val="000000"/>
                <w:sz w:val="22"/>
                <w:szCs w:val="22"/>
                <w:vertAlign w:val="superscript"/>
                <w:lang w:val="sr-Latn-CS"/>
              </w:rPr>
              <w:t>2</w:t>
            </w:r>
            <w:r w:rsidRPr="007044F6">
              <w:rPr>
                <w:color w:val="000000"/>
                <w:sz w:val="22"/>
                <w:szCs w:val="22"/>
                <w:lang w:val="sr-Latn-CS"/>
              </w:rPr>
              <w:t>/dan postizalo je istu ekspoziciju, respektivno, kao doze od 400 mg i 600 mg kod odraslih pacijenata. Poređenje PIK</w:t>
            </w:r>
            <w:r w:rsidRPr="007044F6">
              <w:rPr>
                <w:color w:val="000000"/>
                <w:sz w:val="22"/>
                <w:szCs w:val="22"/>
                <w:vertAlign w:val="subscript"/>
                <w:lang w:val="sr-Latn-CS"/>
              </w:rPr>
              <w:t>(0-24)</w:t>
            </w:r>
            <w:r w:rsidRPr="007044F6">
              <w:rPr>
                <w:color w:val="000000"/>
                <w:sz w:val="22"/>
                <w:szCs w:val="22"/>
                <w:lang w:val="sr-Latn-CS"/>
              </w:rPr>
              <w:t xml:space="preserve"> na dan 8. i dan 1. pri 340 mg/m</w:t>
            </w:r>
            <w:r w:rsidRPr="007044F6">
              <w:rPr>
                <w:color w:val="000000"/>
                <w:sz w:val="22"/>
                <w:szCs w:val="22"/>
                <w:vertAlign w:val="superscript"/>
                <w:lang w:val="sr-Latn-CS"/>
              </w:rPr>
              <w:t>2</w:t>
            </w:r>
            <w:r w:rsidRPr="007044F6">
              <w:rPr>
                <w:color w:val="000000"/>
                <w:sz w:val="22"/>
                <w:szCs w:val="22"/>
                <w:lang w:val="sr-Latn-CS"/>
              </w:rPr>
              <w:t>/dan doznom nivou otkrilo je 1,7-puta akumulaciju lijeka poslije ponovljenog doziranja jednom dnevno.</w:t>
            </w:r>
          </w:p>
          <w:p w:rsidR="000A2337" w:rsidRPr="007044F6" w:rsidRDefault="000A2337" w:rsidP="00161AB3">
            <w:pPr>
              <w:shd w:val="clear" w:color="auto" w:fill="FFFFFF"/>
              <w:spacing w:line="240" w:lineRule="atLeast"/>
              <w:jc w:val="both"/>
              <w:rPr>
                <w:color w:val="000000"/>
                <w:sz w:val="22"/>
                <w:szCs w:val="22"/>
                <w:lang w:val="sr-Latn-CS"/>
              </w:rPr>
            </w:pPr>
          </w:p>
          <w:p w:rsidR="000A2337" w:rsidRPr="004A56E8" w:rsidRDefault="000A2337" w:rsidP="00377419">
            <w:pPr>
              <w:shd w:val="clear" w:color="auto" w:fill="FFFFFF"/>
              <w:jc w:val="both"/>
              <w:rPr>
                <w:color w:val="000000"/>
                <w:sz w:val="22"/>
                <w:szCs w:val="22"/>
                <w:lang w:val="sr-Latn-CS"/>
              </w:rPr>
            </w:pPr>
            <w:r w:rsidRPr="007044F6">
              <w:rPr>
                <w:color w:val="000000"/>
                <w:sz w:val="22"/>
                <w:szCs w:val="22"/>
                <w:lang w:val="sr-Latn-CS"/>
              </w:rPr>
              <w:t xml:space="preserve">Na osnovu farmakokinetičke analize zbirne populacije pedijatrijskih pacijenata sa hematološkim poremećajima </w:t>
            </w:r>
            <w:r w:rsidRPr="004A56E8">
              <w:rPr>
                <w:color w:val="000000"/>
                <w:sz w:val="22"/>
                <w:szCs w:val="22"/>
                <w:lang w:val="sr-Latn-CS"/>
              </w:rPr>
              <w:t>(CML, Ph+ALL ili drugi hematološki poremećaji koji se liječe imatinibom), klirens imatiniba povećava se sa porastom tjelesne površine (BSA). Nakon korekcije s obzirom na efekat tjelesne površine, ostale demografske odrednice kao što su starost, tjelesna težina i indeks tjelesne mase, ni</w:t>
            </w:r>
            <w:r>
              <w:rPr>
                <w:color w:val="000000"/>
                <w:sz w:val="22"/>
                <w:szCs w:val="22"/>
                <w:lang w:val="sr-Latn-CS"/>
              </w:rPr>
              <w:t>je</w:t>
            </w:r>
            <w:r w:rsidRPr="004A56E8">
              <w:rPr>
                <w:color w:val="000000"/>
                <w:sz w:val="22"/>
                <w:szCs w:val="22"/>
                <w:lang w:val="sr-Latn-CS"/>
              </w:rPr>
              <w:t>u imale klinički značajne efekte na izloženost imatinibu. Analizom je potvrđeno da je izloženost imatinibu kod pedijatrijskih pacijenata koji su primali 260 mg/m</w:t>
            </w:r>
            <w:r w:rsidRPr="004A56E8">
              <w:rPr>
                <w:color w:val="000000"/>
                <w:sz w:val="22"/>
                <w:szCs w:val="22"/>
                <w:vertAlign w:val="superscript"/>
                <w:lang w:val="sr-Latn-CS"/>
              </w:rPr>
              <w:t>2</w:t>
            </w:r>
            <w:r w:rsidRPr="004A56E8">
              <w:rPr>
                <w:color w:val="000000"/>
                <w:sz w:val="22"/>
                <w:szCs w:val="22"/>
                <w:lang w:val="sr-Latn-CS"/>
              </w:rPr>
              <w:t xml:space="preserve"> jednom dnevno (najviše 400 mg jednom dnevno) ili 340 mg/m</w:t>
            </w:r>
            <w:r w:rsidRPr="004A56E8">
              <w:rPr>
                <w:color w:val="000000"/>
                <w:sz w:val="22"/>
                <w:szCs w:val="22"/>
                <w:vertAlign w:val="superscript"/>
                <w:lang w:val="sr-Latn-CS"/>
              </w:rPr>
              <w:t>2</w:t>
            </w:r>
            <w:r w:rsidRPr="004A56E8">
              <w:rPr>
                <w:color w:val="000000"/>
                <w:sz w:val="22"/>
                <w:szCs w:val="22"/>
                <w:lang w:val="sr-Latn-CS"/>
              </w:rPr>
              <w:t xml:space="preserve"> jednom dnevno (najviše 600mg jednom dnevno) bila slična onoj kod odraslih pacijenata koji su primali imatinib 400 mg ili 600 mg jednom dnevno.</w:t>
            </w:r>
          </w:p>
          <w:p w:rsidR="00377419" w:rsidRDefault="00377419" w:rsidP="00377419">
            <w:pPr>
              <w:shd w:val="clear" w:color="auto" w:fill="FFFFFF"/>
              <w:jc w:val="both"/>
              <w:rPr>
                <w:color w:val="000000"/>
                <w:sz w:val="22"/>
                <w:szCs w:val="22"/>
                <w:u w:val="single"/>
                <w:lang w:val="sr-Latn-CS"/>
              </w:rPr>
            </w:pPr>
          </w:p>
          <w:p w:rsidR="000A2337" w:rsidRPr="00E803AA" w:rsidRDefault="000A2337" w:rsidP="00377419">
            <w:pPr>
              <w:shd w:val="clear" w:color="auto" w:fill="FFFFFF"/>
              <w:jc w:val="both"/>
              <w:rPr>
                <w:sz w:val="22"/>
                <w:szCs w:val="22"/>
                <w:lang w:val="sr-Latn-CS"/>
              </w:rPr>
            </w:pPr>
            <w:r w:rsidRPr="00E803AA">
              <w:rPr>
                <w:color w:val="000000"/>
                <w:sz w:val="22"/>
                <w:szCs w:val="22"/>
                <w:u w:val="single"/>
                <w:lang w:val="sr-Latn-CS"/>
              </w:rPr>
              <w:t>Poremećaj funkcije organa</w:t>
            </w:r>
          </w:p>
          <w:p w:rsidR="000A2337" w:rsidRDefault="000A2337" w:rsidP="00161AB3">
            <w:pPr>
              <w:shd w:val="clear" w:color="auto" w:fill="FFFFFF"/>
              <w:spacing w:before="5" w:line="240" w:lineRule="atLeast"/>
              <w:jc w:val="both"/>
              <w:rPr>
                <w:color w:val="000000"/>
                <w:sz w:val="22"/>
                <w:szCs w:val="22"/>
                <w:lang w:val="sr-Latn-CS"/>
              </w:rPr>
            </w:pPr>
            <w:r w:rsidRPr="00E803AA">
              <w:rPr>
                <w:color w:val="000000"/>
                <w:sz w:val="22"/>
                <w:szCs w:val="22"/>
                <w:lang w:val="sr-Latn-CS"/>
              </w:rPr>
              <w:lastRenderedPageBreak/>
              <w:t>Imatinib i njegovi metaboliti se ne izlučuju u značajnoj m</w:t>
            </w:r>
            <w:r>
              <w:rPr>
                <w:color w:val="000000"/>
                <w:sz w:val="22"/>
                <w:szCs w:val="22"/>
                <w:lang w:val="sr-Latn-CS"/>
              </w:rPr>
              <w:t>j</w:t>
            </w:r>
            <w:r w:rsidRPr="00E803AA">
              <w:rPr>
                <w:color w:val="000000"/>
                <w:sz w:val="22"/>
                <w:szCs w:val="22"/>
                <w:lang w:val="sr-Latn-CS"/>
              </w:rPr>
              <w:t>eri preko bubreg</w:t>
            </w:r>
            <w:r>
              <w:rPr>
                <w:color w:val="000000"/>
                <w:sz w:val="22"/>
                <w:szCs w:val="22"/>
                <w:lang w:val="sr-Latn-CS"/>
              </w:rPr>
              <w:t>a</w:t>
            </w:r>
            <w:r w:rsidRPr="00E803AA">
              <w:rPr>
                <w:color w:val="000000"/>
                <w:sz w:val="22"/>
                <w:szCs w:val="22"/>
                <w:lang w:val="sr-Latn-CS"/>
              </w:rPr>
              <w:t xml:space="preserve">. </w:t>
            </w:r>
            <w:r>
              <w:rPr>
                <w:color w:val="000000"/>
                <w:sz w:val="22"/>
                <w:szCs w:val="22"/>
                <w:lang w:val="sr-Latn-CS"/>
              </w:rPr>
              <w:t>Pacijenti</w:t>
            </w:r>
            <w:r w:rsidRPr="00E803AA">
              <w:rPr>
                <w:color w:val="000000"/>
                <w:sz w:val="22"/>
                <w:szCs w:val="22"/>
                <w:lang w:val="sr-Latn-CS"/>
              </w:rPr>
              <w:t xml:space="preserve"> sa blagim i </w:t>
            </w:r>
            <w:r>
              <w:rPr>
                <w:color w:val="000000"/>
                <w:sz w:val="22"/>
                <w:szCs w:val="22"/>
                <w:lang w:val="sr-Latn-CS"/>
              </w:rPr>
              <w:t>umjerenim</w:t>
            </w:r>
            <w:r w:rsidRPr="00E803AA">
              <w:rPr>
                <w:color w:val="000000"/>
                <w:sz w:val="22"/>
                <w:szCs w:val="22"/>
                <w:lang w:val="sr-Latn-CS"/>
              </w:rPr>
              <w:t xml:space="preserve"> poremećajem bubrežne funkcije izgleda da imaju veću ekspoziciju u plazmi od </w:t>
            </w:r>
            <w:r>
              <w:rPr>
                <w:color w:val="000000"/>
                <w:sz w:val="22"/>
                <w:szCs w:val="22"/>
                <w:lang w:val="sr-Latn-CS"/>
              </w:rPr>
              <w:t>pacijenata</w:t>
            </w:r>
            <w:r w:rsidRPr="00E803AA">
              <w:rPr>
                <w:color w:val="000000"/>
                <w:sz w:val="22"/>
                <w:szCs w:val="22"/>
                <w:lang w:val="sr-Latn-CS"/>
              </w:rPr>
              <w:t xml:space="preserve"> sa normalnom bubrežnom funkcijom. Povećanje je približno 1,5- to 2-puta, što odgovara </w:t>
            </w:r>
            <w:r>
              <w:rPr>
                <w:color w:val="000000"/>
                <w:sz w:val="22"/>
                <w:szCs w:val="22"/>
                <w:lang w:val="sr-Latn-CS"/>
              </w:rPr>
              <w:t xml:space="preserve">povećanju od </w:t>
            </w:r>
            <w:r w:rsidRPr="00E803AA">
              <w:rPr>
                <w:color w:val="000000"/>
                <w:sz w:val="22"/>
                <w:szCs w:val="22"/>
                <w:lang w:val="sr-Latn-CS"/>
              </w:rPr>
              <w:t xml:space="preserve">1,5-puta  plazminog </w:t>
            </w:r>
            <w:smartTag w:uri="urn:schemas-microsoft-com:office:smarttags" w:element="stockticker">
              <w:r w:rsidRPr="00E803AA">
                <w:rPr>
                  <w:color w:val="000000"/>
                  <w:sz w:val="22"/>
                  <w:szCs w:val="22"/>
                  <w:lang w:val="sr-Latn-CS"/>
                </w:rPr>
                <w:t>AGP</w:t>
              </w:r>
            </w:smartTag>
            <w:r w:rsidRPr="00E803AA">
              <w:rPr>
                <w:color w:val="000000"/>
                <w:sz w:val="22"/>
                <w:szCs w:val="22"/>
                <w:lang w:val="sr-Latn-CS"/>
              </w:rPr>
              <w:t xml:space="preserve">, za koji se imatinib snažno vezuje. Klirens slobodnog </w:t>
            </w:r>
            <w:r>
              <w:rPr>
                <w:color w:val="000000"/>
                <w:sz w:val="22"/>
                <w:szCs w:val="22"/>
                <w:lang w:val="sr-Latn-CS"/>
              </w:rPr>
              <w:t>lijek</w:t>
            </w:r>
            <w:r w:rsidRPr="00E803AA">
              <w:rPr>
                <w:color w:val="000000"/>
                <w:sz w:val="22"/>
                <w:szCs w:val="22"/>
                <w:lang w:val="sr-Latn-CS"/>
              </w:rPr>
              <w:t>a imatiniba je v</w:t>
            </w:r>
            <w:r>
              <w:rPr>
                <w:color w:val="000000"/>
                <w:sz w:val="22"/>
                <w:szCs w:val="22"/>
                <w:lang w:val="sr-Latn-CS"/>
              </w:rPr>
              <w:t>j</w:t>
            </w:r>
            <w:r w:rsidRPr="00E803AA">
              <w:rPr>
                <w:color w:val="000000"/>
                <w:sz w:val="22"/>
                <w:szCs w:val="22"/>
                <w:lang w:val="sr-Latn-CS"/>
              </w:rPr>
              <w:t xml:space="preserve">erovatno sličan među </w:t>
            </w:r>
            <w:r>
              <w:rPr>
                <w:color w:val="000000"/>
                <w:sz w:val="22"/>
                <w:szCs w:val="22"/>
                <w:lang w:val="sr-Latn-CS"/>
              </w:rPr>
              <w:t xml:space="preserve">pacijentima </w:t>
            </w:r>
            <w:r w:rsidRPr="00E803AA">
              <w:rPr>
                <w:color w:val="000000"/>
                <w:sz w:val="22"/>
                <w:szCs w:val="22"/>
                <w:lang w:val="sr-Latn-CS"/>
              </w:rPr>
              <w:t xml:space="preserve">sa bubrežnim poremećajem i onih sa normalnom bubrežnom funkcijom, pošto </w:t>
            </w:r>
            <w:r>
              <w:rPr>
                <w:color w:val="000000"/>
                <w:sz w:val="22"/>
                <w:szCs w:val="22"/>
                <w:lang w:val="sr-Latn-CS"/>
              </w:rPr>
              <w:t xml:space="preserve">bubrežna ekskrecija predstavlja </w:t>
            </w:r>
            <w:r w:rsidRPr="00E803AA">
              <w:rPr>
                <w:color w:val="000000"/>
                <w:sz w:val="22"/>
                <w:szCs w:val="22"/>
                <w:lang w:val="sr-Latn-CS"/>
              </w:rPr>
              <w:t>samo manji put eliminacije imatinib</w:t>
            </w:r>
            <w:r>
              <w:rPr>
                <w:color w:val="000000"/>
                <w:sz w:val="22"/>
                <w:szCs w:val="22"/>
                <w:lang w:val="sr-Latn-CS"/>
              </w:rPr>
              <w:t>a</w:t>
            </w:r>
            <w:r w:rsidRPr="00E803AA">
              <w:rPr>
                <w:color w:val="000000"/>
                <w:sz w:val="22"/>
                <w:szCs w:val="22"/>
                <w:lang w:val="sr-Latn-CS"/>
              </w:rPr>
              <w:t xml:space="preserve"> (</w:t>
            </w:r>
            <w:r>
              <w:rPr>
                <w:color w:val="000000"/>
                <w:sz w:val="22"/>
                <w:szCs w:val="22"/>
                <w:lang w:val="sr-Latn-CS"/>
              </w:rPr>
              <w:t>vidjet</w:t>
            </w:r>
            <w:r w:rsidRPr="00E803AA">
              <w:rPr>
                <w:color w:val="000000"/>
                <w:sz w:val="22"/>
                <w:szCs w:val="22"/>
                <w:lang w:val="sr-Latn-CS"/>
              </w:rPr>
              <w:t xml:space="preserve">i </w:t>
            </w:r>
            <w:r>
              <w:rPr>
                <w:color w:val="000000"/>
                <w:sz w:val="22"/>
                <w:szCs w:val="22"/>
                <w:lang w:val="sr-Latn-CS"/>
              </w:rPr>
              <w:t>odjelj</w:t>
            </w:r>
            <w:r w:rsidRPr="00E803AA">
              <w:rPr>
                <w:color w:val="000000"/>
                <w:sz w:val="22"/>
                <w:szCs w:val="22"/>
                <w:lang w:val="sr-Latn-CS"/>
              </w:rPr>
              <w:t>ke 4.2 i 4.4).</w:t>
            </w:r>
          </w:p>
          <w:p w:rsidR="000A2337" w:rsidRPr="00E803AA" w:rsidRDefault="000A2337" w:rsidP="00161AB3">
            <w:pPr>
              <w:shd w:val="clear" w:color="auto" w:fill="FFFFFF"/>
              <w:spacing w:before="240" w:line="240" w:lineRule="atLeast"/>
              <w:jc w:val="both"/>
              <w:rPr>
                <w:sz w:val="22"/>
                <w:szCs w:val="22"/>
                <w:lang w:val="sr-Latn-CS"/>
              </w:rPr>
            </w:pPr>
            <w:r>
              <w:rPr>
                <w:color w:val="000000"/>
                <w:sz w:val="22"/>
                <w:szCs w:val="22"/>
                <w:lang w:val="sr-Latn-CS"/>
              </w:rPr>
              <w:t>Mada su rezultati farmakokinetičk</w:t>
            </w:r>
            <w:r w:rsidRPr="00E803AA">
              <w:rPr>
                <w:color w:val="000000"/>
                <w:sz w:val="22"/>
                <w:szCs w:val="22"/>
                <w:lang w:val="sr-Latn-CS"/>
              </w:rPr>
              <w:t xml:space="preserve">e analize pokazali da postoji </w:t>
            </w:r>
            <w:r>
              <w:rPr>
                <w:color w:val="000000"/>
                <w:sz w:val="22"/>
                <w:szCs w:val="22"/>
                <w:lang w:val="sr-Latn-CS"/>
              </w:rPr>
              <w:t>žnačajna razlika između ispitanika</w:t>
            </w:r>
            <w:r w:rsidRPr="00E803AA">
              <w:rPr>
                <w:color w:val="000000"/>
                <w:sz w:val="22"/>
                <w:szCs w:val="22"/>
                <w:lang w:val="sr-Latn-CS"/>
              </w:rPr>
              <w:t xml:space="preserve">, srednja ekspozicija na imatinib nije se povećala kod </w:t>
            </w:r>
            <w:r>
              <w:rPr>
                <w:color w:val="000000"/>
                <w:sz w:val="22"/>
                <w:szCs w:val="22"/>
                <w:lang w:val="sr-Latn-CS"/>
              </w:rPr>
              <w:t>pacijenata</w:t>
            </w:r>
            <w:r w:rsidRPr="00E803AA">
              <w:rPr>
                <w:color w:val="000000"/>
                <w:sz w:val="22"/>
                <w:szCs w:val="22"/>
                <w:lang w:val="sr-Latn-CS"/>
              </w:rPr>
              <w:t xml:space="preserve"> sa različitim stepenima disfunkcije jetre u poređenju sa </w:t>
            </w:r>
            <w:r>
              <w:rPr>
                <w:color w:val="000000"/>
                <w:sz w:val="22"/>
                <w:szCs w:val="22"/>
                <w:lang w:val="sr-Latn-CS"/>
              </w:rPr>
              <w:t>pacijentima</w:t>
            </w:r>
            <w:r w:rsidRPr="00E803AA">
              <w:rPr>
                <w:color w:val="000000"/>
                <w:sz w:val="22"/>
                <w:szCs w:val="22"/>
                <w:lang w:val="sr-Latn-CS"/>
              </w:rPr>
              <w:t xml:space="preserve"> sa  normalnom jetrinom funkcijom (</w:t>
            </w:r>
            <w:r>
              <w:rPr>
                <w:color w:val="000000"/>
                <w:sz w:val="22"/>
                <w:szCs w:val="22"/>
                <w:lang w:val="sr-Latn-CS"/>
              </w:rPr>
              <w:t>vidjet</w:t>
            </w:r>
            <w:r w:rsidRPr="00E803AA">
              <w:rPr>
                <w:color w:val="000000"/>
                <w:sz w:val="22"/>
                <w:szCs w:val="22"/>
                <w:lang w:val="sr-Latn-CS"/>
              </w:rPr>
              <w:t xml:space="preserve">i </w:t>
            </w:r>
            <w:r>
              <w:rPr>
                <w:color w:val="000000"/>
                <w:sz w:val="22"/>
                <w:szCs w:val="22"/>
                <w:lang w:val="sr-Latn-CS"/>
              </w:rPr>
              <w:t>odjelj</w:t>
            </w:r>
            <w:r w:rsidRPr="00E803AA">
              <w:rPr>
                <w:color w:val="000000"/>
                <w:sz w:val="22"/>
                <w:szCs w:val="22"/>
                <w:lang w:val="sr-Latn-CS"/>
              </w:rPr>
              <w:t>ke 4.2, 4.4 i 4.8).</w:t>
            </w:r>
          </w:p>
          <w:p w:rsidR="000A2337" w:rsidRPr="00BD1B69" w:rsidRDefault="000A2337" w:rsidP="002A0BFB">
            <w:pPr>
              <w:pStyle w:val="Header"/>
              <w:tabs>
                <w:tab w:val="left" w:pos="284"/>
              </w:tabs>
              <w:rPr>
                <w:rFonts w:cs="Arial"/>
                <w:sz w:val="22"/>
                <w:szCs w:val="22"/>
                <w:lang w:val="sr-Latn-CS"/>
              </w:rPr>
            </w:pPr>
          </w:p>
        </w:tc>
      </w:tr>
      <w:tr w:rsidR="000A2337" w:rsidRPr="003A00BF" w:rsidTr="00161AB3">
        <w:tc>
          <w:tcPr>
            <w:tcW w:w="10188" w:type="dxa"/>
            <w:gridSpan w:val="4"/>
            <w:vAlign w:val="center"/>
          </w:tcPr>
          <w:p w:rsidR="000A2337" w:rsidRPr="003A00BF" w:rsidRDefault="000A2337" w:rsidP="002A0BFB">
            <w:pPr>
              <w:pStyle w:val="Header"/>
              <w:tabs>
                <w:tab w:val="left" w:pos="284"/>
              </w:tabs>
              <w:rPr>
                <w:rFonts w:cs="Arial"/>
                <w:b/>
                <w:bCs/>
                <w:sz w:val="22"/>
                <w:lang w:val="da-DK"/>
              </w:rPr>
            </w:pPr>
            <w:r w:rsidRPr="003A00BF">
              <w:rPr>
                <w:rFonts w:cs="Arial"/>
                <w:b/>
                <w:bCs/>
                <w:sz w:val="22"/>
                <w:lang w:val="da-DK"/>
              </w:rPr>
              <w:lastRenderedPageBreak/>
              <w:t xml:space="preserve">5.3. Pretklinički podaci o </w:t>
            </w:r>
            <w:r>
              <w:rPr>
                <w:rFonts w:cs="Arial"/>
                <w:b/>
                <w:bCs/>
                <w:sz w:val="22"/>
                <w:lang w:val="da-DK"/>
              </w:rPr>
              <w:t>bezbje</w:t>
            </w:r>
            <w:r w:rsidRPr="003A00BF">
              <w:rPr>
                <w:rFonts w:cs="Arial"/>
                <w:b/>
                <w:bCs/>
                <w:sz w:val="22"/>
                <w:lang w:val="da-DK"/>
              </w:rPr>
              <w:t xml:space="preserve">dnosti </w:t>
            </w:r>
          </w:p>
        </w:tc>
      </w:tr>
      <w:tr w:rsidR="000A2337" w:rsidRPr="003A00BF" w:rsidTr="00161AB3">
        <w:trPr>
          <w:trHeight w:val="1145"/>
        </w:trPr>
        <w:tc>
          <w:tcPr>
            <w:tcW w:w="10188" w:type="dxa"/>
            <w:gridSpan w:val="4"/>
            <w:vAlign w:val="center"/>
          </w:tcPr>
          <w:p w:rsidR="000A2337" w:rsidRPr="00125766" w:rsidRDefault="000A2337" w:rsidP="00161AB3">
            <w:pPr>
              <w:shd w:val="clear" w:color="auto" w:fill="FFFFFF"/>
              <w:spacing w:before="250" w:line="240" w:lineRule="atLeast"/>
              <w:jc w:val="both"/>
              <w:rPr>
                <w:sz w:val="22"/>
                <w:szCs w:val="22"/>
                <w:lang w:val="sr-Latn-CS"/>
              </w:rPr>
            </w:pPr>
            <w:r w:rsidRPr="00125766">
              <w:rPr>
                <w:color w:val="000000"/>
                <w:sz w:val="22"/>
                <w:szCs w:val="22"/>
                <w:lang w:val="sr-Latn-CS"/>
              </w:rPr>
              <w:t>P</w:t>
            </w:r>
            <w:r>
              <w:rPr>
                <w:color w:val="000000"/>
                <w:sz w:val="22"/>
                <w:szCs w:val="22"/>
                <w:lang w:val="sr-Latn-CS"/>
              </w:rPr>
              <w:t>retk</w:t>
            </w:r>
            <w:r w:rsidRPr="00125766">
              <w:rPr>
                <w:color w:val="000000"/>
                <w:sz w:val="22"/>
                <w:szCs w:val="22"/>
                <w:lang w:val="sr-Latn-CS"/>
              </w:rPr>
              <w:t xml:space="preserve">linički </w:t>
            </w:r>
            <w:r>
              <w:rPr>
                <w:color w:val="000000"/>
                <w:sz w:val="22"/>
                <w:szCs w:val="22"/>
                <w:lang w:val="sr-Latn-CS"/>
              </w:rPr>
              <w:t>bezbjed</w:t>
            </w:r>
            <w:r w:rsidRPr="00125766">
              <w:rPr>
                <w:color w:val="000000"/>
                <w:sz w:val="22"/>
                <w:szCs w:val="22"/>
                <w:lang w:val="sr-Latn-CS"/>
              </w:rPr>
              <w:t>nosni profil imatiniba proc</w:t>
            </w:r>
            <w:r>
              <w:rPr>
                <w:color w:val="000000"/>
                <w:sz w:val="22"/>
                <w:szCs w:val="22"/>
                <w:lang w:val="sr-Latn-CS"/>
              </w:rPr>
              <w:t>ij</w:t>
            </w:r>
            <w:r w:rsidRPr="00125766">
              <w:rPr>
                <w:color w:val="000000"/>
                <w:sz w:val="22"/>
                <w:szCs w:val="22"/>
                <w:lang w:val="sr-Latn-CS"/>
              </w:rPr>
              <w:t>enjivan je na pacovima, psima, majmunima i kunićima.</w:t>
            </w:r>
          </w:p>
          <w:p w:rsidR="000A2337" w:rsidRDefault="000A2337" w:rsidP="00161AB3">
            <w:pPr>
              <w:shd w:val="clear" w:color="auto" w:fill="FFFFFF"/>
              <w:spacing w:before="235" w:line="240" w:lineRule="atLeast"/>
              <w:jc w:val="both"/>
              <w:rPr>
                <w:color w:val="000000"/>
                <w:sz w:val="22"/>
                <w:szCs w:val="22"/>
                <w:lang w:val="sr-Latn-CS"/>
              </w:rPr>
            </w:pPr>
            <w:r>
              <w:rPr>
                <w:color w:val="000000"/>
                <w:sz w:val="22"/>
                <w:szCs w:val="22"/>
                <w:lang w:val="sr-Latn-CS"/>
              </w:rPr>
              <w:t>Ispitivanja</w:t>
            </w:r>
            <w:r w:rsidRPr="00125766">
              <w:rPr>
                <w:color w:val="000000"/>
                <w:sz w:val="22"/>
                <w:szCs w:val="22"/>
                <w:lang w:val="sr-Latn-CS"/>
              </w:rPr>
              <w:t xml:space="preserve"> toksičnosti </w:t>
            </w:r>
            <w:r>
              <w:rPr>
                <w:color w:val="000000"/>
                <w:sz w:val="22"/>
                <w:szCs w:val="22"/>
                <w:lang w:val="sr-Latn-CS"/>
              </w:rPr>
              <w:t>multipnih doza otkrila</w:t>
            </w:r>
            <w:r w:rsidRPr="00125766">
              <w:rPr>
                <w:color w:val="000000"/>
                <w:sz w:val="22"/>
                <w:szCs w:val="22"/>
                <w:lang w:val="sr-Latn-CS"/>
              </w:rPr>
              <w:t xml:space="preserve"> su blage do um</w:t>
            </w:r>
            <w:r>
              <w:rPr>
                <w:color w:val="000000"/>
                <w:sz w:val="22"/>
                <w:szCs w:val="22"/>
                <w:lang w:val="sr-Latn-CS"/>
              </w:rPr>
              <w:t>j</w:t>
            </w:r>
            <w:r w:rsidRPr="00125766">
              <w:rPr>
                <w:color w:val="000000"/>
                <w:sz w:val="22"/>
                <w:szCs w:val="22"/>
                <w:lang w:val="sr-Latn-CS"/>
              </w:rPr>
              <w:t>ere</w:t>
            </w:r>
            <w:r>
              <w:rPr>
                <w:color w:val="000000"/>
                <w:sz w:val="22"/>
                <w:szCs w:val="22"/>
                <w:lang w:val="sr-Latn-CS"/>
              </w:rPr>
              <w:t>ne</w:t>
            </w:r>
            <w:r w:rsidRPr="00125766">
              <w:rPr>
                <w:color w:val="000000"/>
                <w:sz w:val="22"/>
                <w:szCs w:val="22"/>
                <w:lang w:val="sr-Latn-CS"/>
              </w:rPr>
              <w:t xml:space="preserve"> hematološk</w:t>
            </w:r>
            <w:r>
              <w:rPr>
                <w:color w:val="000000"/>
                <w:sz w:val="22"/>
                <w:szCs w:val="22"/>
                <w:lang w:val="sr-Latn-CS"/>
              </w:rPr>
              <w:t>e</w:t>
            </w:r>
            <w:r w:rsidRPr="00125766">
              <w:rPr>
                <w:color w:val="000000"/>
                <w:sz w:val="22"/>
                <w:szCs w:val="22"/>
                <w:lang w:val="sr-Latn-CS"/>
              </w:rPr>
              <w:t xml:space="preserve"> </w:t>
            </w:r>
            <w:r>
              <w:rPr>
                <w:color w:val="000000"/>
                <w:sz w:val="22"/>
                <w:szCs w:val="22"/>
                <w:lang w:val="sr-Latn-CS"/>
              </w:rPr>
              <w:t>promjene</w:t>
            </w:r>
            <w:r w:rsidRPr="00125766">
              <w:rPr>
                <w:color w:val="000000"/>
                <w:sz w:val="22"/>
                <w:szCs w:val="22"/>
                <w:lang w:val="sr-Latn-CS"/>
              </w:rPr>
              <w:t xml:space="preserve"> kod </w:t>
            </w:r>
            <w:r>
              <w:rPr>
                <w:color w:val="000000"/>
                <w:sz w:val="22"/>
                <w:szCs w:val="22"/>
                <w:lang w:val="sr-Latn-CS"/>
              </w:rPr>
              <w:t>pacova, pasa i majmuna, praćene</w:t>
            </w:r>
            <w:r w:rsidRPr="00125766">
              <w:rPr>
                <w:color w:val="000000"/>
                <w:sz w:val="22"/>
                <w:szCs w:val="22"/>
                <w:lang w:val="sr-Latn-CS"/>
              </w:rPr>
              <w:t xml:space="preserve"> </w:t>
            </w:r>
            <w:r>
              <w:rPr>
                <w:color w:val="000000"/>
                <w:sz w:val="22"/>
                <w:szCs w:val="22"/>
                <w:lang w:val="sr-Latn-CS"/>
              </w:rPr>
              <w:t>promjena</w:t>
            </w:r>
            <w:r w:rsidRPr="00125766">
              <w:rPr>
                <w:color w:val="000000"/>
                <w:sz w:val="22"/>
                <w:szCs w:val="22"/>
                <w:lang w:val="sr-Latn-CS"/>
              </w:rPr>
              <w:t>ma na kostnoj srži kod pacova i pasa.</w:t>
            </w:r>
          </w:p>
          <w:p w:rsidR="000A2337" w:rsidRPr="00AB6BF3" w:rsidRDefault="000A2337" w:rsidP="00161AB3">
            <w:pPr>
              <w:shd w:val="clear" w:color="auto" w:fill="FFFFFF"/>
              <w:spacing w:before="240" w:line="240" w:lineRule="atLeast"/>
              <w:jc w:val="both"/>
              <w:rPr>
                <w:sz w:val="22"/>
                <w:szCs w:val="22"/>
                <w:lang w:val="sr-Latn-CS"/>
              </w:rPr>
            </w:pPr>
            <w:r w:rsidRPr="00125766">
              <w:rPr>
                <w:color w:val="000000"/>
                <w:sz w:val="22"/>
                <w:szCs w:val="22"/>
                <w:lang w:val="sr-Latn-CS"/>
              </w:rPr>
              <w:t>Jetra je bila ciljn</w:t>
            </w:r>
            <w:r>
              <w:rPr>
                <w:color w:val="000000"/>
                <w:sz w:val="22"/>
                <w:szCs w:val="22"/>
                <w:lang w:val="sr-Latn-CS"/>
              </w:rPr>
              <w:t>i organ kod pacova i pasa. Blaga</w:t>
            </w:r>
            <w:r w:rsidRPr="00125766">
              <w:rPr>
                <w:color w:val="000000"/>
                <w:sz w:val="22"/>
                <w:szCs w:val="22"/>
                <w:lang w:val="sr-Latn-CS"/>
              </w:rPr>
              <w:t xml:space="preserve"> do um</w:t>
            </w:r>
            <w:r>
              <w:rPr>
                <w:color w:val="000000"/>
                <w:sz w:val="22"/>
                <w:szCs w:val="22"/>
                <w:lang w:val="sr-Latn-CS"/>
              </w:rPr>
              <w:t>jerenog povećanja</w:t>
            </w:r>
            <w:r w:rsidRPr="00125766">
              <w:rPr>
                <w:color w:val="000000"/>
                <w:sz w:val="22"/>
                <w:szCs w:val="22"/>
                <w:lang w:val="sr-Latn-CS"/>
              </w:rPr>
              <w:t xml:space="preserve"> nivoa transaminaza i blago sniženje ho</w:t>
            </w:r>
            <w:r>
              <w:rPr>
                <w:color w:val="000000"/>
                <w:sz w:val="22"/>
                <w:szCs w:val="22"/>
                <w:lang w:val="sr-Latn-CS"/>
              </w:rPr>
              <w:t>lesterola, triglicerida, ukupnih</w:t>
            </w:r>
            <w:r w:rsidRPr="00125766">
              <w:rPr>
                <w:color w:val="000000"/>
                <w:sz w:val="22"/>
                <w:szCs w:val="22"/>
                <w:lang w:val="sr-Latn-CS"/>
              </w:rPr>
              <w:t xml:space="preserve"> proteina i albumina uočeni su na ob</w:t>
            </w:r>
            <w:r>
              <w:rPr>
                <w:color w:val="000000"/>
                <w:sz w:val="22"/>
                <w:szCs w:val="22"/>
                <w:lang w:val="sr-Latn-CS"/>
              </w:rPr>
              <w:t>j</w:t>
            </w:r>
            <w:r w:rsidRPr="00125766">
              <w:rPr>
                <w:color w:val="000000"/>
                <w:sz w:val="22"/>
                <w:szCs w:val="22"/>
                <w:lang w:val="sr-Latn-CS"/>
              </w:rPr>
              <w:t>e vrste. Ni</w:t>
            </w:r>
            <w:r>
              <w:rPr>
                <w:color w:val="000000"/>
                <w:sz w:val="22"/>
                <w:szCs w:val="22"/>
                <w:lang w:val="sr-Latn-CS"/>
              </w:rPr>
              <w:t>jesu uočene</w:t>
            </w:r>
            <w:r w:rsidRPr="00125766">
              <w:rPr>
                <w:color w:val="000000"/>
                <w:sz w:val="22"/>
                <w:szCs w:val="22"/>
                <w:lang w:val="sr-Latn-CS"/>
              </w:rPr>
              <w:t xml:space="preserve"> histopatološke </w:t>
            </w:r>
            <w:r>
              <w:rPr>
                <w:color w:val="000000"/>
                <w:sz w:val="22"/>
                <w:szCs w:val="22"/>
                <w:lang w:val="sr-Latn-CS"/>
              </w:rPr>
              <w:t>promjene</w:t>
            </w:r>
            <w:r w:rsidRPr="00125766">
              <w:rPr>
                <w:color w:val="000000"/>
                <w:sz w:val="22"/>
                <w:szCs w:val="22"/>
                <w:lang w:val="sr-Latn-CS"/>
              </w:rPr>
              <w:t xml:space="preserve"> na jetri pacova. Teška toksičnost</w:t>
            </w:r>
            <w:r>
              <w:rPr>
                <w:color w:val="000000"/>
                <w:sz w:val="22"/>
                <w:szCs w:val="22"/>
                <w:lang w:val="sr-Latn-CS"/>
              </w:rPr>
              <w:t xml:space="preserve"> jetre</w:t>
            </w:r>
            <w:r w:rsidRPr="00125766">
              <w:rPr>
                <w:color w:val="000000"/>
                <w:sz w:val="22"/>
                <w:szCs w:val="22"/>
                <w:lang w:val="sr-Latn-CS"/>
              </w:rPr>
              <w:t xml:space="preserve"> zapažena je kod pasa </w:t>
            </w:r>
            <w:r>
              <w:rPr>
                <w:color w:val="000000"/>
                <w:sz w:val="22"/>
                <w:szCs w:val="22"/>
                <w:lang w:val="sr-Latn-CS"/>
              </w:rPr>
              <w:t>liječ</w:t>
            </w:r>
            <w:r w:rsidRPr="00125766">
              <w:rPr>
                <w:color w:val="000000"/>
                <w:sz w:val="22"/>
                <w:szCs w:val="22"/>
                <w:lang w:val="sr-Latn-CS"/>
              </w:rPr>
              <w:t xml:space="preserve">enih 2 </w:t>
            </w:r>
            <w:r>
              <w:rPr>
                <w:color w:val="000000"/>
                <w:sz w:val="22"/>
                <w:szCs w:val="22"/>
                <w:lang w:val="sr-Latn-CS"/>
              </w:rPr>
              <w:t>nedjelj</w:t>
            </w:r>
            <w:r w:rsidRPr="00125766">
              <w:rPr>
                <w:color w:val="000000"/>
                <w:sz w:val="22"/>
                <w:szCs w:val="22"/>
                <w:lang w:val="sr-Latn-CS"/>
              </w:rPr>
              <w:t xml:space="preserve">e, sa povećanjem jetrinih enzima, hepatocelularne nekroze, nekroze i hiperplazije </w:t>
            </w:r>
            <w:r>
              <w:rPr>
                <w:color w:val="000000"/>
                <w:sz w:val="22"/>
                <w:szCs w:val="22"/>
                <w:lang w:val="sr-Latn-CS"/>
              </w:rPr>
              <w:t>žučnih</w:t>
            </w:r>
            <w:r w:rsidRPr="00AB6BF3">
              <w:rPr>
                <w:color w:val="000000"/>
                <w:sz w:val="22"/>
                <w:szCs w:val="22"/>
                <w:lang w:val="sr-Latn-CS"/>
              </w:rPr>
              <w:t xml:space="preserve"> puteva.</w:t>
            </w:r>
          </w:p>
          <w:p w:rsidR="000A2337" w:rsidRPr="00AB6BF3" w:rsidRDefault="000A2337" w:rsidP="00161AB3">
            <w:pPr>
              <w:shd w:val="clear" w:color="auto" w:fill="FFFFFF"/>
              <w:spacing w:before="240" w:line="240" w:lineRule="atLeast"/>
              <w:jc w:val="both"/>
              <w:rPr>
                <w:color w:val="000000"/>
                <w:sz w:val="22"/>
                <w:szCs w:val="22"/>
                <w:lang w:val="sr-Latn-CS"/>
              </w:rPr>
            </w:pPr>
            <w:r w:rsidRPr="00AB6BF3">
              <w:rPr>
                <w:color w:val="000000"/>
                <w:sz w:val="22"/>
                <w:szCs w:val="22"/>
                <w:lang w:val="sr-Latn-CS"/>
              </w:rPr>
              <w:t xml:space="preserve">Bubrežna toksičnost zapažena je kod majmuna liječenih 2 nedjelje, sa fokusnom mineralizacijom i dilatacijom bubrežnih tubula i tubularnom nefrozom. Povećanje ureje u krvi (BUN- blood urea nitrogen) i kreatinina zapaženo je kod nekoliko životinja. Kod pacova, hiperplazija prelaznog epitela u bubrežnim papilama i u mokraćnoj bešici bila je uočena pri dozama ≥ 6 mg/kg u 13-nedjeljnoj studiji, bez </w:t>
            </w:r>
            <w:r>
              <w:rPr>
                <w:color w:val="000000"/>
                <w:sz w:val="22"/>
                <w:szCs w:val="22"/>
                <w:lang w:val="sr-Latn-CS"/>
              </w:rPr>
              <w:t>promjena</w:t>
            </w:r>
            <w:r w:rsidRPr="00AB6BF3">
              <w:rPr>
                <w:color w:val="000000"/>
                <w:sz w:val="22"/>
                <w:szCs w:val="22"/>
                <w:lang w:val="sr-Latn-CS"/>
              </w:rPr>
              <w:t xml:space="preserve"> u serumskim i urinarnim parametrima. Zapažen je povećan broj oportunističkih infekcija kod hroničnog liječenja imatinibom.</w:t>
            </w:r>
          </w:p>
          <w:p w:rsidR="000A2337" w:rsidRDefault="000A2337" w:rsidP="00152B23">
            <w:pPr>
              <w:shd w:val="clear" w:color="auto" w:fill="FFFFFF"/>
              <w:spacing w:before="235" w:line="240" w:lineRule="atLeast"/>
              <w:jc w:val="both"/>
              <w:rPr>
                <w:sz w:val="22"/>
                <w:szCs w:val="22"/>
                <w:lang w:val="sr-Latn-CS"/>
              </w:rPr>
            </w:pPr>
            <w:r w:rsidRPr="00AB6BF3">
              <w:rPr>
                <w:color w:val="000000"/>
                <w:sz w:val="22"/>
                <w:szCs w:val="22"/>
                <w:lang w:val="sr-Latn-CS"/>
              </w:rPr>
              <w:t>U 39-nedjeljnoj studiji na majmunima, nije utvrđen NOAEL= no observed  effect level (</w:t>
            </w:r>
            <w:r>
              <w:rPr>
                <w:color w:val="000000"/>
                <w:sz w:val="22"/>
                <w:szCs w:val="22"/>
                <w:lang w:val="sr-Latn-CS"/>
              </w:rPr>
              <w:t>doza kod koje</w:t>
            </w:r>
            <w:r w:rsidRPr="00AB6BF3">
              <w:rPr>
                <w:color w:val="000000"/>
                <w:sz w:val="22"/>
                <w:szCs w:val="22"/>
                <w:lang w:val="sr-Latn-CS"/>
              </w:rPr>
              <w:t xml:space="preserve"> se ne </w:t>
            </w:r>
            <w:r>
              <w:rPr>
                <w:color w:val="000000"/>
                <w:sz w:val="22"/>
                <w:szCs w:val="22"/>
                <w:lang w:val="sr-Latn-CS"/>
              </w:rPr>
              <w:t xml:space="preserve">uočava neželjeno dejstvo) </w:t>
            </w:r>
            <w:r w:rsidRPr="00AB6BF3">
              <w:rPr>
                <w:color w:val="000000"/>
                <w:sz w:val="22"/>
                <w:szCs w:val="22"/>
                <w:lang w:val="sr-Latn-CS"/>
              </w:rPr>
              <w:t xml:space="preserve">pri najnižoj dozi od 15 mg/kg, </w:t>
            </w:r>
            <w:r>
              <w:rPr>
                <w:color w:val="000000"/>
                <w:sz w:val="22"/>
                <w:szCs w:val="22"/>
                <w:lang w:val="sr-Latn-CS"/>
              </w:rPr>
              <w:t>koja približno iznosi jednu trećinu mak</w:t>
            </w:r>
            <w:r w:rsidRPr="00AB6BF3">
              <w:rPr>
                <w:color w:val="000000"/>
                <w:sz w:val="22"/>
                <w:szCs w:val="22"/>
                <w:lang w:val="sr-Latn-CS"/>
              </w:rPr>
              <w:t>simalne humane doze od 800 mg prema tjelesnoj površini. Terapija je dovela do pogoršanja normalno suprimovane malarijske infekcije kod ovih životinja.</w:t>
            </w:r>
          </w:p>
          <w:p w:rsidR="00152B23" w:rsidRPr="00152B23" w:rsidRDefault="00152B23" w:rsidP="00152B23">
            <w:pPr>
              <w:shd w:val="clear" w:color="auto" w:fill="FFFFFF"/>
              <w:jc w:val="both"/>
              <w:rPr>
                <w:sz w:val="22"/>
                <w:szCs w:val="22"/>
                <w:lang w:val="sr-Latn-CS"/>
              </w:rPr>
            </w:pPr>
          </w:p>
          <w:p w:rsidR="000A2337" w:rsidRPr="00AB6BF3" w:rsidRDefault="000A2337" w:rsidP="00161AB3">
            <w:pPr>
              <w:shd w:val="clear" w:color="auto" w:fill="FFFFFF"/>
              <w:jc w:val="both"/>
              <w:rPr>
                <w:color w:val="000000"/>
                <w:sz w:val="22"/>
                <w:szCs w:val="22"/>
                <w:lang w:val="sr-Latn-CS"/>
              </w:rPr>
            </w:pPr>
            <w:r w:rsidRPr="00AB6BF3">
              <w:rPr>
                <w:color w:val="000000"/>
                <w:sz w:val="22"/>
                <w:szCs w:val="22"/>
                <w:lang w:val="sr-Latn-CS"/>
              </w:rPr>
              <w:t xml:space="preserve">Imatinib se nije smatrao genotoksičnim kad je testiran u </w:t>
            </w:r>
            <w:r w:rsidRPr="00AB6BF3">
              <w:rPr>
                <w:i/>
                <w:iCs/>
                <w:color w:val="000000"/>
                <w:sz w:val="22"/>
                <w:szCs w:val="22"/>
                <w:lang w:val="sr-Latn-CS"/>
              </w:rPr>
              <w:t xml:space="preserve">in vitro </w:t>
            </w:r>
            <w:r w:rsidRPr="00AB6BF3">
              <w:rPr>
                <w:iCs/>
                <w:color w:val="000000"/>
                <w:sz w:val="22"/>
                <w:szCs w:val="22"/>
                <w:lang w:val="sr-Latn-CS"/>
              </w:rPr>
              <w:t xml:space="preserve">testovima sa </w:t>
            </w:r>
            <w:r w:rsidRPr="00AB6BF3">
              <w:rPr>
                <w:color w:val="000000"/>
                <w:sz w:val="22"/>
                <w:szCs w:val="22"/>
                <w:lang w:val="sr-Latn-CS"/>
              </w:rPr>
              <w:t xml:space="preserve">bakterijskim ćelijama (Ames-ov test), </w:t>
            </w:r>
            <w:r w:rsidRPr="00AB6BF3">
              <w:rPr>
                <w:i/>
                <w:iCs/>
                <w:color w:val="000000"/>
                <w:sz w:val="22"/>
                <w:szCs w:val="22"/>
                <w:lang w:val="sr-Latn-CS"/>
              </w:rPr>
              <w:t xml:space="preserve">in vitro </w:t>
            </w:r>
            <w:r w:rsidRPr="00AB6BF3">
              <w:rPr>
                <w:iCs/>
                <w:color w:val="000000"/>
                <w:sz w:val="22"/>
                <w:szCs w:val="22"/>
                <w:lang w:val="sr-Latn-CS"/>
              </w:rPr>
              <w:t>testovima</w:t>
            </w:r>
            <w:r>
              <w:rPr>
                <w:iCs/>
                <w:color w:val="000000"/>
                <w:sz w:val="22"/>
                <w:szCs w:val="22"/>
                <w:lang w:val="sr-Latn-CS"/>
              </w:rPr>
              <w:t xml:space="preserve"> na </w:t>
            </w:r>
            <w:r w:rsidRPr="00AB6BF3">
              <w:rPr>
                <w:iCs/>
                <w:color w:val="000000"/>
                <w:sz w:val="22"/>
                <w:szCs w:val="22"/>
                <w:lang w:val="sr-Latn-CS"/>
              </w:rPr>
              <w:t xml:space="preserve"> ćelija</w:t>
            </w:r>
            <w:r>
              <w:rPr>
                <w:iCs/>
                <w:color w:val="000000"/>
                <w:sz w:val="22"/>
                <w:szCs w:val="22"/>
                <w:lang w:val="sr-Latn-CS"/>
              </w:rPr>
              <w:t>ma</w:t>
            </w:r>
            <w:r w:rsidRPr="00AB6BF3">
              <w:rPr>
                <w:iCs/>
                <w:color w:val="000000"/>
                <w:sz w:val="22"/>
                <w:szCs w:val="22"/>
                <w:lang w:val="sr-Latn-CS"/>
              </w:rPr>
              <w:t xml:space="preserve"> sisara</w:t>
            </w:r>
            <w:r>
              <w:rPr>
                <w:color w:val="000000"/>
                <w:sz w:val="22"/>
                <w:szCs w:val="22"/>
                <w:lang w:val="sr-Latn-CS"/>
              </w:rPr>
              <w:t xml:space="preserve"> (</w:t>
            </w:r>
            <w:r w:rsidRPr="00AB6BF3">
              <w:rPr>
                <w:color w:val="000000"/>
                <w:sz w:val="22"/>
                <w:szCs w:val="22"/>
                <w:lang w:val="sr-Latn-CS"/>
              </w:rPr>
              <w:t>limfom</w:t>
            </w:r>
            <w:r>
              <w:rPr>
                <w:color w:val="000000"/>
                <w:sz w:val="22"/>
                <w:szCs w:val="22"/>
                <w:lang w:val="sr-Latn-CS"/>
              </w:rPr>
              <w:t xml:space="preserve"> miša</w:t>
            </w:r>
            <w:r w:rsidRPr="00AB6BF3">
              <w:rPr>
                <w:color w:val="000000"/>
                <w:sz w:val="22"/>
                <w:szCs w:val="22"/>
                <w:lang w:val="sr-Latn-CS"/>
              </w:rPr>
              <w:t xml:space="preserve">) i </w:t>
            </w:r>
            <w:r w:rsidRPr="00AB6BF3">
              <w:rPr>
                <w:i/>
                <w:iCs/>
                <w:color w:val="000000"/>
                <w:sz w:val="22"/>
                <w:szCs w:val="22"/>
                <w:lang w:val="sr-Latn-CS"/>
              </w:rPr>
              <w:t xml:space="preserve">in vivo </w:t>
            </w:r>
            <w:r w:rsidRPr="00AB6BF3">
              <w:rPr>
                <w:color w:val="000000"/>
                <w:sz w:val="22"/>
                <w:szCs w:val="22"/>
                <w:lang w:val="sr-Latn-CS"/>
              </w:rPr>
              <w:t xml:space="preserve">mikronukleusnom testu pacova. Pozitivni genotoksični efekti dobijeni su za imatinib na </w:t>
            </w:r>
            <w:r w:rsidRPr="00AB6BF3">
              <w:rPr>
                <w:i/>
                <w:iCs/>
                <w:color w:val="000000"/>
                <w:sz w:val="22"/>
                <w:szCs w:val="22"/>
                <w:lang w:val="sr-Latn-CS"/>
              </w:rPr>
              <w:t>in vitro</w:t>
            </w:r>
            <w:r>
              <w:rPr>
                <w:i/>
                <w:iCs/>
                <w:color w:val="000000"/>
                <w:sz w:val="22"/>
                <w:szCs w:val="22"/>
                <w:lang w:val="sr-Latn-CS"/>
              </w:rPr>
              <w:t xml:space="preserve"> </w:t>
            </w:r>
            <w:r>
              <w:rPr>
                <w:iCs/>
                <w:color w:val="000000"/>
                <w:sz w:val="22"/>
                <w:szCs w:val="22"/>
                <w:lang w:val="sr-Latn-CS"/>
              </w:rPr>
              <w:t>testu na ćelijama</w:t>
            </w:r>
            <w:r w:rsidRPr="00AB6BF3">
              <w:rPr>
                <w:iCs/>
                <w:color w:val="000000"/>
                <w:sz w:val="22"/>
                <w:szCs w:val="22"/>
                <w:lang w:val="sr-Latn-CS"/>
              </w:rPr>
              <w:t xml:space="preserve"> sisara</w:t>
            </w:r>
            <w:r w:rsidRPr="00AB6BF3">
              <w:rPr>
                <w:color w:val="000000"/>
                <w:sz w:val="22"/>
                <w:szCs w:val="22"/>
                <w:lang w:val="sr-Latn-CS"/>
              </w:rPr>
              <w:t xml:space="preserve"> (ovarijum kineskog hrčka) za klastogenost (hromozomska aberacija) u prisustvu metaboličke aktivacije. Dva intermedijera u procesu proizvodnje, koji su takođe prisutni u finalnom proizvodu, su pozitivni na mutagenezu u Ames-ovom testu. Jedan od ovih interme</w:t>
            </w:r>
            <w:r>
              <w:rPr>
                <w:color w:val="000000"/>
                <w:sz w:val="22"/>
                <w:szCs w:val="22"/>
                <w:lang w:val="sr-Latn-CS"/>
              </w:rPr>
              <w:t xml:space="preserve">dijera bio je takođe pozitivan u </w:t>
            </w:r>
            <w:r w:rsidRPr="00AB6BF3">
              <w:rPr>
                <w:color w:val="000000"/>
                <w:sz w:val="22"/>
                <w:szCs w:val="22"/>
                <w:lang w:val="sr-Latn-CS"/>
              </w:rPr>
              <w:t>testu</w:t>
            </w:r>
            <w:r>
              <w:rPr>
                <w:color w:val="000000"/>
                <w:sz w:val="22"/>
                <w:szCs w:val="22"/>
                <w:lang w:val="sr-Latn-CS"/>
              </w:rPr>
              <w:t xml:space="preserve">  na limfomu miša</w:t>
            </w:r>
            <w:r w:rsidRPr="00AB6BF3">
              <w:rPr>
                <w:color w:val="000000"/>
                <w:sz w:val="22"/>
                <w:szCs w:val="22"/>
                <w:lang w:val="sr-Latn-CS"/>
              </w:rPr>
              <w:t>.</w:t>
            </w:r>
          </w:p>
          <w:p w:rsidR="000A2337" w:rsidRPr="00AB6BF3" w:rsidRDefault="000A2337" w:rsidP="00161AB3">
            <w:pPr>
              <w:shd w:val="clear" w:color="auto" w:fill="FFFFFF"/>
              <w:jc w:val="both"/>
              <w:rPr>
                <w:color w:val="000000"/>
                <w:sz w:val="22"/>
                <w:szCs w:val="22"/>
                <w:lang w:val="sr-Latn-CS"/>
              </w:rPr>
            </w:pPr>
          </w:p>
          <w:p w:rsidR="000A2337" w:rsidRDefault="000A2337" w:rsidP="00161AB3">
            <w:pPr>
              <w:shd w:val="clear" w:color="auto" w:fill="FFFFFF"/>
              <w:jc w:val="both"/>
              <w:rPr>
                <w:color w:val="000000"/>
                <w:sz w:val="22"/>
                <w:szCs w:val="22"/>
                <w:lang w:val="sr-Latn-CS"/>
              </w:rPr>
            </w:pPr>
            <w:r w:rsidRPr="00AB6BF3">
              <w:rPr>
                <w:color w:val="000000"/>
                <w:sz w:val="22"/>
                <w:szCs w:val="22"/>
                <w:lang w:val="sr-Latn-CS"/>
              </w:rPr>
              <w:t xml:space="preserve">U studiji fertilnosti, </w:t>
            </w:r>
            <w:r>
              <w:rPr>
                <w:color w:val="000000"/>
                <w:sz w:val="22"/>
                <w:szCs w:val="22"/>
                <w:lang w:val="sr-Latn-CS"/>
              </w:rPr>
              <w:t xml:space="preserve">u mužjaka pacova koji su primali dozu tokom 70 dana </w:t>
            </w:r>
            <w:r w:rsidRPr="00AB6BF3">
              <w:rPr>
                <w:color w:val="000000"/>
                <w:sz w:val="22"/>
                <w:szCs w:val="22"/>
                <w:lang w:val="sr-Latn-CS"/>
              </w:rPr>
              <w:t xml:space="preserve"> pr</w:t>
            </w:r>
            <w:r>
              <w:rPr>
                <w:color w:val="000000"/>
                <w:sz w:val="22"/>
                <w:szCs w:val="22"/>
                <w:lang w:val="sr-Latn-CS"/>
              </w:rPr>
              <w:t>ij</w:t>
            </w:r>
            <w:r w:rsidRPr="00AB6BF3">
              <w:rPr>
                <w:color w:val="000000"/>
                <w:sz w:val="22"/>
                <w:szCs w:val="22"/>
                <w:lang w:val="sr-Latn-CS"/>
              </w:rPr>
              <w:t xml:space="preserve">e parenja, </w:t>
            </w:r>
            <w:r>
              <w:rPr>
                <w:color w:val="000000"/>
                <w:sz w:val="22"/>
                <w:szCs w:val="22"/>
                <w:lang w:val="sr-Latn-CS"/>
              </w:rPr>
              <w:t xml:space="preserve"> smanjila se težina testisa i </w:t>
            </w:r>
            <w:r w:rsidRPr="00AB6BF3">
              <w:rPr>
                <w:color w:val="000000"/>
                <w:sz w:val="22"/>
                <w:szCs w:val="22"/>
                <w:lang w:val="sr-Latn-CS"/>
              </w:rPr>
              <w:t>epididimi</w:t>
            </w:r>
            <w:r>
              <w:rPr>
                <w:color w:val="000000"/>
                <w:sz w:val="22"/>
                <w:szCs w:val="22"/>
                <w:lang w:val="sr-Latn-CS"/>
              </w:rPr>
              <w:t>sa</w:t>
            </w:r>
            <w:r w:rsidRPr="00AB6BF3">
              <w:rPr>
                <w:color w:val="000000"/>
                <w:sz w:val="22"/>
                <w:szCs w:val="22"/>
                <w:lang w:val="sr-Latn-CS"/>
              </w:rPr>
              <w:t xml:space="preserve"> i procenat pokretljivih spermatozoida pri</w:t>
            </w:r>
            <w:r>
              <w:rPr>
                <w:color w:val="000000"/>
                <w:sz w:val="22"/>
                <w:szCs w:val="22"/>
                <w:lang w:val="sr-Latn-CS"/>
              </w:rPr>
              <w:t xml:space="preserve"> dozi od </w:t>
            </w:r>
            <w:r w:rsidRPr="00AB6BF3">
              <w:rPr>
                <w:color w:val="000000"/>
                <w:sz w:val="22"/>
                <w:szCs w:val="22"/>
                <w:lang w:val="sr-Latn-CS"/>
              </w:rPr>
              <w:t xml:space="preserve"> 60 mg/kg, </w:t>
            </w:r>
            <w:r>
              <w:rPr>
                <w:color w:val="000000"/>
                <w:sz w:val="22"/>
                <w:szCs w:val="22"/>
                <w:lang w:val="sr-Latn-CS"/>
              </w:rPr>
              <w:t>što je približno jednako m</w:t>
            </w:r>
            <w:r w:rsidRPr="00AB6BF3">
              <w:rPr>
                <w:color w:val="000000"/>
                <w:sz w:val="22"/>
                <w:szCs w:val="22"/>
                <w:lang w:val="sr-Latn-CS"/>
              </w:rPr>
              <w:t>aksim</w:t>
            </w:r>
            <w:r>
              <w:rPr>
                <w:color w:val="000000"/>
                <w:sz w:val="22"/>
                <w:szCs w:val="22"/>
                <w:lang w:val="sr-Latn-CS"/>
              </w:rPr>
              <w:t>alnoj</w:t>
            </w:r>
            <w:r w:rsidRPr="00AB6BF3">
              <w:rPr>
                <w:color w:val="000000"/>
                <w:sz w:val="22"/>
                <w:szCs w:val="22"/>
                <w:lang w:val="sr-Latn-CS"/>
              </w:rPr>
              <w:t xml:space="preserve"> </w:t>
            </w:r>
            <w:r>
              <w:rPr>
                <w:color w:val="000000"/>
                <w:sz w:val="22"/>
                <w:szCs w:val="22"/>
                <w:lang w:val="sr-Latn-CS"/>
              </w:rPr>
              <w:t>kliničkoj dozi</w:t>
            </w:r>
            <w:r w:rsidRPr="00AB6BF3">
              <w:rPr>
                <w:color w:val="000000"/>
                <w:sz w:val="22"/>
                <w:szCs w:val="22"/>
                <w:lang w:val="sr-Latn-CS"/>
              </w:rPr>
              <w:t xml:space="preserve"> od 800 mg/dan, </w:t>
            </w:r>
            <w:r>
              <w:rPr>
                <w:color w:val="000000"/>
                <w:sz w:val="22"/>
                <w:szCs w:val="22"/>
                <w:lang w:val="sr-Latn-CS"/>
              </w:rPr>
              <w:t>baziranoj na veličini površine tijela. Ovo nije zapaženo</w:t>
            </w:r>
            <w:r w:rsidRPr="00AB6BF3">
              <w:rPr>
                <w:color w:val="000000"/>
                <w:sz w:val="22"/>
                <w:szCs w:val="22"/>
                <w:lang w:val="sr-Latn-CS"/>
              </w:rPr>
              <w:t xml:space="preserve"> pri dozama ≤ </w:t>
            </w:r>
            <w:r>
              <w:rPr>
                <w:color w:val="000000"/>
                <w:sz w:val="22"/>
                <w:szCs w:val="22"/>
                <w:lang w:val="sr-Latn-CS"/>
              </w:rPr>
              <w:t>20 mg/kg. Blaga do umjerena</w:t>
            </w:r>
            <w:r w:rsidRPr="00AB6BF3">
              <w:rPr>
                <w:color w:val="000000"/>
                <w:sz w:val="22"/>
                <w:szCs w:val="22"/>
                <w:lang w:val="sr-Latn-CS"/>
              </w:rPr>
              <w:t xml:space="preserve"> redukcija spermatogeneze takođe je uočena kod pasa pri oralnim dozama ≥ 30 mg/kg. Kad</w:t>
            </w:r>
            <w:r>
              <w:rPr>
                <w:color w:val="000000"/>
                <w:sz w:val="22"/>
                <w:szCs w:val="22"/>
                <w:lang w:val="sr-Latn-CS"/>
              </w:rPr>
              <w:t>a</w:t>
            </w:r>
            <w:r w:rsidRPr="00AB6BF3">
              <w:rPr>
                <w:color w:val="000000"/>
                <w:sz w:val="22"/>
                <w:szCs w:val="22"/>
                <w:lang w:val="sr-Latn-CS"/>
              </w:rPr>
              <w:t xml:space="preserve"> su že</w:t>
            </w:r>
            <w:r>
              <w:rPr>
                <w:color w:val="000000"/>
                <w:sz w:val="22"/>
                <w:szCs w:val="22"/>
                <w:lang w:val="sr-Latn-CS"/>
              </w:rPr>
              <w:t>nke pacova dozirane 14 dana prije parenja</w:t>
            </w:r>
            <w:r w:rsidRPr="00AB6BF3">
              <w:rPr>
                <w:color w:val="000000"/>
                <w:sz w:val="22"/>
                <w:szCs w:val="22"/>
                <w:lang w:val="sr-Latn-CS"/>
              </w:rPr>
              <w:t xml:space="preserve"> pa do 6. gestacijskog dana, nije bilo efekta na parenje ili broj skotnih </w:t>
            </w:r>
            <w:r w:rsidRPr="00AB6BF3">
              <w:rPr>
                <w:color w:val="000000"/>
                <w:sz w:val="22"/>
                <w:szCs w:val="22"/>
                <w:lang w:val="sr-Latn-CS"/>
              </w:rPr>
              <w:lastRenderedPageBreak/>
              <w:t>ženki. Pri dozi od 60 mg/kg, ženke pacova imale su značajne post-implantacijske fetusne gubitke i smanjenje broja živih fetusa. Ovo nije uočeno pri dozama ≤ 20 mg/kg.</w:t>
            </w:r>
          </w:p>
          <w:p w:rsidR="000A2337" w:rsidRDefault="000A2337" w:rsidP="00161AB3">
            <w:pPr>
              <w:shd w:val="clear" w:color="auto" w:fill="FFFFFF"/>
              <w:jc w:val="both"/>
              <w:rPr>
                <w:color w:val="000000"/>
                <w:sz w:val="22"/>
                <w:szCs w:val="22"/>
                <w:lang w:val="sr-Latn-CS"/>
              </w:rPr>
            </w:pPr>
          </w:p>
          <w:p w:rsidR="000A2337" w:rsidRPr="00E1506A" w:rsidRDefault="000A2337" w:rsidP="00161AB3">
            <w:pPr>
              <w:shd w:val="clear" w:color="auto" w:fill="FFFFFF"/>
              <w:jc w:val="both"/>
              <w:rPr>
                <w:color w:val="000000"/>
                <w:sz w:val="22"/>
                <w:szCs w:val="22"/>
                <w:lang w:val="sr-Latn-CS"/>
              </w:rPr>
            </w:pPr>
            <w:r w:rsidRPr="00125766">
              <w:rPr>
                <w:color w:val="000000"/>
                <w:sz w:val="22"/>
                <w:szCs w:val="22"/>
                <w:lang w:val="sr-Latn-CS"/>
              </w:rPr>
              <w:t xml:space="preserve">U </w:t>
            </w:r>
            <w:r>
              <w:rPr>
                <w:color w:val="000000"/>
                <w:sz w:val="22"/>
                <w:szCs w:val="22"/>
                <w:lang w:val="sr-Latn-CS"/>
              </w:rPr>
              <w:t xml:space="preserve">ispitivanju prenatalnog i postnatalnog razvoja u pacova uočen je </w:t>
            </w:r>
            <w:r w:rsidRPr="00E1506A">
              <w:rPr>
                <w:color w:val="000000"/>
                <w:sz w:val="22"/>
                <w:szCs w:val="22"/>
                <w:lang w:val="sr-Latn-CS"/>
              </w:rPr>
              <w:t xml:space="preserve">crveni vaginalni sekret u grupi </w:t>
            </w:r>
            <w:r>
              <w:rPr>
                <w:color w:val="000000"/>
                <w:sz w:val="22"/>
                <w:szCs w:val="22"/>
                <w:lang w:val="sr-Latn-CS"/>
              </w:rPr>
              <w:t xml:space="preserve"> koja je oralno primala </w:t>
            </w:r>
            <w:r w:rsidRPr="00E1506A">
              <w:rPr>
                <w:color w:val="000000"/>
                <w:sz w:val="22"/>
                <w:szCs w:val="22"/>
                <w:lang w:val="sr-Latn-CS"/>
              </w:rPr>
              <w:t xml:space="preserve">45 mg/kg/dan </w:t>
            </w:r>
            <w:r>
              <w:rPr>
                <w:color w:val="000000"/>
                <w:sz w:val="22"/>
                <w:szCs w:val="22"/>
                <w:lang w:val="sr-Latn-CS"/>
              </w:rPr>
              <w:t>bilo14. ili 15. dan</w:t>
            </w:r>
            <w:r w:rsidRPr="00E1506A">
              <w:rPr>
                <w:color w:val="000000"/>
                <w:sz w:val="22"/>
                <w:szCs w:val="22"/>
                <w:lang w:val="sr-Latn-CS"/>
              </w:rPr>
              <w:t xml:space="preserve"> gestacije. Pri istoj dozi, broj mrtvorođenih mladunaca kao i onih koji su</w:t>
            </w:r>
            <w:r>
              <w:rPr>
                <w:color w:val="000000"/>
                <w:sz w:val="22"/>
                <w:szCs w:val="22"/>
                <w:lang w:val="sr-Latn-CS"/>
              </w:rPr>
              <w:t xml:space="preserve"> </w:t>
            </w:r>
            <w:r w:rsidRPr="00E1506A">
              <w:rPr>
                <w:color w:val="000000"/>
                <w:sz w:val="22"/>
                <w:szCs w:val="22"/>
                <w:lang w:val="sr-Latn-CS"/>
              </w:rPr>
              <w:t xml:space="preserve">uginuli 0. i 4. </w:t>
            </w:r>
            <w:r>
              <w:rPr>
                <w:color w:val="000000"/>
                <w:sz w:val="22"/>
                <w:szCs w:val="22"/>
                <w:lang w:val="sr-Latn-CS"/>
              </w:rPr>
              <w:t>d</w:t>
            </w:r>
            <w:r w:rsidRPr="00E1506A">
              <w:rPr>
                <w:color w:val="000000"/>
                <w:sz w:val="22"/>
                <w:szCs w:val="22"/>
                <w:lang w:val="sr-Latn-CS"/>
              </w:rPr>
              <w:t>ana</w:t>
            </w:r>
            <w:r>
              <w:rPr>
                <w:color w:val="000000"/>
                <w:sz w:val="22"/>
                <w:szCs w:val="22"/>
                <w:lang w:val="sr-Latn-CS"/>
              </w:rPr>
              <w:t xml:space="preserve"> postpartum, </w:t>
            </w:r>
            <w:r w:rsidRPr="00E1506A">
              <w:rPr>
                <w:color w:val="000000"/>
                <w:sz w:val="22"/>
                <w:szCs w:val="22"/>
                <w:lang w:val="sr-Latn-CS"/>
              </w:rPr>
              <w:t xml:space="preserve"> bio je povećan. </w:t>
            </w:r>
            <w:r>
              <w:rPr>
                <w:color w:val="000000"/>
                <w:sz w:val="22"/>
                <w:szCs w:val="22"/>
                <w:lang w:val="sr-Latn-CS"/>
              </w:rPr>
              <w:t xml:space="preserve"> </w:t>
            </w:r>
            <w:r w:rsidRPr="00E1506A">
              <w:rPr>
                <w:color w:val="000000"/>
                <w:sz w:val="22"/>
                <w:szCs w:val="22"/>
                <w:lang w:val="sr-Latn-CS"/>
              </w:rPr>
              <w:t>Kod F1 potomaka, pri isto</w:t>
            </w:r>
            <w:r>
              <w:rPr>
                <w:color w:val="000000"/>
                <w:sz w:val="22"/>
                <w:szCs w:val="22"/>
                <w:lang w:val="sr-Latn-CS"/>
              </w:rPr>
              <w:t>j dozi</w:t>
            </w:r>
            <w:r w:rsidRPr="00E1506A">
              <w:rPr>
                <w:color w:val="000000"/>
                <w:sz w:val="22"/>
                <w:szCs w:val="22"/>
                <w:lang w:val="sr-Latn-CS"/>
              </w:rPr>
              <w:t xml:space="preserve">, srednje tjelesne mase bile su redukovane od rođenja do žrtvovanja, a broj legla koji je dostigao kriterijum za prepucijsku separaciju, bio je malo snižen. F1 fertilnost nije bila pogođena, dok je povećan broj resorpcija i smanjen broj vijabilnih fetusa zapažen pri 45 mg/kg/dan. </w:t>
            </w:r>
            <w:r>
              <w:rPr>
                <w:color w:val="000000"/>
                <w:sz w:val="22"/>
                <w:szCs w:val="22"/>
                <w:lang w:val="sr-Latn-CS"/>
              </w:rPr>
              <w:t xml:space="preserve">Vrijednost </w:t>
            </w:r>
            <w:r w:rsidRPr="00E1506A">
              <w:rPr>
                <w:color w:val="000000"/>
                <w:sz w:val="22"/>
                <w:szCs w:val="22"/>
                <w:lang w:val="sr-Latn-CS"/>
              </w:rPr>
              <w:t>NOEL</w:t>
            </w:r>
            <w:r>
              <w:rPr>
                <w:color w:val="000000"/>
                <w:sz w:val="22"/>
                <w:szCs w:val="22"/>
                <w:lang w:val="sr-Latn-CS"/>
              </w:rPr>
              <w:t xml:space="preserve"> (no observed effect)</w:t>
            </w:r>
            <w:r w:rsidRPr="00E1506A">
              <w:rPr>
                <w:color w:val="000000"/>
                <w:sz w:val="22"/>
                <w:szCs w:val="22"/>
                <w:lang w:val="sr-Latn-CS"/>
              </w:rPr>
              <w:t xml:space="preserve"> i za </w:t>
            </w:r>
            <w:r>
              <w:rPr>
                <w:color w:val="000000"/>
                <w:sz w:val="22"/>
                <w:szCs w:val="22"/>
                <w:lang w:val="sr-Latn-CS"/>
              </w:rPr>
              <w:t xml:space="preserve">ženke (majke) i za </w:t>
            </w:r>
            <w:r w:rsidRPr="00E1506A">
              <w:rPr>
                <w:color w:val="000000"/>
                <w:sz w:val="22"/>
                <w:szCs w:val="22"/>
                <w:lang w:val="sr-Latn-CS"/>
              </w:rPr>
              <w:t>F1 generaciju bio je 15 mg/kg/dan (četvrtina maksimalne humane doze od 800 mg).</w:t>
            </w:r>
          </w:p>
          <w:p w:rsidR="000A2337" w:rsidRDefault="000A2337" w:rsidP="00161AB3">
            <w:pPr>
              <w:shd w:val="clear" w:color="auto" w:fill="FFFFFF"/>
              <w:spacing w:before="240" w:line="240" w:lineRule="atLeast"/>
              <w:jc w:val="both"/>
              <w:rPr>
                <w:color w:val="000000"/>
                <w:sz w:val="22"/>
                <w:szCs w:val="22"/>
                <w:lang w:val="sr-Latn-CS"/>
              </w:rPr>
            </w:pPr>
            <w:r>
              <w:rPr>
                <w:color w:val="000000"/>
                <w:sz w:val="22"/>
                <w:szCs w:val="22"/>
                <w:lang w:val="sr-Latn-CS"/>
              </w:rPr>
              <w:t>Imatinib je bio teratogen kod</w:t>
            </w:r>
            <w:r w:rsidRPr="00E1506A">
              <w:rPr>
                <w:color w:val="000000"/>
                <w:sz w:val="22"/>
                <w:szCs w:val="22"/>
                <w:lang w:val="sr-Latn-CS"/>
              </w:rPr>
              <w:t xml:space="preserve"> pacova </w:t>
            </w:r>
            <w:r>
              <w:rPr>
                <w:color w:val="000000"/>
                <w:sz w:val="22"/>
                <w:szCs w:val="22"/>
                <w:lang w:val="sr-Latn-CS"/>
              </w:rPr>
              <w:t>kada je primjenjivan tokom organogeneze u</w:t>
            </w:r>
            <w:r w:rsidRPr="00E1506A">
              <w:rPr>
                <w:color w:val="000000"/>
                <w:sz w:val="22"/>
                <w:szCs w:val="22"/>
                <w:lang w:val="sr-Latn-CS"/>
              </w:rPr>
              <w:t xml:space="preserve"> dozama ≥ 100 mg/kg, </w:t>
            </w:r>
            <w:r>
              <w:rPr>
                <w:color w:val="000000"/>
                <w:sz w:val="22"/>
                <w:szCs w:val="22"/>
                <w:lang w:val="sr-Latn-CS"/>
              </w:rPr>
              <w:t xml:space="preserve"> koje su približno jednake</w:t>
            </w:r>
            <w:r w:rsidRPr="00E1506A">
              <w:rPr>
                <w:color w:val="000000"/>
                <w:sz w:val="22"/>
                <w:szCs w:val="22"/>
                <w:lang w:val="sr-Latn-CS"/>
              </w:rPr>
              <w:t xml:space="preserve"> maksim</w:t>
            </w:r>
            <w:r>
              <w:rPr>
                <w:color w:val="000000"/>
                <w:sz w:val="22"/>
                <w:szCs w:val="22"/>
                <w:lang w:val="sr-Latn-CS"/>
              </w:rPr>
              <w:t>alnoj</w:t>
            </w:r>
            <w:r w:rsidRPr="00E1506A">
              <w:rPr>
                <w:color w:val="000000"/>
                <w:sz w:val="22"/>
                <w:szCs w:val="22"/>
                <w:lang w:val="sr-Latn-CS"/>
              </w:rPr>
              <w:t xml:space="preserve"> kliničk</w:t>
            </w:r>
            <w:r>
              <w:rPr>
                <w:color w:val="000000"/>
                <w:sz w:val="22"/>
                <w:szCs w:val="22"/>
                <w:lang w:val="sr-Latn-CS"/>
              </w:rPr>
              <w:t>oj</w:t>
            </w:r>
            <w:r w:rsidRPr="00E1506A">
              <w:rPr>
                <w:color w:val="000000"/>
                <w:sz w:val="22"/>
                <w:szCs w:val="22"/>
                <w:lang w:val="sr-Latn-CS"/>
              </w:rPr>
              <w:t xml:space="preserve"> doz</w:t>
            </w:r>
            <w:r>
              <w:rPr>
                <w:color w:val="000000"/>
                <w:sz w:val="22"/>
                <w:szCs w:val="22"/>
                <w:lang w:val="sr-Latn-CS"/>
              </w:rPr>
              <w:t>i</w:t>
            </w:r>
            <w:r w:rsidRPr="00E1506A">
              <w:rPr>
                <w:color w:val="000000"/>
                <w:sz w:val="22"/>
                <w:szCs w:val="22"/>
                <w:lang w:val="sr-Latn-CS"/>
              </w:rPr>
              <w:t xml:space="preserve"> od 800 mg/dan, prema tjelesnoj površini. Teratogeni efekti uključivali su eksencefaliju ili e</w:t>
            </w:r>
            <w:r>
              <w:rPr>
                <w:color w:val="000000"/>
                <w:sz w:val="22"/>
                <w:szCs w:val="22"/>
                <w:lang w:val="sr-Latn-CS"/>
              </w:rPr>
              <w:t>ncefalokelu, odsutnost/smanjene čeonih i odsutnost parijetalnih</w:t>
            </w:r>
            <w:r w:rsidRPr="00E1506A">
              <w:rPr>
                <w:color w:val="000000"/>
                <w:sz w:val="22"/>
                <w:szCs w:val="22"/>
                <w:lang w:val="sr-Latn-CS"/>
              </w:rPr>
              <w:t xml:space="preserve"> kost</w:t>
            </w:r>
            <w:r>
              <w:rPr>
                <w:color w:val="000000"/>
                <w:sz w:val="22"/>
                <w:szCs w:val="22"/>
                <w:lang w:val="sr-Latn-CS"/>
              </w:rPr>
              <w:t>iju</w:t>
            </w:r>
            <w:r w:rsidRPr="00E1506A">
              <w:rPr>
                <w:color w:val="000000"/>
                <w:sz w:val="22"/>
                <w:szCs w:val="22"/>
                <w:lang w:val="sr-Latn-CS"/>
              </w:rPr>
              <w:t xml:space="preserve">. Ovi efekti </w:t>
            </w:r>
            <w:r>
              <w:rPr>
                <w:color w:val="000000"/>
                <w:sz w:val="22"/>
                <w:szCs w:val="22"/>
                <w:lang w:val="sr-Latn-CS"/>
              </w:rPr>
              <w:t>nijesu uočeni</w:t>
            </w:r>
            <w:r w:rsidRPr="00E1506A">
              <w:rPr>
                <w:color w:val="000000"/>
                <w:sz w:val="22"/>
                <w:szCs w:val="22"/>
                <w:lang w:val="sr-Latn-CS"/>
              </w:rPr>
              <w:t xml:space="preserve"> pri dozama ≤ 30 mg/kg.</w:t>
            </w:r>
          </w:p>
          <w:p w:rsidR="000A2337" w:rsidRPr="0032586F" w:rsidRDefault="000A2337" w:rsidP="00161AB3">
            <w:pPr>
              <w:shd w:val="clear" w:color="auto" w:fill="FFFFFF"/>
              <w:spacing w:before="240" w:line="240" w:lineRule="atLeast"/>
              <w:jc w:val="both"/>
              <w:rPr>
                <w:color w:val="000000"/>
                <w:sz w:val="22"/>
                <w:szCs w:val="22"/>
                <w:lang w:val="sr-Latn-CS"/>
              </w:rPr>
            </w:pPr>
            <w:r w:rsidRPr="0032586F">
              <w:rPr>
                <w:color w:val="000000"/>
                <w:sz w:val="22"/>
                <w:szCs w:val="22"/>
                <w:lang w:val="sr-Latn-CS"/>
              </w:rPr>
              <w:t>Ni</w:t>
            </w:r>
            <w:r>
              <w:rPr>
                <w:color w:val="000000"/>
                <w:sz w:val="22"/>
                <w:szCs w:val="22"/>
                <w:lang w:val="sr-Latn-CS"/>
              </w:rPr>
              <w:t>je</w:t>
            </w:r>
            <w:r w:rsidRPr="0032586F">
              <w:rPr>
                <w:color w:val="000000"/>
                <w:sz w:val="22"/>
                <w:szCs w:val="22"/>
                <w:lang w:val="sr-Latn-CS"/>
              </w:rPr>
              <w:t>su bili uočeni novi ciljni organi u toksikološkom ispitivanju juvenilnog razvoja kod pacova (10 do 70 dana nakon okota) u odnosu na poznate ciljne organe kod odraslih pacova. U toksikološkom ispitivanju kod juvenilnih životinja, efekti na rast, odlaganje vaginalnog otvaranja i odvajanje prepucijuma uočeni su pri izloženosti koja iznosi otprilike 0,3 do 2 puta prosječne izloženosti kod djece pri najvišoj preporučenoj dozi od 340 mg/m</w:t>
            </w:r>
            <w:r w:rsidRPr="0032586F">
              <w:rPr>
                <w:color w:val="000000"/>
                <w:sz w:val="22"/>
                <w:szCs w:val="22"/>
                <w:vertAlign w:val="superscript"/>
                <w:lang w:val="sr-Latn-CS"/>
              </w:rPr>
              <w:t>2</w:t>
            </w:r>
            <w:r w:rsidRPr="0032586F">
              <w:rPr>
                <w:color w:val="000000"/>
                <w:sz w:val="22"/>
                <w:szCs w:val="22"/>
                <w:lang w:val="sr-Latn-CS"/>
              </w:rPr>
              <w:t>. Dodatno, mortalitet je uočen u juvenilnih životinja (oko faze odbijanja) pri izloženosti koja je iznosila otprilike 2 puta prosječne izloženosti kod djece pri najvišoj preporučenoj dozi od 340 mg/m</w:t>
            </w:r>
            <w:r w:rsidRPr="0032586F">
              <w:rPr>
                <w:color w:val="000000"/>
                <w:sz w:val="22"/>
                <w:szCs w:val="22"/>
                <w:vertAlign w:val="superscript"/>
                <w:lang w:val="sr-Latn-CS"/>
              </w:rPr>
              <w:t>2</w:t>
            </w:r>
            <w:r w:rsidRPr="0032586F">
              <w:rPr>
                <w:color w:val="000000"/>
                <w:sz w:val="22"/>
                <w:szCs w:val="22"/>
                <w:lang w:val="sr-Latn-CS"/>
              </w:rPr>
              <w:t>.</w:t>
            </w:r>
          </w:p>
          <w:p w:rsidR="00152B23" w:rsidRDefault="00152B23" w:rsidP="00152B23">
            <w:pPr>
              <w:shd w:val="clear" w:color="auto" w:fill="FFFFFF"/>
              <w:jc w:val="both"/>
              <w:rPr>
                <w:color w:val="000000"/>
                <w:sz w:val="22"/>
                <w:szCs w:val="22"/>
                <w:lang w:val="sr-Latn-CS"/>
              </w:rPr>
            </w:pPr>
          </w:p>
          <w:p w:rsidR="000A2337" w:rsidRDefault="000A2337" w:rsidP="00152B23">
            <w:pPr>
              <w:shd w:val="clear" w:color="auto" w:fill="FFFFFF"/>
              <w:jc w:val="both"/>
              <w:rPr>
                <w:color w:val="000000"/>
                <w:sz w:val="22"/>
                <w:szCs w:val="22"/>
                <w:lang w:val="sr-Latn-CS"/>
              </w:rPr>
            </w:pPr>
            <w:r w:rsidRPr="00E1506A">
              <w:rPr>
                <w:color w:val="000000"/>
                <w:sz w:val="22"/>
                <w:szCs w:val="22"/>
                <w:lang w:val="sr-Latn-CS"/>
              </w:rPr>
              <w:t>Dvogodišnja studija kancerogenosti</w:t>
            </w:r>
            <w:r w:rsidRPr="00125766">
              <w:rPr>
                <w:color w:val="000000"/>
                <w:sz w:val="22"/>
                <w:szCs w:val="22"/>
                <w:lang w:val="sr-Latn-CS"/>
              </w:rPr>
              <w:t xml:space="preserve"> kod pacova na imatinibu pri 15, 30 i 60 mg/kg/dan rezultovala je statistički značajnom redukcijom životnog v</w:t>
            </w:r>
            <w:r>
              <w:rPr>
                <w:color w:val="000000"/>
                <w:sz w:val="22"/>
                <w:szCs w:val="22"/>
                <w:lang w:val="sr-Latn-CS"/>
              </w:rPr>
              <w:t>ij</w:t>
            </w:r>
            <w:r w:rsidRPr="00125766">
              <w:rPr>
                <w:color w:val="000000"/>
                <w:sz w:val="22"/>
                <w:szCs w:val="22"/>
                <w:lang w:val="sr-Latn-CS"/>
              </w:rPr>
              <w:t xml:space="preserve">eka mužjaka pri 60 mg/kg/dan i ženki </w:t>
            </w:r>
            <w:r w:rsidRPr="00AF7CC6">
              <w:rPr>
                <w:color w:val="000000"/>
                <w:sz w:val="22"/>
                <w:szCs w:val="22"/>
                <w:lang w:val="sr-Latn-CS"/>
              </w:rPr>
              <w:t>pri ≥ 30 mg/kg/dan. Histopatološki pregled uginulih otkrio je kardiomiopatiju (oba pola), hroničnu progresivnu nefropatiju (ženke) i papilom prepucijske žl</w:t>
            </w:r>
            <w:r>
              <w:rPr>
                <w:color w:val="000000"/>
                <w:sz w:val="22"/>
                <w:szCs w:val="22"/>
                <w:lang w:val="sr-Latn-CS"/>
              </w:rPr>
              <w:t>ij</w:t>
            </w:r>
            <w:r w:rsidRPr="00AF7CC6">
              <w:rPr>
                <w:color w:val="000000"/>
                <w:sz w:val="22"/>
                <w:szCs w:val="22"/>
                <w:lang w:val="sr-Latn-CS"/>
              </w:rPr>
              <w:t xml:space="preserve">ezde kao glavne uzroke smrti ili razlog za žrtvovanje. Ciljni organi za neoplazijske </w:t>
            </w:r>
            <w:r>
              <w:rPr>
                <w:color w:val="000000"/>
                <w:sz w:val="22"/>
                <w:szCs w:val="22"/>
                <w:lang w:val="sr-Latn-CS"/>
              </w:rPr>
              <w:t>promjene</w:t>
            </w:r>
            <w:r w:rsidRPr="00AF7CC6">
              <w:rPr>
                <w:color w:val="000000"/>
                <w:sz w:val="22"/>
                <w:szCs w:val="22"/>
                <w:lang w:val="sr-Latn-CS"/>
              </w:rPr>
              <w:t xml:space="preserve"> bili su bubrezi, mokraćna bešika, uretra, prepucijska i klitorisna žl</w:t>
            </w:r>
            <w:r>
              <w:rPr>
                <w:color w:val="000000"/>
                <w:sz w:val="22"/>
                <w:szCs w:val="22"/>
                <w:lang w:val="sr-Latn-CS"/>
              </w:rPr>
              <w:t>ij</w:t>
            </w:r>
            <w:r w:rsidRPr="00AF7CC6">
              <w:rPr>
                <w:color w:val="000000"/>
                <w:sz w:val="22"/>
                <w:szCs w:val="22"/>
                <w:lang w:val="sr-Latn-CS"/>
              </w:rPr>
              <w:t>ezda, tanko cr</w:t>
            </w:r>
            <w:r>
              <w:rPr>
                <w:color w:val="000000"/>
                <w:sz w:val="22"/>
                <w:szCs w:val="22"/>
                <w:lang w:val="sr-Latn-CS"/>
              </w:rPr>
              <w:t>ij</w:t>
            </w:r>
            <w:r w:rsidRPr="00AF7CC6">
              <w:rPr>
                <w:color w:val="000000"/>
                <w:sz w:val="22"/>
                <w:szCs w:val="22"/>
                <w:lang w:val="sr-Latn-CS"/>
              </w:rPr>
              <w:t>evo, paratireoidne žl</w:t>
            </w:r>
            <w:r>
              <w:rPr>
                <w:color w:val="000000"/>
                <w:sz w:val="22"/>
                <w:szCs w:val="22"/>
                <w:lang w:val="sr-Latn-CS"/>
              </w:rPr>
              <w:t>ije</w:t>
            </w:r>
            <w:r w:rsidRPr="00AF7CC6">
              <w:rPr>
                <w:color w:val="000000"/>
                <w:sz w:val="22"/>
                <w:szCs w:val="22"/>
                <w:lang w:val="sr-Latn-CS"/>
              </w:rPr>
              <w:t>zde, nadbubrežne žl</w:t>
            </w:r>
            <w:r>
              <w:rPr>
                <w:color w:val="000000"/>
                <w:sz w:val="22"/>
                <w:szCs w:val="22"/>
                <w:lang w:val="sr-Latn-CS"/>
              </w:rPr>
              <w:t>ij</w:t>
            </w:r>
            <w:r w:rsidRPr="00AF7CC6">
              <w:rPr>
                <w:color w:val="000000"/>
                <w:sz w:val="22"/>
                <w:szCs w:val="22"/>
                <w:lang w:val="sr-Latn-CS"/>
              </w:rPr>
              <w:t>ezde i nežl</w:t>
            </w:r>
            <w:r>
              <w:rPr>
                <w:color w:val="000000"/>
                <w:sz w:val="22"/>
                <w:szCs w:val="22"/>
                <w:lang w:val="sr-Latn-CS"/>
              </w:rPr>
              <w:t>j</w:t>
            </w:r>
            <w:r w:rsidRPr="00AF7CC6">
              <w:rPr>
                <w:color w:val="000000"/>
                <w:sz w:val="22"/>
                <w:szCs w:val="22"/>
                <w:lang w:val="sr-Latn-CS"/>
              </w:rPr>
              <w:t>ezdani želudac.</w:t>
            </w:r>
          </w:p>
          <w:p w:rsidR="00152B23" w:rsidRPr="00AF7CC6" w:rsidRDefault="00152B23" w:rsidP="00152B23">
            <w:pPr>
              <w:shd w:val="clear" w:color="auto" w:fill="FFFFFF"/>
              <w:jc w:val="both"/>
              <w:rPr>
                <w:color w:val="000000"/>
                <w:sz w:val="22"/>
                <w:szCs w:val="22"/>
                <w:lang w:val="sr-Latn-CS"/>
              </w:rPr>
            </w:pPr>
          </w:p>
          <w:p w:rsidR="000A2337" w:rsidRDefault="000A2337" w:rsidP="00152B23">
            <w:pPr>
              <w:shd w:val="clear" w:color="auto" w:fill="FFFFFF"/>
              <w:jc w:val="both"/>
              <w:rPr>
                <w:color w:val="000000"/>
                <w:sz w:val="22"/>
                <w:szCs w:val="22"/>
                <w:lang w:val="sr-Latn-CS"/>
              </w:rPr>
            </w:pPr>
            <w:r w:rsidRPr="00AF7CC6">
              <w:rPr>
                <w:color w:val="000000"/>
                <w:sz w:val="22"/>
                <w:szCs w:val="22"/>
                <w:lang w:val="sr-Latn-CS"/>
              </w:rPr>
              <w:t xml:space="preserve">Papilom/karcinom </w:t>
            </w:r>
            <w:r>
              <w:rPr>
                <w:color w:val="000000"/>
                <w:sz w:val="22"/>
                <w:szCs w:val="22"/>
                <w:lang w:val="sr-Latn-CS"/>
              </w:rPr>
              <w:t>žlijezde prepucijuma/klitorisa</w:t>
            </w:r>
            <w:r w:rsidRPr="00AF7CC6">
              <w:rPr>
                <w:color w:val="000000"/>
                <w:sz w:val="22"/>
                <w:szCs w:val="22"/>
                <w:lang w:val="sr-Latn-CS"/>
              </w:rPr>
              <w:t xml:space="preserve"> za</w:t>
            </w:r>
            <w:r>
              <w:rPr>
                <w:color w:val="000000"/>
                <w:sz w:val="22"/>
                <w:szCs w:val="22"/>
                <w:lang w:val="sr-Latn-CS"/>
              </w:rPr>
              <w:t>bilježen je pri dozama</w:t>
            </w:r>
            <w:r w:rsidRPr="00AF7CC6">
              <w:rPr>
                <w:color w:val="000000"/>
                <w:sz w:val="22"/>
                <w:szCs w:val="22"/>
                <w:lang w:val="sr-Latn-CS"/>
              </w:rPr>
              <w:t xml:space="preserve"> od 30 mg/kg/dan naviše, predstavljajući približno 0,5 ili 0,3 puta humanu dnevnu ekspoziciju (zasnovanu na PIK-u) pri 400 mg/dan, odnosno 800 mg/dan, i 0,4 puta dnevne ekspozicije kod djece (zasnovano na PIK-u) pri 340 mg/m</w:t>
            </w:r>
            <w:r w:rsidRPr="00152B23">
              <w:rPr>
                <w:color w:val="000000"/>
                <w:sz w:val="22"/>
                <w:szCs w:val="22"/>
                <w:lang w:val="sr-Latn-CS"/>
              </w:rPr>
              <w:t>2</w:t>
            </w:r>
            <w:r w:rsidRPr="00AF7CC6">
              <w:rPr>
                <w:color w:val="000000"/>
                <w:sz w:val="22"/>
                <w:szCs w:val="22"/>
                <w:lang w:val="sr-Latn-CS"/>
              </w:rPr>
              <w:t>/dan.</w:t>
            </w:r>
            <w:r w:rsidRPr="00152B23">
              <w:rPr>
                <w:color w:val="000000"/>
                <w:sz w:val="22"/>
                <w:szCs w:val="22"/>
                <w:lang w:val="sr-Latn-CS"/>
              </w:rPr>
              <w:t xml:space="preserve"> </w:t>
            </w:r>
            <w:r w:rsidRPr="00BF35B7">
              <w:rPr>
                <w:color w:val="000000"/>
                <w:sz w:val="22"/>
                <w:szCs w:val="22"/>
                <w:lang w:val="sr-Latn-CS"/>
              </w:rPr>
              <w:t>Vrijednost</w:t>
            </w:r>
            <w:r w:rsidRPr="00152B23">
              <w:rPr>
                <w:color w:val="000000"/>
                <w:sz w:val="22"/>
                <w:szCs w:val="22"/>
                <w:lang w:val="sr-Latn-CS"/>
              </w:rPr>
              <w:t xml:space="preserve"> </w:t>
            </w:r>
            <w:r>
              <w:rPr>
                <w:color w:val="000000"/>
                <w:sz w:val="22"/>
                <w:szCs w:val="22"/>
                <w:lang w:val="sr-Latn-CS"/>
              </w:rPr>
              <w:t xml:space="preserve">NOEL iznosila je </w:t>
            </w:r>
            <w:r w:rsidRPr="00AF7CC6">
              <w:rPr>
                <w:color w:val="000000"/>
                <w:sz w:val="22"/>
                <w:szCs w:val="22"/>
                <w:lang w:val="sr-Latn-CS"/>
              </w:rPr>
              <w:t>15 mg/kg/dan. Bubrežni adenom/karcinom, papilom mokraćne bešike i uretre, adenokarcinomi tankog cr</w:t>
            </w:r>
            <w:r>
              <w:rPr>
                <w:color w:val="000000"/>
                <w:sz w:val="22"/>
                <w:szCs w:val="22"/>
                <w:lang w:val="sr-Latn-CS"/>
              </w:rPr>
              <w:t>ij</w:t>
            </w:r>
            <w:r w:rsidRPr="00AF7CC6">
              <w:rPr>
                <w:color w:val="000000"/>
                <w:sz w:val="22"/>
                <w:szCs w:val="22"/>
                <w:lang w:val="sr-Latn-CS"/>
              </w:rPr>
              <w:t>eva, adenomi paratireoidnih žl</w:t>
            </w:r>
            <w:r>
              <w:rPr>
                <w:color w:val="000000"/>
                <w:sz w:val="22"/>
                <w:szCs w:val="22"/>
                <w:lang w:val="sr-Latn-CS"/>
              </w:rPr>
              <w:t>ij</w:t>
            </w:r>
            <w:r w:rsidRPr="00AF7CC6">
              <w:rPr>
                <w:color w:val="000000"/>
                <w:sz w:val="22"/>
                <w:szCs w:val="22"/>
                <w:lang w:val="sr-Latn-CS"/>
              </w:rPr>
              <w:t>ezda, benigni i maligni medularni tumori nadbubrežnih žl</w:t>
            </w:r>
            <w:r>
              <w:rPr>
                <w:color w:val="000000"/>
                <w:sz w:val="22"/>
                <w:szCs w:val="22"/>
                <w:lang w:val="sr-Latn-CS"/>
              </w:rPr>
              <w:t>ij</w:t>
            </w:r>
            <w:r w:rsidRPr="00AF7CC6">
              <w:rPr>
                <w:color w:val="000000"/>
                <w:sz w:val="22"/>
                <w:szCs w:val="22"/>
                <w:lang w:val="sr-Latn-CS"/>
              </w:rPr>
              <w:t>ezda i neglandularni želudačni papilomi/karcinomi zapaženi su pri 60 mg/kg/dan, što je približno 1,7 ili 1 put humane dnevne ekspozicije (zasnovano na PIK-u) pri 400 mg/dan, odnosno 800 mg/dan, i 1,2 puta dnevne ekspozicije kod djece (zasnovano na PIK-u) pri 340 mg/m</w:t>
            </w:r>
            <w:r w:rsidRPr="00152B23">
              <w:rPr>
                <w:color w:val="000000"/>
                <w:sz w:val="22"/>
                <w:szCs w:val="22"/>
                <w:lang w:val="sr-Latn-CS"/>
              </w:rPr>
              <w:t>2</w:t>
            </w:r>
            <w:r w:rsidRPr="00AF7CC6">
              <w:rPr>
                <w:color w:val="000000"/>
                <w:sz w:val="22"/>
                <w:szCs w:val="22"/>
                <w:lang w:val="sr-Latn-CS"/>
              </w:rPr>
              <w:t xml:space="preserve">/dan. </w:t>
            </w:r>
            <w:r>
              <w:rPr>
                <w:color w:val="000000"/>
                <w:sz w:val="22"/>
                <w:szCs w:val="22"/>
                <w:lang w:val="sr-Latn-CS"/>
              </w:rPr>
              <w:t xml:space="preserve">Vrijednost </w:t>
            </w:r>
            <w:r w:rsidRPr="00AF7CC6">
              <w:rPr>
                <w:color w:val="000000"/>
                <w:sz w:val="22"/>
                <w:szCs w:val="22"/>
                <w:lang w:val="sr-Latn-CS"/>
              </w:rPr>
              <w:t xml:space="preserve">NOEL </w:t>
            </w:r>
            <w:r>
              <w:rPr>
                <w:color w:val="000000"/>
                <w:sz w:val="22"/>
                <w:szCs w:val="22"/>
                <w:lang w:val="sr-Latn-CS"/>
              </w:rPr>
              <w:t xml:space="preserve">iznosila je </w:t>
            </w:r>
            <w:r w:rsidRPr="00AF7CC6">
              <w:rPr>
                <w:color w:val="000000"/>
                <w:sz w:val="22"/>
                <w:szCs w:val="22"/>
                <w:lang w:val="sr-Latn-CS"/>
              </w:rPr>
              <w:t>30 mg/kg/dan.</w:t>
            </w:r>
          </w:p>
          <w:p w:rsidR="00152B23" w:rsidRPr="00152B23" w:rsidRDefault="00152B23" w:rsidP="00152B23">
            <w:pPr>
              <w:shd w:val="clear" w:color="auto" w:fill="FFFFFF"/>
              <w:jc w:val="both"/>
              <w:rPr>
                <w:color w:val="000000"/>
                <w:sz w:val="22"/>
                <w:szCs w:val="22"/>
                <w:lang w:val="sr-Latn-CS"/>
              </w:rPr>
            </w:pPr>
          </w:p>
          <w:p w:rsidR="000A2337" w:rsidRDefault="000A2337" w:rsidP="00152B23">
            <w:pPr>
              <w:shd w:val="clear" w:color="auto" w:fill="FFFFFF"/>
              <w:jc w:val="both"/>
              <w:rPr>
                <w:color w:val="000000"/>
                <w:sz w:val="22"/>
                <w:szCs w:val="22"/>
                <w:lang w:val="sr-Latn-CS"/>
              </w:rPr>
            </w:pPr>
            <w:r w:rsidRPr="000C4146">
              <w:rPr>
                <w:color w:val="000000"/>
                <w:sz w:val="22"/>
                <w:szCs w:val="22"/>
                <w:lang w:val="sr-Latn-CS"/>
              </w:rPr>
              <w:t>Iz ovih nalaza studije karcinogenosti kod pacova još nije razjašnjen mehanizam, kao ni važnost za ljude.</w:t>
            </w:r>
          </w:p>
          <w:p w:rsidR="00152B23" w:rsidRDefault="00152B23" w:rsidP="00152B23">
            <w:pPr>
              <w:shd w:val="clear" w:color="auto" w:fill="FFFFFF"/>
              <w:jc w:val="both"/>
              <w:rPr>
                <w:color w:val="000000"/>
                <w:sz w:val="22"/>
                <w:szCs w:val="22"/>
                <w:lang w:val="sr-Latn-CS"/>
              </w:rPr>
            </w:pPr>
          </w:p>
          <w:p w:rsidR="000A2337" w:rsidRDefault="000A2337" w:rsidP="00152B23">
            <w:pPr>
              <w:shd w:val="clear" w:color="auto" w:fill="FFFFFF"/>
              <w:jc w:val="both"/>
              <w:rPr>
                <w:color w:val="000000"/>
                <w:sz w:val="22"/>
                <w:szCs w:val="22"/>
                <w:lang w:val="sr-Latn-CS"/>
              </w:rPr>
            </w:pPr>
            <w:r w:rsidRPr="00AF7CC6">
              <w:rPr>
                <w:color w:val="000000"/>
                <w:sz w:val="22"/>
                <w:szCs w:val="22"/>
                <w:lang w:val="sr-Latn-CS"/>
              </w:rPr>
              <w:t>Neneoplazijske lezije koje ni</w:t>
            </w:r>
            <w:r>
              <w:rPr>
                <w:color w:val="000000"/>
                <w:sz w:val="22"/>
                <w:szCs w:val="22"/>
                <w:lang w:val="sr-Latn-CS"/>
              </w:rPr>
              <w:t>je</w:t>
            </w:r>
            <w:r w:rsidRPr="00AF7CC6">
              <w:rPr>
                <w:color w:val="000000"/>
                <w:sz w:val="22"/>
                <w:szCs w:val="22"/>
                <w:lang w:val="sr-Latn-CS"/>
              </w:rPr>
              <w:t>su identifikovane u ranijim p</w:t>
            </w:r>
            <w:r>
              <w:rPr>
                <w:color w:val="000000"/>
                <w:sz w:val="22"/>
                <w:szCs w:val="22"/>
                <w:lang w:val="sr-Latn-CS"/>
              </w:rPr>
              <w:t>r</w:t>
            </w:r>
            <w:r w:rsidRPr="00AF7CC6">
              <w:rPr>
                <w:color w:val="000000"/>
                <w:sz w:val="22"/>
                <w:szCs w:val="22"/>
                <w:lang w:val="sr-Latn-CS"/>
              </w:rPr>
              <w:t>etkliničkim studija</w:t>
            </w:r>
            <w:r>
              <w:rPr>
                <w:color w:val="000000"/>
                <w:sz w:val="22"/>
                <w:szCs w:val="22"/>
                <w:lang w:val="sr-Latn-CS"/>
              </w:rPr>
              <w:t>ma javile</w:t>
            </w:r>
            <w:r w:rsidRPr="00AF7CC6">
              <w:rPr>
                <w:color w:val="000000"/>
                <w:sz w:val="22"/>
                <w:szCs w:val="22"/>
                <w:lang w:val="sr-Latn-CS"/>
              </w:rPr>
              <w:t xml:space="preserve"> su</w:t>
            </w:r>
            <w:r>
              <w:rPr>
                <w:color w:val="000000"/>
                <w:sz w:val="22"/>
                <w:szCs w:val="22"/>
                <w:lang w:val="sr-Latn-CS"/>
              </w:rPr>
              <w:t xml:space="preserve"> se na </w:t>
            </w:r>
            <w:r w:rsidRPr="00AF7CC6">
              <w:rPr>
                <w:color w:val="000000"/>
                <w:sz w:val="22"/>
                <w:szCs w:val="22"/>
                <w:lang w:val="sr-Latn-CS"/>
              </w:rPr>
              <w:t>kardiovaskularnom sistemu, pankreasu, endokrinim organima i zubima. Najznačajnije prom</w:t>
            </w:r>
            <w:r>
              <w:rPr>
                <w:color w:val="000000"/>
                <w:sz w:val="22"/>
                <w:szCs w:val="22"/>
                <w:lang w:val="sr-Latn-CS"/>
              </w:rPr>
              <w:t>j</w:t>
            </w:r>
            <w:r w:rsidRPr="00AF7CC6">
              <w:rPr>
                <w:color w:val="000000"/>
                <w:sz w:val="22"/>
                <w:szCs w:val="22"/>
                <w:lang w:val="sr-Latn-CS"/>
              </w:rPr>
              <w:t xml:space="preserve">ene uključivale su srčanu hipertrofiju i dilataciju, što </w:t>
            </w:r>
            <w:r>
              <w:rPr>
                <w:color w:val="000000"/>
                <w:sz w:val="22"/>
                <w:szCs w:val="22"/>
                <w:lang w:val="sr-Latn-CS"/>
              </w:rPr>
              <w:t xml:space="preserve"> je dovelo do </w:t>
            </w:r>
            <w:r w:rsidRPr="00AF7CC6">
              <w:rPr>
                <w:color w:val="000000"/>
                <w:sz w:val="22"/>
                <w:szCs w:val="22"/>
                <w:lang w:val="sr-Latn-CS"/>
              </w:rPr>
              <w:t>zn</w:t>
            </w:r>
            <w:r>
              <w:rPr>
                <w:color w:val="000000"/>
                <w:sz w:val="22"/>
                <w:szCs w:val="22"/>
                <w:lang w:val="sr-Latn-CS"/>
              </w:rPr>
              <w:t xml:space="preserve">akova srčane insuficijencije u </w:t>
            </w:r>
            <w:r w:rsidRPr="00AF7CC6">
              <w:rPr>
                <w:color w:val="000000"/>
                <w:sz w:val="22"/>
                <w:szCs w:val="22"/>
                <w:lang w:val="sr-Latn-CS"/>
              </w:rPr>
              <w:t>nekih životinja.</w:t>
            </w:r>
          </w:p>
          <w:p w:rsidR="00152B23" w:rsidRDefault="00152B23" w:rsidP="00152B23">
            <w:pPr>
              <w:shd w:val="clear" w:color="auto" w:fill="FFFFFF"/>
              <w:jc w:val="both"/>
              <w:rPr>
                <w:color w:val="000000"/>
                <w:sz w:val="22"/>
                <w:szCs w:val="22"/>
                <w:lang w:val="sr-Latn-CS"/>
              </w:rPr>
            </w:pPr>
          </w:p>
          <w:p w:rsidR="00A71FF3" w:rsidRDefault="00A71FF3" w:rsidP="00152B23">
            <w:pPr>
              <w:shd w:val="clear" w:color="auto" w:fill="FFFFFF"/>
              <w:jc w:val="both"/>
              <w:rPr>
                <w:color w:val="000000"/>
                <w:sz w:val="22"/>
                <w:szCs w:val="22"/>
                <w:lang w:val="sr-Latn-CS"/>
              </w:rPr>
            </w:pPr>
          </w:p>
          <w:p w:rsidR="00736177" w:rsidRPr="00152B23" w:rsidRDefault="00736177" w:rsidP="00152B23">
            <w:pPr>
              <w:shd w:val="clear" w:color="auto" w:fill="FFFFFF"/>
              <w:jc w:val="both"/>
              <w:rPr>
                <w:color w:val="000000"/>
                <w:sz w:val="22"/>
                <w:szCs w:val="22"/>
                <w:lang w:val="sr-Latn-CS"/>
              </w:rPr>
            </w:pPr>
          </w:p>
        </w:tc>
      </w:tr>
      <w:tr w:rsidR="000A2337" w:rsidRPr="00750E3C" w:rsidTr="007351FF">
        <w:tc>
          <w:tcPr>
            <w:tcW w:w="10188" w:type="dxa"/>
            <w:gridSpan w:val="4"/>
            <w:shd w:val="clear" w:color="auto" w:fill="auto"/>
            <w:vAlign w:val="center"/>
          </w:tcPr>
          <w:p w:rsidR="000A2337" w:rsidRPr="00750E3C" w:rsidRDefault="000A2337" w:rsidP="00161AB3">
            <w:pPr>
              <w:pStyle w:val="Header"/>
              <w:tabs>
                <w:tab w:val="left" w:pos="284"/>
              </w:tabs>
              <w:rPr>
                <w:rFonts w:cs="Arial"/>
                <w:b/>
                <w:bCs/>
                <w:sz w:val="22"/>
              </w:rPr>
            </w:pPr>
            <w:r w:rsidRPr="00750E3C">
              <w:rPr>
                <w:rFonts w:cs="Arial"/>
                <w:b/>
                <w:bCs/>
                <w:sz w:val="22"/>
              </w:rPr>
              <w:lastRenderedPageBreak/>
              <w:t>6. FARMACEUTSKI PODACI</w:t>
            </w:r>
          </w:p>
        </w:tc>
      </w:tr>
      <w:tr w:rsidR="000A2337" w:rsidRPr="00750E3C" w:rsidTr="00161AB3">
        <w:tc>
          <w:tcPr>
            <w:tcW w:w="10188" w:type="dxa"/>
            <w:gridSpan w:val="4"/>
            <w:vAlign w:val="center"/>
          </w:tcPr>
          <w:p w:rsidR="000A2337" w:rsidRDefault="000A2337" w:rsidP="00161AB3">
            <w:pPr>
              <w:pStyle w:val="Header"/>
              <w:tabs>
                <w:tab w:val="left" w:pos="284"/>
              </w:tabs>
              <w:spacing w:before="80" w:after="80"/>
              <w:rPr>
                <w:rFonts w:cs="Arial"/>
                <w:b/>
                <w:bCs/>
                <w:sz w:val="22"/>
              </w:rPr>
            </w:pPr>
            <w:r w:rsidRPr="00750E3C">
              <w:rPr>
                <w:rFonts w:cs="Arial"/>
                <w:b/>
                <w:bCs/>
                <w:sz w:val="22"/>
              </w:rPr>
              <w:t xml:space="preserve">6.1. Lista </w:t>
            </w:r>
            <w:r>
              <w:rPr>
                <w:rFonts w:cs="Arial"/>
                <w:b/>
                <w:bCs/>
                <w:sz w:val="22"/>
              </w:rPr>
              <w:t>pomoćnih supstanci</w:t>
            </w:r>
          </w:p>
          <w:p w:rsidR="00152B23" w:rsidRPr="00750E3C" w:rsidRDefault="00152B23" w:rsidP="00152B23">
            <w:pPr>
              <w:pStyle w:val="Header"/>
              <w:tabs>
                <w:tab w:val="left" w:pos="284"/>
              </w:tabs>
              <w:rPr>
                <w:rFonts w:cs="Arial"/>
                <w:b/>
                <w:bCs/>
                <w:sz w:val="22"/>
              </w:rPr>
            </w:pPr>
          </w:p>
        </w:tc>
      </w:tr>
      <w:tr w:rsidR="000A2337" w:rsidRPr="003A00BF" w:rsidTr="00161AB3">
        <w:trPr>
          <w:trHeight w:val="1145"/>
        </w:trPr>
        <w:tc>
          <w:tcPr>
            <w:tcW w:w="10188" w:type="dxa"/>
            <w:gridSpan w:val="4"/>
            <w:vAlign w:val="center"/>
          </w:tcPr>
          <w:p w:rsidR="000A2337" w:rsidRDefault="000A2337" w:rsidP="00152B23">
            <w:pPr>
              <w:pStyle w:val="Text"/>
              <w:spacing w:before="0" w:after="0" w:line="240" w:lineRule="auto"/>
              <w:ind w:right="357"/>
              <w:rPr>
                <w:noProof/>
                <w:sz w:val="22"/>
                <w:szCs w:val="22"/>
                <w:lang w:val="sr-Latn-CS"/>
              </w:rPr>
            </w:pPr>
            <w:r>
              <w:rPr>
                <w:noProof/>
                <w:sz w:val="22"/>
                <w:szCs w:val="22"/>
                <w:lang w:val="sr-Latn-CS"/>
              </w:rPr>
              <w:t>Imatinib Teva</w:t>
            </w:r>
            <w:r w:rsidRPr="0090077F">
              <w:rPr>
                <w:noProof/>
                <w:sz w:val="22"/>
                <w:szCs w:val="22"/>
                <w:lang w:val="sr-Latn-CS"/>
              </w:rPr>
              <w:t xml:space="preserve"> </w:t>
            </w:r>
            <w:r>
              <w:rPr>
                <w:noProof/>
                <w:sz w:val="22"/>
                <w:szCs w:val="22"/>
                <w:lang w:val="sr-Latn-CS"/>
              </w:rPr>
              <w:t>1</w:t>
            </w:r>
            <w:r w:rsidRPr="0090077F">
              <w:rPr>
                <w:noProof/>
                <w:sz w:val="22"/>
                <w:szCs w:val="22"/>
                <w:lang w:val="sr-Latn-CS"/>
              </w:rPr>
              <w:t>00 mg film tablete</w:t>
            </w:r>
          </w:p>
          <w:p w:rsidR="000A2337" w:rsidRPr="006114D2" w:rsidRDefault="000A2337" w:rsidP="00161AB3">
            <w:pPr>
              <w:pStyle w:val="Text"/>
              <w:spacing w:before="0" w:after="0" w:line="240" w:lineRule="auto"/>
              <w:rPr>
                <w:noProof/>
                <w:sz w:val="22"/>
                <w:szCs w:val="22"/>
                <w:u w:val="single"/>
                <w:lang w:val="sr-Latn-CS"/>
              </w:rPr>
            </w:pPr>
            <w:r w:rsidRPr="006114D2">
              <w:rPr>
                <w:noProof/>
                <w:sz w:val="22"/>
                <w:szCs w:val="22"/>
                <w:u w:val="single"/>
                <w:lang w:val="sr-Latn-CS"/>
              </w:rPr>
              <w:t xml:space="preserve">Jezgro tablete: </w:t>
            </w:r>
          </w:p>
          <w:p w:rsidR="000A2337" w:rsidRDefault="000A2337" w:rsidP="00161AB3">
            <w:pPr>
              <w:pStyle w:val="Text"/>
              <w:spacing w:before="0" w:after="0" w:line="240" w:lineRule="auto"/>
              <w:ind w:right="357"/>
              <w:rPr>
                <w:noProof/>
                <w:sz w:val="22"/>
                <w:szCs w:val="22"/>
                <w:lang w:val="sr-Latn-CS"/>
              </w:rPr>
            </w:pPr>
            <w:r>
              <w:rPr>
                <w:noProof/>
                <w:sz w:val="22"/>
                <w:szCs w:val="22"/>
                <w:lang w:val="sr-Latn-CS"/>
              </w:rPr>
              <w:t xml:space="preserve">Kalcijum hidrogen fosfat, bezvodni </w:t>
            </w:r>
          </w:p>
          <w:p w:rsidR="000A2337" w:rsidRDefault="000A2337" w:rsidP="00161AB3">
            <w:pPr>
              <w:pStyle w:val="Text"/>
              <w:spacing w:before="0" w:after="0" w:line="240" w:lineRule="auto"/>
              <w:ind w:right="357"/>
              <w:rPr>
                <w:noProof/>
                <w:sz w:val="22"/>
                <w:szCs w:val="22"/>
                <w:lang w:val="sr-Latn-CS"/>
              </w:rPr>
            </w:pPr>
            <w:r>
              <w:rPr>
                <w:noProof/>
                <w:sz w:val="22"/>
                <w:szCs w:val="22"/>
                <w:lang w:val="sr-Latn-CS"/>
              </w:rPr>
              <w:t>Krospovidon tip A</w:t>
            </w:r>
            <w:r w:rsidRPr="00061F8C">
              <w:rPr>
                <w:noProof/>
                <w:sz w:val="22"/>
                <w:szCs w:val="22"/>
                <w:lang w:val="sr-Latn-CS"/>
              </w:rPr>
              <w:t xml:space="preserve"> </w:t>
            </w:r>
          </w:p>
          <w:p w:rsidR="000A2337" w:rsidRDefault="000A2337" w:rsidP="00161AB3">
            <w:pPr>
              <w:pStyle w:val="Text"/>
              <w:spacing w:before="0" w:after="0" w:line="240" w:lineRule="auto"/>
              <w:ind w:right="357"/>
              <w:rPr>
                <w:noProof/>
                <w:sz w:val="22"/>
                <w:szCs w:val="22"/>
                <w:lang w:val="sr-Latn-CS"/>
              </w:rPr>
            </w:pPr>
            <w:r>
              <w:rPr>
                <w:noProof/>
                <w:sz w:val="22"/>
                <w:szCs w:val="22"/>
                <w:lang w:val="sr-Latn-CS"/>
              </w:rPr>
              <w:t>magnezijum stearat.</w:t>
            </w:r>
          </w:p>
          <w:p w:rsidR="000A2337" w:rsidRDefault="000A2337" w:rsidP="00161AB3">
            <w:pPr>
              <w:pStyle w:val="Text"/>
              <w:spacing w:before="0" w:after="0" w:line="240" w:lineRule="auto"/>
              <w:rPr>
                <w:noProof/>
                <w:sz w:val="22"/>
                <w:szCs w:val="22"/>
                <w:lang w:val="sr-Latn-CS"/>
              </w:rPr>
            </w:pPr>
          </w:p>
          <w:p w:rsidR="000A2337" w:rsidRPr="006114D2" w:rsidRDefault="000A2337" w:rsidP="00161AB3">
            <w:pPr>
              <w:pStyle w:val="Text"/>
              <w:spacing w:before="0" w:after="0" w:line="240" w:lineRule="auto"/>
              <w:rPr>
                <w:noProof/>
                <w:sz w:val="22"/>
                <w:szCs w:val="22"/>
                <w:u w:val="single"/>
                <w:lang w:val="sr-Latn-CS"/>
              </w:rPr>
            </w:pPr>
            <w:r w:rsidRPr="006114D2">
              <w:rPr>
                <w:noProof/>
                <w:sz w:val="22"/>
                <w:szCs w:val="22"/>
                <w:u w:val="single"/>
                <w:lang w:val="sr-Latn-CS"/>
              </w:rPr>
              <w:t>Film obloga:</w:t>
            </w:r>
          </w:p>
          <w:p w:rsidR="000A2337" w:rsidRPr="000C528F" w:rsidRDefault="000A2337" w:rsidP="00161AB3">
            <w:pPr>
              <w:pStyle w:val="Text"/>
              <w:spacing w:before="0" w:after="0" w:line="240" w:lineRule="auto"/>
              <w:rPr>
                <w:noProof/>
                <w:sz w:val="22"/>
                <w:szCs w:val="22"/>
                <w:lang w:val="sr-Latn-CS"/>
              </w:rPr>
            </w:pPr>
            <w:r w:rsidRPr="000C528F">
              <w:rPr>
                <w:noProof/>
                <w:sz w:val="22"/>
                <w:szCs w:val="22"/>
                <w:lang w:val="sr-Latn-CS"/>
              </w:rPr>
              <w:t>Opadry II butterscotch</w:t>
            </w:r>
            <w:r>
              <w:rPr>
                <w:noProof/>
                <w:sz w:val="22"/>
                <w:szCs w:val="22"/>
                <w:lang w:val="sr-Latn-CS"/>
              </w:rPr>
              <w:t xml:space="preserve"> 85F97369 koji se sastoji od:</w:t>
            </w:r>
          </w:p>
          <w:p w:rsidR="000A2337" w:rsidRDefault="000A2337" w:rsidP="00161AB3">
            <w:pPr>
              <w:pStyle w:val="Text"/>
              <w:spacing w:before="0" w:after="0" w:line="240" w:lineRule="auto"/>
              <w:rPr>
                <w:sz w:val="22"/>
                <w:szCs w:val="22"/>
                <w:lang w:val="sr-Latn-CS"/>
              </w:rPr>
            </w:pPr>
            <w:r>
              <w:rPr>
                <w:sz w:val="22"/>
                <w:szCs w:val="22"/>
                <w:lang w:val="sr-Latn-CS"/>
              </w:rPr>
              <w:t>Polivinil alkohola, parcijalno hidrolizovanog</w:t>
            </w:r>
          </w:p>
          <w:p w:rsidR="000A2337" w:rsidRDefault="000A2337" w:rsidP="00161AB3">
            <w:pPr>
              <w:pStyle w:val="Text"/>
              <w:spacing w:before="0" w:after="0" w:line="240" w:lineRule="auto"/>
              <w:rPr>
                <w:sz w:val="22"/>
                <w:szCs w:val="22"/>
                <w:lang w:val="sr-Latn-CS"/>
              </w:rPr>
            </w:pPr>
            <w:r>
              <w:rPr>
                <w:sz w:val="22"/>
                <w:szCs w:val="22"/>
                <w:lang w:val="sr-Latn-CS"/>
              </w:rPr>
              <w:t>titan dioksida (E171)</w:t>
            </w:r>
          </w:p>
          <w:p w:rsidR="000A2337" w:rsidRDefault="000A2337" w:rsidP="00161AB3">
            <w:pPr>
              <w:pStyle w:val="Text"/>
              <w:spacing w:before="0" w:after="0" w:line="240" w:lineRule="auto"/>
              <w:rPr>
                <w:sz w:val="22"/>
                <w:szCs w:val="22"/>
                <w:lang w:val="sr-Latn-CS"/>
              </w:rPr>
            </w:pPr>
            <w:r>
              <w:rPr>
                <w:sz w:val="22"/>
                <w:szCs w:val="22"/>
                <w:lang w:val="sr-Latn-CS"/>
              </w:rPr>
              <w:t>makrogola 3350</w:t>
            </w:r>
          </w:p>
          <w:p w:rsidR="000A2337" w:rsidRDefault="000A2337" w:rsidP="00161AB3">
            <w:pPr>
              <w:pStyle w:val="Text"/>
              <w:spacing w:before="0" w:after="0" w:line="240" w:lineRule="auto"/>
              <w:rPr>
                <w:sz w:val="22"/>
                <w:szCs w:val="22"/>
                <w:lang w:val="sr-Latn-CS"/>
              </w:rPr>
            </w:pPr>
            <w:r>
              <w:rPr>
                <w:sz w:val="22"/>
                <w:szCs w:val="22"/>
                <w:lang w:val="sr-Latn-CS"/>
              </w:rPr>
              <w:t>talka</w:t>
            </w:r>
          </w:p>
          <w:p w:rsidR="000A2337" w:rsidRDefault="000A2337" w:rsidP="00161AB3">
            <w:pPr>
              <w:pStyle w:val="Text"/>
              <w:spacing w:before="0" w:after="0" w:line="240" w:lineRule="auto"/>
              <w:rPr>
                <w:sz w:val="22"/>
                <w:szCs w:val="22"/>
                <w:lang w:val="sr-Latn-CS"/>
              </w:rPr>
            </w:pPr>
            <w:r>
              <w:rPr>
                <w:sz w:val="22"/>
                <w:szCs w:val="22"/>
                <w:lang w:val="sr-Latn-CS"/>
              </w:rPr>
              <w:t xml:space="preserve">gvožđe (III) oksid, crvenog (E172) </w:t>
            </w:r>
          </w:p>
          <w:p w:rsidR="000A2337" w:rsidRDefault="000A2337" w:rsidP="00161AB3">
            <w:pPr>
              <w:pStyle w:val="Text"/>
              <w:spacing w:before="0" w:after="0" w:line="240" w:lineRule="auto"/>
              <w:rPr>
                <w:sz w:val="22"/>
                <w:szCs w:val="22"/>
                <w:lang w:val="sr-Latn-CS"/>
              </w:rPr>
            </w:pPr>
            <w:r>
              <w:rPr>
                <w:sz w:val="22"/>
                <w:szCs w:val="22"/>
                <w:lang w:val="sr-Latn-CS"/>
              </w:rPr>
              <w:t>gvožđe (III) oksid, žutog (E172)</w:t>
            </w:r>
          </w:p>
          <w:p w:rsidR="00152B23" w:rsidRPr="000C4146" w:rsidRDefault="00152B23" w:rsidP="00152B23">
            <w:pPr>
              <w:pStyle w:val="Text"/>
              <w:spacing w:before="0" w:after="0" w:line="240" w:lineRule="auto"/>
              <w:ind w:left="0" w:firstLine="0"/>
              <w:rPr>
                <w:sz w:val="22"/>
                <w:szCs w:val="22"/>
                <w:lang w:val="sr-Latn-CS"/>
              </w:rPr>
            </w:pPr>
          </w:p>
        </w:tc>
      </w:tr>
      <w:tr w:rsidR="000A2337" w:rsidRPr="00BC25E3" w:rsidTr="00161AB3">
        <w:tc>
          <w:tcPr>
            <w:tcW w:w="10188" w:type="dxa"/>
            <w:gridSpan w:val="4"/>
            <w:vAlign w:val="center"/>
          </w:tcPr>
          <w:p w:rsidR="000A2337" w:rsidRPr="00BC25E3" w:rsidRDefault="000A2337" w:rsidP="00152B23">
            <w:pPr>
              <w:pStyle w:val="Header"/>
              <w:tabs>
                <w:tab w:val="left" w:pos="284"/>
              </w:tabs>
              <w:rPr>
                <w:rFonts w:cs="Arial"/>
                <w:b/>
                <w:bCs/>
                <w:sz w:val="22"/>
                <w:lang w:val="sr-Latn-CS"/>
              </w:rPr>
            </w:pPr>
            <w:r w:rsidRPr="00BC25E3">
              <w:rPr>
                <w:rFonts w:cs="Arial"/>
                <w:b/>
                <w:bCs/>
                <w:sz w:val="22"/>
                <w:lang w:val="sr-Latn-CS"/>
              </w:rPr>
              <w:t>6.2. Inkompatibilnost</w:t>
            </w:r>
            <w:r>
              <w:rPr>
                <w:rFonts w:cs="Arial"/>
                <w:b/>
                <w:bCs/>
                <w:sz w:val="22"/>
                <w:lang w:val="sr-Latn-CS"/>
              </w:rPr>
              <w:t>i</w:t>
            </w:r>
          </w:p>
        </w:tc>
      </w:tr>
      <w:tr w:rsidR="000A2337" w:rsidRPr="00BC25E3" w:rsidTr="00152B23">
        <w:trPr>
          <w:trHeight w:val="499"/>
        </w:trPr>
        <w:tc>
          <w:tcPr>
            <w:tcW w:w="10188" w:type="dxa"/>
            <w:gridSpan w:val="4"/>
          </w:tcPr>
          <w:p w:rsidR="00152B23" w:rsidRDefault="00152B23" w:rsidP="00152B23">
            <w:pPr>
              <w:pStyle w:val="Header"/>
              <w:tabs>
                <w:tab w:val="left" w:pos="284"/>
              </w:tabs>
              <w:rPr>
                <w:rFonts w:cs="Arial"/>
                <w:sz w:val="22"/>
                <w:lang w:val="sr-Latn-CS"/>
              </w:rPr>
            </w:pPr>
          </w:p>
          <w:p w:rsidR="000A2337" w:rsidRDefault="000A2337" w:rsidP="00152B23">
            <w:pPr>
              <w:pStyle w:val="Header"/>
              <w:tabs>
                <w:tab w:val="left" w:pos="284"/>
              </w:tabs>
              <w:rPr>
                <w:rFonts w:cs="Arial"/>
                <w:sz w:val="22"/>
                <w:lang w:val="sr-Latn-CS"/>
              </w:rPr>
            </w:pPr>
            <w:r w:rsidRPr="00BC25E3">
              <w:rPr>
                <w:rFonts w:cs="Arial"/>
                <w:sz w:val="22"/>
                <w:lang w:val="sr-Latn-CS"/>
              </w:rPr>
              <w:t>Ni</w:t>
            </w:r>
            <w:r>
              <w:rPr>
                <w:rFonts w:cs="Arial"/>
                <w:sz w:val="22"/>
                <w:lang w:val="sr-Latn-CS"/>
              </w:rPr>
              <w:t>su</w:t>
            </w:r>
            <w:r w:rsidRPr="00BC25E3">
              <w:rPr>
                <w:rFonts w:cs="Arial"/>
                <w:sz w:val="22"/>
                <w:lang w:val="sr-Latn-CS"/>
              </w:rPr>
              <w:t xml:space="preserve"> poznat</w:t>
            </w:r>
            <w:r>
              <w:rPr>
                <w:rFonts w:cs="Arial"/>
                <w:sz w:val="22"/>
                <w:lang w:val="sr-Latn-CS"/>
              </w:rPr>
              <w:t>e</w:t>
            </w:r>
            <w:r w:rsidRPr="00BC25E3">
              <w:rPr>
                <w:rFonts w:cs="Arial"/>
                <w:sz w:val="22"/>
                <w:lang w:val="sr-Latn-CS"/>
              </w:rPr>
              <w:t>.</w:t>
            </w:r>
          </w:p>
          <w:p w:rsidR="00A71FF3" w:rsidRPr="00BC25E3" w:rsidRDefault="00A71FF3" w:rsidP="00152B23">
            <w:pPr>
              <w:pStyle w:val="Header"/>
              <w:tabs>
                <w:tab w:val="left" w:pos="284"/>
              </w:tabs>
              <w:rPr>
                <w:rFonts w:cs="Arial"/>
                <w:sz w:val="22"/>
                <w:lang w:val="sr-Latn-CS"/>
              </w:rPr>
            </w:pPr>
          </w:p>
        </w:tc>
      </w:tr>
      <w:tr w:rsidR="000A2337" w:rsidRPr="00BC25E3" w:rsidTr="00161AB3">
        <w:tc>
          <w:tcPr>
            <w:tcW w:w="10188" w:type="dxa"/>
            <w:gridSpan w:val="4"/>
            <w:vAlign w:val="center"/>
          </w:tcPr>
          <w:p w:rsidR="000A2337" w:rsidRPr="00BC25E3" w:rsidRDefault="000A2337" w:rsidP="00152B23">
            <w:pPr>
              <w:pStyle w:val="Header"/>
              <w:tabs>
                <w:tab w:val="left" w:pos="284"/>
              </w:tabs>
              <w:rPr>
                <w:rFonts w:cs="Arial"/>
                <w:b/>
                <w:bCs/>
                <w:sz w:val="22"/>
                <w:lang w:val="sr-Latn-CS"/>
              </w:rPr>
            </w:pPr>
            <w:r w:rsidRPr="00BC25E3">
              <w:rPr>
                <w:rFonts w:cs="Arial"/>
                <w:b/>
                <w:bCs/>
                <w:sz w:val="22"/>
                <w:lang w:val="sr-Latn-CS"/>
              </w:rPr>
              <w:t>6.3. Rok upotrebe</w:t>
            </w:r>
          </w:p>
        </w:tc>
      </w:tr>
      <w:tr w:rsidR="000A2337" w:rsidRPr="00BC25E3" w:rsidTr="00152B23">
        <w:trPr>
          <w:trHeight w:val="530"/>
        </w:trPr>
        <w:tc>
          <w:tcPr>
            <w:tcW w:w="10188" w:type="dxa"/>
            <w:gridSpan w:val="4"/>
          </w:tcPr>
          <w:p w:rsidR="00152B23" w:rsidRDefault="00152B23" w:rsidP="00152B23">
            <w:pPr>
              <w:pStyle w:val="Header"/>
              <w:tabs>
                <w:tab w:val="left" w:pos="284"/>
              </w:tabs>
              <w:rPr>
                <w:rFonts w:cs="Arial"/>
                <w:sz w:val="22"/>
                <w:lang w:val="sr-Latn-CS"/>
              </w:rPr>
            </w:pPr>
          </w:p>
          <w:p w:rsidR="000A2337" w:rsidRPr="00BC25E3" w:rsidRDefault="000A2337" w:rsidP="00152B23">
            <w:pPr>
              <w:pStyle w:val="Header"/>
              <w:tabs>
                <w:tab w:val="left" w:pos="284"/>
              </w:tabs>
              <w:rPr>
                <w:rFonts w:cs="Arial"/>
                <w:sz w:val="22"/>
                <w:lang w:val="sr-Latn-CS"/>
              </w:rPr>
            </w:pPr>
            <w:r>
              <w:rPr>
                <w:rFonts w:cs="Arial"/>
                <w:sz w:val="22"/>
                <w:lang w:val="sr-Latn-CS"/>
              </w:rPr>
              <w:t>2</w:t>
            </w:r>
            <w:r w:rsidRPr="00BC25E3">
              <w:rPr>
                <w:rFonts w:cs="Arial"/>
                <w:sz w:val="22"/>
                <w:lang w:val="sr-Latn-CS"/>
              </w:rPr>
              <w:t xml:space="preserve"> godine.</w:t>
            </w:r>
          </w:p>
        </w:tc>
      </w:tr>
      <w:tr w:rsidR="000A2337" w:rsidRPr="003A00BF" w:rsidTr="00161AB3">
        <w:tc>
          <w:tcPr>
            <w:tcW w:w="10188" w:type="dxa"/>
            <w:gridSpan w:val="4"/>
            <w:vAlign w:val="center"/>
          </w:tcPr>
          <w:p w:rsidR="00152B23" w:rsidRDefault="00152B23" w:rsidP="00152B23">
            <w:pPr>
              <w:pStyle w:val="Header"/>
              <w:tabs>
                <w:tab w:val="left" w:pos="284"/>
              </w:tabs>
              <w:rPr>
                <w:rFonts w:cs="Arial"/>
                <w:b/>
                <w:bCs/>
                <w:sz w:val="22"/>
                <w:lang w:val="pt-BR"/>
              </w:rPr>
            </w:pPr>
          </w:p>
          <w:p w:rsidR="000A2337" w:rsidRPr="003A00BF" w:rsidRDefault="000A2337" w:rsidP="00152B23">
            <w:pPr>
              <w:pStyle w:val="Header"/>
              <w:tabs>
                <w:tab w:val="left" w:pos="284"/>
              </w:tabs>
              <w:rPr>
                <w:rFonts w:cs="Arial"/>
                <w:b/>
                <w:bCs/>
                <w:sz w:val="22"/>
                <w:lang w:val="pt-BR"/>
              </w:rPr>
            </w:pPr>
            <w:r w:rsidRPr="003A00BF">
              <w:rPr>
                <w:rFonts w:cs="Arial"/>
                <w:b/>
                <w:bCs/>
                <w:sz w:val="22"/>
                <w:lang w:val="pt-BR"/>
              </w:rPr>
              <w:t xml:space="preserve">6.4. Posebne </w:t>
            </w:r>
            <w:r>
              <w:rPr>
                <w:rFonts w:cs="Arial"/>
                <w:b/>
                <w:bCs/>
                <w:sz w:val="22"/>
                <w:lang w:val="pt-BR"/>
              </w:rPr>
              <w:t>mjer</w:t>
            </w:r>
            <w:r w:rsidRPr="003A00BF">
              <w:rPr>
                <w:rFonts w:cs="Arial"/>
                <w:b/>
                <w:bCs/>
                <w:sz w:val="22"/>
                <w:lang w:val="pt-BR"/>
              </w:rPr>
              <w:t>e upozorenja pri čuvanju</w:t>
            </w:r>
            <w:r>
              <w:rPr>
                <w:rFonts w:cs="Arial"/>
                <w:b/>
                <w:bCs/>
                <w:sz w:val="22"/>
                <w:lang w:val="pt-BR"/>
              </w:rPr>
              <w:t xml:space="preserve"> lijeka</w:t>
            </w:r>
          </w:p>
        </w:tc>
      </w:tr>
      <w:tr w:rsidR="000A2337" w:rsidRPr="003A00BF" w:rsidTr="00152B23">
        <w:trPr>
          <w:trHeight w:val="630"/>
        </w:trPr>
        <w:tc>
          <w:tcPr>
            <w:tcW w:w="10188" w:type="dxa"/>
            <w:gridSpan w:val="4"/>
          </w:tcPr>
          <w:p w:rsidR="00152B23" w:rsidRDefault="00152B23" w:rsidP="00152B23">
            <w:pPr>
              <w:pStyle w:val="Header"/>
              <w:tabs>
                <w:tab w:val="left" w:pos="284"/>
              </w:tabs>
              <w:rPr>
                <w:rFonts w:cs="Arial"/>
                <w:sz w:val="22"/>
                <w:lang w:val="da-DK"/>
              </w:rPr>
            </w:pPr>
          </w:p>
          <w:p w:rsidR="000A2337" w:rsidRDefault="000A2337" w:rsidP="00152B23">
            <w:pPr>
              <w:pStyle w:val="Header"/>
              <w:tabs>
                <w:tab w:val="left" w:pos="284"/>
              </w:tabs>
              <w:rPr>
                <w:rFonts w:cs="Arial"/>
                <w:sz w:val="22"/>
                <w:lang w:val="da-DK"/>
              </w:rPr>
            </w:pPr>
            <w:r>
              <w:rPr>
                <w:rFonts w:cs="Arial"/>
                <w:sz w:val="22"/>
                <w:lang w:val="da-DK"/>
              </w:rPr>
              <w:t>Lijek ne zahtijeva posebne uslove čuvanja.</w:t>
            </w:r>
          </w:p>
          <w:p w:rsidR="000A2337" w:rsidRPr="003A00BF" w:rsidRDefault="000A2337" w:rsidP="00152B23">
            <w:pPr>
              <w:pStyle w:val="Header"/>
              <w:tabs>
                <w:tab w:val="left" w:pos="284"/>
              </w:tabs>
              <w:rPr>
                <w:rFonts w:cs="Arial"/>
                <w:sz w:val="22"/>
                <w:lang w:val="pt-BR"/>
              </w:rPr>
            </w:pPr>
          </w:p>
        </w:tc>
      </w:tr>
      <w:tr w:rsidR="000A2337" w:rsidRPr="003A00BF" w:rsidTr="00161AB3">
        <w:tc>
          <w:tcPr>
            <w:tcW w:w="10188" w:type="dxa"/>
            <w:gridSpan w:val="4"/>
            <w:vAlign w:val="center"/>
          </w:tcPr>
          <w:p w:rsidR="000A2337" w:rsidRDefault="000A2337" w:rsidP="00152B23">
            <w:pPr>
              <w:pStyle w:val="Header"/>
              <w:tabs>
                <w:tab w:val="left" w:pos="284"/>
              </w:tabs>
              <w:rPr>
                <w:rFonts w:cs="Arial"/>
                <w:b/>
                <w:bCs/>
                <w:sz w:val="22"/>
                <w:lang w:val="pt-BR"/>
              </w:rPr>
            </w:pPr>
            <w:r>
              <w:rPr>
                <w:rFonts w:cs="Arial"/>
                <w:b/>
                <w:bCs/>
                <w:sz w:val="22"/>
                <w:lang w:val="pt-BR"/>
              </w:rPr>
              <w:t>6.5. Vrst</w:t>
            </w:r>
            <w:r w:rsidRPr="003A00BF">
              <w:rPr>
                <w:rFonts w:cs="Arial"/>
                <w:b/>
                <w:bCs/>
                <w:sz w:val="22"/>
                <w:lang w:val="pt-BR"/>
              </w:rPr>
              <w:t xml:space="preserve">a i sadržaj </w:t>
            </w:r>
            <w:r>
              <w:rPr>
                <w:rFonts w:cs="Arial"/>
                <w:b/>
                <w:bCs/>
                <w:sz w:val="22"/>
                <w:lang w:val="pt-BR"/>
              </w:rPr>
              <w:t>pakovanja</w:t>
            </w:r>
          </w:p>
          <w:p w:rsidR="00152B23" w:rsidRPr="003A00BF" w:rsidRDefault="00152B23" w:rsidP="00152B23">
            <w:pPr>
              <w:pStyle w:val="Header"/>
              <w:tabs>
                <w:tab w:val="left" w:pos="284"/>
              </w:tabs>
              <w:rPr>
                <w:rFonts w:cs="Arial"/>
                <w:b/>
                <w:bCs/>
                <w:sz w:val="22"/>
                <w:lang w:val="pt-BR"/>
              </w:rPr>
            </w:pPr>
          </w:p>
        </w:tc>
      </w:tr>
      <w:tr w:rsidR="000A2337" w:rsidRPr="00EE1855" w:rsidTr="00161AB3">
        <w:trPr>
          <w:trHeight w:val="1145"/>
        </w:trPr>
        <w:tc>
          <w:tcPr>
            <w:tcW w:w="10188" w:type="dxa"/>
            <w:gridSpan w:val="4"/>
            <w:vAlign w:val="center"/>
          </w:tcPr>
          <w:p w:rsidR="000A2337" w:rsidRDefault="000A2337" w:rsidP="00161AB3">
            <w:pPr>
              <w:pStyle w:val="Text"/>
              <w:spacing w:before="0" w:after="0" w:line="240" w:lineRule="auto"/>
              <w:ind w:right="357"/>
              <w:rPr>
                <w:sz w:val="22"/>
                <w:szCs w:val="22"/>
                <w:lang w:val="hr-HR"/>
              </w:rPr>
            </w:pPr>
            <w:r w:rsidRPr="009F1F60">
              <w:rPr>
                <w:sz w:val="22"/>
                <w:szCs w:val="22"/>
                <w:lang w:val="hr-HR"/>
              </w:rPr>
              <w:t>PVC/PE/PVdC/PE/PVC//Al blisteri ili OPA/Al/PVC//Al blisteri.</w:t>
            </w:r>
          </w:p>
          <w:p w:rsidR="000A2337" w:rsidRDefault="000A2337" w:rsidP="00736177">
            <w:pPr>
              <w:pStyle w:val="Text"/>
              <w:spacing w:before="0" w:after="0" w:line="240" w:lineRule="auto"/>
              <w:ind w:left="0" w:right="357" w:firstLine="0"/>
              <w:rPr>
                <w:noProof/>
                <w:sz w:val="22"/>
                <w:szCs w:val="22"/>
                <w:lang w:val="sr-Latn-CS"/>
              </w:rPr>
            </w:pPr>
          </w:p>
          <w:p w:rsidR="000A2337" w:rsidRDefault="000A2337" w:rsidP="00161AB3">
            <w:pPr>
              <w:pStyle w:val="Text"/>
              <w:spacing w:before="0" w:after="0" w:line="240" w:lineRule="auto"/>
              <w:ind w:right="357"/>
              <w:rPr>
                <w:noProof/>
                <w:sz w:val="22"/>
                <w:szCs w:val="22"/>
                <w:lang w:val="sr-Latn-CS"/>
              </w:rPr>
            </w:pPr>
            <w:r>
              <w:rPr>
                <w:noProof/>
                <w:sz w:val="22"/>
                <w:szCs w:val="22"/>
                <w:lang w:val="sr-Latn-CS"/>
              </w:rPr>
              <w:t>Imatinib Teva,</w:t>
            </w:r>
            <w:r w:rsidRPr="0090077F">
              <w:rPr>
                <w:noProof/>
                <w:sz w:val="22"/>
                <w:szCs w:val="22"/>
                <w:lang w:val="sr-Latn-CS"/>
              </w:rPr>
              <w:t xml:space="preserve"> </w:t>
            </w:r>
            <w:r>
              <w:rPr>
                <w:noProof/>
                <w:sz w:val="22"/>
                <w:szCs w:val="22"/>
                <w:lang w:val="sr-Latn-CS"/>
              </w:rPr>
              <w:t xml:space="preserve">100 mg, </w:t>
            </w:r>
            <w:r w:rsidRPr="0090077F">
              <w:rPr>
                <w:noProof/>
                <w:sz w:val="22"/>
                <w:szCs w:val="22"/>
                <w:lang w:val="sr-Latn-CS"/>
              </w:rPr>
              <w:t>film tablete</w:t>
            </w:r>
          </w:p>
          <w:p w:rsidR="000A2337" w:rsidRDefault="000A2337" w:rsidP="00152B23">
            <w:pPr>
              <w:pStyle w:val="Text"/>
              <w:spacing w:before="0" w:after="0" w:line="240" w:lineRule="auto"/>
              <w:ind w:right="357"/>
              <w:rPr>
                <w:rFonts w:cs="Arial"/>
                <w:sz w:val="22"/>
                <w:lang w:val="sr-Latn-CS"/>
              </w:rPr>
            </w:pPr>
            <w:r>
              <w:rPr>
                <w:noProof/>
                <w:sz w:val="22"/>
                <w:szCs w:val="22"/>
                <w:lang w:val="sr-Latn-CS"/>
              </w:rPr>
              <w:t>Pakovanje: ukupno 120 film tableta, blister, 12 x 10 film tableta</w:t>
            </w:r>
            <w:r w:rsidRPr="00B35DFC">
              <w:rPr>
                <w:rFonts w:cs="Arial"/>
                <w:sz w:val="22"/>
                <w:lang w:val="sr-Latn-CS"/>
              </w:rPr>
              <w:t xml:space="preserve"> </w:t>
            </w:r>
          </w:p>
          <w:p w:rsidR="00152B23" w:rsidRPr="00B35DFC" w:rsidRDefault="00152B23" w:rsidP="00152B23">
            <w:pPr>
              <w:pStyle w:val="Text"/>
              <w:spacing w:before="0" w:after="0" w:line="240" w:lineRule="auto"/>
              <w:ind w:right="357"/>
              <w:rPr>
                <w:rFonts w:cs="Arial"/>
                <w:sz w:val="22"/>
                <w:lang w:val="sr-Latn-CS"/>
              </w:rPr>
            </w:pPr>
          </w:p>
        </w:tc>
      </w:tr>
      <w:tr w:rsidR="000A2337" w:rsidRPr="00FF5133" w:rsidTr="00161AB3">
        <w:tc>
          <w:tcPr>
            <w:tcW w:w="10188" w:type="dxa"/>
            <w:gridSpan w:val="4"/>
            <w:vAlign w:val="center"/>
          </w:tcPr>
          <w:p w:rsidR="00A71FF3" w:rsidRDefault="000A2337" w:rsidP="00152B23">
            <w:pPr>
              <w:pStyle w:val="Header"/>
              <w:tabs>
                <w:tab w:val="left" w:pos="284"/>
              </w:tabs>
              <w:rPr>
                <w:rFonts w:cs="Arial"/>
                <w:b/>
                <w:bCs/>
                <w:sz w:val="22"/>
                <w:lang w:val="pt-BR"/>
              </w:rPr>
            </w:pPr>
            <w:r w:rsidRPr="00FF5133">
              <w:rPr>
                <w:rFonts w:cs="Arial"/>
                <w:b/>
                <w:bCs/>
                <w:sz w:val="22"/>
                <w:lang w:val="pt-BR"/>
              </w:rPr>
              <w:t xml:space="preserve">6.6. Posebne </w:t>
            </w:r>
            <w:r>
              <w:rPr>
                <w:rFonts w:cs="Arial"/>
                <w:b/>
                <w:bCs/>
                <w:sz w:val="22"/>
                <w:lang w:val="pt-BR"/>
              </w:rPr>
              <w:t>mjer</w:t>
            </w:r>
            <w:r w:rsidRPr="00FF5133">
              <w:rPr>
                <w:rFonts w:cs="Arial"/>
                <w:b/>
                <w:bCs/>
                <w:sz w:val="22"/>
                <w:lang w:val="pt-BR"/>
              </w:rPr>
              <w:t xml:space="preserve">e opreza pri odlaganju materijala koji treba odbaciti nakon </w:t>
            </w:r>
            <w:r>
              <w:rPr>
                <w:rFonts w:cs="Arial"/>
                <w:b/>
                <w:bCs/>
                <w:sz w:val="22"/>
                <w:lang w:val="pt-BR"/>
              </w:rPr>
              <w:t>primjen</w:t>
            </w:r>
            <w:r w:rsidRPr="00FF5133">
              <w:rPr>
                <w:rFonts w:cs="Arial"/>
                <w:b/>
                <w:bCs/>
                <w:sz w:val="22"/>
                <w:lang w:val="pt-BR"/>
              </w:rPr>
              <w:t xml:space="preserve">e </w:t>
            </w:r>
            <w:r>
              <w:rPr>
                <w:rFonts w:cs="Arial"/>
                <w:b/>
                <w:bCs/>
                <w:sz w:val="22"/>
                <w:lang w:val="pt-BR"/>
              </w:rPr>
              <w:t>lijek</w:t>
            </w:r>
            <w:r w:rsidRPr="00FF5133">
              <w:rPr>
                <w:rFonts w:cs="Arial"/>
                <w:b/>
                <w:bCs/>
                <w:sz w:val="22"/>
                <w:lang w:val="pt-BR"/>
              </w:rPr>
              <w:t>a</w:t>
            </w:r>
          </w:p>
          <w:p w:rsidR="00A71FF3" w:rsidRDefault="00A71FF3" w:rsidP="00152B23">
            <w:pPr>
              <w:pStyle w:val="Header"/>
              <w:tabs>
                <w:tab w:val="left" w:pos="284"/>
              </w:tabs>
              <w:rPr>
                <w:rFonts w:cs="Arial"/>
                <w:b/>
                <w:bCs/>
                <w:sz w:val="22"/>
                <w:lang w:val="pt-BR"/>
              </w:rPr>
            </w:pPr>
          </w:p>
          <w:p w:rsidR="00A71FF3" w:rsidRDefault="00A71FF3" w:rsidP="00A71FF3">
            <w:pPr>
              <w:pStyle w:val="Header"/>
              <w:tabs>
                <w:tab w:val="left" w:pos="284"/>
              </w:tabs>
              <w:rPr>
                <w:rFonts w:cs="Arial"/>
                <w:sz w:val="22"/>
                <w:lang w:val="pt-BR"/>
              </w:rPr>
            </w:pPr>
            <w:r w:rsidRPr="006C6173">
              <w:rPr>
                <w:rFonts w:cs="Arial"/>
                <w:sz w:val="22"/>
                <w:lang w:val="pt-BR"/>
              </w:rPr>
              <w:t xml:space="preserve">Neupotrebljeni </w:t>
            </w:r>
            <w:r>
              <w:rPr>
                <w:rFonts w:cs="Arial"/>
                <w:sz w:val="22"/>
                <w:lang w:val="pt-BR"/>
              </w:rPr>
              <w:t>lijek</w:t>
            </w:r>
            <w:r w:rsidRPr="006C6173">
              <w:rPr>
                <w:rFonts w:cs="Arial"/>
                <w:sz w:val="22"/>
                <w:lang w:val="pt-BR"/>
              </w:rPr>
              <w:t xml:space="preserve"> se uništava u skladu sa važećim propisima.</w:t>
            </w:r>
          </w:p>
          <w:p w:rsidR="000A2337" w:rsidRDefault="000A2337" w:rsidP="00152B23">
            <w:pPr>
              <w:pStyle w:val="Header"/>
              <w:tabs>
                <w:tab w:val="left" w:pos="284"/>
              </w:tabs>
              <w:rPr>
                <w:rFonts w:cs="Arial"/>
                <w:b/>
                <w:bCs/>
                <w:sz w:val="22"/>
                <w:lang w:val="pt-BR"/>
              </w:rPr>
            </w:pPr>
            <w:r w:rsidRPr="00FF5133">
              <w:rPr>
                <w:rFonts w:cs="Arial"/>
                <w:b/>
                <w:bCs/>
                <w:sz w:val="22"/>
                <w:lang w:val="pt-BR"/>
              </w:rPr>
              <w:t xml:space="preserve"> </w:t>
            </w:r>
          </w:p>
          <w:p w:rsidR="00152B23" w:rsidRPr="00FF5133" w:rsidRDefault="00152B23" w:rsidP="00161AB3">
            <w:pPr>
              <w:pStyle w:val="Header"/>
              <w:tabs>
                <w:tab w:val="left" w:pos="284"/>
              </w:tabs>
              <w:spacing w:before="80"/>
              <w:rPr>
                <w:rFonts w:cs="Arial"/>
                <w:b/>
                <w:bCs/>
                <w:sz w:val="22"/>
                <w:lang w:val="pt-BR"/>
              </w:rPr>
            </w:pPr>
          </w:p>
        </w:tc>
      </w:tr>
      <w:tr w:rsidR="000A2337" w:rsidRPr="00FF5133" w:rsidTr="00161AB3">
        <w:trPr>
          <w:trHeight w:val="1145"/>
        </w:trPr>
        <w:tc>
          <w:tcPr>
            <w:tcW w:w="10188" w:type="dxa"/>
            <w:gridSpan w:val="4"/>
            <w:vAlign w:val="center"/>
          </w:tcPr>
          <w:p w:rsidR="000A2337" w:rsidRDefault="000A2337" w:rsidP="00161AB3">
            <w:pPr>
              <w:pStyle w:val="Header"/>
              <w:tabs>
                <w:tab w:val="left" w:pos="284"/>
              </w:tabs>
              <w:rPr>
                <w:rFonts w:cs="Arial"/>
                <w:b/>
                <w:bCs/>
                <w:sz w:val="22"/>
                <w:lang w:val="pt-BR"/>
              </w:rPr>
            </w:pPr>
            <w:r w:rsidRPr="004A7BE6">
              <w:rPr>
                <w:rFonts w:cs="Arial"/>
                <w:b/>
                <w:bCs/>
                <w:sz w:val="22"/>
                <w:lang w:val="pt-BR"/>
              </w:rPr>
              <w:lastRenderedPageBreak/>
              <w:t>6.7. Režim izdavanja lijeka</w:t>
            </w:r>
          </w:p>
          <w:p w:rsidR="000A2337" w:rsidRDefault="000A2337" w:rsidP="00161AB3">
            <w:pPr>
              <w:pStyle w:val="Header"/>
              <w:tabs>
                <w:tab w:val="left" w:pos="284"/>
              </w:tabs>
              <w:rPr>
                <w:rFonts w:cs="Arial"/>
                <w:b/>
                <w:bCs/>
                <w:sz w:val="22"/>
                <w:lang w:val="pt-BR"/>
              </w:rPr>
            </w:pPr>
          </w:p>
          <w:p w:rsidR="000A2337" w:rsidRDefault="000A2337" w:rsidP="00161AB3">
            <w:pPr>
              <w:pStyle w:val="Header"/>
              <w:tabs>
                <w:tab w:val="left" w:pos="284"/>
              </w:tabs>
              <w:rPr>
                <w:sz w:val="22"/>
              </w:rPr>
            </w:pPr>
            <w:r>
              <w:rPr>
                <w:sz w:val="22"/>
              </w:rPr>
              <w:t>O</w:t>
            </w:r>
            <w:r w:rsidRPr="00F74CFA">
              <w:rPr>
                <w:sz w:val="22"/>
              </w:rPr>
              <w:t xml:space="preserve">graničen </w:t>
            </w:r>
            <w:r>
              <w:rPr>
                <w:sz w:val="22"/>
              </w:rPr>
              <w:t>r</w:t>
            </w:r>
            <w:r w:rsidRPr="00F74CFA">
              <w:rPr>
                <w:sz w:val="22"/>
              </w:rPr>
              <w:t>ecept</w:t>
            </w:r>
          </w:p>
          <w:p w:rsidR="000A2337" w:rsidRDefault="000A2337" w:rsidP="00161AB3">
            <w:pPr>
              <w:pStyle w:val="Header"/>
              <w:tabs>
                <w:tab w:val="left" w:pos="284"/>
              </w:tabs>
              <w:rPr>
                <w:rFonts w:cs="Arial"/>
                <w:sz w:val="22"/>
                <w:lang w:val="pt-BR"/>
              </w:rPr>
            </w:pPr>
          </w:p>
          <w:p w:rsidR="00736177" w:rsidRPr="00FF5133" w:rsidRDefault="00736177" w:rsidP="00161AB3">
            <w:pPr>
              <w:pStyle w:val="Header"/>
              <w:tabs>
                <w:tab w:val="left" w:pos="284"/>
              </w:tabs>
              <w:rPr>
                <w:rFonts w:cs="Arial"/>
                <w:sz w:val="22"/>
                <w:lang w:val="pt-BR"/>
              </w:rPr>
            </w:pPr>
          </w:p>
        </w:tc>
      </w:tr>
      <w:tr w:rsidR="000A2337" w:rsidRPr="00750E3C" w:rsidTr="007351FF">
        <w:tc>
          <w:tcPr>
            <w:tcW w:w="10188" w:type="dxa"/>
            <w:gridSpan w:val="4"/>
            <w:shd w:val="clear" w:color="auto" w:fill="auto"/>
            <w:vAlign w:val="center"/>
          </w:tcPr>
          <w:p w:rsidR="000A2337" w:rsidRDefault="000A2337" w:rsidP="00161AB3">
            <w:pPr>
              <w:pStyle w:val="Header"/>
              <w:tabs>
                <w:tab w:val="left" w:pos="284"/>
              </w:tabs>
              <w:rPr>
                <w:rFonts w:cs="Arial"/>
                <w:b/>
                <w:bCs/>
                <w:sz w:val="22"/>
              </w:rPr>
            </w:pPr>
            <w:r w:rsidRPr="00750E3C">
              <w:rPr>
                <w:rFonts w:cs="Arial"/>
                <w:b/>
                <w:bCs/>
                <w:sz w:val="22"/>
              </w:rPr>
              <w:t xml:space="preserve">7. NOSILAC DOZVOLE </w:t>
            </w:r>
          </w:p>
          <w:p w:rsidR="00152B23" w:rsidRPr="00750E3C" w:rsidRDefault="00152B23" w:rsidP="00161AB3">
            <w:pPr>
              <w:pStyle w:val="Header"/>
              <w:tabs>
                <w:tab w:val="left" w:pos="284"/>
              </w:tabs>
              <w:rPr>
                <w:rFonts w:cs="Arial"/>
                <w:b/>
                <w:bCs/>
                <w:sz w:val="22"/>
              </w:rPr>
            </w:pPr>
          </w:p>
        </w:tc>
      </w:tr>
      <w:tr w:rsidR="000A2337" w:rsidRPr="003A00BF" w:rsidTr="00152B23">
        <w:trPr>
          <w:trHeight w:val="401"/>
        </w:trPr>
        <w:tc>
          <w:tcPr>
            <w:tcW w:w="10188" w:type="dxa"/>
            <w:gridSpan w:val="4"/>
          </w:tcPr>
          <w:p w:rsidR="00736177" w:rsidRPr="00736177" w:rsidRDefault="00736177" w:rsidP="00736177">
            <w:pPr>
              <w:pStyle w:val="Header"/>
              <w:tabs>
                <w:tab w:val="left" w:pos="284"/>
              </w:tabs>
              <w:rPr>
                <w:rFonts w:cs="Arial"/>
                <w:sz w:val="22"/>
                <w:lang w:val="pt-BR"/>
              </w:rPr>
            </w:pPr>
            <w:r w:rsidRPr="00736177">
              <w:rPr>
                <w:rFonts w:cs="Arial"/>
                <w:sz w:val="22"/>
                <w:lang w:val="pt-BR"/>
              </w:rPr>
              <w:t>Evropa Lek Pharma d.o.o. Podgorica</w:t>
            </w:r>
          </w:p>
          <w:p w:rsidR="00152B23" w:rsidRDefault="00736177" w:rsidP="00736177">
            <w:pPr>
              <w:pStyle w:val="Header"/>
              <w:tabs>
                <w:tab w:val="left" w:pos="284"/>
              </w:tabs>
              <w:rPr>
                <w:rFonts w:cs="Arial"/>
                <w:sz w:val="22"/>
                <w:lang w:val="pt-BR"/>
              </w:rPr>
            </w:pPr>
            <w:r w:rsidRPr="00736177">
              <w:rPr>
                <w:rFonts w:cs="Arial"/>
                <w:sz w:val="22"/>
                <w:lang w:val="pt-BR"/>
              </w:rPr>
              <w:t>Kritskog odreda 4/1, 81000 Podgorica, Crna Gora</w:t>
            </w:r>
          </w:p>
          <w:p w:rsidR="00736177" w:rsidRDefault="00736177" w:rsidP="00736177">
            <w:pPr>
              <w:pStyle w:val="Header"/>
              <w:tabs>
                <w:tab w:val="left" w:pos="284"/>
              </w:tabs>
              <w:rPr>
                <w:rFonts w:cs="Arial"/>
                <w:sz w:val="22"/>
                <w:lang w:val="pt-BR"/>
              </w:rPr>
            </w:pPr>
          </w:p>
          <w:p w:rsidR="00736177" w:rsidRPr="003A00BF" w:rsidRDefault="00736177" w:rsidP="00736177">
            <w:pPr>
              <w:pStyle w:val="Header"/>
              <w:tabs>
                <w:tab w:val="left" w:pos="284"/>
              </w:tabs>
              <w:rPr>
                <w:rFonts w:cs="Arial"/>
                <w:sz w:val="22"/>
                <w:lang w:val="pt-BR"/>
              </w:rPr>
            </w:pPr>
          </w:p>
        </w:tc>
      </w:tr>
      <w:tr w:rsidR="000A2337" w:rsidRPr="00750E3C" w:rsidTr="007351FF">
        <w:tc>
          <w:tcPr>
            <w:tcW w:w="10188" w:type="dxa"/>
            <w:gridSpan w:val="4"/>
            <w:shd w:val="clear" w:color="auto" w:fill="auto"/>
            <w:vAlign w:val="center"/>
          </w:tcPr>
          <w:p w:rsidR="00566969" w:rsidRPr="00750E3C" w:rsidRDefault="000A2337" w:rsidP="00566969">
            <w:pPr>
              <w:pStyle w:val="Header"/>
              <w:tabs>
                <w:tab w:val="left" w:pos="284"/>
              </w:tabs>
              <w:rPr>
                <w:rFonts w:cs="Arial"/>
                <w:b/>
                <w:bCs/>
                <w:sz w:val="22"/>
              </w:rPr>
            </w:pPr>
            <w:r w:rsidRPr="00750E3C">
              <w:rPr>
                <w:rFonts w:cs="Arial"/>
                <w:b/>
                <w:bCs/>
                <w:sz w:val="22"/>
              </w:rPr>
              <w:t>8. BROJ P</w:t>
            </w:r>
            <w:r>
              <w:rPr>
                <w:rFonts w:cs="Arial"/>
                <w:b/>
                <w:bCs/>
                <w:sz w:val="22"/>
              </w:rPr>
              <w:t xml:space="preserve">RVE DOZVOLE / </w:t>
            </w:r>
            <w:r w:rsidRPr="00750E3C">
              <w:rPr>
                <w:rFonts w:cs="Arial"/>
                <w:b/>
                <w:bCs/>
                <w:sz w:val="22"/>
              </w:rPr>
              <w:t>OBNOVE DOZVOLE</w:t>
            </w:r>
          </w:p>
        </w:tc>
      </w:tr>
      <w:tr w:rsidR="000A2337" w:rsidRPr="00750E3C" w:rsidTr="00566969">
        <w:trPr>
          <w:trHeight w:val="664"/>
        </w:trPr>
        <w:tc>
          <w:tcPr>
            <w:tcW w:w="10188" w:type="dxa"/>
            <w:gridSpan w:val="4"/>
            <w:vAlign w:val="center"/>
          </w:tcPr>
          <w:p w:rsidR="00566969" w:rsidRDefault="00566969" w:rsidP="00566969">
            <w:pPr>
              <w:pStyle w:val="Header"/>
              <w:tabs>
                <w:tab w:val="left" w:pos="284"/>
              </w:tabs>
              <w:rPr>
                <w:rFonts w:cs="Arial"/>
                <w:bCs/>
                <w:sz w:val="22"/>
              </w:rPr>
            </w:pPr>
          </w:p>
          <w:p w:rsidR="00152B23" w:rsidRDefault="00566969" w:rsidP="00566969">
            <w:pPr>
              <w:pStyle w:val="Text"/>
              <w:spacing w:before="0" w:after="0" w:line="240" w:lineRule="auto"/>
              <w:ind w:right="357"/>
              <w:rPr>
                <w:rFonts w:cs="Arial"/>
                <w:bCs/>
                <w:sz w:val="22"/>
              </w:rPr>
            </w:pPr>
            <w:r w:rsidRPr="00566969">
              <w:rPr>
                <w:rFonts w:cs="Arial"/>
                <w:bCs/>
                <w:sz w:val="22"/>
              </w:rPr>
              <w:t>Imatinib Teva, film tablete, 100 mg, blister, 12 x 10 film tableta:</w:t>
            </w:r>
            <w:r>
              <w:rPr>
                <w:rFonts w:cs="Arial"/>
                <w:bCs/>
                <w:sz w:val="22"/>
              </w:rPr>
              <w:t xml:space="preserve"> </w:t>
            </w:r>
            <w:r w:rsidRPr="00566969">
              <w:rPr>
                <w:rFonts w:cs="Arial"/>
                <w:bCs/>
                <w:sz w:val="22"/>
              </w:rPr>
              <w:t>2030/15/433 - 3999</w:t>
            </w:r>
          </w:p>
          <w:p w:rsidR="00566969" w:rsidRDefault="00566969" w:rsidP="00566969">
            <w:pPr>
              <w:pStyle w:val="Text"/>
              <w:spacing w:before="0" w:after="0" w:line="240" w:lineRule="auto"/>
              <w:ind w:right="357"/>
              <w:rPr>
                <w:noProof/>
                <w:sz w:val="22"/>
                <w:szCs w:val="22"/>
                <w:lang w:val="sr-Latn-CS"/>
              </w:rPr>
            </w:pPr>
          </w:p>
          <w:p w:rsidR="00736177" w:rsidRPr="00A71FF3" w:rsidRDefault="00736177" w:rsidP="00566969">
            <w:pPr>
              <w:pStyle w:val="Text"/>
              <w:spacing w:before="0" w:after="0" w:line="240" w:lineRule="auto"/>
              <w:ind w:right="357"/>
              <w:rPr>
                <w:noProof/>
                <w:sz w:val="22"/>
                <w:szCs w:val="22"/>
                <w:lang w:val="sr-Latn-CS"/>
              </w:rPr>
            </w:pPr>
          </w:p>
        </w:tc>
      </w:tr>
      <w:tr w:rsidR="000A2337" w:rsidRPr="003A00BF" w:rsidTr="00157778">
        <w:trPr>
          <w:trHeight w:val="260"/>
        </w:trPr>
        <w:tc>
          <w:tcPr>
            <w:tcW w:w="10188" w:type="dxa"/>
            <w:gridSpan w:val="4"/>
            <w:shd w:val="clear" w:color="auto" w:fill="auto"/>
            <w:vAlign w:val="center"/>
          </w:tcPr>
          <w:p w:rsidR="00152B23" w:rsidRDefault="000A2337" w:rsidP="00152B23">
            <w:pPr>
              <w:pStyle w:val="Header"/>
              <w:tabs>
                <w:tab w:val="left" w:pos="284"/>
              </w:tabs>
              <w:rPr>
                <w:rFonts w:cs="Arial"/>
                <w:b/>
                <w:bCs/>
                <w:sz w:val="22"/>
                <w:lang w:val="pt-BR"/>
              </w:rPr>
            </w:pPr>
            <w:r w:rsidRPr="003A00BF">
              <w:rPr>
                <w:rFonts w:cs="Arial"/>
                <w:b/>
                <w:bCs/>
                <w:sz w:val="22"/>
                <w:lang w:val="pt-BR"/>
              </w:rPr>
              <w:t xml:space="preserve">9. DATUM PRVE DOZVOLE </w:t>
            </w:r>
            <w:r>
              <w:rPr>
                <w:rFonts w:cs="Arial"/>
                <w:b/>
                <w:bCs/>
                <w:sz w:val="22"/>
                <w:lang w:val="pt-BR"/>
              </w:rPr>
              <w:t>/</w:t>
            </w:r>
            <w:r w:rsidRPr="003A00BF">
              <w:rPr>
                <w:rFonts w:cs="Arial"/>
                <w:b/>
                <w:bCs/>
                <w:sz w:val="22"/>
                <w:lang w:val="pt-BR"/>
              </w:rPr>
              <w:t xml:space="preserve"> DATUM OBNOVE DOZVOLE</w:t>
            </w:r>
          </w:p>
          <w:p w:rsidR="00157778" w:rsidRPr="003A00BF" w:rsidRDefault="00157778" w:rsidP="00152B23">
            <w:pPr>
              <w:pStyle w:val="Header"/>
              <w:tabs>
                <w:tab w:val="left" w:pos="284"/>
              </w:tabs>
              <w:rPr>
                <w:rFonts w:cs="Arial"/>
                <w:b/>
                <w:bCs/>
                <w:sz w:val="22"/>
                <w:lang w:val="pt-BR"/>
              </w:rPr>
            </w:pPr>
          </w:p>
        </w:tc>
      </w:tr>
      <w:tr w:rsidR="000A2337" w:rsidRPr="00FF5133" w:rsidTr="00157778">
        <w:trPr>
          <w:trHeight w:val="763"/>
        </w:trPr>
        <w:tc>
          <w:tcPr>
            <w:tcW w:w="10188" w:type="dxa"/>
            <w:gridSpan w:val="4"/>
          </w:tcPr>
          <w:p w:rsidR="00157778" w:rsidRDefault="000A2337" w:rsidP="00157778">
            <w:pPr>
              <w:pStyle w:val="Text"/>
              <w:spacing w:before="0" w:after="0" w:line="240" w:lineRule="auto"/>
              <w:ind w:right="357"/>
              <w:rPr>
                <w:noProof/>
                <w:sz w:val="22"/>
                <w:szCs w:val="22"/>
                <w:lang w:val="sr-Latn-CS"/>
              </w:rPr>
            </w:pPr>
            <w:r w:rsidRPr="00152B23">
              <w:rPr>
                <w:noProof/>
                <w:sz w:val="22"/>
                <w:szCs w:val="22"/>
                <w:lang w:val="sr-Latn-CS"/>
              </w:rPr>
              <w:t>Imatinib Teva, film tablete, 100 mg, blister, 12 x 10 film tableta:</w:t>
            </w:r>
            <w:r w:rsidR="00566969">
              <w:rPr>
                <w:noProof/>
                <w:sz w:val="22"/>
                <w:szCs w:val="22"/>
                <w:lang w:val="sr-Latn-CS"/>
              </w:rPr>
              <w:t xml:space="preserve"> </w:t>
            </w:r>
            <w:r w:rsidR="00566969">
              <w:rPr>
                <w:rFonts w:ascii="TimesNewRoman" w:hAnsi="TimesNewRoman" w:cs="TimesNewRoman"/>
                <w:sz w:val="22"/>
                <w:szCs w:val="22"/>
                <w:lang w:eastAsia="sr-Latn-ME"/>
              </w:rPr>
              <w:t>03.11.2015. godine</w:t>
            </w:r>
          </w:p>
          <w:p w:rsidR="00157778" w:rsidRPr="00157778" w:rsidRDefault="00157778" w:rsidP="00157778">
            <w:pPr>
              <w:pStyle w:val="Text"/>
              <w:spacing w:before="0" w:after="0" w:line="240" w:lineRule="auto"/>
              <w:ind w:left="0" w:right="357" w:firstLine="0"/>
              <w:rPr>
                <w:noProof/>
                <w:sz w:val="22"/>
                <w:szCs w:val="22"/>
                <w:lang w:val="sr-Latn-CS"/>
              </w:rPr>
            </w:pPr>
          </w:p>
        </w:tc>
      </w:tr>
      <w:tr w:rsidR="000A2337" w:rsidRPr="00750E3C" w:rsidTr="00157778">
        <w:tc>
          <w:tcPr>
            <w:tcW w:w="10188" w:type="dxa"/>
            <w:gridSpan w:val="4"/>
            <w:shd w:val="clear" w:color="auto" w:fill="auto"/>
          </w:tcPr>
          <w:p w:rsidR="000A2337" w:rsidRPr="00750E3C" w:rsidRDefault="000A2337" w:rsidP="00157778">
            <w:pPr>
              <w:pStyle w:val="Header"/>
              <w:tabs>
                <w:tab w:val="left" w:pos="284"/>
              </w:tabs>
              <w:rPr>
                <w:rFonts w:cs="Arial"/>
                <w:b/>
                <w:bCs/>
                <w:sz w:val="22"/>
              </w:rPr>
            </w:pPr>
            <w:r w:rsidRPr="00750E3C">
              <w:rPr>
                <w:rFonts w:cs="Arial"/>
                <w:b/>
                <w:bCs/>
                <w:sz w:val="22"/>
              </w:rPr>
              <w:t xml:space="preserve">10. DATUM </w:t>
            </w:r>
            <w:r>
              <w:rPr>
                <w:rFonts w:cs="Arial"/>
                <w:b/>
                <w:bCs/>
                <w:sz w:val="22"/>
              </w:rPr>
              <w:t>POSLJEDNJE REVIZIJE TEKSTA SAŽETKA OSNOVNIH KARAKTERISTIKA LIJEKA</w:t>
            </w:r>
          </w:p>
        </w:tc>
      </w:tr>
      <w:tr w:rsidR="000A2337" w:rsidRPr="00750E3C" w:rsidTr="00157778">
        <w:trPr>
          <w:trHeight w:val="50"/>
        </w:trPr>
        <w:tc>
          <w:tcPr>
            <w:tcW w:w="10188" w:type="dxa"/>
            <w:gridSpan w:val="4"/>
          </w:tcPr>
          <w:p w:rsidR="00157778" w:rsidRDefault="00157778" w:rsidP="00157778">
            <w:pPr>
              <w:pStyle w:val="Header"/>
              <w:tabs>
                <w:tab w:val="left" w:pos="284"/>
              </w:tabs>
              <w:rPr>
                <w:rFonts w:cs="Arial"/>
                <w:sz w:val="22"/>
              </w:rPr>
            </w:pPr>
          </w:p>
          <w:p w:rsidR="000A2337" w:rsidRPr="00750E3C" w:rsidRDefault="000A2337" w:rsidP="00157778">
            <w:pPr>
              <w:pStyle w:val="Header"/>
              <w:tabs>
                <w:tab w:val="left" w:pos="284"/>
              </w:tabs>
              <w:rPr>
                <w:rFonts w:cs="Arial"/>
                <w:sz w:val="22"/>
              </w:rPr>
            </w:pPr>
            <w:r>
              <w:rPr>
                <w:rFonts w:cs="Arial"/>
                <w:sz w:val="22"/>
              </w:rPr>
              <w:t>Novembar, 2015.</w:t>
            </w:r>
          </w:p>
        </w:tc>
      </w:tr>
      <w:tr w:rsidR="000A2337" w:rsidRPr="00750E3C" w:rsidTr="00157778">
        <w:trPr>
          <w:trHeight w:val="60"/>
        </w:trPr>
        <w:tc>
          <w:tcPr>
            <w:tcW w:w="10188" w:type="dxa"/>
            <w:gridSpan w:val="4"/>
            <w:vAlign w:val="center"/>
          </w:tcPr>
          <w:p w:rsidR="000A2337" w:rsidRPr="00750E3C" w:rsidRDefault="000A2337" w:rsidP="00161AB3">
            <w:pPr>
              <w:pStyle w:val="Header"/>
              <w:tabs>
                <w:tab w:val="left" w:pos="284"/>
              </w:tabs>
              <w:rPr>
                <w:rFonts w:cs="Arial"/>
                <w:b/>
                <w:bCs/>
                <w:sz w:val="22"/>
              </w:rPr>
            </w:pPr>
          </w:p>
        </w:tc>
      </w:tr>
    </w:tbl>
    <w:p w:rsidR="006768CB" w:rsidRPr="004273F1" w:rsidRDefault="006768CB" w:rsidP="00157778"/>
    <w:sectPr w:rsidR="006768CB" w:rsidRPr="004273F1" w:rsidSect="00B86396">
      <w:headerReference w:type="default" r:id="rId10"/>
      <w:footerReference w:type="even" r:id="rId11"/>
      <w:footerReference w:type="default" r:id="rId12"/>
      <w:headerReference w:type="first" r:id="rId13"/>
      <w:footerReference w:type="first" r:id="rId14"/>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99F" w:rsidRDefault="00D7399F">
      <w:r>
        <w:separator/>
      </w:r>
    </w:p>
  </w:endnote>
  <w:endnote w:type="continuationSeparator" w:id="0">
    <w:p w:rsidR="00D7399F" w:rsidRDefault="00D7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Times New Roman"/>
    <w:charset w:val="00"/>
    <w:family w:val="swiss"/>
    <w:pitch w:val="variable"/>
    <w:sig w:usb0="00000087" w:usb1="00000000" w:usb2="00000000" w:usb3="00000000" w:csb0="0000001B" w:csb1="00000000"/>
  </w:font>
  <w:font w:name="Times">
    <w:panose1 w:val="02020603050405020304"/>
    <w:charset w:val="EE"/>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B3" w:rsidRDefault="00161AB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1AB3" w:rsidRDefault="00161AB3"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B3" w:rsidRDefault="00161AB3" w:rsidP="00E70869">
    <w:pPr>
      <w:pStyle w:val="Footer"/>
      <w:framePr w:wrap="around" w:vAnchor="text" w:hAnchor="margin" w:xAlign="right" w:y="1"/>
      <w:rPr>
        <w:rStyle w:val="PageNumber"/>
      </w:rPr>
    </w:pPr>
  </w:p>
  <w:p w:rsidR="00161AB3" w:rsidRDefault="00161AB3" w:rsidP="00F96E5A">
    <w:pPr>
      <w:pStyle w:val="Header"/>
      <w:pBdr>
        <w:top w:val="thinThickSmallGap" w:sz="24" w:space="1" w:color="auto"/>
      </w:pBdr>
      <w:jc w:val="center"/>
    </w:pPr>
  </w:p>
  <w:p w:rsidR="00161AB3" w:rsidRPr="00743A79" w:rsidRDefault="00161AB3"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161AB3" w:rsidRDefault="00161AB3"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161AB3" w:rsidRDefault="00161AB3" w:rsidP="00756FDD">
    <w:pPr>
      <w:pStyle w:val="Footer"/>
      <w:jc w:val="center"/>
      <w:rPr>
        <w:sz w:val="16"/>
        <w:szCs w:val="18"/>
      </w:rPr>
    </w:pPr>
  </w:p>
  <w:p w:rsidR="00161AB3" w:rsidRDefault="00161AB3" w:rsidP="002F3E4D">
    <w:pPr>
      <w:pStyle w:val="Header"/>
    </w:pPr>
  </w:p>
  <w:p w:rsidR="00161AB3" w:rsidRPr="00F96E5A" w:rsidRDefault="00161AB3"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736177">
      <w:rPr>
        <w:rStyle w:val="PageNumber"/>
        <w:noProof/>
      </w:rPr>
      <w:t>21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736177">
      <w:rPr>
        <w:rStyle w:val="PageNumber"/>
        <w:noProof/>
      </w:rPr>
      <w:t>30</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B3" w:rsidRDefault="00161AB3"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99F" w:rsidRDefault="00D7399F">
      <w:r>
        <w:separator/>
      </w:r>
    </w:p>
  </w:footnote>
  <w:footnote w:type="continuationSeparator" w:id="0">
    <w:p w:rsidR="00D7399F" w:rsidRDefault="00D73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B3" w:rsidRDefault="00161AB3" w:rsidP="00615ADD">
    <w:pPr>
      <w:pStyle w:val="Header"/>
      <w:rPr>
        <w:sz w:val="16"/>
        <w:szCs w:val="16"/>
      </w:rPr>
    </w:pPr>
  </w:p>
  <w:p w:rsidR="00161AB3" w:rsidRDefault="00161AB3"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161AB3" w:rsidRPr="00615ADD" w:rsidRDefault="00161AB3"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B3" w:rsidRDefault="00161AB3">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161AB3" w:rsidRDefault="00161AB3">
    <w:pPr>
      <w:pStyle w:val="Header"/>
      <w:rPr>
        <w:sz w:val="16"/>
        <w:szCs w:val="16"/>
      </w:rPr>
    </w:pPr>
  </w:p>
  <w:p w:rsidR="00161AB3" w:rsidRDefault="00161AB3"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3823F1F"/>
    <w:multiLevelType w:val="hybridMultilevel"/>
    <w:tmpl w:val="A2F86F0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49CB44C3"/>
    <w:multiLevelType w:val="hybridMultilevel"/>
    <w:tmpl w:val="DDB2B21A"/>
    <w:lvl w:ilvl="0" w:tplc="2C1A0001">
      <w:numFmt w:val="bullet"/>
      <w:lvlText w:val=""/>
      <w:lvlJc w:val="left"/>
      <w:pPr>
        <w:ind w:left="720" w:hanging="360"/>
      </w:pPr>
      <w:rPr>
        <w:rFonts w:ascii="Symbol" w:eastAsia="Times New Roman" w:hAnsi="Symbol"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48B4"/>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337"/>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24CD"/>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6CC2"/>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2B23"/>
    <w:rsid w:val="00155276"/>
    <w:rsid w:val="001567D1"/>
    <w:rsid w:val="00157778"/>
    <w:rsid w:val="00160067"/>
    <w:rsid w:val="001601CE"/>
    <w:rsid w:val="001616AF"/>
    <w:rsid w:val="0016186D"/>
    <w:rsid w:val="00161AB3"/>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0BFB"/>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00A"/>
    <w:rsid w:val="0031466D"/>
    <w:rsid w:val="00314D92"/>
    <w:rsid w:val="003161E2"/>
    <w:rsid w:val="0031692B"/>
    <w:rsid w:val="003208CF"/>
    <w:rsid w:val="0032648C"/>
    <w:rsid w:val="00326D07"/>
    <w:rsid w:val="00327CA0"/>
    <w:rsid w:val="00327F66"/>
    <w:rsid w:val="00333C7A"/>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7385"/>
    <w:rsid w:val="00377419"/>
    <w:rsid w:val="00383CAA"/>
    <w:rsid w:val="00384EA9"/>
    <w:rsid w:val="00385042"/>
    <w:rsid w:val="003851FE"/>
    <w:rsid w:val="003853A7"/>
    <w:rsid w:val="00387233"/>
    <w:rsid w:val="003920A5"/>
    <w:rsid w:val="00395AB0"/>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C95"/>
    <w:rsid w:val="00463E8C"/>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66969"/>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57A0"/>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37D6A"/>
    <w:rsid w:val="00640267"/>
    <w:rsid w:val="006454B8"/>
    <w:rsid w:val="0064728E"/>
    <w:rsid w:val="00651794"/>
    <w:rsid w:val="0065194B"/>
    <w:rsid w:val="00653451"/>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49F"/>
    <w:rsid w:val="00722D64"/>
    <w:rsid w:val="007231C5"/>
    <w:rsid w:val="0072320D"/>
    <w:rsid w:val="00724FAA"/>
    <w:rsid w:val="00727399"/>
    <w:rsid w:val="00730279"/>
    <w:rsid w:val="00731FD1"/>
    <w:rsid w:val="0073334A"/>
    <w:rsid w:val="007337F6"/>
    <w:rsid w:val="00734A01"/>
    <w:rsid w:val="007351FF"/>
    <w:rsid w:val="00736177"/>
    <w:rsid w:val="00736561"/>
    <w:rsid w:val="007404A9"/>
    <w:rsid w:val="0074091F"/>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682"/>
    <w:rsid w:val="0078489F"/>
    <w:rsid w:val="00784958"/>
    <w:rsid w:val="00786E51"/>
    <w:rsid w:val="00791ECA"/>
    <w:rsid w:val="0079225E"/>
    <w:rsid w:val="00793596"/>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47E59"/>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1FF3"/>
    <w:rsid w:val="00A721BC"/>
    <w:rsid w:val="00A73B77"/>
    <w:rsid w:val="00A74A50"/>
    <w:rsid w:val="00A75187"/>
    <w:rsid w:val="00A7626D"/>
    <w:rsid w:val="00A76618"/>
    <w:rsid w:val="00A802C9"/>
    <w:rsid w:val="00A82A98"/>
    <w:rsid w:val="00A86A67"/>
    <w:rsid w:val="00A87ACB"/>
    <w:rsid w:val="00A900D5"/>
    <w:rsid w:val="00A91303"/>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044F"/>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157D6"/>
    <w:rsid w:val="00B23A38"/>
    <w:rsid w:val="00B26FFA"/>
    <w:rsid w:val="00B318A2"/>
    <w:rsid w:val="00B46B55"/>
    <w:rsid w:val="00B46BE5"/>
    <w:rsid w:val="00B46C91"/>
    <w:rsid w:val="00B47308"/>
    <w:rsid w:val="00B50519"/>
    <w:rsid w:val="00B50763"/>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1F48"/>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A33"/>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0DFD"/>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399F"/>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0487"/>
    <w:rsid w:val="00DB1EB2"/>
    <w:rsid w:val="00DB4456"/>
    <w:rsid w:val="00DB7880"/>
    <w:rsid w:val="00DC2BAC"/>
    <w:rsid w:val="00DC3CB9"/>
    <w:rsid w:val="00DC730A"/>
    <w:rsid w:val="00DC787C"/>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46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918A8285-CEB5-4C2C-9097-6547AC73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link w:val="Heading7Char"/>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qFormat/>
    <w:rsid w:val="00CD5312"/>
    <w:pPr>
      <w:spacing w:after="120"/>
    </w:pPr>
  </w:style>
  <w:style w:type="paragraph" w:styleId="BodyTextIndent3">
    <w:name w:val="Body Text Indent 3"/>
    <w:basedOn w:val="Normal"/>
    <w:link w:val="BodyTextIndent3Char"/>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Char Char Char Char Char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link w:val="TextChar"/>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character" w:customStyle="1" w:styleId="CharChar40">
    <w:name w:val="Char Char4"/>
    <w:rsid w:val="000A2337"/>
    <w:rPr>
      <w:rFonts w:ascii="Humanist777" w:hAnsi="Humanist777"/>
      <w:sz w:val="24"/>
      <w:szCs w:val="24"/>
    </w:rPr>
  </w:style>
  <w:style w:type="character" w:customStyle="1" w:styleId="CharCharChar0">
    <w:name w:val="Char Char Char"/>
    <w:rsid w:val="000A2337"/>
    <w:rPr>
      <w:rFonts w:ascii="Humanist777" w:hAnsi="Humanist777"/>
      <w:sz w:val="24"/>
      <w:szCs w:val="24"/>
      <w:lang w:val="en-US" w:eastAsia="en-US" w:bidi="ar-SA"/>
    </w:rPr>
  </w:style>
  <w:style w:type="character" w:customStyle="1" w:styleId="TextChar">
    <w:name w:val="Text Char"/>
    <w:link w:val="Text"/>
    <w:rsid w:val="000A2337"/>
    <w:rPr>
      <w:color w:val="000000"/>
      <w:sz w:val="24"/>
      <w:lang w:val="en-GB" w:eastAsia="en-US"/>
    </w:rPr>
  </w:style>
  <w:style w:type="paragraph" w:customStyle="1" w:styleId="Nottoc-headings">
    <w:name w:val="Not toc-headings"/>
    <w:basedOn w:val="Normal"/>
    <w:next w:val="Text"/>
    <w:rsid w:val="000A2337"/>
    <w:pPr>
      <w:keepNext/>
      <w:keepLines/>
      <w:spacing w:before="240" w:after="60"/>
      <w:ind w:left="1701" w:hanging="1701"/>
    </w:pPr>
    <w:rPr>
      <w:rFonts w:ascii="Arial" w:hAnsi="Arial"/>
      <w:b/>
      <w:sz w:val="24"/>
      <w:lang w:val="en-US"/>
    </w:rPr>
  </w:style>
  <w:style w:type="character" w:customStyle="1" w:styleId="Heading7Char">
    <w:name w:val="Heading 7 Char"/>
    <w:link w:val="Heading7"/>
    <w:rsid w:val="000A2337"/>
    <w:rPr>
      <w:sz w:val="24"/>
      <w:szCs w:val="24"/>
      <w:lang w:val="en-AU" w:eastAsia="en-US"/>
    </w:rPr>
  </w:style>
  <w:style w:type="paragraph" w:customStyle="1" w:styleId="SmPCheading">
    <w:name w:val="SmPC heading"/>
    <w:basedOn w:val="Normal"/>
    <w:rsid w:val="000A2337"/>
    <w:pPr>
      <w:spacing w:before="240" w:after="120" w:line="360" w:lineRule="atLeast"/>
    </w:pPr>
    <w:rPr>
      <w:rFonts w:ascii="Arial" w:hAnsi="Arial"/>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206C0-B310-48FB-8DD2-3E831144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12642</Words>
  <Characters>72060</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84533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Tijana Mićović</cp:lastModifiedBy>
  <cp:revision>4</cp:revision>
  <cp:lastPrinted>2012-05-18T12:57:00Z</cp:lastPrinted>
  <dcterms:created xsi:type="dcterms:W3CDTF">2018-03-09T07:13:00Z</dcterms:created>
  <dcterms:modified xsi:type="dcterms:W3CDTF">2018-03-09T07:16:00Z</dcterms:modified>
</cp:coreProperties>
</file>