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CE7" w:rsidRPr="00823CE7" w:rsidRDefault="00823CE7" w:rsidP="00823CE7">
      <w:pPr>
        <w:rPr>
          <w:b/>
          <w:bCs/>
          <w:sz w:val="22"/>
          <w:szCs w:val="22"/>
          <w:lang w:val="sr-Latn-RS"/>
        </w:rPr>
      </w:pPr>
    </w:p>
    <w:p w:rsidR="00823CE7" w:rsidRPr="00823CE7" w:rsidRDefault="00823CE7" w:rsidP="00823CE7">
      <w:pPr>
        <w:rPr>
          <w:b/>
          <w:bCs/>
          <w:sz w:val="22"/>
          <w:szCs w:val="22"/>
        </w:rPr>
      </w:pPr>
    </w:p>
    <w:p w:rsidR="00823CE7" w:rsidRPr="00823CE7" w:rsidRDefault="00823CE7" w:rsidP="00823CE7">
      <w:pPr>
        <w:spacing w:before="240" w:after="60"/>
        <w:jc w:val="center"/>
        <w:outlineLvl w:val="7"/>
        <w:rPr>
          <w:b/>
          <w:i/>
          <w:iCs/>
          <w:sz w:val="22"/>
          <w:szCs w:val="22"/>
          <w:u w:val="single"/>
          <w:lang w:val="sv-SE"/>
        </w:rPr>
      </w:pPr>
    </w:p>
    <w:p w:rsidR="00823CE7" w:rsidRPr="00823CE7" w:rsidRDefault="00823CE7" w:rsidP="00823CE7">
      <w:pPr>
        <w:spacing w:before="240" w:after="60"/>
        <w:jc w:val="center"/>
        <w:outlineLvl w:val="7"/>
        <w:rPr>
          <w:b/>
          <w:i/>
          <w:iCs/>
          <w:sz w:val="22"/>
          <w:szCs w:val="22"/>
          <w:u w:val="single"/>
          <w:lang w:val="sv-SE"/>
        </w:rPr>
      </w:pPr>
    </w:p>
    <w:p w:rsidR="00823CE7" w:rsidRPr="00823CE7" w:rsidRDefault="00823CE7" w:rsidP="00823CE7">
      <w:pPr>
        <w:spacing w:before="240" w:after="60"/>
        <w:jc w:val="center"/>
        <w:outlineLvl w:val="7"/>
        <w:rPr>
          <w:b/>
          <w:i/>
          <w:iCs/>
          <w:sz w:val="22"/>
          <w:szCs w:val="22"/>
          <w:u w:val="single"/>
          <w:lang w:val="sv-SE"/>
        </w:rPr>
      </w:pPr>
      <w:r w:rsidRPr="00823CE7">
        <w:rPr>
          <w:b/>
          <w:i/>
          <w:iCs/>
          <w:sz w:val="22"/>
          <w:szCs w:val="22"/>
          <w:u w:val="single"/>
          <w:lang w:val="sv-SE"/>
        </w:rPr>
        <w:t>SAŽETAK KARAKTERISTIKA LIJEKA</w:t>
      </w:r>
    </w:p>
    <w:p w:rsidR="00823CE7" w:rsidRPr="00823CE7" w:rsidRDefault="00823CE7" w:rsidP="00823CE7">
      <w:pPr>
        <w:rPr>
          <w:sz w:val="22"/>
          <w:szCs w:val="22"/>
        </w:rPr>
      </w:pPr>
      <w:r w:rsidRPr="00823CE7">
        <w:rPr>
          <w:sz w:val="22"/>
          <w:szCs w:val="22"/>
        </w:rPr>
        <w:tab/>
      </w:r>
      <w:r w:rsidRPr="00823CE7">
        <w:rPr>
          <w:sz w:val="22"/>
          <w:szCs w:val="22"/>
        </w:rPr>
        <w:tab/>
      </w:r>
      <w:r w:rsidRPr="00823CE7">
        <w:rPr>
          <w:sz w:val="22"/>
          <w:szCs w:val="22"/>
        </w:rPr>
        <w:tab/>
      </w:r>
      <w:r w:rsidRPr="00823CE7">
        <w:rPr>
          <w:sz w:val="22"/>
          <w:szCs w:val="22"/>
        </w:rPr>
        <w:tab/>
      </w:r>
    </w:p>
    <w:p w:rsidR="00823CE7" w:rsidRPr="00823CE7" w:rsidRDefault="00823CE7" w:rsidP="00823CE7">
      <w:pPr>
        <w:rPr>
          <w:sz w:val="22"/>
          <w:szCs w:val="22"/>
        </w:rPr>
      </w:pPr>
    </w:p>
    <w:p w:rsidR="00823CE7" w:rsidRPr="00823CE7" w:rsidRDefault="00823CE7" w:rsidP="00823CE7">
      <w:pPr>
        <w:rPr>
          <w:sz w:val="22"/>
          <w:szCs w:val="22"/>
        </w:rPr>
      </w:pPr>
    </w:p>
    <w:p w:rsidR="00823CE7" w:rsidRPr="00823CE7" w:rsidRDefault="00823CE7" w:rsidP="00823CE7">
      <w:pPr>
        <w:rPr>
          <w:sz w:val="22"/>
          <w:szCs w:val="22"/>
        </w:rPr>
      </w:pPr>
    </w:p>
    <w:p w:rsidR="00823CE7" w:rsidRPr="00823CE7" w:rsidRDefault="00823CE7" w:rsidP="00823CE7">
      <w:pPr>
        <w:rPr>
          <w:sz w:val="22"/>
          <w:szCs w:val="22"/>
        </w:rPr>
      </w:pPr>
    </w:p>
    <w:p w:rsidR="00823CE7" w:rsidRPr="00823CE7" w:rsidRDefault="00823CE7" w:rsidP="00823CE7">
      <w:pPr>
        <w:jc w:val="center"/>
        <w:rPr>
          <w:color w:val="000000"/>
          <w:sz w:val="22"/>
          <w:szCs w:val="22"/>
          <w:lang w:val="sv-SE"/>
        </w:rPr>
      </w:pPr>
    </w:p>
    <w:p w:rsidR="00823CE7" w:rsidRPr="00823CE7" w:rsidRDefault="00823CE7" w:rsidP="00823CE7">
      <w:pPr>
        <w:jc w:val="center"/>
        <w:rPr>
          <w:color w:val="000000"/>
          <w:sz w:val="22"/>
          <w:szCs w:val="22"/>
          <w:lang w:val="sv-SE"/>
        </w:rPr>
      </w:pPr>
    </w:p>
    <w:p w:rsidR="00823CE7" w:rsidRPr="00823CE7" w:rsidRDefault="00823CE7" w:rsidP="00823CE7">
      <w:pPr>
        <w:jc w:val="center"/>
        <w:rPr>
          <w:color w:val="000000"/>
          <w:sz w:val="22"/>
          <w:szCs w:val="22"/>
          <w:lang w:val="sr-Latn-RS"/>
        </w:rPr>
      </w:pPr>
      <w:r w:rsidRPr="00823CE7">
        <w:rPr>
          <w:b/>
          <w:color w:val="000000"/>
          <w:sz w:val="22"/>
          <w:szCs w:val="22"/>
          <w:lang w:val="sv-SE"/>
        </w:rPr>
        <w:t>Diprian</w:t>
      </w:r>
      <w:r w:rsidRPr="00823CE7">
        <w:rPr>
          <w:b/>
          <w:color w:val="000000"/>
          <w:sz w:val="22"/>
          <w:szCs w:val="22"/>
          <w:vertAlign w:val="superscript"/>
          <w:lang w:val="sv-SE"/>
        </w:rPr>
        <w:t>®</w:t>
      </w:r>
      <w:r w:rsidRPr="00823CE7">
        <w:rPr>
          <w:b/>
          <w:color w:val="000000"/>
          <w:sz w:val="22"/>
          <w:szCs w:val="22"/>
          <w:lang w:val="sr-Latn-RS"/>
        </w:rPr>
        <w:t xml:space="preserve">, </w:t>
      </w:r>
      <w:r w:rsidRPr="00823CE7">
        <w:rPr>
          <w:color w:val="000000"/>
          <w:sz w:val="22"/>
          <w:szCs w:val="22"/>
          <w:lang w:val="sr-Latn-RS"/>
        </w:rPr>
        <w:t>tableta sa modifikovanim oslobađanjem, 80mg</w:t>
      </w:r>
    </w:p>
    <w:p w:rsidR="00823CE7" w:rsidRPr="00823CE7" w:rsidRDefault="00823CE7" w:rsidP="00823CE7">
      <w:pPr>
        <w:jc w:val="center"/>
        <w:rPr>
          <w:color w:val="000000"/>
          <w:sz w:val="22"/>
          <w:szCs w:val="22"/>
          <w:lang w:val="sr-Latn-RS"/>
        </w:rPr>
      </w:pPr>
      <w:r w:rsidRPr="00823CE7">
        <w:rPr>
          <w:color w:val="000000"/>
          <w:sz w:val="22"/>
          <w:szCs w:val="22"/>
          <w:lang w:val="sr-Latn-RS"/>
        </w:rPr>
        <w:t>blister, 2 x 15 tableta</w:t>
      </w:r>
    </w:p>
    <w:p w:rsidR="00823CE7" w:rsidRPr="00823CE7" w:rsidRDefault="00823CE7" w:rsidP="00823CE7">
      <w:pPr>
        <w:jc w:val="center"/>
        <w:rPr>
          <w:color w:val="000000"/>
          <w:sz w:val="22"/>
          <w:szCs w:val="22"/>
          <w:lang w:val="sr-Latn-RS"/>
        </w:rPr>
      </w:pPr>
    </w:p>
    <w:p w:rsidR="00823CE7" w:rsidRPr="00823CE7" w:rsidRDefault="00823CE7" w:rsidP="00823CE7">
      <w:pPr>
        <w:jc w:val="center"/>
        <w:rPr>
          <w:color w:val="000000"/>
          <w:sz w:val="22"/>
          <w:szCs w:val="22"/>
          <w:lang w:val="sr-Latn-RS"/>
        </w:rPr>
      </w:pPr>
    </w:p>
    <w:p w:rsidR="00823CE7" w:rsidRPr="00823CE7" w:rsidRDefault="00823CE7" w:rsidP="00823CE7">
      <w:pPr>
        <w:jc w:val="center"/>
        <w:rPr>
          <w:b/>
          <w:i/>
          <w:color w:val="000000"/>
          <w:sz w:val="22"/>
          <w:szCs w:val="22"/>
          <w:vertAlign w:val="superscript"/>
          <w:lang w:val="sv-SE"/>
        </w:rPr>
      </w:pPr>
    </w:p>
    <w:p w:rsidR="00823CE7" w:rsidRPr="00823CE7" w:rsidRDefault="00823CE7" w:rsidP="00823CE7">
      <w:pPr>
        <w:jc w:val="center"/>
        <w:rPr>
          <w:sz w:val="22"/>
          <w:szCs w:val="22"/>
        </w:rPr>
      </w:pPr>
    </w:p>
    <w:p w:rsidR="00823CE7" w:rsidRPr="00823CE7" w:rsidRDefault="00823CE7" w:rsidP="00823CE7">
      <w:pPr>
        <w:jc w:val="center"/>
        <w:rPr>
          <w:sz w:val="22"/>
          <w:szCs w:val="22"/>
        </w:rPr>
      </w:pPr>
    </w:p>
    <w:p w:rsidR="00823CE7" w:rsidRPr="00823CE7" w:rsidRDefault="00823CE7" w:rsidP="00823CE7">
      <w:pPr>
        <w:jc w:val="center"/>
        <w:rPr>
          <w:sz w:val="22"/>
          <w:szCs w:val="22"/>
        </w:rPr>
      </w:pPr>
    </w:p>
    <w:p w:rsidR="00823CE7" w:rsidRPr="00823CE7" w:rsidRDefault="00823CE7" w:rsidP="00823CE7">
      <w:pPr>
        <w:jc w:val="center"/>
        <w:rPr>
          <w:sz w:val="22"/>
          <w:szCs w:val="22"/>
          <w:lang w:val="sv-SE"/>
        </w:rPr>
      </w:pPr>
    </w:p>
    <w:p w:rsidR="00823CE7" w:rsidRPr="00823CE7" w:rsidRDefault="00823CE7" w:rsidP="00823CE7">
      <w:pPr>
        <w:rPr>
          <w:sz w:val="22"/>
          <w:szCs w:val="22"/>
          <w:lang w:val="sv-SE"/>
        </w:rPr>
      </w:pPr>
    </w:p>
    <w:p w:rsidR="00823CE7" w:rsidRPr="00823CE7" w:rsidRDefault="00823CE7" w:rsidP="00823CE7">
      <w:pPr>
        <w:rPr>
          <w:sz w:val="22"/>
          <w:szCs w:val="22"/>
          <w:lang w:val="sv-SE"/>
        </w:rPr>
      </w:pPr>
    </w:p>
    <w:p w:rsidR="00823CE7" w:rsidRPr="00823CE7" w:rsidRDefault="00823CE7" w:rsidP="00823CE7">
      <w:pPr>
        <w:rPr>
          <w:color w:val="000000"/>
          <w:sz w:val="22"/>
          <w:szCs w:val="22"/>
          <w:lang w:val="sr-Latn-CS"/>
        </w:rPr>
      </w:pPr>
      <w:r w:rsidRPr="00823CE7">
        <w:rPr>
          <w:b/>
          <w:color w:val="000000"/>
          <w:sz w:val="22"/>
          <w:szCs w:val="22"/>
          <w:lang w:val="sr-Latn-CS"/>
        </w:rPr>
        <w:t xml:space="preserve">                      </w:t>
      </w:r>
    </w:p>
    <w:p w:rsidR="00823CE7" w:rsidRPr="00823CE7" w:rsidRDefault="00823CE7" w:rsidP="00823CE7">
      <w:pPr>
        <w:ind w:firstLine="720"/>
        <w:rPr>
          <w:color w:val="000000"/>
          <w:sz w:val="22"/>
          <w:szCs w:val="22"/>
          <w:lang w:val="sr-Latn-RS"/>
        </w:rPr>
      </w:pPr>
      <w:r w:rsidRPr="00823CE7">
        <w:rPr>
          <w:b/>
          <w:color w:val="000000"/>
          <w:sz w:val="22"/>
          <w:szCs w:val="22"/>
          <w:lang w:val="sr-Latn-CS"/>
        </w:rPr>
        <w:t xml:space="preserve"> </w:t>
      </w:r>
      <w:r w:rsidRPr="00823CE7">
        <w:rPr>
          <w:b/>
          <w:color w:val="000000"/>
          <w:sz w:val="22"/>
          <w:szCs w:val="22"/>
        </w:rPr>
        <w:t>Proizvo</w:t>
      </w:r>
      <w:r w:rsidRPr="00823CE7">
        <w:rPr>
          <w:b/>
          <w:color w:val="000000"/>
          <w:sz w:val="22"/>
          <w:szCs w:val="22"/>
          <w:lang w:val="sr-Latn-CS"/>
        </w:rPr>
        <w:t>đ</w:t>
      </w:r>
      <w:r w:rsidRPr="00823CE7">
        <w:rPr>
          <w:b/>
          <w:color w:val="000000"/>
          <w:sz w:val="22"/>
          <w:szCs w:val="22"/>
        </w:rPr>
        <w:t>a</w:t>
      </w:r>
      <w:r w:rsidRPr="00823CE7">
        <w:rPr>
          <w:b/>
          <w:color w:val="000000"/>
          <w:sz w:val="22"/>
          <w:szCs w:val="22"/>
          <w:lang w:val="sr-Latn-CS"/>
        </w:rPr>
        <w:t>č:</w:t>
      </w:r>
      <w:r w:rsidRPr="00823CE7">
        <w:rPr>
          <w:color w:val="000000"/>
          <w:sz w:val="22"/>
          <w:szCs w:val="22"/>
          <w:lang w:val="sr-Latn-CS"/>
        </w:rPr>
        <w:t xml:space="preserve">  </w:t>
      </w:r>
      <w:r w:rsidRPr="00823CE7">
        <w:rPr>
          <w:color w:val="000000"/>
          <w:sz w:val="22"/>
          <w:szCs w:val="22"/>
          <w:lang w:val="sr-Latn-CS"/>
        </w:rPr>
        <w:tab/>
      </w:r>
      <w:r w:rsidRPr="00823CE7">
        <w:rPr>
          <w:color w:val="000000"/>
          <w:sz w:val="22"/>
          <w:szCs w:val="22"/>
          <w:lang w:val="sr-Latn-CS"/>
        </w:rPr>
        <w:tab/>
      </w:r>
      <w:r w:rsidRPr="00823CE7">
        <w:rPr>
          <w:color w:val="000000"/>
          <w:sz w:val="22"/>
          <w:szCs w:val="22"/>
        </w:rPr>
        <w:t>Hemofarm</w:t>
      </w:r>
      <w:r w:rsidRPr="00823CE7">
        <w:rPr>
          <w:color w:val="000000"/>
          <w:sz w:val="22"/>
          <w:szCs w:val="22"/>
          <w:lang w:val="sr-Latn-CS"/>
        </w:rPr>
        <w:t xml:space="preserve"> </w:t>
      </w:r>
      <w:r w:rsidRPr="00823CE7">
        <w:rPr>
          <w:color w:val="000000"/>
          <w:sz w:val="22"/>
          <w:szCs w:val="22"/>
        </w:rPr>
        <w:t>AD</w:t>
      </w:r>
      <w:r w:rsidRPr="00823CE7">
        <w:rPr>
          <w:color w:val="000000"/>
          <w:sz w:val="22"/>
          <w:szCs w:val="22"/>
          <w:lang w:val="sr-Latn-CS"/>
        </w:rPr>
        <w:t xml:space="preserve"> </w:t>
      </w:r>
      <w:r w:rsidRPr="00823CE7">
        <w:rPr>
          <w:color w:val="000000"/>
          <w:sz w:val="22"/>
          <w:szCs w:val="22"/>
        </w:rPr>
        <w:t>Vr</w:t>
      </w:r>
      <w:r w:rsidRPr="00823CE7">
        <w:rPr>
          <w:color w:val="000000"/>
          <w:sz w:val="22"/>
          <w:szCs w:val="22"/>
          <w:lang w:val="sr-Latn-RS"/>
        </w:rPr>
        <w:t>šac</w:t>
      </w:r>
    </w:p>
    <w:p w:rsidR="00823CE7" w:rsidRPr="00823CE7" w:rsidRDefault="00823CE7" w:rsidP="00823CE7">
      <w:pPr>
        <w:rPr>
          <w:color w:val="000000"/>
          <w:sz w:val="22"/>
          <w:szCs w:val="22"/>
          <w:lang w:val="sr-Latn-CS"/>
        </w:rPr>
      </w:pPr>
    </w:p>
    <w:p w:rsidR="00823CE7" w:rsidRPr="00823CE7" w:rsidRDefault="00823CE7" w:rsidP="00823CE7">
      <w:pPr>
        <w:ind w:firstLine="720"/>
        <w:rPr>
          <w:color w:val="000000"/>
          <w:sz w:val="22"/>
          <w:szCs w:val="22"/>
          <w:lang w:val="sr-Latn-CS"/>
        </w:rPr>
      </w:pPr>
      <w:r w:rsidRPr="00823CE7">
        <w:rPr>
          <w:b/>
          <w:color w:val="000000"/>
          <w:sz w:val="22"/>
          <w:szCs w:val="22"/>
        </w:rPr>
        <w:t xml:space="preserve"> Adresa</w:t>
      </w:r>
      <w:r w:rsidRPr="00823CE7">
        <w:rPr>
          <w:b/>
          <w:color w:val="000000"/>
          <w:sz w:val="22"/>
          <w:szCs w:val="22"/>
          <w:lang w:val="sr-Latn-CS"/>
        </w:rPr>
        <w:t xml:space="preserve"> : </w:t>
      </w:r>
      <w:r w:rsidRPr="00823CE7">
        <w:rPr>
          <w:b/>
          <w:color w:val="000000"/>
          <w:sz w:val="22"/>
          <w:szCs w:val="22"/>
          <w:lang w:val="sr-Latn-CS"/>
        </w:rPr>
        <w:tab/>
      </w:r>
      <w:r w:rsidRPr="00823CE7">
        <w:rPr>
          <w:color w:val="000000"/>
          <w:sz w:val="22"/>
          <w:szCs w:val="22"/>
          <w:lang w:val="sr-Latn-CS"/>
        </w:rPr>
        <w:tab/>
      </w:r>
      <w:r w:rsidRPr="00823CE7">
        <w:rPr>
          <w:color w:val="000000"/>
          <w:sz w:val="22"/>
          <w:szCs w:val="22"/>
        </w:rPr>
        <w:t>Beogradski</w:t>
      </w:r>
      <w:r w:rsidRPr="00823CE7">
        <w:rPr>
          <w:color w:val="000000"/>
          <w:sz w:val="22"/>
          <w:szCs w:val="22"/>
          <w:lang w:val="sr-Latn-CS"/>
        </w:rPr>
        <w:t xml:space="preserve"> </w:t>
      </w:r>
      <w:r w:rsidRPr="00823CE7">
        <w:rPr>
          <w:color w:val="000000"/>
          <w:sz w:val="22"/>
          <w:szCs w:val="22"/>
        </w:rPr>
        <w:t>put</w:t>
      </w:r>
      <w:r w:rsidRPr="00823CE7">
        <w:rPr>
          <w:color w:val="000000"/>
          <w:sz w:val="22"/>
          <w:szCs w:val="22"/>
          <w:lang w:val="sr-Latn-CS"/>
        </w:rPr>
        <w:t xml:space="preserve"> </w:t>
      </w:r>
      <w:r w:rsidRPr="00823CE7">
        <w:rPr>
          <w:color w:val="000000"/>
          <w:sz w:val="22"/>
          <w:szCs w:val="22"/>
        </w:rPr>
        <w:t>bb</w:t>
      </w:r>
      <w:r w:rsidRPr="00823CE7">
        <w:rPr>
          <w:color w:val="000000"/>
          <w:sz w:val="22"/>
          <w:szCs w:val="22"/>
          <w:lang w:val="sr-Latn-CS"/>
        </w:rPr>
        <w:t xml:space="preserve">, </w:t>
      </w:r>
      <w:r w:rsidRPr="00823CE7">
        <w:rPr>
          <w:color w:val="000000"/>
          <w:sz w:val="22"/>
          <w:szCs w:val="22"/>
        </w:rPr>
        <w:t>Vr</w:t>
      </w:r>
      <w:r w:rsidRPr="00823CE7">
        <w:rPr>
          <w:color w:val="000000"/>
          <w:sz w:val="22"/>
          <w:szCs w:val="22"/>
          <w:lang w:val="sr-Latn-CS"/>
        </w:rPr>
        <w:t>š</w:t>
      </w:r>
      <w:r w:rsidRPr="00823CE7">
        <w:rPr>
          <w:color w:val="000000"/>
          <w:sz w:val="22"/>
          <w:szCs w:val="22"/>
        </w:rPr>
        <w:t>ac</w:t>
      </w:r>
      <w:r w:rsidRPr="00823CE7">
        <w:rPr>
          <w:color w:val="000000"/>
          <w:sz w:val="22"/>
          <w:szCs w:val="22"/>
          <w:lang w:val="sr-Latn-CS"/>
        </w:rPr>
        <w:t xml:space="preserve">, </w:t>
      </w:r>
      <w:r w:rsidRPr="00823CE7">
        <w:rPr>
          <w:color w:val="000000"/>
          <w:sz w:val="22"/>
          <w:szCs w:val="22"/>
        </w:rPr>
        <w:t>Srbija</w:t>
      </w:r>
    </w:p>
    <w:p w:rsidR="00823CE7" w:rsidRPr="00823CE7" w:rsidRDefault="00823CE7" w:rsidP="00823CE7">
      <w:pPr>
        <w:rPr>
          <w:color w:val="000000"/>
          <w:sz w:val="22"/>
          <w:szCs w:val="22"/>
          <w:lang w:val="sr-Latn-CS"/>
        </w:rPr>
      </w:pPr>
    </w:p>
    <w:p w:rsidR="00823CE7" w:rsidRPr="00823CE7" w:rsidRDefault="00823CE7" w:rsidP="00823CE7">
      <w:pPr>
        <w:ind w:firstLine="720"/>
        <w:rPr>
          <w:color w:val="000000"/>
          <w:sz w:val="22"/>
          <w:szCs w:val="22"/>
          <w:lang w:val="sr-Latn-RS"/>
        </w:rPr>
      </w:pPr>
      <w:r w:rsidRPr="00823CE7">
        <w:rPr>
          <w:b/>
          <w:color w:val="000000"/>
          <w:sz w:val="22"/>
          <w:szCs w:val="22"/>
        </w:rPr>
        <w:t>Podnosilac</w:t>
      </w:r>
      <w:r w:rsidRPr="00823CE7">
        <w:rPr>
          <w:b/>
          <w:color w:val="000000"/>
          <w:sz w:val="22"/>
          <w:szCs w:val="22"/>
          <w:lang w:val="sr-Latn-CS"/>
        </w:rPr>
        <w:t xml:space="preserve"> </w:t>
      </w:r>
      <w:r w:rsidRPr="00823CE7">
        <w:rPr>
          <w:b/>
          <w:color w:val="000000"/>
          <w:sz w:val="22"/>
          <w:szCs w:val="22"/>
        </w:rPr>
        <w:t>zahtjeva</w:t>
      </w:r>
      <w:r w:rsidRPr="00823CE7">
        <w:rPr>
          <w:color w:val="000000"/>
          <w:sz w:val="22"/>
          <w:szCs w:val="22"/>
          <w:lang w:val="sr-Latn-CS"/>
        </w:rPr>
        <w:t xml:space="preserve">: </w:t>
      </w:r>
      <w:r w:rsidRPr="00823CE7">
        <w:rPr>
          <w:color w:val="000000"/>
          <w:sz w:val="22"/>
          <w:szCs w:val="22"/>
          <w:lang w:val="sr-Latn-CS"/>
        </w:rPr>
        <w:tab/>
      </w:r>
      <w:r w:rsidRPr="00823CE7">
        <w:rPr>
          <w:color w:val="000000"/>
          <w:sz w:val="22"/>
          <w:szCs w:val="22"/>
        </w:rPr>
        <w:t>Hemofarm</w:t>
      </w:r>
      <w:r w:rsidRPr="00823CE7">
        <w:rPr>
          <w:color w:val="000000"/>
          <w:sz w:val="22"/>
          <w:szCs w:val="22"/>
          <w:lang w:val="sr-Latn-CS"/>
        </w:rPr>
        <w:t xml:space="preserve"> </w:t>
      </w:r>
      <w:r w:rsidRPr="00823CE7">
        <w:rPr>
          <w:color w:val="000000"/>
          <w:sz w:val="22"/>
          <w:szCs w:val="22"/>
        </w:rPr>
        <w:t>A</w:t>
      </w:r>
      <w:r w:rsidRPr="00823CE7">
        <w:rPr>
          <w:color w:val="000000"/>
          <w:sz w:val="22"/>
          <w:szCs w:val="22"/>
          <w:lang w:val="sr-Latn-CS"/>
        </w:rPr>
        <w:t>.</w:t>
      </w:r>
      <w:r w:rsidRPr="00823CE7">
        <w:rPr>
          <w:color w:val="000000"/>
          <w:sz w:val="22"/>
          <w:szCs w:val="22"/>
        </w:rPr>
        <w:t>D</w:t>
      </w:r>
      <w:r w:rsidRPr="00823CE7">
        <w:rPr>
          <w:color w:val="000000"/>
          <w:sz w:val="22"/>
          <w:szCs w:val="22"/>
          <w:lang w:val="sr-Latn-CS"/>
        </w:rPr>
        <w:t xml:space="preserve">. </w:t>
      </w:r>
      <w:r w:rsidRPr="00823CE7">
        <w:rPr>
          <w:color w:val="000000"/>
          <w:sz w:val="22"/>
          <w:szCs w:val="22"/>
        </w:rPr>
        <w:t>Vr</w:t>
      </w:r>
      <w:r w:rsidRPr="00823CE7">
        <w:rPr>
          <w:color w:val="000000"/>
          <w:sz w:val="22"/>
          <w:szCs w:val="22"/>
          <w:lang w:val="sr-Latn-RS"/>
        </w:rPr>
        <w:t>šac  Poslovna jedinica Podgorica</w:t>
      </w:r>
    </w:p>
    <w:p w:rsidR="00823CE7" w:rsidRPr="00823CE7" w:rsidRDefault="00823CE7" w:rsidP="00823CE7">
      <w:pPr>
        <w:rPr>
          <w:color w:val="000000"/>
          <w:sz w:val="22"/>
          <w:szCs w:val="22"/>
          <w:lang w:val="sr-Latn-CS"/>
        </w:rPr>
      </w:pPr>
    </w:p>
    <w:p w:rsidR="00823CE7" w:rsidRPr="00823CE7" w:rsidRDefault="00823CE7" w:rsidP="00823CE7">
      <w:pPr>
        <w:ind w:firstLine="720"/>
        <w:rPr>
          <w:color w:val="000000"/>
          <w:sz w:val="22"/>
          <w:szCs w:val="22"/>
          <w:lang w:val="it-IT"/>
        </w:rPr>
      </w:pPr>
      <w:r w:rsidRPr="00823CE7">
        <w:rPr>
          <w:b/>
          <w:color w:val="000000"/>
          <w:sz w:val="22"/>
          <w:szCs w:val="22"/>
          <w:lang w:val="it-IT"/>
        </w:rPr>
        <w:t>Adresa:</w:t>
      </w:r>
      <w:r w:rsidRPr="00823CE7">
        <w:rPr>
          <w:color w:val="000000"/>
          <w:sz w:val="22"/>
          <w:szCs w:val="22"/>
          <w:lang w:val="it-IT"/>
        </w:rPr>
        <w:t xml:space="preserve"> </w:t>
      </w:r>
      <w:r w:rsidRPr="00823CE7">
        <w:rPr>
          <w:color w:val="000000"/>
          <w:sz w:val="22"/>
          <w:szCs w:val="22"/>
          <w:lang w:val="it-IT"/>
        </w:rPr>
        <w:tab/>
      </w:r>
      <w:r w:rsidRPr="00823CE7">
        <w:rPr>
          <w:color w:val="000000"/>
          <w:sz w:val="22"/>
          <w:szCs w:val="22"/>
          <w:lang w:val="it-IT"/>
        </w:rPr>
        <w:tab/>
        <w:t>8 marta 55A, Podgorica, Crna Gora</w:t>
      </w: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r w:rsidRPr="00823CE7">
        <w:rPr>
          <w:b/>
          <w:bCs/>
          <w:sz w:val="22"/>
          <w:szCs w:val="22"/>
        </w:rPr>
        <w:t>1. NAZIV LIJEKA</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Diprian®, 80 mg, tableta sa modifikovanim oslobađanjem</w:t>
      </w:r>
    </w:p>
    <w:p w:rsidR="00823CE7" w:rsidRPr="00823CE7" w:rsidRDefault="00823CE7" w:rsidP="00823CE7">
      <w:pPr>
        <w:rPr>
          <w:sz w:val="22"/>
          <w:szCs w:val="22"/>
        </w:rPr>
      </w:pPr>
      <w:r w:rsidRPr="00823CE7">
        <w:rPr>
          <w:sz w:val="22"/>
          <w:szCs w:val="22"/>
        </w:rPr>
        <w:t>INN: gliklazid</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2. KVALITATIVNI I KVANTITATIVNI SASTAV</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1 tableta sa modifikovanim oslobađanjem sadrži: gliklazid 80 mg</w:t>
      </w:r>
    </w:p>
    <w:p w:rsidR="00823CE7" w:rsidRPr="00823CE7" w:rsidRDefault="00823CE7" w:rsidP="00823CE7">
      <w:pPr>
        <w:rPr>
          <w:sz w:val="22"/>
          <w:szCs w:val="22"/>
        </w:rPr>
      </w:pPr>
    </w:p>
    <w:p w:rsidR="00823CE7" w:rsidRPr="00823CE7" w:rsidRDefault="00823CE7" w:rsidP="00823CE7">
      <w:pPr>
        <w:rPr>
          <w:sz w:val="22"/>
          <w:szCs w:val="22"/>
        </w:rPr>
      </w:pPr>
      <w:r w:rsidRPr="00823CE7">
        <w:rPr>
          <w:sz w:val="22"/>
          <w:szCs w:val="22"/>
        </w:rPr>
        <w:t xml:space="preserve">Pomoćne supstance sa potvrđenim dejstvom: svaka tableta sa modifikovanim oslobađanjem sadrži 66,3 mg laktoze, monohidrat. </w:t>
      </w:r>
    </w:p>
    <w:p w:rsidR="00823CE7" w:rsidRPr="00823CE7" w:rsidRDefault="00823CE7" w:rsidP="00823CE7">
      <w:pPr>
        <w:rPr>
          <w:sz w:val="22"/>
          <w:szCs w:val="22"/>
        </w:rPr>
      </w:pPr>
    </w:p>
    <w:p w:rsidR="00823CE7" w:rsidRPr="00823CE7" w:rsidRDefault="00823CE7" w:rsidP="00823CE7">
      <w:pPr>
        <w:rPr>
          <w:sz w:val="22"/>
          <w:szCs w:val="22"/>
        </w:rPr>
      </w:pPr>
      <w:r w:rsidRPr="00823CE7">
        <w:rPr>
          <w:sz w:val="22"/>
          <w:szCs w:val="22"/>
        </w:rPr>
        <w:t>Za listu svih pomoćnih supstanci vidjeti odjeljak 6.1.</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3. FARMACEUTSKI OBLIK</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 xml:space="preserve">Tablete sa modifikovanim oslobađanjem. </w:t>
      </w:r>
    </w:p>
    <w:p w:rsidR="00823CE7" w:rsidRPr="00823CE7" w:rsidRDefault="00823CE7" w:rsidP="00823CE7">
      <w:pPr>
        <w:rPr>
          <w:sz w:val="22"/>
          <w:szCs w:val="22"/>
        </w:rPr>
      </w:pPr>
      <w:r w:rsidRPr="00823CE7">
        <w:rPr>
          <w:sz w:val="22"/>
          <w:szCs w:val="22"/>
        </w:rPr>
        <w:t>Okrugle, pljosnate tablete bijele do skoro bijele boje sa utisnutom podionom crtom sa jedne strane.</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4. KLINIČKI PODACI</w:t>
      </w:r>
    </w:p>
    <w:p w:rsidR="00823CE7" w:rsidRPr="00823CE7" w:rsidRDefault="00823CE7" w:rsidP="00823CE7">
      <w:pPr>
        <w:rPr>
          <w:b/>
          <w:bCs/>
          <w:sz w:val="22"/>
          <w:szCs w:val="22"/>
        </w:rPr>
      </w:pPr>
    </w:p>
    <w:p w:rsidR="00823CE7" w:rsidRPr="00823CE7" w:rsidRDefault="00823CE7" w:rsidP="00823CE7">
      <w:pPr>
        <w:rPr>
          <w:b/>
          <w:bCs/>
          <w:sz w:val="22"/>
          <w:szCs w:val="22"/>
        </w:rPr>
      </w:pPr>
      <w:r w:rsidRPr="00823CE7">
        <w:rPr>
          <w:b/>
          <w:bCs/>
          <w:sz w:val="22"/>
          <w:szCs w:val="22"/>
        </w:rPr>
        <w:t>4.1. Terapijske indikacije</w:t>
      </w:r>
    </w:p>
    <w:p w:rsidR="00823CE7" w:rsidRPr="00823CE7" w:rsidRDefault="00823CE7" w:rsidP="00823CE7">
      <w:pPr>
        <w:rPr>
          <w:b/>
          <w:bCs/>
          <w:sz w:val="22"/>
          <w:szCs w:val="22"/>
        </w:rPr>
      </w:pPr>
    </w:p>
    <w:p w:rsidR="00823CE7" w:rsidRPr="00823CE7" w:rsidRDefault="00823CE7" w:rsidP="00823CE7">
      <w:pPr>
        <w:jc w:val="both"/>
        <w:rPr>
          <w:sz w:val="22"/>
          <w:szCs w:val="22"/>
        </w:rPr>
      </w:pPr>
      <w:r w:rsidRPr="00823CE7">
        <w:rPr>
          <w:sz w:val="22"/>
          <w:szCs w:val="22"/>
        </w:rPr>
        <w:t xml:space="preserve">Diprian tablete se koriste u terapiji insulin nezavisnog </w:t>
      </w:r>
      <w:r w:rsidRPr="00823CE7">
        <w:rPr>
          <w:i/>
          <w:iCs/>
          <w:sz w:val="22"/>
          <w:szCs w:val="22"/>
        </w:rPr>
        <w:t>diabetes mellitus</w:t>
      </w:r>
      <w:r w:rsidRPr="00823CE7">
        <w:rPr>
          <w:sz w:val="22"/>
          <w:szCs w:val="22"/>
        </w:rPr>
        <w:t>-a (tip 2), kada dijeta, fizička</w:t>
      </w:r>
    </w:p>
    <w:p w:rsidR="00823CE7" w:rsidRPr="00823CE7" w:rsidRDefault="00823CE7" w:rsidP="00823CE7">
      <w:pPr>
        <w:jc w:val="both"/>
        <w:rPr>
          <w:sz w:val="22"/>
          <w:szCs w:val="22"/>
        </w:rPr>
      </w:pPr>
      <w:r w:rsidRPr="00823CE7">
        <w:rPr>
          <w:sz w:val="22"/>
          <w:szCs w:val="22"/>
        </w:rPr>
        <w:t>aktivnost i smanjenje tjelesne mase nijesu dovoljni za kontrolu glukoze u krvi.</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4.2. Doziranje i način primjene</w:t>
      </w:r>
    </w:p>
    <w:p w:rsidR="00823CE7" w:rsidRPr="00823CE7" w:rsidRDefault="00823CE7" w:rsidP="00823CE7">
      <w:pPr>
        <w:rPr>
          <w:b/>
          <w:bCs/>
          <w:sz w:val="22"/>
          <w:szCs w:val="22"/>
        </w:rPr>
      </w:pPr>
    </w:p>
    <w:p w:rsidR="00823CE7" w:rsidRPr="00823CE7" w:rsidRDefault="00823CE7" w:rsidP="00823CE7">
      <w:pPr>
        <w:jc w:val="both"/>
        <w:rPr>
          <w:sz w:val="22"/>
          <w:szCs w:val="22"/>
        </w:rPr>
      </w:pPr>
      <w:r w:rsidRPr="00823CE7">
        <w:rPr>
          <w:sz w:val="22"/>
          <w:szCs w:val="22"/>
        </w:rPr>
        <w:t>Oralna primjena.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Doziranje:</w:t>
      </w:r>
    </w:p>
    <w:p w:rsidR="00823CE7" w:rsidRPr="00823CE7" w:rsidRDefault="00823CE7" w:rsidP="00AF7120">
      <w:pPr>
        <w:pStyle w:val="ListParagraph"/>
        <w:numPr>
          <w:ilvl w:val="0"/>
          <w:numId w:val="1"/>
        </w:numPr>
        <w:spacing w:line="259" w:lineRule="auto"/>
        <w:jc w:val="both"/>
        <w:rPr>
          <w:iCs/>
          <w:sz w:val="22"/>
          <w:szCs w:val="22"/>
          <w:u w:val="single"/>
        </w:rPr>
      </w:pPr>
      <w:r w:rsidRPr="00823CE7">
        <w:rPr>
          <w:iCs/>
          <w:sz w:val="22"/>
          <w:szCs w:val="22"/>
          <w:u w:val="single"/>
        </w:rPr>
        <w:t>Početna doza</w:t>
      </w:r>
    </w:p>
    <w:p w:rsidR="00823CE7" w:rsidRPr="00823CE7" w:rsidRDefault="00823CE7" w:rsidP="00823CE7">
      <w:pPr>
        <w:jc w:val="both"/>
        <w:rPr>
          <w:sz w:val="22"/>
          <w:szCs w:val="22"/>
        </w:rPr>
      </w:pPr>
      <w:r w:rsidRPr="00823CE7">
        <w:rPr>
          <w:sz w:val="22"/>
          <w:szCs w:val="22"/>
        </w:rPr>
        <w:t>Ukupna dnevna doza može varirati od 40 do 320 mg. Dozu treba prilagoditi individualnim potrebama pacijenta. Terapiju započeti dozom od 40-80 mg (1/2 – 1 tableta) dnevno i povećavati dok se ne postigne zadovoljavajući terapijski odgovor. Pojedinačna doza ne treba da bude veća od 160 mg (2 tablete). Kada su neophodne veće doze, lijek Diprian treba uzimati 2 puta dnevno uz glavne obroke.</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Kod gojaznih pacijenata ili onih koji ne pokazuju odgovarajući terapijski odgovor na lijek Diprian, može biti neophodna dodatna terapija.</w:t>
      </w:r>
    </w:p>
    <w:p w:rsidR="00823CE7" w:rsidRPr="00823CE7" w:rsidRDefault="00823CE7" w:rsidP="00823CE7">
      <w:pPr>
        <w:jc w:val="both"/>
        <w:rPr>
          <w:sz w:val="22"/>
          <w:szCs w:val="22"/>
        </w:rPr>
      </w:pPr>
    </w:p>
    <w:p w:rsidR="00823CE7" w:rsidRPr="00823CE7" w:rsidRDefault="00823CE7" w:rsidP="00AF7120">
      <w:pPr>
        <w:pStyle w:val="ListParagraph"/>
        <w:numPr>
          <w:ilvl w:val="0"/>
          <w:numId w:val="1"/>
        </w:numPr>
        <w:spacing w:line="259" w:lineRule="auto"/>
        <w:jc w:val="both"/>
        <w:rPr>
          <w:iCs/>
          <w:sz w:val="22"/>
          <w:szCs w:val="22"/>
          <w:u w:val="single"/>
        </w:rPr>
      </w:pPr>
      <w:r w:rsidRPr="00823CE7">
        <w:rPr>
          <w:iCs/>
          <w:sz w:val="22"/>
          <w:szCs w:val="22"/>
          <w:u w:val="single"/>
        </w:rPr>
        <w:t>Prelazak sa liječenja nekim drugim oralnim antidijabetikom na liječenje lijekom Diprian, 80 mg, tablete</w:t>
      </w:r>
    </w:p>
    <w:p w:rsidR="00823CE7" w:rsidRPr="00823CE7" w:rsidRDefault="00823CE7" w:rsidP="00823CE7">
      <w:pPr>
        <w:jc w:val="both"/>
        <w:rPr>
          <w:sz w:val="22"/>
          <w:szCs w:val="22"/>
        </w:rPr>
      </w:pPr>
      <w:r w:rsidRPr="00823CE7">
        <w:rPr>
          <w:sz w:val="22"/>
          <w:szCs w:val="22"/>
        </w:rPr>
        <w:t>Lijek Diprian se može primjeniti umjesto drugih oralnih antidijabetika.</w:t>
      </w:r>
    </w:p>
    <w:p w:rsidR="00823CE7" w:rsidRPr="00823CE7" w:rsidRDefault="00823CE7" w:rsidP="00823CE7">
      <w:pPr>
        <w:jc w:val="both"/>
        <w:rPr>
          <w:sz w:val="22"/>
          <w:szCs w:val="22"/>
        </w:rPr>
      </w:pPr>
      <w:r w:rsidRPr="00823CE7">
        <w:rPr>
          <w:sz w:val="22"/>
          <w:szCs w:val="22"/>
        </w:rPr>
        <w:t>Prije prelaska na lijek Diprian mora se uzeti u obzir doza i poluvrijeme eliminacije prethodno primjenjivanog lijeka.</w:t>
      </w:r>
    </w:p>
    <w:p w:rsidR="00823CE7" w:rsidRPr="00823CE7" w:rsidRDefault="00823CE7" w:rsidP="00823CE7">
      <w:pPr>
        <w:jc w:val="both"/>
        <w:rPr>
          <w:sz w:val="22"/>
          <w:szCs w:val="22"/>
        </w:rPr>
      </w:pPr>
      <w:r w:rsidRPr="00823CE7">
        <w:rPr>
          <w:sz w:val="22"/>
          <w:szCs w:val="22"/>
        </w:rPr>
        <w:lastRenderedPageBreak/>
        <w:t>Uglavnom nije potreban prelazni period. Započinje se sa dozom od 40 – 80 mg (1/2 – 1 tableta). Doza lijeka se prilagođava terapijskom odgovoru tj. nivou glukoze u krvi kako je prethodno opisano.</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Pri prelasku sa liječenja antidijabetikom iz grupe derivata sulfoniluree sa produženim poluvremenom eliminacije, prelazni period od nekoliko dana bez liječenja može biti potreban, da bi se izbjeglo aditivno dejstvo dva lijeka koje može da prouzrokuje hipoglikemiju.</w:t>
      </w:r>
    </w:p>
    <w:p w:rsidR="00823CE7" w:rsidRPr="00823CE7" w:rsidRDefault="00823CE7" w:rsidP="00823CE7">
      <w:pPr>
        <w:rPr>
          <w:sz w:val="22"/>
          <w:szCs w:val="22"/>
        </w:rPr>
      </w:pPr>
    </w:p>
    <w:p w:rsidR="00823CE7" w:rsidRPr="00823CE7" w:rsidRDefault="00823CE7" w:rsidP="00AF7120">
      <w:pPr>
        <w:pStyle w:val="ListParagraph"/>
        <w:numPr>
          <w:ilvl w:val="0"/>
          <w:numId w:val="2"/>
        </w:numPr>
        <w:spacing w:line="259" w:lineRule="auto"/>
        <w:jc w:val="both"/>
        <w:rPr>
          <w:iCs/>
          <w:sz w:val="22"/>
          <w:szCs w:val="22"/>
          <w:u w:val="single"/>
        </w:rPr>
      </w:pPr>
      <w:r w:rsidRPr="00823CE7">
        <w:rPr>
          <w:iCs/>
          <w:sz w:val="22"/>
          <w:szCs w:val="22"/>
          <w:u w:val="single"/>
        </w:rPr>
        <w:t>Kombinovano liječenje sa drugim antidijabeticima</w:t>
      </w:r>
    </w:p>
    <w:p w:rsidR="00823CE7" w:rsidRPr="00823CE7" w:rsidRDefault="00823CE7" w:rsidP="00823CE7">
      <w:pPr>
        <w:jc w:val="both"/>
        <w:rPr>
          <w:sz w:val="22"/>
          <w:szCs w:val="22"/>
        </w:rPr>
      </w:pPr>
      <w:r w:rsidRPr="00823CE7">
        <w:rPr>
          <w:sz w:val="22"/>
          <w:szCs w:val="22"/>
        </w:rPr>
        <w:t>Lijek Diprian se može primjenjivati u kombinaciji sa bigvanidima, inhibitorima alfa-glukozidaze i insulinom.</w:t>
      </w:r>
    </w:p>
    <w:p w:rsidR="00823CE7" w:rsidRPr="00823CE7" w:rsidRDefault="00823CE7" w:rsidP="00823CE7">
      <w:pPr>
        <w:jc w:val="both"/>
        <w:rPr>
          <w:sz w:val="22"/>
          <w:szCs w:val="22"/>
        </w:rPr>
      </w:pPr>
      <w:r w:rsidRPr="00823CE7">
        <w:rPr>
          <w:sz w:val="22"/>
          <w:szCs w:val="22"/>
        </w:rPr>
        <w:t>Kod pacijenata kod kojih se primjenom lijeka Diprian ne postiže zadovoljavajući terapijski odgovor, može se</w:t>
      </w:r>
    </w:p>
    <w:p w:rsidR="00823CE7" w:rsidRPr="00823CE7" w:rsidRDefault="00823CE7" w:rsidP="00823CE7">
      <w:pPr>
        <w:jc w:val="both"/>
        <w:rPr>
          <w:sz w:val="22"/>
          <w:szCs w:val="22"/>
        </w:rPr>
      </w:pPr>
      <w:r w:rsidRPr="00823CE7">
        <w:rPr>
          <w:sz w:val="22"/>
          <w:szCs w:val="22"/>
        </w:rPr>
        <w:t>uvesti istovremena terapija insulinom pod strogim medicinskim nadzorom.</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Posebne populacije</w:t>
      </w:r>
    </w:p>
    <w:p w:rsidR="00823CE7" w:rsidRPr="00823CE7" w:rsidRDefault="00823CE7" w:rsidP="00823CE7">
      <w:pPr>
        <w:jc w:val="both"/>
        <w:rPr>
          <w:sz w:val="22"/>
          <w:szCs w:val="22"/>
        </w:rPr>
      </w:pPr>
      <w:r w:rsidRPr="00823CE7">
        <w:rPr>
          <w:i/>
          <w:iCs/>
          <w:sz w:val="22"/>
          <w:szCs w:val="22"/>
        </w:rPr>
        <w:t>Starije osobe</w:t>
      </w:r>
      <w:r w:rsidRPr="00823CE7">
        <w:rPr>
          <w:sz w:val="22"/>
          <w:szCs w:val="22"/>
        </w:rPr>
        <w:t>:</w:t>
      </w:r>
    </w:p>
    <w:p w:rsidR="00823CE7" w:rsidRPr="00823CE7" w:rsidRDefault="00823CE7" w:rsidP="00823CE7">
      <w:pPr>
        <w:jc w:val="both"/>
        <w:rPr>
          <w:sz w:val="22"/>
          <w:szCs w:val="22"/>
        </w:rPr>
      </w:pPr>
      <w:r w:rsidRPr="00823CE7">
        <w:rPr>
          <w:sz w:val="22"/>
          <w:szCs w:val="22"/>
        </w:rPr>
        <w:t>Lijek Diprian treba propisivati koristeći isti režim doziranja kao kod pacijenata mlađih od 65 godina.</w:t>
      </w:r>
    </w:p>
    <w:p w:rsidR="00823CE7" w:rsidRPr="00823CE7" w:rsidRDefault="00823CE7" w:rsidP="00823CE7">
      <w:pPr>
        <w:jc w:val="both"/>
        <w:rPr>
          <w:sz w:val="22"/>
          <w:szCs w:val="22"/>
        </w:rPr>
      </w:pPr>
    </w:p>
    <w:p w:rsidR="00823CE7" w:rsidRPr="00823CE7" w:rsidRDefault="00823CE7" w:rsidP="00823CE7">
      <w:pPr>
        <w:jc w:val="both"/>
        <w:rPr>
          <w:i/>
          <w:iCs/>
          <w:sz w:val="22"/>
          <w:szCs w:val="22"/>
        </w:rPr>
      </w:pPr>
      <w:r w:rsidRPr="00823CE7">
        <w:rPr>
          <w:i/>
          <w:iCs/>
          <w:sz w:val="22"/>
          <w:szCs w:val="22"/>
        </w:rPr>
        <w:t>Pacijenti sa oštećenom funkcijom bubrega:</w:t>
      </w:r>
    </w:p>
    <w:p w:rsidR="00823CE7" w:rsidRPr="00823CE7" w:rsidRDefault="00823CE7" w:rsidP="00823CE7">
      <w:pPr>
        <w:jc w:val="both"/>
        <w:rPr>
          <w:sz w:val="22"/>
          <w:szCs w:val="22"/>
        </w:rPr>
      </w:pPr>
      <w:r w:rsidRPr="00823CE7">
        <w:rPr>
          <w:sz w:val="22"/>
          <w:szCs w:val="22"/>
        </w:rPr>
        <w:t>Kod pacijenata sa blagim i umjerenim oštećenjem funkcije bubrega može se primjeniti isti režim doziranja kao</w:t>
      </w:r>
    </w:p>
    <w:p w:rsidR="00823CE7" w:rsidRPr="00823CE7" w:rsidRDefault="00823CE7" w:rsidP="00823CE7">
      <w:pPr>
        <w:jc w:val="both"/>
        <w:rPr>
          <w:sz w:val="22"/>
          <w:szCs w:val="22"/>
        </w:rPr>
      </w:pPr>
      <w:r w:rsidRPr="00823CE7">
        <w:rPr>
          <w:sz w:val="22"/>
          <w:szCs w:val="22"/>
        </w:rPr>
        <w:t>i kod pacijenata sa normalnom bubrežnom funkcijom, uz pažljivo praćenje pacijenta. Ovi podaci potvrđeni su u kliničkim studijama.</w:t>
      </w:r>
    </w:p>
    <w:p w:rsidR="00823CE7" w:rsidRPr="00823CE7" w:rsidRDefault="00823CE7" w:rsidP="00823CE7">
      <w:pPr>
        <w:jc w:val="both"/>
        <w:rPr>
          <w:sz w:val="22"/>
          <w:szCs w:val="22"/>
        </w:rPr>
      </w:pPr>
    </w:p>
    <w:p w:rsidR="00823CE7" w:rsidRPr="00823CE7" w:rsidRDefault="00823CE7" w:rsidP="00823CE7">
      <w:pPr>
        <w:jc w:val="both"/>
        <w:rPr>
          <w:i/>
          <w:iCs/>
          <w:sz w:val="22"/>
          <w:szCs w:val="22"/>
        </w:rPr>
      </w:pPr>
      <w:r w:rsidRPr="00823CE7">
        <w:rPr>
          <w:i/>
          <w:iCs/>
          <w:sz w:val="22"/>
          <w:szCs w:val="22"/>
        </w:rPr>
        <w:t>Pacijenti sa rizikom od hipoglikemije:</w:t>
      </w:r>
    </w:p>
    <w:p w:rsidR="00823CE7" w:rsidRPr="00823CE7" w:rsidRDefault="00823CE7" w:rsidP="00AF7120">
      <w:pPr>
        <w:pStyle w:val="ListParagraph"/>
        <w:numPr>
          <w:ilvl w:val="0"/>
          <w:numId w:val="2"/>
        </w:numPr>
        <w:spacing w:line="259" w:lineRule="auto"/>
        <w:jc w:val="both"/>
        <w:rPr>
          <w:sz w:val="22"/>
          <w:szCs w:val="22"/>
        </w:rPr>
      </w:pPr>
      <w:r w:rsidRPr="00823CE7">
        <w:rPr>
          <w:sz w:val="22"/>
          <w:szCs w:val="22"/>
        </w:rPr>
        <w:t>pothranjeni ili neuhranjeni pacijenti;</w:t>
      </w:r>
    </w:p>
    <w:p w:rsidR="00823CE7" w:rsidRPr="00823CE7" w:rsidRDefault="00823CE7" w:rsidP="00AF7120">
      <w:pPr>
        <w:pStyle w:val="ListParagraph"/>
        <w:numPr>
          <w:ilvl w:val="0"/>
          <w:numId w:val="2"/>
        </w:numPr>
        <w:spacing w:line="259" w:lineRule="auto"/>
        <w:jc w:val="both"/>
        <w:rPr>
          <w:sz w:val="22"/>
          <w:szCs w:val="22"/>
        </w:rPr>
      </w:pPr>
      <w:r w:rsidRPr="00823CE7">
        <w:rPr>
          <w:sz w:val="22"/>
          <w:szCs w:val="22"/>
        </w:rPr>
        <w:t>pacijenti sa teškim ili loše kompenzovanim poremećajem endokrinog sistema (hipopituitarizam, hipotireoidizam, adrenokortikalna insuficijencija);</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pacijenti kojima je prekinuta dugotrajna terapija kortikosteroidima i/ili terapija visokim dozama kortikosteroida;</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pacijenti sa teškim vaskularnim oboljenjem (teška koronarna srčana bolest, teška karotidna insuficijencija, difuzno vaskularno oboljenje).</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Preporučuje se minimalna početna doza od 40 mg do 80 mg.</w:t>
      </w:r>
    </w:p>
    <w:p w:rsidR="00823CE7" w:rsidRPr="00823CE7" w:rsidRDefault="00823CE7" w:rsidP="00823CE7">
      <w:pPr>
        <w:rPr>
          <w:sz w:val="22"/>
          <w:szCs w:val="22"/>
        </w:rPr>
      </w:pPr>
    </w:p>
    <w:p w:rsidR="00823CE7" w:rsidRPr="00823CE7" w:rsidRDefault="00823CE7" w:rsidP="00823CE7">
      <w:pPr>
        <w:jc w:val="both"/>
        <w:rPr>
          <w:i/>
          <w:iCs/>
          <w:sz w:val="22"/>
          <w:szCs w:val="22"/>
        </w:rPr>
      </w:pPr>
      <w:r w:rsidRPr="00823CE7">
        <w:rPr>
          <w:i/>
          <w:iCs/>
          <w:sz w:val="22"/>
          <w:szCs w:val="22"/>
        </w:rPr>
        <w:t>Pedijatrijska populacija:</w:t>
      </w:r>
    </w:p>
    <w:p w:rsidR="00823CE7" w:rsidRPr="00823CE7" w:rsidRDefault="00823CE7" w:rsidP="00823CE7">
      <w:pPr>
        <w:jc w:val="both"/>
        <w:rPr>
          <w:sz w:val="22"/>
          <w:szCs w:val="22"/>
        </w:rPr>
      </w:pPr>
      <w:r w:rsidRPr="00823CE7">
        <w:rPr>
          <w:sz w:val="22"/>
          <w:szCs w:val="22"/>
        </w:rPr>
        <w:t>Bezbjednost i efikasnost primjene lijeka Diprian kod djece i adolescenata nije utvrđena. Nema odgovarajućih podataka.</w:t>
      </w:r>
    </w:p>
    <w:p w:rsidR="00823CE7" w:rsidRPr="00823CE7" w:rsidRDefault="00823CE7" w:rsidP="00823CE7">
      <w:pPr>
        <w:rPr>
          <w:sz w:val="22"/>
          <w:szCs w:val="22"/>
        </w:rPr>
      </w:pPr>
    </w:p>
    <w:p w:rsidR="00823CE7" w:rsidRPr="00823CE7" w:rsidRDefault="00823CE7" w:rsidP="00823CE7">
      <w:pPr>
        <w:rPr>
          <w:b/>
          <w:bCs/>
          <w:sz w:val="22"/>
          <w:szCs w:val="22"/>
        </w:rPr>
      </w:pPr>
    </w:p>
    <w:p w:rsidR="00823CE7" w:rsidRPr="00823CE7" w:rsidRDefault="00823CE7" w:rsidP="00823CE7">
      <w:pPr>
        <w:rPr>
          <w:b/>
          <w:bCs/>
          <w:sz w:val="22"/>
          <w:szCs w:val="22"/>
        </w:rPr>
      </w:pPr>
      <w:r w:rsidRPr="00823CE7">
        <w:rPr>
          <w:b/>
          <w:bCs/>
          <w:sz w:val="22"/>
          <w:szCs w:val="22"/>
        </w:rPr>
        <w:t>4.3. Kontraindikacije</w:t>
      </w:r>
    </w:p>
    <w:p w:rsidR="00823CE7" w:rsidRPr="00823CE7" w:rsidRDefault="00823CE7" w:rsidP="00823CE7">
      <w:pPr>
        <w:rPr>
          <w:b/>
          <w:bCs/>
          <w:sz w:val="22"/>
          <w:szCs w:val="22"/>
        </w:rPr>
      </w:pP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Preosjetljivost na gliklazid, druge derivate sulfoniluree, sulfonamide ili na bilo koju od pomoćnih supstanci navedenih u odjeljku 6.1.</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Dijabetes melitus tip 1.</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Dijabetesno prekomatozno stanje i koma, dijabetesna ketoacidoza.</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Teška renalna ili hepatična insuficijencija; u ovim slučajevima preporučuje se primjena insulina.</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t>Liječenje mikonazolom (vidjeti odjeljak 4.5).</w:t>
      </w:r>
    </w:p>
    <w:p w:rsidR="00823CE7" w:rsidRPr="00823CE7" w:rsidRDefault="00823CE7" w:rsidP="00AF7120">
      <w:pPr>
        <w:pStyle w:val="ListParagraph"/>
        <w:numPr>
          <w:ilvl w:val="0"/>
          <w:numId w:val="3"/>
        </w:numPr>
        <w:spacing w:line="259" w:lineRule="auto"/>
        <w:jc w:val="both"/>
        <w:rPr>
          <w:sz w:val="22"/>
          <w:szCs w:val="22"/>
        </w:rPr>
      </w:pPr>
      <w:r w:rsidRPr="00823CE7">
        <w:rPr>
          <w:sz w:val="22"/>
          <w:szCs w:val="22"/>
        </w:rPr>
        <w:lastRenderedPageBreak/>
        <w:t>Dojenje (vidjeti odjeljak 4.6).</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4.4. Posebna upozorenja i mjere opreza pri upotrebi lijeka</w:t>
      </w:r>
    </w:p>
    <w:p w:rsidR="00823CE7" w:rsidRPr="00823CE7" w:rsidRDefault="00823CE7" w:rsidP="00823CE7">
      <w:pPr>
        <w:rPr>
          <w:b/>
          <w:bCs/>
          <w:sz w:val="22"/>
          <w:szCs w:val="22"/>
        </w:rPr>
      </w:pPr>
    </w:p>
    <w:p w:rsidR="00823CE7" w:rsidRPr="00823CE7" w:rsidRDefault="00823CE7" w:rsidP="00823CE7">
      <w:pPr>
        <w:jc w:val="both"/>
        <w:rPr>
          <w:i/>
          <w:iCs/>
          <w:sz w:val="22"/>
          <w:szCs w:val="22"/>
        </w:rPr>
      </w:pPr>
      <w:r w:rsidRPr="00823CE7">
        <w:rPr>
          <w:i/>
          <w:iCs/>
          <w:sz w:val="22"/>
          <w:szCs w:val="22"/>
        </w:rPr>
        <w:t>Hipoglikemija</w:t>
      </w:r>
    </w:p>
    <w:p w:rsidR="00823CE7" w:rsidRPr="00823CE7" w:rsidRDefault="00823CE7" w:rsidP="00823CE7">
      <w:pPr>
        <w:jc w:val="both"/>
        <w:rPr>
          <w:sz w:val="22"/>
          <w:szCs w:val="22"/>
        </w:rPr>
      </w:pPr>
      <w:r w:rsidRPr="00823CE7">
        <w:rPr>
          <w:sz w:val="22"/>
          <w:szCs w:val="22"/>
        </w:rPr>
        <w:t>Terapiju gliklazidom treba propisati samo pacijentima koji redovno uzimaju hranu (uključujući i doručak). Važno je da pacijent redovno unosi ugljene hidrate zbog povećanog rizika od pojave hipoglikemije, ukoliko se obrok uzima kasno, ukoliko se konzumira neodgovarajuća količina hrane ili ako je hrana siromašna ugljenim hidratima. Postoji veća vjerovatnoća da dođe do hipoglikemije za vrijeme niskokalorijskih dijeta, nakon produženog ili napornog vježbanja, nakon uzimanja alkohola ili ako se koristi kombinacija hipoglikemijskih ljekova.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Hipoglikemija se može pojaviti nakon primjene derivata sulfoniluree (vidjeti odjeljak 4.8). U nekim slučajevima hipoglikemija može biti teška i produžena. Može biti neophodna hospitalizacija, kao i kontinuirana primjena glukoze tokom nekoliko dana.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Neophodan je pažljiv odabir pacijenata, doze koja se koristi i neophodno je dati jasna uputstva pacijentima kako bi se smanjio rizik od nastanka hipoglikemijskih epizoda.</w:t>
      </w:r>
    </w:p>
    <w:p w:rsidR="00823CE7" w:rsidRPr="00823CE7" w:rsidRDefault="00823CE7" w:rsidP="00823CE7">
      <w:pPr>
        <w:rPr>
          <w:sz w:val="22"/>
          <w:szCs w:val="22"/>
        </w:rPr>
      </w:pPr>
    </w:p>
    <w:p w:rsidR="00823CE7" w:rsidRPr="00823CE7" w:rsidRDefault="00823CE7" w:rsidP="00823CE7">
      <w:pPr>
        <w:jc w:val="both"/>
        <w:rPr>
          <w:sz w:val="22"/>
          <w:szCs w:val="22"/>
        </w:rPr>
      </w:pPr>
      <w:r w:rsidRPr="00823CE7">
        <w:rPr>
          <w:sz w:val="22"/>
          <w:szCs w:val="22"/>
        </w:rPr>
        <w:t>Faktori koji povećavaju rizik od pojave hipoglikemije:</w:t>
      </w:r>
    </w:p>
    <w:p w:rsidR="00823CE7" w:rsidRPr="00823CE7" w:rsidRDefault="00823CE7" w:rsidP="00AF7120">
      <w:pPr>
        <w:pStyle w:val="ListParagraph"/>
        <w:numPr>
          <w:ilvl w:val="0"/>
          <w:numId w:val="4"/>
        </w:numPr>
        <w:spacing w:line="259" w:lineRule="auto"/>
        <w:jc w:val="both"/>
        <w:rPr>
          <w:sz w:val="22"/>
          <w:szCs w:val="22"/>
        </w:rPr>
      </w:pPr>
      <w:r w:rsidRPr="00823CE7">
        <w:rPr>
          <w:sz w:val="22"/>
          <w:szCs w:val="22"/>
        </w:rPr>
        <w:t>pacijenti odbijaju ili nijesu u mogućnosti da sarađuju (posebno starije osobe);</w:t>
      </w:r>
    </w:p>
    <w:p w:rsidR="00823CE7" w:rsidRPr="00823CE7" w:rsidRDefault="00823CE7" w:rsidP="00AF7120">
      <w:pPr>
        <w:pStyle w:val="ListParagraph"/>
        <w:numPr>
          <w:ilvl w:val="0"/>
          <w:numId w:val="4"/>
        </w:numPr>
        <w:spacing w:line="259" w:lineRule="auto"/>
        <w:jc w:val="both"/>
        <w:rPr>
          <w:sz w:val="22"/>
          <w:szCs w:val="22"/>
        </w:rPr>
      </w:pPr>
      <w:r w:rsidRPr="00823CE7">
        <w:rPr>
          <w:sz w:val="22"/>
          <w:szCs w:val="22"/>
        </w:rPr>
        <w:t>malnutricija, neredovni obroci, izostavljanje obroka, periodi gladovanja ili promjene u načinu ishrane;</w:t>
      </w:r>
    </w:p>
    <w:p w:rsidR="00823CE7" w:rsidRPr="00823CE7" w:rsidRDefault="00823CE7" w:rsidP="00AF7120">
      <w:pPr>
        <w:pStyle w:val="ListParagraph"/>
        <w:numPr>
          <w:ilvl w:val="0"/>
          <w:numId w:val="5"/>
        </w:numPr>
        <w:spacing w:line="259" w:lineRule="auto"/>
        <w:jc w:val="both"/>
        <w:rPr>
          <w:sz w:val="22"/>
          <w:szCs w:val="22"/>
        </w:rPr>
      </w:pPr>
      <w:r w:rsidRPr="00823CE7">
        <w:rPr>
          <w:sz w:val="22"/>
          <w:szCs w:val="22"/>
        </w:rPr>
        <w:t>disbalans između intenziteta fizičkog vježbanja i unosa ugljenih hidrata;</w:t>
      </w:r>
    </w:p>
    <w:p w:rsidR="00823CE7" w:rsidRPr="00823CE7" w:rsidRDefault="00823CE7" w:rsidP="00AF7120">
      <w:pPr>
        <w:pStyle w:val="ListParagraph"/>
        <w:numPr>
          <w:ilvl w:val="0"/>
          <w:numId w:val="5"/>
        </w:numPr>
        <w:spacing w:line="259" w:lineRule="auto"/>
        <w:jc w:val="both"/>
        <w:rPr>
          <w:sz w:val="22"/>
          <w:szCs w:val="22"/>
        </w:rPr>
      </w:pPr>
      <w:r w:rsidRPr="00823CE7">
        <w:rPr>
          <w:sz w:val="22"/>
          <w:szCs w:val="22"/>
        </w:rPr>
        <w:t>bubrežna insuficijencija;</w:t>
      </w:r>
    </w:p>
    <w:p w:rsidR="00823CE7" w:rsidRPr="00823CE7" w:rsidRDefault="00823CE7" w:rsidP="00AF7120">
      <w:pPr>
        <w:pStyle w:val="ListParagraph"/>
        <w:numPr>
          <w:ilvl w:val="0"/>
          <w:numId w:val="5"/>
        </w:numPr>
        <w:spacing w:line="259" w:lineRule="auto"/>
        <w:jc w:val="both"/>
        <w:rPr>
          <w:sz w:val="22"/>
          <w:szCs w:val="22"/>
        </w:rPr>
      </w:pPr>
      <w:r w:rsidRPr="00823CE7">
        <w:rPr>
          <w:sz w:val="22"/>
          <w:szCs w:val="22"/>
        </w:rPr>
        <w:t>teška insuficijencija jetre;</w:t>
      </w:r>
    </w:p>
    <w:p w:rsidR="00823CE7" w:rsidRPr="00823CE7" w:rsidRDefault="00823CE7" w:rsidP="00AF7120">
      <w:pPr>
        <w:pStyle w:val="ListParagraph"/>
        <w:numPr>
          <w:ilvl w:val="0"/>
          <w:numId w:val="5"/>
        </w:numPr>
        <w:spacing w:line="259" w:lineRule="auto"/>
        <w:jc w:val="both"/>
        <w:rPr>
          <w:sz w:val="22"/>
          <w:szCs w:val="22"/>
        </w:rPr>
      </w:pPr>
      <w:r w:rsidRPr="00823CE7">
        <w:rPr>
          <w:sz w:val="22"/>
          <w:szCs w:val="22"/>
        </w:rPr>
        <w:t>predoziranje gliklazidom;</w:t>
      </w:r>
    </w:p>
    <w:p w:rsidR="00823CE7" w:rsidRPr="00823CE7" w:rsidRDefault="00823CE7" w:rsidP="00AF7120">
      <w:pPr>
        <w:pStyle w:val="ListParagraph"/>
        <w:numPr>
          <w:ilvl w:val="0"/>
          <w:numId w:val="5"/>
        </w:numPr>
        <w:spacing w:line="259" w:lineRule="auto"/>
        <w:jc w:val="both"/>
        <w:rPr>
          <w:sz w:val="22"/>
          <w:szCs w:val="22"/>
        </w:rPr>
      </w:pPr>
      <w:r w:rsidRPr="00823CE7">
        <w:rPr>
          <w:sz w:val="22"/>
          <w:szCs w:val="22"/>
        </w:rPr>
        <w:t>određeni endokrini poremećaji: poremećaji tireoidne žlijezde, hipopituitarizam i insuficijencija nadbubrežne žlijezde;</w:t>
      </w:r>
    </w:p>
    <w:p w:rsidR="00823CE7" w:rsidRPr="00823CE7" w:rsidRDefault="00823CE7" w:rsidP="00AF7120">
      <w:pPr>
        <w:pStyle w:val="ListParagraph"/>
        <w:numPr>
          <w:ilvl w:val="0"/>
          <w:numId w:val="6"/>
        </w:numPr>
        <w:spacing w:line="259" w:lineRule="auto"/>
        <w:jc w:val="both"/>
        <w:rPr>
          <w:sz w:val="22"/>
          <w:szCs w:val="22"/>
        </w:rPr>
      </w:pPr>
      <w:r w:rsidRPr="00823CE7">
        <w:rPr>
          <w:sz w:val="22"/>
          <w:szCs w:val="22"/>
        </w:rPr>
        <w:t>istovremena primjena alkohola ili nekih drugih ljekova (vidjeti odjeljak 4.5).</w:t>
      </w:r>
    </w:p>
    <w:p w:rsidR="00823CE7" w:rsidRPr="00823CE7" w:rsidRDefault="00823CE7" w:rsidP="00823CE7">
      <w:pPr>
        <w:pStyle w:val="ListParagraph"/>
        <w:rPr>
          <w:sz w:val="22"/>
          <w:szCs w:val="22"/>
        </w:rPr>
      </w:pPr>
    </w:p>
    <w:p w:rsidR="00823CE7" w:rsidRPr="00823CE7" w:rsidRDefault="00823CE7" w:rsidP="00823CE7">
      <w:pPr>
        <w:jc w:val="both"/>
        <w:rPr>
          <w:i/>
          <w:iCs/>
          <w:sz w:val="22"/>
          <w:szCs w:val="22"/>
          <w:u w:val="single"/>
        </w:rPr>
      </w:pPr>
      <w:r w:rsidRPr="00823CE7">
        <w:rPr>
          <w:i/>
          <w:iCs/>
          <w:sz w:val="22"/>
          <w:szCs w:val="22"/>
          <w:u w:val="single"/>
        </w:rPr>
        <w:t>Bubrežna insuficijencija i insuficijencija jetre</w:t>
      </w:r>
    </w:p>
    <w:p w:rsidR="00823CE7" w:rsidRPr="00823CE7" w:rsidRDefault="00823CE7" w:rsidP="00823CE7">
      <w:pPr>
        <w:jc w:val="both"/>
        <w:rPr>
          <w:sz w:val="22"/>
          <w:szCs w:val="22"/>
        </w:rPr>
      </w:pPr>
      <w:r w:rsidRPr="00823CE7">
        <w:rPr>
          <w:sz w:val="22"/>
          <w:szCs w:val="22"/>
        </w:rPr>
        <w:t>Farmakokinetika i/ili farmakodinamika gliklazida može biti promijenjena kod pacijenata sa insuficijencijom</w:t>
      </w:r>
    </w:p>
    <w:p w:rsidR="00823CE7" w:rsidRPr="00823CE7" w:rsidRDefault="00823CE7" w:rsidP="00823CE7">
      <w:pPr>
        <w:jc w:val="both"/>
        <w:rPr>
          <w:sz w:val="22"/>
          <w:szCs w:val="22"/>
        </w:rPr>
      </w:pPr>
      <w:r w:rsidRPr="00823CE7">
        <w:rPr>
          <w:sz w:val="22"/>
          <w:szCs w:val="22"/>
        </w:rPr>
        <w:t>jetre ili teškom bubrežnom insuficijencijom. Hipoglikemijske epizode koje se javljaju kod ovih pacijenata mogu biti produžene, tako da je neophodno započeti sa odgovarajućom terapijom.</w:t>
      </w:r>
    </w:p>
    <w:p w:rsidR="00823CE7" w:rsidRPr="00823CE7" w:rsidRDefault="00823CE7" w:rsidP="00823CE7">
      <w:pPr>
        <w:rPr>
          <w:sz w:val="22"/>
          <w:szCs w:val="22"/>
        </w:rPr>
      </w:pPr>
    </w:p>
    <w:p w:rsidR="00823CE7" w:rsidRPr="00823CE7" w:rsidRDefault="00823CE7" w:rsidP="00823CE7">
      <w:pPr>
        <w:rPr>
          <w:i/>
          <w:iCs/>
          <w:sz w:val="22"/>
          <w:szCs w:val="22"/>
          <w:u w:val="single"/>
        </w:rPr>
      </w:pPr>
      <w:r w:rsidRPr="00823CE7">
        <w:rPr>
          <w:i/>
          <w:iCs/>
          <w:sz w:val="22"/>
          <w:szCs w:val="22"/>
          <w:u w:val="single"/>
        </w:rPr>
        <w:t>Informacija za pacijenta</w:t>
      </w:r>
    </w:p>
    <w:p w:rsidR="00823CE7" w:rsidRPr="00823CE7" w:rsidRDefault="00823CE7" w:rsidP="00823CE7">
      <w:pPr>
        <w:jc w:val="both"/>
        <w:rPr>
          <w:sz w:val="22"/>
          <w:szCs w:val="22"/>
        </w:rPr>
      </w:pPr>
      <w:r w:rsidRPr="00823CE7">
        <w:rPr>
          <w:sz w:val="22"/>
          <w:szCs w:val="22"/>
        </w:rPr>
        <w:t>Treba objasniti pacijentu i njegovoj porodici koji su rizici, simptomi, liječenje i koja stanja predisponiraju razvoju hipoglikemije.</w:t>
      </w:r>
    </w:p>
    <w:p w:rsidR="00823CE7" w:rsidRPr="00823CE7" w:rsidRDefault="00823CE7" w:rsidP="00823CE7">
      <w:pPr>
        <w:rPr>
          <w:sz w:val="22"/>
          <w:szCs w:val="22"/>
        </w:rPr>
      </w:pPr>
    </w:p>
    <w:p w:rsidR="00823CE7" w:rsidRPr="00823CE7" w:rsidRDefault="00823CE7" w:rsidP="00823CE7">
      <w:pPr>
        <w:jc w:val="both"/>
        <w:rPr>
          <w:sz w:val="22"/>
          <w:szCs w:val="22"/>
        </w:rPr>
      </w:pPr>
      <w:r w:rsidRPr="00823CE7">
        <w:rPr>
          <w:sz w:val="22"/>
          <w:szCs w:val="22"/>
        </w:rPr>
        <w:t>Neophodno je obavijestiti pacijenta o značaju pridržavanja savjeta o načinu ishrane, redovnom vježbanju i redovnom praćenju nivoa glukoze u krvi.</w:t>
      </w:r>
    </w:p>
    <w:p w:rsidR="00823CE7" w:rsidRPr="00823CE7" w:rsidRDefault="00823CE7" w:rsidP="00823CE7">
      <w:pPr>
        <w:jc w:val="both"/>
        <w:rPr>
          <w:sz w:val="22"/>
          <w:szCs w:val="22"/>
        </w:rPr>
      </w:pPr>
    </w:p>
    <w:p w:rsidR="00823CE7" w:rsidRPr="00823CE7" w:rsidRDefault="00823CE7" w:rsidP="00823CE7">
      <w:pPr>
        <w:rPr>
          <w:i/>
          <w:iCs/>
          <w:sz w:val="22"/>
          <w:szCs w:val="22"/>
          <w:u w:val="single"/>
        </w:rPr>
      </w:pPr>
      <w:r w:rsidRPr="00823CE7">
        <w:rPr>
          <w:i/>
          <w:iCs/>
          <w:sz w:val="22"/>
          <w:szCs w:val="22"/>
          <w:u w:val="single"/>
        </w:rPr>
        <w:t>Slaba kontrola glukoze u krvi</w:t>
      </w:r>
    </w:p>
    <w:p w:rsidR="00823CE7" w:rsidRPr="00823CE7" w:rsidRDefault="00823CE7" w:rsidP="00823CE7">
      <w:pPr>
        <w:jc w:val="both"/>
        <w:rPr>
          <w:sz w:val="22"/>
          <w:szCs w:val="22"/>
        </w:rPr>
      </w:pPr>
      <w:r w:rsidRPr="00823CE7">
        <w:rPr>
          <w:sz w:val="22"/>
          <w:szCs w:val="22"/>
        </w:rPr>
        <w:t>Održavanje optimalne glikemije kod pacijenata koji su na terapiji oralnim antidijabeticima može biti poremećeno sljedećim stanjima: primjena proizvoda koji sadrže kantarion (</w:t>
      </w:r>
      <w:r w:rsidRPr="00823CE7">
        <w:rPr>
          <w:i/>
          <w:iCs/>
          <w:sz w:val="22"/>
          <w:szCs w:val="22"/>
        </w:rPr>
        <w:t>Hypericum perforatum</w:t>
      </w:r>
      <w:r w:rsidRPr="00823CE7">
        <w:rPr>
          <w:sz w:val="22"/>
          <w:szCs w:val="22"/>
        </w:rPr>
        <w:t xml:space="preserve">) (vidjeti </w:t>
      </w:r>
      <w:r w:rsidRPr="00823CE7">
        <w:rPr>
          <w:sz w:val="22"/>
          <w:szCs w:val="22"/>
        </w:rPr>
        <w:lastRenderedPageBreak/>
        <w:t>odjeljak 4.5), groznica, trauma, infekcija ili hirurška intervencija. U nekim slučajevima može biti neophodna primjena insulina.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Kod mnogih pacijenata hipoglikemijski efekat oralnih antidijabetika uključujući gliklazid se smanjuje tokom vremena. To može biti uslovljeno pogoršanjem bolesti (dijabetesa) ili usljed smanjenog odgovora na terapiju. Ovaj fenomen je poznat kao sekundarni terapijski neuspjeh koji se razlikuje od primarnog, gdje se lijek tj. aktivna supstanca pokazao neefikasnim kao lijek prvog izbora. Prije nego što se zaključi da se kod pacijenta javio sekundarni terapijski neuspjeh, treba razmotriti adekvatno prilagođavanje doze lijeka uz provjeru pridržavanja dijetetskog režima.</w:t>
      </w:r>
    </w:p>
    <w:p w:rsidR="00823CE7" w:rsidRPr="00823CE7" w:rsidRDefault="00823CE7" w:rsidP="00823CE7">
      <w:pPr>
        <w:rPr>
          <w:sz w:val="22"/>
          <w:szCs w:val="22"/>
        </w:rPr>
      </w:pPr>
    </w:p>
    <w:p w:rsidR="00823CE7" w:rsidRPr="00823CE7" w:rsidRDefault="00823CE7" w:rsidP="00823CE7">
      <w:pPr>
        <w:jc w:val="both"/>
        <w:rPr>
          <w:i/>
          <w:iCs/>
          <w:sz w:val="22"/>
          <w:szCs w:val="22"/>
        </w:rPr>
      </w:pPr>
      <w:r w:rsidRPr="00823CE7">
        <w:rPr>
          <w:i/>
          <w:iCs/>
          <w:sz w:val="22"/>
          <w:szCs w:val="22"/>
        </w:rPr>
        <w:t>Disglikemija (poremećaj nivoa glukoze u krvi)</w:t>
      </w:r>
    </w:p>
    <w:p w:rsidR="00823CE7" w:rsidRPr="00823CE7" w:rsidRDefault="00823CE7" w:rsidP="00823CE7">
      <w:pPr>
        <w:jc w:val="both"/>
        <w:rPr>
          <w:sz w:val="22"/>
          <w:szCs w:val="22"/>
        </w:rPr>
      </w:pPr>
      <w:r w:rsidRPr="00823CE7">
        <w:rPr>
          <w:sz w:val="22"/>
          <w:szCs w:val="22"/>
        </w:rPr>
        <w:t>Poremećaji u nivou glukoze u krvi (uključujući i hipoglikemiju i hiperglikemiju) prijavljeni su kod pacijenata sa dijabetesom koji istovremeno koriste fluorohinolone, posebno kod starijih osoba. Stroga kontrola nivoa glukoze se preporučuje kod svih pacijenata koji istovremeno koriste gliklazid i fluorohinolone.</w:t>
      </w:r>
    </w:p>
    <w:p w:rsidR="00823CE7" w:rsidRPr="00823CE7" w:rsidRDefault="00823CE7" w:rsidP="00823CE7">
      <w:pPr>
        <w:rPr>
          <w:sz w:val="22"/>
          <w:szCs w:val="22"/>
        </w:rPr>
      </w:pPr>
    </w:p>
    <w:p w:rsidR="00823CE7" w:rsidRPr="00823CE7" w:rsidRDefault="00823CE7" w:rsidP="00823CE7">
      <w:pPr>
        <w:jc w:val="both"/>
        <w:rPr>
          <w:i/>
          <w:iCs/>
          <w:sz w:val="22"/>
          <w:szCs w:val="22"/>
        </w:rPr>
      </w:pPr>
      <w:r w:rsidRPr="00823CE7">
        <w:rPr>
          <w:i/>
          <w:iCs/>
          <w:sz w:val="22"/>
          <w:szCs w:val="22"/>
        </w:rPr>
        <w:t>Laboratorijski testovi</w:t>
      </w:r>
    </w:p>
    <w:p w:rsidR="00823CE7" w:rsidRPr="00823CE7" w:rsidRDefault="00823CE7" w:rsidP="00823CE7">
      <w:pPr>
        <w:jc w:val="both"/>
        <w:rPr>
          <w:sz w:val="22"/>
          <w:szCs w:val="22"/>
        </w:rPr>
      </w:pPr>
      <w:r w:rsidRPr="00823CE7">
        <w:rPr>
          <w:sz w:val="22"/>
          <w:szCs w:val="22"/>
        </w:rPr>
        <w:t>Preporučuje se određivanje koncentracije glikoliziranog hemoglobina (glukoze u venskoj plazmi natašte), u cilju procjene kontrole glikemije. Takođe može biti korisna samokontrola glukoze u krvi.</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Pacijenti sa rijetkim nasljednim oboljenjem intolerancije na galaktozu, nedostakom Lapp laktaze ili glukoznogalaktoznom malapsorpcijom ne smiju koristiti ovaj lijek.</w:t>
      </w:r>
    </w:p>
    <w:p w:rsidR="00823CE7" w:rsidRPr="00823CE7" w:rsidRDefault="00823CE7" w:rsidP="00823CE7">
      <w:pPr>
        <w:rPr>
          <w:sz w:val="22"/>
          <w:szCs w:val="22"/>
        </w:rPr>
      </w:pPr>
    </w:p>
    <w:p w:rsidR="00823CE7" w:rsidRPr="00823CE7" w:rsidRDefault="00823CE7" w:rsidP="00823CE7">
      <w:pPr>
        <w:jc w:val="both"/>
        <w:rPr>
          <w:sz w:val="22"/>
          <w:szCs w:val="22"/>
        </w:rPr>
      </w:pPr>
      <w:r w:rsidRPr="00823CE7">
        <w:rPr>
          <w:sz w:val="22"/>
          <w:szCs w:val="22"/>
        </w:rPr>
        <w:t>Liječenje pacijenata sa deficijencijom glukoza-6-fosfat dehidrogenaze (G6PD) derivatima sulfoniluree može dovesti do hemolitičke anemije. S obzirom na to da gliklazid pripada grupi derivata sulfoniluree, treba biti oprezan kod pacijenata sa deficijencijom glukoza-6-fosfat dehidrogenaze i razmotriti primjenu alternativne terapije ljekovima koji ne pripadaju derivatima sulfoniluree.</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4.5. Interakcije sa drugim ljekovima i druge vrste interakcija</w:t>
      </w:r>
    </w:p>
    <w:p w:rsidR="00823CE7" w:rsidRPr="00823CE7" w:rsidRDefault="00823CE7" w:rsidP="00823CE7">
      <w:pPr>
        <w:rPr>
          <w:b/>
          <w:bCs/>
          <w:sz w:val="22"/>
          <w:szCs w:val="22"/>
        </w:rPr>
      </w:pPr>
    </w:p>
    <w:p w:rsidR="00823CE7" w:rsidRPr="00823CE7" w:rsidRDefault="00823CE7" w:rsidP="00823CE7">
      <w:pPr>
        <w:jc w:val="both"/>
        <w:rPr>
          <w:sz w:val="22"/>
          <w:szCs w:val="22"/>
          <w:u w:val="single"/>
        </w:rPr>
      </w:pPr>
      <w:r w:rsidRPr="00823CE7">
        <w:rPr>
          <w:sz w:val="22"/>
          <w:szCs w:val="22"/>
          <w:u w:val="single"/>
        </w:rPr>
        <w:t>Ljekovi koji će povećati rizik od pojave hipoglikemije</w:t>
      </w:r>
    </w:p>
    <w:p w:rsidR="00823CE7" w:rsidRPr="00823CE7" w:rsidRDefault="00823CE7" w:rsidP="00823CE7">
      <w:pPr>
        <w:jc w:val="both"/>
        <w:rPr>
          <w:i/>
          <w:iCs/>
          <w:sz w:val="22"/>
          <w:szCs w:val="22"/>
        </w:rPr>
      </w:pPr>
      <w:r w:rsidRPr="00823CE7">
        <w:rPr>
          <w:i/>
          <w:iCs/>
          <w:sz w:val="22"/>
          <w:szCs w:val="22"/>
        </w:rPr>
        <w:t>Kontraindikovane kombinacije</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 xml:space="preserve">Mikonazol </w:t>
      </w:r>
      <w:r w:rsidRPr="00823CE7">
        <w:rPr>
          <w:sz w:val="22"/>
          <w:szCs w:val="22"/>
        </w:rPr>
        <w:t>(sistemska primjena, oromukozalni gel): povećava hipoglikemijsko dejstvo sa mogućom pojavom simptoma hipoglikemije, ili čak i kome.</w:t>
      </w:r>
    </w:p>
    <w:p w:rsidR="00823CE7" w:rsidRPr="00823CE7" w:rsidRDefault="00823CE7" w:rsidP="00823CE7">
      <w:pPr>
        <w:jc w:val="both"/>
        <w:rPr>
          <w:i/>
          <w:iCs/>
          <w:sz w:val="22"/>
          <w:szCs w:val="22"/>
        </w:rPr>
      </w:pPr>
      <w:r w:rsidRPr="00823CE7">
        <w:rPr>
          <w:i/>
          <w:iCs/>
          <w:sz w:val="22"/>
          <w:szCs w:val="22"/>
        </w:rPr>
        <w:t>Kombinacije koje se ne preporučuju</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 xml:space="preserve">Fenilbutazon </w:t>
      </w:r>
      <w:r w:rsidRPr="00823CE7">
        <w:rPr>
          <w:sz w:val="22"/>
          <w:szCs w:val="22"/>
        </w:rPr>
        <w:t>(sistemska primjena): povećava hipoglikemijsko dejstvo derivata sulfoniluree (istiskuje gliklazid vezan za proteine plazme i/ili smanjuje njegovu eliminaciju).</w:t>
      </w:r>
    </w:p>
    <w:p w:rsidR="00823CE7" w:rsidRPr="00823CE7" w:rsidRDefault="00823CE7" w:rsidP="00823CE7">
      <w:pPr>
        <w:ind w:left="720"/>
        <w:jc w:val="both"/>
        <w:rPr>
          <w:sz w:val="22"/>
          <w:szCs w:val="22"/>
        </w:rPr>
      </w:pPr>
      <w:r w:rsidRPr="00823CE7">
        <w:rPr>
          <w:sz w:val="22"/>
          <w:szCs w:val="22"/>
        </w:rPr>
        <w:t>Poželjno je primijeniti neki drugi antiinflamatorni lijek ili upozoriti pacijenta i naglasiti važnost samokontrole glikemije. Kada je neophodno, prilagoditi dozu gliklazida u toku i nakon primjene antiinflamatornog lijeka.</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Alkohol</w:t>
      </w:r>
      <w:r w:rsidRPr="00823CE7">
        <w:rPr>
          <w:sz w:val="22"/>
          <w:szCs w:val="22"/>
        </w:rPr>
        <w:t>: povećava hipoglikemijsku reakciju (inhibicijom kompenzatornih reakcija) koja može dovesti i do hipoglikemijske kome.</w:t>
      </w:r>
    </w:p>
    <w:p w:rsidR="00823CE7" w:rsidRPr="00823CE7" w:rsidRDefault="00823CE7" w:rsidP="00823CE7">
      <w:pPr>
        <w:ind w:firstLine="720"/>
        <w:jc w:val="both"/>
        <w:rPr>
          <w:sz w:val="22"/>
          <w:szCs w:val="22"/>
        </w:rPr>
      </w:pPr>
      <w:r w:rsidRPr="00823CE7">
        <w:rPr>
          <w:sz w:val="22"/>
          <w:szCs w:val="22"/>
        </w:rPr>
        <w:t>Izbjegavati alkohol i ljekove koji sadrže alkohol.</w:t>
      </w:r>
    </w:p>
    <w:p w:rsidR="00823CE7" w:rsidRPr="00823CE7" w:rsidRDefault="00823CE7" w:rsidP="00823CE7">
      <w:pPr>
        <w:jc w:val="both"/>
        <w:rPr>
          <w:sz w:val="22"/>
          <w:szCs w:val="22"/>
        </w:rPr>
      </w:pPr>
    </w:p>
    <w:p w:rsidR="00823CE7" w:rsidRPr="00823CE7" w:rsidRDefault="00823CE7" w:rsidP="00823CE7">
      <w:pPr>
        <w:jc w:val="both"/>
        <w:rPr>
          <w:i/>
          <w:iCs/>
          <w:sz w:val="22"/>
          <w:szCs w:val="22"/>
          <w:u w:val="single"/>
        </w:rPr>
      </w:pPr>
      <w:r w:rsidRPr="00823CE7">
        <w:rPr>
          <w:i/>
          <w:iCs/>
          <w:sz w:val="22"/>
          <w:szCs w:val="22"/>
          <w:u w:val="single"/>
        </w:rPr>
        <w:t>Kombinacije kod kojih je neophodan oprez</w:t>
      </w:r>
    </w:p>
    <w:p w:rsidR="00823CE7" w:rsidRPr="00823CE7" w:rsidRDefault="00823CE7" w:rsidP="00823CE7">
      <w:pPr>
        <w:jc w:val="both"/>
        <w:rPr>
          <w:sz w:val="22"/>
          <w:szCs w:val="22"/>
        </w:rPr>
      </w:pPr>
      <w:r w:rsidRPr="00823CE7">
        <w:rPr>
          <w:sz w:val="22"/>
          <w:szCs w:val="22"/>
        </w:rPr>
        <w:t xml:space="preserve">Može doći do potenciranja sniženja nivoa glukoze u krvi, i u skladu sa tim do hipoglikemije, kada se uzimaju neki od sljedećih ljekova: drugi antidijabetici (insulini, akarboza, metformin, tiazolidinedioni, inhibitori </w:t>
      </w:r>
      <w:r w:rsidRPr="00823CE7">
        <w:rPr>
          <w:sz w:val="22"/>
          <w:szCs w:val="22"/>
        </w:rPr>
        <w:lastRenderedPageBreak/>
        <w:t>dipeptil peptidaza-4, agonisti GLP-1 receptora), beta blokatori, flukonazol, inhibitori angiotenzin konvertujućeg enzima (kaptopril, enalapril), antagonisti H2 receptora, inhibitori MAO, sulfonamidi, klaritromicin, nesteroidni antiinflamatorni ljekovi.</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Ljekovi koji mogu dovesti do povećanja nivoa glukoze u krvi</w:t>
      </w:r>
    </w:p>
    <w:p w:rsidR="00823CE7" w:rsidRPr="00823CE7" w:rsidRDefault="00823CE7" w:rsidP="00823CE7">
      <w:pPr>
        <w:jc w:val="both"/>
        <w:rPr>
          <w:i/>
          <w:iCs/>
          <w:sz w:val="22"/>
          <w:szCs w:val="22"/>
        </w:rPr>
      </w:pPr>
      <w:r w:rsidRPr="00823CE7">
        <w:rPr>
          <w:i/>
          <w:iCs/>
          <w:sz w:val="22"/>
          <w:szCs w:val="22"/>
        </w:rPr>
        <w:t>Kombinacije koje se ne preporučuju</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Danazol</w:t>
      </w:r>
      <w:r w:rsidRPr="00823CE7">
        <w:rPr>
          <w:sz w:val="22"/>
          <w:szCs w:val="22"/>
        </w:rPr>
        <w:t>: danazol ispoljava dijabetogeno dejstvo.</w:t>
      </w:r>
    </w:p>
    <w:p w:rsidR="00823CE7" w:rsidRPr="00823CE7" w:rsidRDefault="00823CE7" w:rsidP="00823CE7">
      <w:pPr>
        <w:ind w:left="720"/>
        <w:jc w:val="both"/>
        <w:rPr>
          <w:sz w:val="22"/>
          <w:szCs w:val="22"/>
        </w:rPr>
      </w:pPr>
      <w:r w:rsidRPr="00823CE7">
        <w:rPr>
          <w:sz w:val="22"/>
          <w:szCs w:val="22"/>
        </w:rPr>
        <w:t>Ukoliko je neophodna istovremena primjena danazola i gliklazida, upozoriti pacijenta na moguće dijabetogeno dejstvo danazola i značaj kontrole glikemije i glukoze u urinu. Možda će biti neophodno prilagođavanje doze antidijabetika u toku i nakon terapije danazolom.</w:t>
      </w:r>
    </w:p>
    <w:p w:rsidR="00823CE7" w:rsidRPr="00823CE7" w:rsidRDefault="00823CE7" w:rsidP="00823CE7">
      <w:pPr>
        <w:rPr>
          <w:sz w:val="22"/>
          <w:szCs w:val="22"/>
        </w:rPr>
      </w:pPr>
    </w:p>
    <w:p w:rsidR="00823CE7" w:rsidRPr="00823CE7" w:rsidRDefault="00823CE7" w:rsidP="00823CE7">
      <w:pPr>
        <w:jc w:val="both"/>
        <w:rPr>
          <w:i/>
          <w:iCs/>
          <w:sz w:val="22"/>
          <w:szCs w:val="22"/>
        </w:rPr>
      </w:pPr>
      <w:r w:rsidRPr="00823CE7">
        <w:rPr>
          <w:i/>
          <w:iCs/>
          <w:sz w:val="22"/>
          <w:szCs w:val="22"/>
        </w:rPr>
        <w:t>Kombinacije kod kojih je neophodan oprez</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 xml:space="preserve">Hlorpromazin </w:t>
      </w:r>
      <w:r w:rsidRPr="00823CE7">
        <w:rPr>
          <w:sz w:val="22"/>
          <w:szCs w:val="22"/>
        </w:rPr>
        <w:t>(neuroleptik): visoke doze (&gt;100 mg dnevno hlorpromazina) povećava nivo glukoze u krvi (smanjivanjem oslobađanja insulina).</w:t>
      </w:r>
    </w:p>
    <w:p w:rsidR="00823CE7" w:rsidRPr="00823CE7" w:rsidRDefault="00823CE7" w:rsidP="00823CE7">
      <w:pPr>
        <w:ind w:left="720"/>
        <w:jc w:val="both"/>
        <w:rPr>
          <w:sz w:val="22"/>
          <w:szCs w:val="22"/>
        </w:rPr>
      </w:pPr>
      <w:r w:rsidRPr="00823CE7">
        <w:rPr>
          <w:sz w:val="22"/>
          <w:szCs w:val="22"/>
        </w:rPr>
        <w:t>Neophodno je upozoriti pacijenta na ovo i naglasiti značaj redovne kontrole glikemije. Može biti neophodno prilagoditi dozu antidijabetika za vrijeme i poslije liječenja neuroleptikom.</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 xml:space="preserve">Glukokortikoidi </w:t>
      </w:r>
      <w:r w:rsidRPr="00823CE7">
        <w:rPr>
          <w:sz w:val="22"/>
          <w:szCs w:val="22"/>
        </w:rPr>
        <w:t>(sistemska i lokalna primjena: intraartikularni, dermalni i rektalni preparati) i tetrakosaktrin: povećavaju nivo glukoze u krvi sa mogućom ketozom (smanjenjem tolerancije na ugljene hidrate djelovanjem glukokortikoida).</w:t>
      </w:r>
    </w:p>
    <w:p w:rsidR="00823CE7" w:rsidRPr="00823CE7" w:rsidRDefault="00823CE7" w:rsidP="00823CE7">
      <w:pPr>
        <w:ind w:left="720"/>
        <w:jc w:val="both"/>
        <w:rPr>
          <w:sz w:val="22"/>
          <w:szCs w:val="22"/>
        </w:rPr>
      </w:pPr>
      <w:r w:rsidRPr="00823CE7">
        <w:rPr>
          <w:sz w:val="22"/>
          <w:szCs w:val="22"/>
        </w:rPr>
        <w:t>Neophodno je upozoriti pacijenta na ovaj efekat i naglasiti značaj praćenja nivoa glukoze u krvi, posebno na početku liječenja. Može se ukazati potreba za prilagođavanjem doze gliklazida za vrijeme i nakon terapije glukokortikoidima.</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Ritordin, salbutamol, terbutalin</w:t>
      </w:r>
      <w:r w:rsidRPr="00823CE7">
        <w:rPr>
          <w:sz w:val="22"/>
          <w:szCs w:val="22"/>
        </w:rPr>
        <w:t>: i.v. primjena</w:t>
      </w:r>
    </w:p>
    <w:p w:rsidR="00823CE7" w:rsidRPr="00823CE7" w:rsidRDefault="00823CE7" w:rsidP="00823CE7">
      <w:pPr>
        <w:ind w:left="720"/>
        <w:jc w:val="both"/>
        <w:rPr>
          <w:sz w:val="22"/>
          <w:szCs w:val="22"/>
        </w:rPr>
      </w:pPr>
      <w:r w:rsidRPr="00823CE7">
        <w:rPr>
          <w:sz w:val="22"/>
          <w:szCs w:val="22"/>
        </w:rPr>
        <w:t>Povećan nivo glukoze u krvi usljed beta-2 agonističkog dejstva.</w:t>
      </w:r>
    </w:p>
    <w:p w:rsidR="00823CE7" w:rsidRPr="00823CE7" w:rsidRDefault="00823CE7" w:rsidP="00823CE7">
      <w:pPr>
        <w:ind w:left="720"/>
        <w:jc w:val="both"/>
        <w:rPr>
          <w:sz w:val="22"/>
          <w:szCs w:val="22"/>
        </w:rPr>
      </w:pPr>
      <w:r w:rsidRPr="00823CE7">
        <w:rPr>
          <w:sz w:val="22"/>
          <w:szCs w:val="22"/>
        </w:rPr>
        <w:t>Treba naglasiti značaj praćenja nivoa glukoze u krvi. Ukoliko je neophodno, pacijent može preći na liječenje insulinom.</w:t>
      </w:r>
    </w:p>
    <w:p w:rsidR="00823CE7" w:rsidRPr="00823CE7" w:rsidRDefault="00823CE7" w:rsidP="00AF7120">
      <w:pPr>
        <w:pStyle w:val="ListParagraph"/>
        <w:numPr>
          <w:ilvl w:val="0"/>
          <w:numId w:val="6"/>
        </w:numPr>
        <w:spacing w:line="259" w:lineRule="auto"/>
        <w:jc w:val="both"/>
        <w:rPr>
          <w:b/>
          <w:bCs/>
          <w:sz w:val="22"/>
          <w:szCs w:val="22"/>
        </w:rPr>
      </w:pPr>
      <w:r w:rsidRPr="00823CE7">
        <w:rPr>
          <w:b/>
          <w:bCs/>
          <w:sz w:val="22"/>
          <w:szCs w:val="22"/>
        </w:rPr>
        <w:t>Preparati koji sadrže kantarion (</w:t>
      </w:r>
      <w:r w:rsidRPr="00823CE7">
        <w:rPr>
          <w:b/>
          <w:bCs/>
          <w:i/>
          <w:iCs/>
          <w:sz w:val="22"/>
          <w:szCs w:val="22"/>
        </w:rPr>
        <w:t>Hypericum perforatum</w:t>
      </w:r>
      <w:r w:rsidRPr="00823CE7">
        <w:rPr>
          <w:b/>
          <w:bCs/>
          <w:sz w:val="22"/>
          <w:szCs w:val="22"/>
        </w:rPr>
        <w:t>)</w:t>
      </w:r>
    </w:p>
    <w:p w:rsidR="00823CE7" w:rsidRPr="00823CE7" w:rsidRDefault="00823CE7" w:rsidP="00823CE7">
      <w:pPr>
        <w:ind w:left="720"/>
        <w:jc w:val="both"/>
        <w:rPr>
          <w:sz w:val="22"/>
          <w:szCs w:val="22"/>
        </w:rPr>
      </w:pPr>
      <w:r w:rsidRPr="00823CE7">
        <w:rPr>
          <w:sz w:val="22"/>
          <w:szCs w:val="22"/>
        </w:rPr>
        <w:t>Primjena preparata koji sadrže kantarion snižava izloženost gliklazidu. Neophodno je naglasiti značaj praćenja nivoa glukoze u krvi.</w:t>
      </w:r>
    </w:p>
    <w:p w:rsidR="00823CE7" w:rsidRPr="00823CE7" w:rsidRDefault="00823CE7" w:rsidP="00823CE7">
      <w:pPr>
        <w:ind w:left="720"/>
        <w:jc w:val="both"/>
        <w:rPr>
          <w:sz w:val="22"/>
          <w:szCs w:val="22"/>
        </w:rPr>
      </w:pPr>
    </w:p>
    <w:p w:rsidR="00823CE7" w:rsidRPr="00823CE7" w:rsidRDefault="00823CE7" w:rsidP="00823CE7">
      <w:pPr>
        <w:ind w:left="720" w:hanging="720"/>
        <w:jc w:val="both"/>
        <w:rPr>
          <w:sz w:val="22"/>
          <w:szCs w:val="22"/>
          <w:u w:val="single"/>
        </w:rPr>
      </w:pPr>
      <w:r w:rsidRPr="00823CE7">
        <w:rPr>
          <w:sz w:val="22"/>
          <w:szCs w:val="22"/>
          <w:u w:val="single"/>
        </w:rPr>
        <w:t>Proizvodi koji dovode do disglikemije</w:t>
      </w:r>
    </w:p>
    <w:p w:rsidR="00823CE7" w:rsidRPr="00823CE7" w:rsidRDefault="00823CE7" w:rsidP="00823CE7">
      <w:pPr>
        <w:jc w:val="both"/>
        <w:rPr>
          <w:i/>
          <w:iCs/>
          <w:sz w:val="22"/>
          <w:szCs w:val="22"/>
        </w:rPr>
      </w:pPr>
      <w:r w:rsidRPr="00823CE7">
        <w:rPr>
          <w:i/>
          <w:iCs/>
          <w:sz w:val="22"/>
          <w:szCs w:val="22"/>
        </w:rPr>
        <w:t>Kombinacije kod kojih je neophodan oprez</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 xml:space="preserve">Fluorohinoloni: </w:t>
      </w:r>
      <w:r w:rsidRPr="00823CE7">
        <w:rPr>
          <w:sz w:val="22"/>
          <w:szCs w:val="22"/>
        </w:rPr>
        <w:t>u slučaju istovremene primjene gliklazida i fluorohinolona neophodno je upozoriti pacijenta na rizik od disglikemije i naglasiti značaj praćenja nivoa glukoze u krvi.</w:t>
      </w:r>
    </w:p>
    <w:p w:rsidR="00823CE7" w:rsidRPr="00823CE7" w:rsidRDefault="00823CE7" w:rsidP="00823CE7">
      <w:pPr>
        <w:ind w:firstLine="720"/>
        <w:jc w:val="both"/>
        <w:rPr>
          <w:sz w:val="22"/>
          <w:szCs w:val="22"/>
        </w:rPr>
      </w:pPr>
    </w:p>
    <w:p w:rsidR="00823CE7" w:rsidRPr="00823CE7" w:rsidRDefault="00823CE7" w:rsidP="00823CE7">
      <w:pPr>
        <w:jc w:val="both"/>
        <w:rPr>
          <w:i/>
          <w:iCs/>
          <w:sz w:val="22"/>
          <w:szCs w:val="22"/>
        </w:rPr>
      </w:pPr>
      <w:r w:rsidRPr="00823CE7">
        <w:rPr>
          <w:i/>
          <w:iCs/>
          <w:sz w:val="22"/>
          <w:szCs w:val="22"/>
        </w:rPr>
        <w:t>Kombinacije kod kojih je neophodan poseban oprez</w:t>
      </w:r>
    </w:p>
    <w:p w:rsidR="00823CE7" w:rsidRPr="00823CE7" w:rsidRDefault="00823CE7" w:rsidP="00AF7120">
      <w:pPr>
        <w:pStyle w:val="ListParagraph"/>
        <w:numPr>
          <w:ilvl w:val="0"/>
          <w:numId w:val="6"/>
        </w:numPr>
        <w:spacing w:line="259" w:lineRule="auto"/>
        <w:jc w:val="both"/>
        <w:rPr>
          <w:sz w:val="22"/>
          <w:szCs w:val="22"/>
        </w:rPr>
      </w:pPr>
      <w:r w:rsidRPr="00823CE7">
        <w:rPr>
          <w:b/>
          <w:bCs/>
          <w:sz w:val="22"/>
          <w:szCs w:val="22"/>
        </w:rPr>
        <w:t xml:space="preserve">Antikoagulantna terapija </w:t>
      </w:r>
      <w:r w:rsidRPr="00823CE7">
        <w:rPr>
          <w:sz w:val="22"/>
          <w:szCs w:val="22"/>
        </w:rPr>
        <w:t>(npr. varfarin):</w:t>
      </w:r>
    </w:p>
    <w:p w:rsidR="00823CE7" w:rsidRPr="00823CE7" w:rsidRDefault="00823CE7" w:rsidP="00823CE7">
      <w:pPr>
        <w:ind w:left="720"/>
        <w:jc w:val="both"/>
        <w:rPr>
          <w:sz w:val="22"/>
          <w:szCs w:val="22"/>
        </w:rPr>
      </w:pPr>
      <w:r w:rsidRPr="00823CE7">
        <w:rPr>
          <w:sz w:val="22"/>
          <w:szCs w:val="22"/>
        </w:rPr>
        <w:t>Derivati sulfoniluree mogu da dovedu do pojačanog dejstva antikoagulantnih ljekova, tokom istovremene primjene.</w:t>
      </w:r>
    </w:p>
    <w:p w:rsidR="00823CE7" w:rsidRPr="00823CE7" w:rsidRDefault="00823CE7" w:rsidP="00823CE7">
      <w:pPr>
        <w:ind w:left="720"/>
        <w:jc w:val="both"/>
        <w:rPr>
          <w:sz w:val="22"/>
          <w:szCs w:val="22"/>
        </w:rPr>
      </w:pPr>
      <w:r w:rsidRPr="00823CE7">
        <w:rPr>
          <w:sz w:val="22"/>
          <w:szCs w:val="22"/>
        </w:rPr>
        <w:t>Može biti neophodno prilagođavanje doze antikoagulansa.</w:t>
      </w:r>
    </w:p>
    <w:p w:rsidR="00823CE7" w:rsidRPr="00823CE7" w:rsidRDefault="00823CE7" w:rsidP="00823CE7">
      <w:pPr>
        <w:ind w:left="720"/>
        <w:rPr>
          <w:sz w:val="22"/>
          <w:szCs w:val="22"/>
        </w:rPr>
      </w:pPr>
    </w:p>
    <w:p w:rsidR="00823CE7" w:rsidRPr="00823CE7" w:rsidRDefault="00823CE7" w:rsidP="00823CE7">
      <w:pPr>
        <w:rPr>
          <w:b/>
          <w:bCs/>
          <w:sz w:val="22"/>
          <w:szCs w:val="22"/>
        </w:rPr>
      </w:pPr>
      <w:r w:rsidRPr="00823CE7">
        <w:rPr>
          <w:b/>
          <w:bCs/>
          <w:sz w:val="22"/>
          <w:szCs w:val="22"/>
        </w:rPr>
        <w:t>4.6. Plodnost, trudnoća i dojenje</w:t>
      </w:r>
    </w:p>
    <w:p w:rsidR="00823CE7" w:rsidRPr="00823CE7" w:rsidRDefault="00823CE7" w:rsidP="00823CE7">
      <w:pPr>
        <w:rPr>
          <w:b/>
          <w:bCs/>
          <w:sz w:val="22"/>
          <w:szCs w:val="22"/>
        </w:rPr>
      </w:pPr>
    </w:p>
    <w:p w:rsidR="00823CE7" w:rsidRPr="00823CE7" w:rsidRDefault="00823CE7" w:rsidP="00823CE7">
      <w:pPr>
        <w:jc w:val="both"/>
        <w:rPr>
          <w:i/>
          <w:iCs/>
          <w:sz w:val="22"/>
          <w:szCs w:val="22"/>
          <w:u w:val="single"/>
        </w:rPr>
      </w:pPr>
      <w:r w:rsidRPr="00823CE7">
        <w:rPr>
          <w:i/>
          <w:iCs/>
          <w:sz w:val="22"/>
          <w:szCs w:val="22"/>
          <w:u w:val="single"/>
        </w:rPr>
        <w:t>Trudnoća</w:t>
      </w:r>
    </w:p>
    <w:p w:rsidR="00823CE7" w:rsidRPr="00823CE7" w:rsidRDefault="00823CE7" w:rsidP="00823CE7">
      <w:pPr>
        <w:jc w:val="both"/>
        <w:rPr>
          <w:sz w:val="22"/>
          <w:szCs w:val="22"/>
        </w:rPr>
      </w:pPr>
      <w:r w:rsidRPr="00823CE7">
        <w:rPr>
          <w:sz w:val="22"/>
          <w:szCs w:val="22"/>
        </w:rPr>
        <w:t>Nema podataka ili su podaci o primjeni gliklazida kod trudnica ograničeni (manje od 300 ishoda trudnoće), iako postoji neki podaci o drugim derivatima sulfoniluree.</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U ispitivanjima na životinjama pokazana je reproduktivna toksičnost (vidjeti odjeljak 5.3).</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Kao mjera opreza, poželjno je da se izbjegava primjena lijeka Diprian tokom trudnoće.</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Neophodno je uspostaviti adekvatnu kontrolu glikemije prije začeća, kako bi se smanjio rizik od nastanka kongenitalnih anomalija koje su u vezi sa nekontrolisanim dijabetesom.</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Oralni hipoglikemici nijesu pogodni; insulin je lijek prvog izbora u terapiji dijabetesa tokom trudnoće. Preporučuje se da se oralna hipoglikemijska terapija promjeni u insulinsku terapiju prije pokušaja začeća, ili čim se trudnoća ustanovi.</w:t>
      </w:r>
    </w:p>
    <w:p w:rsidR="00823CE7" w:rsidRPr="00823CE7" w:rsidRDefault="00823CE7" w:rsidP="00823CE7">
      <w:pPr>
        <w:jc w:val="both"/>
        <w:rPr>
          <w:sz w:val="22"/>
          <w:szCs w:val="22"/>
        </w:rPr>
      </w:pPr>
    </w:p>
    <w:p w:rsidR="00823CE7" w:rsidRPr="00823CE7" w:rsidRDefault="00823CE7" w:rsidP="00823CE7">
      <w:pPr>
        <w:jc w:val="both"/>
        <w:rPr>
          <w:i/>
          <w:iCs/>
          <w:sz w:val="22"/>
          <w:szCs w:val="22"/>
          <w:u w:val="single"/>
        </w:rPr>
      </w:pPr>
      <w:r w:rsidRPr="00823CE7">
        <w:rPr>
          <w:i/>
          <w:iCs/>
          <w:sz w:val="22"/>
          <w:szCs w:val="22"/>
          <w:u w:val="single"/>
        </w:rPr>
        <w:t>Dojenje</w:t>
      </w:r>
    </w:p>
    <w:p w:rsidR="00823CE7" w:rsidRPr="00823CE7" w:rsidRDefault="00823CE7" w:rsidP="00823CE7">
      <w:pPr>
        <w:jc w:val="both"/>
        <w:rPr>
          <w:sz w:val="22"/>
          <w:szCs w:val="22"/>
        </w:rPr>
      </w:pPr>
      <w:r w:rsidRPr="00823CE7">
        <w:rPr>
          <w:sz w:val="22"/>
          <w:szCs w:val="22"/>
        </w:rPr>
        <w:t>Nije poznato da li se gliklazid ili njegovi metaboliti izlučuju u majčino mlijeko. Lijek je kontraindikovan kod dojilja zbog mogućeg rizika od neonatalne hipoglikemije. Ne može se isključiti postojanje rizika po novorođenče/odojče.</w:t>
      </w:r>
    </w:p>
    <w:p w:rsidR="00823CE7" w:rsidRPr="00823CE7" w:rsidRDefault="00823CE7" w:rsidP="00823CE7">
      <w:pPr>
        <w:jc w:val="both"/>
        <w:rPr>
          <w:sz w:val="22"/>
          <w:szCs w:val="22"/>
        </w:rPr>
      </w:pPr>
    </w:p>
    <w:p w:rsidR="00823CE7" w:rsidRPr="00823CE7" w:rsidRDefault="00823CE7" w:rsidP="00823CE7">
      <w:pPr>
        <w:jc w:val="both"/>
        <w:rPr>
          <w:i/>
          <w:iCs/>
          <w:sz w:val="22"/>
          <w:szCs w:val="22"/>
          <w:u w:val="single"/>
        </w:rPr>
      </w:pPr>
      <w:r w:rsidRPr="00823CE7">
        <w:rPr>
          <w:i/>
          <w:iCs/>
          <w:sz w:val="22"/>
          <w:szCs w:val="22"/>
          <w:u w:val="single"/>
        </w:rPr>
        <w:t>Plodnost</w:t>
      </w:r>
    </w:p>
    <w:p w:rsidR="00823CE7" w:rsidRPr="00823CE7" w:rsidRDefault="00823CE7" w:rsidP="00823CE7">
      <w:pPr>
        <w:jc w:val="both"/>
        <w:rPr>
          <w:sz w:val="22"/>
          <w:szCs w:val="22"/>
        </w:rPr>
      </w:pPr>
      <w:r w:rsidRPr="00823CE7">
        <w:rPr>
          <w:sz w:val="22"/>
          <w:szCs w:val="22"/>
        </w:rPr>
        <w:t>Nije zapažen uticaj lijeka na plodnost i reproduktivnu sposobnost mužjaka i ženki pacova (vidjeti odjeljak 5.3).</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4.7. Uticaj lijeka na sposobnost upravljanja vozilima i rukovanja mašinama</w:t>
      </w:r>
    </w:p>
    <w:p w:rsidR="00823CE7" w:rsidRPr="00823CE7" w:rsidRDefault="00823CE7" w:rsidP="00823CE7">
      <w:pPr>
        <w:rPr>
          <w:b/>
          <w:bCs/>
          <w:sz w:val="22"/>
          <w:szCs w:val="22"/>
        </w:rPr>
      </w:pPr>
    </w:p>
    <w:p w:rsidR="00823CE7" w:rsidRPr="00823CE7" w:rsidRDefault="00823CE7" w:rsidP="00823CE7">
      <w:pPr>
        <w:jc w:val="both"/>
        <w:rPr>
          <w:sz w:val="22"/>
          <w:szCs w:val="22"/>
        </w:rPr>
      </w:pPr>
      <w:r w:rsidRPr="00823CE7">
        <w:rPr>
          <w:sz w:val="22"/>
          <w:szCs w:val="22"/>
        </w:rPr>
        <w:t>Lijek Diprian nema ili ima zanemarljiv uticaj na sposobnost upravljanja vozilima i rukovanja mašinama. Ipak, trebalo bi upozoriti pacijente da neadekvatno kontrolisana glikemija može uticati na njihovu koncentraciju, naročito na početku terapije (vidjeti odjeljak 4.4).</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4.8. Neželjena dejstva</w:t>
      </w:r>
    </w:p>
    <w:p w:rsidR="00823CE7" w:rsidRPr="00823CE7" w:rsidRDefault="00823CE7" w:rsidP="00823CE7">
      <w:pPr>
        <w:rPr>
          <w:b/>
          <w:bCs/>
          <w:sz w:val="22"/>
          <w:szCs w:val="22"/>
        </w:rPr>
      </w:pPr>
    </w:p>
    <w:p w:rsidR="00823CE7" w:rsidRPr="00823CE7" w:rsidRDefault="00823CE7" w:rsidP="00823CE7">
      <w:pPr>
        <w:jc w:val="both"/>
        <w:rPr>
          <w:sz w:val="22"/>
          <w:szCs w:val="22"/>
        </w:rPr>
      </w:pPr>
      <w:r w:rsidRPr="00823CE7">
        <w:rPr>
          <w:sz w:val="22"/>
          <w:szCs w:val="22"/>
        </w:rPr>
        <w:t>Nakon primjene gliklazida prijavljena su sljedeća neželjena dejstva.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Najčešće neželjeno dejstvo je hipoglikemija.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Terapija gliklazidom, kao i drugim derivatima sulfoniluree, može dovesti do hipoglikemije, ako su obroci</w:t>
      </w:r>
    </w:p>
    <w:p w:rsidR="00823CE7" w:rsidRPr="00823CE7" w:rsidRDefault="00823CE7" w:rsidP="00823CE7">
      <w:pPr>
        <w:jc w:val="both"/>
        <w:rPr>
          <w:sz w:val="22"/>
          <w:szCs w:val="22"/>
        </w:rPr>
      </w:pPr>
      <w:r w:rsidRPr="00823CE7">
        <w:rPr>
          <w:sz w:val="22"/>
          <w:szCs w:val="22"/>
        </w:rPr>
        <w:t>neredovni, naročito ako se obroci preskaču. Mogući simptomi hipoglikemije su: glavobolja, intenzivna</w:t>
      </w:r>
    </w:p>
    <w:p w:rsidR="00823CE7" w:rsidRPr="00823CE7" w:rsidRDefault="00823CE7" w:rsidP="00823CE7">
      <w:pPr>
        <w:jc w:val="both"/>
        <w:rPr>
          <w:sz w:val="22"/>
          <w:szCs w:val="22"/>
        </w:rPr>
      </w:pPr>
      <w:r w:rsidRPr="00823CE7">
        <w:rPr>
          <w:sz w:val="22"/>
          <w:szCs w:val="22"/>
        </w:rPr>
        <w:t>glad, mučnina, povraćanje, zamor, poremećaji spavanja, agitacija, agresija, slaba koncentracija, smanjena</w:t>
      </w:r>
    </w:p>
    <w:p w:rsidR="00823CE7" w:rsidRPr="00823CE7" w:rsidRDefault="00823CE7" w:rsidP="00823CE7">
      <w:pPr>
        <w:jc w:val="both"/>
        <w:rPr>
          <w:sz w:val="22"/>
          <w:szCs w:val="22"/>
        </w:rPr>
      </w:pPr>
      <w:r w:rsidRPr="00823CE7">
        <w:rPr>
          <w:sz w:val="22"/>
          <w:szCs w:val="22"/>
        </w:rPr>
        <w:t>svjesnost i usporene reakcije, depresija, konfuzija, poremećaji vida i govora, afazija, tremor, pareza, senzorni</w:t>
      </w:r>
    </w:p>
    <w:p w:rsidR="00823CE7" w:rsidRPr="00823CE7" w:rsidRDefault="00823CE7" w:rsidP="00823CE7">
      <w:pPr>
        <w:jc w:val="both"/>
        <w:rPr>
          <w:sz w:val="22"/>
          <w:szCs w:val="22"/>
        </w:rPr>
      </w:pPr>
      <w:r w:rsidRPr="00823CE7">
        <w:rPr>
          <w:sz w:val="22"/>
          <w:szCs w:val="22"/>
        </w:rPr>
        <w:t>poremećaji, vrtoglavica, osjećaj nemoći, gubitak samokontrole, delirijum, konvulzije, plitko disanje,</w:t>
      </w:r>
    </w:p>
    <w:p w:rsidR="00823CE7" w:rsidRPr="00823CE7" w:rsidRDefault="00823CE7" w:rsidP="00823CE7">
      <w:pPr>
        <w:jc w:val="both"/>
        <w:rPr>
          <w:sz w:val="22"/>
          <w:szCs w:val="22"/>
        </w:rPr>
      </w:pPr>
      <w:r w:rsidRPr="00823CE7">
        <w:rPr>
          <w:sz w:val="22"/>
          <w:szCs w:val="22"/>
        </w:rPr>
        <w:t>bradikardija, pospanost i gubitak svijesti, koji mogu da dovedu do kome i smrtnog ishoda.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Mogu se, takođe, zapaziti i znaci adrenergične kontraregulacije: znojenje, ljepljiva koža, anksioznost,</w:t>
      </w:r>
    </w:p>
    <w:p w:rsidR="00823CE7" w:rsidRPr="00823CE7" w:rsidRDefault="00823CE7" w:rsidP="00823CE7">
      <w:pPr>
        <w:jc w:val="both"/>
        <w:rPr>
          <w:sz w:val="22"/>
          <w:szCs w:val="22"/>
        </w:rPr>
      </w:pPr>
      <w:r w:rsidRPr="00823CE7">
        <w:rPr>
          <w:sz w:val="22"/>
          <w:szCs w:val="22"/>
        </w:rPr>
        <w:t>tahikardija, hipertenzija, palpitacije, angina pektoris i srčana aritmija.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Simptomi obično nestanu nakon unosa ugljenih hidrata (šećer). S druge strane vještački zaslađivači nemaju</w:t>
      </w:r>
    </w:p>
    <w:p w:rsidR="00823CE7" w:rsidRPr="00823CE7" w:rsidRDefault="00823CE7" w:rsidP="00823CE7">
      <w:pPr>
        <w:jc w:val="both"/>
        <w:rPr>
          <w:sz w:val="22"/>
          <w:szCs w:val="22"/>
        </w:rPr>
      </w:pPr>
      <w:r w:rsidRPr="00823CE7">
        <w:rPr>
          <w:sz w:val="22"/>
          <w:szCs w:val="22"/>
        </w:rPr>
        <w:t>efekta u ovakvim stanjima. Iskustvo sa drugim derivatima sulfoniluree je pokazalo da se hipoglikemija može</w:t>
      </w:r>
    </w:p>
    <w:p w:rsidR="00823CE7" w:rsidRPr="00823CE7" w:rsidRDefault="00823CE7" w:rsidP="00823CE7">
      <w:pPr>
        <w:jc w:val="both"/>
        <w:rPr>
          <w:sz w:val="22"/>
          <w:szCs w:val="22"/>
        </w:rPr>
      </w:pPr>
      <w:r w:rsidRPr="00823CE7">
        <w:rPr>
          <w:sz w:val="22"/>
          <w:szCs w:val="22"/>
        </w:rPr>
        <w:t>ponoviti, iako su se početne mjere pokazale efikasnim.</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lastRenderedPageBreak/>
        <w:t>Ako je hipoglikemijska epizoda teška ili produžena, čak i kada se privremeno reguliše unosom šećera,</w:t>
      </w:r>
    </w:p>
    <w:p w:rsidR="00823CE7" w:rsidRPr="00823CE7" w:rsidRDefault="00823CE7" w:rsidP="00823CE7">
      <w:pPr>
        <w:jc w:val="both"/>
        <w:rPr>
          <w:sz w:val="22"/>
          <w:szCs w:val="22"/>
        </w:rPr>
      </w:pPr>
      <w:r w:rsidRPr="00823CE7">
        <w:rPr>
          <w:sz w:val="22"/>
          <w:szCs w:val="22"/>
        </w:rPr>
        <w:t>neophodno je sprovesti hitan medicinski tretman ili hospitalizaciju.</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Prijavljeni su gastrointestinalni poremećaji uključujući bol u stomaku, mučninu, povraćanje, dispepsiju,</w:t>
      </w:r>
    </w:p>
    <w:p w:rsidR="00823CE7" w:rsidRPr="00823CE7" w:rsidRDefault="00823CE7" w:rsidP="00823CE7">
      <w:pPr>
        <w:jc w:val="both"/>
        <w:rPr>
          <w:sz w:val="22"/>
          <w:szCs w:val="22"/>
        </w:rPr>
      </w:pPr>
      <w:r w:rsidRPr="00823CE7">
        <w:rPr>
          <w:sz w:val="22"/>
          <w:szCs w:val="22"/>
        </w:rPr>
        <w:t>dijareju i konstipaciju. Ova neželjena dejstva se mogu izbjeći ili umanjiti ako se gliklazid uzima uz doručak.</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Sljedeća neželjena dejstva se javljaju rjeđe:</w:t>
      </w:r>
    </w:p>
    <w:p w:rsidR="00823CE7" w:rsidRPr="00823CE7" w:rsidRDefault="00823CE7" w:rsidP="00823CE7">
      <w:pPr>
        <w:jc w:val="both"/>
        <w:rPr>
          <w:sz w:val="22"/>
          <w:szCs w:val="22"/>
        </w:rPr>
      </w:pPr>
    </w:p>
    <w:p w:rsidR="00823CE7" w:rsidRPr="00823CE7" w:rsidRDefault="00823CE7" w:rsidP="00AF7120">
      <w:pPr>
        <w:pStyle w:val="ListParagraph"/>
        <w:numPr>
          <w:ilvl w:val="0"/>
          <w:numId w:val="7"/>
        </w:numPr>
        <w:spacing w:line="259" w:lineRule="auto"/>
        <w:ind w:left="426"/>
        <w:jc w:val="both"/>
        <w:rPr>
          <w:sz w:val="22"/>
          <w:szCs w:val="22"/>
        </w:rPr>
      </w:pPr>
      <w:r w:rsidRPr="00823CE7">
        <w:rPr>
          <w:i/>
          <w:iCs/>
          <w:sz w:val="22"/>
          <w:szCs w:val="22"/>
        </w:rPr>
        <w:t>Poremećaji kože i potkožnog tkiva</w:t>
      </w:r>
      <w:r w:rsidRPr="00823CE7">
        <w:rPr>
          <w:sz w:val="22"/>
          <w:szCs w:val="22"/>
        </w:rPr>
        <w:t>: osip, svrab, urtikarija, angioedem, eritem, makulopapularni osip,</w:t>
      </w:r>
    </w:p>
    <w:p w:rsidR="00823CE7" w:rsidRPr="00823CE7" w:rsidRDefault="00823CE7" w:rsidP="00823CE7">
      <w:pPr>
        <w:pStyle w:val="ListParagraph"/>
        <w:ind w:left="426"/>
        <w:jc w:val="both"/>
        <w:rPr>
          <w:sz w:val="22"/>
          <w:szCs w:val="22"/>
        </w:rPr>
      </w:pPr>
      <w:r w:rsidRPr="00823CE7">
        <w:rPr>
          <w:sz w:val="22"/>
          <w:szCs w:val="22"/>
        </w:rPr>
        <w:t xml:space="preserve">bulozne reakcije (kao što je </w:t>
      </w:r>
      <w:r w:rsidRPr="00823CE7">
        <w:rPr>
          <w:i/>
          <w:iCs/>
          <w:sz w:val="22"/>
          <w:szCs w:val="22"/>
        </w:rPr>
        <w:t>Stevens-Johnson</w:t>
      </w:r>
      <w:r w:rsidRPr="00823CE7">
        <w:rPr>
          <w:sz w:val="22"/>
          <w:szCs w:val="22"/>
        </w:rPr>
        <w:t>-ov sindrom i toksična epidermalna nekroliza), i izuzetno</w:t>
      </w:r>
    </w:p>
    <w:p w:rsidR="00823CE7" w:rsidRPr="00823CE7" w:rsidRDefault="00823CE7" w:rsidP="00823CE7">
      <w:pPr>
        <w:pStyle w:val="ListParagraph"/>
        <w:ind w:left="0"/>
        <w:jc w:val="both"/>
        <w:rPr>
          <w:sz w:val="22"/>
          <w:szCs w:val="22"/>
        </w:rPr>
      </w:pPr>
      <w:r w:rsidRPr="00823CE7">
        <w:rPr>
          <w:sz w:val="22"/>
          <w:szCs w:val="22"/>
        </w:rPr>
        <w:t>rijetko osip uzrokovan lijekom sa eozinofilijom i sistemskim simptomima (DRESS).</w:t>
      </w:r>
    </w:p>
    <w:p w:rsidR="00823CE7" w:rsidRPr="00823CE7" w:rsidRDefault="00823CE7" w:rsidP="00823CE7">
      <w:pPr>
        <w:pStyle w:val="ListParagraph"/>
        <w:ind w:left="0"/>
        <w:jc w:val="both"/>
        <w:rPr>
          <w:sz w:val="22"/>
          <w:szCs w:val="22"/>
        </w:rPr>
      </w:pPr>
    </w:p>
    <w:p w:rsidR="00823CE7" w:rsidRPr="00823CE7" w:rsidRDefault="00823CE7" w:rsidP="00AF7120">
      <w:pPr>
        <w:numPr>
          <w:ilvl w:val="0"/>
          <w:numId w:val="7"/>
        </w:numPr>
        <w:tabs>
          <w:tab w:val="left" w:pos="426"/>
        </w:tabs>
        <w:spacing w:line="259" w:lineRule="auto"/>
        <w:ind w:left="0" w:firstLine="0"/>
        <w:jc w:val="both"/>
        <w:rPr>
          <w:sz w:val="22"/>
          <w:szCs w:val="22"/>
        </w:rPr>
      </w:pPr>
      <w:r w:rsidRPr="00823CE7">
        <w:rPr>
          <w:i/>
          <w:iCs/>
          <w:sz w:val="22"/>
          <w:szCs w:val="22"/>
        </w:rPr>
        <w:t>Poremećaji krvi i limfnog sistema</w:t>
      </w:r>
      <w:r w:rsidRPr="00823CE7">
        <w:rPr>
          <w:sz w:val="22"/>
          <w:szCs w:val="22"/>
        </w:rPr>
        <w:t>: promjene u krvnoj slici su rijetke. One mogu da uključuju anemiju,</w:t>
      </w:r>
    </w:p>
    <w:p w:rsidR="00823CE7" w:rsidRPr="00823CE7" w:rsidRDefault="00823CE7" w:rsidP="00823CE7">
      <w:pPr>
        <w:tabs>
          <w:tab w:val="left" w:pos="426"/>
        </w:tabs>
        <w:jc w:val="both"/>
        <w:rPr>
          <w:sz w:val="22"/>
          <w:szCs w:val="22"/>
        </w:rPr>
      </w:pPr>
      <w:r w:rsidRPr="00823CE7">
        <w:rPr>
          <w:sz w:val="22"/>
          <w:szCs w:val="22"/>
        </w:rPr>
        <w:t>leukopeniju, trombocitopeniju, granulocitopeniju. Uglavnom su reverzibilne nakon prekida primjene</w:t>
      </w:r>
    </w:p>
    <w:p w:rsidR="00823CE7" w:rsidRPr="00823CE7" w:rsidRDefault="00823CE7" w:rsidP="00823CE7">
      <w:pPr>
        <w:tabs>
          <w:tab w:val="left" w:pos="426"/>
        </w:tabs>
        <w:rPr>
          <w:sz w:val="22"/>
          <w:szCs w:val="22"/>
        </w:rPr>
      </w:pPr>
      <w:r w:rsidRPr="00823CE7">
        <w:rPr>
          <w:sz w:val="22"/>
          <w:szCs w:val="22"/>
        </w:rPr>
        <w:t xml:space="preserve">       gliklazida.</w:t>
      </w:r>
    </w:p>
    <w:p w:rsidR="00823CE7" w:rsidRPr="00823CE7" w:rsidRDefault="00823CE7" w:rsidP="00823CE7">
      <w:pPr>
        <w:tabs>
          <w:tab w:val="left" w:pos="426"/>
        </w:tabs>
        <w:rPr>
          <w:sz w:val="22"/>
          <w:szCs w:val="22"/>
        </w:rPr>
      </w:pPr>
    </w:p>
    <w:p w:rsidR="00823CE7" w:rsidRPr="00823CE7" w:rsidRDefault="00823CE7" w:rsidP="00AF7120">
      <w:pPr>
        <w:pStyle w:val="ListParagraph"/>
        <w:numPr>
          <w:ilvl w:val="0"/>
          <w:numId w:val="7"/>
        </w:numPr>
        <w:spacing w:line="259" w:lineRule="auto"/>
        <w:jc w:val="both"/>
        <w:rPr>
          <w:sz w:val="22"/>
          <w:szCs w:val="22"/>
        </w:rPr>
      </w:pPr>
      <w:r w:rsidRPr="00823CE7">
        <w:rPr>
          <w:i/>
          <w:iCs/>
          <w:sz w:val="22"/>
          <w:szCs w:val="22"/>
        </w:rPr>
        <w:t>Hepatobilijarni poremećaji</w:t>
      </w:r>
      <w:r w:rsidRPr="00823CE7">
        <w:rPr>
          <w:sz w:val="22"/>
          <w:szCs w:val="22"/>
        </w:rPr>
        <w:t>: povećane vrijednosti enzima jetre (AST, ALT, alkalna fofataza), hepatitis</w:t>
      </w:r>
    </w:p>
    <w:p w:rsidR="00823CE7" w:rsidRPr="00823CE7" w:rsidRDefault="00823CE7" w:rsidP="00823CE7">
      <w:pPr>
        <w:jc w:val="both"/>
        <w:rPr>
          <w:sz w:val="22"/>
          <w:szCs w:val="22"/>
        </w:rPr>
      </w:pPr>
      <w:r w:rsidRPr="00823CE7">
        <w:rPr>
          <w:sz w:val="22"/>
          <w:szCs w:val="22"/>
        </w:rPr>
        <w:t xml:space="preserve">           (izolovani slučajevi). Ako se pojavi holestatska žutica treba prekinuti liječenje. Ovi simptomi obično   </w:t>
      </w:r>
    </w:p>
    <w:p w:rsidR="00823CE7" w:rsidRPr="00823CE7" w:rsidRDefault="00823CE7" w:rsidP="00823CE7">
      <w:pPr>
        <w:jc w:val="both"/>
        <w:rPr>
          <w:sz w:val="22"/>
          <w:szCs w:val="22"/>
        </w:rPr>
      </w:pPr>
      <w:r w:rsidRPr="00823CE7">
        <w:rPr>
          <w:sz w:val="22"/>
          <w:szCs w:val="22"/>
        </w:rPr>
        <w:t xml:space="preserve">           nestaju nakon prestanka terapije.</w:t>
      </w:r>
    </w:p>
    <w:p w:rsidR="00823CE7" w:rsidRPr="00823CE7" w:rsidRDefault="00823CE7" w:rsidP="00823CE7">
      <w:pPr>
        <w:jc w:val="both"/>
        <w:rPr>
          <w:sz w:val="22"/>
          <w:szCs w:val="22"/>
        </w:rPr>
      </w:pPr>
    </w:p>
    <w:p w:rsidR="00823CE7" w:rsidRPr="00823CE7" w:rsidRDefault="00823CE7" w:rsidP="00AF7120">
      <w:pPr>
        <w:pStyle w:val="ListParagraph"/>
        <w:numPr>
          <w:ilvl w:val="0"/>
          <w:numId w:val="7"/>
        </w:numPr>
        <w:spacing w:line="259" w:lineRule="auto"/>
        <w:jc w:val="both"/>
        <w:rPr>
          <w:sz w:val="22"/>
          <w:szCs w:val="22"/>
        </w:rPr>
      </w:pPr>
      <w:r w:rsidRPr="00823CE7">
        <w:rPr>
          <w:i/>
          <w:iCs/>
          <w:sz w:val="22"/>
          <w:szCs w:val="22"/>
        </w:rPr>
        <w:t>Poremećaji oka</w:t>
      </w:r>
      <w:r w:rsidRPr="00823CE7">
        <w:rPr>
          <w:sz w:val="22"/>
          <w:szCs w:val="22"/>
        </w:rPr>
        <w:t>: mogu se pojaviti prolazni poremećaji vida, posebno na početku terapije, usljed promjena nivoa glukoze u krvi.</w:t>
      </w:r>
    </w:p>
    <w:p w:rsidR="00823CE7" w:rsidRPr="00823CE7" w:rsidRDefault="00823CE7" w:rsidP="00823CE7">
      <w:pPr>
        <w:jc w:val="both"/>
        <w:rPr>
          <w:sz w:val="22"/>
          <w:szCs w:val="22"/>
        </w:rPr>
      </w:pPr>
    </w:p>
    <w:p w:rsidR="00823CE7" w:rsidRPr="00823CE7" w:rsidRDefault="00823CE7" w:rsidP="00823CE7">
      <w:pPr>
        <w:rPr>
          <w:sz w:val="22"/>
          <w:szCs w:val="22"/>
          <w:u w:val="single"/>
        </w:rPr>
      </w:pPr>
      <w:r w:rsidRPr="00823CE7">
        <w:rPr>
          <w:sz w:val="22"/>
          <w:szCs w:val="22"/>
          <w:u w:val="single"/>
        </w:rPr>
        <w:t>Neželjena dejstva karakteristična za derivate sulfoniluree (klasna neželjena dejstva):</w:t>
      </w:r>
    </w:p>
    <w:p w:rsidR="00823CE7" w:rsidRPr="00823CE7" w:rsidRDefault="00823CE7" w:rsidP="00823CE7">
      <w:pPr>
        <w:rPr>
          <w:sz w:val="22"/>
          <w:szCs w:val="22"/>
        </w:rPr>
      </w:pPr>
      <w:r w:rsidRPr="00823CE7">
        <w:rPr>
          <w:sz w:val="22"/>
          <w:szCs w:val="22"/>
        </w:rPr>
        <w:t>Kod primjene drugih derivata sulfonilureje, opisani su slučajevi eritrocitopenije, agranulocitoze, hemolitičke</w:t>
      </w:r>
    </w:p>
    <w:p w:rsidR="00823CE7" w:rsidRPr="00823CE7" w:rsidRDefault="00823CE7" w:rsidP="00823CE7">
      <w:pPr>
        <w:rPr>
          <w:sz w:val="22"/>
          <w:szCs w:val="22"/>
        </w:rPr>
      </w:pPr>
      <w:r w:rsidRPr="00823CE7">
        <w:rPr>
          <w:sz w:val="22"/>
          <w:szCs w:val="22"/>
        </w:rPr>
        <w:t>anemije, pancitopenije, alergijskog vaskulitisa, hiponatremije, povišene vrijednosti enzima jetre pa čak i</w:t>
      </w:r>
    </w:p>
    <w:p w:rsidR="00823CE7" w:rsidRPr="00823CE7" w:rsidRDefault="00823CE7" w:rsidP="00823CE7">
      <w:pPr>
        <w:rPr>
          <w:sz w:val="22"/>
          <w:szCs w:val="22"/>
        </w:rPr>
      </w:pPr>
      <w:r w:rsidRPr="00823CE7">
        <w:rPr>
          <w:sz w:val="22"/>
          <w:szCs w:val="22"/>
        </w:rPr>
        <w:t>oštećenje funkcije jetre (npr. sa holestazom i žuticom) i hepatitis, koji su se povukli nakon prekida terapije</w:t>
      </w:r>
    </w:p>
    <w:p w:rsidR="00823CE7" w:rsidRPr="00823CE7" w:rsidRDefault="00823CE7" w:rsidP="00823CE7">
      <w:pPr>
        <w:rPr>
          <w:sz w:val="22"/>
          <w:szCs w:val="22"/>
        </w:rPr>
      </w:pPr>
      <w:r w:rsidRPr="00823CE7">
        <w:rPr>
          <w:sz w:val="22"/>
          <w:szCs w:val="22"/>
        </w:rPr>
        <w:t>derivatima sulfoniluree ili su u izolovanim slučajevima, doveli do insuficijencije jetre opasne po život.</w:t>
      </w:r>
    </w:p>
    <w:p w:rsidR="00823CE7" w:rsidRPr="00823CE7" w:rsidRDefault="00823CE7" w:rsidP="00823CE7">
      <w:pPr>
        <w:jc w:val="both"/>
        <w:rPr>
          <w:sz w:val="22"/>
          <w:szCs w:val="22"/>
        </w:rPr>
      </w:pPr>
    </w:p>
    <w:p w:rsidR="00823CE7" w:rsidRPr="00823CE7" w:rsidRDefault="00823CE7" w:rsidP="00823CE7">
      <w:pPr>
        <w:jc w:val="both"/>
        <w:rPr>
          <w:sz w:val="22"/>
          <w:szCs w:val="22"/>
          <w:u w:val="single"/>
          <w:lang w:val="sr-Latn-RS"/>
        </w:rPr>
      </w:pPr>
      <w:r w:rsidRPr="00823CE7">
        <w:rPr>
          <w:sz w:val="22"/>
          <w:szCs w:val="22"/>
          <w:u w:val="single"/>
          <w:lang w:val="sr-Latn-RS"/>
        </w:rPr>
        <w:t>Prijavljivanje sumnji na neželjena dejstva</w:t>
      </w:r>
    </w:p>
    <w:p w:rsidR="00823CE7" w:rsidRPr="00823CE7" w:rsidRDefault="00823CE7" w:rsidP="00823CE7">
      <w:pPr>
        <w:jc w:val="both"/>
        <w:rPr>
          <w:sz w:val="22"/>
          <w:szCs w:val="22"/>
          <w:u w:val="single"/>
          <w:lang w:val="sr-Latn-RS"/>
        </w:rPr>
      </w:pPr>
    </w:p>
    <w:p w:rsidR="00823CE7" w:rsidRPr="00823CE7" w:rsidRDefault="00823CE7" w:rsidP="00823CE7">
      <w:pPr>
        <w:jc w:val="both"/>
        <w:rPr>
          <w:sz w:val="22"/>
          <w:szCs w:val="22"/>
          <w:lang w:val="sr-Latn-RS"/>
        </w:rPr>
      </w:pPr>
      <w:r w:rsidRPr="00823CE7">
        <w:rPr>
          <w:sz w:val="22"/>
          <w:szCs w:val="22"/>
          <w:lang w:val="sr-Latn-RS"/>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823CE7" w:rsidRPr="00823CE7" w:rsidRDefault="00823CE7" w:rsidP="00823CE7">
      <w:pPr>
        <w:jc w:val="both"/>
        <w:rPr>
          <w:sz w:val="22"/>
          <w:szCs w:val="22"/>
          <w:lang w:val="sr-Latn-RS"/>
        </w:rPr>
      </w:pPr>
    </w:p>
    <w:p w:rsidR="00823CE7" w:rsidRPr="00823CE7" w:rsidRDefault="00823CE7" w:rsidP="00823CE7">
      <w:pPr>
        <w:jc w:val="both"/>
        <w:rPr>
          <w:sz w:val="22"/>
          <w:szCs w:val="22"/>
          <w:lang w:val="sr-Latn-RS"/>
        </w:rPr>
      </w:pPr>
      <w:r w:rsidRPr="00823CE7">
        <w:rPr>
          <w:sz w:val="22"/>
          <w:szCs w:val="22"/>
          <w:lang w:val="sr-Latn-RS"/>
        </w:rPr>
        <w:t>Agencija za ljekove i medicinska sredstva Crne Gore</w:t>
      </w:r>
    </w:p>
    <w:p w:rsidR="00823CE7" w:rsidRPr="00823CE7" w:rsidRDefault="00823CE7" w:rsidP="00823CE7">
      <w:pPr>
        <w:jc w:val="both"/>
        <w:rPr>
          <w:sz w:val="22"/>
          <w:szCs w:val="22"/>
          <w:lang w:val="sr-Latn-RS"/>
        </w:rPr>
      </w:pPr>
      <w:r w:rsidRPr="00823CE7">
        <w:rPr>
          <w:sz w:val="22"/>
          <w:szCs w:val="22"/>
          <w:lang w:val="sr-Latn-RS"/>
        </w:rPr>
        <w:t>Odjeljenje za farmakovigilancu</w:t>
      </w:r>
    </w:p>
    <w:p w:rsidR="00823CE7" w:rsidRPr="00823CE7" w:rsidRDefault="00823CE7" w:rsidP="00823CE7">
      <w:pPr>
        <w:jc w:val="both"/>
        <w:rPr>
          <w:sz w:val="22"/>
          <w:szCs w:val="22"/>
          <w:lang w:val="sr-Latn-RS"/>
        </w:rPr>
      </w:pPr>
      <w:r w:rsidRPr="00823CE7">
        <w:rPr>
          <w:sz w:val="22"/>
          <w:szCs w:val="22"/>
          <w:lang w:val="sr-Latn-RS"/>
        </w:rPr>
        <w:t>Bulevar Ivana Crnojevića 64a, 81000 Podgorica</w:t>
      </w:r>
    </w:p>
    <w:p w:rsidR="00823CE7" w:rsidRPr="00823CE7" w:rsidRDefault="00823CE7" w:rsidP="00823CE7">
      <w:pPr>
        <w:jc w:val="both"/>
        <w:rPr>
          <w:sz w:val="22"/>
          <w:szCs w:val="22"/>
          <w:lang w:val="sr-Latn-RS"/>
        </w:rPr>
      </w:pPr>
    </w:p>
    <w:p w:rsidR="00823CE7" w:rsidRPr="00823CE7" w:rsidRDefault="00823CE7" w:rsidP="00823CE7">
      <w:pPr>
        <w:jc w:val="both"/>
        <w:rPr>
          <w:sz w:val="22"/>
          <w:szCs w:val="22"/>
          <w:lang w:val="sr-Latn-RS"/>
        </w:rPr>
      </w:pPr>
      <w:r w:rsidRPr="00823CE7">
        <w:rPr>
          <w:sz w:val="22"/>
          <w:szCs w:val="22"/>
          <w:lang w:val="sr-Latn-RS"/>
        </w:rPr>
        <w:t>tel: +382 (0) 20 310 280</w:t>
      </w:r>
    </w:p>
    <w:p w:rsidR="00823CE7" w:rsidRPr="00823CE7" w:rsidRDefault="00823CE7" w:rsidP="00823CE7">
      <w:pPr>
        <w:jc w:val="both"/>
        <w:rPr>
          <w:sz w:val="22"/>
          <w:szCs w:val="22"/>
          <w:lang w:val="sr-Latn-RS"/>
        </w:rPr>
      </w:pPr>
      <w:r w:rsidRPr="00823CE7">
        <w:rPr>
          <w:sz w:val="22"/>
          <w:szCs w:val="22"/>
          <w:lang w:val="sr-Latn-RS"/>
        </w:rPr>
        <w:t>fax:+382 (0) 20 310 581</w:t>
      </w:r>
    </w:p>
    <w:p w:rsidR="00823CE7" w:rsidRPr="00823CE7" w:rsidRDefault="00BA053C" w:rsidP="00823CE7">
      <w:pPr>
        <w:jc w:val="both"/>
        <w:rPr>
          <w:rStyle w:val="Hyperlink"/>
          <w:sz w:val="22"/>
          <w:szCs w:val="22"/>
          <w:lang w:val="sr-Latn-RS"/>
        </w:rPr>
      </w:pPr>
      <w:hyperlink r:id="rId8" w:history="1">
        <w:r w:rsidR="00823CE7" w:rsidRPr="00823CE7">
          <w:rPr>
            <w:rStyle w:val="Hyperlink"/>
            <w:sz w:val="22"/>
            <w:szCs w:val="22"/>
            <w:lang w:val="sr-Latn-RS"/>
          </w:rPr>
          <w:t>www.calims.me</w:t>
        </w:r>
      </w:hyperlink>
    </w:p>
    <w:p w:rsidR="00823CE7" w:rsidRPr="00823CE7" w:rsidRDefault="00BA053C" w:rsidP="00823CE7">
      <w:pPr>
        <w:jc w:val="both"/>
        <w:rPr>
          <w:sz w:val="22"/>
          <w:szCs w:val="22"/>
          <w:lang w:val="sr-Latn-RS"/>
        </w:rPr>
      </w:pPr>
      <w:hyperlink r:id="rId9" w:history="1">
        <w:r w:rsidR="00823CE7" w:rsidRPr="00823CE7">
          <w:rPr>
            <w:rStyle w:val="Hyperlink"/>
            <w:sz w:val="22"/>
            <w:szCs w:val="22"/>
            <w:lang w:val="sr-Latn-RS"/>
          </w:rPr>
          <w:t>nezeljenadejstva@calims.me</w:t>
        </w:r>
      </w:hyperlink>
    </w:p>
    <w:p w:rsidR="00823CE7" w:rsidRPr="00823CE7" w:rsidRDefault="00823CE7" w:rsidP="00823CE7">
      <w:pPr>
        <w:jc w:val="both"/>
        <w:rPr>
          <w:sz w:val="22"/>
          <w:szCs w:val="22"/>
          <w:lang w:val="sr-Latn-RS"/>
        </w:rPr>
      </w:pPr>
      <w:r w:rsidRPr="00823CE7">
        <w:rPr>
          <w:sz w:val="22"/>
          <w:szCs w:val="22"/>
          <w:lang w:val="sr-Latn-RS"/>
        </w:rPr>
        <w:t>putem IS zdravstvene zaštite</w:t>
      </w:r>
    </w:p>
    <w:p w:rsidR="00823CE7" w:rsidRPr="00823CE7" w:rsidRDefault="00823CE7" w:rsidP="00823CE7">
      <w:pPr>
        <w:jc w:val="both"/>
        <w:rPr>
          <w:sz w:val="22"/>
          <w:szCs w:val="22"/>
        </w:rPr>
      </w:pPr>
    </w:p>
    <w:p w:rsidR="00823CE7" w:rsidRPr="00823CE7" w:rsidRDefault="00823CE7" w:rsidP="00823CE7">
      <w:pPr>
        <w:rPr>
          <w:b/>
          <w:bCs/>
          <w:sz w:val="22"/>
          <w:szCs w:val="22"/>
        </w:rPr>
      </w:pPr>
      <w:r w:rsidRPr="00823CE7">
        <w:rPr>
          <w:b/>
          <w:bCs/>
          <w:sz w:val="22"/>
          <w:szCs w:val="22"/>
        </w:rPr>
        <w:t>4.9. Predoziranje i mjere koje je potrebno preduzeti</w:t>
      </w:r>
    </w:p>
    <w:p w:rsidR="00823CE7" w:rsidRPr="00823CE7" w:rsidRDefault="00823CE7" w:rsidP="00823CE7">
      <w:pPr>
        <w:jc w:val="both"/>
        <w:rPr>
          <w:b/>
          <w:bCs/>
          <w:sz w:val="22"/>
          <w:szCs w:val="22"/>
        </w:rPr>
      </w:pPr>
    </w:p>
    <w:p w:rsidR="00823CE7" w:rsidRPr="00823CE7" w:rsidRDefault="00823CE7" w:rsidP="00823CE7">
      <w:pPr>
        <w:jc w:val="both"/>
        <w:rPr>
          <w:sz w:val="22"/>
          <w:szCs w:val="22"/>
        </w:rPr>
      </w:pPr>
      <w:r w:rsidRPr="00823CE7">
        <w:rPr>
          <w:sz w:val="22"/>
          <w:szCs w:val="22"/>
        </w:rPr>
        <w:t>Predoziranje derivatima sulfoniluree može izazvati hipoglikemiju.</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Umjereni simptomi hipoglikemije, bez gubitka svijesti ili neuroloških znakova, moraju se korigovati unosom ugljenih hidrata, prilagođavanjem doze i/ili promjenom načina ishrane. Treba nastaviti strogo praćenje pacijenta sve dok ljekar ne bude siguran da je pacijent van opasnosti.</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Moguće su teške hipoglikemijske reakcije, sa komom, konvulzijama ili drugim neurološkim poremećajima, koje se moraju liječiti kao urgentna stanja uz obaveznu hospitalizaciju.</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Ukoliko je hipoglikemijska koma dijagnostikovana (ili je suspektna), pacijentu je potrebno dati brzu i.v. injekciju 50 ml koncentrovanog rastvora glukoze (20 do 30%). Zatim primijeniti kontinuiranu infuziju razblaženijeg rastvora glukoze (10%) brzinom koja je potrebna da se održi koncentracija glukoze u krvi iznad 1 g/l. Pacijente treba pažljivo posmatrati i nakon ovog perioda, a u zavisnosti od stanja pacijenta, ljekar će odlučiti da li je potreban dalji monitoring.</w:t>
      </w:r>
    </w:p>
    <w:p w:rsidR="00823CE7" w:rsidRPr="00823CE7" w:rsidRDefault="00823CE7" w:rsidP="00823CE7">
      <w:pPr>
        <w:rPr>
          <w:sz w:val="22"/>
          <w:szCs w:val="22"/>
        </w:rPr>
      </w:pPr>
    </w:p>
    <w:p w:rsidR="00823CE7" w:rsidRPr="00823CE7" w:rsidRDefault="00823CE7" w:rsidP="00823CE7">
      <w:pPr>
        <w:jc w:val="both"/>
        <w:rPr>
          <w:sz w:val="22"/>
          <w:szCs w:val="22"/>
        </w:rPr>
      </w:pPr>
      <w:r w:rsidRPr="00823CE7">
        <w:rPr>
          <w:sz w:val="22"/>
          <w:szCs w:val="22"/>
        </w:rPr>
        <w:t>Dijaliza nije efikasna kod ovih pacijenata zbog snažnog vezivanja gliklazida za proteine plazme.</w:t>
      </w:r>
    </w:p>
    <w:p w:rsidR="00823CE7" w:rsidRPr="00823CE7" w:rsidRDefault="00823CE7" w:rsidP="00823CE7">
      <w:pPr>
        <w:jc w:val="both"/>
        <w:rPr>
          <w:sz w:val="22"/>
          <w:szCs w:val="22"/>
        </w:rPr>
      </w:pPr>
    </w:p>
    <w:p w:rsidR="00823CE7" w:rsidRPr="00823CE7" w:rsidRDefault="00823CE7" w:rsidP="00823CE7">
      <w:pPr>
        <w:rPr>
          <w:b/>
          <w:bCs/>
          <w:sz w:val="22"/>
          <w:szCs w:val="22"/>
        </w:rPr>
      </w:pPr>
      <w:r w:rsidRPr="00823CE7">
        <w:rPr>
          <w:b/>
          <w:bCs/>
          <w:sz w:val="22"/>
          <w:szCs w:val="22"/>
        </w:rPr>
        <w:t>5. FARMAKOLOŠKI PODACI</w:t>
      </w:r>
    </w:p>
    <w:p w:rsidR="00823CE7" w:rsidRPr="00823CE7" w:rsidRDefault="00823CE7" w:rsidP="00823CE7">
      <w:pPr>
        <w:rPr>
          <w:b/>
          <w:bCs/>
          <w:sz w:val="22"/>
          <w:szCs w:val="22"/>
        </w:rPr>
      </w:pPr>
    </w:p>
    <w:p w:rsidR="00823CE7" w:rsidRPr="00823CE7" w:rsidRDefault="00823CE7" w:rsidP="00823CE7">
      <w:pPr>
        <w:rPr>
          <w:b/>
          <w:bCs/>
          <w:sz w:val="22"/>
          <w:szCs w:val="22"/>
        </w:rPr>
      </w:pPr>
      <w:r w:rsidRPr="00823CE7">
        <w:rPr>
          <w:b/>
          <w:bCs/>
          <w:sz w:val="22"/>
          <w:szCs w:val="22"/>
        </w:rPr>
        <w:t>5.1. Farmakodinamski podaci</w:t>
      </w:r>
    </w:p>
    <w:p w:rsidR="00823CE7" w:rsidRPr="00823CE7" w:rsidRDefault="00823CE7" w:rsidP="00823CE7">
      <w:pPr>
        <w:rPr>
          <w:b/>
          <w:bCs/>
          <w:sz w:val="22"/>
          <w:szCs w:val="22"/>
        </w:rPr>
      </w:pPr>
    </w:p>
    <w:p w:rsidR="00823CE7" w:rsidRPr="00823CE7" w:rsidRDefault="00823CE7" w:rsidP="00823CE7">
      <w:pPr>
        <w:jc w:val="both"/>
        <w:rPr>
          <w:sz w:val="22"/>
          <w:szCs w:val="22"/>
        </w:rPr>
      </w:pPr>
      <w:r w:rsidRPr="00823CE7">
        <w:rPr>
          <w:b/>
          <w:bCs/>
          <w:sz w:val="22"/>
          <w:szCs w:val="22"/>
        </w:rPr>
        <w:t xml:space="preserve">Farmakoterapijska grupa: </w:t>
      </w:r>
      <w:r w:rsidRPr="00823CE7">
        <w:rPr>
          <w:sz w:val="22"/>
          <w:szCs w:val="22"/>
        </w:rPr>
        <w:t>Ljekovi koji snižavaju glukozu u krvi, isključujući insuline; sulfonamidi, derivati sulfoniluree</w:t>
      </w:r>
    </w:p>
    <w:p w:rsidR="00823CE7" w:rsidRPr="00823CE7" w:rsidRDefault="00823CE7" w:rsidP="00823CE7">
      <w:pPr>
        <w:rPr>
          <w:sz w:val="22"/>
          <w:szCs w:val="22"/>
        </w:rPr>
      </w:pPr>
      <w:r w:rsidRPr="00823CE7">
        <w:rPr>
          <w:b/>
          <w:bCs/>
          <w:sz w:val="22"/>
          <w:szCs w:val="22"/>
        </w:rPr>
        <w:t xml:space="preserve">ATC šifra: </w:t>
      </w:r>
      <w:r w:rsidRPr="00823CE7">
        <w:rPr>
          <w:sz w:val="22"/>
          <w:szCs w:val="22"/>
        </w:rPr>
        <w:t>A10BB09</w:t>
      </w:r>
    </w:p>
    <w:p w:rsidR="00823CE7" w:rsidRPr="00823CE7" w:rsidRDefault="00823CE7" w:rsidP="00823CE7">
      <w:pPr>
        <w:rPr>
          <w:sz w:val="22"/>
          <w:szCs w:val="22"/>
        </w:rPr>
      </w:pPr>
    </w:p>
    <w:p w:rsidR="00823CE7" w:rsidRPr="00823CE7" w:rsidRDefault="00823CE7" w:rsidP="00823CE7">
      <w:pPr>
        <w:jc w:val="both"/>
        <w:rPr>
          <w:sz w:val="22"/>
          <w:szCs w:val="22"/>
          <w:u w:val="single"/>
        </w:rPr>
      </w:pPr>
      <w:r w:rsidRPr="00823CE7">
        <w:rPr>
          <w:sz w:val="22"/>
          <w:szCs w:val="22"/>
          <w:u w:val="single"/>
        </w:rPr>
        <w:t>Mehanizam dejstva</w:t>
      </w:r>
    </w:p>
    <w:p w:rsidR="00823CE7" w:rsidRPr="00823CE7" w:rsidRDefault="00823CE7" w:rsidP="00823CE7">
      <w:pPr>
        <w:jc w:val="both"/>
        <w:rPr>
          <w:sz w:val="22"/>
          <w:szCs w:val="22"/>
        </w:rPr>
      </w:pPr>
      <w:r w:rsidRPr="00823CE7">
        <w:rPr>
          <w:sz w:val="22"/>
          <w:szCs w:val="22"/>
        </w:rPr>
        <w:t>Gliklazid je oralni antidijabetik, derivat sulfoniluree sa hipoglikemijskim dejstvom, čija se aktivna supstanca razlikuje od drugih srodnih jedinjenja po N-heterocikličnom prstenu sa endocikličnom vezom. Gliklazid smanjuje koncentraciju glukoze u krvi stimulišući sekreciju insulina iz β-ćelija Langerhansovih ostrvaca. Povećenje postprandijalnog insulina i sekrecija C peptida se održavaju dvije godine nakon liječenja.</w:t>
      </w:r>
    </w:p>
    <w:p w:rsidR="00823CE7" w:rsidRPr="00823CE7" w:rsidRDefault="00823CE7" w:rsidP="00823CE7">
      <w:pPr>
        <w:jc w:val="both"/>
        <w:rPr>
          <w:sz w:val="22"/>
          <w:szCs w:val="22"/>
        </w:rPr>
      </w:pPr>
    </w:p>
    <w:p w:rsidR="00823CE7" w:rsidRPr="00823CE7" w:rsidRDefault="00823CE7" w:rsidP="00823CE7">
      <w:pPr>
        <w:jc w:val="both"/>
        <w:rPr>
          <w:sz w:val="22"/>
          <w:szCs w:val="22"/>
        </w:rPr>
      </w:pPr>
      <w:r w:rsidRPr="00823CE7">
        <w:rPr>
          <w:sz w:val="22"/>
          <w:szCs w:val="22"/>
        </w:rPr>
        <w:t>Osim ovih metaboličkih svojstava, gliklazid posjeduje i hemovaskularna svojstva.</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Klinička efikasnost i bezbjednost</w:t>
      </w:r>
    </w:p>
    <w:p w:rsidR="00823CE7" w:rsidRPr="00823CE7" w:rsidRDefault="00823CE7" w:rsidP="00823CE7">
      <w:pPr>
        <w:jc w:val="both"/>
        <w:rPr>
          <w:sz w:val="22"/>
          <w:szCs w:val="22"/>
          <w:u w:val="single"/>
        </w:rPr>
      </w:pPr>
    </w:p>
    <w:p w:rsidR="00823CE7" w:rsidRPr="00823CE7" w:rsidRDefault="00823CE7" w:rsidP="00823CE7">
      <w:pPr>
        <w:jc w:val="both"/>
        <w:rPr>
          <w:i/>
          <w:iCs/>
          <w:sz w:val="22"/>
          <w:szCs w:val="22"/>
          <w:u w:val="single"/>
        </w:rPr>
      </w:pPr>
      <w:r w:rsidRPr="00823CE7">
        <w:rPr>
          <w:i/>
          <w:iCs/>
          <w:sz w:val="22"/>
          <w:szCs w:val="22"/>
          <w:u w:val="single"/>
        </w:rPr>
        <w:t>Efekti na oslobađanje insulina:</w:t>
      </w:r>
    </w:p>
    <w:p w:rsidR="00823CE7" w:rsidRPr="00823CE7" w:rsidRDefault="00823CE7" w:rsidP="00823CE7">
      <w:pPr>
        <w:jc w:val="both"/>
        <w:rPr>
          <w:sz w:val="22"/>
          <w:szCs w:val="22"/>
        </w:rPr>
      </w:pPr>
      <w:r w:rsidRPr="00823CE7">
        <w:rPr>
          <w:sz w:val="22"/>
          <w:szCs w:val="22"/>
        </w:rPr>
        <w:t>Kod dijabetesa tipa 2 gliklazid obnavlja prvi maksimum (pik) sekrecije insulina kao odgovor na glukozu i pojačava drugu fazu sekrecije insulina. Značajno povećanje u lučenju insulina se javlja kao odgovor na stimulaciju obrokom ili glukozom.</w:t>
      </w:r>
    </w:p>
    <w:p w:rsidR="00823CE7" w:rsidRPr="00823CE7" w:rsidRDefault="00823CE7" w:rsidP="00823CE7">
      <w:pPr>
        <w:jc w:val="both"/>
        <w:rPr>
          <w:sz w:val="22"/>
          <w:szCs w:val="22"/>
        </w:rPr>
      </w:pPr>
    </w:p>
    <w:p w:rsidR="00823CE7" w:rsidRPr="00823CE7" w:rsidRDefault="00823CE7" w:rsidP="00823CE7">
      <w:pPr>
        <w:jc w:val="both"/>
        <w:rPr>
          <w:i/>
          <w:iCs/>
          <w:sz w:val="22"/>
          <w:szCs w:val="22"/>
          <w:u w:val="single"/>
        </w:rPr>
      </w:pPr>
      <w:r w:rsidRPr="00823CE7">
        <w:rPr>
          <w:i/>
          <w:iCs/>
          <w:sz w:val="22"/>
          <w:szCs w:val="22"/>
          <w:u w:val="single"/>
        </w:rPr>
        <w:t>Hemovaskularne osobine:</w:t>
      </w:r>
    </w:p>
    <w:p w:rsidR="00823CE7" w:rsidRPr="00823CE7" w:rsidRDefault="00823CE7" w:rsidP="00823CE7">
      <w:pPr>
        <w:jc w:val="both"/>
        <w:rPr>
          <w:sz w:val="22"/>
          <w:szCs w:val="22"/>
        </w:rPr>
      </w:pPr>
      <w:r w:rsidRPr="00823CE7">
        <w:rPr>
          <w:sz w:val="22"/>
          <w:szCs w:val="22"/>
        </w:rPr>
        <w:t>Gliklazid smanjuje nastanak mikrotromboze pomoću dva mehanizma koji su uključeni u komplikacije dijabetesa:</w:t>
      </w:r>
    </w:p>
    <w:p w:rsidR="00823CE7" w:rsidRPr="00823CE7" w:rsidRDefault="00823CE7" w:rsidP="00823CE7">
      <w:pPr>
        <w:jc w:val="both"/>
        <w:rPr>
          <w:sz w:val="22"/>
          <w:szCs w:val="22"/>
        </w:rPr>
      </w:pPr>
      <w:r w:rsidRPr="00823CE7">
        <w:rPr>
          <w:sz w:val="22"/>
          <w:szCs w:val="22"/>
        </w:rPr>
        <w:t>- parcijalna inhibicija agregacije i adhezije trombocita, sa smanjenjem markera trombocitne aktivacije (beta tromboglobulin, tromboksan B2),</w:t>
      </w:r>
    </w:p>
    <w:p w:rsidR="00823CE7" w:rsidRPr="00823CE7" w:rsidRDefault="00823CE7" w:rsidP="00823CE7">
      <w:pPr>
        <w:jc w:val="both"/>
        <w:rPr>
          <w:sz w:val="22"/>
          <w:szCs w:val="22"/>
        </w:rPr>
      </w:pPr>
      <w:r w:rsidRPr="00823CE7">
        <w:rPr>
          <w:sz w:val="22"/>
          <w:szCs w:val="22"/>
        </w:rPr>
        <w:t>- dejstvom na fibrinolitičku aktivnost vaskularnog endotela sa povećanjem tPA aktivnosti.</w:t>
      </w:r>
    </w:p>
    <w:p w:rsidR="00823CE7" w:rsidRPr="00823CE7" w:rsidRDefault="00823CE7" w:rsidP="00823CE7">
      <w:pPr>
        <w:jc w:val="both"/>
        <w:rPr>
          <w:sz w:val="22"/>
          <w:szCs w:val="22"/>
        </w:rPr>
      </w:pPr>
    </w:p>
    <w:p w:rsidR="00823CE7" w:rsidRPr="00823CE7" w:rsidRDefault="00823CE7" w:rsidP="00823CE7">
      <w:pPr>
        <w:rPr>
          <w:b/>
          <w:bCs/>
          <w:sz w:val="22"/>
          <w:szCs w:val="22"/>
        </w:rPr>
      </w:pPr>
      <w:r w:rsidRPr="00823CE7">
        <w:rPr>
          <w:b/>
          <w:bCs/>
          <w:sz w:val="22"/>
          <w:szCs w:val="22"/>
        </w:rPr>
        <w:t>5.2. Farmakokinetički podaci</w:t>
      </w:r>
    </w:p>
    <w:p w:rsidR="00823CE7" w:rsidRPr="00823CE7" w:rsidRDefault="00823CE7" w:rsidP="00823CE7">
      <w:pPr>
        <w:rPr>
          <w:b/>
          <w:bCs/>
          <w:sz w:val="22"/>
          <w:szCs w:val="22"/>
        </w:rPr>
      </w:pPr>
    </w:p>
    <w:p w:rsidR="00823CE7" w:rsidRPr="00823CE7" w:rsidRDefault="00823CE7" w:rsidP="00823CE7">
      <w:pPr>
        <w:jc w:val="both"/>
        <w:rPr>
          <w:sz w:val="22"/>
          <w:szCs w:val="22"/>
          <w:u w:val="single"/>
        </w:rPr>
      </w:pPr>
      <w:r w:rsidRPr="00823CE7">
        <w:rPr>
          <w:sz w:val="22"/>
          <w:szCs w:val="22"/>
          <w:u w:val="single"/>
        </w:rPr>
        <w:t>Resorpcija</w:t>
      </w:r>
    </w:p>
    <w:p w:rsidR="00823CE7" w:rsidRPr="00823CE7" w:rsidRDefault="00823CE7" w:rsidP="00823CE7">
      <w:pPr>
        <w:jc w:val="both"/>
        <w:rPr>
          <w:sz w:val="22"/>
          <w:szCs w:val="22"/>
        </w:rPr>
      </w:pPr>
      <w:r w:rsidRPr="00823CE7">
        <w:rPr>
          <w:sz w:val="22"/>
          <w:szCs w:val="22"/>
        </w:rPr>
        <w:t>Maksimalne koncentracije u plazmi se postižu nakon 2 do 6 sati.</w:t>
      </w:r>
    </w:p>
    <w:p w:rsidR="00823CE7" w:rsidRPr="00823CE7" w:rsidRDefault="00823CE7" w:rsidP="00823CE7">
      <w:pPr>
        <w:jc w:val="both"/>
        <w:rPr>
          <w:sz w:val="22"/>
          <w:szCs w:val="22"/>
        </w:rPr>
      </w:pPr>
      <w:r w:rsidRPr="00823CE7">
        <w:rPr>
          <w:sz w:val="22"/>
          <w:szCs w:val="22"/>
        </w:rPr>
        <w:t>Gliklazid se veoma dobro resorbuje. Unos hrane ne utiče na brzinu i stepen resorpcije.</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Distribucija</w:t>
      </w:r>
    </w:p>
    <w:p w:rsidR="00823CE7" w:rsidRPr="00823CE7" w:rsidRDefault="00823CE7" w:rsidP="00823CE7">
      <w:pPr>
        <w:jc w:val="both"/>
        <w:rPr>
          <w:sz w:val="22"/>
          <w:szCs w:val="22"/>
        </w:rPr>
      </w:pPr>
      <w:r w:rsidRPr="00823CE7">
        <w:rPr>
          <w:sz w:val="22"/>
          <w:szCs w:val="22"/>
        </w:rPr>
        <w:t>Vezivanje za proteine plazme je približno 95%. Volumen distribucije je oko 19 litara.</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Biotransformacija</w:t>
      </w:r>
    </w:p>
    <w:p w:rsidR="00823CE7" w:rsidRPr="00823CE7" w:rsidRDefault="00823CE7" w:rsidP="00823CE7">
      <w:pPr>
        <w:jc w:val="both"/>
        <w:rPr>
          <w:sz w:val="22"/>
          <w:szCs w:val="22"/>
        </w:rPr>
      </w:pPr>
      <w:r w:rsidRPr="00823CE7">
        <w:rPr>
          <w:sz w:val="22"/>
          <w:szCs w:val="22"/>
        </w:rPr>
        <w:t>Gliklazid se uglavnom metaboliše u jetri i izlučuje putem urina; manje od 1% doze se izluči nepromijenjeno</w:t>
      </w:r>
    </w:p>
    <w:p w:rsidR="00823CE7" w:rsidRPr="00823CE7" w:rsidRDefault="00823CE7" w:rsidP="00823CE7">
      <w:pPr>
        <w:jc w:val="both"/>
        <w:rPr>
          <w:sz w:val="22"/>
          <w:szCs w:val="22"/>
        </w:rPr>
      </w:pPr>
      <w:r w:rsidRPr="00823CE7">
        <w:rPr>
          <w:sz w:val="22"/>
          <w:szCs w:val="22"/>
        </w:rPr>
        <w:t>urinom. U plazmi nema aktivnih metabolita.</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Eliminacija</w:t>
      </w:r>
    </w:p>
    <w:p w:rsidR="00823CE7" w:rsidRPr="00823CE7" w:rsidRDefault="00823CE7" w:rsidP="00823CE7">
      <w:pPr>
        <w:jc w:val="both"/>
        <w:rPr>
          <w:sz w:val="22"/>
          <w:szCs w:val="22"/>
        </w:rPr>
      </w:pPr>
      <w:r w:rsidRPr="00823CE7">
        <w:rPr>
          <w:sz w:val="22"/>
          <w:szCs w:val="22"/>
        </w:rPr>
        <w:t>Poluvrijeme eliminacije iznosi približno 10-12 h.</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Linearnost/ nelinearnost</w:t>
      </w:r>
    </w:p>
    <w:p w:rsidR="00823CE7" w:rsidRPr="00823CE7" w:rsidRDefault="00823CE7" w:rsidP="00823CE7">
      <w:pPr>
        <w:jc w:val="both"/>
        <w:rPr>
          <w:sz w:val="22"/>
          <w:szCs w:val="22"/>
        </w:rPr>
      </w:pPr>
      <w:r w:rsidRPr="00823CE7">
        <w:rPr>
          <w:sz w:val="22"/>
          <w:szCs w:val="22"/>
        </w:rPr>
        <w:t>Odnos doza u rasponu od 40 do 400 mg i koncentracije u plazmi je linearan.</w:t>
      </w:r>
    </w:p>
    <w:p w:rsidR="00823CE7" w:rsidRPr="00823CE7" w:rsidRDefault="00823CE7" w:rsidP="00823CE7">
      <w:pPr>
        <w:jc w:val="both"/>
        <w:rPr>
          <w:sz w:val="22"/>
          <w:szCs w:val="22"/>
        </w:rPr>
      </w:pPr>
    </w:p>
    <w:p w:rsidR="00823CE7" w:rsidRPr="00823CE7" w:rsidRDefault="00823CE7" w:rsidP="00823CE7">
      <w:pPr>
        <w:jc w:val="both"/>
        <w:rPr>
          <w:sz w:val="22"/>
          <w:szCs w:val="22"/>
          <w:u w:val="single"/>
        </w:rPr>
      </w:pPr>
      <w:r w:rsidRPr="00823CE7">
        <w:rPr>
          <w:sz w:val="22"/>
          <w:szCs w:val="22"/>
          <w:u w:val="single"/>
        </w:rPr>
        <w:t>Posebne populacije</w:t>
      </w:r>
    </w:p>
    <w:p w:rsidR="00823CE7" w:rsidRPr="00823CE7" w:rsidRDefault="00823CE7" w:rsidP="00823CE7">
      <w:pPr>
        <w:jc w:val="both"/>
        <w:rPr>
          <w:i/>
          <w:iCs/>
          <w:sz w:val="22"/>
          <w:szCs w:val="22"/>
        </w:rPr>
      </w:pPr>
      <w:r w:rsidRPr="00823CE7">
        <w:rPr>
          <w:i/>
          <w:iCs/>
          <w:sz w:val="22"/>
          <w:szCs w:val="22"/>
        </w:rPr>
        <w:t>Starije osobe</w:t>
      </w:r>
    </w:p>
    <w:p w:rsidR="00823CE7" w:rsidRPr="00823CE7" w:rsidRDefault="00823CE7" w:rsidP="00823CE7">
      <w:pPr>
        <w:jc w:val="both"/>
        <w:rPr>
          <w:sz w:val="22"/>
          <w:szCs w:val="22"/>
        </w:rPr>
      </w:pPr>
      <w:r w:rsidRPr="00823CE7">
        <w:rPr>
          <w:sz w:val="22"/>
          <w:szCs w:val="22"/>
        </w:rPr>
        <w:t>Nijesu primijećene klinički značajne promjene farmakokinetičkih parametara kod starijih pacijenata.</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5.3. Pretklinički podaci o bezbjednosti lijeka</w:t>
      </w:r>
    </w:p>
    <w:p w:rsidR="00823CE7" w:rsidRPr="00823CE7" w:rsidRDefault="00823CE7" w:rsidP="00823CE7">
      <w:pPr>
        <w:rPr>
          <w:b/>
          <w:bCs/>
          <w:sz w:val="22"/>
          <w:szCs w:val="22"/>
        </w:rPr>
      </w:pPr>
    </w:p>
    <w:p w:rsidR="00823CE7" w:rsidRPr="00823CE7" w:rsidRDefault="00823CE7" w:rsidP="00823CE7">
      <w:pPr>
        <w:jc w:val="both"/>
        <w:rPr>
          <w:sz w:val="22"/>
          <w:szCs w:val="22"/>
        </w:rPr>
      </w:pPr>
      <w:r w:rsidRPr="00823CE7">
        <w:rPr>
          <w:sz w:val="22"/>
          <w:szCs w:val="22"/>
        </w:rPr>
        <w:t>Pretklinički podaci dobijeni konvencionalnim ispitivanjima toksičnosti ponovljene doze i genotoksičnosti ne</w:t>
      </w:r>
    </w:p>
    <w:p w:rsidR="00823CE7" w:rsidRPr="00823CE7" w:rsidRDefault="00823CE7" w:rsidP="00823CE7">
      <w:pPr>
        <w:jc w:val="both"/>
        <w:rPr>
          <w:sz w:val="22"/>
          <w:szCs w:val="22"/>
        </w:rPr>
      </w:pPr>
      <w:r w:rsidRPr="00823CE7">
        <w:rPr>
          <w:sz w:val="22"/>
          <w:szCs w:val="22"/>
        </w:rPr>
        <w:t>ukazuju na poseban rizik za ljude.</w:t>
      </w:r>
    </w:p>
    <w:p w:rsidR="00823CE7" w:rsidRPr="00823CE7" w:rsidRDefault="00823CE7" w:rsidP="00823CE7">
      <w:pPr>
        <w:jc w:val="both"/>
        <w:rPr>
          <w:sz w:val="22"/>
          <w:szCs w:val="22"/>
        </w:rPr>
      </w:pPr>
      <w:r w:rsidRPr="00823CE7">
        <w:rPr>
          <w:sz w:val="22"/>
          <w:szCs w:val="22"/>
        </w:rPr>
        <w:t>Nijesu sprovedena dugotrajna ispitivanja karcinogenosti. Ispitivanja na životinjama nijesu pokazala teratogene</w:t>
      </w:r>
    </w:p>
    <w:p w:rsidR="00823CE7" w:rsidRPr="00823CE7" w:rsidRDefault="00823CE7" w:rsidP="00823CE7">
      <w:pPr>
        <w:jc w:val="both"/>
        <w:rPr>
          <w:sz w:val="22"/>
          <w:szCs w:val="22"/>
        </w:rPr>
      </w:pPr>
      <w:r w:rsidRPr="00823CE7">
        <w:rPr>
          <w:sz w:val="22"/>
          <w:szCs w:val="22"/>
        </w:rPr>
        <w:t>promjene, ali je zapažena niža tjelesna masa fetusa kod životinja koje su primale doze 9,4 puta veće od maksimalno preporučenih doza kod ljudi. Nakon primjene gliklazida u ispitivanjima na životinjama, nije bilo uticaja na plodnost i reproduktivne funkcije.</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6. FARMACEUTSKI PODACI</w:t>
      </w:r>
    </w:p>
    <w:p w:rsidR="00823CE7" w:rsidRPr="00823CE7" w:rsidRDefault="00823CE7" w:rsidP="00823CE7">
      <w:pPr>
        <w:rPr>
          <w:b/>
          <w:bCs/>
          <w:sz w:val="22"/>
          <w:szCs w:val="22"/>
        </w:rPr>
      </w:pPr>
    </w:p>
    <w:p w:rsidR="00823CE7" w:rsidRPr="00823CE7" w:rsidRDefault="00823CE7" w:rsidP="00823CE7">
      <w:pPr>
        <w:rPr>
          <w:b/>
          <w:bCs/>
          <w:sz w:val="22"/>
          <w:szCs w:val="22"/>
        </w:rPr>
      </w:pPr>
      <w:r w:rsidRPr="00823CE7">
        <w:rPr>
          <w:b/>
          <w:bCs/>
          <w:sz w:val="22"/>
          <w:szCs w:val="22"/>
        </w:rPr>
        <w:t>6.1. Lista pomoćnih supstanci</w:t>
      </w:r>
    </w:p>
    <w:p w:rsidR="00823CE7" w:rsidRPr="00823CE7" w:rsidRDefault="00823CE7" w:rsidP="00823CE7">
      <w:pPr>
        <w:rPr>
          <w:b/>
          <w:bCs/>
          <w:sz w:val="22"/>
          <w:szCs w:val="22"/>
        </w:rPr>
      </w:pPr>
    </w:p>
    <w:p w:rsidR="00823CE7" w:rsidRPr="00823CE7" w:rsidRDefault="00823CE7" w:rsidP="00823CE7">
      <w:pPr>
        <w:rPr>
          <w:sz w:val="22"/>
          <w:szCs w:val="22"/>
        </w:rPr>
      </w:pPr>
    </w:p>
    <w:p w:rsidR="00823CE7" w:rsidRPr="00823CE7" w:rsidRDefault="00823CE7" w:rsidP="00823CE7">
      <w:pPr>
        <w:rPr>
          <w:sz w:val="22"/>
          <w:szCs w:val="22"/>
        </w:rPr>
      </w:pPr>
      <w:r w:rsidRPr="00823CE7">
        <w:rPr>
          <w:sz w:val="22"/>
          <w:szCs w:val="22"/>
        </w:rPr>
        <w:t>Laktoza, monohidrat</w:t>
      </w:r>
    </w:p>
    <w:p w:rsidR="00823CE7" w:rsidRPr="00823CE7" w:rsidRDefault="00823CE7" w:rsidP="00823CE7">
      <w:pPr>
        <w:rPr>
          <w:sz w:val="22"/>
          <w:szCs w:val="22"/>
        </w:rPr>
      </w:pPr>
      <w:r w:rsidRPr="00823CE7">
        <w:rPr>
          <w:sz w:val="22"/>
          <w:szCs w:val="22"/>
        </w:rPr>
        <w:t xml:space="preserve">Povidon K 30 </w:t>
      </w:r>
    </w:p>
    <w:p w:rsidR="00823CE7" w:rsidRPr="00823CE7" w:rsidRDefault="00823CE7" w:rsidP="00823CE7">
      <w:pPr>
        <w:rPr>
          <w:sz w:val="22"/>
          <w:szCs w:val="22"/>
        </w:rPr>
      </w:pPr>
      <w:r w:rsidRPr="00823CE7">
        <w:rPr>
          <w:sz w:val="22"/>
          <w:szCs w:val="22"/>
        </w:rPr>
        <w:t>Gliceril behenat</w:t>
      </w:r>
    </w:p>
    <w:p w:rsidR="00823CE7" w:rsidRPr="00823CE7" w:rsidRDefault="00823CE7" w:rsidP="00823CE7">
      <w:pPr>
        <w:rPr>
          <w:sz w:val="22"/>
          <w:szCs w:val="22"/>
        </w:rPr>
      </w:pPr>
      <w:r w:rsidRPr="00823CE7">
        <w:rPr>
          <w:sz w:val="22"/>
          <w:szCs w:val="22"/>
        </w:rPr>
        <w:t xml:space="preserve">Magnezijum stearat </w:t>
      </w:r>
    </w:p>
    <w:p w:rsidR="00823CE7" w:rsidRPr="00823CE7" w:rsidRDefault="00823CE7" w:rsidP="00823CE7">
      <w:pPr>
        <w:rPr>
          <w:sz w:val="22"/>
          <w:szCs w:val="22"/>
        </w:rPr>
      </w:pPr>
      <w:r w:rsidRPr="00823CE7">
        <w:rPr>
          <w:sz w:val="22"/>
          <w:szCs w:val="22"/>
        </w:rPr>
        <w:t>Silicijum dioksid, koloidni, bezvodni</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6.2. Inkompatibilnost</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Nije primjenljivo.</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6.3. Rok upotrebe</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 xml:space="preserve">3 godine. </w:t>
      </w:r>
    </w:p>
    <w:p w:rsidR="00823CE7" w:rsidRPr="00823CE7" w:rsidRDefault="00823CE7" w:rsidP="00823CE7">
      <w:pPr>
        <w:rPr>
          <w:sz w:val="22"/>
          <w:szCs w:val="22"/>
        </w:rPr>
      </w:pPr>
      <w:r w:rsidRPr="00823CE7">
        <w:rPr>
          <w:sz w:val="22"/>
          <w:szCs w:val="22"/>
        </w:rPr>
        <w:t>Lijek ne treba primjenjivati poslije datuma isteka na pakovanju.</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6.4. Posebne mjere opreza pri čuvanju</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Proizvod ne zahtijeva posebne uslove čuvanja.</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6.5. Vrsta i sadržaj pakovanja</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Unutrašnje pakovanje je blister Al/PVC blistera sa 15 tableta i uputstvo za upotrebu lijeka u osnovnoj kutiji.</w:t>
      </w:r>
    </w:p>
    <w:p w:rsidR="00823CE7" w:rsidRPr="00823CE7" w:rsidRDefault="00823CE7" w:rsidP="00823CE7">
      <w:pPr>
        <w:rPr>
          <w:sz w:val="22"/>
          <w:szCs w:val="22"/>
        </w:rPr>
      </w:pPr>
      <w:r w:rsidRPr="00823CE7">
        <w:rPr>
          <w:sz w:val="22"/>
          <w:szCs w:val="22"/>
        </w:rPr>
        <w:t>Spoljašnje pakovanje je složiva kartonska kutija u kojoj se nalaze 2 blistera sa po 15tableta (ukupno 30</w:t>
      </w:r>
    </w:p>
    <w:p w:rsidR="00823CE7" w:rsidRPr="00823CE7" w:rsidRDefault="00823CE7" w:rsidP="00823CE7">
      <w:pPr>
        <w:rPr>
          <w:sz w:val="22"/>
          <w:szCs w:val="22"/>
        </w:rPr>
      </w:pPr>
      <w:r w:rsidRPr="00823CE7">
        <w:rPr>
          <w:sz w:val="22"/>
          <w:szCs w:val="22"/>
        </w:rPr>
        <w:t>tableta) i Uputstvo za pacijenta.</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6.6. Posebne mjere opreza pri odlaganju materijala koji treba odbaciti nakon primene leka (i druga</w:t>
      </w:r>
    </w:p>
    <w:p w:rsidR="00823CE7" w:rsidRPr="00823CE7" w:rsidRDefault="00823CE7" w:rsidP="00823CE7">
      <w:pPr>
        <w:rPr>
          <w:b/>
          <w:bCs/>
          <w:sz w:val="22"/>
          <w:szCs w:val="22"/>
        </w:rPr>
      </w:pPr>
      <w:r w:rsidRPr="00823CE7">
        <w:rPr>
          <w:b/>
          <w:bCs/>
          <w:sz w:val="22"/>
          <w:szCs w:val="22"/>
        </w:rPr>
        <w:t>uputstva za rukovanje lekom)</w:t>
      </w:r>
    </w:p>
    <w:p w:rsidR="00823CE7" w:rsidRPr="00823CE7" w:rsidRDefault="00823CE7" w:rsidP="00823CE7">
      <w:pPr>
        <w:rPr>
          <w:b/>
          <w:bCs/>
          <w:sz w:val="22"/>
          <w:szCs w:val="22"/>
        </w:rPr>
      </w:pPr>
    </w:p>
    <w:p w:rsidR="00823CE7" w:rsidRPr="00823CE7" w:rsidRDefault="00823CE7" w:rsidP="00823CE7">
      <w:pPr>
        <w:rPr>
          <w:sz w:val="22"/>
          <w:szCs w:val="22"/>
        </w:rPr>
      </w:pPr>
      <w:r w:rsidRPr="00823CE7">
        <w:rPr>
          <w:sz w:val="22"/>
          <w:szCs w:val="22"/>
        </w:rPr>
        <w:t>Svu neiskorišćenu količinu lijeka ili otpadnog materijala treba ukloniti, u skladu sa važećim propisima.</w:t>
      </w:r>
    </w:p>
    <w:p w:rsidR="00823CE7" w:rsidRPr="00823CE7" w:rsidRDefault="00823CE7" w:rsidP="00823CE7">
      <w:pPr>
        <w:rPr>
          <w:sz w:val="22"/>
          <w:szCs w:val="22"/>
        </w:rPr>
      </w:pPr>
    </w:p>
    <w:p w:rsidR="00823CE7" w:rsidRPr="00823CE7" w:rsidRDefault="00823CE7" w:rsidP="00823CE7">
      <w:pPr>
        <w:rPr>
          <w:b/>
          <w:sz w:val="22"/>
          <w:szCs w:val="22"/>
        </w:rPr>
      </w:pPr>
      <w:r w:rsidRPr="00823CE7">
        <w:rPr>
          <w:b/>
          <w:sz w:val="22"/>
          <w:szCs w:val="22"/>
        </w:rPr>
        <w:t>6.7. Režim izdavanja lijeka</w:t>
      </w:r>
    </w:p>
    <w:p w:rsidR="00823CE7" w:rsidRPr="00823CE7" w:rsidRDefault="00823CE7" w:rsidP="00823CE7">
      <w:pPr>
        <w:rPr>
          <w:sz w:val="22"/>
          <w:szCs w:val="22"/>
        </w:rPr>
      </w:pPr>
    </w:p>
    <w:p w:rsidR="00823CE7" w:rsidRPr="00823CE7" w:rsidRDefault="00823CE7" w:rsidP="00823CE7">
      <w:pPr>
        <w:rPr>
          <w:sz w:val="22"/>
          <w:szCs w:val="22"/>
        </w:rPr>
      </w:pPr>
      <w:r w:rsidRPr="00823CE7">
        <w:rPr>
          <w:sz w:val="22"/>
          <w:szCs w:val="22"/>
        </w:rPr>
        <w:t>Obnovljiv(višekratni)recept.</w:t>
      </w:r>
    </w:p>
    <w:p w:rsidR="00823CE7" w:rsidRPr="00823CE7" w:rsidRDefault="00823CE7" w:rsidP="00823CE7">
      <w:pPr>
        <w:rPr>
          <w:sz w:val="22"/>
          <w:szCs w:val="22"/>
        </w:rPr>
      </w:pPr>
    </w:p>
    <w:p w:rsidR="00823CE7" w:rsidRPr="00823CE7" w:rsidRDefault="00823CE7" w:rsidP="00823CE7">
      <w:pPr>
        <w:rPr>
          <w:b/>
          <w:bCs/>
          <w:sz w:val="22"/>
          <w:szCs w:val="22"/>
        </w:rPr>
      </w:pPr>
      <w:r w:rsidRPr="00823CE7">
        <w:rPr>
          <w:b/>
          <w:bCs/>
          <w:sz w:val="22"/>
          <w:szCs w:val="22"/>
        </w:rPr>
        <w:t>7. NOSILAC DOZVOLE</w:t>
      </w:r>
    </w:p>
    <w:p w:rsidR="00823CE7" w:rsidRPr="00823CE7" w:rsidRDefault="00823CE7" w:rsidP="00823CE7">
      <w:pPr>
        <w:rPr>
          <w:b/>
          <w:bCs/>
          <w:sz w:val="22"/>
          <w:szCs w:val="22"/>
        </w:rPr>
      </w:pPr>
    </w:p>
    <w:p w:rsidR="00823CE7" w:rsidRPr="00823CE7" w:rsidRDefault="00823CE7" w:rsidP="00823CE7">
      <w:pPr>
        <w:rPr>
          <w:bCs/>
          <w:sz w:val="22"/>
          <w:szCs w:val="22"/>
          <w:lang w:val="sr-Latn-RS"/>
        </w:rPr>
      </w:pPr>
      <w:r w:rsidRPr="00823CE7">
        <w:rPr>
          <w:bCs/>
          <w:sz w:val="22"/>
          <w:szCs w:val="22"/>
        </w:rPr>
        <w:t>Hemofarm AD Vr</w:t>
      </w:r>
      <w:r w:rsidRPr="00823CE7">
        <w:rPr>
          <w:bCs/>
          <w:sz w:val="22"/>
          <w:szCs w:val="22"/>
          <w:lang w:val="sr-Latn-RS"/>
        </w:rPr>
        <w:t>šac Poslovna jedinica Podgorica</w:t>
      </w:r>
    </w:p>
    <w:p w:rsidR="00823CE7" w:rsidRPr="00823CE7" w:rsidRDefault="00823CE7" w:rsidP="00823CE7">
      <w:pPr>
        <w:rPr>
          <w:bCs/>
          <w:sz w:val="22"/>
          <w:szCs w:val="22"/>
          <w:lang w:val="sr-Latn-RS"/>
        </w:rPr>
      </w:pPr>
      <w:r w:rsidRPr="00823CE7">
        <w:rPr>
          <w:bCs/>
          <w:sz w:val="22"/>
          <w:szCs w:val="22"/>
          <w:lang w:val="sr-Latn-RS"/>
        </w:rPr>
        <w:t>8 marta 55A, Podgorica, Crna Gora</w:t>
      </w:r>
    </w:p>
    <w:p w:rsidR="00823CE7" w:rsidRPr="00823CE7" w:rsidRDefault="00823CE7" w:rsidP="00823CE7">
      <w:pPr>
        <w:rPr>
          <w:bCs/>
          <w:sz w:val="22"/>
          <w:szCs w:val="22"/>
          <w:lang w:val="sr-Latn-RS"/>
        </w:rPr>
      </w:pPr>
    </w:p>
    <w:p w:rsidR="00823CE7" w:rsidRPr="00823CE7" w:rsidRDefault="00823CE7" w:rsidP="00823CE7">
      <w:pPr>
        <w:shd w:val="clear" w:color="auto" w:fill="D9D9D9"/>
        <w:rPr>
          <w:b/>
          <w:sz w:val="22"/>
          <w:szCs w:val="22"/>
          <w:lang w:val="it-IT"/>
        </w:rPr>
      </w:pPr>
      <w:r w:rsidRPr="00823CE7">
        <w:rPr>
          <w:b/>
          <w:sz w:val="22"/>
          <w:szCs w:val="22"/>
          <w:lang w:val="it-IT"/>
        </w:rPr>
        <w:t>8. BROJ PRVE DOZVOLE I OBNOVE DOZVOLE</w:t>
      </w:r>
    </w:p>
    <w:p w:rsidR="00823CE7" w:rsidRPr="00823CE7" w:rsidRDefault="00823CE7" w:rsidP="00823CE7">
      <w:pPr>
        <w:tabs>
          <w:tab w:val="left" w:pos="1080"/>
        </w:tabs>
        <w:jc w:val="both"/>
        <w:rPr>
          <w:i/>
          <w:sz w:val="22"/>
          <w:szCs w:val="22"/>
          <w:lang w:val="es-ES_tradnl"/>
        </w:rPr>
      </w:pPr>
    </w:p>
    <w:p w:rsidR="00823CE7" w:rsidRPr="0035025A" w:rsidRDefault="0035025A" w:rsidP="0035025A">
      <w:pPr>
        <w:tabs>
          <w:tab w:val="left" w:pos="1080"/>
        </w:tabs>
        <w:jc w:val="both"/>
        <w:rPr>
          <w:sz w:val="22"/>
          <w:szCs w:val="22"/>
          <w:lang w:val="sv-SE"/>
        </w:rPr>
      </w:pPr>
      <w:r w:rsidRPr="0035025A">
        <w:rPr>
          <w:sz w:val="22"/>
          <w:szCs w:val="22"/>
          <w:lang w:val="sv-SE"/>
        </w:rPr>
        <w:t>Diprian®, tableta sa modifikovanim oslobađanjem, 80mg</w:t>
      </w:r>
      <w:r w:rsidRPr="0035025A">
        <w:rPr>
          <w:sz w:val="22"/>
          <w:szCs w:val="22"/>
          <w:lang w:val="sv-SE"/>
        </w:rPr>
        <w:t xml:space="preserve">, </w:t>
      </w:r>
      <w:r w:rsidRPr="0035025A">
        <w:rPr>
          <w:sz w:val="22"/>
          <w:szCs w:val="22"/>
          <w:lang w:val="sv-SE"/>
        </w:rPr>
        <w:t>blister, 2 x 15 tableta</w:t>
      </w:r>
      <w:r>
        <w:rPr>
          <w:sz w:val="22"/>
          <w:szCs w:val="22"/>
          <w:lang w:val="sv-SE"/>
        </w:rPr>
        <w:t>:</w:t>
      </w:r>
      <w:r w:rsidRPr="0035025A">
        <w:t xml:space="preserve"> </w:t>
      </w:r>
      <w:r w:rsidRPr="0035025A">
        <w:rPr>
          <w:sz w:val="22"/>
          <w:szCs w:val="22"/>
          <w:lang w:val="sv-SE"/>
        </w:rPr>
        <w:t>2020/18/1 - 151</w:t>
      </w:r>
    </w:p>
    <w:p w:rsidR="00823CE7" w:rsidRPr="0035025A" w:rsidRDefault="00823CE7" w:rsidP="00823CE7">
      <w:pPr>
        <w:tabs>
          <w:tab w:val="left" w:pos="1080"/>
        </w:tabs>
        <w:jc w:val="both"/>
        <w:rPr>
          <w:sz w:val="22"/>
          <w:szCs w:val="22"/>
          <w:lang w:val="sv-SE"/>
        </w:rPr>
      </w:pPr>
    </w:p>
    <w:p w:rsidR="00823CE7" w:rsidRPr="00823CE7" w:rsidRDefault="00823CE7" w:rsidP="00823CE7">
      <w:pPr>
        <w:tabs>
          <w:tab w:val="left" w:pos="1080"/>
        </w:tabs>
        <w:jc w:val="both"/>
        <w:rPr>
          <w:sz w:val="22"/>
          <w:szCs w:val="22"/>
          <w:lang w:val="sv-SE"/>
        </w:rPr>
      </w:pPr>
    </w:p>
    <w:p w:rsidR="00823CE7" w:rsidRPr="00823CE7" w:rsidRDefault="00823CE7" w:rsidP="00823CE7">
      <w:pPr>
        <w:shd w:val="clear" w:color="auto" w:fill="D9D9D9"/>
        <w:rPr>
          <w:b/>
          <w:sz w:val="22"/>
          <w:szCs w:val="22"/>
          <w:lang w:val="it-IT"/>
        </w:rPr>
      </w:pPr>
      <w:r w:rsidRPr="00823CE7">
        <w:rPr>
          <w:b/>
          <w:sz w:val="22"/>
          <w:szCs w:val="22"/>
          <w:lang w:val="it-IT"/>
        </w:rPr>
        <w:t>9. DATUM PRVE DOZVOLE I DATUM OBNOVE DOZVOLE</w:t>
      </w:r>
    </w:p>
    <w:p w:rsidR="00823CE7" w:rsidRPr="00823CE7" w:rsidRDefault="00823CE7" w:rsidP="00823CE7">
      <w:pPr>
        <w:tabs>
          <w:tab w:val="left" w:pos="1080"/>
        </w:tabs>
        <w:jc w:val="both"/>
        <w:rPr>
          <w:i/>
          <w:sz w:val="22"/>
          <w:szCs w:val="22"/>
          <w:lang w:val="it-IT"/>
        </w:rPr>
      </w:pPr>
    </w:p>
    <w:p w:rsidR="00823CE7" w:rsidRPr="00823CE7" w:rsidRDefault="0035025A" w:rsidP="00823CE7">
      <w:pPr>
        <w:tabs>
          <w:tab w:val="left" w:pos="1080"/>
        </w:tabs>
        <w:jc w:val="both"/>
        <w:rPr>
          <w:sz w:val="22"/>
          <w:szCs w:val="22"/>
          <w:lang w:val="it-IT"/>
        </w:rPr>
      </w:pPr>
      <w:r w:rsidRPr="0035025A">
        <w:rPr>
          <w:sz w:val="22"/>
          <w:szCs w:val="22"/>
          <w:lang w:val="sv-SE"/>
        </w:rPr>
        <w:t>Diprian®, tableta sa modifikovanim oslobađanjem, 80mg, blister, 2 x 15 tableta</w:t>
      </w:r>
      <w:r>
        <w:rPr>
          <w:sz w:val="22"/>
          <w:szCs w:val="22"/>
          <w:lang w:val="sv-SE"/>
        </w:rPr>
        <w:t>: 01.03.2018. godine</w:t>
      </w:r>
    </w:p>
    <w:p w:rsidR="00823CE7" w:rsidRPr="00823CE7" w:rsidRDefault="00823CE7" w:rsidP="00823CE7">
      <w:pPr>
        <w:tabs>
          <w:tab w:val="left" w:pos="1080"/>
        </w:tabs>
        <w:jc w:val="both"/>
        <w:rPr>
          <w:sz w:val="22"/>
          <w:szCs w:val="22"/>
          <w:lang w:val="it-IT"/>
        </w:rPr>
      </w:pPr>
    </w:p>
    <w:p w:rsidR="00823CE7" w:rsidRPr="00823CE7" w:rsidRDefault="00823CE7" w:rsidP="00823CE7">
      <w:pPr>
        <w:shd w:val="clear" w:color="auto" w:fill="D9D9D9"/>
        <w:rPr>
          <w:b/>
          <w:bCs/>
          <w:sz w:val="22"/>
          <w:szCs w:val="22"/>
          <w:lang w:val="sr-Latn-ME"/>
        </w:rPr>
      </w:pPr>
      <w:r w:rsidRPr="00823CE7">
        <w:rPr>
          <w:b/>
          <w:bCs/>
          <w:sz w:val="22"/>
          <w:szCs w:val="22"/>
          <w:lang w:val="sr-Latn-ME"/>
        </w:rPr>
        <w:t>10. DATUM POSLEDNJE REVIZIJE TEKSTA SAŽETKA OSNOVNIH KARAKTERISTIKA LIJEKA</w:t>
      </w:r>
    </w:p>
    <w:p w:rsidR="00823CE7" w:rsidRPr="00823CE7" w:rsidRDefault="00823CE7" w:rsidP="00823CE7">
      <w:pPr>
        <w:rPr>
          <w:b/>
          <w:bCs/>
          <w:sz w:val="22"/>
          <w:szCs w:val="22"/>
        </w:rPr>
      </w:pPr>
    </w:p>
    <w:p w:rsidR="00823CE7" w:rsidRDefault="0035025A" w:rsidP="00823CE7">
      <w:pPr>
        <w:rPr>
          <w:sz w:val="22"/>
          <w:szCs w:val="22"/>
        </w:rPr>
      </w:pPr>
      <w:r>
        <w:rPr>
          <w:sz w:val="22"/>
          <w:szCs w:val="22"/>
        </w:rPr>
        <w:t>Mart, 2018</w:t>
      </w:r>
    </w:p>
    <w:p w:rsidR="0035025A" w:rsidRPr="00823CE7" w:rsidRDefault="0035025A" w:rsidP="00823CE7">
      <w:pPr>
        <w:rPr>
          <w:sz w:val="22"/>
          <w:szCs w:val="22"/>
        </w:rPr>
      </w:pPr>
      <w:bookmarkStart w:id="0" w:name="_GoBack"/>
      <w:bookmarkEnd w:id="0"/>
    </w:p>
    <w:p w:rsidR="00FC7DF4" w:rsidRPr="00823CE7" w:rsidRDefault="00FC7DF4" w:rsidP="00823CE7">
      <w:pPr>
        <w:rPr>
          <w:sz w:val="22"/>
          <w:szCs w:val="22"/>
        </w:rPr>
      </w:pPr>
    </w:p>
    <w:sectPr w:rsidR="00FC7DF4" w:rsidRPr="00823CE7"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3C" w:rsidRDefault="00BA053C" w:rsidP="00FF2B5A">
      <w:r>
        <w:separator/>
      </w:r>
    </w:p>
  </w:endnote>
  <w:endnote w:type="continuationSeparator" w:id="0">
    <w:p w:rsidR="00BA053C" w:rsidRDefault="00BA053C"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sz w:val="20"/>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sz w:val="20"/>
        <w:lang w:val="sr-Latn-ME"/>
      </w:rPr>
    </w:pPr>
  </w:p>
  <w:p w:rsidR="009318B4" w:rsidRPr="009318B4" w:rsidRDefault="00F1527C" w:rsidP="00F1527C">
    <w:pPr>
      <w:tabs>
        <w:tab w:val="center" w:pos="4320"/>
        <w:tab w:val="right" w:pos="8640"/>
      </w:tabs>
      <w:jc w:val="center"/>
      <w:rPr>
        <w:lang w:val="sr-Latn-ME"/>
      </w:rPr>
    </w:pPr>
    <w:r w:rsidRPr="00F1527C">
      <w:rPr>
        <w:sz w:val="20"/>
        <w:lang w:val="sr-Latn-ME"/>
      </w:rPr>
      <w:fldChar w:fldCharType="begin"/>
    </w:r>
    <w:r w:rsidRPr="00F1527C">
      <w:rPr>
        <w:sz w:val="20"/>
        <w:lang w:val="sr-Latn-ME"/>
      </w:rPr>
      <w:instrText xml:space="preserve"> PAGE </w:instrText>
    </w:r>
    <w:r w:rsidRPr="00F1527C">
      <w:rPr>
        <w:sz w:val="20"/>
        <w:lang w:val="sr-Latn-ME"/>
      </w:rPr>
      <w:fldChar w:fldCharType="separate"/>
    </w:r>
    <w:r w:rsidR="0035025A">
      <w:rPr>
        <w:noProof/>
        <w:sz w:val="20"/>
        <w:lang w:val="sr-Latn-ME"/>
      </w:rPr>
      <w:t>11</w:t>
    </w:r>
    <w:r w:rsidRPr="00F1527C">
      <w:rPr>
        <w:sz w:val="20"/>
        <w:lang w:val="sr-Latn-ME"/>
      </w:rPr>
      <w:fldChar w:fldCharType="end"/>
    </w:r>
    <w:r w:rsidRPr="00F1527C">
      <w:rPr>
        <w:sz w:val="20"/>
        <w:lang w:val="sr-Latn-ME"/>
      </w:rPr>
      <w:t xml:space="preserve"> / </w:t>
    </w:r>
    <w:r w:rsidRPr="00F1527C">
      <w:rPr>
        <w:sz w:val="20"/>
        <w:lang w:val="sr-Latn-ME"/>
      </w:rPr>
      <w:fldChar w:fldCharType="begin"/>
    </w:r>
    <w:r w:rsidRPr="00F1527C">
      <w:rPr>
        <w:sz w:val="20"/>
        <w:lang w:val="sr-Latn-ME"/>
      </w:rPr>
      <w:instrText xml:space="preserve"> NUMPAGES </w:instrText>
    </w:r>
    <w:r w:rsidRPr="00F1527C">
      <w:rPr>
        <w:sz w:val="20"/>
        <w:lang w:val="sr-Latn-ME"/>
      </w:rPr>
      <w:fldChar w:fldCharType="separate"/>
    </w:r>
    <w:r w:rsidR="0035025A">
      <w:rPr>
        <w:noProof/>
        <w:sz w:val="20"/>
        <w:lang w:val="sr-Latn-ME"/>
      </w:rPr>
      <w:t>11</w:t>
    </w:r>
    <w:r w:rsidRPr="00F1527C">
      <w:rPr>
        <w:sz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sz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lang w:val="sr-Latn-ME"/>
      </w:rPr>
    </w:pPr>
  </w:p>
  <w:p w:rsidR="00B34AF2" w:rsidRPr="009318B4" w:rsidRDefault="00B34AF2" w:rsidP="00B34AF2">
    <w:pPr>
      <w:tabs>
        <w:tab w:val="center" w:pos="4320"/>
        <w:tab w:val="right" w:pos="8640"/>
      </w:tabs>
      <w:jc w:val="center"/>
      <w:rPr>
        <w:lang w:val="sr-Latn-ME"/>
      </w:rPr>
    </w:pPr>
    <w:r w:rsidRPr="00F1527C">
      <w:rPr>
        <w:sz w:val="20"/>
        <w:lang w:val="sr-Latn-ME"/>
      </w:rPr>
      <w:fldChar w:fldCharType="begin"/>
    </w:r>
    <w:r w:rsidRPr="00F1527C">
      <w:rPr>
        <w:sz w:val="20"/>
        <w:lang w:val="sr-Latn-ME"/>
      </w:rPr>
      <w:instrText xml:space="preserve"> PAGE </w:instrText>
    </w:r>
    <w:r w:rsidRPr="00F1527C">
      <w:rPr>
        <w:sz w:val="20"/>
        <w:lang w:val="sr-Latn-ME"/>
      </w:rPr>
      <w:fldChar w:fldCharType="separate"/>
    </w:r>
    <w:r>
      <w:rPr>
        <w:noProof/>
        <w:sz w:val="20"/>
        <w:lang w:val="sr-Latn-ME"/>
      </w:rPr>
      <w:t>1</w:t>
    </w:r>
    <w:r w:rsidRPr="00F1527C">
      <w:rPr>
        <w:sz w:val="20"/>
        <w:lang w:val="sr-Latn-ME"/>
      </w:rPr>
      <w:fldChar w:fldCharType="end"/>
    </w:r>
    <w:r w:rsidRPr="00F1527C">
      <w:rPr>
        <w:sz w:val="20"/>
        <w:lang w:val="sr-Latn-ME"/>
      </w:rPr>
      <w:t xml:space="preserve"> / </w:t>
    </w:r>
    <w:r w:rsidRPr="00F1527C">
      <w:rPr>
        <w:sz w:val="20"/>
        <w:lang w:val="sr-Latn-ME"/>
      </w:rPr>
      <w:fldChar w:fldCharType="begin"/>
    </w:r>
    <w:r w:rsidRPr="00F1527C">
      <w:rPr>
        <w:sz w:val="20"/>
        <w:lang w:val="sr-Latn-ME"/>
      </w:rPr>
      <w:instrText xml:space="preserve"> NUMPAGES </w:instrText>
    </w:r>
    <w:r w:rsidRPr="00F1527C">
      <w:rPr>
        <w:sz w:val="20"/>
        <w:lang w:val="sr-Latn-ME"/>
      </w:rPr>
      <w:fldChar w:fldCharType="separate"/>
    </w:r>
    <w:r>
      <w:rPr>
        <w:noProof/>
        <w:sz w:val="20"/>
        <w:lang w:val="sr-Latn-ME"/>
      </w:rPr>
      <w:t>1</w:t>
    </w:r>
    <w:r w:rsidRPr="00F1527C">
      <w:rPr>
        <w:sz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3C" w:rsidRDefault="00BA053C" w:rsidP="00FF2B5A">
      <w:r>
        <w:separator/>
      </w:r>
    </w:p>
  </w:footnote>
  <w:footnote w:type="continuationSeparator" w:id="0">
    <w:p w:rsidR="00BA053C" w:rsidRDefault="00BA053C"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246F68" w:rsidRDefault="009318B4" w:rsidP="00246F68">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46F68" w:rsidRPr="00246F68" w:rsidRDefault="00246F68" w:rsidP="00246F68">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05CE5"/>
    <w:multiLevelType w:val="hybridMultilevel"/>
    <w:tmpl w:val="A41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716C"/>
    <w:multiLevelType w:val="hybridMultilevel"/>
    <w:tmpl w:val="0B1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A1E4C"/>
    <w:multiLevelType w:val="hybridMultilevel"/>
    <w:tmpl w:val="FE5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27CB0"/>
    <w:multiLevelType w:val="hybridMultilevel"/>
    <w:tmpl w:val="4372B9B8"/>
    <w:lvl w:ilvl="0" w:tplc="04090001">
      <w:start w:val="1"/>
      <w:numFmt w:val="bullet"/>
      <w:lvlText w:val=""/>
      <w:lvlJc w:val="left"/>
      <w:pPr>
        <w:ind w:left="720" w:hanging="360"/>
      </w:pPr>
      <w:rPr>
        <w:rFonts w:ascii="Symbol" w:hAnsi="Symbol" w:hint="default"/>
      </w:rPr>
    </w:lvl>
    <w:lvl w:ilvl="1" w:tplc="49BE93C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4189C"/>
    <w:multiLevelType w:val="hybridMultilevel"/>
    <w:tmpl w:val="1C86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B03BB"/>
    <w:multiLevelType w:val="hybridMultilevel"/>
    <w:tmpl w:val="5456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27387"/>
    <w:multiLevelType w:val="hybridMultilevel"/>
    <w:tmpl w:val="1C8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0868"/>
    <w:rsid w:val="0014220F"/>
    <w:rsid w:val="001B6262"/>
    <w:rsid w:val="001C097C"/>
    <w:rsid w:val="001E2E94"/>
    <w:rsid w:val="00246F68"/>
    <w:rsid w:val="00282619"/>
    <w:rsid w:val="0031146A"/>
    <w:rsid w:val="0035025A"/>
    <w:rsid w:val="003A7F6D"/>
    <w:rsid w:val="003E5976"/>
    <w:rsid w:val="00404B75"/>
    <w:rsid w:val="00461135"/>
    <w:rsid w:val="004F0A2C"/>
    <w:rsid w:val="005836F4"/>
    <w:rsid w:val="00592F54"/>
    <w:rsid w:val="00705D3C"/>
    <w:rsid w:val="0072598F"/>
    <w:rsid w:val="00746DD8"/>
    <w:rsid w:val="00747C4B"/>
    <w:rsid w:val="00805838"/>
    <w:rsid w:val="00823CE7"/>
    <w:rsid w:val="00883AF2"/>
    <w:rsid w:val="009318B4"/>
    <w:rsid w:val="00934541"/>
    <w:rsid w:val="00984854"/>
    <w:rsid w:val="00A06058"/>
    <w:rsid w:val="00A246CE"/>
    <w:rsid w:val="00A713A6"/>
    <w:rsid w:val="00AD17E9"/>
    <w:rsid w:val="00AF4643"/>
    <w:rsid w:val="00AF7120"/>
    <w:rsid w:val="00B234CE"/>
    <w:rsid w:val="00B266A6"/>
    <w:rsid w:val="00B34AF2"/>
    <w:rsid w:val="00BA053C"/>
    <w:rsid w:val="00C165BD"/>
    <w:rsid w:val="00C4240B"/>
    <w:rsid w:val="00C478F4"/>
    <w:rsid w:val="00C64005"/>
    <w:rsid w:val="00D17B3A"/>
    <w:rsid w:val="00D45AFE"/>
    <w:rsid w:val="00D743BD"/>
    <w:rsid w:val="00DB2309"/>
    <w:rsid w:val="00DC2664"/>
    <w:rsid w:val="00DD0483"/>
    <w:rsid w:val="00E0627A"/>
    <w:rsid w:val="00EB2A93"/>
    <w:rsid w:val="00F1527C"/>
    <w:rsid w:val="00F621B0"/>
    <w:rsid w:val="00FA009C"/>
    <w:rsid w:val="00FC7DF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CE"/>
    <w:pPr>
      <w:spacing w:after="0" w:line="240" w:lineRule="auto"/>
    </w:pPr>
    <w:rPr>
      <w:rFonts w:ascii="Times New Roman" w:eastAsia="Times New Roman" w:hAnsi="Times New Roman" w:cs="Times New Roman"/>
      <w:sz w:val="24"/>
      <w:szCs w:val="20"/>
      <w:lang w:val="sl-SI" w:eastAsia="sl-SI"/>
    </w:rPr>
  </w:style>
  <w:style w:type="paragraph" w:styleId="Heading1">
    <w:name w:val="heading 1"/>
    <w:basedOn w:val="Normal"/>
    <w:next w:val="Normal"/>
    <w:link w:val="Heading1Char1"/>
    <w:uiPriority w:val="9"/>
    <w:qFormat/>
    <w:rsid w:val="00246F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F4643"/>
    <w:pPr>
      <w:keepNext/>
      <w:tabs>
        <w:tab w:val="left" w:pos="4300"/>
        <w:tab w:val="left" w:pos="5940"/>
        <w:tab w:val="left" w:pos="8180"/>
      </w:tabs>
      <w:spacing w:line="360" w:lineRule="atLeast"/>
      <w:outlineLvl w:val="1"/>
    </w:pPr>
    <w:rPr>
      <w:b/>
      <w:u w:val="single"/>
      <w:lang w:val="en-US"/>
    </w:rPr>
  </w:style>
  <w:style w:type="paragraph" w:styleId="Heading7">
    <w:name w:val="heading 7"/>
    <w:basedOn w:val="Normal"/>
    <w:next w:val="Normal"/>
    <w:link w:val="Heading7Char"/>
    <w:unhideWhenUsed/>
    <w:qFormat/>
    <w:rsid w:val="00AF4643"/>
    <w:pPr>
      <w:spacing w:before="240" w:after="60"/>
      <w:outlineLvl w:val="6"/>
    </w:pPr>
    <w:rPr>
      <w:rFonts w:ascii="Calibri" w:hAnsi="Calibri"/>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Heading11">
    <w:name w:val="Heading 11"/>
    <w:basedOn w:val="Normal"/>
    <w:next w:val="Heading1"/>
    <w:link w:val="Heading1Char"/>
    <w:uiPriority w:val="1"/>
    <w:qFormat/>
    <w:rsid w:val="00246F68"/>
    <w:pPr>
      <w:widowControl w:val="0"/>
      <w:ind w:left="2007"/>
      <w:outlineLvl w:val="0"/>
    </w:pPr>
    <w:rPr>
      <w:b/>
      <w:bCs/>
      <w:sz w:val="20"/>
    </w:rPr>
  </w:style>
  <w:style w:type="numbering" w:customStyle="1" w:styleId="NoList1">
    <w:name w:val="No List1"/>
    <w:next w:val="NoList"/>
    <w:uiPriority w:val="99"/>
    <w:semiHidden/>
    <w:unhideWhenUsed/>
    <w:rsid w:val="00246F68"/>
  </w:style>
  <w:style w:type="character" w:customStyle="1" w:styleId="Heading1Char">
    <w:name w:val="Heading 1 Char"/>
    <w:basedOn w:val="DefaultParagraphFont"/>
    <w:link w:val="Heading11"/>
    <w:uiPriority w:val="1"/>
    <w:rsid w:val="00246F68"/>
    <w:rPr>
      <w:rFonts w:ascii="Times New Roman" w:eastAsia="Times New Roman" w:hAnsi="Times New Roman"/>
      <w:b/>
      <w:bCs/>
      <w:sz w:val="20"/>
      <w:szCs w:val="20"/>
    </w:rPr>
  </w:style>
  <w:style w:type="paragraph" w:customStyle="1" w:styleId="BodyText1">
    <w:name w:val="Body Text1"/>
    <w:basedOn w:val="Normal"/>
    <w:next w:val="BodyText"/>
    <w:link w:val="BodyTextChar"/>
    <w:uiPriority w:val="1"/>
    <w:qFormat/>
    <w:rsid w:val="00246F68"/>
    <w:pPr>
      <w:widowControl w:val="0"/>
      <w:ind w:left="164"/>
    </w:pPr>
    <w:rPr>
      <w:sz w:val="20"/>
    </w:rPr>
  </w:style>
  <w:style w:type="character" w:customStyle="1" w:styleId="BodyTextChar">
    <w:name w:val="Body Text Char"/>
    <w:basedOn w:val="DefaultParagraphFont"/>
    <w:link w:val="BodyText1"/>
    <w:uiPriority w:val="1"/>
    <w:rsid w:val="00246F68"/>
    <w:rPr>
      <w:rFonts w:ascii="Times New Roman" w:eastAsia="Times New Roman" w:hAnsi="Times New Roman"/>
      <w:sz w:val="20"/>
      <w:szCs w:val="20"/>
    </w:rPr>
  </w:style>
  <w:style w:type="paragraph" w:customStyle="1" w:styleId="ListParagraph1">
    <w:name w:val="List Paragraph1"/>
    <w:basedOn w:val="Normal"/>
    <w:next w:val="ListParagraph"/>
    <w:uiPriority w:val="1"/>
    <w:qFormat/>
    <w:rsid w:val="00246F68"/>
    <w:pPr>
      <w:widowControl w:val="0"/>
    </w:pPr>
  </w:style>
  <w:style w:type="paragraph" w:customStyle="1" w:styleId="TableParagraph">
    <w:name w:val="Table Paragraph"/>
    <w:basedOn w:val="Normal"/>
    <w:uiPriority w:val="1"/>
    <w:qFormat/>
    <w:rsid w:val="00246F68"/>
    <w:pPr>
      <w:widowControl w:val="0"/>
    </w:pPr>
  </w:style>
  <w:style w:type="table" w:customStyle="1" w:styleId="TableGrid1">
    <w:name w:val="Table Grid1"/>
    <w:basedOn w:val="TableNormal"/>
    <w:next w:val="TableGrid"/>
    <w:uiPriority w:val="59"/>
    <w:rsid w:val="00246F6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246F68"/>
    <w:pPr>
      <w:widowControl w:val="0"/>
    </w:pPr>
    <w:rPr>
      <w:rFonts w:ascii="Tahoma" w:hAnsi="Tahoma" w:cs="Tahoma"/>
      <w:sz w:val="16"/>
      <w:szCs w:val="16"/>
    </w:rPr>
  </w:style>
  <w:style w:type="character" w:customStyle="1" w:styleId="BalloonTextChar">
    <w:name w:val="Balloon Text Char"/>
    <w:basedOn w:val="DefaultParagraphFont"/>
    <w:link w:val="BalloonText1"/>
    <w:uiPriority w:val="99"/>
    <w:semiHidden/>
    <w:rsid w:val="00246F68"/>
    <w:rPr>
      <w:rFonts w:ascii="Tahoma" w:hAnsi="Tahoma" w:cs="Tahoma"/>
      <w:sz w:val="16"/>
      <w:szCs w:val="16"/>
    </w:rPr>
  </w:style>
  <w:style w:type="character" w:customStyle="1" w:styleId="Heading1Char1">
    <w:name w:val="Heading 1 Char1"/>
    <w:basedOn w:val="DefaultParagraphFont"/>
    <w:link w:val="Heading1"/>
    <w:uiPriority w:val="9"/>
    <w:rsid w:val="00246F68"/>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uiPriority w:val="99"/>
    <w:semiHidden/>
    <w:unhideWhenUsed/>
    <w:rsid w:val="00246F68"/>
    <w:pPr>
      <w:spacing w:after="120"/>
    </w:pPr>
  </w:style>
  <w:style w:type="character" w:customStyle="1" w:styleId="BodyTextChar1">
    <w:name w:val="Body Text Char1"/>
    <w:basedOn w:val="DefaultParagraphFont"/>
    <w:link w:val="BodyText"/>
    <w:uiPriority w:val="99"/>
    <w:semiHidden/>
    <w:rsid w:val="00246F68"/>
  </w:style>
  <w:style w:type="paragraph" w:styleId="ListParagraph">
    <w:name w:val="List Paragraph"/>
    <w:basedOn w:val="Normal"/>
    <w:uiPriority w:val="34"/>
    <w:qFormat/>
    <w:rsid w:val="00246F68"/>
    <w:pPr>
      <w:ind w:left="720"/>
      <w:contextualSpacing/>
    </w:pPr>
  </w:style>
  <w:style w:type="table" w:styleId="TableGrid">
    <w:name w:val="Table Grid"/>
    <w:basedOn w:val="TableNormal"/>
    <w:uiPriority w:val="39"/>
    <w:rsid w:val="00246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246F68"/>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46F68"/>
    <w:rPr>
      <w:rFonts w:ascii="Segoe UI" w:hAnsi="Segoe UI" w:cs="Segoe UI"/>
      <w:sz w:val="18"/>
      <w:szCs w:val="18"/>
    </w:rPr>
  </w:style>
  <w:style w:type="character" w:customStyle="1" w:styleId="Heading2Char">
    <w:name w:val="Heading 2 Char"/>
    <w:basedOn w:val="DefaultParagraphFont"/>
    <w:link w:val="Heading2"/>
    <w:rsid w:val="00AF4643"/>
    <w:rPr>
      <w:rFonts w:ascii="Times New Roman" w:eastAsia="Times New Roman" w:hAnsi="Times New Roman" w:cs="Times New Roman"/>
      <w:b/>
      <w:sz w:val="24"/>
      <w:szCs w:val="20"/>
      <w:u w:val="single"/>
      <w:lang w:eastAsia="sl-SI"/>
    </w:rPr>
  </w:style>
  <w:style w:type="character" w:customStyle="1" w:styleId="Heading7Char">
    <w:name w:val="Heading 7 Char"/>
    <w:basedOn w:val="DefaultParagraphFont"/>
    <w:link w:val="Heading7"/>
    <w:rsid w:val="00AF4643"/>
    <w:rPr>
      <w:rFonts w:ascii="Calibri" w:eastAsia="Times New Roman" w:hAnsi="Calibri" w:cs="Times New Roman"/>
      <w:sz w:val="24"/>
      <w:szCs w:val="24"/>
    </w:rPr>
  </w:style>
  <w:style w:type="paragraph" w:styleId="BodyText2">
    <w:name w:val="Body Text 2"/>
    <w:basedOn w:val="Normal"/>
    <w:link w:val="BodyText2Char"/>
    <w:rsid w:val="00AF4643"/>
    <w:pPr>
      <w:spacing w:after="120" w:line="480" w:lineRule="auto"/>
    </w:pPr>
  </w:style>
  <w:style w:type="character" w:customStyle="1" w:styleId="BodyText2Char">
    <w:name w:val="Body Text 2 Char"/>
    <w:basedOn w:val="DefaultParagraphFont"/>
    <w:link w:val="BodyText2"/>
    <w:rsid w:val="00AF4643"/>
    <w:rPr>
      <w:rFonts w:ascii="Times New Roman" w:eastAsia="Times New Roman" w:hAnsi="Times New Roman" w:cs="Times New Roman"/>
      <w:sz w:val="24"/>
      <w:szCs w:val="20"/>
      <w:lang w:val="sl-SI" w:eastAsia="sl-SI"/>
    </w:rPr>
  </w:style>
  <w:style w:type="paragraph" w:customStyle="1" w:styleId="Default">
    <w:name w:val="Default"/>
    <w:rsid w:val="00AF464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NoSpacing">
    <w:name w:val="No Spacing"/>
    <w:uiPriority w:val="1"/>
    <w:qFormat/>
    <w:rsid w:val="00AF4643"/>
    <w:pPr>
      <w:spacing w:after="0" w:line="240" w:lineRule="auto"/>
    </w:pPr>
    <w:rPr>
      <w:rFonts w:ascii="Times New Roman" w:eastAsia="Times New Roman" w:hAnsi="Times New Roman" w:cs="Times New Roman"/>
      <w:sz w:val="20"/>
      <w:szCs w:val="20"/>
    </w:rPr>
  </w:style>
  <w:style w:type="paragraph" w:customStyle="1" w:styleId="PODNASLOV">
    <w:name w:val="PODNASLOV"/>
    <w:basedOn w:val="Normal"/>
    <w:rsid w:val="00FC7DF4"/>
    <w:rPr>
      <w:rFonts w:ascii="Helvetica" w:hAnsi="Helvetica"/>
      <w:b/>
      <w:lang w:val="en-GB" w:eastAsia="en-US"/>
    </w:rPr>
  </w:style>
  <w:style w:type="paragraph" w:customStyle="1" w:styleId="2">
    <w:name w:val="2"/>
    <w:basedOn w:val="Normal"/>
    <w:rsid w:val="004F0A2C"/>
    <w:pPr>
      <w:tabs>
        <w:tab w:val="right" w:pos="8380"/>
      </w:tabs>
      <w:spacing w:before="240"/>
      <w:ind w:left="640" w:right="1120"/>
      <w:jc w:val="both"/>
    </w:pPr>
    <w:rPr>
      <w:rFonts w:ascii="Times" w:hAnsi="Times"/>
      <w:lang w:val="hr-HR" w:eastAsia="en-US"/>
    </w:rPr>
  </w:style>
  <w:style w:type="paragraph" w:customStyle="1" w:styleId="4A">
    <w:name w:val="4A"/>
    <w:basedOn w:val="2"/>
    <w:rsid w:val="004F0A2C"/>
    <w:pPr>
      <w:tabs>
        <w:tab w:val="clear" w:pos="8380"/>
        <w:tab w:val="right" w:pos="8600"/>
      </w:tabs>
      <w:overflowPunct w:val="0"/>
      <w:autoSpaceDE w:val="0"/>
      <w:autoSpaceDN w:val="0"/>
      <w:adjustRightInd w:val="0"/>
      <w:ind w:right="0"/>
      <w:textAlignment w:val="baseline"/>
    </w:pPr>
    <w:rPr>
      <w:lang w:val="en-GB" w:eastAsia="hr-HR"/>
    </w:rPr>
  </w:style>
  <w:style w:type="paragraph" w:customStyle="1" w:styleId="naslovupute">
    <w:name w:val="naslov upute"/>
    <w:basedOn w:val="Normal"/>
    <w:rsid w:val="004F0A2C"/>
    <w:pPr>
      <w:spacing w:before="240" w:after="120" w:line="360" w:lineRule="atLeast"/>
    </w:pPr>
    <w:rPr>
      <w:rFonts w:ascii="Arial" w:hAnsi="Arial"/>
      <w:b/>
      <w:lang w:val="en-US" w:eastAsia="en-US"/>
    </w:rPr>
  </w:style>
  <w:style w:type="character" w:styleId="Hyperlink">
    <w:name w:val="Hyperlink"/>
    <w:uiPriority w:val="99"/>
    <w:unhideWhenUsed/>
    <w:rsid w:val="004F0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0EF8-B5C2-43CF-B33B-B6B7B2EB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3</cp:revision>
  <dcterms:created xsi:type="dcterms:W3CDTF">2018-04-05T11:20:00Z</dcterms:created>
  <dcterms:modified xsi:type="dcterms:W3CDTF">2018-04-05T11:29:00Z</dcterms:modified>
</cp:coreProperties>
</file>