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E28" w:rsidRPr="009C1E28" w:rsidRDefault="009C1E28" w:rsidP="009C1E28">
      <w:pPr>
        <w:spacing w:after="0"/>
        <w:jc w:val="both"/>
        <w:rPr>
          <w:rFonts w:ascii="Times New Roman" w:hAnsi="Times New Roman" w:cs="Times New Roman"/>
          <w:b/>
        </w:rPr>
      </w:pP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spacing w:after="0"/>
        <w:jc w:val="both"/>
        <w:rPr>
          <w:rFonts w:ascii="Times New Roman" w:hAnsi="Times New Roman" w:cs="Times New Roman"/>
          <w:u w:val="single"/>
        </w:rPr>
      </w:pPr>
    </w:p>
    <w:p w:rsidR="009C1E28" w:rsidRPr="009C1E28" w:rsidRDefault="009C1E28" w:rsidP="009C1E28">
      <w:pPr>
        <w:pStyle w:val="TitleA"/>
        <w:rPr>
          <w:szCs w:val="22"/>
          <w:u w:val="single"/>
        </w:rPr>
      </w:pPr>
      <w:r w:rsidRPr="009C1E28">
        <w:rPr>
          <w:szCs w:val="22"/>
          <w:u w:val="single"/>
        </w:rPr>
        <w:t>SAŽETAK KARAKTERISTIKA LIJEKA</w:t>
      </w:r>
    </w:p>
    <w:p w:rsidR="009C1E28" w:rsidRPr="009C1E28" w:rsidRDefault="009C1E28" w:rsidP="009C1E28">
      <w:pPr>
        <w:tabs>
          <w:tab w:val="left" w:pos="-1440"/>
          <w:tab w:val="left" w:pos="-720"/>
        </w:tabs>
        <w:spacing w:after="0"/>
        <w:jc w:val="both"/>
        <w:rPr>
          <w:rFonts w:ascii="Times New Roman" w:hAnsi="Times New Roman" w:cs="Times New Roman"/>
          <w:b/>
        </w:rPr>
      </w:pPr>
    </w:p>
    <w:p w:rsidR="009C1E28" w:rsidRPr="009C1E28" w:rsidRDefault="009C1E28" w:rsidP="009C1E28">
      <w:pPr>
        <w:tabs>
          <w:tab w:val="left" w:pos="-1440"/>
          <w:tab w:val="left" w:pos="-720"/>
        </w:tabs>
        <w:spacing w:after="0"/>
        <w:jc w:val="both"/>
        <w:rPr>
          <w:rFonts w:ascii="Times New Roman" w:hAnsi="Times New Roman" w:cs="Times New Roman"/>
          <w:b/>
        </w:rPr>
      </w:pPr>
    </w:p>
    <w:p w:rsidR="009C1E28" w:rsidRPr="009C1E28" w:rsidRDefault="009C1E28" w:rsidP="009C1E28">
      <w:pPr>
        <w:tabs>
          <w:tab w:val="left" w:pos="-1440"/>
          <w:tab w:val="left" w:pos="-720"/>
        </w:tabs>
        <w:spacing w:after="0"/>
        <w:jc w:val="both"/>
        <w:rPr>
          <w:rFonts w:ascii="Times New Roman" w:hAnsi="Times New Roman" w:cs="Times New Roman"/>
          <w:b/>
        </w:rPr>
      </w:pPr>
    </w:p>
    <w:p w:rsidR="009C1E28" w:rsidRPr="009C1E28" w:rsidRDefault="009C1E28" w:rsidP="009C1E28">
      <w:pPr>
        <w:tabs>
          <w:tab w:val="left" w:pos="-1440"/>
          <w:tab w:val="left" w:pos="-720"/>
        </w:tabs>
        <w:spacing w:after="0"/>
        <w:jc w:val="both"/>
        <w:rPr>
          <w:rFonts w:ascii="Times New Roman" w:hAnsi="Times New Roman" w:cs="Times New Roman"/>
          <w:b/>
        </w:rPr>
      </w:pPr>
    </w:p>
    <w:p w:rsidR="009C1E28" w:rsidRPr="009C1E28" w:rsidRDefault="009C1E28" w:rsidP="009C1E28">
      <w:pPr>
        <w:tabs>
          <w:tab w:val="left" w:pos="-1440"/>
          <w:tab w:val="left" w:pos="-720"/>
        </w:tabs>
        <w:spacing w:after="0"/>
        <w:jc w:val="both"/>
        <w:rPr>
          <w:rFonts w:ascii="Times New Roman" w:hAnsi="Times New Roman" w:cs="Times New Roman"/>
          <w:b/>
        </w:rPr>
      </w:pPr>
    </w:p>
    <w:p w:rsidR="009C1E28" w:rsidRPr="009C1E28" w:rsidRDefault="009C1E28" w:rsidP="009C1E28">
      <w:pPr>
        <w:tabs>
          <w:tab w:val="left" w:pos="-1440"/>
          <w:tab w:val="left" w:pos="-720"/>
        </w:tabs>
        <w:spacing w:after="0"/>
        <w:jc w:val="both"/>
        <w:rPr>
          <w:rFonts w:ascii="Times New Roman" w:hAnsi="Times New Roman" w:cs="Times New Roman"/>
          <w:b/>
        </w:rPr>
      </w:pPr>
    </w:p>
    <w:p w:rsidR="009C1E28" w:rsidRPr="009C1E28" w:rsidRDefault="009C1E28" w:rsidP="009C1E28">
      <w:pPr>
        <w:tabs>
          <w:tab w:val="left" w:pos="-1440"/>
          <w:tab w:val="left" w:pos="-720"/>
        </w:tabs>
        <w:spacing w:after="0"/>
        <w:jc w:val="both"/>
        <w:rPr>
          <w:rFonts w:ascii="Times New Roman" w:hAnsi="Times New Roman" w:cs="Times New Roman"/>
          <w:b/>
        </w:rPr>
      </w:pPr>
    </w:p>
    <w:p w:rsidR="009C1E28" w:rsidRPr="009C1E28" w:rsidRDefault="009C1E28" w:rsidP="009C1E28">
      <w:pPr>
        <w:tabs>
          <w:tab w:val="left" w:pos="-1440"/>
          <w:tab w:val="left" w:pos="-720"/>
        </w:tabs>
        <w:spacing w:after="0"/>
        <w:jc w:val="both"/>
        <w:rPr>
          <w:rFonts w:ascii="Times New Roman" w:hAnsi="Times New Roman" w:cs="Times New Roman"/>
          <w:b/>
        </w:rPr>
      </w:pPr>
    </w:p>
    <w:p w:rsidR="009C1E28" w:rsidRPr="009C1E28" w:rsidRDefault="009C1E28" w:rsidP="009C1E28">
      <w:pPr>
        <w:spacing w:after="0"/>
        <w:jc w:val="center"/>
        <w:rPr>
          <w:rFonts w:ascii="Times New Roman" w:hAnsi="Times New Roman" w:cs="Times New Roman"/>
          <w:b/>
        </w:rPr>
      </w:pPr>
      <w:r w:rsidRPr="009C1E28">
        <w:rPr>
          <w:rFonts w:ascii="Times New Roman" w:hAnsi="Times New Roman" w:cs="Times New Roman"/>
          <w:b/>
        </w:rPr>
        <w:t>Harvoni</w:t>
      </w:r>
      <w:r w:rsidRPr="009C1E28">
        <w:rPr>
          <w:rFonts w:ascii="Times New Roman" w:hAnsi="Times New Roman" w:cs="Times New Roman"/>
          <w:b/>
          <w:vertAlign w:val="superscript"/>
        </w:rPr>
        <w:t>®</w:t>
      </w:r>
      <w:r w:rsidRPr="009C1E28">
        <w:rPr>
          <w:rFonts w:ascii="Times New Roman" w:hAnsi="Times New Roman" w:cs="Times New Roman"/>
          <w:b/>
        </w:rPr>
        <w:t>, film tableta, 90 mg + 400 mg,</w:t>
      </w:r>
    </w:p>
    <w:p w:rsidR="009C1E28" w:rsidRPr="009C1E28" w:rsidRDefault="009C1E28" w:rsidP="009C1E28">
      <w:pPr>
        <w:spacing w:after="0"/>
        <w:jc w:val="center"/>
        <w:rPr>
          <w:rFonts w:ascii="Times New Roman" w:hAnsi="Times New Roman" w:cs="Times New Roman"/>
          <w:b/>
        </w:rPr>
      </w:pPr>
      <w:r w:rsidRPr="009C1E28">
        <w:rPr>
          <w:rFonts w:ascii="Times New Roman" w:hAnsi="Times New Roman" w:cs="Times New Roman"/>
          <w:b/>
        </w:rPr>
        <w:t>bočica, plastična, 28 film tableta</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spacing w:after="0"/>
        <w:jc w:val="both"/>
        <w:rPr>
          <w:rFonts w:ascii="Times New Roman" w:hAnsi="Times New Roman" w:cs="Times New Roman"/>
        </w:rPr>
      </w:pPr>
    </w:p>
    <w:p w:rsidR="009C1E28" w:rsidRPr="009C1E28" w:rsidRDefault="009C1E28" w:rsidP="009C1E28">
      <w:pPr>
        <w:spacing w:after="0"/>
        <w:jc w:val="both"/>
        <w:rPr>
          <w:rFonts w:ascii="Times New Roman" w:hAnsi="Times New Roman" w:cs="Times New Roman"/>
        </w:rPr>
      </w:pPr>
    </w:p>
    <w:p w:rsidR="009C1E28" w:rsidRPr="009C1E28" w:rsidRDefault="009C1E28" w:rsidP="009C1E28">
      <w:pPr>
        <w:spacing w:after="0"/>
        <w:jc w:val="both"/>
        <w:rPr>
          <w:rFonts w:ascii="Times New Roman" w:hAnsi="Times New Roman" w:cs="Times New Roman"/>
        </w:rPr>
      </w:pPr>
    </w:p>
    <w:p w:rsidR="009C1E28" w:rsidRPr="009C1E28" w:rsidRDefault="009C1E28" w:rsidP="009C1E28">
      <w:pPr>
        <w:spacing w:after="0"/>
        <w:jc w:val="both"/>
        <w:rPr>
          <w:rFonts w:ascii="Times New Roman" w:hAnsi="Times New Roman" w:cs="Times New Roman"/>
        </w:rPr>
      </w:pPr>
    </w:p>
    <w:p w:rsidR="009C1E28" w:rsidRPr="009C1E28" w:rsidRDefault="009C1E28" w:rsidP="009C1E28">
      <w:pPr>
        <w:spacing w:after="0"/>
        <w:jc w:val="both"/>
        <w:rPr>
          <w:rFonts w:ascii="Times New Roman" w:hAnsi="Times New Roman" w:cs="Times New Roman"/>
        </w:rPr>
      </w:pPr>
    </w:p>
    <w:p w:rsidR="009C1E28" w:rsidRPr="009C1E28" w:rsidRDefault="009C1E28" w:rsidP="009C1E28">
      <w:pPr>
        <w:pStyle w:val="EndnoteText"/>
        <w:ind w:left="360" w:hanging="360"/>
        <w:jc w:val="both"/>
        <w:rPr>
          <w:sz w:val="22"/>
          <w:szCs w:val="22"/>
        </w:rPr>
      </w:pPr>
      <w:r w:rsidRPr="009C1E28">
        <w:rPr>
          <w:b/>
          <w:sz w:val="22"/>
          <w:szCs w:val="22"/>
        </w:rPr>
        <w:t xml:space="preserve">               Proizvođač</w:t>
      </w:r>
      <w:r w:rsidRPr="009C1E28">
        <w:rPr>
          <w:sz w:val="22"/>
          <w:szCs w:val="22"/>
        </w:rPr>
        <w:t>:    Gilead Sciences Ireland UC</w:t>
      </w:r>
    </w:p>
    <w:p w:rsidR="009C1E28" w:rsidRPr="009C1E28" w:rsidRDefault="009C1E28" w:rsidP="009C1E28">
      <w:pPr>
        <w:pStyle w:val="EndnoteText"/>
        <w:ind w:left="360" w:hanging="360"/>
        <w:jc w:val="both"/>
        <w:rPr>
          <w:b/>
          <w:sz w:val="22"/>
          <w:szCs w:val="22"/>
        </w:rPr>
      </w:pPr>
    </w:p>
    <w:p w:rsidR="009C1E28" w:rsidRPr="009C1E28" w:rsidRDefault="009C1E28" w:rsidP="009C1E28">
      <w:pPr>
        <w:pStyle w:val="EndnoteText"/>
        <w:ind w:left="360" w:hanging="360"/>
        <w:jc w:val="both"/>
        <w:rPr>
          <w:sz w:val="22"/>
          <w:szCs w:val="22"/>
        </w:rPr>
      </w:pPr>
      <w:r w:rsidRPr="009C1E28">
        <w:rPr>
          <w:b/>
          <w:sz w:val="22"/>
          <w:szCs w:val="22"/>
        </w:rPr>
        <w:t xml:space="preserve">                     Adresa</w:t>
      </w:r>
      <w:r w:rsidRPr="009C1E28">
        <w:rPr>
          <w:sz w:val="22"/>
          <w:szCs w:val="22"/>
        </w:rPr>
        <w:t xml:space="preserve">:     IDA Business and Technology Park, Carrigtohill, Co. Cork, Irska </w:t>
      </w:r>
    </w:p>
    <w:p w:rsidR="009C1E28" w:rsidRPr="009C1E28" w:rsidRDefault="009C1E28" w:rsidP="009C1E28">
      <w:pPr>
        <w:pStyle w:val="EndnoteText"/>
        <w:ind w:left="360" w:hanging="360"/>
        <w:jc w:val="both"/>
        <w:rPr>
          <w:sz w:val="22"/>
          <w:szCs w:val="22"/>
        </w:rPr>
      </w:pPr>
    </w:p>
    <w:p w:rsidR="009C1E28" w:rsidRPr="009C1E28" w:rsidRDefault="009C1E28" w:rsidP="009C1E28">
      <w:pPr>
        <w:pStyle w:val="EndnoteText"/>
        <w:ind w:left="360" w:hanging="360"/>
        <w:jc w:val="both"/>
        <w:rPr>
          <w:sz w:val="22"/>
          <w:szCs w:val="22"/>
        </w:rPr>
      </w:pPr>
      <w:r w:rsidRPr="009C1E28">
        <w:rPr>
          <w:b/>
          <w:sz w:val="22"/>
          <w:szCs w:val="22"/>
        </w:rPr>
        <w:t>Podnosilac zahtjeva</w:t>
      </w:r>
      <w:r w:rsidRPr="009C1E28">
        <w:rPr>
          <w:sz w:val="22"/>
          <w:szCs w:val="22"/>
        </w:rPr>
        <w:t>:     Evropa Lek Pharma d.o.o. Podgorica</w:t>
      </w:r>
    </w:p>
    <w:p w:rsidR="009C1E28" w:rsidRPr="009C1E28" w:rsidRDefault="009C1E28" w:rsidP="009C1E28">
      <w:pPr>
        <w:pStyle w:val="EndnoteText"/>
        <w:ind w:left="360" w:hanging="360"/>
        <w:jc w:val="both"/>
        <w:rPr>
          <w:sz w:val="22"/>
          <w:szCs w:val="22"/>
        </w:rPr>
      </w:pP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 xml:space="preserve">                     </w:t>
      </w:r>
      <w:r w:rsidRPr="009C1E28">
        <w:rPr>
          <w:rFonts w:ascii="Times New Roman" w:hAnsi="Times New Roman" w:cs="Times New Roman"/>
          <w:b/>
        </w:rPr>
        <w:t>Adresa:</w:t>
      </w:r>
      <w:r w:rsidRPr="009C1E28">
        <w:rPr>
          <w:rFonts w:ascii="Times New Roman" w:hAnsi="Times New Roman" w:cs="Times New Roman"/>
        </w:rPr>
        <w:t xml:space="preserve">     Kritskog odreda 4/1, 81000 Podgorica, Crna Gora</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spacing w:after="0"/>
        <w:jc w:val="both"/>
        <w:rPr>
          <w:rFonts w:ascii="Times New Roman" w:hAnsi="Times New Roman" w:cs="Times New Roman"/>
        </w:rPr>
      </w:pPr>
    </w:p>
    <w:p w:rsidR="009C1E28" w:rsidRPr="009C1E28" w:rsidRDefault="009C1E28" w:rsidP="009C1E28">
      <w:pPr>
        <w:tabs>
          <w:tab w:val="left" w:pos="-1440"/>
          <w:tab w:val="left" w:pos="-720"/>
        </w:tabs>
        <w:spacing w:after="0"/>
        <w:jc w:val="both"/>
        <w:rPr>
          <w:rFonts w:ascii="Times New Roman" w:hAnsi="Times New Roman" w:cs="Times New Roman"/>
          <w:b/>
        </w:rPr>
      </w:pPr>
    </w:p>
    <w:p w:rsidR="009C1E28" w:rsidRPr="009C1E28" w:rsidRDefault="009C1E28" w:rsidP="009C1E28">
      <w:pPr>
        <w:tabs>
          <w:tab w:val="left" w:pos="-1440"/>
          <w:tab w:val="left" w:pos="-720"/>
        </w:tabs>
        <w:spacing w:after="0"/>
        <w:jc w:val="both"/>
        <w:rPr>
          <w:rFonts w:ascii="Times New Roman" w:hAnsi="Times New Roman" w:cs="Times New Roman"/>
          <w:b/>
        </w:rPr>
      </w:pPr>
    </w:p>
    <w:p w:rsidR="009C1E28" w:rsidRPr="009C1E28" w:rsidRDefault="009C1E28" w:rsidP="009C1E28">
      <w:pPr>
        <w:tabs>
          <w:tab w:val="left" w:pos="-1440"/>
          <w:tab w:val="left" w:pos="-720"/>
        </w:tabs>
        <w:spacing w:after="0"/>
        <w:jc w:val="both"/>
        <w:rPr>
          <w:rFonts w:ascii="Times New Roman" w:hAnsi="Times New Roman" w:cs="Times New Roman"/>
          <w:b/>
        </w:rPr>
      </w:pPr>
    </w:p>
    <w:p w:rsidR="009C1E28" w:rsidRPr="009C1E28" w:rsidRDefault="009C1E28" w:rsidP="009C1E28">
      <w:pPr>
        <w:keepNext/>
        <w:keepLines/>
        <w:spacing w:after="0"/>
        <w:ind w:left="1985" w:hanging="1985"/>
        <w:jc w:val="both"/>
        <w:rPr>
          <w:rFonts w:ascii="Times New Roman" w:hAnsi="Times New Roman" w:cs="Times New Roman"/>
          <w:b/>
        </w:rPr>
      </w:pPr>
      <w:r w:rsidRPr="009C1E28">
        <w:rPr>
          <w:rFonts w:ascii="Times New Roman" w:hAnsi="Times New Roman" w:cs="Times New Roman"/>
        </w:rPr>
        <w:br w:type="page"/>
      </w:r>
    </w:p>
    <w:p w:rsidR="009C1E28" w:rsidRPr="009C1E28" w:rsidRDefault="009C1E28" w:rsidP="009C1E28">
      <w:pPr>
        <w:keepNext/>
        <w:keepLines/>
        <w:spacing w:after="0"/>
        <w:ind w:left="360" w:hanging="360"/>
        <w:jc w:val="both"/>
        <w:rPr>
          <w:rFonts w:ascii="Times New Roman" w:hAnsi="Times New Roman" w:cs="Times New Roman"/>
          <w:b/>
        </w:rPr>
      </w:pPr>
      <w:r w:rsidRPr="009C1E28">
        <w:rPr>
          <w:rFonts w:ascii="Times New Roman" w:hAnsi="Times New Roman" w:cs="Times New Roman"/>
          <w:noProof/>
        </w:rPr>
        <w:lastRenderedPageBreak/>
        <w:drawing>
          <wp:inline distT="0" distB="0" distL="0" distR="0" wp14:anchorId="22067C0E" wp14:editId="6DD1E06D">
            <wp:extent cx="171450" cy="142875"/>
            <wp:effectExtent l="0" t="0" r="0" b="9525"/>
            <wp:docPr id="3" name="Picture 3"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remansk\AppData\Local\Microsoft\Windows\Temporary Internet Files\Content.Word\BT_1000x858px.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 cy="142875"/>
                    </a:xfrm>
                    <a:prstGeom prst="rect">
                      <a:avLst/>
                    </a:prstGeom>
                    <a:noFill/>
                    <a:ln>
                      <a:noFill/>
                    </a:ln>
                  </pic:spPr>
                </pic:pic>
              </a:graphicData>
            </a:graphic>
          </wp:inline>
        </w:drawing>
      </w:r>
      <w:r w:rsidRPr="009C1E28">
        <w:rPr>
          <w:rFonts w:ascii="Times New Roman" w:hAnsi="Times New Roman" w:cs="Times New Roman"/>
        </w:rPr>
        <w:t>Ovaj lijek je pod dodatnim praćenjem. Time se omogućava brzo otkrivanje novih bezbjednosnih informacija. Zdravstveni radnici treba da prijave svaku sumnju na neželjeno dejstvo ovog lijeka. Za način prijavljivanja neželjenih dejstava vidjeti odjeljak 4.8.</w:t>
      </w:r>
    </w:p>
    <w:p w:rsidR="009C1E28" w:rsidRPr="009C1E28" w:rsidRDefault="009C1E28" w:rsidP="009C1E28">
      <w:pPr>
        <w:spacing w:after="0"/>
        <w:ind w:left="567" w:hanging="567"/>
        <w:jc w:val="both"/>
        <w:rPr>
          <w:rFonts w:ascii="Times New Roman" w:hAnsi="Times New Roman" w:cs="Times New Roman"/>
          <w:b/>
        </w:rPr>
      </w:pPr>
    </w:p>
    <w:p w:rsidR="009C1E28" w:rsidRPr="009C1E28" w:rsidRDefault="009C1E28" w:rsidP="009C1E28">
      <w:pPr>
        <w:spacing w:after="0"/>
        <w:ind w:left="567" w:hanging="567"/>
        <w:jc w:val="both"/>
        <w:rPr>
          <w:rFonts w:ascii="Times New Roman" w:hAnsi="Times New Roman" w:cs="Times New Roman"/>
          <w:b/>
        </w:rPr>
      </w:pPr>
    </w:p>
    <w:p w:rsidR="009C1E28" w:rsidRPr="009C1E28" w:rsidRDefault="009C1E28" w:rsidP="009C1E28">
      <w:pPr>
        <w:keepNext/>
        <w:keepLines/>
        <w:spacing w:after="0"/>
        <w:ind w:left="567" w:hanging="567"/>
        <w:jc w:val="both"/>
        <w:rPr>
          <w:rFonts w:ascii="Times New Roman" w:hAnsi="Times New Roman" w:cs="Times New Roman"/>
          <w:b/>
        </w:rPr>
      </w:pPr>
      <w:r w:rsidRPr="009C1E28">
        <w:rPr>
          <w:rFonts w:ascii="Times New Roman" w:hAnsi="Times New Roman" w:cs="Times New Roman"/>
          <w:b/>
        </w:rPr>
        <w:t>1.</w:t>
      </w:r>
      <w:r w:rsidRPr="009C1E28">
        <w:rPr>
          <w:rFonts w:ascii="Times New Roman" w:hAnsi="Times New Roman" w:cs="Times New Roman"/>
          <w:b/>
        </w:rPr>
        <w:tab/>
        <w:t>NAZIV LIJEKA</w:t>
      </w:r>
    </w:p>
    <w:p w:rsidR="009C1E28" w:rsidRPr="009C1E28" w:rsidRDefault="009C1E28" w:rsidP="009C1E28">
      <w:pPr>
        <w:keepNext/>
        <w:keepLines/>
        <w:spacing w:after="0"/>
        <w:jc w:val="both"/>
        <w:rPr>
          <w:rFonts w:ascii="Times New Roman" w:hAnsi="Times New Roman" w:cs="Times New Roman"/>
          <w:b/>
        </w:rPr>
      </w:pP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Harvoni, 90 mg + 400 mg, film tableta</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INN: ledipasvir, sofosbuvir</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keepNext/>
        <w:keepLines/>
        <w:spacing w:after="0"/>
        <w:ind w:left="567" w:hanging="567"/>
        <w:jc w:val="both"/>
        <w:rPr>
          <w:rFonts w:ascii="Times New Roman" w:hAnsi="Times New Roman" w:cs="Times New Roman"/>
          <w:b/>
        </w:rPr>
      </w:pPr>
      <w:r w:rsidRPr="009C1E28">
        <w:rPr>
          <w:rFonts w:ascii="Times New Roman" w:hAnsi="Times New Roman" w:cs="Times New Roman"/>
          <w:b/>
        </w:rPr>
        <w:t>2.</w:t>
      </w:r>
      <w:r w:rsidRPr="009C1E28">
        <w:rPr>
          <w:rFonts w:ascii="Times New Roman" w:hAnsi="Times New Roman" w:cs="Times New Roman"/>
          <w:b/>
        </w:rPr>
        <w:tab/>
        <w:t>KVALITATIVNI I KVANTITATIVNI SASTAV</w:t>
      </w:r>
    </w:p>
    <w:p w:rsidR="009C1E28" w:rsidRPr="009C1E28" w:rsidRDefault="009C1E28" w:rsidP="009C1E28">
      <w:pPr>
        <w:keepNext/>
        <w:keepLines/>
        <w:spacing w:after="0"/>
        <w:jc w:val="both"/>
        <w:rPr>
          <w:rFonts w:ascii="Times New Roman" w:hAnsi="Times New Roman" w:cs="Times New Roman"/>
          <w:b/>
        </w:rPr>
      </w:pP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Svaka film tableta sadrži 90 mg ledipasvira i 400 mg sofosbuvira.</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keepNext/>
        <w:keepLines/>
        <w:spacing w:after="0"/>
        <w:jc w:val="both"/>
        <w:rPr>
          <w:rFonts w:ascii="Times New Roman" w:hAnsi="Times New Roman" w:cs="Times New Roman"/>
          <w:b/>
          <w:u w:val="single"/>
        </w:rPr>
      </w:pPr>
      <w:r w:rsidRPr="009C1E28">
        <w:rPr>
          <w:rFonts w:ascii="Times New Roman" w:hAnsi="Times New Roman" w:cs="Times New Roman"/>
          <w:u w:val="single"/>
        </w:rPr>
        <w:t>Pomoćne supstance sa potvrđenim dejstvom:</w:t>
      </w: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Svaka film tableta sadrži 156.8 mg laktoze (u obliku monohidrata) i 261 mikograma boje sunset yellow FCF aluminium lake.</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Za listu svih pomoćnih supstanci, vidjeti odjeljak 6.1.</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keepNext/>
        <w:keepLines/>
        <w:spacing w:after="0"/>
        <w:ind w:left="567" w:hanging="567"/>
        <w:jc w:val="both"/>
        <w:rPr>
          <w:rFonts w:ascii="Times New Roman" w:hAnsi="Times New Roman" w:cs="Times New Roman"/>
          <w:b/>
          <w:caps/>
        </w:rPr>
      </w:pPr>
      <w:r w:rsidRPr="009C1E28">
        <w:rPr>
          <w:rFonts w:ascii="Times New Roman" w:hAnsi="Times New Roman" w:cs="Times New Roman"/>
          <w:b/>
        </w:rPr>
        <w:t>3.</w:t>
      </w:r>
      <w:r w:rsidRPr="009C1E28">
        <w:rPr>
          <w:rFonts w:ascii="Times New Roman" w:hAnsi="Times New Roman" w:cs="Times New Roman"/>
          <w:b/>
        </w:rPr>
        <w:tab/>
        <w:t xml:space="preserve">FARMACEUTSKI </w:t>
      </w:r>
      <w:r w:rsidRPr="009C1E28">
        <w:rPr>
          <w:rFonts w:ascii="Times New Roman" w:hAnsi="Times New Roman" w:cs="Times New Roman"/>
          <w:b/>
          <w:caps/>
        </w:rPr>
        <w:t>OBLIK</w:t>
      </w:r>
    </w:p>
    <w:p w:rsidR="009C1E28" w:rsidRPr="009C1E28" w:rsidRDefault="009C1E28" w:rsidP="009C1E28">
      <w:pPr>
        <w:keepNext/>
        <w:keepLines/>
        <w:spacing w:after="0"/>
        <w:jc w:val="both"/>
        <w:rPr>
          <w:rFonts w:ascii="Times New Roman" w:hAnsi="Times New Roman" w:cs="Times New Roman"/>
          <w:b/>
        </w:rPr>
      </w:pP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Film tableta.</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Narandžasta film tableta u obliku dijamanta, dimenzija 19 mm x 10 mm, koja sa jedne strane ima utisnuto „GSI“, a s druge strane „7985“.</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keepNext/>
        <w:keepLines/>
        <w:spacing w:after="0"/>
        <w:ind w:left="567" w:hanging="567"/>
        <w:jc w:val="both"/>
        <w:rPr>
          <w:rFonts w:ascii="Times New Roman" w:hAnsi="Times New Roman" w:cs="Times New Roman"/>
          <w:b/>
          <w:caps/>
        </w:rPr>
      </w:pPr>
      <w:r w:rsidRPr="009C1E28">
        <w:rPr>
          <w:rFonts w:ascii="Times New Roman" w:hAnsi="Times New Roman" w:cs="Times New Roman"/>
          <w:b/>
          <w:caps/>
        </w:rPr>
        <w:t>4.</w:t>
      </w:r>
      <w:r w:rsidRPr="009C1E28">
        <w:rPr>
          <w:rFonts w:ascii="Times New Roman" w:hAnsi="Times New Roman" w:cs="Times New Roman"/>
          <w:b/>
        </w:rPr>
        <w:tab/>
      </w:r>
      <w:r w:rsidRPr="009C1E28">
        <w:rPr>
          <w:rFonts w:ascii="Times New Roman" w:hAnsi="Times New Roman" w:cs="Times New Roman"/>
          <w:b/>
          <w:caps/>
        </w:rPr>
        <w:t>KLINIČKI PODACI</w:t>
      </w:r>
    </w:p>
    <w:p w:rsidR="009C1E28" w:rsidRPr="009C1E28" w:rsidRDefault="009C1E28" w:rsidP="009C1E28">
      <w:pPr>
        <w:keepNext/>
        <w:keepLines/>
        <w:spacing w:after="0"/>
        <w:jc w:val="both"/>
        <w:rPr>
          <w:rFonts w:ascii="Times New Roman" w:hAnsi="Times New Roman" w:cs="Times New Roman"/>
          <w:b/>
        </w:rPr>
      </w:pPr>
    </w:p>
    <w:p w:rsidR="009C1E28" w:rsidRPr="009C1E28" w:rsidRDefault="009C1E28" w:rsidP="009C1E28">
      <w:pPr>
        <w:keepNext/>
        <w:keepLines/>
        <w:spacing w:after="0"/>
        <w:ind w:left="567" w:hanging="567"/>
        <w:jc w:val="both"/>
        <w:rPr>
          <w:rFonts w:ascii="Times New Roman" w:hAnsi="Times New Roman" w:cs="Times New Roman"/>
          <w:b/>
        </w:rPr>
      </w:pPr>
      <w:r w:rsidRPr="009C1E28">
        <w:rPr>
          <w:rFonts w:ascii="Times New Roman" w:hAnsi="Times New Roman" w:cs="Times New Roman"/>
          <w:b/>
        </w:rPr>
        <w:t>4.1</w:t>
      </w:r>
      <w:r w:rsidRPr="009C1E28">
        <w:rPr>
          <w:rFonts w:ascii="Times New Roman" w:hAnsi="Times New Roman" w:cs="Times New Roman"/>
          <w:b/>
        </w:rPr>
        <w:tab/>
        <w:t>Terapijske indikacije</w:t>
      </w:r>
    </w:p>
    <w:p w:rsidR="009C1E28" w:rsidRPr="009C1E28" w:rsidRDefault="009C1E28" w:rsidP="009C1E28">
      <w:pPr>
        <w:keepNext/>
        <w:keepLines/>
        <w:spacing w:after="0"/>
        <w:jc w:val="both"/>
        <w:rPr>
          <w:rFonts w:ascii="Times New Roman" w:hAnsi="Times New Roman" w:cs="Times New Roman"/>
          <w:b/>
        </w:rPr>
      </w:pP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Lijek Harvoni je namijenjen za liječenje hroničnog hepatitisa C (HHC) kod odraslih osoba i kod adolescenata uzrasta od 12 do 18 godina (vidjeti odjeljke 4.2, 4.4 i 5.1).</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Za aktivnost virusa hepatitisa C (HCV) specifičnu za genotip pogledati odjeljke 4.4 i 5.1.</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keepNext/>
        <w:keepLines/>
        <w:spacing w:after="0"/>
        <w:ind w:left="567" w:hanging="567"/>
        <w:jc w:val="both"/>
        <w:rPr>
          <w:rFonts w:ascii="Times New Roman" w:hAnsi="Times New Roman" w:cs="Times New Roman"/>
          <w:b/>
        </w:rPr>
      </w:pPr>
      <w:r w:rsidRPr="009C1E28">
        <w:rPr>
          <w:rFonts w:ascii="Times New Roman" w:hAnsi="Times New Roman" w:cs="Times New Roman"/>
          <w:b/>
        </w:rPr>
        <w:t>4.2</w:t>
      </w:r>
      <w:r w:rsidRPr="009C1E28">
        <w:rPr>
          <w:rFonts w:ascii="Times New Roman" w:hAnsi="Times New Roman" w:cs="Times New Roman"/>
          <w:b/>
        </w:rPr>
        <w:tab/>
        <w:t>Doziranje i način primjene</w:t>
      </w:r>
    </w:p>
    <w:p w:rsidR="009C1E28" w:rsidRPr="009C1E28" w:rsidRDefault="009C1E28" w:rsidP="009C1E28">
      <w:pPr>
        <w:keepNext/>
        <w:keepLines/>
        <w:spacing w:after="0"/>
        <w:jc w:val="both"/>
        <w:rPr>
          <w:rFonts w:ascii="Times New Roman" w:hAnsi="Times New Roman" w:cs="Times New Roman"/>
          <w:b/>
        </w:rPr>
      </w:pP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Liječenje lijekom Harvoni treba da započne i prati ljekar koji ima iskustva u liječenju pacijenata sa HHC.</w:t>
      </w:r>
    </w:p>
    <w:p w:rsidR="009C1E28" w:rsidRPr="009C1E28" w:rsidRDefault="009C1E28" w:rsidP="009C1E28">
      <w:pPr>
        <w:keepNext/>
        <w:keepLines/>
        <w:spacing w:after="0"/>
        <w:jc w:val="both"/>
        <w:rPr>
          <w:rFonts w:ascii="Times New Roman" w:hAnsi="Times New Roman" w:cs="Times New Roman"/>
          <w:b/>
          <w:u w:val="single"/>
        </w:rPr>
      </w:pPr>
      <w:r w:rsidRPr="009C1E28">
        <w:rPr>
          <w:rFonts w:ascii="Times New Roman" w:hAnsi="Times New Roman" w:cs="Times New Roman"/>
          <w:u w:val="single"/>
        </w:rPr>
        <w:lastRenderedPageBreak/>
        <w:t>Doziranje</w:t>
      </w:r>
    </w:p>
    <w:p w:rsidR="009C1E28" w:rsidRPr="009C1E28" w:rsidRDefault="009C1E28" w:rsidP="009C1E28">
      <w:pPr>
        <w:spacing w:after="0"/>
        <w:jc w:val="both"/>
        <w:rPr>
          <w:rFonts w:ascii="Times New Roman" w:hAnsi="Times New Roman" w:cs="Times New Roman"/>
          <w:b/>
          <w:i/>
          <w:u w:val="single"/>
          <w:lang w:val="pl-PL"/>
        </w:rPr>
      </w:pPr>
      <w:r w:rsidRPr="009C1E28">
        <w:rPr>
          <w:rFonts w:ascii="Times New Roman" w:hAnsi="Times New Roman" w:cs="Times New Roman"/>
          <w:i/>
          <w:u w:val="single"/>
        </w:rPr>
        <w:t>Odrasli i adolescenti uzrasta od 12 do 18 godina</w:t>
      </w: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Preporučena doza lijeka Harvoni je jedna tableta jednom dnevno sa hranom ili bez nje (vidjeti odjeljak 5.2).</w:t>
      </w:r>
    </w:p>
    <w:p w:rsidR="009C1E28" w:rsidRDefault="009C1E28" w:rsidP="009C1E28">
      <w:pPr>
        <w:spacing w:after="0"/>
        <w:jc w:val="both"/>
        <w:rPr>
          <w:rFonts w:ascii="Times New Roman" w:hAnsi="Times New Roman" w:cs="Times New Roman"/>
          <w:b/>
        </w:rPr>
      </w:pPr>
    </w:p>
    <w:p w:rsidR="009C1E28" w:rsidRPr="009C1E28" w:rsidRDefault="009C1E28" w:rsidP="009C1E28">
      <w:pPr>
        <w:spacing w:after="0"/>
        <w:jc w:val="both"/>
        <w:rPr>
          <w:rFonts w:ascii="Times New Roman" w:hAnsi="Times New Roman" w:cs="Times New Roman"/>
          <w:b/>
        </w:rPr>
      </w:pPr>
      <w:bookmarkStart w:id="0" w:name="_Ref332273906"/>
      <w:r w:rsidRPr="009C1E28">
        <w:rPr>
          <w:rFonts w:ascii="Times New Roman" w:hAnsi="Times New Roman" w:cs="Times New Roman"/>
          <w:b/>
        </w:rPr>
        <w:t>Tabela1</w:t>
      </w:r>
      <w:bookmarkEnd w:id="0"/>
      <w:r w:rsidRPr="009C1E28">
        <w:rPr>
          <w:rFonts w:ascii="Times New Roman" w:hAnsi="Times New Roman" w:cs="Times New Roman"/>
          <w:b/>
        </w:rPr>
        <w:t>: Preporučeno trajanje liječenja lijekom Harvoni i preporučena upotreba istovremeno primijenjenog ribavirina za određene podgrupe</w:t>
      </w:r>
    </w:p>
    <w:p w:rsidR="009C1E28" w:rsidRPr="009C1E28" w:rsidRDefault="009C1E28" w:rsidP="009C1E28">
      <w:pPr>
        <w:keepNext/>
        <w:keepLines/>
        <w:spacing w:after="0"/>
        <w:jc w:val="both"/>
        <w:rPr>
          <w:rFonts w:ascii="Times New Roman" w:hAnsi="Times New Roman" w:cs="Times New Roman"/>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5982"/>
      </w:tblGrid>
      <w:tr w:rsidR="009C1E28" w:rsidRPr="009C1E28" w:rsidTr="00E627E3">
        <w:trPr>
          <w:trHeight w:val="329"/>
        </w:trPr>
        <w:tc>
          <w:tcPr>
            <w:tcW w:w="3652" w:type="dxa"/>
          </w:tcPr>
          <w:p w:rsidR="009C1E28" w:rsidRPr="00E627E3" w:rsidRDefault="009C1E28" w:rsidP="009C1E28">
            <w:pPr>
              <w:keepNext/>
              <w:keepLines/>
              <w:spacing w:after="0"/>
              <w:jc w:val="both"/>
              <w:rPr>
                <w:rFonts w:ascii="Times New Roman" w:hAnsi="Times New Roman" w:cs="Times New Roman"/>
                <w:b/>
              </w:rPr>
            </w:pPr>
            <w:r w:rsidRPr="00E627E3">
              <w:rPr>
                <w:rFonts w:ascii="Times New Roman" w:hAnsi="Times New Roman" w:cs="Times New Roman"/>
                <w:b/>
              </w:rPr>
              <w:t>Populacija pacijenata</w:t>
            </w:r>
          </w:p>
          <w:p w:rsidR="009C1E28" w:rsidRPr="009C1E28" w:rsidRDefault="009C1E28" w:rsidP="009C1E28">
            <w:pPr>
              <w:keepNext/>
              <w:keepLines/>
              <w:spacing w:after="0"/>
              <w:jc w:val="both"/>
              <w:rPr>
                <w:rFonts w:ascii="Times New Roman" w:hAnsi="Times New Roman" w:cs="Times New Roman"/>
              </w:rPr>
            </w:pPr>
            <w:r w:rsidRPr="009C1E28">
              <w:rPr>
                <w:rFonts w:ascii="Times New Roman" w:hAnsi="Times New Roman" w:cs="Times New Roman"/>
              </w:rPr>
              <w:t>(uključujući pacijente koinficirane HIV-om)</w:t>
            </w:r>
          </w:p>
        </w:tc>
        <w:tc>
          <w:tcPr>
            <w:tcW w:w="5982" w:type="dxa"/>
          </w:tcPr>
          <w:p w:rsidR="009C1E28" w:rsidRPr="00E627E3" w:rsidRDefault="009C1E28" w:rsidP="009C1E28">
            <w:pPr>
              <w:keepNext/>
              <w:keepLines/>
              <w:spacing w:after="0"/>
              <w:jc w:val="both"/>
              <w:rPr>
                <w:rFonts w:ascii="Times New Roman" w:hAnsi="Times New Roman" w:cs="Times New Roman"/>
                <w:b/>
              </w:rPr>
            </w:pPr>
            <w:r w:rsidRPr="00E627E3">
              <w:rPr>
                <w:rFonts w:ascii="Times New Roman" w:hAnsi="Times New Roman" w:cs="Times New Roman"/>
                <w:b/>
              </w:rPr>
              <w:t>Liječenje i trajanje liječenja</w:t>
            </w:r>
          </w:p>
        </w:tc>
      </w:tr>
      <w:tr w:rsidR="009C1E28" w:rsidRPr="009C1E28" w:rsidTr="00E627E3">
        <w:trPr>
          <w:trHeight w:val="326"/>
        </w:trPr>
        <w:tc>
          <w:tcPr>
            <w:tcW w:w="9634" w:type="dxa"/>
            <w:gridSpan w:val="2"/>
            <w:vAlign w:val="center"/>
          </w:tcPr>
          <w:p w:rsidR="009C1E28" w:rsidRPr="009C1E28" w:rsidRDefault="009C1E28" w:rsidP="009C1E28">
            <w:pPr>
              <w:keepNext/>
              <w:keepLines/>
              <w:spacing w:after="0"/>
              <w:jc w:val="both"/>
              <w:rPr>
                <w:rFonts w:ascii="Times New Roman" w:hAnsi="Times New Roman" w:cs="Times New Roman"/>
                <w:b/>
                <w:i/>
              </w:rPr>
            </w:pPr>
            <w:r w:rsidRPr="009C1E28">
              <w:rPr>
                <w:rFonts w:ascii="Times New Roman" w:hAnsi="Times New Roman" w:cs="Times New Roman"/>
                <w:i/>
              </w:rPr>
              <w:t>Odrasli pacijenti i adolescenti uzrasta od 12 godina ili stariji sa HHC-om genotipa 1,4,5 ili 6</w:t>
            </w:r>
          </w:p>
        </w:tc>
      </w:tr>
      <w:tr w:rsidR="009C1E28" w:rsidRPr="009C1E28" w:rsidTr="00E627E3">
        <w:trPr>
          <w:trHeight w:val="416"/>
        </w:trPr>
        <w:tc>
          <w:tcPr>
            <w:tcW w:w="3652" w:type="dxa"/>
            <w:vAlign w:val="center"/>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Pacijenti koji nemaju cirozu</w:t>
            </w:r>
          </w:p>
        </w:tc>
        <w:tc>
          <w:tcPr>
            <w:tcW w:w="5982" w:type="dxa"/>
            <w:vAlign w:val="center"/>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Lijek Harvoni tokom 12 nedjelja.</w:t>
            </w:r>
          </w:p>
          <w:p w:rsidR="009C1E28" w:rsidRPr="009C1E28" w:rsidRDefault="009C1E28" w:rsidP="009C1E28">
            <w:pPr>
              <w:keepNext/>
              <w:keepLines/>
              <w:numPr>
                <w:ilvl w:val="0"/>
                <w:numId w:val="30"/>
              </w:numPr>
              <w:spacing w:after="0" w:line="240" w:lineRule="auto"/>
              <w:ind w:left="317" w:hanging="283"/>
              <w:jc w:val="both"/>
              <w:outlineLvl w:val="0"/>
              <w:rPr>
                <w:rFonts w:ascii="Times New Roman" w:hAnsi="Times New Roman" w:cs="Times New Roman"/>
                <w:b/>
              </w:rPr>
            </w:pPr>
            <w:r w:rsidRPr="009C1E28">
              <w:rPr>
                <w:rFonts w:ascii="Times New Roman" w:hAnsi="Times New Roman" w:cs="Times New Roman"/>
              </w:rPr>
              <w:t>Može se razmotriti upotreba lijeka Harvoni tokom 8 nedjelja kod prethodno neliječenih pacijenata koji su inficirani genotipom 1 (vidjeti odjeljak 5.1, studiju ION</w:t>
            </w:r>
            <w:r w:rsidRPr="009C1E28">
              <w:rPr>
                <w:rFonts w:ascii="Times New Roman" w:hAnsi="Times New Roman" w:cs="Times New Roman"/>
              </w:rPr>
              <w:noBreakHyphen/>
              <w:t>3).</w:t>
            </w:r>
          </w:p>
          <w:p w:rsidR="009C1E28" w:rsidRPr="009C1E28" w:rsidRDefault="009C1E28" w:rsidP="009C1E28">
            <w:pPr>
              <w:keepNext/>
              <w:keepLines/>
              <w:spacing w:after="0"/>
              <w:ind w:left="34"/>
              <w:jc w:val="both"/>
              <w:rPr>
                <w:rFonts w:ascii="Times New Roman" w:hAnsi="Times New Roman" w:cs="Times New Roman"/>
                <w:b/>
              </w:rPr>
            </w:pPr>
          </w:p>
          <w:p w:rsidR="009C1E28" w:rsidRPr="009C1E28" w:rsidRDefault="009C1E28" w:rsidP="009C1E28">
            <w:pPr>
              <w:keepNext/>
              <w:keepLines/>
              <w:spacing w:after="0"/>
              <w:jc w:val="both"/>
              <w:rPr>
                <w:rFonts w:ascii="Times New Roman" w:hAnsi="Times New Roman" w:cs="Times New Roman"/>
                <w:b/>
              </w:rPr>
            </w:pPr>
          </w:p>
        </w:tc>
      </w:tr>
      <w:tr w:rsidR="009C1E28" w:rsidRPr="009C1E28" w:rsidTr="00E627E3">
        <w:trPr>
          <w:trHeight w:val="407"/>
        </w:trPr>
        <w:tc>
          <w:tcPr>
            <w:tcW w:w="3652" w:type="dxa"/>
            <w:vAlign w:val="center"/>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Pacijenti sa kompenzovanom cirozom</w:t>
            </w:r>
          </w:p>
        </w:tc>
        <w:tc>
          <w:tcPr>
            <w:tcW w:w="5982" w:type="dxa"/>
            <w:vAlign w:val="center"/>
          </w:tcPr>
          <w:p w:rsidR="009C1E28" w:rsidRPr="009C1E28" w:rsidRDefault="009C1E28" w:rsidP="009C1E28">
            <w:pPr>
              <w:keepNext/>
              <w:keepLines/>
              <w:spacing w:after="0"/>
              <w:ind w:left="34"/>
              <w:jc w:val="both"/>
              <w:rPr>
                <w:rFonts w:ascii="Times New Roman" w:hAnsi="Times New Roman" w:cs="Times New Roman"/>
                <w:b/>
              </w:rPr>
            </w:pPr>
            <w:r w:rsidRPr="009C1E28">
              <w:rPr>
                <w:rFonts w:ascii="Times New Roman" w:hAnsi="Times New Roman" w:cs="Times New Roman"/>
              </w:rPr>
              <w:t>Lijek Harvoni + ribavirin</w:t>
            </w:r>
            <w:r w:rsidRPr="009C1E28">
              <w:rPr>
                <w:rFonts w:ascii="Times New Roman" w:hAnsi="Times New Roman" w:cs="Times New Roman"/>
                <w:vertAlign w:val="superscript"/>
              </w:rPr>
              <w:t xml:space="preserve">A </w:t>
            </w:r>
            <w:r w:rsidRPr="009C1E28">
              <w:rPr>
                <w:rFonts w:ascii="Times New Roman" w:hAnsi="Times New Roman" w:cs="Times New Roman"/>
              </w:rPr>
              <w:t>tokom 12 nedjelja</w:t>
            </w:r>
          </w:p>
          <w:p w:rsidR="009C1E28" w:rsidRPr="009C1E28" w:rsidRDefault="009C1E28" w:rsidP="009C1E28">
            <w:pPr>
              <w:keepNext/>
              <w:keepLines/>
              <w:spacing w:after="0"/>
              <w:ind w:left="34"/>
              <w:jc w:val="both"/>
              <w:rPr>
                <w:rFonts w:ascii="Times New Roman" w:hAnsi="Times New Roman" w:cs="Times New Roman"/>
                <w:b/>
              </w:rPr>
            </w:pPr>
            <w:r w:rsidRPr="009C1E28">
              <w:rPr>
                <w:rFonts w:ascii="Times New Roman" w:hAnsi="Times New Roman" w:cs="Times New Roman"/>
              </w:rPr>
              <w:t>ili</w:t>
            </w:r>
          </w:p>
          <w:p w:rsidR="009C1E28" w:rsidRPr="009C1E28" w:rsidRDefault="009C1E28" w:rsidP="009C1E28">
            <w:pPr>
              <w:keepNext/>
              <w:keepLines/>
              <w:spacing w:after="0"/>
              <w:ind w:left="34"/>
              <w:jc w:val="both"/>
              <w:rPr>
                <w:rFonts w:ascii="Times New Roman" w:hAnsi="Times New Roman" w:cs="Times New Roman"/>
                <w:b/>
              </w:rPr>
            </w:pPr>
            <w:r w:rsidRPr="009C1E28">
              <w:rPr>
                <w:rFonts w:ascii="Times New Roman" w:hAnsi="Times New Roman" w:cs="Times New Roman"/>
              </w:rPr>
              <w:t>lijek Harvoni (bez ribavirina) tokom 24 nedjelje.</w:t>
            </w:r>
          </w:p>
          <w:p w:rsidR="009C1E28" w:rsidRPr="009C1E28" w:rsidRDefault="009C1E28" w:rsidP="009C1E28">
            <w:pPr>
              <w:keepNext/>
              <w:keepLines/>
              <w:spacing w:after="0"/>
              <w:ind w:left="34"/>
              <w:jc w:val="both"/>
              <w:rPr>
                <w:rFonts w:ascii="Times New Roman" w:hAnsi="Times New Roman" w:cs="Times New Roman"/>
                <w:b/>
              </w:rPr>
            </w:pPr>
          </w:p>
          <w:p w:rsidR="009C1E28" w:rsidRPr="009C1E28" w:rsidRDefault="009C1E28" w:rsidP="009C1E28">
            <w:pPr>
              <w:keepNext/>
              <w:keepLines/>
              <w:numPr>
                <w:ilvl w:val="0"/>
                <w:numId w:val="29"/>
              </w:numPr>
              <w:spacing w:after="0" w:line="240" w:lineRule="auto"/>
              <w:ind w:left="317" w:hanging="283"/>
              <w:jc w:val="both"/>
              <w:outlineLvl w:val="0"/>
              <w:rPr>
                <w:rFonts w:ascii="Times New Roman" w:hAnsi="Times New Roman" w:cs="Times New Roman"/>
                <w:b/>
              </w:rPr>
            </w:pPr>
            <w:r w:rsidRPr="009C1E28">
              <w:rPr>
                <w:rFonts w:ascii="Times New Roman" w:hAnsi="Times New Roman" w:cs="Times New Roman"/>
              </w:rPr>
              <w:t>Može se razmotriti upotreba lijeka Harvoni (bez ribavirina) tokom 12 nedjelja za pacijente za koje se smatra da imaju nizak rizik za nastanak kliničke progresije bolesti i koji imaju opciju za dalju ponovnu terapiju (vidjeti odjeljak 4.4).</w:t>
            </w:r>
          </w:p>
        </w:tc>
      </w:tr>
      <w:tr w:rsidR="009C1E28" w:rsidRPr="009C1E28" w:rsidTr="00E627E3">
        <w:trPr>
          <w:trHeight w:val="567"/>
        </w:trPr>
        <w:tc>
          <w:tcPr>
            <w:tcW w:w="3652" w:type="dxa"/>
            <w:vAlign w:val="center"/>
          </w:tcPr>
          <w:p w:rsidR="009C1E28" w:rsidRPr="009C1E28" w:rsidRDefault="009C1E28" w:rsidP="00E627E3">
            <w:pPr>
              <w:keepNext/>
              <w:keepLines/>
              <w:spacing w:after="0"/>
              <w:rPr>
                <w:rFonts w:ascii="Times New Roman" w:hAnsi="Times New Roman" w:cs="Times New Roman"/>
                <w:b/>
              </w:rPr>
            </w:pPr>
            <w:r w:rsidRPr="009C1E28">
              <w:rPr>
                <w:rFonts w:ascii="Times New Roman" w:hAnsi="Times New Roman" w:cs="Times New Roman"/>
              </w:rPr>
              <w:t>Pacijenti nakon transplantacije jetre koji nemaju cirozu ili imaju kompenzovanu cirozu</w:t>
            </w:r>
          </w:p>
        </w:tc>
        <w:tc>
          <w:tcPr>
            <w:tcW w:w="5982" w:type="dxa"/>
            <w:vAlign w:val="center"/>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Lijek Harvoni + ribavirin</w:t>
            </w:r>
            <w:r w:rsidRPr="009C1E28">
              <w:rPr>
                <w:rFonts w:ascii="Times New Roman" w:hAnsi="Times New Roman" w:cs="Times New Roman"/>
                <w:vertAlign w:val="superscript"/>
              </w:rPr>
              <w:t>A</w:t>
            </w:r>
            <w:r w:rsidRPr="009C1E28">
              <w:rPr>
                <w:rFonts w:ascii="Times New Roman" w:hAnsi="Times New Roman" w:cs="Times New Roman"/>
              </w:rPr>
              <w:t xml:space="preserve"> tokom 12 nedjelja (vidjeti odjeljak 5.1).</w:t>
            </w:r>
          </w:p>
          <w:p w:rsidR="009C1E28" w:rsidRPr="009C1E28" w:rsidDel="005F383D" w:rsidRDefault="009C1E28" w:rsidP="009C1E28">
            <w:pPr>
              <w:keepNext/>
              <w:keepLines/>
              <w:numPr>
                <w:ilvl w:val="0"/>
                <w:numId w:val="29"/>
              </w:numPr>
              <w:spacing w:after="0" w:line="240" w:lineRule="auto"/>
              <w:ind w:left="317" w:hanging="283"/>
              <w:jc w:val="both"/>
              <w:outlineLvl w:val="0"/>
              <w:rPr>
                <w:rFonts w:ascii="Times New Roman" w:hAnsi="Times New Roman" w:cs="Times New Roman"/>
                <w:b/>
              </w:rPr>
            </w:pPr>
            <w:r w:rsidRPr="009C1E28">
              <w:rPr>
                <w:rFonts w:ascii="Times New Roman" w:hAnsi="Times New Roman" w:cs="Times New Roman"/>
              </w:rPr>
              <w:t>Lijek Harvoni (bez ribavirina) tokom 12 nedjelja (kod pacijenata koji nemaju cirozu) ili 24 nedjelje (kod pacijenata sa cirozom) može da se razmotri kod pacijenata koji nijesu pogodni za liječenje ribavirinom ili ne podnose ribavirin.</w:t>
            </w:r>
          </w:p>
        </w:tc>
      </w:tr>
      <w:tr w:rsidR="009C1E28" w:rsidRPr="009C1E28" w:rsidTr="00E627E3">
        <w:trPr>
          <w:trHeight w:val="567"/>
        </w:trPr>
        <w:tc>
          <w:tcPr>
            <w:tcW w:w="3652" w:type="dxa"/>
            <w:vAlign w:val="center"/>
          </w:tcPr>
          <w:p w:rsidR="009C1E28" w:rsidRPr="009C1E28" w:rsidRDefault="009C1E28" w:rsidP="00E627E3">
            <w:pPr>
              <w:keepNext/>
              <w:keepLines/>
              <w:spacing w:after="0"/>
              <w:rPr>
                <w:rFonts w:ascii="Times New Roman" w:hAnsi="Times New Roman" w:cs="Times New Roman"/>
                <w:b/>
              </w:rPr>
            </w:pPr>
            <w:r w:rsidRPr="009C1E28">
              <w:rPr>
                <w:rFonts w:ascii="Times New Roman" w:hAnsi="Times New Roman" w:cs="Times New Roman"/>
              </w:rPr>
              <w:t>Pacijenti sa dekompenzovanom cirozom, bez obzira na transplantacioni status</w:t>
            </w:r>
          </w:p>
        </w:tc>
        <w:tc>
          <w:tcPr>
            <w:tcW w:w="5982" w:type="dxa"/>
            <w:vAlign w:val="center"/>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Lijek Harvoni + ribavirin</w:t>
            </w:r>
            <w:r w:rsidRPr="009C1E28">
              <w:rPr>
                <w:rFonts w:ascii="Times New Roman" w:hAnsi="Times New Roman" w:cs="Times New Roman"/>
                <w:vertAlign w:val="superscript"/>
              </w:rPr>
              <w:t>B</w:t>
            </w:r>
            <w:r w:rsidRPr="009C1E28">
              <w:rPr>
                <w:rFonts w:ascii="Times New Roman" w:hAnsi="Times New Roman" w:cs="Times New Roman"/>
              </w:rPr>
              <w:t xml:space="preserve"> tokom 12 nedjelja (vidjeti odjeljak 5.1).</w:t>
            </w:r>
          </w:p>
          <w:p w:rsidR="009C1E28" w:rsidRPr="009C1E28" w:rsidRDefault="009C1E28" w:rsidP="009C1E28">
            <w:pPr>
              <w:keepNext/>
              <w:keepLines/>
              <w:numPr>
                <w:ilvl w:val="0"/>
                <w:numId w:val="29"/>
              </w:numPr>
              <w:spacing w:after="0" w:line="240" w:lineRule="auto"/>
              <w:ind w:left="317" w:hanging="283"/>
              <w:jc w:val="both"/>
              <w:outlineLvl w:val="0"/>
              <w:rPr>
                <w:rFonts w:ascii="Times New Roman" w:hAnsi="Times New Roman" w:cs="Times New Roman"/>
                <w:b/>
              </w:rPr>
            </w:pPr>
            <w:r w:rsidRPr="009C1E28">
              <w:rPr>
                <w:rFonts w:ascii="Times New Roman" w:hAnsi="Times New Roman" w:cs="Times New Roman"/>
              </w:rPr>
              <w:t>Lijek Harvoni (bez ribavirina) tokom 24 nedjelja može da se razmotri kod pacijenata koji nijesu pogodni za liječenje ribavirinom ili ne podnose ribavirin.</w:t>
            </w:r>
          </w:p>
        </w:tc>
      </w:tr>
      <w:tr w:rsidR="009C1E28" w:rsidRPr="009C1E28" w:rsidTr="00E627E3">
        <w:trPr>
          <w:trHeight w:val="433"/>
        </w:trPr>
        <w:tc>
          <w:tcPr>
            <w:tcW w:w="9634" w:type="dxa"/>
            <w:gridSpan w:val="2"/>
            <w:vAlign w:val="center"/>
          </w:tcPr>
          <w:p w:rsidR="009C1E28" w:rsidRPr="009C1E28" w:rsidRDefault="009C1E28" w:rsidP="009C1E28">
            <w:pPr>
              <w:keepNext/>
              <w:keepLines/>
              <w:spacing w:after="0"/>
              <w:jc w:val="both"/>
              <w:rPr>
                <w:rFonts w:ascii="Times New Roman" w:hAnsi="Times New Roman" w:cs="Times New Roman"/>
                <w:b/>
                <w:i/>
              </w:rPr>
            </w:pPr>
            <w:r w:rsidRPr="009C1E28">
              <w:rPr>
                <w:rFonts w:ascii="Times New Roman" w:hAnsi="Times New Roman" w:cs="Times New Roman"/>
                <w:i/>
              </w:rPr>
              <w:t>Odrasli pacijenti i adolescenti uzrasta od 12 godina ili stariji sa HHC-om genotipa 3</w:t>
            </w:r>
          </w:p>
        </w:tc>
      </w:tr>
      <w:tr w:rsidR="009C1E28" w:rsidRPr="009C1E28" w:rsidTr="00E627E3">
        <w:trPr>
          <w:trHeight w:val="567"/>
        </w:trPr>
        <w:tc>
          <w:tcPr>
            <w:tcW w:w="3652" w:type="dxa"/>
            <w:vAlign w:val="center"/>
          </w:tcPr>
          <w:p w:rsidR="009C1E28" w:rsidRPr="009C1E28" w:rsidRDefault="009C1E28" w:rsidP="00E627E3">
            <w:pPr>
              <w:keepNext/>
              <w:keepLines/>
              <w:spacing w:after="0"/>
              <w:rPr>
                <w:rFonts w:ascii="Times New Roman" w:hAnsi="Times New Roman" w:cs="Times New Roman"/>
                <w:b/>
              </w:rPr>
            </w:pPr>
            <w:r w:rsidRPr="009C1E28">
              <w:rPr>
                <w:rFonts w:ascii="Times New Roman" w:hAnsi="Times New Roman" w:cs="Times New Roman"/>
              </w:rPr>
              <w:t>Pacijenti sa kompenzovanom cirozom i/ili pacijenti kod kojih prethodno liječenje nije uspjelo</w:t>
            </w:r>
          </w:p>
        </w:tc>
        <w:tc>
          <w:tcPr>
            <w:tcW w:w="5982" w:type="dxa"/>
            <w:vAlign w:val="center"/>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Lijek Harvoni + ribavirin</w:t>
            </w:r>
            <w:r w:rsidRPr="009C1E28">
              <w:rPr>
                <w:rFonts w:ascii="Times New Roman" w:hAnsi="Times New Roman" w:cs="Times New Roman"/>
                <w:vertAlign w:val="superscript"/>
              </w:rPr>
              <w:t>A</w:t>
            </w:r>
            <w:r w:rsidRPr="009C1E28">
              <w:rPr>
                <w:rFonts w:ascii="Times New Roman" w:hAnsi="Times New Roman" w:cs="Times New Roman"/>
              </w:rPr>
              <w:t xml:space="preserve"> tokom 24 nedjelje (vidjeti odjeljke 4.4 i 5.1).</w:t>
            </w:r>
          </w:p>
        </w:tc>
      </w:tr>
    </w:tbl>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vertAlign w:val="superscript"/>
        </w:rPr>
        <w:t>A</w:t>
      </w:r>
      <w:r w:rsidRPr="009C1E28">
        <w:rPr>
          <w:rFonts w:ascii="Times New Roman" w:hAnsi="Times New Roman" w:cs="Times New Roman"/>
        </w:rPr>
        <w:t>Odrasli: doza ribavirina se bazira na tjelesnoj težini (&lt;75 kg = 1000 mg i ≥75 kg = 1200 mg), primjenjuje se peroralno, podijeljena u dvije doze, sa hranom. Adolescenti: za preporuke doziranja ribavirina pogledati tabelu 3 dolje.</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vertAlign w:val="superscript"/>
        </w:rPr>
        <w:t>B</w:t>
      </w:r>
      <w:r w:rsidRPr="009C1E28">
        <w:rPr>
          <w:rFonts w:ascii="Times New Roman" w:hAnsi="Times New Roman" w:cs="Times New Roman"/>
        </w:rPr>
        <w:t>Za preporuke doziranja ribavirina kod pacijenata sa dekompenzovanom cirozom, pogledati tabelu 2 dolje.</w:t>
      </w:r>
    </w:p>
    <w:p w:rsidR="009C1E28" w:rsidRDefault="009C1E28" w:rsidP="009C1E28">
      <w:pPr>
        <w:keepNext/>
        <w:keepLines/>
        <w:spacing w:after="0"/>
        <w:jc w:val="both"/>
        <w:rPr>
          <w:rFonts w:ascii="Times New Roman" w:hAnsi="Times New Roman" w:cs="Times New Roman"/>
          <w:b/>
        </w:rPr>
      </w:pPr>
      <w:r w:rsidRPr="00E627E3">
        <w:rPr>
          <w:rFonts w:ascii="Times New Roman" w:hAnsi="Times New Roman" w:cs="Times New Roman"/>
          <w:b/>
        </w:rPr>
        <w:lastRenderedPageBreak/>
        <w:t>Tabela 2: Smjernica za doziranje ribavirina kada se primjenjuje sa lijekom Harvoni kod pacijenata sa dekompenzovanom cirozom</w:t>
      </w:r>
    </w:p>
    <w:p w:rsidR="00F11E78" w:rsidRPr="00E627E3" w:rsidRDefault="00F11E78" w:rsidP="009C1E28">
      <w:pPr>
        <w:keepNext/>
        <w:keepLines/>
        <w:spacing w:after="0"/>
        <w:jc w:val="both"/>
        <w:rPr>
          <w:rFonts w:ascii="Times New Roman" w:hAnsi="Times New Roman" w:cs="Times New Roman"/>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407"/>
      </w:tblGrid>
      <w:tr w:rsidR="009C1E28" w:rsidRPr="009C1E28" w:rsidTr="00E627E3">
        <w:tc>
          <w:tcPr>
            <w:tcW w:w="3227" w:type="dxa"/>
            <w:shd w:val="clear" w:color="auto" w:fill="auto"/>
          </w:tcPr>
          <w:p w:rsidR="009C1E28" w:rsidRPr="00E627E3" w:rsidRDefault="009C1E28" w:rsidP="009C1E28">
            <w:pPr>
              <w:tabs>
                <w:tab w:val="left" w:pos="567"/>
              </w:tabs>
              <w:spacing w:after="0" w:line="260" w:lineRule="exact"/>
              <w:jc w:val="both"/>
              <w:rPr>
                <w:rFonts w:ascii="Times New Roman" w:hAnsi="Times New Roman" w:cs="Times New Roman"/>
                <w:b/>
              </w:rPr>
            </w:pPr>
            <w:r w:rsidRPr="00E627E3">
              <w:rPr>
                <w:rFonts w:ascii="Times New Roman" w:hAnsi="Times New Roman" w:cs="Times New Roman"/>
                <w:b/>
              </w:rPr>
              <w:t>Pacijent</w:t>
            </w:r>
          </w:p>
        </w:tc>
        <w:tc>
          <w:tcPr>
            <w:tcW w:w="6407" w:type="dxa"/>
            <w:shd w:val="clear" w:color="auto" w:fill="auto"/>
          </w:tcPr>
          <w:p w:rsidR="009C1E28" w:rsidRPr="00E627E3" w:rsidRDefault="009C1E28" w:rsidP="009C1E28">
            <w:pPr>
              <w:tabs>
                <w:tab w:val="left" w:pos="567"/>
              </w:tabs>
              <w:autoSpaceDE w:val="0"/>
              <w:autoSpaceDN w:val="0"/>
              <w:adjustRightInd w:val="0"/>
              <w:spacing w:after="0" w:line="260" w:lineRule="exact"/>
              <w:jc w:val="both"/>
              <w:rPr>
                <w:rFonts w:ascii="Times New Roman" w:hAnsi="Times New Roman" w:cs="Times New Roman"/>
                <w:b/>
              </w:rPr>
            </w:pPr>
            <w:r w:rsidRPr="00E627E3">
              <w:rPr>
                <w:rFonts w:ascii="Times New Roman" w:hAnsi="Times New Roman" w:cs="Times New Roman"/>
                <w:b/>
              </w:rPr>
              <w:t>Doza ribavirina*</w:t>
            </w:r>
          </w:p>
        </w:tc>
      </w:tr>
      <w:tr w:rsidR="009C1E28" w:rsidRPr="009C1E28" w:rsidTr="00E627E3">
        <w:tc>
          <w:tcPr>
            <w:tcW w:w="3227" w:type="dxa"/>
            <w:shd w:val="clear" w:color="auto" w:fill="auto"/>
          </w:tcPr>
          <w:p w:rsidR="009C1E28" w:rsidRPr="009C1E28" w:rsidRDefault="009C1E28" w:rsidP="00E627E3">
            <w:pPr>
              <w:tabs>
                <w:tab w:val="left" w:pos="567"/>
              </w:tabs>
              <w:autoSpaceDE w:val="0"/>
              <w:autoSpaceDN w:val="0"/>
              <w:adjustRightInd w:val="0"/>
              <w:spacing w:after="0" w:line="260" w:lineRule="exact"/>
              <w:rPr>
                <w:rFonts w:ascii="Times New Roman" w:hAnsi="Times New Roman" w:cs="Times New Roman"/>
                <w:b/>
              </w:rPr>
            </w:pPr>
            <w:r w:rsidRPr="009C1E28">
              <w:rPr>
                <w:rFonts w:ascii="Times New Roman" w:hAnsi="Times New Roman" w:cs="Times New Roman"/>
              </w:rPr>
              <w:t>Ciroza Child-Pugh-Turcotte (CPT) klase B prije transplantacije</w:t>
            </w:r>
          </w:p>
          <w:p w:rsidR="009C1E28" w:rsidRPr="009C1E28" w:rsidRDefault="009C1E28" w:rsidP="009C1E28">
            <w:pPr>
              <w:tabs>
                <w:tab w:val="left" w:pos="567"/>
              </w:tabs>
              <w:spacing w:after="0" w:line="260" w:lineRule="exact"/>
              <w:jc w:val="both"/>
              <w:rPr>
                <w:rFonts w:ascii="Times New Roman" w:hAnsi="Times New Roman" w:cs="Times New Roman"/>
                <w:b/>
              </w:rPr>
            </w:pPr>
          </w:p>
        </w:tc>
        <w:tc>
          <w:tcPr>
            <w:tcW w:w="6407" w:type="dxa"/>
            <w:shd w:val="clear" w:color="auto" w:fill="auto"/>
          </w:tcPr>
          <w:p w:rsidR="009C1E28" w:rsidRPr="009C1E28" w:rsidRDefault="009C1E28" w:rsidP="009C1E28">
            <w:pPr>
              <w:tabs>
                <w:tab w:val="left" w:pos="567"/>
              </w:tabs>
              <w:autoSpaceDE w:val="0"/>
              <w:autoSpaceDN w:val="0"/>
              <w:adjustRightInd w:val="0"/>
              <w:spacing w:after="0" w:line="260" w:lineRule="exact"/>
              <w:jc w:val="both"/>
              <w:rPr>
                <w:rFonts w:ascii="Times New Roman" w:hAnsi="Times New Roman" w:cs="Times New Roman"/>
                <w:b/>
              </w:rPr>
            </w:pPr>
            <w:r w:rsidRPr="009C1E28">
              <w:rPr>
                <w:rFonts w:ascii="Times New Roman" w:hAnsi="Times New Roman" w:cs="Times New Roman"/>
              </w:rPr>
              <w:t>1000 mg na dan za pacijente čija je tjelesna težina&lt; 75 kg i 1200 mg za pacijente čija je tjelesna težina ≥ 75 kg</w:t>
            </w:r>
          </w:p>
          <w:p w:rsidR="009C1E28" w:rsidRPr="009C1E28" w:rsidRDefault="009C1E28" w:rsidP="009C1E28">
            <w:pPr>
              <w:tabs>
                <w:tab w:val="left" w:pos="567"/>
              </w:tabs>
              <w:spacing w:after="0" w:line="260" w:lineRule="exact"/>
              <w:jc w:val="both"/>
              <w:rPr>
                <w:rFonts w:ascii="Times New Roman" w:hAnsi="Times New Roman" w:cs="Times New Roman"/>
                <w:b/>
              </w:rPr>
            </w:pPr>
          </w:p>
        </w:tc>
      </w:tr>
      <w:tr w:rsidR="009C1E28" w:rsidRPr="009C1E28" w:rsidTr="00E627E3">
        <w:tc>
          <w:tcPr>
            <w:tcW w:w="3227" w:type="dxa"/>
            <w:shd w:val="clear" w:color="auto" w:fill="auto"/>
          </w:tcPr>
          <w:p w:rsidR="009C1E28" w:rsidRPr="009C1E28" w:rsidRDefault="009C1E28" w:rsidP="00E627E3">
            <w:pPr>
              <w:tabs>
                <w:tab w:val="left" w:pos="567"/>
              </w:tabs>
              <w:autoSpaceDE w:val="0"/>
              <w:autoSpaceDN w:val="0"/>
              <w:adjustRightInd w:val="0"/>
              <w:spacing w:after="0" w:line="260" w:lineRule="exact"/>
              <w:rPr>
                <w:rFonts w:ascii="Times New Roman" w:hAnsi="Times New Roman" w:cs="Times New Roman"/>
                <w:b/>
              </w:rPr>
            </w:pPr>
            <w:r w:rsidRPr="009C1E28">
              <w:rPr>
                <w:rFonts w:ascii="Times New Roman" w:hAnsi="Times New Roman" w:cs="Times New Roman"/>
              </w:rPr>
              <w:t>Ciroza CPT klase C prije transplantacije</w:t>
            </w:r>
          </w:p>
          <w:p w:rsidR="009C1E28" w:rsidRPr="009C1E28" w:rsidRDefault="009C1E28" w:rsidP="00E627E3">
            <w:pPr>
              <w:tabs>
                <w:tab w:val="left" w:pos="567"/>
              </w:tabs>
              <w:autoSpaceDE w:val="0"/>
              <w:autoSpaceDN w:val="0"/>
              <w:adjustRightInd w:val="0"/>
              <w:spacing w:after="0" w:line="260" w:lineRule="exact"/>
              <w:rPr>
                <w:rFonts w:ascii="Times New Roman" w:hAnsi="Times New Roman" w:cs="Times New Roman"/>
                <w:b/>
              </w:rPr>
            </w:pPr>
          </w:p>
          <w:p w:rsidR="009C1E28" w:rsidRPr="009C1E28" w:rsidRDefault="009C1E28" w:rsidP="00E627E3">
            <w:pPr>
              <w:tabs>
                <w:tab w:val="left" w:pos="567"/>
              </w:tabs>
              <w:autoSpaceDE w:val="0"/>
              <w:autoSpaceDN w:val="0"/>
              <w:adjustRightInd w:val="0"/>
              <w:spacing w:after="0" w:line="260" w:lineRule="exact"/>
              <w:rPr>
                <w:rFonts w:ascii="Times New Roman" w:hAnsi="Times New Roman" w:cs="Times New Roman"/>
                <w:b/>
              </w:rPr>
            </w:pPr>
            <w:r w:rsidRPr="009C1E28">
              <w:rPr>
                <w:rFonts w:ascii="Times New Roman" w:hAnsi="Times New Roman" w:cs="Times New Roman"/>
              </w:rPr>
              <w:t>Ciroza CPT klase B ili C poslije transplantacije</w:t>
            </w:r>
          </w:p>
          <w:p w:rsidR="009C1E28" w:rsidRPr="009C1E28" w:rsidRDefault="009C1E28" w:rsidP="009C1E28">
            <w:pPr>
              <w:tabs>
                <w:tab w:val="left" w:pos="567"/>
              </w:tabs>
              <w:spacing w:after="0" w:line="260" w:lineRule="exact"/>
              <w:jc w:val="both"/>
              <w:rPr>
                <w:rFonts w:ascii="Times New Roman" w:hAnsi="Times New Roman" w:cs="Times New Roman"/>
                <w:b/>
              </w:rPr>
            </w:pPr>
          </w:p>
        </w:tc>
        <w:tc>
          <w:tcPr>
            <w:tcW w:w="6407" w:type="dxa"/>
            <w:shd w:val="clear" w:color="auto" w:fill="auto"/>
          </w:tcPr>
          <w:p w:rsidR="009C1E28" w:rsidRPr="009C1E28" w:rsidRDefault="009C1E28" w:rsidP="009C1E28">
            <w:pPr>
              <w:tabs>
                <w:tab w:val="left" w:pos="567"/>
              </w:tabs>
              <w:autoSpaceDE w:val="0"/>
              <w:autoSpaceDN w:val="0"/>
              <w:adjustRightInd w:val="0"/>
              <w:spacing w:after="0" w:line="260" w:lineRule="exact"/>
              <w:jc w:val="both"/>
              <w:rPr>
                <w:rFonts w:ascii="Times New Roman" w:hAnsi="Times New Roman" w:cs="Times New Roman"/>
                <w:b/>
              </w:rPr>
            </w:pPr>
            <w:r w:rsidRPr="009C1E28">
              <w:rPr>
                <w:rFonts w:ascii="Times New Roman" w:hAnsi="Times New Roman" w:cs="Times New Roman"/>
              </w:rPr>
              <w:t>Početna doza od 600 mg, koja se može povećati do najviše 1000/1200 mg (1000 mg za pacijente čija je tjelesna težina&lt; 75 kgi 1200 mg za pacijente čija je tjelesna težina ≥ 75 kg) ako se dobro podnosi. Ako se početna doza ne podnosi dobro, dozu je potrebno smanjiti kako je klinički indikovano na osnovu nivoa hemoglobina</w:t>
            </w:r>
          </w:p>
        </w:tc>
      </w:tr>
    </w:tbl>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*Ako se više normalizovana doza ribavirina (po težini i funkciji bubrega) ne može postići zbog lošeg podnošenja, treba razmotriti korišćenje lijeka Harvoni + ribavirin tokom 24 nedjelje, da bi se smanjio rizik od relapsa.</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Kada se lijek Harvoni primjenjuje u kombinaciji sa ribavirinom, pogledati takođe Sažetak karakteristika lijeka za ribavirin.</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widowControl w:val="0"/>
        <w:autoSpaceDE w:val="0"/>
        <w:autoSpaceDN w:val="0"/>
        <w:adjustRightInd w:val="0"/>
        <w:spacing w:after="0" w:line="280" w:lineRule="atLeast"/>
        <w:jc w:val="both"/>
        <w:rPr>
          <w:rFonts w:ascii="Times New Roman" w:hAnsi="Times New Roman" w:cs="Times New Roman"/>
          <w:b/>
        </w:rPr>
      </w:pPr>
      <w:r w:rsidRPr="009C1E28">
        <w:rPr>
          <w:rFonts w:ascii="Times New Roman" w:hAnsi="Times New Roman" w:cs="Times New Roman"/>
        </w:rPr>
        <w:t>Kod adolescentnih pacijenata uzrasta od 12 do18 godina preporučuje se sljedeće doziranje ribavirina, po kome se ribavirin dijeli u dvije dnevne doze i uzima sa hranom:</w:t>
      </w:r>
    </w:p>
    <w:p w:rsidR="009C1E28" w:rsidRPr="009C1E28" w:rsidRDefault="009C1E28" w:rsidP="009C1E28">
      <w:pPr>
        <w:spacing w:after="0"/>
        <w:jc w:val="both"/>
        <w:rPr>
          <w:rFonts w:ascii="Times New Roman" w:hAnsi="Times New Roman" w:cs="Times New Roman"/>
          <w:b/>
        </w:rPr>
      </w:pPr>
    </w:p>
    <w:p w:rsidR="009C1E28" w:rsidRDefault="009C1E28" w:rsidP="009C1E28">
      <w:pPr>
        <w:pStyle w:val="TableHeaderleft"/>
        <w:keepNext/>
        <w:spacing w:after="0"/>
        <w:jc w:val="both"/>
        <w:rPr>
          <w:sz w:val="22"/>
          <w:szCs w:val="22"/>
        </w:rPr>
      </w:pPr>
      <w:r w:rsidRPr="009C1E28">
        <w:rPr>
          <w:sz w:val="22"/>
          <w:szCs w:val="22"/>
        </w:rPr>
        <w:t>Tabela 3</w:t>
      </w:r>
      <w:r w:rsidRPr="009C1E28">
        <w:rPr>
          <w:noProof/>
          <w:sz w:val="22"/>
          <w:szCs w:val="22"/>
        </w:rPr>
        <w:t xml:space="preserve">: </w:t>
      </w:r>
      <w:r w:rsidRPr="009C1E28">
        <w:rPr>
          <w:sz w:val="22"/>
          <w:szCs w:val="22"/>
        </w:rPr>
        <w:t>Smjernica za doziranje ribavirina kada se primjenjuje sa lijekom Harvoni kod adolescenata uzrasta od 12 do 18 godina</w:t>
      </w:r>
    </w:p>
    <w:p w:rsidR="00F11E78" w:rsidRPr="009C1E28" w:rsidRDefault="00F11E78" w:rsidP="009C1E28">
      <w:pPr>
        <w:pStyle w:val="TableHeaderleft"/>
        <w:keepNext/>
        <w:spacing w:after="0"/>
        <w:jc w:val="both"/>
        <w:rPr>
          <w:sz w:val="22"/>
          <w:szCs w:val="22"/>
        </w:rPr>
      </w:pPr>
    </w:p>
    <w:tbl>
      <w:tblPr>
        <w:tblW w:w="5000" w:type="pct"/>
        <w:tblBorders>
          <w:top w:val="single" w:sz="12" w:space="0" w:color="auto"/>
          <w:bottom w:val="single" w:sz="12" w:space="0" w:color="auto"/>
          <w:insideH w:val="single" w:sz="6" w:space="0" w:color="auto"/>
          <w:insideV w:val="single" w:sz="6" w:space="0" w:color="auto"/>
        </w:tblBorders>
        <w:tblLook w:val="01E0" w:firstRow="1" w:lastRow="1" w:firstColumn="1" w:lastColumn="1" w:noHBand="0" w:noVBand="0"/>
      </w:tblPr>
      <w:tblGrid>
        <w:gridCol w:w="3951"/>
        <w:gridCol w:w="5676"/>
      </w:tblGrid>
      <w:tr w:rsidR="009C1E28" w:rsidRPr="009C1E28" w:rsidTr="00E627E3">
        <w:trPr>
          <w:trHeight w:val="329"/>
        </w:trPr>
        <w:tc>
          <w:tcPr>
            <w:tcW w:w="2052" w:type="pct"/>
            <w:tcBorders>
              <w:top w:val="single" w:sz="12" w:space="0" w:color="auto"/>
              <w:bottom w:val="single" w:sz="12" w:space="0" w:color="auto"/>
            </w:tcBorders>
            <w:vAlign w:val="bottom"/>
          </w:tcPr>
          <w:p w:rsidR="009C1E28" w:rsidRPr="009C1E28" w:rsidRDefault="009C1E28" w:rsidP="009C1E28">
            <w:pPr>
              <w:pStyle w:val="TableHeaderleft"/>
              <w:spacing w:after="0"/>
              <w:jc w:val="both"/>
              <w:rPr>
                <w:sz w:val="22"/>
                <w:szCs w:val="22"/>
              </w:rPr>
            </w:pPr>
            <w:r w:rsidRPr="009C1E28">
              <w:rPr>
                <w:sz w:val="22"/>
                <w:szCs w:val="22"/>
              </w:rPr>
              <w:t>Tjelesna težina u kg</w:t>
            </w:r>
          </w:p>
        </w:tc>
        <w:tc>
          <w:tcPr>
            <w:tcW w:w="2948" w:type="pct"/>
            <w:tcBorders>
              <w:top w:val="single" w:sz="12" w:space="0" w:color="auto"/>
              <w:bottom w:val="single" w:sz="12" w:space="0" w:color="auto"/>
            </w:tcBorders>
            <w:vAlign w:val="bottom"/>
          </w:tcPr>
          <w:p w:rsidR="009C1E28" w:rsidRPr="009C1E28" w:rsidRDefault="009C1E28" w:rsidP="009C1E28">
            <w:pPr>
              <w:pStyle w:val="TableHeaderCenter"/>
              <w:spacing w:after="0"/>
              <w:jc w:val="both"/>
              <w:rPr>
                <w:rFonts w:ascii="Times New Roman" w:hAnsi="Times New Roman"/>
                <w:sz w:val="22"/>
                <w:szCs w:val="22"/>
              </w:rPr>
            </w:pPr>
            <w:r w:rsidRPr="009C1E28">
              <w:rPr>
                <w:rFonts w:ascii="Times New Roman" w:hAnsi="Times New Roman"/>
                <w:sz w:val="22"/>
                <w:szCs w:val="22"/>
                <w:vertAlign w:val="subscript"/>
              </w:rPr>
              <w:softHyphen/>
            </w:r>
            <w:r w:rsidRPr="009C1E28">
              <w:rPr>
                <w:rFonts w:ascii="Times New Roman" w:hAnsi="Times New Roman"/>
                <w:sz w:val="22"/>
                <w:szCs w:val="22"/>
                <w:vertAlign w:val="subscript"/>
              </w:rPr>
              <w:softHyphen/>
            </w:r>
            <w:r w:rsidRPr="009C1E28">
              <w:rPr>
                <w:rFonts w:ascii="Times New Roman" w:hAnsi="Times New Roman"/>
                <w:sz w:val="22"/>
                <w:szCs w:val="22"/>
              </w:rPr>
              <w:t>Doza ribavirina*</w:t>
            </w:r>
          </w:p>
        </w:tc>
      </w:tr>
      <w:tr w:rsidR="009C1E28" w:rsidRPr="009C1E28" w:rsidTr="00E627E3">
        <w:trPr>
          <w:trHeight w:val="326"/>
        </w:trPr>
        <w:tc>
          <w:tcPr>
            <w:tcW w:w="2052" w:type="pct"/>
            <w:tcBorders>
              <w:top w:val="single" w:sz="12" w:space="0" w:color="auto"/>
            </w:tcBorders>
          </w:tcPr>
          <w:p w:rsidR="009C1E28" w:rsidRPr="009C1E28" w:rsidRDefault="009C1E28" w:rsidP="009C1E28">
            <w:pPr>
              <w:keepNext/>
              <w:keepLines/>
              <w:spacing w:after="0"/>
              <w:ind w:left="34"/>
              <w:jc w:val="both"/>
              <w:rPr>
                <w:rFonts w:ascii="Times New Roman" w:hAnsi="Times New Roman" w:cs="Times New Roman"/>
                <w:b/>
              </w:rPr>
            </w:pPr>
            <w:r w:rsidRPr="009C1E28">
              <w:rPr>
                <w:rFonts w:ascii="Times New Roman" w:hAnsi="Times New Roman" w:cs="Times New Roman"/>
              </w:rPr>
              <w:t xml:space="preserve">&lt;47 </w:t>
            </w:r>
          </w:p>
        </w:tc>
        <w:tc>
          <w:tcPr>
            <w:tcW w:w="2948" w:type="pct"/>
            <w:tcBorders>
              <w:top w:val="single" w:sz="12" w:space="0" w:color="auto"/>
            </w:tcBorders>
          </w:tcPr>
          <w:p w:rsidR="009C1E28" w:rsidRPr="009C1E28" w:rsidRDefault="009C1E28" w:rsidP="009C1E28">
            <w:pPr>
              <w:keepNext/>
              <w:keepLines/>
              <w:spacing w:after="0"/>
              <w:ind w:left="34"/>
              <w:jc w:val="both"/>
              <w:rPr>
                <w:rFonts w:ascii="Times New Roman" w:hAnsi="Times New Roman" w:cs="Times New Roman"/>
                <w:b/>
              </w:rPr>
            </w:pPr>
            <w:r w:rsidRPr="009C1E28">
              <w:rPr>
                <w:rFonts w:ascii="Times New Roman" w:hAnsi="Times New Roman" w:cs="Times New Roman"/>
              </w:rPr>
              <w:t>15 mg/kg/dnevno</w:t>
            </w:r>
          </w:p>
        </w:tc>
      </w:tr>
      <w:tr w:rsidR="009C1E28" w:rsidRPr="009C1E28" w:rsidTr="00E627E3">
        <w:trPr>
          <w:trHeight w:val="416"/>
        </w:trPr>
        <w:tc>
          <w:tcPr>
            <w:tcW w:w="2052" w:type="pct"/>
          </w:tcPr>
          <w:p w:rsidR="009C1E28" w:rsidRPr="009C1E28" w:rsidRDefault="009C1E28" w:rsidP="009C1E28">
            <w:pPr>
              <w:keepNext/>
              <w:keepLines/>
              <w:spacing w:after="0"/>
              <w:ind w:left="34"/>
              <w:jc w:val="both"/>
              <w:rPr>
                <w:rFonts w:ascii="Times New Roman" w:hAnsi="Times New Roman" w:cs="Times New Roman"/>
                <w:b/>
              </w:rPr>
            </w:pPr>
            <w:r w:rsidRPr="009C1E28">
              <w:rPr>
                <w:rFonts w:ascii="Times New Roman" w:hAnsi="Times New Roman" w:cs="Times New Roman"/>
              </w:rPr>
              <w:t xml:space="preserve">47-49 </w:t>
            </w:r>
          </w:p>
        </w:tc>
        <w:tc>
          <w:tcPr>
            <w:tcW w:w="2948" w:type="pct"/>
          </w:tcPr>
          <w:p w:rsidR="009C1E28" w:rsidRPr="009C1E28" w:rsidRDefault="009C1E28" w:rsidP="009C1E28">
            <w:pPr>
              <w:keepNext/>
              <w:keepLines/>
              <w:spacing w:after="0"/>
              <w:ind w:left="34"/>
              <w:jc w:val="both"/>
              <w:rPr>
                <w:rFonts w:ascii="Times New Roman" w:hAnsi="Times New Roman" w:cs="Times New Roman"/>
                <w:b/>
              </w:rPr>
            </w:pPr>
            <w:r w:rsidRPr="009C1E28">
              <w:rPr>
                <w:rFonts w:ascii="Times New Roman" w:hAnsi="Times New Roman" w:cs="Times New Roman"/>
              </w:rPr>
              <w:t>600 mg/dnevno</w:t>
            </w:r>
          </w:p>
        </w:tc>
      </w:tr>
      <w:tr w:rsidR="009C1E28" w:rsidRPr="009C1E28" w:rsidTr="00E627E3">
        <w:trPr>
          <w:trHeight w:val="416"/>
        </w:trPr>
        <w:tc>
          <w:tcPr>
            <w:tcW w:w="2052" w:type="pct"/>
          </w:tcPr>
          <w:p w:rsidR="009C1E28" w:rsidRPr="009C1E28" w:rsidRDefault="009C1E28" w:rsidP="009C1E28">
            <w:pPr>
              <w:keepNext/>
              <w:keepLines/>
              <w:spacing w:after="0"/>
              <w:ind w:left="34"/>
              <w:jc w:val="both"/>
              <w:rPr>
                <w:rFonts w:ascii="Times New Roman" w:hAnsi="Times New Roman" w:cs="Times New Roman"/>
                <w:b/>
              </w:rPr>
            </w:pPr>
            <w:r w:rsidRPr="009C1E28">
              <w:rPr>
                <w:rFonts w:ascii="Times New Roman" w:hAnsi="Times New Roman" w:cs="Times New Roman"/>
              </w:rPr>
              <w:t xml:space="preserve">50-65 </w:t>
            </w:r>
          </w:p>
        </w:tc>
        <w:tc>
          <w:tcPr>
            <w:tcW w:w="2948" w:type="pct"/>
          </w:tcPr>
          <w:p w:rsidR="009C1E28" w:rsidRPr="009C1E28" w:rsidRDefault="009C1E28" w:rsidP="009C1E28">
            <w:pPr>
              <w:keepNext/>
              <w:keepLines/>
              <w:spacing w:after="0"/>
              <w:ind w:left="34"/>
              <w:jc w:val="both"/>
              <w:rPr>
                <w:rFonts w:ascii="Times New Roman" w:hAnsi="Times New Roman" w:cs="Times New Roman"/>
                <w:b/>
              </w:rPr>
            </w:pPr>
            <w:r w:rsidRPr="009C1E28">
              <w:rPr>
                <w:rFonts w:ascii="Times New Roman" w:hAnsi="Times New Roman" w:cs="Times New Roman"/>
              </w:rPr>
              <w:t>800 mg/dnevno</w:t>
            </w:r>
          </w:p>
        </w:tc>
      </w:tr>
      <w:tr w:rsidR="009C1E28" w:rsidRPr="009C1E28" w:rsidTr="00E627E3">
        <w:trPr>
          <w:trHeight w:val="416"/>
        </w:trPr>
        <w:tc>
          <w:tcPr>
            <w:tcW w:w="2052" w:type="pct"/>
          </w:tcPr>
          <w:p w:rsidR="009C1E28" w:rsidRPr="009C1E28" w:rsidRDefault="009C1E28" w:rsidP="009C1E28">
            <w:pPr>
              <w:keepNext/>
              <w:keepLines/>
              <w:spacing w:after="0"/>
              <w:ind w:left="34"/>
              <w:jc w:val="both"/>
              <w:rPr>
                <w:rFonts w:ascii="Times New Roman" w:hAnsi="Times New Roman" w:cs="Times New Roman"/>
                <w:b/>
              </w:rPr>
            </w:pPr>
            <w:r w:rsidRPr="009C1E28">
              <w:rPr>
                <w:rFonts w:ascii="Times New Roman" w:hAnsi="Times New Roman" w:cs="Times New Roman"/>
              </w:rPr>
              <w:t xml:space="preserve">66-74 </w:t>
            </w:r>
          </w:p>
        </w:tc>
        <w:tc>
          <w:tcPr>
            <w:tcW w:w="2948" w:type="pct"/>
          </w:tcPr>
          <w:p w:rsidR="009C1E28" w:rsidRPr="009C1E28" w:rsidRDefault="009C1E28" w:rsidP="009C1E28">
            <w:pPr>
              <w:keepNext/>
              <w:keepLines/>
              <w:spacing w:after="0"/>
              <w:ind w:left="34"/>
              <w:jc w:val="both"/>
              <w:rPr>
                <w:rFonts w:ascii="Times New Roman" w:hAnsi="Times New Roman" w:cs="Times New Roman"/>
                <w:b/>
              </w:rPr>
            </w:pPr>
            <w:r w:rsidRPr="009C1E28">
              <w:rPr>
                <w:rFonts w:ascii="Times New Roman" w:hAnsi="Times New Roman" w:cs="Times New Roman"/>
              </w:rPr>
              <w:t>1000 mg/dnevno</w:t>
            </w:r>
          </w:p>
        </w:tc>
      </w:tr>
      <w:tr w:rsidR="009C1E28" w:rsidRPr="009C1E28" w:rsidTr="00E627E3">
        <w:trPr>
          <w:trHeight w:val="416"/>
        </w:trPr>
        <w:tc>
          <w:tcPr>
            <w:tcW w:w="2052" w:type="pct"/>
          </w:tcPr>
          <w:p w:rsidR="009C1E28" w:rsidRPr="009C1E28" w:rsidRDefault="009C1E28" w:rsidP="009C1E28">
            <w:pPr>
              <w:keepNext/>
              <w:keepLines/>
              <w:spacing w:after="0"/>
              <w:ind w:left="34"/>
              <w:jc w:val="both"/>
              <w:rPr>
                <w:rFonts w:ascii="Times New Roman" w:hAnsi="Times New Roman" w:cs="Times New Roman"/>
                <w:b/>
              </w:rPr>
            </w:pPr>
            <w:r w:rsidRPr="009C1E28">
              <w:rPr>
                <w:rFonts w:ascii="Times New Roman" w:hAnsi="Times New Roman" w:cs="Times New Roman"/>
              </w:rPr>
              <w:t>≥75</w:t>
            </w:r>
          </w:p>
        </w:tc>
        <w:tc>
          <w:tcPr>
            <w:tcW w:w="2948" w:type="pct"/>
          </w:tcPr>
          <w:p w:rsidR="009C1E28" w:rsidRPr="009C1E28" w:rsidRDefault="009C1E28" w:rsidP="009C1E28">
            <w:pPr>
              <w:keepNext/>
              <w:keepLines/>
              <w:spacing w:after="0"/>
              <w:ind w:left="34"/>
              <w:jc w:val="both"/>
              <w:rPr>
                <w:rFonts w:ascii="Times New Roman" w:hAnsi="Times New Roman" w:cs="Times New Roman"/>
                <w:b/>
              </w:rPr>
            </w:pPr>
            <w:r w:rsidRPr="009C1E28">
              <w:rPr>
                <w:rFonts w:ascii="Times New Roman" w:hAnsi="Times New Roman" w:cs="Times New Roman"/>
              </w:rPr>
              <w:t>1200 mg/dnevno</w:t>
            </w:r>
          </w:p>
        </w:tc>
      </w:tr>
    </w:tbl>
    <w:p w:rsidR="009C1E28" w:rsidRPr="009C1E28" w:rsidRDefault="009C1E28" w:rsidP="009C1E28">
      <w:pPr>
        <w:pStyle w:val="TableFooter"/>
        <w:tabs>
          <w:tab w:val="clear" w:pos="360"/>
          <w:tab w:val="left" w:pos="142"/>
        </w:tabs>
        <w:spacing w:after="0"/>
        <w:ind w:left="0" w:firstLine="0"/>
        <w:jc w:val="both"/>
        <w:rPr>
          <w:sz w:val="22"/>
          <w:szCs w:val="22"/>
          <w:lang w:val="sr-Latn-CS"/>
        </w:rPr>
      </w:pPr>
      <w:r w:rsidRPr="009C1E28">
        <w:rPr>
          <w:sz w:val="22"/>
          <w:szCs w:val="22"/>
          <w:lang w:val="sr-Latn-CS"/>
        </w:rPr>
        <w:t xml:space="preserve">* </w:t>
      </w:r>
      <w:r w:rsidRPr="009C1E28">
        <w:rPr>
          <w:sz w:val="22"/>
          <w:szCs w:val="22"/>
        </w:rPr>
        <w:t>Ribavirin primijenjen peroralno u dvije podijeljene doze sa hranom</w:t>
      </w:r>
      <w:r w:rsidRPr="009C1E28">
        <w:rPr>
          <w:sz w:val="22"/>
          <w:szCs w:val="22"/>
          <w:lang w:val="sr-Latn-CS"/>
        </w:rPr>
        <w:t>.</w:t>
      </w:r>
    </w:p>
    <w:p w:rsidR="00C86693" w:rsidRDefault="00C86693" w:rsidP="009C1E28">
      <w:pPr>
        <w:keepNext/>
        <w:keepLines/>
        <w:spacing w:after="0"/>
        <w:jc w:val="both"/>
        <w:rPr>
          <w:rFonts w:ascii="Times New Roman" w:hAnsi="Times New Roman" w:cs="Times New Roman"/>
          <w:i/>
        </w:rPr>
      </w:pPr>
      <w:bookmarkStart w:id="1" w:name="_Ref332274077"/>
    </w:p>
    <w:p w:rsidR="009C1E28" w:rsidRPr="009C1E28" w:rsidRDefault="009C1E28" w:rsidP="009C1E28">
      <w:pPr>
        <w:keepNext/>
        <w:keepLines/>
        <w:spacing w:after="0"/>
        <w:jc w:val="both"/>
        <w:rPr>
          <w:rFonts w:ascii="Times New Roman" w:hAnsi="Times New Roman" w:cs="Times New Roman"/>
          <w:b/>
          <w:i/>
        </w:rPr>
      </w:pPr>
      <w:r w:rsidRPr="009C1E28">
        <w:rPr>
          <w:rFonts w:ascii="Times New Roman" w:hAnsi="Times New Roman" w:cs="Times New Roman"/>
          <w:i/>
        </w:rPr>
        <w:t>Promjena doze ribavirina kod odraslih koji uzimaju od 1000</w:t>
      </w:r>
      <w:r w:rsidRPr="009C1E28">
        <w:rPr>
          <w:rFonts w:ascii="Times New Roman" w:hAnsi="Times New Roman" w:cs="Times New Roman"/>
        </w:rPr>
        <w:t xml:space="preserve"> </w:t>
      </w:r>
      <w:r w:rsidRPr="009C1E28">
        <w:rPr>
          <w:rFonts w:ascii="Times New Roman" w:hAnsi="Times New Roman" w:cs="Times New Roman"/>
          <w:i/>
        </w:rPr>
        <w:t>do 1200 mg na dan</w:t>
      </w: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 xml:space="preserve">Ako se lijek Harvoni primjenjuje u kombinaciji sa ribavirinom i pacijent ima ozbiljnu neželjenu reakciju na lijek koja je potencijalno u vezi sa ribavirinom, dozu ribavirina treba promijeniti ili treba obustaviti primjenu lijeka, ako je to odgovarajuće, sve dok neželjena reakcija ne popusti ili dok se ne smanji njena težina. U tabeli </w:t>
      </w:r>
      <w:r w:rsidRPr="009C1E28">
        <w:rPr>
          <w:rFonts w:ascii="Times New Roman" w:hAnsi="Times New Roman" w:cs="Times New Roman"/>
        </w:rPr>
        <w:lastRenderedPageBreak/>
        <w:t>4 su navedene smjernice za promjenu doze i obustavljanje terapije na osnovu koncentracije hemoglobina i kardiološkog statusa pacijenta.</w:t>
      </w:r>
    </w:p>
    <w:p w:rsidR="009C1E28" w:rsidRPr="009C1E28" w:rsidRDefault="009C1E28" w:rsidP="009C1E28">
      <w:pPr>
        <w:spacing w:after="0"/>
        <w:jc w:val="both"/>
        <w:rPr>
          <w:rFonts w:ascii="Times New Roman" w:hAnsi="Times New Roman" w:cs="Times New Roman"/>
          <w:b/>
        </w:rPr>
      </w:pPr>
    </w:p>
    <w:p w:rsidR="009C1E28" w:rsidRDefault="009C1E28" w:rsidP="009C1E28">
      <w:pPr>
        <w:keepNext/>
        <w:keepLines/>
        <w:spacing w:after="0"/>
        <w:jc w:val="both"/>
        <w:rPr>
          <w:rFonts w:ascii="Times New Roman" w:hAnsi="Times New Roman" w:cs="Times New Roman"/>
          <w:b/>
        </w:rPr>
      </w:pPr>
      <w:bookmarkStart w:id="2" w:name="_Ref336433372"/>
      <w:r w:rsidRPr="0040710A">
        <w:rPr>
          <w:rFonts w:ascii="Times New Roman" w:hAnsi="Times New Roman" w:cs="Times New Roman"/>
          <w:b/>
        </w:rPr>
        <w:t xml:space="preserve">Tabela </w:t>
      </w:r>
      <w:bookmarkEnd w:id="1"/>
      <w:bookmarkEnd w:id="2"/>
      <w:r w:rsidRPr="0040710A">
        <w:rPr>
          <w:rFonts w:ascii="Times New Roman" w:hAnsi="Times New Roman" w:cs="Times New Roman"/>
          <w:b/>
        </w:rPr>
        <w:t>4: Smjernica za promjenu doze ribavirina kada se istovremeno primjenjuje sa lijekom Harvoni kod odraslih</w:t>
      </w:r>
    </w:p>
    <w:p w:rsidR="00F11E78" w:rsidRPr="0040710A" w:rsidRDefault="00F11E78" w:rsidP="009C1E28">
      <w:pPr>
        <w:keepNext/>
        <w:keepLines/>
        <w:spacing w:after="0"/>
        <w:jc w:val="both"/>
        <w:rPr>
          <w:rFonts w:ascii="Times New Roman" w:hAnsi="Times New Roman" w:cs="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1"/>
        <w:gridCol w:w="2995"/>
        <w:gridCol w:w="2689"/>
      </w:tblGrid>
      <w:tr w:rsidR="009C1E28" w:rsidRPr="009C1E28" w:rsidTr="0040710A">
        <w:trPr>
          <w:cantSplit/>
          <w:jc w:val="center"/>
        </w:trPr>
        <w:tc>
          <w:tcPr>
            <w:tcW w:w="3751" w:type="dxa"/>
          </w:tcPr>
          <w:p w:rsidR="009C1E28" w:rsidRPr="0040710A" w:rsidRDefault="009C1E28" w:rsidP="009C1E28">
            <w:pPr>
              <w:keepNext/>
              <w:keepLines/>
              <w:tabs>
                <w:tab w:val="left" w:pos="567"/>
              </w:tabs>
              <w:spacing w:after="0"/>
              <w:jc w:val="both"/>
              <w:rPr>
                <w:rFonts w:ascii="Times New Roman" w:hAnsi="Times New Roman" w:cs="Times New Roman"/>
                <w:b/>
              </w:rPr>
            </w:pPr>
            <w:r w:rsidRPr="0040710A">
              <w:rPr>
                <w:rFonts w:ascii="Times New Roman" w:hAnsi="Times New Roman" w:cs="Times New Roman"/>
                <w:b/>
              </w:rPr>
              <w:t>Laboratorijske vrijednosti</w:t>
            </w:r>
          </w:p>
        </w:tc>
        <w:tc>
          <w:tcPr>
            <w:tcW w:w="2995" w:type="dxa"/>
          </w:tcPr>
          <w:p w:rsidR="009C1E28" w:rsidRPr="0040710A" w:rsidRDefault="009C1E28" w:rsidP="009C1E28">
            <w:pPr>
              <w:keepNext/>
              <w:keepLines/>
              <w:tabs>
                <w:tab w:val="left" w:pos="567"/>
              </w:tabs>
              <w:spacing w:after="0"/>
              <w:jc w:val="both"/>
              <w:rPr>
                <w:rFonts w:ascii="Times New Roman" w:hAnsi="Times New Roman" w:cs="Times New Roman"/>
                <w:b/>
              </w:rPr>
            </w:pPr>
            <w:r w:rsidRPr="0040710A">
              <w:rPr>
                <w:rFonts w:ascii="Times New Roman" w:hAnsi="Times New Roman" w:cs="Times New Roman"/>
                <w:b/>
              </w:rPr>
              <w:t>Smanjiti dozu ribavirina na 600 mg na dan ako:</w:t>
            </w:r>
          </w:p>
        </w:tc>
        <w:tc>
          <w:tcPr>
            <w:tcW w:w="2689" w:type="dxa"/>
          </w:tcPr>
          <w:p w:rsidR="009C1E28" w:rsidRPr="0040710A" w:rsidRDefault="009C1E28" w:rsidP="009C1E28">
            <w:pPr>
              <w:keepNext/>
              <w:keepLines/>
              <w:tabs>
                <w:tab w:val="left" w:pos="567"/>
              </w:tabs>
              <w:spacing w:after="0"/>
              <w:jc w:val="both"/>
              <w:rPr>
                <w:rFonts w:ascii="Times New Roman" w:hAnsi="Times New Roman" w:cs="Times New Roman"/>
                <w:b/>
              </w:rPr>
            </w:pPr>
            <w:r w:rsidRPr="0040710A">
              <w:rPr>
                <w:rFonts w:ascii="Times New Roman" w:hAnsi="Times New Roman" w:cs="Times New Roman"/>
                <w:b/>
              </w:rPr>
              <w:t>Obustaviti ribavirin ako:</w:t>
            </w:r>
          </w:p>
        </w:tc>
      </w:tr>
      <w:tr w:rsidR="009C1E28" w:rsidRPr="009C1E28" w:rsidTr="0040710A">
        <w:trPr>
          <w:cantSplit/>
          <w:jc w:val="center"/>
        </w:trPr>
        <w:tc>
          <w:tcPr>
            <w:tcW w:w="3751"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Hemoglobin kod pacijenata koji nemaju srčanu bolest</w:t>
            </w:r>
          </w:p>
        </w:tc>
        <w:tc>
          <w:tcPr>
            <w:tcW w:w="2995"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&lt;10 g/dl</w:t>
            </w:r>
          </w:p>
        </w:tc>
        <w:tc>
          <w:tcPr>
            <w:tcW w:w="2689"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&lt;8,5 g/dl</w:t>
            </w:r>
          </w:p>
        </w:tc>
      </w:tr>
      <w:tr w:rsidR="009C1E28" w:rsidRPr="009C1E28" w:rsidTr="0040710A">
        <w:trPr>
          <w:cantSplit/>
          <w:jc w:val="center"/>
        </w:trPr>
        <w:tc>
          <w:tcPr>
            <w:tcW w:w="3751" w:type="dxa"/>
          </w:tcPr>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Hemoglobin kod pacijenata sa istorijom  stabilne  srčane  bolesti</w:t>
            </w:r>
          </w:p>
        </w:tc>
        <w:tc>
          <w:tcPr>
            <w:tcW w:w="2995" w:type="dxa"/>
          </w:tcPr>
          <w:p w:rsidR="009C1E28" w:rsidRPr="009C1E28" w:rsidRDefault="009C1E28" w:rsidP="0040710A">
            <w:pPr>
              <w:spacing w:after="0"/>
              <w:rPr>
                <w:rFonts w:ascii="Times New Roman" w:hAnsi="Times New Roman" w:cs="Times New Roman"/>
                <w:b/>
              </w:rPr>
            </w:pPr>
            <w:r w:rsidRPr="009C1E28">
              <w:rPr>
                <w:rFonts w:ascii="Times New Roman" w:hAnsi="Times New Roman" w:cs="Times New Roman"/>
              </w:rPr>
              <w:t>pad nivoa hemoglobina za ≥2 g/dl tokom bilo kojeg 4</w:t>
            </w:r>
            <w:r w:rsidRPr="009C1E28">
              <w:rPr>
                <w:rFonts w:ascii="Times New Roman" w:hAnsi="Times New Roman" w:cs="Times New Roman"/>
              </w:rPr>
              <w:noBreakHyphen/>
              <w:t>nedjeljnog perioda liječenja</w:t>
            </w:r>
          </w:p>
        </w:tc>
        <w:tc>
          <w:tcPr>
            <w:tcW w:w="2689" w:type="dxa"/>
          </w:tcPr>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&lt;12 g/dl uprkos smanjenju doze tokom 4 nedjelje</w:t>
            </w:r>
          </w:p>
        </w:tc>
      </w:tr>
    </w:tbl>
    <w:p w:rsidR="009C1E28" w:rsidRPr="009C1E28" w:rsidRDefault="009C1E28" w:rsidP="009C1E28">
      <w:pPr>
        <w:spacing w:after="0"/>
        <w:jc w:val="both"/>
        <w:rPr>
          <w:rFonts w:ascii="Times New Roman" w:hAnsi="Times New Roman" w:cs="Times New Roman"/>
          <w:b/>
        </w:rPr>
      </w:pP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Nakon što se prekine primjena ribavirina, bilo zbog poremećaja u laboratorijskim nalazima ili zbog kliničkih manifestacija, može se pokušati ponovno uvođenje ribavirina u dozi od 600 mg na dan, i dalje povećavanje doze do 800 mg na dan. Međutim, ne preporučuje se povećanje doze ribavirina na prvobitno propisanu dozu (1000 mg do 1200 mg na dan).</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spacing w:after="0"/>
        <w:jc w:val="both"/>
        <w:rPr>
          <w:rFonts w:ascii="Times New Roman" w:hAnsi="Times New Roman" w:cs="Times New Roman"/>
          <w:b/>
          <w:i/>
        </w:rPr>
      </w:pPr>
      <w:r w:rsidRPr="009C1E28">
        <w:rPr>
          <w:rFonts w:ascii="Times New Roman" w:hAnsi="Times New Roman" w:cs="Times New Roman"/>
          <w:i/>
        </w:rPr>
        <w:t>Pedijatrijska populacija uzrasta do 12 godina</w:t>
      </w: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Bezbjednost i efikasnost lijeka Harvoni kod pedijatrijskih pacijenata uzrasta do 12 godina nije utvrđena. Nijesu dostupni podaci za pedijatrijske pacijente uzrasta do 12 godina.</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i/>
        </w:rPr>
        <w:t>Propuštena doza</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Pacijente treba uputiti da treba da uzmu dodatnu tabletu ako se javi povraćanje u toku 5 časova od uzimanja lijeka. Ako se povraćanje javi nakon više od 5 časova od uzimanja lijeka, nije potrebna dodatna doza (vidjeti odjeljak 5.1).</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Ako se doza propusti u roku od 18 časova od predviđenog vremena uzimanja, pacijente treba uputiti da uzmu tabletu što prije, i da sljedeću dozu uzmu u uobičajeno vrijeme. Ako je prošlo više od 18 časova, pacijente treba uputiti da sačekaju i da sljedeću dozu uzmu u uobičajeno vrijeme. Pacijente treba uputiti da ne uzimaju dvostruku dozu.</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keepNext/>
        <w:keepLines/>
        <w:spacing w:after="0"/>
        <w:jc w:val="both"/>
        <w:rPr>
          <w:rFonts w:ascii="Times New Roman" w:hAnsi="Times New Roman" w:cs="Times New Roman"/>
          <w:b/>
          <w:i/>
        </w:rPr>
      </w:pPr>
      <w:r w:rsidRPr="009C1E28">
        <w:rPr>
          <w:rFonts w:ascii="Times New Roman" w:hAnsi="Times New Roman" w:cs="Times New Roman"/>
          <w:i/>
        </w:rPr>
        <w:t>Starije osobe</w:t>
      </w: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Nije potrebno prilagođavanje doze kod starijih pacijenata (vidjeti odjeljak 5.2).</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keepNext/>
        <w:keepLines/>
        <w:spacing w:after="0"/>
        <w:jc w:val="both"/>
        <w:rPr>
          <w:rFonts w:ascii="Times New Roman" w:hAnsi="Times New Roman" w:cs="Times New Roman"/>
          <w:b/>
          <w:i/>
        </w:rPr>
      </w:pPr>
      <w:r w:rsidRPr="009C1E28">
        <w:rPr>
          <w:rFonts w:ascii="Times New Roman" w:hAnsi="Times New Roman" w:cs="Times New Roman"/>
          <w:i/>
        </w:rPr>
        <w:t>Oštećenje bubrega</w:t>
      </w: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Nije potrebno prilagođavanje doze lijeka Harvoni kod pacijenata sa blagim ili umjerenim oštećenjem bubrega. Bezbjednost ledipasvira/sofosbuvira nije procijenjena kod pacijenata sa teškim oštećenjem bubrega (procijenjena brzina glomerularne filtracije [eGFR] &lt;30 ml/min/1,73 m</w:t>
      </w:r>
      <w:r w:rsidRPr="009C1E28">
        <w:rPr>
          <w:rFonts w:ascii="Times New Roman" w:hAnsi="Times New Roman" w:cs="Times New Roman"/>
          <w:vertAlign w:val="superscript"/>
        </w:rPr>
        <w:t>2</w:t>
      </w:r>
      <w:r w:rsidRPr="009C1E28">
        <w:rPr>
          <w:rFonts w:ascii="Times New Roman" w:hAnsi="Times New Roman" w:cs="Times New Roman"/>
        </w:rPr>
        <w:t>) ili završnim stadijumom bolesti bubrega (ESRD) koji zahtijeva hemodijalizu (vidjeti odjeljak 5.2).</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keepNext/>
        <w:keepLines/>
        <w:spacing w:after="0"/>
        <w:jc w:val="both"/>
        <w:rPr>
          <w:rFonts w:ascii="Times New Roman" w:hAnsi="Times New Roman" w:cs="Times New Roman"/>
          <w:b/>
          <w:i/>
        </w:rPr>
      </w:pPr>
      <w:r w:rsidRPr="009C1E28">
        <w:rPr>
          <w:rFonts w:ascii="Times New Roman" w:hAnsi="Times New Roman" w:cs="Times New Roman"/>
          <w:i/>
        </w:rPr>
        <w:lastRenderedPageBreak/>
        <w:t>Oštećenje jetre</w:t>
      </w: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Nije potrebno prilagođavanje doze lijeka Harvoni kod pacijenata sa blagim, umjerenim ili teškim oštećenjem jetre (Child</w:t>
      </w:r>
      <w:r w:rsidRPr="009C1E28">
        <w:rPr>
          <w:rFonts w:ascii="Times New Roman" w:hAnsi="Times New Roman" w:cs="Times New Roman"/>
        </w:rPr>
        <w:noBreakHyphen/>
        <w:t>Pugh</w:t>
      </w:r>
      <w:r w:rsidRPr="009C1E28">
        <w:rPr>
          <w:rFonts w:ascii="Times New Roman" w:hAnsi="Times New Roman" w:cs="Times New Roman"/>
        </w:rPr>
        <w:noBreakHyphen/>
        <w:t>Turcotte [CPT] klase A, B ili C) (vidjeti odjeljak 5.2). Bezbjednost i efikasnost ledipasvira/sofosbuvira ustanovljene su kod pacijenata sa dekompenzovanom cirozom (vidjeti odjeljak 5.1).</w:t>
      </w:r>
    </w:p>
    <w:p w:rsidR="009C1E28" w:rsidRPr="009C1E28" w:rsidRDefault="009C1E28" w:rsidP="009C1E28">
      <w:pPr>
        <w:keepNext/>
        <w:keepLines/>
        <w:spacing w:after="0"/>
        <w:jc w:val="both"/>
        <w:rPr>
          <w:rFonts w:ascii="Times New Roman" w:hAnsi="Times New Roman" w:cs="Times New Roman"/>
          <w:b/>
          <w:u w:val="single"/>
        </w:rPr>
      </w:pPr>
      <w:r w:rsidRPr="009C1E28">
        <w:rPr>
          <w:rFonts w:ascii="Times New Roman" w:hAnsi="Times New Roman" w:cs="Times New Roman"/>
          <w:u w:val="single"/>
        </w:rPr>
        <w:t>Način primjene</w:t>
      </w: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Za oralnu upotrebu.</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Pacijentima treba dati uputstvo da tabletu progutaju cijelu sa hranom ili bez nje. Zbog gorkog ukusa, ne preporučuje se žvakanje ili drobljenje film tablete (vidjeti odjeljak 5.2).</w:t>
      </w:r>
    </w:p>
    <w:p w:rsidR="009C1E28" w:rsidRPr="009C1E28" w:rsidRDefault="009C1E28" w:rsidP="009C1E28">
      <w:pPr>
        <w:spacing w:after="0"/>
        <w:jc w:val="both"/>
        <w:rPr>
          <w:rFonts w:ascii="Times New Roman" w:hAnsi="Times New Roman" w:cs="Times New Roman"/>
          <w:b/>
        </w:rPr>
      </w:pPr>
    </w:p>
    <w:p w:rsidR="009C1E28" w:rsidRPr="0040710A" w:rsidRDefault="009C1E28" w:rsidP="009C1E28">
      <w:pPr>
        <w:keepNext/>
        <w:keepLines/>
        <w:spacing w:after="0"/>
        <w:jc w:val="both"/>
        <w:rPr>
          <w:rFonts w:ascii="Times New Roman" w:hAnsi="Times New Roman" w:cs="Times New Roman"/>
          <w:b/>
        </w:rPr>
      </w:pPr>
      <w:r w:rsidRPr="0040710A">
        <w:rPr>
          <w:rFonts w:ascii="Times New Roman" w:hAnsi="Times New Roman" w:cs="Times New Roman"/>
          <w:b/>
        </w:rPr>
        <w:t>4.3</w:t>
      </w:r>
      <w:r w:rsidRPr="0040710A">
        <w:rPr>
          <w:rFonts w:ascii="Times New Roman" w:hAnsi="Times New Roman" w:cs="Times New Roman"/>
          <w:b/>
        </w:rPr>
        <w:tab/>
        <w:t>Kontraindikacije</w:t>
      </w:r>
    </w:p>
    <w:p w:rsidR="009C1E28" w:rsidRPr="009C1E28" w:rsidRDefault="009C1E28" w:rsidP="009C1E28">
      <w:pPr>
        <w:keepNext/>
        <w:keepLines/>
        <w:spacing w:after="0"/>
        <w:jc w:val="both"/>
        <w:rPr>
          <w:rFonts w:ascii="Times New Roman" w:hAnsi="Times New Roman" w:cs="Times New Roman"/>
          <w:b/>
        </w:rPr>
      </w:pP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Preosjetljivost na aktivne supstance ili na neku od pomoćnih supstanci navedenih u odjeljku 6.1.</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Istovremena primjena sa rosuvastatinom (vidjeti odjeljak 4.5).</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keepNext/>
        <w:keepLines/>
        <w:spacing w:after="0"/>
        <w:jc w:val="both"/>
        <w:rPr>
          <w:rFonts w:ascii="Times New Roman" w:hAnsi="Times New Roman" w:cs="Times New Roman"/>
          <w:b/>
          <w:u w:val="single"/>
        </w:rPr>
      </w:pPr>
      <w:r w:rsidRPr="009C1E28">
        <w:rPr>
          <w:rFonts w:ascii="Times New Roman" w:hAnsi="Times New Roman" w:cs="Times New Roman"/>
          <w:u w:val="single"/>
        </w:rPr>
        <w:t>Upotreba sa jakim P</w:t>
      </w:r>
      <w:r w:rsidRPr="009C1E28">
        <w:rPr>
          <w:rFonts w:ascii="Times New Roman" w:hAnsi="Times New Roman" w:cs="Times New Roman"/>
          <w:u w:val="single"/>
        </w:rPr>
        <w:noBreakHyphen/>
        <w:t>gp induktorima</w:t>
      </w: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Medicinski proizvodi koji su jaki induktori P</w:t>
      </w:r>
      <w:r w:rsidRPr="009C1E28">
        <w:rPr>
          <w:rFonts w:ascii="Times New Roman" w:hAnsi="Times New Roman" w:cs="Times New Roman"/>
        </w:rPr>
        <w:noBreakHyphen/>
        <w:t>glikoproteina (P</w:t>
      </w:r>
      <w:r w:rsidRPr="009C1E28">
        <w:rPr>
          <w:rFonts w:ascii="Times New Roman" w:hAnsi="Times New Roman" w:cs="Times New Roman"/>
        </w:rPr>
        <w:noBreakHyphen/>
        <w:t>gp) u crijevima (rifampicin, rifabutin, kantarion [</w:t>
      </w:r>
      <w:r w:rsidRPr="009C1E28">
        <w:rPr>
          <w:rFonts w:ascii="Times New Roman" w:hAnsi="Times New Roman" w:cs="Times New Roman"/>
          <w:i/>
        </w:rPr>
        <w:t>Hypericum perforatum</w:t>
      </w:r>
      <w:r w:rsidRPr="009C1E28">
        <w:rPr>
          <w:rFonts w:ascii="Times New Roman" w:hAnsi="Times New Roman" w:cs="Times New Roman"/>
        </w:rPr>
        <w:t>], karbamazepin, fenobarbital i fenitoin). Istovremena primjena će značajno smanjiti koncentraciju ledipasvira i sofosbuvira u plazmi, i može da dovede do gubitka efikasnosti lijeka Harvoni (vidjeti odjeljak 4.5).</w:t>
      </w:r>
    </w:p>
    <w:p w:rsidR="009C1E28" w:rsidRPr="009C1E28" w:rsidRDefault="009C1E28" w:rsidP="009C1E28">
      <w:pPr>
        <w:spacing w:after="0"/>
        <w:jc w:val="both"/>
        <w:rPr>
          <w:rFonts w:ascii="Times New Roman" w:hAnsi="Times New Roman" w:cs="Times New Roman"/>
          <w:b/>
        </w:rPr>
      </w:pPr>
    </w:p>
    <w:p w:rsidR="009C1E28" w:rsidRPr="00832433" w:rsidRDefault="009C1E28" w:rsidP="009C1E28">
      <w:pPr>
        <w:keepNext/>
        <w:keepLines/>
        <w:spacing w:after="0"/>
        <w:jc w:val="both"/>
        <w:rPr>
          <w:rFonts w:ascii="Times New Roman" w:hAnsi="Times New Roman" w:cs="Times New Roman"/>
          <w:b/>
        </w:rPr>
      </w:pPr>
      <w:r w:rsidRPr="00832433">
        <w:rPr>
          <w:rFonts w:ascii="Times New Roman" w:hAnsi="Times New Roman" w:cs="Times New Roman"/>
          <w:b/>
        </w:rPr>
        <w:t>4.4</w:t>
      </w:r>
      <w:r w:rsidRPr="00832433">
        <w:rPr>
          <w:rFonts w:ascii="Times New Roman" w:hAnsi="Times New Roman" w:cs="Times New Roman"/>
          <w:b/>
        </w:rPr>
        <w:tab/>
        <w:t>Posebna upozorenja i mjere opreza pri upotrebi lijeka</w:t>
      </w:r>
    </w:p>
    <w:p w:rsidR="009C1E28" w:rsidRPr="009C1E28" w:rsidRDefault="009C1E28" w:rsidP="009C1E28">
      <w:pPr>
        <w:keepNext/>
        <w:keepLines/>
        <w:spacing w:after="0"/>
        <w:jc w:val="both"/>
        <w:rPr>
          <w:rFonts w:ascii="Times New Roman" w:hAnsi="Times New Roman" w:cs="Times New Roman"/>
          <w:b/>
        </w:rPr>
      </w:pP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Lijek Harvoni se ne smije primjenjivati istovremeno sa drugim ljekovima koji sadrže sofosbuvir.</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keepNext/>
        <w:keepLines/>
        <w:spacing w:after="0"/>
        <w:jc w:val="both"/>
        <w:rPr>
          <w:rFonts w:ascii="Times New Roman" w:hAnsi="Times New Roman" w:cs="Times New Roman"/>
          <w:b/>
          <w:u w:val="single"/>
        </w:rPr>
      </w:pPr>
      <w:r w:rsidRPr="009C1E28">
        <w:rPr>
          <w:rFonts w:ascii="Times New Roman" w:hAnsi="Times New Roman" w:cs="Times New Roman"/>
          <w:u w:val="single"/>
        </w:rPr>
        <w:t>Aktivnost specifična za genotip</w:t>
      </w: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Za preporučene terapijske režime kod različitih genotipova HCV-a vidjeti odjeljak 4.2. Za virusološku i kliničku aktivnost specifičnu za genotip, vidjeti odjeljak 5.1.</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Klinički podaci koji podržavaju primjenu lijeka Harvoni kod odraslih inficiranih HCV-om genotipa 3 su ograničeni (vidjeti odjeljak 5.1). Relativna efikasnost 12</w:t>
      </w:r>
      <w:r w:rsidRPr="009C1E28">
        <w:rPr>
          <w:rFonts w:ascii="Times New Roman" w:hAnsi="Times New Roman" w:cs="Times New Roman"/>
        </w:rPr>
        <w:noBreakHyphen/>
        <w:t>nedjeljnog režima koji se sastoji od kombinacije ledipasvir/sofosbuvir + ribavarin u poređenju sa 24</w:t>
      </w:r>
      <w:r w:rsidRPr="009C1E28">
        <w:rPr>
          <w:rFonts w:ascii="Times New Roman" w:hAnsi="Times New Roman" w:cs="Times New Roman"/>
        </w:rPr>
        <w:noBreakHyphen/>
        <w:t>nedjeljnim režimom sofosbuvir + ribavirin nije ispitana. Konzervativna 24-nedjeljna terapija savjetuje se kod svih prethodno liječenih pacijenata sa genotipom 3 i pacijenata sa genotipom 3 i cirozom koji prethodno nijesu bili liječeni (vidjeti odjeljak 4.2). Kod infekcija genotipom 3, upotrebu lijeka Harvoni (uvijek u kombinaciji sa ribavirinom) treba razmotriti samo za pacijente za koje se smatra da imaju nizak rizik za nastanak kliničke progresije bolesti i koji nemaju alternativnu opciju za liječenje.</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Klinički podaci koji podržavaju primjenu lijeka Harvoni kod odraslih inficiranih HCV-om genotipa 2 i 6 su ograničeni (vidjeti odjeljak 5.1).</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keepNext/>
        <w:keepLines/>
        <w:spacing w:after="0"/>
        <w:jc w:val="both"/>
        <w:rPr>
          <w:rFonts w:ascii="Times New Roman" w:hAnsi="Times New Roman" w:cs="Times New Roman"/>
          <w:b/>
          <w:u w:val="single"/>
        </w:rPr>
      </w:pPr>
      <w:r w:rsidRPr="009C1E28">
        <w:rPr>
          <w:rFonts w:ascii="Times New Roman" w:hAnsi="Times New Roman" w:cs="Times New Roman"/>
          <w:u w:val="single"/>
        </w:rPr>
        <w:lastRenderedPageBreak/>
        <w:t>Teška bradikardija i srčani blok</w:t>
      </w: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Slučajevi teške bradikardije i srčanog bloka zabilježeni su kada se lijek Harvoni koristio istovremeno sa amjodaronom i sa drugim ljekovima koji smanjuju srčanu frekvenciju, ili bez njih. Mehanizam nije utvrđen.</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 xml:space="preserve">Istovremena primjena amjodarona bila je ograničena tokom kliničkog razvoja sofosbuvira uz direktno djelujuće antivirusne ljekove (eng. </w:t>
      </w:r>
      <w:r w:rsidRPr="009C1E28">
        <w:rPr>
          <w:rFonts w:ascii="Times New Roman" w:hAnsi="Times New Roman" w:cs="Times New Roman"/>
          <w:i/>
        </w:rPr>
        <w:t>direct-acting antivirals</w:t>
      </w:r>
      <w:r w:rsidRPr="009C1E28">
        <w:rPr>
          <w:rFonts w:ascii="Times New Roman" w:hAnsi="Times New Roman" w:cs="Times New Roman"/>
        </w:rPr>
        <w:t xml:space="preserve"> – DAA). Slučajevi su potencijalno opasni po život, pa se zato amjodaron smije koristiti samo kod pacijenata koji primaju lijek Harvoni u slučajevima kada se drugi alternativni antiaritmici ne podnose ili su kontraindikovani.</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Ako se istovremena primjena amjodarona smatra neophodnom, preporučuje se da se pacijent pažljivo prati na početku uzimanja lijeka Harvoni. Pacijente za koje je utvrđeno da su pod visokim rizikom od bradiaritmije treba kontinuirano pratiti tokom 48 časova u odgovarajućem kliničkom okruženju.</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Zbog dugog poluvremena eliminacije amjodarona, treba takođe sprovesti odgovarajuće praćenje pacijenata koji su prekinuli uzimanje amjodarona u toku nekoliko posljednjih mjeseci, a koji treba da započnu terapiju lijekom Harvoni.</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Sve pacijente koji primaju lijek Harvoni u kombinaciji sa amjodaronom i drugim ljekovima koji smanjuju srčanu frekvenciju, ili bez njih, treba takođe upozoriti na simptome bradikardije i srčanog bloka i treba ih posavjetovati da hitno potraže ljekarski savjet ukoliko osjete te simptome.</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keepNext/>
        <w:keepLines/>
        <w:spacing w:after="0"/>
        <w:jc w:val="both"/>
        <w:rPr>
          <w:rFonts w:ascii="Times New Roman" w:hAnsi="Times New Roman" w:cs="Times New Roman"/>
          <w:b/>
          <w:u w:val="single"/>
        </w:rPr>
      </w:pPr>
      <w:r w:rsidRPr="009C1E28">
        <w:rPr>
          <w:rFonts w:ascii="Times New Roman" w:hAnsi="Times New Roman" w:cs="Times New Roman"/>
          <w:u w:val="single"/>
        </w:rPr>
        <w:t>Liječenje pacijenata prethodno izloženih antivirusnim ljekovima sa direktnim djelovanjem na HCV</w:t>
      </w: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U većini slučajeva, kod pacijenata kod kojih je liječenje ledipasvirom/sofosbuvirom bilo neuspješno, uočena je selekcija mutacija rezistencije na inhibitor NS5A koje značajno smanjuju osjetljivost na ledipasvir (vidjeti odjeljak 5.1). Ograničeni podaci pokazuju da takve NS5A mutacije ne nestaju tokom dugoročnog praćenja. Trenutno nema podataka koji podržavaju efikasnost ponovnog liječenja režimom koji sadrži inhibitor NS5A kod pacijenata kod kojih su ledipasvir/sofosbuvir bili neuspješni. Slično tome, trenutno nema podataka koji podržavaju efikasnost inhibitora proteaze NS3/4A kod pacijenata kod kojih je prethodna terapija, koja je uključivala inhibitor proteaze NS3/4A, bila neuspješna. Zbog toga takvi pacijenti mogu da zavise od drugih klasa ljekova za uklanjanje infekcije HCV-om. Zbog toga treba razmotriti dugotrajnije liječenje pacijenata kod kojih su nesigurne opcije za dalje liječenje.</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spacing w:after="0"/>
        <w:jc w:val="both"/>
        <w:rPr>
          <w:rFonts w:ascii="Times New Roman" w:hAnsi="Times New Roman" w:cs="Times New Roman"/>
          <w:b/>
          <w:u w:val="single"/>
        </w:rPr>
      </w:pPr>
      <w:r w:rsidRPr="009C1E28">
        <w:rPr>
          <w:rFonts w:ascii="Times New Roman" w:hAnsi="Times New Roman" w:cs="Times New Roman"/>
          <w:u w:val="single"/>
        </w:rPr>
        <w:t>Oštećenje bubrega</w:t>
      </w: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Nije potrebno prilagođavanje doze lijeka Harvoni kod pacijenata sa blagim ili umjerenim oštećenjem bubrega. Bezbjednost lijeka Harvoni nije procijenjena kod pacijenata sa teškim oštećenjem bubrega (procijenjena brzina glomerularne filtracije [eGFR] &lt;30 ml/min/1,73 m</w:t>
      </w:r>
      <w:r w:rsidRPr="009C1E28">
        <w:rPr>
          <w:rFonts w:ascii="Times New Roman" w:hAnsi="Times New Roman" w:cs="Times New Roman"/>
          <w:vertAlign w:val="superscript"/>
        </w:rPr>
        <w:t>2</w:t>
      </w:r>
      <w:r w:rsidRPr="009C1E28">
        <w:rPr>
          <w:rFonts w:ascii="Times New Roman" w:hAnsi="Times New Roman" w:cs="Times New Roman"/>
        </w:rPr>
        <w:t>) ili završnim stadijumom bolesti bubrega (ESRD) koji zahtijeva hemodijalizu. Kad se lijek Harvoni primjenjuje u kombinaciji sa ribavirinom, pročitati takođe Sažetak karakteristika lijeka za ribavirin za pacijente sa klirensom kreatinina (CrCl) &lt;50 ml/min (vidjeti odjeljak 5.2).</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keepNext/>
        <w:keepLines/>
        <w:spacing w:after="0"/>
        <w:jc w:val="both"/>
        <w:rPr>
          <w:rFonts w:ascii="Times New Roman" w:hAnsi="Times New Roman" w:cs="Times New Roman"/>
          <w:b/>
          <w:u w:val="single"/>
        </w:rPr>
      </w:pPr>
      <w:r w:rsidRPr="009C1E28">
        <w:rPr>
          <w:rFonts w:ascii="Times New Roman" w:hAnsi="Times New Roman" w:cs="Times New Roman"/>
          <w:u w:val="single"/>
        </w:rPr>
        <w:t>Odrasli sa dekompenzovanom cirozom i/ili koji čekaju transplantaciju jetre ili poslije transplantacije jetre</w:t>
      </w: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 xml:space="preserve">Nije ispitana efikasnost ledipasvira/sofosbuvira kod pacijenata koji su inficirani genotipom 5 i genotipom 6 HCV-a i koji imaju dekompenzovanu cirozu jetre i/ili koji čekaju transplantaciju jetre ili su imali </w:t>
      </w:r>
      <w:r w:rsidRPr="009C1E28">
        <w:rPr>
          <w:rFonts w:ascii="Times New Roman" w:hAnsi="Times New Roman" w:cs="Times New Roman"/>
        </w:rPr>
        <w:lastRenderedPageBreak/>
        <w:t>transplantaciju. Liječenje lijekom Harvoni treba odrediti prema procjeni potencijalne koristi i rizika kod svakog pojedinačnog pacijenta.</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keepNext/>
        <w:keepLines/>
        <w:spacing w:after="0"/>
        <w:jc w:val="both"/>
        <w:rPr>
          <w:rFonts w:ascii="Times New Roman" w:hAnsi="Times New Roman" w:cs="Times New Roman"/>
          <w:b/>
          <w:u w:val="single"/>
        </w:rPr>
      </w:pPr>
      <w:r w:rsidRPr="009C1E28">
        <w:rPr>
          <w:rFonts w:ascii="Times New Roman" w:hAnsi="Times New Roman" w:cs="Times New Roman"/>
          <w:u w:val="single"/>
        </w:rPr>
        <w:t>Primjena sa umjerenim P</w:t>
      </w:r>
      <w:r w:rsidRPr="009C1E28">
        <w:rPr>
          <w:rFonts w:ascii="Times New Roman" w:hAnsi="Times New Roman" w:cs="Times New Roman"/>
        </w:rPr>
        <w:noBreakHyphen/>
      </w:r>
      <w:r w:rsidRPr="009C1E28">
        <w:rPr>
          <w:rFonts w:ascii="Times New Roman" w:hAnsi="Times New Roman" w:cs="Times New Roman"/>
          <w:u w:val="single"/>
        </w:rPr>
        <w:t>gp induktorima</w:t>
      </w: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Ljekovi koji su umjereni P</w:t>
      </w:r>
      <w:r w:rsidRPr="009C1E28">
        <w:rPr>
          <w:rFonts w:ascii="Times New Roman" w:hAnsi="Times New Roman" w:cs="Times New Roman"/>
        </w:rPr>
        <w:noBreakHyphen/>
        <w:t>gp induktori u crijevima (npr. okskarbazepin) mogu da smanje koncentraciju ledipasvira i sofosbuvira u plazmi, što može dovesti do smanjenog terapijskog efekta lijeka Harvoni. Ne preporučuje se istovremena primjena ovih ljekova i lijeka Harvoni (vidjeti odjeljak 4.5).</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keepNext/>
        <w:keepLines/>
        <w:spacing w:after="0"/>
        <w:jc w:val="both"/>
        <w:rPr>
          <w:rFonts w:ascii="Times New Roman" w:hAnsi="Times New Roman" w:cs="Times New Roman"/>
          <w:b/>
          <w:u w:val="single"/>
        </w:rPr>
      </w:pPr>
      <w:r w:rsidRPr="009C1E28">
        <w:rPr>
          <w:rFonts w:ascii="Times New Roman" w:hAnsi="Times New Roman" w:cs="Times New Roman"/>
          <w:u w:val="single"/>
        </w:rPr>
        <w:t>Primjena sa određenim antiretrovirusnim režimima liječenja HIV-a</w:t>
      </w: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Pokazalo se da lijek Harvoni povećava izloženost tenofoviru, naročito kada se upotrebljava zajedno sa režimom liječenja HIV-a koji sadrži tenofovir disoproksil fumarat i farmakokinetički pojačivač (ritonavir ili kobicistat). Bezbjednost tenofovir disoproksil fumarata kada se primjenjuje uz lijek Harvoni i farmakokinetički pojačivač nije ustanovljena. Potrebno je uzeti u obzir moguće rizike i koristi povezane sa istovremenom primjenom lijeka Harvoni i tablete sa fiksnom kombinacijom doza elvitegravira/kobicistata/emtricitabina/tenofovir disoproksil fumarata ili tenofovir disoproksil fumarata koji se daje zajedno sa pojačanim inhibitorom HIV proteaze (npr. atazanavirom ili darunavirom), naročito kod pacijenata sa povećanim rizikom od poremećaja funkcije bubrega. Pacijente koji primaju lijek Harvoni istovremeno sa kombinacijom elvitegravir/kobicistat/emtricitabin/tenofovir disoproksil fumarat ili sa tenofovir disoproksil fumaratom i pojačanim inhibitorom HIV proteaze treba pratiti zbog neželjenih reakcija na tenofovir. Pročitati Sažetak karakteristika lijeka za tenofovir disoproksil fumarat, emtricitabin/tenofovir disoproksil fumarat ili elvitegravir/kobicistat/emtricitabin/tenofovir disoproksil fumarat za preporuke o praćenju funkcije bubrega.</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keepNext/>
        <w:keepLines/>
        <w:spacing w:after="0"/>
        <w:jc w:val="both"/>
        <w:rPr>
          <w:rFonts w:ascii="Times New Roman" w:hAnsi="Times New Roman" w:cs="Times New Roman"/>
          <w:b/>
          <w:u w:val="single"/>
        </w:rPr>
      </w:pPr>
      <w:r w:rsidRPr="009C1E28">
        <w:rPr>
          <w:rFonts w:ascii="Times New Roman" w:hAnsi="Times New Roman" w:cs="Times New Roman"/>
          <w:u w:val="single"/>
        </w:rPr>
        <w:t>Primjena sa inhibitorima HMG</w:t>
      </w:r>
      <w:r w:rsidRPr="009C1E28">
        <w:rPr>
          <w:rFonts w:ascii="Times New Roman" w:hAnsi="Times New Roman" w:cs="Times New Roman"/>
          <w:u w:val="single"/>
        </w:rPr>
        <w:noBreakHyphen/>
        <w:t>CoA reduktaze</w:t>
      </w: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Istovremena upotreba lijeka Harvoni i inhibitora HMG</w:t>
      </w:r>
      <w:r w:rsidRPr="009C1E28">
        <w:rPr>
          <w:rFonts w:ascii="Times New Roman" w:hAnsi="Times New Roman" w:cs="Times New Roman"/>
        </w:rPr>
        <w:noBreakHyphen/>
        <w:t>CoA reduktaze (statina) može značajno povećati koncentraciju statina, što povećava rizik od miopatije i rabdomiolize (vidjeti odjeljak 4.5).</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keepNext/>
        <w:keepLines/>
        <w:spacing w:after="0"/>
        <w:jc w:val="both"/>
        <w:rPr>
          <w:rFonts w:ascii="Times New Roman" w:hAnsi="Times New Roman" w:cs="Times New Roman"/>
          <w:b/>
          <w:u w:val="single"/>
        </w:rPr>
      </w:pPr>
      <w:r w:rsidRPr="009C1E28">
        <w:rPr>
          <w:rFonts w:ascii="Times New Roman" w:hAnsi="Times New Roman" w:cs="Times New Roman"/>
          <w:u w:val="single"/>
        </w:rPr>
        <w:t>Istovremena infekcija HCV-om/HBV-om (virusom hepatitisa B)</w:t>
      </w: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Slučajevi reaktivacije virusa hepatitisa B (HBV), neki sa smrtnim ishodom, su prijavljeni tokom ili poslije tretmana antivirusnim ljekovima sa direktnim djelovanjem. Treba sprovoditi HBV skrining kod svih pacijenata prije početka liječenja. Pacijenti sa istovremenom infekcijom HBV-om/HCV-om su u riziku od reaktivacije HBV-a i zato iste treba pratiti i treba djelovati prema trenutnim kliničkim smjernicama.</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keepNext/>
        <w:keepLines/>
        <w:spacing w:after="0"/>
        <w:jc w:val="both"/>
        <w:rPr>
          <w:rFonts w:ascii="Times New Roman" w:hAnsi="Times New Roman" w:cs="Times New Roman"/>
          <w:b/>
          <w:u w:val="single"/>
        </w:rPr>
      </w:pPr>
      <w:r w:rsidRPr="009C1E28">
        <w:rPr>
          <w:rFonts w:ascii="Times New Roman" w:hAnsi="Times New Roman" w:cs="Times New Roman"/>
          <w:u w:val="single"/>
        </w:rPr>
        <w:t>Pedijatrijska populacija</w:t>
      </w: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Lijek Harvoni se ne preporučuje za upotrebu kod pedijatrijskih pacijenata uzrasta do 12 godina zato što njegova bezbjednost i efikasnost nijesu ustanovljene kod ove populacije.</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keepNext/>
        <w:keepLines/>
        <w:spacing w:after="0"/>
        <w:jc w:val="both"/>
        <w:rPr>
          <w:rFonts w:ascii="Times New Roman" w:hAnsi="Times New Roman" w:cs="Times New Roman"/>
          <w:b/>
          <w:u w:val="single"/>
        </w:rPr>
      </w:pPr>
      <w:r w:rsidRPr="009C1E28">
        <w:rPr>
          <w:rFonts w:ascii="Times New Roman" w:hAnsi="Times New Roman" w:cs="Times New Roman"/>
          <w:u w:val="single"/>
        </w:rPr>
        <w:t>Pomoćne supstance</w:t>
      </w: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 xml:space="preserve">Lijek Harvoni sadrži azo boju </w:t>
      </w:r>
      <w:r w:rsidRPr="009C1E28">
        <w:rPr>
          <w:rFonts w:ascii="Times New Roman" w:hAnsi="Times New Roman" w:cs="Times New Roman"/>
          <w:i/>
        </w:rPr>
        <w:t>sunset yellow FCF aluminium lake (E110)</w:t>
      </w:r>
      <w:r w:rsidRPr="009C1E28">
        <w:rPr>
          <w:rFonts w:ascii="Times New Roman" w:hAnsi="Times New Roman" w:cs="Times New Roman"/>
        </w:rPr>
        <w:t>, koja može da izazove alergijske reakcije. Isti, takođe, sadrži laktozu. Zbog toga pacijenti sa rijetkim nasljednim poremećajima intolerancije na galaktozu, nedostatkom Lapp laktaze ili sa glukozno-galaktoznom malapsorpcijom ne smiju koristiti ovaj lijek.</w:t>
      </w:r>
    </w:p>
    <w:p w:rsidR="009C1E28" w:rsidRPr="009C1E28" w:rsidRDefault="009C1E28" w:rsidP="009C1E28">
      <w:pPr>
        <w:spacing w:after="0"/>
        <w:jc w:val="both"/>
        <w:rPr>
          <w:rFonts w:ascii="Times New Roman" w:hAnsi="Times New Roman" w:cs="Times New Roman"/>
          <w:b/>
        </w:rPr>
      </w:pPr>
    </w:p>
    <w:p w:rsidR="009C1E28" w:rsidRPr="00832433" w:rsidRDefault="009C1E28" w:rsidP="009C1E28">
      <w:pPr>
        <w:keepNext/>
        <w:keepLines/>
        <w:spacing w:after="0"/>
        <w:ind w:left="567" w:hanging="567"/>
        <w:jc w:val="both"/>
        <w:rPr>
          <w:rFonts w:ascii="Times New Roman" w:hAnsi="Times New Roman" w:cs="Times New Roman"/>
          <w:b/>
        </w:rPr>
      </w:pPr>
      <w:r w:rsidRPr="00832433">
        <w:rPr>
          <w:rFonts w:ascii="Times New Roman" w:hAnsi="Times New Roman" w:cs="Times New Roman"/>
          <w:b/>
        </w:rPr>
        <w:lastRenderedPageBreak/>
        <w:t>4.5</w:t>
      </w:r>
      <w:r w:rsidRPr="00832433">
        <w:rPr>
          <w:rFonts w:ascii="Times New Roman" w:hAnsi="Times New Roman" w:cs="Times New Roman"/>
          <w:b/>
        </w:rPr>
        <w:tab/>
        <w:t>Interakcije sa drugim ljekovima i druge vrste interakcija</w:t>
      </w:r>
    </w:p>
    <w:p w:rsidR="009C1E28" w:rsidRPr="009C1E28" w:rsidRDefault="009C1E28" w:rsidP="009C1E28">
      <w:pPr>
        <w:keepNext/>
        <w:keepLines/>
        <w:spacing w:after="0"/>
        <w:jc w:val="both"/>
        <w:rPr>
          <w:rFonts w:ascii="Times New Roman" w:hAnsi="Times New Roman" w:cs="Times New Roman"/>
          <w:b/>
        </w:rPr>
      </w:pPr>
    </w:p>
    <w:p w:rsidR="009C1E28" w:rsidRDefault="009C1E28" w:rsidP="009C1E28">
      <w:pPr>
        <w:spacing w:after="0"/>
        <w:jc w:val="both"/>
        <w:rPr>
          <w:rFonts w:ascii="Times New Roman" w:hAnsi="Times New Roman" w:cs="Times New Roman"/>
          <w:shd w:val="clear" w:color="auto" w:fill="FFFFFF"/>
        </w:rPr>
      </w:pPr>
      <w:r w:rsidRPr="009C1E28">
        <w:rPr>
          <w:rFonts w:ascii="Times New Roman" w:hAnsi="Times New Roman" w:cs="Times New Roman"/>
          <w:shd w:val="clear" w:color="auto" w:fill="FFFFFF"/>
        </w:rPr>
        <w:t>Budući da lijek Harvoni sadrži ledipasvir i sofosbuvir, sve interakcije koje su utvrđene za ove dvije aktivne supstance zasebno, mogu nastati i sa lijekom Harvoni.</w:t>
      </w:r>
    </w:p>
    <w:p w:rsidR="00F11E78" w:rsidRPr="00CD7765" w:rsidRDefault="00F11E78" w:rsidP="009C1E28">
      <w:pPr>
        <w:spacing w:after="0"/>
        <w:jc w:val="both"/>
        <w:rPr>
          <w:rFonts w:ascii="Times New Roman" w:hAnsi="Times New Roman" w:cs="Times New Roman"/>
          <w:b/>
          <w:shd w:val="clear" w:color="auto" w:fill="FFFFFF"/>
        </w:rPr>
      </w:pPr>
    </w:p>
    <w:p w:rsidR="00AE75B3" w:rsidRPr="00F11E78" w:rsidRDefault="009C1E28" w:rsidP="00F11E78">
      <w:pPr>
        <w:keepNext/>
        <w:keepLines/>
        <w:spacing w:after="0"/>
        <w:jc w:val="both"/>
        <w:rPr>
          <w:rFonts w:ascii="Times New Roman" w:hAnsi="Times New Roman" w:cs="Times New Roman"/>
          <w:b/>
          <w:u w:val="single"/>
        </w:rPr>
      </w:pPr>
      <w:r w:rsidRPr="009C1E28">
        <w:rPr>
          <w:rFonts w:ascii="Times New Roman" w:hAnsi="Times New Roman" w:cs="Times New Roman"/>
          <w:u w:val="single"/>
        </w:rPr>
        <w:t>Mogućnost uticaja lijeka Harvoni na druge ljekove</w:t>
      </w: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 xml:space="preserve">Ledipasvir je </w:t>
      </w:r>
      <w:r w:rsidRPr="009C1E28">
        <w:rPr>
          <w:rFonts w:ascii="Times New Roman" w:hAnsi="Times New Roman" w:cs="Times New Roman"/>
          <w:i/>
        </w:rPr>
        <w:t>in vitro</w:t>
      </w:r>
      <w:r w:rsidRPr="009C1E28">
        <w:rPr>
          <w:rFonts w:ascii="Times New Roman" w:hAnsi="Times New Roman" w:cs="Times New Roman"/>
        </w:rPr>
        <w:t xml:space="preserve"> inhibitor transportera ljekova P</w:t>
      </w:r>
      <w:r w:rsidRPr="009C1E28">
        <w:rPr>
          <w:rFonts w:ascii="Times New Roman" w:hAnsi="Times New Roman" w:cs="Times New Roman"/>
        </w:rPr>
        <w:noBreakHyphen/>
        <w:t xml:space="preserve">gp i proteina rezistencije na karcinom dojke (eng. </w:t>
      </w:r>
      <w:r w:rsidRPr="009C1E28">
        <w:rPr>
          <w:rFonts w:ascii="Times New Roman" w:hAnsi="Times New Roman" w:cs="Times New Roman"/>
          <w:i/>
        </w:rPr>
        <w:t>breast cancer resistance protein</w:t>
      </w:r>
      <w:r w:rsidRPr="009C1E28">
        <w:rPr>
          <w:rFonts w:ascii="Times New Roman" w:hAnsi="Times New Roman" w:cs="Times New Roman"/>
        </w:rPr>
        <w:t>, BCRP) i može da poveća crijevnu resorpciju istovremeno primijenjenih supstrata ovih transportera.</w:t>
      </w:r>
    </w:p>
    <w:p w:rsidR="009C1E28" w:rsidRPr="009C1E28" w:rsidRDefault="009C1E28" w:rsidP="009C1E28">
      <w:pPr>
        <w:spacing w:after="0"/>
        <w:jc w:val="both"/>
        <w:rPr>
          <w:rFonts w:ascii="Times New Roman" w:hAnsi="Times New Roman" w:cs="Times New Roman"/>
          <w:b/>
        </w:rPr>
      </w:pPr>
    </w:p>
    <w:p w:rsidR="00AE75B3" w:rsidRPr="00F11E78" w:rsidRDefault="009C1E28" w:rsidP="00F11E78">
      <w:pPr>
        <w:keepNext/>
        <w:keepLines/>
        <w:spacing w:after="0"/>
        <w:jc w:val="both"/>
        <w:rPr>
          <w:rFonts w:ascii="Times New Roman" w:hAnsi="Times New Roman" w:cs="Times New Roman"/>
          <w:b/>
          <w:u w:val="single"/>
        </w:rPr>
      </w:pPr>
      <w:r w:rsidRPr="009C1E28">
        <w:rPr>
          <w:rFonts w:ascii="Times New Roman" w:hAnsi="Times New Roman" w:cs="Times New Roman"/>
          <w:u w:val="single"/>
        </w:rPr>
        <w:t>Mogućnost uticaja drugih ljekova na lijek Harvoni</w:t>
      </w: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Ledipasvir i sofosbuvir supstrati su transportera ljekova P</w:t>
      </w:r>
      <w:r w:rsidRPr="009C1E28">
        <w:rPr>
          <w:rFonts w:ascii="Times New Roman" w:hAnsi="Times New Roman" w:cs="Times New Roman"/>
        </w:rPr>
        <w:noBreakHyphen/>
        <w:t>gp i BCRP, dok GS</w:t>
      </w:r>
      <w:r w:rsidRPr="009C1E28">
        <w:rPr>
          <w:rFonts w:ascii="Times New Roman" w:hAnsi="Times New Roman" w:cs="Times New Roman"/>
        </w:rPr>
        <w:noBreakHyphen/>
        <w:t>331007 to nije.</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Ljekovi koji su jaki induktori P</w:t>
      </w:r>
      <w:r w:rsidRPr="009C1E28">
        <w:rPr>
          <w:rFonts w:ascii="Times New Roman" w:hAnsi="Times New Roman" w:cs="Times New Roman"/>
        </w:rPr>
        <w:noBreakHyphen/>
        <w:t>gp (npr. rifampicin, rifambutin, kantarion, karbamazepin, fenobarbital i fenitoin) mogu značajno da smanje koncentracije ledipasvira i sofosbuvira u plazmi i tako da dovedu do smanjenog terapijskog efekta ledipasvira/sofosbuvira, i zato su kontraindikovani za primjenu sa lijekom Harvoni (vidjeti odjeljak 4.3). Ljekovi koji su umjereni P</w:t>
      </w:r>
      <w:r w:rsidRPr="009C1E28">
        <w:rPr>
          <w:rFonts w:ascii="Times New Roman" w:hAnsi="Times New Roman" w:cs="Times New Roman"/>
        </w:rPr>
        <w:noBreakHyphen/>
        <w:t>gp induktori u crijevima (npr. okskarbazepin) mogu da smanje koncentraciju ledipasvira i sofosbuvira u plazmi, što može dovesti do smanjenog terapijskog efekta lijeka Harvoni. Ne preporučuje se istovremena primjena ovih ljekova i lijeka Harvoni (vidjeti odjeljak 4.4). Istovremena primjena sa ljekovima koji inhibiraju P</w:t>
      </w:r>
      <w:r w:rsidRPr="009C1E28">
        <w:rPr>
          <w:rFonts w:ascii="Times New Roman" w:hAnsi="Times New Roman" w:cs="Times New Roman"/>
        </w:rPr>
        <w:noBreakHyphen/>
        <w:t>gp i/ili BCRP može da poveća koncentracije ledipasvira i sofosbuvira u plazmi bez povećanja koncentracije GS</w:t>
      </w:r>
      <w:r w:rsidRPr="009C1E28">
        <w:rPr>
          <w:rFonts w:ascii="Times New Roman" w:hAnsi="Times New Roman" w:cs="Times New Roman"/>
        </w:rPr>
        <w:noBreakHyphen/>
        <w:t>331007 u plazmi; lijek Harvoni se može istovremeno primjenjivati sa inhibitorima P</w:t>
      </w:r>
      <w:r w:rsidRPr="009C1E28">
        <w:rPr>
          <w:rFonts w:ascii="Times New Roman" w:hAnsi="Times New Roman" w:cs="Times New Roman"/>
        </w:rPr>
        <w:noBreakHyphen/>
        <w:t>gp i/ili BCRP. Ne očekuju se klinički značajne interakcije ljekova sa ledipasvirom/sofosbuvirom posredovane enzimima CYP450 ili UGT1A1.</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spacing w:after="0"/>
        <w:jc w:val="both"/>
        <w:rPr>
          <w:rFonts w:ascii="Times New Roman" w:hAnsi="Times New Roman" w:cs="Times New Roman"/>
          <w:b/>
          <w:u w:val="single"/>
        </w:rPr>
      </w:pPr>
      <w:r w:rsidRPr="009C1E28">
        <w:rPr>
          <w:rFonts w:ascii="Times New Roman" w:hAnsi="Times New Roman" w:cs="Times New Roman"/>
          <w:u w:val="single"/>
        </w:rPr>
        <w:t>Pacijenti liječeni antagonistima vitamina K</w:t>
      </w: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Preporučuje se pažljivo praćenje vrijednosti Internacionalnog normalizovanog odnosa (INR) jer može doći do promjene funkcije jetre tokom liječenja lijekom Harvoni.</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keepNext/>
        <w:keepLines/>
        <w:spacing w:after="0"/>
        <w:jc w:val="both"/>
        <w:rPr>
          <w:rFonts w:ascii="Times New Roman" w:hAnsi="Times New Roman" w:cs="Times New Roman"/>
          <w:b/>
          <w:u w:val="single"/>
        </w:rPr>
      </w:pPr>
      <w:r w:rsidRPr="009C1E28">
        <w:rPr>
          <w:rFonts w:ascii="Times New Roman" w:hAnsi="Times New Roman" w:cs="Times New Roman"/>
          <w:u w:val="single"/>
        </w:rPr>
        <w:t>Interakcije između lijeka Harvoni i drugih ljekova</w:t>
      </w:r>
    </w:p>
    <w:p w:rsidR="009C1E28" w:rsidRDefault="009C1E28" w:rsidP="009C1E28">
      <w:pPr>
        <w:spacing w:after="0"/>
        <w:jc w:val="both"/>
        <w:rPr>
          <w:rFonts w:ascii="Times New Roman" w:hAnsi="Times New Roman" w:cs="Times New Roman"/>
        </w:rPr>
      </w:pPr>
      <w:r w:rsidRPr="009C1E28">
        <w:rPr>
          <w:rFonts w:ascii="Times New Roman" w:hAnsi="Times New Roman" w:cs="Times New Roman"/>
        </w:rPr>
        <w:t>U tabeli 5 nalazi se spisak ustanovljenih ili potencijalno klinički značajnih interakcija ljekova (gdje je 90%-ni interval povjerenja [IP] odnosa geometrijske srednje vrijednosti najmanjih kvadrata [GLSM] bio unutar „↔“, protezao se iznad „↑“, ili ispod „↓“ unaprijed određenih granica ekvivalencije). Opisane interakcije ljekova zasnivaju se na ispitivanjima sprovedenim sa ledipasvirom/sofosbuvirom, ili ledipasvirom i sofosbuvirom kao pojedinačnim supstancama, ili su predviđene interakcije ljekova koje mogu da nastanu sa ledipasvirom/sofosbuvirom. Tabela nije sveobuhvatna.</w:t>
      </w:r>
    </w:p>
    <w:p w:rsidR="005037F4" w:rsidRDefault="005037F4" w:rsidP="009C1E28">
      <w:pPr>
        <w:spacing w:after="0"/>
        <w:jc w:val="both"/>
        <w:rPr>
          <w:rFonts w:ascii="Times New Roman" w:hAnsi="Times New Roman" w:cs="Times New Roman"/>
        </w:rPr>
      </w:pPr>
    </w:p>
    <w:p w:rsidR="00F11E78" w:rsidRDefault="00F11E78" w:rsidP="005037F4">
      <w:pPr>
        <w:spacing w:after="0"/>
        <w:jc w:val="both"/>
        <w:rPr>
          <w:rFonts w:ascii="Times New Roman" w:hAnsi="Times New Roman" w:cs="Times New Roman"/>
          <w:b/>
        </w:rPr>
      </w:pPr>
    </w:p>
    <w:p w:rsidR="00F11E78" w:rsidRDefault="00F11E78" w:rsidP="005037F4">
      <w:pPr>
        <w:spacing w:after="0"/>
        <w:jc w:val="both"/>
        <w:rPr>
          <w:rFonts w:ascii="Times New Roman" w:hAnsi="Times New Roman" w:cs="Times New Roman"/>
          <w:b/>
        </w:rPr>
      </w:pPr>
    </w:p>
    <w:p w:rsidR="00F11E78" w:rsidRDefault="00F11E78" w:rsidP="005037F4">
      <w:pPr>
        <w:spacing w:after="0"/>
        <w:jc w:val="both"/>
        <w:rPr>
          <w:rFonts w:ascii="Times New Roman" w:hAnsi="Times New Roman" w:cs="Times New Roman"/>
          <w:b/>
        </w:rPr>
      </w:pPr>
    </w:p>
    <w:p w:rsidR="00F11E78" w:rsidRDefault="00F11E78" w:rsidP="005037F4">
      <w:pPr>
        <w:spacing w:after="0"/>
        <w:jc w:val="both"/>
        <w:rPr>
          <w:rFonts w:ascii="Times New Roman" w:hAnsi="Times New Roman" w:cs="Times New Roman"/>
          <w:b/>
        </w:rPr>
      </w:pPr>
    </w:p>
    <w:p w:rsidR="00F11E78" w:rsidRDefault="00F11E78" w:rsidP="005037F4">
      <w:pPr>
        <w:spacing w:after="0"/>
        <w:jc w:val="both"/>
        <w:rPr>
          <w:rFonts w:ascii="Times New Roman" w:hAnsi="Times New Roman" w:cs="Times New Roman"/>
          <w:b/>
        </w:rPr>
      </w:pPr>
    </w:p>
    <w:p w:rsidR="00F11E78" w:rsidRDefault="00F11E78" w:rsidP="005037F4">
      <w:pPr>
        <w:spacing w:after="0"/>
        <w:jc w:val="both"/>
        <w:rPr>
          <w:rFonts w:ascii="Times New Roman" w:hAnsi="Times New Roman" w:cs="Times New Roman"/>
          <w:b/>
        </w:rPr>
      </w:pPr>
    </w:p>
    <w:p w:rsidR="00F11E78" w:rsidRDefault="00F11E78" w:rsidP="005037F4">
      <w:pPr>
        <w:spacing w:after="0"/>
        <w:jc w:val="both"/>
        <w:rPr>
          <w:rFonts w:ascii="Times New Roman" w:hAnsi="Times New Roman" w:cs="Times New Roman"/>
          <w:b/>
        </w:rPr>
      </w:pPr>
    </w:p>
    <w:p w:rsidR="005037F4" w:rsidRDefault="005037F4" w:rsidP="005037F4">
      <w:pPr>
        <w:spacing w:after="0"/>
        <w:jc w:val="both"/>
        <w:rPr>
          <w:rFonts w:ascii="Times New Roman" w:hAnsi="Times New Roman" w:cs="Times New Roman"/>
          <w:b/>
        </w:rPr>
      </w:pPr>
      <w:r w:rsidRPr="005037F4">
        <w:rPr>
          <w:rFonts w:ascii="Times New Roman" w:hAnsi="Times New Roman" w:cs="Times New Roman"/>
          <w:b/>
        </w:rPr>
        <w:lastRenderedPageBreak/>
        <w:t>Tabela 5: Interakcije između lijeka Harvoni i drugih ljekova</w:t>
      </w:r>
      <w:bookmarkStart w:id="3" w:name="_Ref329612707"/>
    </w:p>
    <w:p w:rsidR="00AE75B3" w:rsidRDefault="00AE75B3" w:rsidP="005037F4">
      <w:pPr>
        <w:spacing w:after="0"/>
        <w:jc w:val="both"/>
        <w:rPr>
          <w:rFonts w:ascii="Times New Roman" w:hAnsi="Times New Roman" w:cs="Times New Roman"/>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7"/>
        <w:gridCol w:w="2409"/>
        <w:gridCol w:w="4708"/>
      </w:tblGrid>
      <w:tr w:rsidR="00AE75B3" w:rsidRPr="00AE75B3" w:rsidTr="00F11E78">
        <w:trPr>
          <w:cantSplit/>
          <w:tblHeader/>
        </w:trPr>
        <w:tc>
          <w:tcPr>
            <w:tcW w:w="2517" w:type="dxa"/>
          </w:tcPr>
          <w:p w:rsidR="00AE75B3" w:rsidRPr="00AE75B3" w:rsidRDefault="00AE75B3" w:rsidP="00AE75B3">
            <w:pPr>
              <w:keepNext/>
              <w:keepLines/>
              <w:spacing w:after="0" w:line="240" w:lineRule="auto"/>
              <w:outlineLvl w:val="0"/>
              <w:rPr>
                <w:rFonts w:ascii="Times New Roman" w:eastAsia="Times New Roman" w:hAnsi="Times New Roman" w:cs="Times New Roman"/>
                <w:b/>
                <w:lang w:val="sr-Latn-CS" w:eastAsia="sr-Latn-CS" w:bidi="sr-Latn-CS"/>
              </w:rPr>
            </w:pPr>
            <w:r w:rsidRPr="00AE75B3">
              <w:rPr>
                <w:rFonts w:ascii="Times New Roman" w:eastAsia="Times New Roman" w:hAnsi="Times New Roman" w:cs="Times New Roman"/>
                <w:b/>
                <w:lang w:val="sr-Latn-CS" w:eastAsia="sr-Latn-CS" w:bidi="sr-Latn-CS"/>
              </w:rPr>
              <w:t>Ljekovi prema terapijskim oblastima</w:t>
            </w:r>
          </w:p>
        </w:tc>
        <w:tc>
          <w:tcPr>
            <w:tcW w:w="2409" w:type="dxa"/>
          </w:tcPr>
          <w:p w:rsidR="00AE75B3" w:rsidRPr="00AE75B3" w:rsidRDefault="00AE75B3" w:rsidP="00AE75B3">
            <w:pPr>
              <w:keepNext/>
              <w:keepLines/>
              <w:spacing w:after="0" w:line="240" w:lineRule="auto"/>
              <w:outlineLvl w:val="0"/>
              <w:rPr>
                <w:rFonts w:ascii="Times New Roman" w:eastAsia="Times New Roman" w:hAnsi="Times New Roman" w:cs="Times New Roman"/>
                <w:b/>
                <w:lang w:val="sr-Latn-CS" w:eastAsia="sr-Latn-CS" w:bidi="sr-Latn-CS"/>
              </w:rPr>
            </w:pPr>
            <w:r w:rsidRPr="00AE75B3">
              <w:rPr>
                <w:rFonts w:ascii="Times New Roman" w:eastAsia="Times New Roman" w:hAnsi="Times New Roman" w:cs="Times New Roman"/>
                <w:b/>
                <w:lang w:val="sr-Latn-CS" w:eastAsia="sr-Latn-CS" w:bidi="sr-Latn-CS"/>
              </w:rPr>
              <w:t>Efekti na nivoe ljekova.</w:t>
            </w:r>
          </w:p>
          <w:p w:rsidR="00AE75B3" w:rsidRPr="00AE75B3" w:rsidRDefault="00AE75B3" w:rsidP="00AE75B3">
            <w:pPr>
              <w:keepNext/>
              <w:keepLines/>
              <w:spacing w:after="0" w:line="240" w:lineRule="auto"/>
              <w:outlineLvl w:val="0"/>
              <w:rPr>
                <w:rFonts w:ascii="Times New Roman" w:eastAsia="Times New Roman" w:hAnsi="Times New Roman" w:cs="Times New Roman"/>
                <w:b/>
                <w:lang w:val="sr-Latn-CS" w:eastAsia="sr-Latn-CS" w:bidi="sr-Latn-CS"/>
              </w:rPr>
            </w:pPr>
            <w:r w:rsidRPr="00AE75B3">
              <w:rPr>
                <w:rFonts w:ascii="Times New Roman" w:eastAsia="Times New Roman" w:hAnsi="Times New Roman" w:cs="Times New Roman"/>
                <w:b/>
                <w:lang w:val="sr-Latn-CS" w:eastAsia="sr-Latn-CS" w:bidi="sr-Latn-CS"/>
              </w:rPr>
              <w:t>Srednja vrijednost odnosa (90%-ni interval povjerenja) za AUC, C</w:t>
            </w:r>
            <w:r w:rsidRPr="00AE75B3">
              <w:rPr>
                <w:rFonts w:ascii="Times New Roman" w:eastAsia="Times New Roman" w:hAnsi="Times New Roman" w:cs="Times New Roman"/>
                <w:b/>
                <w:vertAlign w:val="subscript"/>
                <w:lang w:val="sr-Latn-CS" w:eastAsia="sr-Latn-CS" w:bidi="sr-Latn-CS"/>
              </w:rPr>
              <w:t>max</w:t>
            </w:r>
            <w:r w:rsidRPr="00AE75B3">
              <w:rPr>
                <w:rFonts w:ascii="Times New Roman" w:eastAsia="Times New Roman" w:hAnsi="Times New Roman" w:cs="Times New Roman"/>
                <w:b/>
                <w:lang w:val="sr-Latn-CS" w:eastAsia="sr-Latn-CS" w:bidi="sr-Latn-CS"/>
              </w:rPr>
              <w:t>, C</w:t>
            </w:r>
            <w:r w:rsidRPr="00AE75B3">
              <w:rPr>
                <w:rFonts w:ascii="Times New Roman" w:eastAsia="Times New Roman" w:hAnsi="Times New Roman" w:cs="Times New Roman"/>
                <w:b/>
                <w:vertAlign w:val="subscript"/>
                <w:lang w:val="sr-Latn-CS" w:eastAsia="sr-Latn-CS" w:bidi="sr-Latn-CS"/>
              </w:rPr>
              <w:t>min</w:t>
            </w:r>
            <w:r w:rsidRPr="00AE75B3">
              <w:rPr>
                <w:rFonts w:ascii="Times New Roman" w:eastAsia="Times New Roman" w:hAnsi="Times New Roman" w:cs="Times New Roman"/>
                <w:b/>
                <w:vertAlign w:val="superscript"/>
                <w:lang w:val="sr-Latn-CS" w:eastAsia="sr-Latn-CS" w:bidi="sr-Latn-CS"/>
              </w:rPr>
              <w:t>a, b</w:t>
            </w:r>
          </w:p>
        </w:tc>
        <w:tc>
          <w:tcPr>
            <w:tcW w:w="4708" w:type="dxa"/>
          </w:tcPr>
          <w:p w:rsidR="00AE75B3" w:rsidRPr="00AE75B3" w:rsidRDefault="00AE75B3" w:rsidP="00AE75B3">
            <w:pPr>
              <w:keepNext/>
              <w:keepLines/>
              <w:spacing w:after="0" w:line="240" w:lineRule="auto"/>
              <w:outlineLvl w:val="0"/>
              <w:rPr>
                <w:rFonts w:ascii="Times New Roman" w:eastAsia="Times New Roman" w:hAnsi="Times New Roman" w:cs="Times New Roman"/>
                <w:b/>
                <w:lang w:val="sr-Latn-CS" w:eastAsia="sr-Latn-CS" w:bidi="sr-Latn-CS"/>
              </w:rPr>
            </w:pPr>
            <w:r w:rsidRPr="00AE75B3">
              <w:rPr>
                <w:rFonts w:ascii="Times New Roman" w:eastAsia="Times New Roman" w:hAnsi="Times New Roman" w:cs="Times New Roman"/>
                <w:b/>
                <w:lang w:val="sr-Latn-CS" w:eastAsia="sr-Latn-CS" w:bidi="sr-Latn-CS"/>
              </w:rPr>
              <w:t>Preporuke u vezi sa istovremenom primjenom lijeka Harvoni</w:t>
            </w:r>
          </w:p>
        </w:tc>
      </w:tr>
      <w:tr w:rsidR="00AE75B3" w:rsidRPr="00AE75B3" w:rsidTr="00F11E78">
        <w:tblPrEx>
          <w:tblLook w:val="0000" w:firstRow="0" w:lastRow="0" w:firstColumn="0" w:lastColumn="0" w:noHBand="0" w:noVBand="0"/>
        </w:tblPrEx>
        <w:trPr>
          <w:cantSplit/>
        </w:trPr>
        <w:tc>
          <w:tcPr>
            <w:tcW w:w="9634" w:type="dxa"/>
            <w:gridSpan w:val="3"/>
          </w:tcPr>
          <w:p w:rsidR="00AE75B3" w:rsidRPr="00AE75B3" w:rsidRDefault="00AE75B3" w:rsidP="00AE75B3">
            <w:pPr>
              <w:keepNext/>
              <w:keepLines/>
              <w:spacing w:after="0" w:line="240" w:lineRule="auto"/>
              <w:outlineLvl w:val="0"/>
              <w:rPr>
                <w:rFonts w:ascii="Times New Roman" w:eastAsia="Times New Roman" w:hAnsi="Times New Roman" w:cs="Times New Roman"/>
                <w:b/>
                <w:i/>
                <w:lang w:val="sr-Latn-CS" w:eastAsia="sr-Latn-CS" w:bidi="sr-Latn-CS"/>
              </w:rPr>
            </w:pPr>
            <w:r w:rsidRPr="00AE75B3">
              <w:rPr>
                <w:rFonts w:ascii="Times New Roman" w:eastAsia="Times New Roman" w:hAnsi="Times New Roman" w:cs="Times New Roman"/>
                <w:b/>
                <w:i/>
                <w:lang w:val="sr-Latn-CS" w:eastAsia="sr-Latn-CS" w:bidi="sr-Latn-CS"/>
              </w:rPr>
              <w:t>LJEKOVI KOJI SMANJUJU KISELOST</w:t>
            </w:r>
          </w:p>
        </w:tc>
      </w:tr>
      <w:tr w:rsidR="00AE75B3" w:rsidRPr="00AE75B3" w:rsidTr="00F11E78">
        <w:tblPrEx>
          <w:tblLook w:val="0000" w:firstRow="0" w:lastRow="0" w:firstColumn="0" w:lastColumn="0" w:noHBand="0" w:noVBand="0"/>
        </w:tblPrEx>
        <w:trPr>
          <w:cantSplit/>
        </w:trPr>
        <w:tc>
          <w:tcPr>
            <w:tcW w:w="4926" w:type="dxa"/>
            <w:gridSpan w:val="2"/>
          </w:tcPr>
          <w:p w:rsidR="00AE75B3" w:rsidRPr="00AE75B3" w:rsidRDefault="00AE75B3" w:rsidP="00AE75B3">
            <w:pPr>
              <w:keepNext/>
              <w:keepLines/>
              <w:spacing w:after="0" w:line="240" w:lineRule="auto"/>
              <w:outlineLvl w:val="0"/>
              <w:rPr>
                <w:rFonts w:ascii="Times New Roman" w:eastAsia="Times New Roman" w:hAnsi="Times New Roman" w:cs="Times New Roman"/>
                <w:lang w:val="sr-Latn-CS" w:eastAsia="sr-Latn-CS" w:bidi="sr-Latn-CS"/>
              </w:rPr>
            </w:pPr>
          </w:p>
        </w:tc>
        <w:tc>
          <w:tcPr>
            <w:tcW w:w="4708" w:type="dxa"/>
            <w:tcBorders>
              <w:bottom w:val="nil"/>
            </w:tcBorders>
          </w:tcPr>
          <w:p w:rsidR="00AE75B3" w:rsidRPr="00AE75B3" w:rsidRDefault="00AE75B3" w:rsidP="00AE75B3">
            <w:pPr>
              <w:spacing w:after="0" w:line="240" w:lineRule="auto"/>
              <w:outlineLvl w:val="0"/>
              <w:rPr>
                <w:rFonts w:ascii="Times New Roman" w:eastAsia="Times New Roman" w:hAnsi="Times New Roman" w:cs="Times New Roman"/>
                <w:b/>
                <w:lang w:val="sr-Latn-CS" w:eastAsia="sr-Latn-CS" w:bidi="sr-Latn-CS"/>
              </w:rPr>
            </w:pPr>
            <w:r w:rsidRPr="00AE75B3">
              <w:rPr>
                <w:rFonts w:ascii="Times New Roman" w:eastAsia="Times New Roman" w:hAnsi="Times New Roman" w:cs="Times New Roman"/>
                <w:lang w:val="sr-Latn-CS" w:eastAsia="sr-Latn-CS" w:bidi="sr-Latn-CS"/>
              </w:rPr>
              <w:t>Rastvorljivost ledipasvira smanjuje se sa povećanjem pH. Očekuje se da će ljekovi koji povećavaju želudačnu pH smanjiti koncentraciju ledipasvira.</w:t>
            </w:r>
          </w:p>
        </w:tc>
      </w:tr>
      <w:tr w:rsidR="00AE75B3" w:rsidRPr="00AE75B3" w:rsidTr="00F11E78">
        <w:tblPrEx>
          <w:tblLook w:val="0000" w:firstRow="0" w:lastRow="0" w:firstColumn="0" w:lastColumn="0" w:noHBand="0" w:noVBand="0"/>
        </w:tblPrEx>
        <w:trPr>
          <w:cantSplit/>
        </w:trPr>
        <w:tc>
          <w:tcPr>
            <w:tcW w:w="4926" w:type="dxa"/>
            <w:gridSpan w:val="2"/>
          </w:tcPr>
          <w:p w:rsidR="00AE75B3" w:rsidRPr="00AE75B3" w:rsidRDefault="00AE75B3" w:rsidP="00AE75B3">
            <w:pPr>
              <w:keepNext/>
              <w:keepLines/>
              <w:spacing w:after="0" w:line="240" w:lineRule="auto"/>
              <w:outlineLvl w:val="0"/>
              <w:rPr>
                <w:rFonts w:ascii="Times New Roman" w:eastAsia="Times New Roman" w:hAnsi="Times New Roman" w:cs="Times New Roman"/>
                <w:i/>
                <w:lang w:val="sr-Latn-CS" w:eastAsia="sr-Latn-CS" w:bidi="sr-Latn-CS"/>
              </w:rPr>
            </w:pPr>
            <w:r w:rsidRPr="00AE75B3">
              <w:rPr>
                <w:rFonts w:ascii="Times New Roman" w:eastAsia="Times New Roman" w:hAnsi="Times New Roman" w:cs="Times New Roman"/>
                <w:i/>
                <w:lang w:val="sr-Latn-CS" w:eastAsia="sr-Latn-CS" w:bidi="sr-Latn-CS"/>
              </w:rPr>
              <w:t>Antacidi</w:t>
            </w:r>
          </w:p>
        </w:tc>
        <w:tc>
          <w:tcPr>
            <w:tcW w:w="4708" w:type="dxa"/>
            <w:tcBorders>
              <w:top w:val="nil"/>
              <w:bottom w:val="nil"/>
            </w:tcBorders>
          </w:tcPr>
          <w:p w:rsidR="00AE75B3" w:rsidRPr="00AE75B3" w:rsidRDefault="00AE75B3" w:rsidP="00AE75B3">
            <w:pPr>
              <w:keepNext/>
              <w:keepLines/>
              <w:spacing w:after="0" w:line="240" w:lineRule="auto"/>
              <w:outlineLvl w:val="0"/>
              <w:rPr>
                <w:rFonts w:ascii="Times New Roman" w:eastAsia="Times New Roman" w:hAnsi="Times New Roman" w:cs="Times New Roman"/>
                <w:lang w:val="sr-Latn-CS" w:eastAsia="sr-Latn-CS" w:bidi="sr-Latn-CS"/>
              </w:rPr>
            </w:pPr>
          </w:p>
        </w:tc>
      </w:tr>
      <w:tr w:rsidR="00AE75B3" w:rsidRPr="00AE75B3" w:rsidTr="00F11E78">
        <w:tblPrEx>
          <w:tblLook w:val="0000" w:firstRow="0" w:lastRow="0" w:firstColumn="0" w:lastColumn="0" w:noHBand="0" w:noVBand="0"/>
        </w:tblPrEx>
        <w:trPr>
          <w:cantSplit/>
        </w:trPr>
        <w:tc>
          <w:tcPr>
            <w:tcW w:w="2517" w:type="dxa"/>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Npr. aluminijum ili magnezijum hidroksid; kalcijum karbonat</w:t>
            </w:r>
          </w:p>
        </w:tc>
        <w:tc>
          <w:tcPr>
            <w:tcW w:w="2409" w:type="dxa"/>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Interakcija nije ispitana.</w:t>
            </w:r>
          </w:p>
          <w:p w:rsidR="00AE75B3" w:rsidRPr="00AE75B3" w:rsidRDefault="00AE75B3" w:rsidP="00AE75B3">
            <w:pPr>
              <w:spacing w:after="0" w:line="240" w:lineRule="auto"/>
              <w:outlineLvl w:val="0"/>
              <w:rPr>
                <w:rFonts w:ascii="Times New Roman" w:eastAsia="Times New Roman" w:hAnsi="Times New Roman" w:cs="Times New Roman"/>
                <w:i/>
                <w:lang w:val="sr-Latn-CS" w:eastAsia="sr-Latn-CS" w:bidi="sr-Latn-CS"/>
              </w:rPr>
            </w:pPr>
            <w:r w:rsidRPr="00AE75B3">
              <w:rPr>
                <w:rFonts w:ascii="Times New Roman" w:eastAsia="Times New Roman" w:hAnsi="Times New Roman" w:cs="Times New Roman"/>
                <w:i/>
                <w:lang w:val="sr-Latn-CS" w:eastAsia="sr-Latn-CS" w:bidi="sr-Latn-CS"/>
              </w:rPr>
              <w:t>Očekivano:</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Ledipasvir</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Sofosbuvir</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GS</w:t>
            </w:r>
            <w:r w:rsidRPr="00AE75B3">
              <w:rPr>
                <w:rFonts w:ascii="Times New Roman" w:eastAsia="Times New Roman" w:hAnsi="Times New Roman" w:cs="Times New Roman"/>
                <w:b/>
                <w:lang w:val="sr-Latn-CS" w:eastAsia="sr-Latn-CS" w:bidi="sr-Latn-CS"/>
              </w:rPr>
              <w:noBreakHyphen/>
            </w:r>
            <w:r w:rsidRPr="00AE75B3">
              <w:rPr>
                <w:rFonts w:ascii="Times New Roman" w:eastAsia="Times New Roman" w:hAnsi="Times New Roman" w:cs="Times New Roman"/>
                <w:lang w:val="sr-Latn-CS" w:eastAsia="sr-Latn-CS" w:bidi="sr-Latn-CS"/>
              </w:rPr>
              <w:t>331007</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(Porast želudačne pH)</w:t>
            </w:r>
          </w:p>
        </w:tc>
        <w:tc>
          <w:tcPr>
            <w:tcW w:w="4708" w:type="dxa"/>
            <w:tcBorders>
              <w:top w:val="nil"/>
              <w:bottom w:val="single" w:sz="4" w:space="0" w:color="auto"/>
            </w:tcBorders>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Preporučuje se odvojena primjena antacida i lijeka Harvoni u razmaku od 4 sata.</w:t>
            </w:r>
          </w:p>
        </w:tc>
      </w:tr>
      <w:tr w:rsidR="00AE75B3" w:rsidRPr="00AE75B3" w:rsidTr="00F11E78">
        <w:tblPrEx>
          <w:tblLook w:val="0000" w:firstRow="0" w:lastRow="0" w:firstColumn="0" w:lastColumn="0" w:noHBand="0" w:noVBand="0"/>
        </w:tblPrEx>
        <w:trPr>
          <w:cantSplit/>
        </w:trPr>
        <w:tc>
          <w:tcPr>
            <w:tcW w:w="4926" w:type="dxa"/>
            <w:gridSpan w:val="2"/>
          </w:tcPr>
          <w:p w:rsidR="00AE75B3" w:rsidRPr="00AE75B3" w:rsidRDefault="00AE75B3" w:rsidP="00AE75B3">
            <w:pPr>
              <w:keepNext/>
              <w:keepLines/>
              <w:spacing w:after="0" w:line="240" w:lineRule="auto"/>
              <w:outlineLvl w:val="0"/>
              <w:rPr>
                <w:rFonts w:ascii="Times New Roman" w:eastAsia="Times New Roman" w:hAnsi="Times New Roman" w:cs="Times New Roman"/>
                <w:b/>
                <w:i/>
                <w:lang w:val="sr-Latn-CS" w:eastAsia="sr-Latn-CS" w:bidi="sr-Latn-CS"/>
              </w:rPr>
            </w:pPr>
            <w:r w:rsidRPr="00AE75B3">
              <w:rPr>
                <w:rFonts w:ascii="Times New Roman" w:eastAsia="Times New Roman" w:hAnsi="Times New Roman" w:cs="Times New Roman"/>
                <w:i/>
                <w:lang w:val="sr-Latn-CS" w:eastAsia="sr-Latn-CS" w:bidi="sr-Latn-CS"/>
              </w:rPr>
              <w:t>Antagonisti H</w:t>
            </w:r>
            <w:r w:rsidRPr="00AE75B3">
              <w:rPr>
                <w:rFonts w:ascii="Times New Roman" w:eastAsia="Times New Roman" w:hAnsi="Times New Roman" w:cs="Times New Roman"/>
                <w:i/>
                <w:vertAlign w:val="subscript"/>
                <w:lang w:val="sr-Latn-CS" w:eastAsia="sr-Latn-CS" w:bidi="sr-Latn-CS"/>
              </w:rPr>
              <w:t>2</w:t>
            </w:r>
            <w:r w:rsidRPr="00AE75B3">
              <w:rPr>
                <w:rFonts w:ascii="Times New Roman" w:eastAsia="Times New Roman" w:hAnsi="Times New Roman" w:cs="Times New Roman"/>
                <w:b/>
                <w:lang w:val="sr-Latn-CS" w:eastAsia="sr-Latn-CS" w:bidi="sr-Latn-CS"/>
              </w:rPr>
              <w:noBreakHyphen/>
            </w:r>
            <w:r w:rsidRPr="00AE75B3">
              <w:rPr>
                <w:rFonts w:ascii="Times New Roman" w:eastAsia="Times New Roman" w:hAnsi="Times New Roman" w:cs="Times New Roman"/>
                <w:i/>
                <w:lang w:val="sr-Latn-CS" w:eastAsia="sr-Latn-CS" w:bidi="sr-Latn-CS"/>
              </w:rPr>
              <w:t>receptora</w:t>
            </w:r>
          </w:p>
        </w:tc>
        <w:tc>
          <w:tcPr>
            <w:tcW w:w="4708" w:type="dxa"/>
            <w:tcBorders>
              <w:top w:val="nil"/>
              <w:bottom w:val="nil"/>
            </w:tcBorders>
          </w:tcPr>
          <w:p w:rsidR="00AE75B3" w:rsidRPr="00AE75B3" w:rsidRDefault="00AE75B3" w:rsidP="00AE75B3">
            <w:pPr>
              <w:keepNext/>
              <w:keepLines/>
              <w:spacing w:after="0" w:line="240" w:lineRule="auto"/>
              <w:outlineLvl w:val="0"/>
              <w:rPr>
                <w:rFonts w:ascii="Times New Roman" w:eastAsia="Times New Roman" w:hAnsi="Times New Roman" w:cs="Times New Roman"/>
                <w:lang w:val="sr-Latn-CS" w:eastAsia="sr-Latn-CS" w:bidi="sr-Latn-CS"/>
              </w:rPr>
            </w:pPr>
          </w:p>
        </w:tc>
      </w:tr>
      <w:tr w:rsidR="00AE75B3" w:rsidRPr="00AE75B3" w:rsidTr="00F11E78">
        <w:tblPrEx>
          <w:tblLook w:val="0000" w:firstRow="0" w:lastRow="0" w:firstColumn="0" w:lastColumn="0" w:noHBand="0" w:noVBand="0"/>
        </w:tblPrEx>
        <w:trPr>
          <w:cantSplit/>
          <w:trHeight w:val="3037"/>
        </w:trPr>
        <w:tc>
          <w:tcPr>
            <w:tcW w:w="2517" w:type="dxa"/>
            <w:tcBorders>
              <w:bottom w:val="dashSmallGap" w:sz="4" w:space="0" w:color="auto"/>
            </w:tcBorders>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Famotidin</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(40 mg pojedinačna doza)/ledipasvir (90 mg pojedinačna doza)</w:t>
            </w:r>
            <w:r w:rsidRPr="00AE75B3">
              <w:rPr>
                <w:rFonts w:ascii="Times New Roman" w:eastAsia="Times New Roman" w:hAnsi="Times New Roman" w:cs="Times New Roman"/>
                <w:vertAlign w:val="superscript"/>
                <w:lang w:val="sr-Latn-CS" w:eastAsia="sr-Latn-CS" w:bidi="sr-Latn-CS"/>
              </w:rPr>
              <w:t>c</w:t>
            </w:r>
            <w:r w:rsidRPr="00AE75B3">
              <w:rPr>
                <w:rFonts w:ascii="Times New Roman" w:eastAsia="Times New Roman" w:hAnsi="Times New Roman" w:cs="Times New Roman"/>
                <w:lang w:val="sr-Latn-CS" w:eastAsia="sr-Latn-CS" w:bidi="sr-Latn-CS"/>
              </w:rPr>
              <w:t>/sofosbuvir (400 mg pojedinačna doza)</w:t>
            </w:r>
            <w:r w:rsidRPr="00AE75B3">
              <w:rPr>
                <w:rFonts w:ascii="Times New Roman" w:eastAsia="Times New Roman" w:hAnsi="Times New Roman" w:cs="Times New Roman"/>
                <w:vertAlign w:val="superscript"/>
                <w:lang w:val="sr-Latn-CS" w:eastAsia="sr-Latn-CS" w:bidi="sr-Latn-CS"/>
              </w:rPr>
              <w:t>c, d</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Famotidin doziran istovremeno sa lijekom Harvoni</w:t>
            </w:r>
            <w:r w:rsidRPr="00AE75B3">
              <w:rPr>
                <w:rFonts w:ascii="Times New Roman" w:eastAsia="Times New Roman" w:hAnsi="Times New Roman" w:cs="Times New Roman"/>
                <w:vertAlign w:val="superscript"/>
                <w:lang w:val="sr-Latn-CS" w:eastAsia="sr-Latn-CS" w:bidi="sr-Latn-CS"/>
              </w:rPr>
              <w:t>d</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Cimetidin</w:t>
            </w:r>
            <w:r w:rsidRPr="00AE75B3">
              <w:rPr>
                <w:rFonts w:ascii="Times New Roman" w:eastAsia="Times New Roman" w:hAnsi="Times New Roman" w:cs="Times New Roman"/>
                <w:vertAlign w:val="superscript"/>
                <w:lang w:val="sr-Latn-CS" w:eastAsia="sr-Latn-CS" w:bidi="sr-Latn-CS"/>
              </w:rPr>
              <w:t>e</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Nizatidin</w:t>
            </w:r>
            <w:r w:rsidRPr="00AE75B3">
              <w:rPr>
                <w:rFonts w:ascii="Times New Roman" w:eastAsia="Times New Roman" w:hAnsi="Times New Roman" w:cs="Times New Roman"/>
                <w:vertAlign w:val="superscript"/>
                <w:lang w:val="sr-Latn-CS" w:eastAsia="sr-Latn-CS" w:bidi="sr-Latn-CS"/>
              </w:rPr>
              <w:t>e</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Ranitidin</w:t>
            </w:r>
            <w:r w:rsidRPr="00AE75B3">
              <w:rPr>
                <w:rFonts w:ascii="Times New Roman" w:eastAsia="Times New Roman" w:hAnsi="Times New Roman" w:cs="Times New Roman"/>
                <w:vertAlign w:val="superscript"/>
                <w:lang w:val="sr-Latn-CS" w:eastAsia="sr-Latn-CS" w:bidi="sr-Latn-CS"/>
              </w:rPr>
              <w:t>e</w:t>
            </w:r>
          </w:p>
        </w:tc>
        <w:tc>
          <w:tcPr>
            <w:tcW w:w="2409" w:type="dxa"/>
            <w:tcBorders>
              <w:bottom w:val="dashSmallGap" w:sz="4" w:space="0" w:color="auto"/>
            </w:tcBorders>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Ledipasvir</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max</w:t>
            </w:r>
            <w:r w:rsidRPr="00AE75B3">
              <w:rPr>
                <w:rFonts w:ascii="Times New Roman" w:eastAsia="Times New Roman" w:hAnsi="Times New Roman" w:cs="Times New Roman"/>
                <w:lang w:val="sr-Latn-CS" w:eastAsia="sr-Latn-CS" w:bidi="sr-Latn-CS"/>
              </w:rPr>
              <w:t xml:space="preserve"> 0,80 (0,69, 0,93)</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AUC 0,89 (0,76, 1,06)</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Sofosbuvir</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max</w:t>
            </w:r>
            <w:r w:rsidRPr="00AE75B3">
              <w:rPr>
                <w:rFonts w:ascii="Times New Roman" w:eastAsia="Times New Roman" w:hAnsi="Times New Roman" w:cs="Times New Roman"/>
                <w:lang w:val="sr-Latn-CS" w:eastAsia="sr-Latn-CS" w:bidi="sr-Latn-CS"/>
              </w:rPr>
              <w:t xml:space="preserve"> 1,15 (0,88, 1,50)</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AUC 1,11 (1,00, 1,24)</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GS</w:t>
            </w:r>
            <w:r w:rsidRPr="00AE75B3">
              <w:rPr>
                <w:rFonts w:ascii="Times New Roman" w:eastAsia="Times New Roman" w:hAnsi="Times New Roman" w:cs="Times New Roman"/>
                <w:b/>
                <w:lang w:val="sr-Latn-CS" w:eastAsia="sr-Latn-CS" w:bidi="sr-Latn-CS"/>
              </w:rPr>
              <w:noBreakHyphen/>
            </w:r>
            <w:r w:rsidRPr="00AE75B3">
              <w:rPr>
                <w:rFonts w:ascii="Times New Roman" w:eastAsia="Times New Roman" w:hAnsi="Times New Roman" w:cs="Times New Roman"/>
                <w:lang w:val="sr-Latn-CS" w:eastAsia="sr-Latn-CS" w:bidi="sr-Latn-CS"/>
              </w:rPr>
              <w:t>331007</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max</w:t>
            </w:r>
            <w:r w:rsidRPr="00AE75B3">
              <w:rPr>
                <w:rFonts w:ascii="Times New Roman" w:eastAsia="Times New Roman" w:hAnsi="Times New Roman" w:cs="Times New Roman"/>
                <w:lang w:val="sr-Latn-CS" w:eastAsia="sr-Latn-CS" w:bidi="sr-Latn-CS"/>
              </w:rPr>
              <w:t xml:space="preserve"> 1,06 (0,97, 1,14)</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AUC 1,06 (1,02, 1,11)</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(Porast želudačne pH)</w:t>
            </w:r>
          </w:p>
        </w:tc>
        <w:tc>
          <w:tcPr>
            <w:tcW w:w="4708" w:type="dxa"/>
            <w:vMerge w:val="restart"/>
            <w:tcBorders>
              <w:top w:val="nil"/>
              <w:bottom w:val="nil"/>
            </w:tcBorders>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Antagonisti H</w:t>
            </w:r>
            <w:r w:rsidRPr="00AE75B3">
              <w:rPr>
                <w:rFonts w:ascii="Times New Roman" w:eastAsia="Times New Roman" w:hAnsi="Times New Roman" w:cs="Times New Roman"/>
                <w:vertAlign w:val="subscript"/>
                <w:lang w:val="sr-Latn-CS" w:eastAsia="sr-Latn-CS" w:bidi="sr-Latn-CS"/>
              </w:rPr>
              <w:t>2</w:t>
            </w:r>
            <w:r w:rsidRPr="00AE75B3">
              <w:rPr>
                <w:rFonts w:ascii="Times New Roman" w:eastAsia="Times New Roman" w:hAnsi="Times New Roman" w:cs="Times New Roman"/>
                <w:b/>
                <w:lang w:val="sr-Latn-CS" w:eastAsia="sr-Latn-CS" w:bidi="sr-Latn-CS"/>
              </w:rPr>
              <w:noBreakHyphen/>
            </w:r>
            <w:r w:rsidRPr="00AE75B3">
              <w:rPr>
                <w:rFonts w:ascii="Times New Roman" w:eastAsia="Times New Roman" w:hAnsi="Times New Roman" w:cs="Times New Roman"/>
                <w:lang w:val="sr-Latn-CS" w:eastAsia="sr-Latn-CS" w:bidi="sr-Latn-CS"/>
              </w:rPr>
              <w:t>receptora mogu se primjenjivati istovremeno sa lijekom Harvoni ili u nekom vremenskom intervalu nakon uzimanja lijeka Harvoni u dozi koja ne prelazi doze uporedive sa dozom famotidina od 40 mg dva puta dnevno.</w:t>
            </w:r>
          </w:p>
        </w:tc>
      </w:tr>
      <w:tr w:rsidR="00AE75B3" w:rsidRPr="00AE75B3" w:rsidTr="00F11E78">
        <w:tblPrEx>
          <w:tblLook w:val="0000" w:firstRow="0" w:lastRow="0" w:firstColumn="0" w:lastColumn="0" w:noHBand="0" w:noVBand="0"/>
        </w:tblPrEx>
        <w:trPr>
          <w:cantSplit/>
          <w:trHeight w:val="2939"/>
        </w:trPr>
        <w:tc>
          <w:tcPr>
            <w:tcW w:w="2517" w:type="dxa"/>
            <w:tcBorders>
              <w:top w:val="dashSmallGap" w:sz="4" w:space="0" w:color="auto"/>
            </w:tcBorders>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lastRenderedPageBreak/>
              <w:t>Famotidin</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(40 mg pojedinačna doza)/ledipasvir (90 mg pojedinačna doza)</w:t>
            </w:r>
            <w:r w:rsidRPr="00AE75B3">
              <w:rPr>
                <w:rFonts w:ascii="Times New Roman" w:eastAsia="Times New Roman" w:hAnsi="Times New Roman" w:cs="Times New Roman"/>
                <w:vertAlign w:val="superscript"/>
                <w:lang w:val="sr-Latn-CS" w:eastAsia="sr-Latn-CS" w:bidi="sr-Latn-CS"/>
              </w:rPr>
              <w:t>c</w:t>
            </w:r>
            <w:r w:rsidRPr="00AE75B3">
              <w:rPr>
                <w:rFonts w:ascii="Times New Roman" w:eastAsia="Times New Roman" w:hAnsi="Times New Roman" w:cs="Times New Roman"/>
                <w:lang w:val="sr-Latn-CS" w:eastAsia="sr-Latn-CS" w:bidi="sr-Latn-CS"/>
              </w:rPr>
              <w:t>/sofosbuvir (400 mg pojedinačna doza)</w:t>
            </w:r>
            <w:r w:rsidRPr="00AE75B3">
              <w:rPr>
                <w:rFonts w:ascii="Times New Roman" w:eastAsia="Times New Roman" w:hAnsi="Times New Roman" w:cs="Times New Roman"/>
                <w:vertAlign w:val="superscript"/>
                <w:lang w:val="sr-Latn-CS" w:eastAsia="sr-Latn-CS" w:bidi="sr-Latn-CS"/>
              </w:rPr>
              <w:t>c, d</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Famotidin doziran 12 časova prije lijeka Harvoni</w:t>
            </w:r>
            <w:r w:rsidRPr="00AE75B3">
              <w:rPr>
                <w:rFonts w:ascii="Times New Roman" w:eastAsia="Times New Roman" w:hAnsi="Times New Roman" w:cs="Times New Roman"/>
                <w:vertAlign w:val="superscript"/>
                <w:lang w:val="sr-Latn-CS" w:eastAsia="sr-Latn-CS" w:bidi="sr-Latn-CS"/>
              </w:rPr>
              <w:t>d</w:t>
            </w:r>
          </w:p>
        </w:tc>
        <w:tc>
          <w:tcPr>
            <w:tcW w:w="2409" w:type="dxa"/>
            <w:tcBorders>
              <w:top w:val="dashSmallGap" w:sz="4" w:space="0" w:color="auto"/>
            </w:tcBorders>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Ledipasvir</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max</w:t>
            </w:r>
            <w:r w:rsidRPr="00AE75B3">
              <w:rPr>
                <w:rFonts w:ascii="Times New Roman" w:eastAsia="Times New Roman" w:hAnsi="Times New Roman" w:cs="Times New Roman"/>
                <w:lang w:val="sr-Latn-CS" w:eastAsia="sr-Latn-CS" w:bidi="sr-Latn-CS"/>
              </w:rPr>
              <w:t xml:space="preserve"> 0,83 (0,69, 1,00)</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AUC 0,98 (0,80, 1,20)</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Sofosbuvir</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max</w:t>
            </w:r>
            <w:r w:rsidRPr="00AE75B3">
              <w:rPr>
                <w:rFonts w:ascii="Times New Roman" w:eastAsia="Times New Roman" w:hAnsi="Times New Roman" w:cs="Times New Roman"/>
                <w:lang w:val="sr-Latn-CS" w:eastAsia="sr-Latn-CS" w:bidi="sr-Latn-CS"/>
              </w:rPr>
              <w:t xml:space="preserve"> 1,00 (0,76, 1,32)</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AUC 0,95 (0,82, 1,10)</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GS</w:t>
            </w:r>
            <w:r w:rsidRPr="00AE75B3">
              <w:rPr>
                <w:rFonts w:ascii="Times New Roman" w:eastAsia="Times New Roman" w:hAnsi="Times New Roman" w:cs="Times New Roman"/>
                <w:b/>
                <w:lang w:val="sr-Latn-CS" w:eastAsia="sr-Latn-CS" w:bidi="sr-Latn-CS"/>
              </w:rPr>
              <w:noBreakHyphen/>
            </w:r>
            <w:r w:rsidRPr="00AE75B3">
              <w:rPr>
                <w:rFonts w:ascii="Times New Roman" w:eastAsia="Times New Roman" w:hAnsi="Times New Roman" w:cs="Times New Roman"/>
                <w:lang w:val="sr-Latn-CS" w:eastAsia="sr-Latn-CS" w:bidi="sr-Latn-CS"/>
              </w:rPr>
              <w:t>331007</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max</w:t>
            </w:r>
            <w:r w:rsidRPr="00AE75B3">
              <w:rPr>
                <w:rFonts w:ascii="Times New Roman" w:eastAsia="Times New Roman" w:hAnsi="Times New Roman" w:cs="Times New Roman"/>
                <w:lang w:val="sr-Latn-CS" w:eastAsia="sr-Latn-CS" w:bidi="sr-Latn-CS"/>
              </w:rPr>
              <w:t xml:space="preserve"> 1,13 (1,07, 1,20)</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AUC 1,06 (1,01, 1,12)</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(Porast želudačne pH)</w:t>
            </w:r>
          </w:p>
        </w:tc>
        <w:tc>
          <w:tcPr>
            <w:tcW w:w="4708" w:type="dxa"/>
            <w:vMerge/>
            <w:tcBorders>
              <w:bottom w:val="nil"/>
            </w:tcBorders>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p>
        </w:tc>
      </w:tr>
      <w:tr w:rsidR="00AE75B3" w:rsidRPr="00AE75B3" w:rsidTr="00F11E78">
        <w:tblPrEx>
          <w:tblLook w:val="0000" w:firstRow="0" w:lastRow="0" w:firstColumn="0" w:lastColumn="0" w:noHBand="0" w:noVBand="0"/>
        </w:tblPrEx>
        <w:trPr>
          <w:cantSplit/>
        </w:trPr>
        <w:tc>
          <w:tcPr>
            <w:tcW w:w="4926" w:type="dxa"/>
            <w:gridSpan w:val="2"/>
          </w:tcPr>
          <w:p w:rsidR="00AE75B3" w:rsidRPr="00AE75B3" w:rsidRDefault="00AE75B3" w:rsidP="00AE75B3">
            <w:pPr>
              <w:keepNext/>
              <w:keepLines/>
              <w:spacing w:after="0" w:line="240" w:lineRule="auto"/>
              <w:outlineLvl w:val="0"/>
              <w:rPr>
                <w:rFonts w:ascii="Times New Roman" w:eastAsia="Times New Roman" w:hAnsi="Times New Roman" w:cs="Times New Roman"/>
                <w:b/>
                <w:i/>
                <w:lang w:val="sr-Latn-CS" w:eastAsia="sr-Latn-CS" w:bidi="sr-Latn-CS"/>
              </w:rPr>
            </w:pPr>
            <w:r w:rsidRPr="00AE75B3">
              <w:rPr>
                <w:rFonts w:ascii="Times New Roman" w:eastAsia="Times New Roman" w:hAnsi="Times New Roman" w:cs="Times New Roman"/>
                <w:i/>
                <w:lang w:val="sr-Latn-CS" w:eastAsia="sr-Latn-CS" w:bidi="sr-Latn-CS"/>
              </w:rPr>
              <w:t>Inhibitori protonske pumpe</w:t>
            </w:r>
          </w:p>
        </w:tc>
        <w:tc>
          <w:tcPr>
            <w:tcW w:w="4708" w:type="dxa"/>
            <w:tcBorders>
              <w:top w:val="nil"/>
              <w:bottom w:val="nil"/>
            </w:tcBorders>
          </w:tcPr>
          <w:p w:rsidR="00AE75B3" w:rsidRPr="00AE75B3" w:rsidRDefault="00AE75B3" w:rsidP="00AE75B3">
            <w:pPr>
              <w:keepNext/>
              <w:keepLines/>
              <w:spacing w:after="0" w:line="240" w:lineRule="auto"/>
              <w:outlineLvl w:val="0"/>
              <w:rPr>
                <w:rFonts w:ascii="Times New Roman" w:eastAsia="Times New Roman" w:hAnsi="Times New Roman" w:cs="Times New Roman"/>
                <w:lang w:val="sr-Latn-CS" w:eastAsia="sr-Latn-CS" w:bidi="sr-Latn-CS"/>
              </w:rPr>
            </w:pPr>
          </w:p>
        </w:tc>
      </w:tr>
      <w:tr w:rsidR="00AE75B3" w:rsidRPr="00AE75B3" w:rsidTr="00F11E78">
        <w:tblPrEx>
          <w:tblLook w:val="0000" w:firstRow="0" w:lastRow="0" w:firstColumn="0" w:lastColumn="0" w:noHBand="0" w:noVBand="0"/>
        </w:tblPrEx>
        <w:trPr>
          <w:cantSplit/>
        </w:trPr>
        <w:tc>
          <w:tcPr>
            <w:tcW w:w="2517" w:type="dxa"/>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Omeprazol</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(20 mg jednom dnevno)/ledipasvir (90 mg pojedinačna doza)</w:t>
            </w:r>
            <w:r w:rsidRPr="00AE75B3">
              <w:rPr>
                <w:rFonts w:ascii="Times New Roman" w:eastAsia="Times New Roman" w:hAnsi="Times New Roman" w:cs="Times New Roman"/>
                <w:vertAlign w:val="superscript"/>
                <w:lang w:val="sr-Latn-CS" w:eastAsia="sr-Latn-CS" w:bidi="sr-Latn-CS"/>
              </w:rPr>
              <w:t>c</w:t>
            </w:r>
            <w:r w:rsidRPr="00AE75B3">
              <w:rPr>
                <w:rFonts w:ascii="Times New Roman" w:eastAsia="Times New Roman" w:hAnsi="Times New Roman" w:cs="Times New Roman"/>
                <w:lang w:val="sr-Latn-CS" w:eastAsia="sr-Latn-CS" w:bidi="sr-Latn-CS"/>
              </w:rPr>
              <w:t>/sofosbuvir (400 mg pojedinačna doza)</w:t>
            </w:r>
            <w:r w:rsidRPr="00AE75B3">
              <w:rPr>
                <w:rFonts w:ascii="Times New Roman" w:eastAsia="Times New Roman" w:hAnsi="Times New Roman" w:cs="Times New Roman"/>
                <w:vertAlign w:val="superscript"/>
                <w:lang w:val="sr-Latn-CS" w:eastAsia="sr-Latn-CS" w:bidi="sr-Latn-CS"/>
              </w:rPr>
              <w:t>c,</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Omeprazol doziran istovremeno sa lijekom Harvoni</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Lansoprazol</w:t>
            </w:r>
            <w:r w:rsidRPr="00AE75B3">
              <w:rPr>
                <w:rFonts w:ascii="Times New Roman" w:eastAsia="Times New Roman" w:hAnsi="Times New Roman" w:cs="Times New Roman"/>
                <w:vertAlign w:val="superscript"/>
                <w:lang w:val="sr-Latn-CS" w:eastAsia="sr-Latn-CS" w:bidi="sr-Latn-CS"/>
              </w:rPr>
              <w:t>e</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Rabeprazol</w:t>
            </w:r>
            <w:r w:rsidRPr="00AE75B3">
              <w:rPr>
                <w:rFonts w:ascii="Times New Roman" w:eastAsia="Times New Roman" w:hAnsi="Times New Roman" w:cs="Times New Roman"/>
                <w:vertAlign w:val="superscript"/>
                <w:lang w:val="sr-Latn-CS" w:eastAsia="sr-Latn-CS" w:bidi="sr-Latn-CS"/>
              </w:rPr>
              <w:t>e</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Pantoprazol</w:t>
            </w:r>
            <w:r w:rsidRPr="00AE75B3">
              <w:rPr>
                <w:rFonts w:ascii="Times New Roman" w:eastAsia="Times New Roman" w:hAnsi="Times New Roman" w:cs="Times New Roman"/>
                <w:vertAlign w:val="superscript"/>
                <w:lang w:val="sr-Latn-CS" w:eastAsia="sr-Latn-CS" w:bidi="sr-Latn-CS"/>
              </w:rPr>
              <w:t>e</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Esomeprazol</w:t>
            </w:r>
            <w:r w:rsidRPr="00AE75B3">
              <w:rPr>
                <w:rFonts w:ascii="Times New Roman" w:eastAsia="Times New Roman" w:hAnsi="Times New Roman" w:cs="Times New Roman"/>
                <w:vertAlign w:val="superscript"/>
                <w:lang w:val="sr-Latn-CS" w:eastAsia="sr-Latn-CS" w:bidi="sr-Latn-CS"/>
              </w:rPr>
              <w:t>e</w:t>
            </w:r>
          </w:p>
        </w:tc>
        <w:tc>
          <w:tcPr>
            <w:tcW w:w="2409" w:type="dxa"/>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Ledipasvir</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max</w:t>
            </w:r>
            <w:r w:rsidRPr="00AE75B3">
              <w:rPr>
                <w:rFonts w:ascii="Times New Roman" w:eastAsia="Times New Roman" w:hAnsi="Times New Roman" w:cs="Times New Roman"/>
                <w:lang w:val="sr-Latn-CS" w:eastAsia="sr-Latn-CS" w:bidi="sr-Latn-CS"/>
              </w:rPr>
              <w:t xml:space="preserve"> 0,89 (0,61, 1,30)</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AUC 0,96 (0,66, 1,39)</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Sofosbuvir</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max</w:t>
            </w:r>
            <w:r w:rsidRPr="00AE75B3">
              <w:rPr>
                <w:rFonts w:ascii="Times New Roman" w:eastAsia="Times New Roman" w:hAnsi="Times New Roman" w:cs="Times New Roman"/>
                <w:lang w:val="sr-Latn-CS" w:eastAsia="sr-Latn-CS" w:bidi="sr-Latn-CS"/>
              </w:rPr>
              <w:t xml:space="preserve"> 1,12 (0,88, 1,42)</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AUC 1,00 (0,80, 1,25)</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GS</w:t>
            </w:r>
            <w:r w:rsidRPr="00AE75B3">
              <w:rPr>
                <w:rFonts w:ascii="Times New Roman" w:eastAsia="Times New Roman" w:hAnsi="Times New Roman" w:cs="Times New Roman"/>
                <w:b/>
                <w:lang w:val="sr-Latn-CS" w:eastAsia="sr-Latn-CS" w:bidi="sr-Latn-CS"/>
              </w:rPr>
              <w:noBreakHyphen/>
            </w:r>
            <w:r w:rsidRPr="00AE75B3">
              <w:rPr>
                <w:rFonts w:ascii="Times New Roman" w:eastAsia="Times New Roman" w:hAnsi="Times New Roman" w:cs="Times New Roman"/>
                <w:lang w:val="sr-Latn-CS" w:eastAsia="sr-Latn-CS" w:bidi="sr-Latn-CS"/>
              </w:rPr>
              <w:t>331007</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max</w:t>
            </w:r>
            <w:r w:rsidRPr="00AE75B3">
              <w:rPr>
                <w:rFonts w:ascii="Times New Roman" w:eastAsia="Times New Roman" w:hAnsi="Times New Roman" w:cs="Times New Roman"/>
                <w:lang w:val="sr-Latn-CS" w:eastAsia="sr-Latn-CS" w:bidi="sr-Latn-CS"/>
              </w:rPr>
              <w:t xml:space="preserve"> 1,14 (1,01, 1,29)</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AUC 1,03 (0,96, 1,12)</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(Porast želudačne pH)</w:t>
            </w:r>
          </w:p>
        </w:tc>
        <w:tc>
          <w:tcPr>
            <w:tcW w:w="4708" w:type="dxa"/>
            <w:tcBorders>
              <w:top w:val="nil"/>
            </w:tcBorders>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Doze inhibitora protonske pumpe uporedive sa dozom omeprazola od 20 mg mogu se primijeniti istovremeno sa lijekom Harvoni. Inhibitori protonske pumpe ne smiju se uzimati prije lijeka Harvoni.</w:t>
            </w:r>
          </w:p>
        </w:tc>
      </w:tr>
      <w:tr w:rsidR="00AE75B3" w:rsidRPr="00AE75B3" w:rsidTr="00F11E78">
        <w:tblPrEx>
          <w:tblLook w:val="0000" w:firstRow="0" w:lastRow="0" w:firstColumn="0" w:lastColumn="0" w:noHBand="0" w:noVBand="0"/>
        </w:tblPrEx>
        <w:trPr>
          <w:cantSplit/>
        </w:trPr>
        <w:tc>
          <w:tcPr>
            <w:tcW w:w="9634" w:type="dxa"/>
            <w:gridSpan w:val="3"/>
          </w:tcPr>
          <w:p w:rsidR="00AE75B3" w:rsidRPr="00AE75B3" w:rsidRDefault="00AE75B3" w:rsidP="00AE75B3">
            <w:pPr>
              <w:keepNext/>
              <w:keepLines/>
              <w:spacing w:after="0" w:line="240" w:lineRule="auto"/>
              <w:outlineLvl w:val="0"/>
              <w:rPr>
                <w:rFonts w:ascii="Times New Roman" w:eastAsia="Times New Roman" w:hAnsi="Times New Roman" w:cs="Times New Roman"/>
                <w:b/>
                <w:i/>
                <w:lang w:val="sr-Latn-CS" w:eastAsia="sr-Latn-CS" w:bidi="sr-Latn-CS"/>
              </w:rPr>
            </w:pPr>
            <w:r w:rsidRPr="00AE75B3">
              <w:rPr>
                <w:rFonts w:ascii="Times New Roman" w:eastAsia="Times New Roman" w:hAnsi="Times New Roman" w:cs="Times New Roman"/>
                <w:b/>
                <w:i/>
                <w:lang w:val="sr-Latn-CS" w:eastAsia="sr-Latn-CS" w:bidi="sr-Latn-CS"/>
              </w:rPr>
              <w:t>ANTIARITMICI</w:t>
            </w:r>
          </w:p>
        </w:tc>
      </w:tr>
      <w:tr w:rsidR="00AE75B3" w:rsidRPr="00AE75B3" w:rsidTr="00F11E78">
        <w:tblPrEx>
          <w:tblLook w:val="0000" w:firstRow="0" w:lastRow="0" w:firstColumn="0" w:lastColumn="0" w:noHBand="0" w:noVBand="0"/>
        </w:tblPrEx>
        <w:trPr>
          <w:cantSplit/>
        </w:trPr>
        <w:tc>
          <w:tcPr>
            <w:tcW w:w="2517" w:type="dxa"/>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Amjodaron</w:t>
            </w:r>
          </w:p>
        </w:tc>
        <w:tc>
          <w:tcPr>
            <w:tcW w:w="2409" w:type="dxa"/>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Interakcija nije ispitana.</w:t>
            </w:r>
          </w:p>
        </w:tc>
        <w:tc>
          <w:tcPr>
            <w:tcW w:w="4708" w:type="dxa"/>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Upotrebljavati samo ako nije dostupna druga alternativa. Preporučuje se pažljivo praćenje ako se ovaj lijek primjenjuje sa lijekom Harvoni (vidjeti odjeljke 4.4 i 4.8).</w:t>
            </w:r>
          </w:p>
        </w:tc>
      </w:tr>
      <w:tr w:rsidR="00AE75B3" w:rsidRPr="00AE75B3" w:rsidTr="00F11E78">
        <w:tblPrEx>
          <w:tblLook w:val="0000" w:firstRow="0" w:lastRow="0" w:firstColumn="0" w:lastColumn="0" w:noHBand="0" w:noVBand="0"/>
        </w:tblPrEx>
        <w:trPr>
          <w:cantSplit/>
        </w:trPr>
        <w:tc>
          <w:tcPr>
            <w:tcW w:w="2517" w:type="dxa"/>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lastRenderedPageBreak/>
              <w:t>Digoksin</w:t>
            </w:r>
          </w:p>
        </w:tc>
        <w:tc>
          <w:tcPr>
            <w:tcW w:w="2409" w:type="dxa"/>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Interakcija nije ispitana.</w:t>
            </w:r>
          </w:p>
          <w:p w:rsidR="00AE75B3" w:rsidRPr="00AE75B3" w:rsidRDefault="00AE75B3" w:rsidP="00AE75B3">
            <w:pPr>
              <w:spacing w:after="0" w:line="240" w:lineRule="auto"/>
              <w:outlineLvl w:val="0"/>
              <w:rPr>
                <w:rFonts w:ascii="Times New Roman" w:eastAsia="Times New Roman" w:hAnsi="Times New Roman" w:cs="Times New Roman"/>
                <w:i/>
                <w:lang w:val="sr-Latn-CS" w:eastAsia="sr-Latn-CS" w:bidi="sr-Latn-CS"/>
              </w:rPr>
            </w:pPr>
            <w:r w:rsidRPr="00AE75B3">
              <w:rPr>
                <w:rFonts w:ascii="Times New Roman" w:eastAsia="Times New Roman" w:hAnsi="Times New Roman" w:cs="Times New Roman"/>
                <w:i/>
                <w:lang w:val="sr-Latn-CS" w:eastAsia="sr-Latn-CS" w:bidi="sr-Latn-CS"/>
              </w:rPr>
              <w:t>Očekivano:</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Digoksin</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Ledipasvir</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Sofosbuvir</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GS</w:t>
            </w:r>
            <w:r w:rsidRPr="00AE75B3">
              <w:rPr>
                <w:rFonts w:ascii="Times New Roman" w:eastAsia="Times New Roman" w:hAnsi="Times New Roman" w:cs="Times New Roman"/>
                <w:b/>
                <w:lang w:val="sr-Latn-CS" w:eastAsia="sr-Latn-CS" w:bidi="sr-Latn-CS"/>
              </w:rPr>
              <w:noBreakHyphen/>
            </w:r>
            <w:r w:rsidRPr="00AE75B3">
              <w:rPr>
                <w:rFonts w:ascii="Times New Roman" w:eastAsia="Times New Roman" w:hAnsi="Times New Roman" w:cs="Times New Roman"/>
                <w:lang w:val="sr-Latn-CS" w:eastAsia="sr-Latn-CS" w:bidi="sr-Latn-CS"/>
              </w:rPr>
              <w:t>331007</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(Inhibicija P</w:t>
            </w:r>
            <w:r w:rsidRPr="00AE75B3">
              <w:rPr>
                <w:rFonts w:ascii="Times New Roman" w:eastAsia="Times New Roman" w:hAnsi="Times New Roman" w:cs="Times New Roman"/>
                <w:b/>
                <w:lang w:val="sr-Latn-CS" w:eastAsia="sr-Latn-CS" w:bidi="sr-Latn-CS"/>
              </w:rPr>
              <w:noBreakHyphen/>
            </w:r>
            <w:r w:rsidRPr="00AE75B3">
              <w:rPr>
                <w:rFonts w:ascii="Times New Roman" w:eastAsia="Times New Roman" w:hAnsi="Times New Roman" w:cs="Times New Roman"/>
                <w:lang w:val="sr-Latn-CS" w:eastAsia="sr-Latn-CS" w:bidi="sr-Latn-CS"/>
              </w:rPr>
              <w:t>gp)</w:t>
            </w:r>
          </w:p>
        </w:tc>
        <w:tc>
          <w:tcPr>
            <w:tcW w:w="4708" w:type="dxa"/>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Istovremena primjena lijeka Harvoni sa digoksinom može povećati koncentraciju digoksina. Potreban je oprez i preporučuje se praćenje terapijskih koncentracija digoksina kad se upotrebljava istovremeno sa lijekom Harvoni.</w:t>
            </w:r>
          </w:p>
        </w:tc>
      </w:tr>
      <w:tr w:rsidR="00AE75B3" w:rsidRPr="00AE75B3" w:rsidTr="00F11E78">
        <w:tblPrEx>
          <w:tblLook w:val="0000" w:firstRow="0" w:lastRow="0" w:firstColumn="0" w:lastColumn="0" w:noHBand="0" w:noVBand="0"/>
        </w:tblPrEx>
        <w:trPr>
          <w:cantSplit/>
        </w:trPr>
        <w:tc>
          <w:tcPr>
            <w:tcW w:w="9634" w:type="dxa"/>
            <w:gridSpan w:val="3"/>
          </w:tcPr>
          <w:p w:rsidR="00AE75B3" w:rsidRPr="00AE75B3" w:rsidRDefault="00AE75B3" w:rsidP="00AE75B3">
            <w:pPr>
              <w:keepNext/>
              <w:keepLines/>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b/>
                <w:i/>
                <w:lang w:val="sr-Latn-CS" w:eastAsia="sr-Latn-CS" w:bidi="sr-Latn-CS"/>
              </w:rPr>
              <w:t>ANTIKOAGULANSI</w:t>
            </w:r>
          </w:p>
        </w:tc>
      </w:tr>
      <w:tr w:rsidR="00AE75B3" w:rsidRPr="00AE75B3" w:rsidTr="00F11E78">
        <w:tblPrEx>
          <w:tblLook w:val="0000" w:firstRow="0" w:lastRow="0" w:firstColumn="0" w:lastColumn="0" w:noHBand="0" w:noVBand="0"/>
        </w:tblPrEx>
        <w:trPr>
          <w:cantSplit/>
        </w:trPr>
        <w:tc>
          <w:tcPr>
            <w:tcW w:w="2517" w:type="dxa"/>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Dabigatran eteksilat</w:t>
            </w:r>
          </w:p>
        </w:tc>
        <w:tc>
          <w:tcPr>
            <w:tcW w:w="2409" w:type="dxa"/>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Interakcija nije ispitana.</w:t>
            </w:r>
          </w:p>
          <w:p w:rsidR="00AE75B3" w:rsidRPr="00AE75B3" w:rsidRDefault="00AE75B3" w:rsidP="00AE75B3">
            <w:pPr>
              <w:spacing w:after="0" w:line="240" w:lineRule="auto"/>
              <w:outlineLvl w:val="0"/>
              <w:rPr>
                <w:rFonts w:ascii="Times New Roman" w:eastAsia="Times New Roman" w:hAnsi="Times New Roman" w:cs="Times New Roman"/>
                <w:i/>
                <w:lang w:val="sr-Latn-CS" w:eastAsia="sr-Latn-CS" w:bidi="sr-Latn-CS"/>
              </w:rPr>
            </w:pPr>
            <w:r w:rsidRPr="00AE75B3">
              <w:rPr>
                <w:rFonts w:ascii="Times New Roman" w:eastAsia="Times New Roman" w:hAnsi="Times New Roman" w:cs="Times New Roman"/>
                <w:i/>
                <w:lang w:val="sr-Latn-CS" w:eastAsia="sr-Latn-CS" w:bidi="sr-Latn-CS"/>
              </w:rPr>
              <w:t>Očekivano:</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Dabigatran</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Ledipasvir</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Sofosbuvir</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GS</w:t>
            </w:r>
            <w:r w:rsidRPr="00AE75B3">
              <w:rPr>
                <w:rFonts w:ascii="Times New Roman" w:eastAsia="Times New Roman" w:hAnsi="Times New Roman" w:cs="Times New Roman"/>
                <w:b/>
                <w:lang w:val="sr-Latn-CS" w:eastAsia="sr-Latn-CS" w:bidi="sr-Latn-CS"/>
              </w:rPr>
              <w:noBreakHyphen/>
            </w:r>
            <w:r w:rsidRPr="00AE75B3">
              <w:rPr>
                <w:rFonts w:ascii="Times New Roman" w:eastAsia="Times New Roman" w:hAnsi="Times New Roman" w:cs="Times New Roman"/>
                <w:lang w:val="sr-Latn-CS" w:eastAsia="sr-Latn-CS" w:bidi="sr-Latn-CS"/>
              </w:rPr>
              <w:t>331007</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(Inhibicija P</w:t>
            </w:r>
            <w:r w:rsidRPr="00AE75B3">
              <w:rPr>
                <w:rFonts w:ascii="Times New Roman" w:eastAsia="Times New Roman" w:hAnsi="Times New Roman" w:cs="Times New Roman"/>
                <w:b/>
                <w:lang w:val="sr-Latn-CS" w:eastAsia="sr-Latn-CS" w:bidi="sr-Latn-CS"/>
              </w:rPr>
              <w:noBreakHyphen/>
            </w:r>
            <w:r w:rsidRPr="00AE75B3">
              <w:rPr>
                <w:rFonts w:ascii="Times New Roman" w:eastAsia="Times New Roman" w:hAnsi="Times New Roman" w:cs="Times New Roman"/>
                <w:lang w:val="sr-Latn-CS" w:eastAsia="sr-Latn-CS" w:bidi="sr-Latn-CS"/>
              </w:rPr>
              <w:t>gp)</w:t>
            </w:r>
          </w:p>
        </w:tc>
        <w:tc>
          <w:tcPr>
            <w:tcW w:w="4708" w:type="dxa"/>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Kada se dabigatran eteksilat upotrebljava istovremeno sa lijekom Harvoni, preporučuje se kliničko praćenje u okviru koga se traže znakovi krvarenja i anemije. Pomoću testova koagulacije mogu se identifikovati pacijenti sa povećanim rizikom od krvarenja zbog povećane izloženosti dabigatranu.</w:t>
            </w:r>
          </w:p>
        </w:tc>
      </w:tr>
      <w:tr w:rsidR="00AE75B3" w:rsidRPr="00AE75B3" w:rsidTr="00F11E78">
        <w:tblPrEx>
          <w:tblLook w:val="0000" w:firstRow="0" w:lastRow="0" w:firstColumn="0" w:lastColumn="0" w:noHBand="0" w:noVBand="0"/>
        </w:tblPrEx>
        <w:trPr>
          <w:cantSplit/>
        </w:trPr>
        <w:tc>
          <w:tcPr>
            <w:tcW w:w="2517" w:type="dxa"/>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Antagonisti vitamina K</w:t>
            </w:r>
          </w:p>
        </w:tc>
        <w:tc>
          <w:tcPr>
            <w:tcW w:w="2409" w:type="dxa"/>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Interakcija nije ispitana</w:t>
            </w:r>
          </w:p>
        </w:tc>
        <w:tc>
          <w:tcPr>
            <w:tcW w:w="4708" w:type="dxa"/>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Preporučuje se pažljivo praćenje vrijednosti INR-a uz sve antagoniste vitamina K, jer može doći do promjene funkcije jetre tokom liječenja lijekom Harvoni.</w:t>
            </w:r>
          </w:p>
        </w:tc>
      </w:tr>
      <w:tr w:rsidR="00AE75B3" w:rsidRPr="00AE75B3" w:rsidTr="00F11E78">
        <w:tblPrEx>
          <w:tblLook w:val="0000" w:firstRow="0" w:lastRow="0" w:firstColumn="0" w:lastColumn="0" w:noHBand="0" w:noVBand="0"/>
        </w:tblPrEx>
        <w:trPr>
          <w:cantSplit/>
        </w:trPr>
        <w:tc>
          <w:tcPr>
            <w:tcW w:w="9634" w:type="dxa"/>
            <w:gridSpan w:val="3"/>
          </w:tcPr>
          <w:p w:rsidR="00AE75B3" w:rsidRPr="00AE75B3" w:rsidRDefault="00AE75B3" w:rsidP="00AE75B3">
            <w:pPr>
              <w:keepNext/>
              <w:keepLines/>
              <w:spacing w:after="0" w:line="240" w:lineRule="auto"/>
              <w:outlineLvl w:val="0"/>
              <w:rPr>
                <w:rFonts w:ascii="Times New Roman" w:eastAsia="Times New Roman" w:hAnsi="Times New Roman" w:cs="Times New Roman"/>
                <w:i/>
                <w:lang w:val="sr-Latn-CS" w:eastAsia="sr-Latn-CS" w:bidi="sr-Latn-CS"/>
              </w:rPr>
            </w:pPr>
            <w:r w:rsidRPr="00AE75B3">
              <w:rPr>
                <w:rFonts w:ascii="Times New Roman" w:eastAsia="Times New Roman" w:hAnsi="Times New Roman" w:cs="Times New Roman"/>
                <w:b/>
                <w:i/>
                <w:lang w:val="sr-Latn-CS" w:eastAsia="sr-Latn-CS" w:bidi="sr-Latn-CS"/>
              </w:rPr>
              <w:t>ANTIKONVULZIVI</w:t>
            </w:r>
          </w:p>
        </w:tc>
      </w:tr>
      <w:tr w:rsidR="00AE75B3" w:rsidRPr="00AE75B3" w:rsidTr="00F11E78">
        <w:tblPrEx>
          <w:tblLook w:val="0000" w:firstRow="0" w:lastRow="0" w:firstColumn="0" w:lastColumn="0" w:noHBand="0" w:noVBand="0"/>
        </w:tblPrEx>
        <w:trPr>
          <w:cantSplit/>
        </w:trPr>
        <w:tc>
          <w:tcPr>
            <w:tcW w:w="2517" w:type="dxa"/>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Karbamazepin</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Fenobarbital</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Fenitoin</w:t>
            </w:r>
          </w:p>
        </w:tc>
        <w:tc>
          <w:tcPr>
            <w:tcW w:w="2409" w:type="dxa"/>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Interakcija nije ispitana.</w:t>
            </w:r>
          </w:p>
          <w:p w:rsidR="00AE75B3" w:rsidRPr="00AE75B3" w:rsidRDefault="00AE75B3" w:rsidP="00AE75B3">
            <w:pPr>
              <w:spacing w:after="0" w:line="240" w:lineRule="auto"/>
              <w:outlineLvl w:val="0"/>
              <w:rPr>
                <w:rFonts w:ascii="Times New Roman" w:eastAsia="Times New Roman" w:hAnsi="Times New Roman" w:cs="Times New Roman"/>
                <w:i/>
                <w:lang w:val="sr-Latn-CS" w:eastAsia="sr-Latn-CS" w:bidi="sr-Latn-CS"/>
              </w:rPr>
            </w:pPr>
            <w:r w:rsidRPr="00AE75B3">
              <w:rPr>
                <w:rFonts w:ascii="Times New Roman" w:eastAsia="Times New Roman" w:hAnsi="Times New Roman" w:cs="Times New Roman"/>
                <w:i/>
                <w:lang w:val="sr-Latn-CS" w:eastAsia="sr-Latn-CS" w:bidi="sr-Latn-CS"/>
              </w:rPr>
              <w:t>Očekivano:</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Ledipasvir</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Sofosbuvir</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GS</w:t>
            </w:r>
            <w:r w:rsidRPr="00AE75B3">
              <w:rPr>
                <w:rFonts w:ascii="Times New Roman" w:eastAsia="Times New Roman" w:hAnsi="Times New Roman" w:cs="Times New Roman"/>
                <w:b/>
                <w:lang w:val="sr-Latn-CS" w:eastAsia="sr-Latn-CS" w:bidi="sr-Latn-CS"/>
              </w:rPr>
              <w:noBreakHyphen/>
            </w:r>
            <w:r w:rsidRPr="00AE75B3">
              <w:rPr>
                <w:rFonts w:ascii="Times New Roman" w:eastAsia="Times New Roman" w:hAnsi="Times New Roman" w:cs="Times New Roman"/>
                <w:lang w:val="sr-Latn-CS" w:eastAsia="sr-Latn-CS" w:bidi="sr-Latn-CS"/>
              </w:rPr>
              <w:t>331007</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(Indukcija P</w:t>
            </w:r>
            <w:r w:rsidRPr="00AE75B3">
              <w:rPr>
                <w:rFonts w:ascii="Times New Roman" w:eastAsia="Times New Roman" w:hAnsi="Times New Roman" w:cs="Times New Roman"/>
                <w:b/>
                <w:lang w:val="sr-Latn-CS" w:eastAsia="sr-Latn-CS" w:bidi="sr-Latn-CS"/>
              </w:rPr>
              <w:noBreakHyphen/>
            </w:r>
            <w:r w:rsidRPr="00AE75B3">
              <w:rPr>
                <w:rFonts w:ascii="Times New Roman" w:eastAsia="Times New Roman" w:hAnsi="Times New Roman" w:cs="Times New Roman"/>
                <w:lang w:val="sr-Latn-CS" w:eastAsia="sr-Latn-CS" w:bidi="sr-Latn-CS"/>
              </w:rPr>
              <w:t>gp)</w:t>
            </w:r>
          </w:p>
        </w:tc>
        <w:tc>
          <w:tcPr>
            <w:tcW w:w="4708" w:type="dxa"/>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Upotreba lijeka Harvoni je kontraindikovana sa karbamazepinom, fenobarbitalom i fenitoinom, jakim intestinalnim induktorima P-gp (vidjeti odjeljak 4.3).</w:t>
            </w:r>
          </w:p>
        </w:tc>
      </w:tr>
      <w:tr w:rsidR="00AE75B3" w:rsidRPr="00AE75B3" w:rsidTr="00F11E78">
        <w:tblPrEx>
          <w:tblLook w:val="0000" w:firstRow="0" w:lastRow="0" w:firstColumn="0" w:lastColumn="0" w:noHBand="0" w:noVBand="0"/>
        </w:tblPrEx>
        <w:trPr>
          <w:cantSplit/>
        </w:trPr>
        <w:tc>
          <w:tcPr>
            <w:tcW w:w="2517" w:type="dxa"/>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Okskarbazepin</w:t>
            </w:r>
          </w:p>
        </w:tc>
        <w:tc>
          <w:tcPr>
            <w:tcW w:w="2409" w:type="dxa"/>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Interakcija nije ispitana.</w:t>
            </w:r>
          </w:p>
          <w:p w:rsidR="00AE75B3" w:rsidRPr="00AE75B3" w:rsidRDefault="00AE75B3" w:rsidP="00AE75B3">
            <w:pPr>
              <w:spacing w:after="0" w:line="240" w:lineRule="auto"/>
              <w:outlineLvl w:val="0"/>
              <w:rPr>
                <w:rFonts w:ascii="Times New Roman" w:eastAsia="Times New Roman" w:hAnsi="Times New Roman" w:cs="Times New Roman"/>
                <w:i/>
                <w:lang w:val="sr-Latn-CS" w:eastAsia="sr-Latn-CS" w:bidi="sr-Latn-CS"/>
              </w:rPr>
            </w:pPr>
            <w:r w:rsidRPr="00AE75B3">
              <w:rPr>
                <w:rFonts w:ascii="Times New Roman" w:eastAsia="Times New Roman" w:hAnsi="Times New Roman" w:cs="Times New Roman"/>
                <w:i/>
                <w:lang w:val="sr-Latn-CS" w:eastAsia="sr-Latn-CS" w:bidi="sr-Latn-CS"/>
              </w:rPr>
              <w:t>Očekivano:</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Ledipasvir</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Sofosbuvir</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GS</w:t>
            </w:r>
            <w:r w:rsidRPr="00AE75B3">
              <w:rPr>
                <w:rFonts w:ascii="Times New Roman" w:eastAsia="Times New Roman" w:hAnsi="Times New Roman" w:cs="Times New Roman"/>
                <w:b/>
                <w:lang w:val="sr-Latn-CS" w:eastAsia="sr-Latn-CS" w:bidi="sr-Latn-CS"/>
              </w:rPr>
              <w:noBreakHyphen/>
            </w:r>
            <w:r w:rsidRPr="00AE75B3">
              <w:rPr>
                <w:rFonts w:ascii="Times New Roman" w:eastAsia="Times New Roman" w:hAnsi="Times New Roman" w:cs="Times New Roman"/>
                <w:lang w:val="sr-Latn-CS" w:eastAsia="sr-Latn-CS" w:bidi="sr-Latn-CS"/>
              </w:rPr>
              <w:t>331007</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(Indukcija P</w:t>
            </w:r>
            <w:r w:rsidRPr="00AE75B3">
              <w:rPr>
                <w:rFonts w:ascii="Times New Roman" w:eastAsia="Times New Roman" w:hAnsi="Times New Roman" w:cs="Times New Roman"/>
                <w:b/>
                <w:lang w:val="sr-Latn-CS" w:eastAsia="sr-Latn-CS" w:bidi="sr-Latn-CS"/>
              </w:rPr>
              <w:noBreakHyphen/>
            </w:r>
            <w:r w:rsidRPr="00AE75B3">
              <w:rPr>
                <w:rFonts w:ascii="Times New Roman" w:eastAsia="Times New Roman" w:hAnsi="Times New Roman" w:cs="Times New Roman"/>
                <w:lang w:val="sr-Latn-CS" w:eastAsia="sr-Latn-CS" w:bidi="sr-Latn-CS"/>
              </w:rPr>
              <w:t>gp)</w:t>
            </w:r>
          </w:p>
        </w:tc>
        <w:tc>
          <w:tcPr>
            <w:tcW w:w="4708" w:type="dxa"/>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Očekuje se da će istovremena upotreba lijeka Harvoni sa okskarbazepinom smanjiti koncentraciju ledipasvira i sofosbuvira, što dovodi do smanjenog terapijskog efekta lijeka Harvoni. Ne preporučuje se istovremena upotreba ovih ljekova (vidjeti odjeljak 4.4).</w:t>
            </w:r>
          </w:p>
        </w:tc>
      </w:tr>
      <w:tr w:rsidR="00AE75B3" w:rsidRPr="00AE75B3" w:rsidTr="00F11E78">
        <w:tblPrEx>
          <w:tblLook w:val="0000" w:firstRow="0" w:lastRow="0" w:firstColumn="0" w:lastColumn="0" w:noHBand="0" w:noVBand="0"/>
        </w:tblPrEx>
        <w:trPr>
          <w:cantSplit/>
        </w:trPr>
        <w:tc>
          <w:tcPr>
            <w:tcW w:w="9634" w:type="dxa"/>
            <w:gridSpan w:val="3"/>
          </w:tcPr>
          <w:p w:rsidR="00AE75B3" w:rsidRPr="00AE75B3" w:rsidRDefault="00AE75B3" w:rsidP="00AE75B3">
            <w:pPr>
              <w:keepNext/>
              <w:keepLines/>
              <w:spacing w:after="0" w:line="240" w:lineRule="auto"/>
              <w:outlineLvl w:val="0"/>
              <w:rPr>
                <w:rFonts w:ascii="Times New Roman" w:eastAsia="Times New Roman" w:hAnsi="Times New Roman" w:cs="Times New Roman"/>
                <w:b/>
                <w:i/>
                <w:lang w:val="sr-Latn-CS" w:eastAsia="sr-Latn-CS" w:bidi="sr-Latn-CS"/>
              </w:rPr>
            </w:pPr>
            <w:r w:rsidRPr="00AE75B3">
              <w:rPr>
                <w:rFonts w:ascii="Times New Roman" w:eastAsia="Times New Roman" w:hAnsi="Times New Roman" w:cs="Times New Roman"/>
                <w:b/>
                <w:i/>
                <w:lang w:val="sr-Latn-CS" w:eastAsia="sr-Latn-CS" w:bidi="sr-Latn-CS"/>
              </w:rPr>
              <w:lastRenderedPageBreak/>
              <w:t>ANTIMIKOBAKTERIJSKI LJEKOVI</w:t>
            </w:r>
          </w:p>
        </w:tc>
      </w:tr>
      <w:tr w:rsidR="00AE75B3" w:rsidRPr="00AE75B3" w:rsidTr="00F11E78">
        <w:tblPrEx>
          <w:tblLook w:val="0000" w:firstRow="0" w:lastRow="0" w:firstColumn="0" w:lastColumn="0" w:noHBand="0" w:noVBand="0"/>
        </w:tblPrEx>
        <w:trPr>
          <w:cantSplit/>
        </w:trPr>
        <w:tc>
          <w:tcPr>
            <w:tcW w:w="2517" w:type="dxa"/>
            <w:tcBorders>
              <w:bottom w:val="dashSmallGap" w:sz="4" w:space="0" w:color="auto"/>
            </w:tcBorders>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Rifampicin (600 mg jednom dnevno)/ledipasvir (90 mg pojedinačna doza)</w:t>
            </w:r>
            <w:r w:rsidRPr="00AE75B3">
              <w:rPr>
                <w:rFonts w:ascii="Times New Roman" w:eastAsia="Times New Roman" w:hAnsi="Times New Roman" w:cs="Times New Roman"/>
                <w:vertAlign w:val="superscript"/>
                <w:lang w:val="sr-Latn-CS" w:eastAsia="sr-Latn-CS" w:bidi="sr-Latn-CS"/>
              </w:rPr>
              <w:t>d</w:t>
            </w:r>
          </w:p>
        </w:tc>
        <w:tc>
          <w:tcPr>
            <w:tcW w:w="2409" w:type="dxa"/>
            <w:tcBorders>
              <w:bottom w:val="dashSmallGap" w:sz="4" w:space="0" w:color="auto"/>
            </w:tcBorders>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Interakcija nije ispitana.</w:t>
            </w:r>
          </w:p>
          <w:p w:rsidR="00AE75B3" w:rsidRPr="00AE75B3" w:rsidRDefault="00AE75B3" w:rsidP="00AE75B3">
            <w:pPr>
              <w:spacing w:after="0" w:line="240" w:lineRule="auto"/>
              <w:outlineLvl w:val="0"/>
              <w:rPr>
                <w:rFonts w:ascii="Times New Roman" w:eastAsia="Times New Roman" w:hAnsi="Times New Roman" w:cs="Times New Roman"/>
                <w:i/>
                <w:lang w:val="sr-Latn-CS" w:eastAsia="sr-Latn-CS" w:bidi="sr-Latn-CS"/>
              </w:rPr>
            </w:pPr>
            <w:r w:rsidRPr="00AE75B3">
              <w:rPr>
                <w:rFonts w:ascii="Times New Roman" w:eastAsia="Times New Roman" w:hAnsi="Times New Roman" w:cs="Times New Roman"/>
                <w:i/>
                <w:lang w:val="sr-Latn-CS" w:eastAsia="sr-Latn-CS" w:bidi="sr-Latn-CS"/>
              </w:rPr>
              <w:t>Očekivano:</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Rifampicin</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max</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AUC</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min</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p>
          <w:p w:rsidR="00AE75B3" w:rsidRPr="00AE75B3" w:rsidRDefault="00AE75B3" w:rsidP="00AE75B3">
            <w:pPr>
              <w:spacing w:after="0" w:line="240" w:lineRule="auto"/>
              <w:outlineLvl w:val="0"/>
              <w:rPr>
                <w:rFonts w:ascii="Times New Roman" w:eastAsia="Times New Roman" w:hAnsi="Times New Roman" w:cs="Times New Roman"/>
                <w:i/>
                <w:lang w:val="sr-Latn-CS" w:eastAsia="sr-Latn-CS" w:bidi="sr-Latn-CS"/>
              </w:rPr>
            </w:pPr>
            <w:r w:rsidRPr="00AE75B3">
              <w:rPr>
                <w:rFonts w:ascii="Times New Roman" w:eastAsia="Times New Roman" w:hAnsi="Times New Roman" w:cs="Times New Roman"/>
                <w:i/>
                <w:lang w:val="sr-Latn-CS" w:eastAsia="sr-Latn-CS" w:bidi="sr-Latn-CS"/>
              </w:rPr>
              <w:t>Uočeno:</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Ledipasvir</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max</w:t>
            </w:r>
            <w:r w:rsidRPr="00AE75B3">
              <w:rPr>
                <w:rFonts w:ascii="Times New Roman" w:eastAsia="Times New Roman" w:hAnsi="Times New Roman" w:cs="Times New Roman"/>
                <w:lang w:val="sr-Latn-CS" w:eastAsia="sr-Latn-CS" w:bidi="sr-Latn-CS"/>
              </w:rPr>
              <w:t xml:space="preserve"> 0,65 (0,56, 0,76)</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AUC 0,41 (0,36, 0,48)</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(Indukcija P</w:t>
            </w:r>
            <w:r w:rsidRPr="00AE75B3">
              <w:rPr>
                <w:rFonts w:ascii="Times New Roman" w:eastAsia="Times New Roman" w:hAnsi="Times New Roman" w:cs="Times New Roman"/>
                <w:b/>
                <w:lang w:val="sr-Latn-CS" w:eastAsia="sr-Latn-CS" w:bidi="sr-Latn-CS"/>
              </w:rPr>
              <w:noBreakHyphen/>
            </w:r>
            <w:r w:rsidRPr="00AE75B3">
              <w:rPr>
                <w:rFonts w:ascii="Times New Roman" w:eastAsia="Times New Roman" w:hAnsi="Times New Roman" w:cs="Times New Roman"/>
                <w:lang w:val="sr-Latn-CS" w:eastAsia="sr-Latn-CS" w:bidi="sr-Latn-CS"/>
              </w:rPr>
              <w:t>gp)</w:t>
            </w:r>
          </w:p>
        </w:tc>
        <w:tc>
          <w:tcPr>
            <w:tcW w:w="4708" w:type="dxa"/>
            <w:tcBorders>
              <w:bottom w:val="dashSmallGap" w:sz="4" w:space="0" w:color="auto"/>
            </w:tcBorders>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Primjena lijeka Harvoni je kontraindikovana sa primjenom rifampicina, jakim intestinalnim induktorom P-gp (vidjeti odjeljak 4.3).</w:t>
            </w:r>
          </w:p>
        </w:tc>
      </w:tr>
      <w:tr w:rsidR="00AE75B3" w:rsidRPr="00AE75B3" w:rsidTr="00F11E78">
        <w:tblPrEx>
          <w:tblLook w:val="0000" w:firstRow="0" w:lastRow="0" w:firstColumn="0" w:lastColumn="0" w:noHBand="0" w:noVBand="0"/>
        </w:tblPrEx>
        <w:trPr>
          <w:cantSplit/>
        </w:trPr>
        <w:tc>
          <w:tcPr>
            <w:tcW w:w="2517" w:type="dxa"/>
            <w:tcBorders>
              <w:top w:val="dashSmallGap" w:sz="4" w:space="0" w:color="auto"/>
            </w:tcBorders>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Rifampicin (600 mg jednom dnevno)/sofosbuvir (400 mg pojedinačna doza)</w:t>
            </w:r>
            <w:r w:rsidRPr="00AE75B3">
              <w:rPr>
                <w:rFonts w:ascii="Times New Roman" w:eastAsia="Times New Roman" w:hAnsi="Times New Roman" w:cs="Times New Roman"/>
                <w:vertAlign w:val="superscript"/>
                <w:lang w:val="sr-Latn-CS" w:eastAsia="sr-Latn-CS" w:bidi="sr-Latn-CS"/>
              </w:rPr>
              <w:t>d</w:t>
            </w:r>
          </w:p>
        </w:tc>
        <w:tc>
          <w:tcPr>
            <w:tcW w:w="2409" w:type="dxa"/>
            <w:tcBorders>
              <w:top w:val="dashSmallGap" w:sz="4" w:space="0" w:color="auto"/>
            </w:tcBorders>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Interakcija nije ispitana.</w:t>
            </w:r>
          </w:p>
          <w:p w:rsidR="00AE75B3" w:rsidRPr="00AE75B3" w:rsidRDefault="00AE75B3" w:rsidP="00AE75B3">
            <w:pPr>
              <w:spacing w:after="0" w:line="240" w:lineRule="auto"/>
              <w:outlineLvl w:val="0"/>
              <w:rPr>
                <w:rFonts w:ascii="Times New Roman" w:eastAsia="Times New Roman" w:hAnsi="Times New Roman" w:cs="Times New Roman"/>
                <w:i/>
                <w:lang w:val="sr-Latn-CS" w:eastAsia="sr-Latn-CS" w:bidi="sr-Latn-CS"/>
              </w:rPr>
            </w:pPr>
            <w:r w:rsidRPr="00AE75B3">
              <w:rPr>
                <w:rFonts w:ascii="Times New Roman" w:eastAsia="Times New Roman" w:hAnsi="Times New Roman" w:cs="Times New Roman"/>
                <w:i/>
                <w:lang w:val="sr-Latn-CS" w:eastAsia="sr-Latn-CS" w:bidi="sr-Latn-CS"/>
              </w:rPr>
              <w:t>Očekivano:</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Rifampicin</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max</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AUC</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min</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p>
          <w:p w:rsidR="00AE75B3" w:rsidRPr="00AE75B3" w:rsidRDefault="00AE75B3" w:rsidP="00AE75B3">
            <w:pPr>
              <w:spacing w:after="0" w:line="240" w:lineRule="auto"/>
              <w:outlineLvl w:val="0"/>
              <w:rPr>
                <w:rFonts w:ascii="Times New Roman" w:eastAsia="Times New Roman" w:hAnsi="Times New Roman" w:cs="Times New Roman"/>
                <w:i/>
                <w:lang w:val="sr-Latn-CS" w:eastAsia="sr-Latn-CS" w:bidi="sr-Latn-CS"/>
              </w:rPr>
            </w:pPr>
            <w:r w:rsidRPr="00AE75B3">
              <w:rPr>
                <w:rFonts w:ascii="Times New Roman" w:eastAsia="Times New Roman" w:hAnsi="Times New Roman" w:cs="Times New Roman"/>
                <w:i/>
                <w:lang w:val="sr-Latn-CS" w:eastAsia="sr-Latn-CS" w:bidi="sr-Latn-CS"/>
              </w:rPr>
              <w:t>Uočeno:</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Sofosbuvir</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max</w:t>
            </w:r>
            <w:r w:rsidRPr="00AE75B3">
              <w:rPr>
                <w:rFonts w:ascii="Times New Roman" w:eastAsia="Times New Roman" w:hAnsi="Times New Roman" w:cs="Times New Roman"/>
                <w:lang w:val="sr-Latn-CS" w:eastAsia="sr-Latn-CS" w:bidi="sr-Latn-CS"/>
              </w:rPr>
              <w:t xml:space="preserve"> 0,23 (0,19, 0,29)</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AUC 0,28 (0,24, 0,32)</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GS</w:t>
            </w:r>
            <w:r w:rsidRPr="00AE75B3">
              <w:rPr>
                <w:rFonts w:ascii="Times New Roman" w:eastAsia="Times New Roman" w:hAnsi="Times New Roman" w:cs="Times New Roman"/>
                <w:b/>
                <w:lang w:val="sr-Latn-CS" w:eastAsia="sr-Latn-CS" w:bidi="sr-Latn-CS"/>
              </w:rPr>
              <w:noBreakHyphen/>
            </w:r>
            <w:r w:rsidRPr="00AE75B3">
              <w:rPr>
                <w:rFonts w:ascii="Times New Roman" w:eastAsia="Times New Roman" w:hAnsi="Times New Roman" w:cs="Times New Roman"/>
                <w:lang w:val="sr-Latn-CS" w:eastAsia="sr-Latn-CS" w:bidi="sr-Latn-CS"/>
              </w:rPr>
              <w:t>331007</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max</w:t>
            </w:r>
            <w:r w:rsidRPr="00AE75B3">
              <w:rPr>
                <w:rFonts w:ascii="Times New Roman" w:eastAsia="Times New Roman" w:hAnsi="Times New Roman" w:cs="Times New Roman"/>
                <w:lang w:val="sr-Latn-CS" w:eastAsia="sr-Latn-CS" w:bidi="sr-Latn-CS"/>
              </w:rPr>
              <w:t xml:space="preserve"> 1,23 (1,14, 1,34)</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AUC 0,95 (0,88, 1,03)</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(Indukcija P</w:t>
            </w:r>
            <w:r w:rsidRPr="00AE75B3">
              <w:rPr>
                <w:rFonts w:ascii="Times New Roman" w:eastAsia="Times New Roman" w:hAnsi="Times New Roman" w:cs="Times New Roman"/>
                <w:b/>
                <w:lang w:val="sr-Latn-CS" w:eastAsia="sr-Latn-CS" w:bidi="sr-Latn-CS"/>
              </w:rPr>
              <w:noBreakHyphen/>
            </w:r>
            <w:r w:rsidRPr="00AE75B3">
              <w:rPr>
                <w:rFonts w:ascii="Times New Roman" w:eastAsia="Times New Roman" w:hAnsi="Times New Roman" w:cs="Times New Roman"/>
                <w:lang w:val="sr-Latn-CS" w:eastAsia="sr-Latn-CS" w:bidi="sr-Latn-CS"/>
              </w:rPr>
              <w:t>gp)</w:t>
            </w:r>
          </w:p>
        </w:tc>
        <w:tc>
          <w:tcPr>
            <w:tcW w:w="4708" w:type="dxa"/>
            <w:tcBorders>
              <w:top w:val="dashSmallGap" w:sz="4" w:space="0" w:color="auto"/>
            </w:tcBorders>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p>
        </w:tc>
      </w:tr>
      <w:tr w:rsidR="00AE75B3" w:rsidRPr="00AE75B3" w:rsidTr="00F11E78">
        <w:tblPrEx>
          <w:tblLook w:val="0000" w:firstRow="0" w:lastRow="0" w:firstColumn="0" w:lastColumn="0" w:noHBand="0" w:noVBand="0"/>
        </w:tblPrEx>
        <w:trPr>
          <w:cantSplit/>
        </w:trPr>
        <w:tc>
          <w:tcPr>
            <w:tcW w:w="2517" w:type="dxa"/>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lastRenderedPageBreak/>
              <w:t>Rifabutin</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Rifapentin</w:t>
            </w:r>
          </w:p>
        </w:tc>
        <w:tc>
          <w:tcPr>
            <w:tcW w:w="2409" w:type="dxa"/>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Interakcija nije ispitana.</w:t>
            </w:r>
          </w:p>
          <w:p w:rsidR="00AE75B3" w:rsidRPr="00AE75B3" w:rsidRDefault="00AE75B3" w:rsidP="00AE75B3">
            <w:pPr>
              <w:spacing w:after="0" w:line="240" w:lineRule="auto"/>
              <w:outlineLvl w:val="0"/>
              <w:rPr>
                <w:rFonts w:ascii="Times New Roman" w:eastAsia="Times New Roman" w:hAnsi="Times New Roman" w:cs="Times New Roman"/>
                <w:i/>
                <w:lang w:val="sr-Latn-CS" w:eastAsia="sr-Latn-CS" w:bidi="sr-Latn-CS"/>
              </w:rPr>
            </w:pPr>
            <w:r w:rsidRPr="00AE75B3">
              <w:rPr>
                <w:rFonts w:ascii="Times New Roman" w:eastAsia="Times New Roman" w:hAnsi="Times New Roman" w:cs="Times New Roman"/>
                <w:i/>
                <w:lang w:val="sr-Latn-CS" w:eastAsia="sr-Latn-CS" w:bidi="sr-Latn-CS"/>
              </w:rPr>
              <w:t>Očekivano:</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Ledipasvir</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Sofosbuvir</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GS</w:t>
            </w:r>
            <w:r w:rsidRPr="00AE75B3">
              <w:rPr>
                <w:rFonts w:ascii="Times New Roman" w:eastAsia="Times New Roman" w:hAnsi="Times New Roman" w:cs="Times New Roman"/>
                <w:b/>
                <w:lang w:val="sr-Latn-CS" w:eastAsia="sr-Latn-CS" w:bidi="sr-Latn-CS"/>
              </w:rPr>
              <w:noBreakHyphen/>
            </w:r>
            <w:r w:rsidRPr="00AE75B3">
              <w:rPr>
                <w:rFonts w:ascii="Times New Roman" w:eastAsia="Times New Roman" w:hAnsi="Times New Roman" w:cs="Times New Roman"/>
                <w:lang w:val="sr-Latn-CS" w:eastAsia="sr-Latn-CS" w:bidi="sr-Latn-CS"/>
              </w:rPr>
              <w:t>331007</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(Indukcija P</w:t>
            </w:r>
            <w:r w:rsidRPr="00AE75B3">
              <w:rPr>
                <w:rFonts w:ascii="Times New Roman" w:eastAsia="Times New Roman" w:hAnsi="Times New Roman" w:cs="Times New Roman"/>
                <w:b/>
                <w:lang w:val="sr-Latn-CS" w:eastAsia="sr-Latn-CS" w:bidi="sr-Latn-CS"/>
              </w:rPr>
              <w:noBreakHyphen/>
            </w:r>
            <w:r w:rsidRPr="00AE75B3">
              <w:rPr>
                <w:rFonts w:ascii="Times New Roman" w:eastAsia="Times New Roman" w:hAnsi="Times New Roman" w:cs="Times New Roman"/>
                <w:lang w:val="sr-Latn-CS" w:eastAsia="sr-Latn-CS" w:bidi="sr-Latn-CS"/>
              </w:rPr>
              <w:t>gp)</w:t>
            </w:r>
          </w:p>
        </w:tc>
        <w:tc>
          <w:tcPr>
            <w:tcW w:w="4708" w:type="dxa"/>
            <w:tcBorders>
              <w:bottom w:val="nil"/>
            </w:tcBorders>
          </w:tcPr>
          <w:p w:rsidR="00AE75B3" w:rsidRPr="00AE75B3" w:rsidRDefault="00AE75B3" w:rsidP="00AE75B3">
            <w:pPr>
              <w:spacing w:after="0" w:line="240" w:lineRule="auto"/>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Upotreba lijeka Harvoni je kontraindikovana sa upotrebom rifabutina, jakim intestinalnim induktorom P-gp (vidjeti odjeljak 4.3).</w:t>
            </w:r>
          </w:p>
          <w:p w:rsidR="00AE75B3" w:rsidRPr="00AE75B3" w:rsidRDefault="00AE75B3" w:rsidP="00AE75B3">
            <w:pPr>
              <w:spacing w:after="0" w:line="240" w:lineRule="auto"/>
              <w:rPr>
                <w:rFonts w:ascii="Times New Roman" w:eastAsia="Times New Roman" w:hAnsi="Times New Roman" w:cs="Times New Roman"/>
                <w:lang w:val="sr-Latn-CS" w:eastAsia="sr-Latn-CS" w:bidi="sr-Latn-CS"/>
              </w:rPr>
            </w:pP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Očekuje se da će istovremena upotreba lijeka Harvoni sa rifapentinom smanjiti koncentraciju ledipasvira i sofosbuvira, što dovodi do smanjenog terapijskog efekta lijeka Harvoni. Ne preporučuje se istovremena upotreba ovih ljekova.</w:t>
            </w:r>
          </w:p>
        </w:tc>
      </w:tr>
      <w:tr w:rsidR="00AE75B3" w:rsidRPr="00AE75B3" w:rsidTr="00F11E78">
        <w:tblPrEx>
          <w:tblLook w:val="0000" w:firstRow="0" w:lastRow="0" w:firstColumn="0" w:lastColumn="0" w:noHBand="0" w:noVBand="0"/>
        </w:tblPrEx>
        <w:trPr>
          <w:cantSplit/>
        </w:trPr>
        <w:tc>
          <w:tcPr>
            <w:tcW w:w="9634" w:type="dxa"/>
            <w:gridSpan w:val="3"/>
          </w:tcPr>
          <w:p w:rsidR="00AE75B3" w:rsidRPr="00AE75B3" w:rsidDel="007A6D1C" w:rsidRDefault="00AE75B3" w:rsidP="00AE75B3">
            <w:pPr>
              <w:keepNext/>
              <w:keepLines/>
              <w:spacing w:after="0" w:line="240" w:lineRule="auto"/>
              <w:outlineLvl w:val="0"/>
              <w:rPr>
                <w:rFonts w:ascii="Times New Roman" w:eastAsia="Times New Roman" w:hAnsi="Times New Roman" w:cs="Times New Roman"/>
                <w:b/>
                <w:i/>
                <w:lang w:val="sr-Latn-CS" w:eastAsia="sr-Latn-CS" w:bidi="sr-Latn-CS"/>
              </w:rPr>
            </w:pPr>
            <w:r w:rsidRPr="00AE75B3">
              <w:rPr>
                <w:rFonts w:ascii="Times New Roman" w:eastAsia="Times New Roman" w:hAnsi="Times New Roman" w:cs="Times New Roman"/>
                <w:b/>
                <w:bCs/>
                <w:i/>
                <w:iCs/>
                <w:lang w:val="sr-Latn-CS" w:eastAsia="en-GB" w:bidi="sr-Latn-CS"/>
              </w:rPr>
              <w:t>SEDATIVI/HIPNOTICI</w:t>
            </w:r>
          </w:p>
        </w:tc>
      </w:tr>
      <w:tr w:rsidR="00AE75B3" w:rsidRPr="00AE75B3" w:rsidTr="00F11E78">
        <w:tblPrEx>
          <w:tblLook w:val="0000" w:firstRow="0" w:lastRow="0" w:firstColumn="0" w:lastColumn="0" w:noHBand="0" w:noVBand="0"/>
        </w:tblPrEx>
        <w:trPr>
          <w:cantSplit/>
        </w:trPr>
        <w:tc>
          <w:tcPr>
            <w:tcW w:w="2517" w:type="dxa"/>
            <w:tcBorders>
              <w:bottom w:val="dashSmallGap" w:sz="4" w:space="0" w:color="auto"/>
            </w:tcBorders>
          </w:tcPr>
          <w:p w:rsidR="00AE75B3" w:rsidRPr="00AE75B3" w:rsidRDefault="00AE75B3" w:rsidP="00AE75B3">
            <w:pPr>
              <w:autoSpaceDE w:val="0"/>
              <w:autoSpaceDN w:val="0"/>
              <w:adjustRightInd w:val="0"/>
              <w:spacing w:after="0" w:line="240" w:lineRule="auto"/>
              <w:rPr>
                <w:rFonts w:ascii="Times New Roman" w:eastAsia="Times New Roman" w:hAnsi="Times New Roman" w:cs="Times New Roman"/>
                <w:lang w:val="pt-PT" w:eastAsia="en-GB" w:bidi="sr-Latn-CS"/>
              </w:rPr>
            </w:pPr>
            <w:r w:rsidRPr="00AE75B3">
              <w:rPr>
                <w:rFonts w:ascii="Times New Roman" w:eastAsia="Times New Roman" w:hAnsi="Times New Roman" w:cs="Times New Roman"/>
                <w:lang w:val="pt-PT" w:eastAsia="en-GB" w:bidi="sr-Latn-CS"/>
              </w:rPr>
              <w:t>Midazolam (2,5 mg pojedinačna</w:t>
            </w:r>
          </w:p>
          <w:p w:rsidR="00AE75B3" w:rsidRPr="00AE75B3" w:rsidRDefault="00AE75B3" w:rsidP="00AE75B3">
            <w:pPr>
              <w:autoSpaceDE w:val="0"/>
              <w:autoSpaceDN w:val="0"/>
              <w:adjustRightInd w:val="0"/>
              <w:spacing w:after="0" w:line="240" w:lineRule="auto"/>
              <w:rPr>
                <w:rFonts w:ascii="Times New Roman" w:eastAsia="Times New Roman" w:hAnsi="Times New Roman" w:cs="Times New Roman"/>
                <w:lang w:val="pt-PT" w:eastAsia="en-GB" w:bidi="sr-Latn-CS"/>
              </w:rPr>
            </w:pPr>
            <w:r w:rsidRPr="00AE75B3">
              <w:rPr>
                <w:rFonts w:ascii="Times New Roman" w:eastAsia="Times New Roman" w:hAnsi="Times New Roman" w:cs="Times New Roman"/>
                <w:lang w:val="pt-PT" w:eastAsia="en-GB" w:bidi="sr-Latn-CS"/>
              </w:rPr>
              <w:t>doza)/ledipasvir (90 mg</w:t>
            </w:r>
          </w:p>
          <w:p w:rsidR="00AE75B3" w:rsidRPr="00AE75B3" w:rsidRDefault="00AE75B3" w:rsidP="00AE75B3">
            <w:pPr>
              <w:autoSpaceDE w:val="0"/>
              <w:autoSpaceDN w:val="0"/>
              <w:adjustRightInd w:val="0"/>
              <w:spacing w:after="0" w:line="240" w:lineRule="auto"/>
              <w:rPr>
                <w:rFonts w:ascii="Times New Roman" w:eastAsia="Times New Roman" w:hAnsi="Times New Roman" w:cs="Times New Roman"/>
                <w:lang w:val="sr-Latn-CS" w:eastAsia="en-GB" w:bidi="sr-Latn-CS"/>
              </w:rPr>
            </w:pPr>
            <w:r w:rsidRPr="00AE75B3">
              <w:rPr>
                <w:rFonts w:ascii="Times New Roman" w:eastAsia="Times New Roman" w:hAnsi="Times New Roman" w:cs="Times New Roman"/>
                <w:lang w:val="sr-Latn-CS" w:eastAsia="en-GB" w:bidi="sr-Latn-CS"/>
              </w:rPr>
              <w:t>pojedinačna doza)</w:t>
            </w:r>
          </w:p>
          <w:p w:rsidR="00AE75B3" w:rsidRPr="00AE75B3" w:rsidRDefault="00AE75B3" w:rsidP="00AE75B3">
            <w:pPr>
              <w:autoSpaceDE w:val="0"/>
              <w:autoSpaceDN w:val="0"/>
              <w:adjustRightInd w:val="0"/>
              <w:spacing w:after="0" w:line="240" w:lineRule="auto"/>
              <w:rPr>
                <w:rFonts w:ascii="Times New Roman" w:eastAsia="Times New Roman" w:hAnsi="Times New Roman" w:cs="Times New Roman"/>
                <w:lang w:val="sr-Latn-CS" w:eastAsia="en-GB" w:bidi="sr-Latn-CS"/>
              </w:rPr>
            </w:pPr>
          </w:p>
          <w:p w:rsidR="00AE75B3" w:rsidRPr="00AE75B3" w:rsidRDefault="00AE75B3" w:rsidP="00AE75B3">
            <w:pPr>
              <w:autoSpaceDE w:val="0"/>
              <w:autoSpaceDN w:val="0"/>
              <w:adjustRightInd w:val="0"/>
              <w:spacing w:after="0" w:line="240" w:lineRule="auto"/>
              <w:rPr>
                <w:rFonts w:ascii="Times New Roman" w:eastAsia="Times New Roman" w:hAnsi="Times New Roman" w:cs="Times New Roman"/>
                <w:lang w:val="sr-Latn-CS" w:eastAsia="en-GB" w:bidi="sr-Latn-CS"/>
              </w:rPr>
            </w:pPr>
          </w:p>
          <w:p w:rsidR="00AE75B3" w:rsidRPr="00AE75B3" w:rsidRDefault="00AE75B3" w:rsidP="00AE75B3">
            <w:pPr>
              <w:autoSpaceDE w:val="0"/>
              <w:autoSpaceDN w:val="0"/>
              <w:adjustRightInd w:val="0"/>
              <w:spacing w:after="0" w:line="240" w:lineRule="auto"/>
              <w:rPr>
                <w:rFonts w:ascii="Times New Roman" w:eastAsia="Times New Roman" w:hAnsi="Times New Roman" w:cs="Times New Roman"/>
                <w:lang w:val="sr-Latn-CS" w:eastAsia="en-GB" w:bidi="sr-Latn-CS"/>
              </w:rPr>
            </w:pPr>
          </w:p>
          <w:p w:rsidR="00AE75B3" w:rsidRPr="00AE75B3" w:rsidRDefault="00AE75B3" w:rsidP="00AE75B3">
            <w:pPr>
              <w:autoSpaceDE w:val="0"/>
              <w:autoSpaceDN w:val="0"/>
              <w:adjustRightInd w:val="0"/>
              <w:spacing w:after="0" w:line="240" w:lineRule="auto"/>
              <w:rPr>
                <w:rFonts w:ascii="Times New Roman" w:eastAsia="Times New Roman" w:hAnsi="Times New Roman" w:cs="Times New Roman"/>
                <w:lang w:val="sr-Latn-CS" w:eastAsia="en-GB" w:bidi="sr-Latn-CS"/>
              </w:rPr>
            </w:pPr>
            <w:r w:rsidRPr="00AE75B3">
              <w:rPr>
                <w:rFonts w:ascii="Times New Roman" w:eastAsia="Times New Roman" w:hAnsi="Times New Roman" w:cs="Times New Roman"/>
                <w:lang w:val="sr-Latn-CS" w:eastAsia="en-GB" w:bidi="sr-Latn-CS"/>
              </w:rPr>
              <w:t>Ledipasvir (90 mg jednom dnevno)</w:t>
            </w:r>
          </w:p>
        </w:tc>
        <w:tc>
          <w:tcPr>
            <w:tcW w:w="2409" w:type="dxa"/>
            <w:tcBorders>
              <w:bottom w:val="dashSmallGap" w:sz="4" w:space="0" w:color="auto"/>
            </w:tcBorders>
          </w:tcPr>
          <w:p w:rsidR="00AE75B3" w:rsidRPr="00AE75B3" w:rsidRDefault="00AE75B3" w:rsidP="00AE75B3">
            <w:pPr>
              <w:autoSpaceDE w:val="0"/>
              <w:autoSpaceDN w:val="0"/>
              <w:adjustRightInd w:val="0"/>
              <w:spacing w:after="0" w:line="240" w:lineRule="auto"/>
              <w:rPr>
                <w:rFonts w:ascii="Times New Roman" w:eastAsia="Times New Roman" w:hAnsi="Times New Roman" w:cs="Times New Roman"/>
                <w:i/>
                <w:iCs/>
                <w:lang w:val="sr-Latn-CS" w:eastAsia="en-GB" w:bidi="sr-Latn-CS"/>
              </w:rPr>
            </w:pPr>
            <w:r w:rsidRPr="00AE75B3">
              <w:rPr>
                <w:rFonts w:ascii="Times New Roman" w:eastAsia="Times New Roman" w:hAnsi="Times New Roman" w:cs="Times New Roman"/>
                <w:i/>
                <w:iCs/>
                <w:lang w:val="sr-Latn-CS" w:eastAsia="en-GB" w:bidi="sr-Latn-CS"/>
              </w:rPr>
              <w:t>Uočeno:</w:t>
            </w:r>
          </w:p>
          <w:p w:rsidR="00AE75B3" w:rsidRPr="00AE75B3" w:rsidRDefault="00AE75B3" w:rsidP="00AE75B3">
            <w:pPr>
              <w:autoSpaceDE w:val="0"/>
              <w:autoSpaceDN w:val="0"/>
              <w:adjustRightInd w:val="0"/>
              <w:spacing w:after="0" w:line="240" w:lineRule="auto"/>
              <w:rPr>
                <w:rFonts w:ascii="Times New Roman" w:eastAsia="Times New Roman" w:hAnsi="Times New Roman" w:cs="Times New Roman"/>
                <w:lang w:val="sr-Latn-CS" w:eastAsia="en-GB" w:bidi="sr-Latn-CS"/>
              </w:rPr>
            </w:pPr>
            <w:r w:rsidRPr="00AE75B3">
              <w:rPr>
                <w:rFonts w:ascii="Times New Roman" w:eastAsia="Times New Roman" w:hAnsi="Times New Roman" w:cs="Times New Roman"/>
                <w:lang w:val="sr-Latn-CS" w:eastAsia="en-GB" w:bidi="sr-Latn-CS"/>
              </w:rPr>
              <w:t>Midazolam</w:t>
            </w:r>
          </w:p>
          <w:p w:rsidR="00AE75B3" w:rsidRPr="00AE75B3" w:rsidRDefault="00AE75B3" w:rsidP="00AE75B3">
            <w:pPr>
              <w:autoSpaceDE w:val="0"/>
              <w:autoSpaceDN w:val="0"/>
              <w:adjustRightInd w:val="0"/>
              <w:spacing w:after="0" w:line="240" w:lineRule="auto"/>
              <w:rPr>
                <w:rFonts w:ascii="Times New Roman" w:eastAsia="Times New Roman" w:hAnsi="Times New Roman" w:cs="Times New Roman"/>
                <w:lang w:val="sr-Latn-CS" w:eastAsia="en-GB" w:bidi="sr-Latn-CS"/>
              </w:rPr>
            </w:pPr>
            <w:r w:rsidRPr="00AE75B3">
              <w:rPr>
                <w:rFonts w:ascii="Times New Roman" w:eastAsia="Times New Roman" w:hAnsi="Times New Roman" w:cs="Times New Roman"/>
                <w:lang w:val="sr-Latn-CS" w:eastAsia="en-GB" w:bidi="sr-Latn-CS"/>
              </w:rPr>
              <w:t>↔ Cmax 1,07 (1,00, 1,14)</w:t>
            </w:r>
          </w:p>
          <w:p w:rsidR="00AE75B3" w:rsidRPr="00AE75B3" w:rsidRDefault="00AE75B3" w:rsidP="00AE75B3">
            <w:pPr>
              <w:autoSpaceDE w:val="0"/>
              <w:autoSpaceDN w:val="0"/>
              <w:adjustRightInd w:val="0"/>
              <w:spacing w:after="0" w:line="240" w:lineRule="auto"/>
              <w:rPr>
                <w:rFonts w:ascii="Times New Roman" w:eastAsia="Times New Roman" w:hAnsi="Times New Roman" w:cs="Times New Roman"/>
                <w:lang w:val="sr-Latn-CS" w:eastAsia="en-GB" w:bidi="sr-Latn-CS"/>
              </w:rPr>
            </w:pPr>
            <w:r w:rsidRPr="00AE75B3">
              <w:rPr>
                <w:rFonts w:ascii="Times New Roman" w:eastAsia="Times New Roman" w:hAnsi="Times New Roman" w:cs="Times New Roman"/>
                <w:lang w:val="sr-Latn-CS" w:eastAsia="en-GB" w:bidi="sr-Latn-CS"/>
              </w:rPr>
              <w:t>↔ AUC 0,99 (0,95, 1,04)</w:t>
            </w:r>
          </w:p>
          <w:p w:rsidR="00AE75B3" w:rsidRPr="00AE75B3" w:rsidRDefault="00AE75B3" w:rsidP="00AE75B3">
            <w:pPr>
              <w:autoSpaceDE w:val="0"/>
              <w:autoSpaceDN w:val="0"/>
              <w:adjustRightInd w:val="0"/>
              <w:spacing w:after="0" w:line="240" w:lineRule="auto"/>
              <w:rPr>
                <w:rFonts w:ascii="Times New Roman" w:eastAsia="Times New Roman" w:hAnsi="Times New Roman" w:cs="Times New Roman"/>
                <w:lang w:val="sr-Latn-CS" w:eastAsia="en-GB" w:bidi="sr-Latn-CS"/>
              </w:rPr>
            </w:pPr>
            <w:r w:rsidRPr="00AE75B3">
              <w:rPr>
                <w:rFonts w:ascii="Times New Roman" w:eastAsia="Times New Roman" w:hAnsi="Times New Roman" w:cs="Times New Roman"/>
                <w:lang w:val="sr-Latn-CS" w:eastAsia="en-GB" w:bidi="sr-Latn-CS"/>
              </w:rPr>
              <w:t>(Inhibicija CYP3A)</w:t>
            </w:r>
          </w:p>
          <w:p w:rsidR="00AE75B3" w:rsidRPr="00AE75B3" w:rsidRDefault="00AE75B3" w:rsidP="00AE75B3">
            <w:pPr>
              <w:autoSpaceDE w:val="0"/>
              <w:autoSpaceDN w:val="0"/>
              <w:adjustRightInd w:val="0"/>
              <w:spacing w:after="0" w:line="240" w:lineRule="auto"/>
              <w:rPr>
                <w:rFonts w:ascii="Times New Roman" w:eastAsia="Times New Roman" w:hAnsi="Times New Roman" w:cs="Times New Roman"/>
                <w:lang w:val="sr-Latn-CS" w:eastAsia="en-GB" w:bidi="sr-Latn-CS"/>
              </w:rPr>
            </w:pPr>
          </w:p>
          <w:p w:rsidR="00AE75B3" w:rsidRPr="00AE75B3" w:rsidRDefault="00AE75B3" w:rsidP="00AE75B3">
            <w:pPr>
              <w:autoSpaceDE w:val="0"/>
              <w:autoSpaceDN w:val="0"/>
              <w:adjustRightInd w:val="0"/>
              <w:spacing w:after="0" w:line="240" w:lineRule="auto"/>
              <w:rPr>
                <w:rFonts w:ascii="Times New Roman" w:eastAsia="Times New Roman" w:hAnsi="Times New Roman" w:cs="Times New Roman"/>
                <w:lang w:val="sr-Latn-CS" w:eastAsia="en-GB" w:bidi="sr-Latn-CS"/>
              </w:rPr>
            </w:pPr>
            <w:r w:rsidRPr="00AE75B3">
              <w:rPr>
                <w:rFonts w:ascii="Times New Roman" w:eastAsia="Times New Roman" w:hAnsi="Times New Roman" w:cs="Times New Roman"/>
                <w:lang w:val="sr-Latn-CS" w:eastAsia="en-GB" w:bidi="sr-Latn-CS"/>
              </w:rPr>
              <w:t>Midazolam</w:t>
            </w:r>
          </w:p>
          <w:p w:rsidR="00AE75B3" w:rsidRPr="00AE75B3" w:rsidRDefault="00AE75B3" w:rsidP="00AE75B3">
            <w:pPr>
              <w:autoSpaceDE w:val="0"/>
              <w:autoSpaceDN w:val="0"/>
              <w:adjustRightInd w:val="0"/>
              <w:spacing w:after="0" w:line="240" w:lineRule="auto"/>
              <w:rPr>
                <w:rFonts w:ascii="Times New Roman" w:eastAsia="Times New Roman" w:hAnsi="Times New Roman" w:cs="Times New Roman"/>
                <w:lang w:val="sr-Latn-CS" w:eastAsia="en-GB" w:bidi="sr-Latn-CS"/>
              </w:rPr>
            </w:pPr>
            <w:r w:rsidRPr="00AE75B3">
              <w:rPr>
                <w:rFonts w:ascii="Times New Roman" w:eastAsia="Times New Roman" w:hAnsi="Times New Roman" w:cs="Times New Roman"/>
                <w:lang w:val="sr-Latn-CS" w:eastAsia="en-GB" w:bidi="sr-Latn-CS"/>
              </w:rPr>
              <w:t>↔ Cmax 0,95 (0,87, 1,04)</w:t>
            </w:r>
          </w:p>
          <w:p w:rsidR="00AE75B3" w:rsidRPr="00AE75B3" w:rsidRDefault="00AE75B3" w:rsidP="00AE75B3">
            <w:pPr>
              <w:autoSpaceDE w:val="0"/>
              <w:autoSpaceDN w:val="0"/>
              <w:adjustRightInd w:val="0"/>
              <w:spacing w:after="0" w:line="240" w:lineRule="auto"/>
              <w:rPr>
                <w:rFonts w:ascii="Times New Roman" w:eastAsia="Times New Roman" w:hAnsi="Times New Roman" w:cs="Times New Roman"/>
                <w:lang w:val="sr-Latn-CS" w:eastAsia="en-GB" w:bidi="sr-Latn-CS"/>
              </w:rPr>
            </w:pPr>
            <w:r w:rsidRPr="00AE75B3">
              <w:rPr>
                <w:rFonts w:ascii="Times New Roman" w:eastAsia="Times New Roman" w:hAnsi="Times New Roman" w:cs="Times New Roman"/>
                <w:lang w:val="sr-Latn-CS" w:eastAsia="en-GB" w:bidi="sr-Latn-CS"/>
              </w:rPr>
              <w:t>↔ AUC 0,89 (0,84, 0,95)</w:t>
            </w:r>
          </w:p>
          <w:p w:rsidR="00AE75B3" w:rsidRPr="00AE75B3" w:rsidRDefault="00AE75B3" w:rsidP="00AE75B3">
            <w:pPr>
              <w:autoSpaceDE w:val="0"/>
              <w:autoSpaceDN w:val="0"/>
              <w:adjustRightInd w:val="0"/>
              <w:spacing w:after="0" w:line="240" w:lineRule="auto"/>
              <w:rPr>
                <w:rFonts w:ascii="Times New Roman" w:eastAsia="Times New Roman" w:hAnsi="Times New Roman" w:cs="Times New Roman"/>
                <w:lang w:val="sr-Latn-CS" w:eastAsia="en-GB" w:bidi="sr-Latn-CS"/>
              </w:rPr>
            </w:pPr>
            <w:r w:rsidRPr="00AE75B3">
              <w:rPr>
                <w:rFonts w:ascii="Times New Roman" w:eastAsia="Times New Roman" w:hAnsi="Times New Roman" w:cs="Times New Roman"/>
                <w:lang w:val="sr-Latn-CS" w:eastAsia="en-GB" w:bidi="sr-Latn-CS"/>
              </w:rPr>
              <w:t>(Indukcija CYP3A)</w:t>
            </w:r>
          </w:p>
          <w:p w:rsidR="00AE75B3" w:rsidRPr="00AE75B3" w:rsidRDefault="00AE75B3" w:rsidP="00AE75B3">
            <w:pPr>
              <w:autoSpaceDE w:val="0"/>
              <w:autoSpaceDN w:val="0"/>
              <w:adjustRightInd w:val="0"/>
              <w:spacing w:after="0" w:line="240" w:lineRule="auto"/>
              <w:rPr>
                <w:rFonts w:ascii="Times New Roman" w:eastAsia="Times New Roman" w:hAnsi="Times New Roman" w:cs="Times New Roman"/>
                <w:i/>
                <w:iCs/>
                <w:lang w:val="sr-Latn-CS" w:eastAsia="en-GB" w:bidi="sr-Latn-CS"/>
              </w:rPr>
            </w:pPr>
          </w:p>
          <w:p w:rsidR="00AE75B3" w:rsidRPr="00AE75B3" w:rsidRDefault="00AE75B3" w:rsidP="00AE75B3">
            <w:pPr>
              <w:autoSpaceDE w:val="0"/>
              <w:autoSpaceDN w:val="0"/>
              <w:adjustRightInd w:val="0"/>
              <w:spacing w:after="0" w:line="240" w:lineRule="auto"/>
              <w:rPr>
                <w:rFonts w:ascii="Times New Roman" w:eastAsia="Times New Roman" w:hAnsi="Times New Roman" w:cs="Times New Roman"/>
                <w:i/>
                <w:iCs/>
                <w:lang w:val="sr-Latn-CS" w:eastAsia="en-GB" w:bidi="sr-Latn-CS"/>
              </w:rPr>
            </w:pPr>
            <w:r w:rsidRPr="00AE75B3">
              <w:rPr>
                <w:rFonts w:ascii="Times New Roman" w:eastAsia="Times New Roman" w:hAnsi="Times New Roman" w:cs="Times New Roman"/>
                <w:i/>
                <w:iCs/>
                <w:lang w:val="sr-Latn-CS" w:eastAsia="en-GB" w:bidi="sr-Latn-CS"/>
              </w:rPr>
              <w:t>Očekivano:</w:t>
            </w:r>
          </w:p>
          <w:p w:rsidR="00AE75B3" w:rsidRPr="00AE75B3" w:rsidRDefault="00AE75B3" w:rsidP="00AE75B3">
            <w:pPr>
              <w:autoSpaceDE w:val="0"/>
              <w:autoSpaceDN w:val="0"/>
              <w:adjustRightInd w:val="0"/>
              <w:spacing w:after="0" w:line="240" w:lineRule="auto"/>
              <w:rPr>
                <w:rFonts w:ascii="Times New Roman" w:eastAsia="Times New Roman" w:hAnsi="Times New Roman" w:cs="Times New Roman"/>
                <w:lang w:val="sr-Latn-CS" w:eastAsia="en-GB" w:bidi="sr-Latn-CS"/>
              </w:rPr>
            </w:pPr>
            <w:r w:rsidRPr="00AE75B3">
              <w:rPr>
                <w:rFonts w:ascii="Times New Roman" w:eastAsia="Times New Roman" w:hAnsi="Times New Roman" w:cs="Times New Roman"/>
                <w:lang w:val="sr-Latn-CS" w:eastAsia="en-GB" w:bidi="sr-Latn-CS"/>
              </w:rPr>
              <w:t>↔ Sofosbuvir</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en-GB" w:bidi="sr-Latn-CS"/>
              </w:rPr>
              <w:t>↔ GS-331007</w:t>
            </w:r>
          </w:p>
        </w:tc>
        <w:tc>
          <w:tcPr>
            <w:tcW w:w="4708" w:type="dxa"/>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en-GB" w:bidi="sr-Latn-CS"/>
              </w:rPr>
              <w:t>Nije potrebno prilagođavanje doze lijeka Harvoni ili midazolama.</w:t>
            </w:r>
          </w:p>
        </w:tc>
      </w:tr>
      <w:tr w:rsidR="00AE75B3" w:rsidRPr="00AE75B3" w:rsidTr="00F11E78">
        <w:tblPrEx>
          <w:tblLook w:val="0000" w:firstRow="0" w:lastRow="0" w:firstColumn="0" w:lastColumn="0" w:noHBand="0" w:noVBand="0"/>
        </w:tblPrEx>
        <w:trPr>
          <w:cantSplit/>
        </w:trPr>
        <w:tc>
          <w:tcPr>
            <w:tcW w:w="9634" w:type="dxa"/>
            <w:gridSpan w:val="3"/>
            <w:tcBorders>
              <w:bottom w:val="dashSmallGap" w:sz="4" w:space="0" w:color="auto"/>
            </w:tcBorders>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b/>
                <w:i/>
                <w:lang w:val="sr-Latn-CS" w:eastAsia="sr-Latn-CS" w:bidi="sr-Latn-CS"/>
              </w:rPr>
              <w:t>LJEKOVI ZA LIJEČENJE HCV INFEKCIJE</w:t>
            </w:r>
          </w:p>
        </w:tc>
      </w:tr>
      <w:tr w:rsidR="00AE75B3" w:rsidRPr="00AE75B3" w:rsidTr="00F11E78">
        <w:tblPrEx>
          <w:tblLook w:val="0000" w:firstRow="0" w:lastRow="0" w:firstColumn="0" w:lastColumn="0" w:noHBand="0" w:noVBand="0"/>
        </w:tblPrEx>
        <w:trPr>
          <w:cantSplit/>
        </w:trPr>
        <w:tc>
          <w:tcPr>
            <w:tcW w:w="2517" w:type="dxa"/>
            <w:tcBorders>
              <w:bottom w:val="dashSmallGap" w:sz="4" w:space="0" w:color="auto"/>
            </w:tcBorders>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Simeprevir (150 mg jednom dnevno)/ledipasvir (30 mg jednom dnevno)</w:t>
            </w:r>
          </w:p>
        </w:tc>
        <w:tc>
          <w:tcPr>
            <w:tcW w:w="2409" w:type="dxa"/>
            <w:tcBorders>
              <w:bottom w:val="dashSmallGap" w:sz="4" w:space="0" w:color="auto"/>
            </w:tcBorders>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Simeprevir</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max</w:t>
            </w:r>
            <w:r w:rsidRPr="00AE75B3">
              <w:rPr>
                <w:rFonts w:ascii="Times New Roman" w:eastAsia="Times New Roman" w:hAnsi="Times New Roman" w:cs="Times New Roman"/>
                <w:lang w:val="sr-Latn-CS" w:eastAsia="sr-Latn-CS" w:bidi="sr-Latn-CS"/>
              </w:rPr>
              <w:t xml:space="preserve"> 2,61 (2,39, 2,86)</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AUC 2,69 (2,44, 2,96)</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Ledipasvir</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max</w:t>
            </w:r>
            <w:r w:rsidRPr="00AE75B3">
              <w:rPr>
                <w:rFonts w:ascii="Times New Roman" w:eastAsia="Times New Roman" w:hAnsi="Times New Roman" w:cs="Times New Roman"/>
                <w:lang w:val="sr-Latn-CS" w:eastAsia="sr-Latn-CS" w:bidi="sr-Latn-CS"/>
              </w:rPr>
              <w:t xml:space="preserve"> 1,81 (1,69, 2,94)</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AUC 1,92 (1,77, 2,07)</w:t>
            </w:r>
          </w:p>
        </w:tc>
        <w:tc>
          <w:tcPr>
            <w:tcW w:w="4708" w:type="dxa"/>
            <w:vMerge w:val="restart"/>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Koncentracije ledipasvira, sofosbuvira i simeprevira povećane su kad se simeprevir koristi istovremeno sa lijekom Harvoni. Ne preporučuje se istovremena upotreba ovih ljekova.</w:t>
            </w:r>
          </w:p>
        </w:tc>
      </w:tr>
      <w:tr w:rsidR="00AE75B3" w:rsidRPr="00AE75B3" w:rsidTr="00F11E78">
        <w:tblPrEx>
          <w:tblLook w:val="0000" w:firstRow="0" w:lastRow="0" w:firstColumn="0" w:lastColumn="0" w:noHBand="0" w:noVBand="0"/>
        </w:tblPrEx>
        <w:trPr>
          <w:cantSplit/>
        </w:trPr>
        <w:tc>
          <w:tcPr>
            <w:tcW w:w="2517" w:type="dxa"/>
            <w:tcBorders>
              <w:top w:val="dashSmallGap" w:sz="4" w:space="0" w:color="auto"/>
            </w:tcBorders>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lastRenderedPageBreak/>
              <w:t>Simeprevir</w:t>
            </w:r>
            <w:r w:rsidRPr="00AE75B3">
              <w:rPr>
                <w:rFonts w:ascii="Times New Roman" w:eastAsia="Times New Roman" w:hAnsi="Times New Roman" w:cs="Times New Roman"/>
                <w:vertAlign w:val="superscript"/>
                <w:lang w:val="sr-Latn-CS" w:eastAsia="sr-Latn-CS" w:bidi="sr-Latn-CS"/>
              </w:rPr>
              <w:t>h</w:t>
            </w:r>
          </w:p>
        </w:tc>
        <w:tc>
          <w:tcPr>
            <w:tcW w:w="2409" w:type="dxa"/>
            <w:tcBorders>
              <w:top w:val="dashSmallGap" w:sz="4" w:space="0" w:color="auto"/>
            </w:tcBorders>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Simeprevir</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max</w:t>
            </w:r>
            <w:r w:rsidRPr="00AE75B3">
              <w:rPr>
                <w:rFonts w:ascii="Times New Roman" w:eastAsia="Times New Roman" w:hAnsi="Times New Roman" w:cs="Times New Roman"/>
                <w:lang w:val="sr-Latn-CS" w:eastAsia="sr-Latn-CS" w:bidi="sr-Latn-CS"/>
              </w:rPr>
              <w:t xml:space="preserve"> 0,96 (0,71, 1,30)</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AUC 0,94 (0,67, 1,33)</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Sofosbuvir</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max</w:t>
            </w:r>
            <w:r w:rsidRPr="00AE75B3">
              <w:rPr>
                <w:rFonts w:ascii="Times New Roman" w:eastAsia="Times New Roman" w:hAnsi="Times New Roman" w:cs="Times New Roman"/>
                <w:lang w:val="sr-Latn-CS" w:eastAsia="sr-Latn-CS" w:bidi="sr-Latn-CS"/>
              </w:rPr>
              <w:t xml:space="preserve"> 1,91 (1,26, 2,90)</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AUC 3,16 (2,25, 4,44)</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GS</w:t>
            </w:r>
            <w:r w:rsidRPr="00AE75B3">
              <w:rPr>
                <w:rFonts w:ascii="Times New Roman" w:eastAsia="Times New Roman" w:hAnsi="Times New Roman" w:cs="Times New Roman"/>
                <w:b/>
                <w:lang w:val="sr-Latn-CS" w:eastAsia="sr-Latn-CS" w:bidi="sr-Latn-CS"/>
              </w:rPr>
              <w:noBreakHyphen/>
            </w:r>
            <w:r w:rsidRPr="00AE75B3">
              <w:rPr>
                <w:rFonts w:ascii="Times New Roman" w:eastAsia="Times New Roman" w:hAnsi="Times New Roman" w:cs="Times New Roman"/>
                <w:lang w:val="sr-Latn-CS" w:eastAsia="sr-Latn-CS" w:bidi="sr-Latn-CS"/>
              </w:rPr>
              <w:t>331007</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max</w:t>
            </w:r>
            <w:r w:rsidRPr="00AE75B3">
              <w:rPr>
                <w:rFonts w:ascii="Times New Roman" w:eastAsia="Times New Roman" w:hAnsi="Times New Roman" w:cs="Times New Roman"/>
                <w:lang w:val="sr-Latn-CS" w:eastAsia="sr-Latn-CS" w:bidi="sr-Latn-CS"/>
              </w:rPr>
              <w:t xml:space="preserve"> 0,69 (0,52, 0,93)</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AUC 1,09 (0,87, 1,37)</w:t>
            </w:r>
          </w:p>
        </w:tc>
        <w:tc>
          <w:tcPr>
            <w:tcW w:w="4708" w:type="dxa"/>
            <w:vMerge/>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p>
        </w:tc>
      </w:tr>
      <w:tr w:rsidR="00AE75B3" w:rsidRPr="00AE75B3" w:rsidTr="00F11E78">
        <w:tblPrEx>
          <w:tblLook w:val="0000" w:firstRow="0" w:lastRow="0" w:firstColumn="0" w:lastColumn="0" w:noHBand="0" w:noVBand="0"/>
        </w:tblPrEx>
        <w:trPr>
          <w:cantSplit/>
        </w:trPr>
        <w:tc>
          <w:tcPr>
            <w:tcW w:w="9634" w:type="dxa"/>
            <w:gridSpan w:val="3"/>
          </w:tcPr>
          <w:p w:rsidR="00AE75B3" w:rsidRPr="00AE75B3" w:rsidRDefault="00AE75B3" w:rsidP="00AE75B3">
            <w:pPr>
              <w:keepNext/>
              <w:keepLines/>
              <w:spacing w:after="0" w:line="240" w:lineRule="auto"/>
              <w:outlineLvl w:val="0"/>
              <w:rPr>
                <w:rFonts w:ascii="Times New Roman" w:eastAsia="Times New Roman" w:hAnsi="Times New Roman" w:cs="Times New Roman"/>
                <w:b/>
                <w:i/>
                <w:lang w:val="sr-Latn-CS" w:eastAsia="sr-Latn-CS" w:bidi="sr-Latn-CS"/>
              </w:rPr>
            </w:pPr>
            <w:r w:rsidRPr="00AE75B3">
              <w:rPr>
                <w:rFonts w:ascii="Times New Roman" w:eastAsia="Times New Roman" w:hAnsi="Times New Roman" w:cs="Times New Roman"/>
                <w:b/>
                <w:i/>
                <w:lang w:val="sr-Latn-CS" w:eastAsia="sr-Latn-CS" w:bidi="sr-Latn-CS"/>
              </w:rPr>
              <w:lastRenderedPageBreak/>
              <w:t>ANTIVIRUSNI LJEKOVI ZA LIJEČENJE HIV INFEKCIJE: INHIBITORI REVERZNE TRANSKRIPTAZE</w:t>
            </w:r>
          </w:p>
        </w:tc>
      </w:tr>
      <w:tr w:rsidR="00AE75B3" w:rsidRPr="00AE75B3" w:rsidTr="00F11E78">
        <w:tblPrEx>
          <w:tblLook w:val="0000" w:firstRow="0" w:lastRow="0" w:firstColumn="0" w:lastColumn="0" w:noHBand="0" w:noVBand="0"/>
        </w:tblPrEx>
        <w:trPr>
          <w:cantSplit/>
        </w:trPr>
        <w:tc>
          <w:tcPr>
            <w:tcW w:w="2517" w:type="dxa"/>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Efavirenc/emtricitabin/tenofovir disoproksil fumarat</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(600 mg/200 mg/300 mg/jednom dnevno)/ledipasvir (90 mg jednom dnevno)</w:t>
            </w:r>
            <w:r w:rsidRPr="00AE75B3">
              <w:rPr>
                <w:rFonts w:ascii="Times New Roman" w:eastAsia="Times New Roman" w:hAnsi="Times New Roman" w:cs="Times New Roman"/>
                <w:vertAlign w:val="superscript"/>
                <w:lang w:val="sr-Latn-CS" w:eastAsia="sr-Latn-CS" w:bidi="sr-Latn-CS"/>
              </w:rPr>
              <w:t>c</w:t>
            </w:r>
            <w:r w:rsidRPr="00AE75B3">
              <w:rPr>
                <w:rFonts w:ascii="Times New Roman" w:eastAsia="Times New Roman" w:hAnsi="Times New Roman" w:cs="Times New Roman"/>
                <w:lang w:val="sr-Latn-CS" w:eastAsia="sr-Latn-CS" w:bidi="sr-Latn-CS"/>
              </w:rPr>
              <w:t>/sofosbuvir (400 mg jednom dnevno)</w:t>
            </w:r>
            <w:r w:rsidRPr="00AE75B3">
              <w:rPr>
                <w:rFonts w:ascii="Times New Roman" w:eastAsia="Times New Roman" w:hAnsi="Times New Roman" w:cs="Times New Roman"/>
                <w:vertAlign w:val="superscript"/>
                <w:lang w:val="sr-Latn-CS" w:eastAsia="sr-Latn-CS" w:bidi="sr-Latn-CS"/>
              </w:rPr>
              <w:t>c, d</w:t>
            </w:r>
          </w:p>
        </w:tc>
        <w:tc>
          <w:tcPr>
            <w:tcW w:w="2409" w:type="dxa"/>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Efavirenc</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max</w:t>
            </w:r>
            <w:r w:rsidRPr="00AE75B3">
              <w:rPr>
                <w:rFonts w:ascii="Times New Roman" w:eastAsia="Times New Roman" w:hAnsi="Times New Roman" w:cs="Times New Roman"/>
                <w:lang w:val="sr-Latn-CS" w:eastAsia="sr-Latn-CS" w:bidi="sr-Latn-CS"/>
              </w:rPr>
              <w:t xml:space="preserve"> 0,87 (0,79, 0,97)</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AUC 0,90 (0,84, 0,96)</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min</w:t>
            </w:r>
            <w:r w:rsidRPr="00AE75B3">
              <w:rPr>
                <w:rFonts w:ascii="Times New Roman" w:eastAsia="Times New Roman" w:hAnsi="Times New Roman" w:cs="Times New Roman"/>
                <w:lang w:val="sr-Latn-CS" w:eastAsia="sr-Latn-CS" w:bidi="sr-Latn-CS"/>
              </w:rPr>
              <w:t xml:space="preserve"> 0,91 (0,83, 0,99)</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Emtricitabin</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max</w:t>
            </w:r>
            <w:r w:rsidRPr="00AE75B3">
              <w:rPr>
                <w:rFonts w:ascii="Times New Roman" w:eastAsia="Times New Roman" w:hAnsi="Times New Roman" w:cs="Times New Roman"/>
                <w:lang w:val="sr-Latn-CS" w:eastAsia="sr-Latn-CS" w:bidi="sr-Latn-CS"/>
              </w:rPr>
              <w:t xml:space="preserve"> 1,08 (0,97, 1,21)</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AUC 1,05 (0,98, 1,11)</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min</w:t>
            </w:r>
            <w:r w:rsidRPr="00AE75B3">
              <w:rPr>
                <w:rFonts w:ascii="Times New Roman" w:eastAsia="Times New Roman" w:hAnsi="Times New Roman" w:cs="Times New Roman"/>
                <w:lang w:val="sr-Latn-CS" w:eastAsia="sr-Latn-CS" w:bidi="sr-Latn-CS"/>
              </w:rPr>
              <w:t xml:space="preserve"> 1,04 (0,98, 1,11)</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Tenofovir</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max</w:t>
            </w:r>
            <w:r w:rsidRPr="00AE75B3">
              <w:rPr>
                <w:rFonts w:ascii="Times New Roman" w:eastAsia="Times New Roman" w:hAnsi="Times New Roman" w:cs="Times New Roman"/>
                <w:lang w:val="sr-Latn-CS" w:eastAsia="sr-Latn-CS" w:bidi="sr-Latn-CS"/>
              </w:rPr>
              <w:t xml:space="preserve"> 1,79 (1,56, 2,04)</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AUC 1,98 (1,77, 2,23)</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min</w:t>
            </w:r>
            <w:r w:rsidRPr="00AE75B3">
              <w:rPr>
                <w:rFonts w:ascii="Times New Roman" w:eastAsia="Times New Roman" w:hAnsi="Times New Roman" w:cs="Times New Roman"/>
                <w:lang w:val="sr-Latn-CS" w:eastAsia="sr-Latn-CS" w:bidi="sr-Latn-CS"/>
              </w:rPr>
              <w:t xml:space="preserve"> 2,63 (2,32, 2,97)</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Ledipasvir</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max</w:t>
            </w:r>
            <w:r w:rsidRPr="00AE75B3">
              <w:rPr>
                <w:rFonts w:ascii="Times New Roman" w:eastAsia="Times New Roman" w:hAnsi="Times New Roman" w:cs="Times New Roman"/>
                <w:lang w:val="sr-Latn-CS" w:eastAsia="sr-Latn-CS" w:bidi="sr-Latn-CS"/>
              </w:rPr>
              <w:t xml:space="preserve"> 0,66 (0,59, 0,75)</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AUC 0,66 (0,59, 0,75)</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min</w:t>
            </w:r>
            <w:r w:rsidRPr="00AE75B3">
              <w:rPr>
                <w:rFonts w:ascii="Times New Roman" w:eastAsia="Times New Roman" w:hAnsi="Times New Roman" w:cs="Times New Roman"/>
                <w:lang w:val="sr-Latn-CS" w:eastAsia="sr-Latn-CS" w:bidi="sr-Latn-CS"/>
              </w:rPr>
              <w:t xml:space="preserve"> 0,66 (0,57, 0,76)</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Sofosbuvir</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max</w:t>
            </w:r>
            <w:r w:rsidRPr="00AE75B3">
              <w:rPr>
                <w:rFonts w:ascii="Times New Roman" w:eastAsia="Times New Roman" w:hAnsi="Times New Roman" w:cs="Times New Roman"/>
                <w:lang w:val="sr-Latn-CS" w:eastAsia="sr-Latn-CS" w:bidi="sr-Latn-CS"/>
              </w:rPr>
              <w:t xml:space="preserve"> 1,03 (0,87, 1,23)</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AUC 0,94 (0,81, 1,10)</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GS</w:t>
            </w:r>
            <w:r w:rsidRPr="00AE75B3">
              <w:rPr>
                <w:rFonts w:ascii="Times New Roman" w:eastAsia="Times New Roman" w:hAnsi="Times New Roman" w:cs="Times New Roman"/>
                <w:b/>
                <w:lang w:val="sr-Latn-CS" w:eastAsia="sr-Latn-CS" w:bidi="sr-Latn-CS"/>
              </w:rPr>
              <w:noBreakHyphen/>
            </w:r>
            <w:r w:rsidRPr="00AE75B3">
              <w:rPr>
                <w:rFonts w:ascii="Times New Roman" w:eastAsia="Times New Roman" w:hAnsi="Times New Roman" w:cs="Times New Roman"/>
                <w:lang w:val="sr-Latn-CS" w:eastAsia="sr-Latn-CS" w:bidi="sr-Latn-CS"/>
              </w:rPr>
              <w:t>331007</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max</w:t>
            </w:r>
            <w:r w:rsidRPr="00AE75B3">
              <w:rPr>
                <w:rFonts w:ascii="Times New Roman" w:eastAsia="Times New Roman" w:hAnsi="Times New Roman" w:cs="Times New Roman"/>
                <w:lang w:val="sr-Latn-CS" w:eastAsia="sr-Latn-CS" w:bidi="sr-Latn-CS"/>
              </w:rPr>
              <w:t xml:space="preserve"> 0,86 (0,76, 0,96)</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AUC 0,90 (0,83, 0,97)</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min</w:t>
            </w:r>
            <w:r w:rsidRPr="00AE75B3">
              <w:rPr>
                <w:rFonts w:ascii="Times New Roman" w:eastAsia="Times New Roman" w:hAnsi="Times New Roman" w:cs="Times New Roman"/>
                <w:lang w:val="sr-Latn-CS" w:eastAsia="sr-Latn-CS" w:bidi="sr-Latn-CS"/>
              </w:rPr>
              <w:t xml:space="preserve"> 1,07 (1,02, 1,13)</w:t>
            </w:r>
          </w:p>
        </w:tc>
        <w:tc>
          <w:tcPr>
            <w:tcW w:w="4708" w:type="dxa"/>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Nije potrebno prilagođavanje doze lijeka Harvoni ili efavirenca /emtricitabina /tenofovir disoproksil fumarata.</w:t>
            </w:r>
          </w:p>
        </w:tc>
      </w:tr>
      <w:tr w:rsidR="00AE75B3" w:rsidRPr="00AE75B3" w:rsidTr="00F11E78">
        <w:tblPrEx>
          <w:tblLook w:val="0000" w:firstRow="0" w:lastRow="0" w:firstColumn="0" w:lastColumn="0" w:noHBand="0" w:noVBand="0"/>
        </w:tblPrEx>
        <w:trPr>
          <w:cantSplit/>
        </w:trPr>
        <w:tc>
          <w:tcPr>
            <w:tcW w:w="2517" w:type="dxa"/>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lastRenderedPageBreak/>
              <w:t>Emtricitabin/rilpivirin/tenofovir disoproksil fumarat</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(200 mg/25 mg/300 mg/jednom dnevno)/ledipasvir (90 mg jednom dnevno)</w:t>
            </w:r>
            <w:r w:rsidRPr="00AE75B3">
              <w:rPr>
                <w:rFonts w:ascii="Times New Roman" w:eastAsia="Times New Roman" w:hAnsi="Times New Roman" w:cs="Times New Roman"/>
                <w:vertAlign w:val="superscript"/>
                <w:lang w:val="sr-Latn-CS" w:eastAsia="sr-Latn-CS" w:bidi="sr-Latn-CS"/>
              </w:rPr>
              <w:t>c</w:t>
            </w:r>
            <w:r w:rsidRPr="00AE75B3">
              <w:rPr>
                <w:rFonts w:ascii="Times New Roman" w:eastAsia="Times New Roman" w:hAnsi="Times New Roman" w:cs="Times New Roman"/>
                <w:lang w:val="sr-Latn-CS" w:eastAsia="sr-Latn-CS" w:bidi="sr-Latn-CS"/>
              </w:rPr>
              <w:t>/sofosbuvir (400 mg jednom dnevno)</w:t>
            </w:r>
            <w:r w:rsidRPr="00AE75B3">
              <w:rPr>
                <w:rFonts w:ascii="Times New Roman" w:eastAsia="Times New Roman" w:hAnsi="Times New Roman" w:cs="Times New Roman"/>
                <w:vertAlign w:val="superscript"/>
                <w:lang w:val="sr-Latn-CS" w:eastAsia="sr-Latn-CS" w:bidi="sr-Latn-CS"/>
              </w:rPr>
              <w:t>c, d</w:t>
            </w:r>
          </w:p>
        </w:tc>
        <w:tc>
          <w:tcPr>
            <w:tcW w:w="2409" w:type="dxa"/>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Emtricitabin</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max</w:t>
            </w:r>
            <w:r w:rsidRPr="00AE75B3">
              <w:rPr>
                <w:rFonts w:ascii="Times New Roman" w:eastAsia="Times New Roman" w:hAnsi="Times New Roman" w:cs="Times New Roman"/>
                <w:lang w:val="sr-Latn-CS" w:eastAsia="sr-Latn-CS" w:bidi="sr-Latn-CS"/>
              </w:rPr>
              <w:t xml:space="preserve"> 1,02 (0,98, 1,06)</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AUC 1,05 (1,02, 1,08)</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min</w:t>
            </w:r>
            <w:r w:rsidRPr="00AE75B3">
              <w:rPr>
                <w:rFonts w:ascii="Times New Roman" w:eastAsia="Times New Roman" w:hAnsi="Times New Roman" w:cs="Times New Roman"/>
                <w:lang w:val="sr-Latn-CS" w:eastAsia="sr-Latn-CS" w:bidi="sr-Latn-CS"/>
              </w:rPr>
              <w:t xml:space="preserve"> 1,06 (0,97, 1,15)</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Rilpivirin</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max</w:t>
            </w:r>
            <w:r w:rsidRPr="00AE75B3">
              <w:rPr>
                <w:rFonts w:ascii="Times New Roman" w:eastAsia="Times New Roman" w:hAnsi="Times New Roman" w:cs="Times New Roman"/>
                <w:lang w:val="sr-Latn-CS" w:eastAsia="sr-Latn-CS" w:bidi="sr-Latn-CS"/>
              </w:rPr>
              <w:t xml:space="preserve"> 0,97 (0,88, 1,07)</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AUC 1,02 (0,94, 1,11)</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min</w:t>
            </w:r>
            <w:r w:rsidRPr="00AE75B3">
              <w:rPr>
                <w:rFonts w:ascii="Times New Roman" w:eastAsia="Times New Roman" w:hAnsi="Times New Roman" w:cs="Times New Roman"/>
                <w:lang w:val="sr-Latn-CS" w:eastAsia="sr-Latn-CS" w:bidi="sr-Latn-CS"/>
              </w:rPr>
              <w:t xml:space="preserve"> 1,12 (1,03, 1,21)</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Tenofovir</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max</w:t>
            </w:r>
            <w:r w:rsidRPr="00AE75B3">
              <w:rPr>
                <w:rFonts w:ascii="Times New Roman" w:eastAsia="Times New Roman" w:hAnsi="Times New Roman" w:cs="Times New Roman"/>
                <w:lang w:val="sr-Latn-CS" w:eastAsia="sr-Latn-CS" w:bidi="sr-Latn-CS"/>
              </w:rPr>
              <w:t xml:space="preserve"> 1,32 (1,25, 1,39)</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AUC 1,40 (1,31, 1,50)</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min</w:t>
            </w:r>
            <w:r w:rsidRPr="00AE75B3">
              <w:rPr>
                <w:rFonts w:ascii="Times New Roman" w:eastAsia="Times New Roman" w:hAnsi="Times New Roman" w:cs="Times New Roman"/>
                <w:lang w:val="sr-Latn-CS" w:eastAsia="sr-Latn-CS" w:bidi="sr-Latn-CS"/>
              </w:rPr>
              <w:t xml:space="preserve"> 1,91 (1,74, 2,10)</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Ledipasvir</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max</w:t>
            </w:r>
            <w:r w:rsidRPr="00AE75B3">
              <w:rPr>
                <w:rFonts w:ascii="Times New Roman" w:eastAsia="Times New Roman" w:hAnsi="Times New Roman" w:cs="Times New Roman"/>
                <w:lang w:val="sr-Latn-CS" w:eastAsia="sr-Latn-CS" w:bidi="sr-Latn-CS"/>
              </w:rPr>
              <w:t xml:space="preserve"> 1,01 (0,95, 1,07)</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AUC 1,08 (1,02, 1,15)</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min</w:t>
            </w:r>
            <w:r w:rsidRPr="00AE75B3">
              <w:rPr>
                <w:rFonts w:ascii="Times New Roman" w:eastAsia="Times New Roman" w:hAnsi="Times New Roman" w:cs="Times New Roman"/>
                <w:lang w:val="sr-Latn-CS" w:eastAsia="sr-Latn-CS" w:bidi="sr-Latn-CS"/>
              </w:rPr>
              <w:t xml:space="preserve"> 1,16 (1,08, 1,25)</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Sofosbuvir</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max</w:t>
            </w:r>
            <w:r w:rsidRPr="00AE75B3">
              <w:rPr>
                <w:rFonts w:ascii="Times New Roman" w:eastAsia="Times New Roman" w:hAnsi="Times New Roman" w:cs="Times New Roman"/>
                <w:lang w:val="sr-Latn-CS" w:eastAsia="sr-Latn-CS" w:bidi="sr-Latn-CS"/>
              </w:rPr>
              <w:t xml:space="preserve"> 1,05 (0,93, 1,20)</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AUC 1,10 (1,01, 1,21)</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GS</w:t>
            </w:r>
            <w:r w:rsidRPr="00AE75B3">
              <w:rPr>
                <w:rFonts w:ascii="Times New Roman" w:eastAsia="Times New Roman" w:hAnsi="Times New Roman" w:cs="Times New Roman"/>
                <w:b/>
                <w:lang w:val="sr-Latn-CS" w:eastAsia="sr-Latn-CS" w:bidi="sr-Latn-CS"/>
              </w:rPr>
              <w:noBreakHyphen/>
            </w:r>
            <w:r w:rsidRPr="00AE75B3">
              <w:rPr>
                <w:rFonts w:ascii="Times New Roman" w:eastAsia="Times New Roman" w:hAnsi="Times New Roman" w:cs="Times New Roman"/>
                <w:lang w:val="sr-Latn-CS" w:eastAsia="sr-Latn-CS" w:bidi="sr-Latn-CS"/>
              </w:rPr>
              <w:t>331007</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max</w:t>
            </w:r>
            <w:r w:rsidRPr="00AE75B3">
              <w:rPr>
                <w:rFonts w:ascii="Times New Roman" w:eastAsia="Times New Roman" w:hAnsi="Times New Roman" w:cs="Times New Roman"/>
                <w:lang w:val="sr-Latn-CS" w:eastAsia="sr-Latn-CS" w:bidi="sr-Latn-CS"/>
              </w:rPr>
              <w:t xml:space="preserve"> 1,06 (1,01, 1,11)</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AUC 1,15 (1,11, 1,19)</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min</w:t>
            </w:r>
            <w:r w:rsidRPr="00AE75B3">
              <w:rPr>
                <w:rFonts w:ascii="Times New Roman" w:eastAsia="Times New Roman" w:hAnsi="Times New Roman" w:cs="Times New Roman"/>
                <w:lang w:val="sr-Latn-CS" w:eastAsia="sr-Latn-CS" w:bidi="sr-Latn-CS"/>
              </w:rPr>
              <w:t xml:space="preserve"> 1,18 (1,13, 1,24)</w:t>
            </w:r>
          </w:p>
        </w:tc>
        <w:tc>
          <w:tcPr>
            <w:tcW w:w="4708" w:type="dxa"/>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Nije potrebno prilagođavanje doze lijeka Harvoni ili emtricitabina /rilpirivina /tenofovir disoproksil fumarata.</w:t>
            </w:r>
          </w:p>
        </w:tc>
      </w:tr>
      <w:tr w:rsidR="00AE75B3" w:rsidRPr="00AE75B3" w:rsidTr="00F11E78">
        <w:tblPrEx>
          <w:tblLook w:val="0000" w:firstRow="0" w:lastRow="0" w:firstColumn="0" w:lastColumn="0" w:noHBand="0" w:noVBand="0"/>
        </w:tblPrEx>
        <w:trPr>
          <w:cantSplit/>
        </w:trPr>
        <w:tc>
          <w:tcPr>
            <w:tcW w:w="2517" w:type="dxa"/>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lastRenderedPageBreak/>
              <w:t>Abakavir/lamivudin</w:t>
            </w:r>
          </w:p>
          <w:p w:rsidR="00AE75B3" w:rsidRPr="00AE75B3" w:rsidRDefault="00AE75B3" w:rsidP="00AE75B3">
            <w:pPr>
              <w:spacing w:after="0" w:line="240" w:lineRule="auto"/>
              <w:outlineLvl w:val="0"/>
              <w:rPr>
                <w:rFonts w:ascii="Times New Roman" w:eastAsia="Times New Roman" w:hAnsi="Times New Roman" w:cs="Times New Roman"/>
                <w:vertAlign w:val="superscript"/>
                <w:lang w:val="sr-Latn-CS" w:eastAsia="sr-Latn-CS" w:bidi="sr-Latn-CS"/>
              </w:rPr>
            </w:pPr>
            <w:r w:rsidRPr="00AE75B3">
              <w:rPr>
                <w:rFonts w:ascii="Times New Roman" w:eastAsia="Times New Roman" w:hAnsi="Times New Roman" w:cs="Times New Roman"/>
                <w:lang w:val="sr-Latn-CS" w:eastAsia="sr-Latn-CS" w:bidi="sr-Latn-CS"/>
              </w:rPr>
              <w:t>(600 mg/300 mg jednom dnevno)/ledipasvir (90 mg jednom dnevno)</w:t>
            </w:r>
            <w:r w:rsidRPr="00AE75B3">
              <w:rPr>
                <w:rFonts w:ascii="Times New Roman" w:eastAsia="Times New Roman" w:hAnsi="Times New Roman" w:cs="Times New Roman"/>
                <w:vertAlign w:val="superscript"/>
                <w:lang w:val="sr-Latn-CS" w:eastAsia="sr-Latn-CS" w:bidi="sr-Latn-CS"/>
              </w:rPr>
              <w:t>c</w:t>
            </w:r>
            <w:r w:rsidRPr="00AE75B3">
              <w:rPr>
                <w:rFonts w:ascii="Times New Roman" w:eastAsia="Times New Roman" w:hAnsi="Times New Roman" w:cs="Times New Roman"/>
                <w:lang w:val="sr-Latn-CS" w:eastAsia="sr-Latn-CS" w:bidi="sr-Latn-CS"/>
              </w:rPr>
              <w:t>/sofosbuvir (400 mg jednom dnevno)</w:t>
            </w:r>
            <w:r w:rsidRPr="00AE75B3">
              <w:rPr>
                <w:rFonts w:ascii="Times New Roman" w:eastAsia="Times New Roman" w:hAnsi="Times New Roman" w:cs="Times New Roman"/>
                <w:vertAlign w:val="superscript"/>
                <w:lang w:val="sr-Latn-CS" w:eastAsia="sr-Latn-CS" w:bidi="sr-Latn-CS"/>
              </w:rPr>
              <w:t>c, d</w:t>
            </w:r>
          </w:p>
        </w:tc>
        <w:tc>
          <w:tcPr>
            <w:tcW w:w="2409" w:type="dxa"/>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Abakavir</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max</w:t>
            </w:r>
            <w:r w:rsidRPr="00AE75B3">
              <w:rPr>
                <w:rFonts w:ascii="Times New Roman" w:eastAsia="Times New Roman" w:hAnsi="Times New Roman" w:cs="Times New Roman"/>
                <w:lang w:val="sr-Latn-CS" w:eastAsia="sr-Latn-CS" w:bidi="sr-Latn-CS"/>
              </w:rPr>
              <w:t xml:space="preserve"> 0,92 (0,87, 0,97)</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AUC 0,90 (0,85, 0,94)</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Lamivudin</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max</w:t>
            </w:r>
            <w:r w:rsidRPr="00AE75B3">
              <w:rPr>
                <w:rFonts w:ascii="Times New Roman" w:eastAsia="Times New Roman" w:hAnsi="Times New Roman" w:cs="Times New Roman"/>
                <w:lang w:val="sr-Latn-CS" w:eastAsia="sr-Latn-CS" w:bidi="sr-Latn-CS"/>
              </w:rPr>
              <w:t xml:space="preserve"> 0,93 (0,87, 1,00)</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AUC 0,94 (0,90, 0,98)</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min</w:t>
            </w:r>
            <w:r w:rsidRPr="00AE75B3">
              <w:rPr>
                <w:rFonts w:ascii="Times New Roman" w:eastAsia="Times New Roman" w:hAnsi="Times New Roman" w:cs="Times New Roman"/>
                <w:lang w:val="sr-Latn-CS" w:eastAsia="sr-Latn-CS" w:bidi="sr-Latn-CS"/>
              </w:rPr>
              <w:t xml:space="preserve"> 1,12 (1,05, 1,20)</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Ledipasvir</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max</w:t>
            </w:r>
            <w:r w:rsidRPr="00AE75B3">
              <w:rPr>
                <w:rFonts w:ascii="Times New Roman" w:eastAsia="Times New Roman" w:hAnsi="Times New Roman" w:cs="Times New Roman"/>
                <w:lang w:val="sr-Latn-CS" w:eastAsia="sr-Latn-CS" w:bidi="sr-Latn-CS"/>
              </w:rPr>
              <w:t xml:space="preserve"> 1,10 (1,01, 1,19)</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AUC 1,18 (1,10, 1,28)</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min</w:t>
            </w:r>
            <w:r w:rsidRPr="00AE75B3">
              <w:rPr>
                <w:rFonts w:ascii="Times New Roman" w:eastAsia="Times New Roman" w:hAnsi="Times New Roman" w:cs="Times New Roman"/>
                <w:lang w:val="sr-Latn-CS" w:eastAsia="sr-Latn-CS" w:bidi="sr-Latn-CS"/>
              </w:rPr>
              <w:t xml:space="preserve"> 1,26 (1,17, 1,36)</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Sofosbuvir</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max</w:t>
            </w:r>
            <w:r w:rsidRPr="00AE75B3">
              <w:rPr>
                <w:rFonts w:ascii="Times New Roman" w:eastAsia="Times New Roman" w:hAnsi="Times New Roman" w:cs="Times New Roman"/>
                <w:lang w:val="sr-Latn-CS" w:eastAsia="sr-Latn-CS" w:bidi="sr-Latn-CS"/>
              </w:rPr>
              <w:t xml:space="preserve"> 1,08 (0,85, 1,35)</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AUC 1,21 (1,09, 1,35)</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GS</w:t>
            </w:r>
            <w:r w:rsidRPr="00AE75B3">
              <w:rPr>
                <w:rFonts w:ascii="Times New Roman" w:eastAsia="Times New Roman" w:hAnsi="Times New Roman" w:cs="Times New Roman"/>
                <w:b/>
                <w:lang w:val="sr-Latn-CS" w:eastAsia="sr-Latn-CS" w:bidi="sr-Latn-CS"/>
              </w:rPr>
              <w:noBreakHyphen/>
            </w:r>
            <w:r w:rsidRPr="00AE75B3">
              <w:rPr>
                <w:rFonts w:ascii="Times New Roman" w:eastAsia="Times New Roman" w:hAnsi="Times New Roman" w:cs="Times New Roman"/>
                <w:lang w:val="sr-Latn-CS" w:eastAsia="sr-Latn-CS" w:bidi="sr-Latn-CS"/>
              </w:rPr>
              <w:t>331007</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max</w:t>
            </w:r>
            <w:r w:rsidRPr="00AE75B3">
              <w:rPr>
                <w:rFonts w:ascii="Times New Roman" w:eastAsia="Times New Roman" w:hAnsi="Times New Roman" w:cs="Times New Roman"/>
                <w:lang w:val="sr-Latn-CS" w:eastAsia="sr-Latn-CS" w:bidi="sr-Latn-CS"/>
              </w:rPr>
              <w:t xml:space="preserve"> 1,00 (0,94, 1,07)</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AUC 1,05 (1,01, 1,09)</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min</w:t>
            </w:r>
            <w:r w:rsidRPr="00AE75B3">
              <w:rPr>
                <w:rFonts w:ascii="Times New Roman" w:eastAsia="Times New Roman" w:hAnsi="Times New Roman" w:cs="Times New Roman"/>
                <w:lang w:val="sr-Latn-CS" w:eastAsia="sr-Latn-CS" w:bidi="sr-Latn-CS"/>
              </w:rPr>
              <w:t xml:space="preserve"> 1,08 (1,01, 1,14)</w:t>
            </w:r>
          </w:p>
        </w:tc>
        <w:tc>
          <w:tcPr>
            <w:tcW w:w="4708" w:type="dxa"/>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Nije potrebno prilagođavanje doze lijeka Harvoni ili abakavira /lamivudina.</w:t>
            </w:r>
          </w:p>
        </w:tc>
      </w:tr>
      <w:tr w:rsidR="00AE75B3" w:rsidRPr="00AE75B3" w:rsidTr="00F11E78">
        <w:tblPrEx>
          <w:tblLook w:val="0000" w:firstRow="0" w:lastRow="0" w:firstColumn="0" w:lastColumn="0" w:noHBand="0" w:noVBand="0"/>
        </w:tblPrEx>
        <w:trPr>
          <w:cantSplit/>
        </w:trPr>
        <w:tc>
          <w:tcPr>
            <w:tcW w:w="9634" w:type="dxa"/>
            <w:gridSpan w:val="3"/>
          </w:tcPr>
          <w:p w:rsidR="00AE75B3" w:rsidRPr="00AE75B3" w:rsidRDefault="00AE75B3" w:rsidP="00AE75B3">
            <w:pPr>
              <w:keepNext/>
              <w:keepLines/>
              <w:spacing w:after="0" w:line="240" w:lineRule="auto"/>
              <w:outlineLvl w:val="0"/>
              <w:rPr>
                <w:rFonts w:ascii="Times New Roman" w:eastAsia="Times New Roman" w:hAnsi="Times New Roman" w:cs="Times New Roman"/>
                <w:b/>
                <w:i/>
                <w:lang w:val="sr-Latn-CS" w:eastAsia="sr-Latn-CS" w:bidi="sr-Latn-CS"/>
              </w:rPr>
            </w:pPr>
            <w:r w:rsidRPr="00AE75B3">
              <w:rPr>
                <w:rFonts w:ascii="Times New Roman" w:eastAsia="Times New Roman" w:hAnsi="Times New Roman" w:cs="Times New Roman"/>
                <w:b/>
                <w:i/>
                <w:lang w:val="sr-Latn-CS" w:eastAsia="sr-Latn-CS" w:bidi="sr-Latn-CS"/>
              </w:rPr>
              <w:lastRenderedPageBreak/>
              <w:t>ANTIVIRUSNI LJEKOVI ZA LIJEČENJE HIV INFEKCIJE: INHIBITORI HIV PROTEAZE</w:t>
            </w:r>
          </w:p>
        </w:tc>
      </w:tr>
      <w:tr w:rsidR="00AE75B3" w:rsidRPr="00AE75B3" w:rsidTr="00F11E78">
        <w:tblPrEx>
          <w:tblLook w:val="0000" w:firstRow="0" w:lastRow="0" w:firstColumn="0" w:lastColumn="0" w:noHBand="0" w:noVBand="0"/>
        </w:tblPrEx>
        <w:trPr>
          <w:cantSplit/>
        </w:trPr>
        <w:tc>
          <w:tcPr>
            <w:tcW w:w="2517" w:type="dxa"/>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Atazanavir pojačan ritonavirom</w:t>
            </w:r>
          </w:p>
          <w:p w:rsidR="00AE75B3" w:rsidRPr="00AE75B3" w:rsidRDefault="00AE75B3" w:rsidP="00AE75B3">
            <w:pPr>
              <w:spacing w:after="0" w:line="240" w:lineRule="auto"/>
              <w:outlineLvl w:val="0"/>
              <w:rPr>
                <w:rFonts w:ascii="Times New Roman" w:eastAsia="Times New Roman" w:hAnsi="Times New Roman" w:cs="Times New Roman"/>
                <w:vertAlign w:val="superscript"/>
                <w:lang w:val="sr-Latn-CS" w:eastAsia="sr-Latn-CS" w:bidi="sr-Latn-CS"/>
              </w:rPr>
            </w:pPr>
            <w:r w:rsidRPr="00AE75B3">
              <w:rPr>
                <w:rFonts w:ascii="Times New Roman" w:eastAsia="Times New Roman" w:hAnsi="Times New Roman" w:cs="Times New Roman"/>
                <w:lang w:val="sr-Latn-CS" w:eastAsia="sr-Latn-CS" w:bidi="sr-Latn-CS"/>
              </w:rPr>
              <w:t>(300 mg/100 mg jednom dnevno)/ledipasvir (90 mg jednom dnevno)</w:t>
            </w:r>
            <w:r w:rsidRPr="00AE75B3">
              <w:rPr>
                <w:rFonts w:ascii="Times New Roman" w:eastAsia="Times New Roman" w:hAnsi="Times New Roman" w:cs="Times New Roman"/>
                <w:vertAlign w:val="superscript"/>
                <w:lang w:val="sr-Latn-CS" w:eastAsia="sr-Latn-CS" w:bidi="sr-Latn-CS"/>
              </w:rPr>
              <w:t>c</w:t>
            </w:r>
            <w:r w:rsidRPr="00AE75B3">
              <w:rPr>
                <w:rFonts w:ascii="Times New Roman" w:eastAsia="Times New Roman" w:hAnsi="Times New Roman" w:cs="Times New Roman"/>
                <w:lang w:val="sr-Latn-CS" w:eastAsia="sr-Latn-CS" w:bidi="sr-Latn-CS"/>
              </w:rPr>
              <w:t>/sofosbuvir (400 mg jednom dnevno)</w:t>
            </w:r>
            <w:r w:rsidRPr="00AE75B3">
              <w:rPr>
                <w:rFonts w:ascii="Times New Roman" w:eastAsia="Times New Roman" w:hAnsi="Times New Roman" w:cs="Times New Roman"/>
                <w:vertAlign w:val="superscript"/>
                <w:lang w:val="sr-Latn-CS" w:eastAsia="sr-Latn-CS" w:bidi="sr-Latn-CS"/>
              </w:rPr>
              <w:t>c, d</w:t>
            </w:r>
          </w:p>
        </w:tc>
        <w:tc>
          <w:tcPr>
            <w:tcW w:w="2409" w:type="dxa"/>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Atazanavir</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max</w:t>
            </w:r>
            <w:r w:rsidRPr="00AE75B3">
              <w:rPr>
                <w:rFonts w:ascii="Times New Roman" w:eastAsia="Times New Roman" w:hAnsi="Times New Roman" w:cs="Times New Roman"/>
                <w:lang w:val="sr-Latn-CS" w:eastAsia="sr-Latn-CS" w:bidi="sr-Latn-CS"/>
              </w:rPr>
              <w:t xml:space="preserve"> 1,07 (1,00, 1,15)</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AUC 1,33 (1,25, 1,42)</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min</w:t>
            </w:r>
            <w:r w:rsidRPr="00AE75B3">
              <w:rPr>
                <w:rFonts w:ascii="Times New Roman" w:eastAsia="Times New Roman" w:hAnsi="Times New Roman" w:cs="Times New Roman"/>
                <w:lang w:val="sr-Latn-CS" w:eastAsia="sr-Latn-CS" w:bidi="sr-Latn-CS"/>
              </w:rPr>
              <w:t xml:space="preserve"> 1,75 (1,58, 1,93)</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Ledipasvir</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max</w:t>
            </w:r>
            <w:r w:rsidRPr="00AE75B3">
              <w:rPr>
                <w:rFonts w:ascii="Times New Roman" w:eastAsia="Times New Roman" w:hAnsi="Times New Roman" w:cs="Times New Roman"/>
                <w:lang w:val="sr-Latn-CS" w:eastAsia="sr-Latn-CS" w:bidi="sr-Latn-CS"/>
              </w:rPr>
              <w:t xml:space="preserve"> 1,98 (1,78, 2,20)</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AUC 2,13 (1,89, 2,40)</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min</w:t>
            </w:r>
            <w:r w:rsidRPr="00AE75B3">
              <w:rPr>
                <w:rFonts w:ascii="Times New Roman" w:eastAsia="Times New Roman" w:hAnsi="Times New Roman" w:cs="Times New Roman"/>
                <w:lang w:val="sr-Latn-CS" w:eastAsia="sr-Latn-CS" w:bidi="sr-Latn-CS"/>
              </w:rPr>
              <w:t xml:space="preserve"> 2,36 (2,08, 2,67)</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Sofosbuvir</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max</w:t>
            </w:r>
            <w:r w:rsidRPr="00AE75B3">
              <w:rPr>
                <w:rFonts w:ascii="Times New Roman" w:eastAsia="Times New Roman" w:hAnsi="Times New Roman" w:cs="Times New Roman"/>
                <w:lang w:val="sr-Latn-CS" w:eastAsia="sr-Latn-CS" w:bidi="sr-Latn-CS"/>
              </w:rPr>
              <w:t xml:space="preserve"> 0,96 (0,88, 1,05)</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AUC 1,08 (1,02, 1,15)</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GS</w:t>
            </w:r>
            <w:r w:rsidRPr="00AE75B3">
              <w:rPr>
                <w:rFonts w:ascii="Times New Roman" w:eastAsia="Times New Roman" w:hAnsi="Times New Roman" w:cs="Times New Roman"/>
                <w:b/>
                <w:lang w:val="sr-Latn-CS" w:eastAsia="sr-Latn-CS" w:bidi="sr-Latn-CS"/>
              </w:rPr>
              <w:noBreakHyphen/>
            </w:r>
            <w:r w:rsidRPr="00AE75B3">
              <w:rPr>
                <w:rFonts w:ascii="Times New Roman" w:eastAsia="Times New Roman" w:hAnsi="Times New Roman" w:cs="Times New Roman"/>
                <w:lang w:val="sr-Latn-CS" w:eastAsia="sr-Latn-CS" w:bidi="sr-Latn-CS"/>
              </w:rPr>
              <w:t>331007</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max</w:t>
            </w:r>
            <w:r w:rsidRPr="00AE75B3">
              <w:rPr>
                <w:rFonts w:ascii="Times New Roman" w:eastAsia="Times New Roman" w:hAnsi="Times New Roman" w:cs="Times New Roman"/>
                <w:lang w:val="sr-Latn-CS" w:eastAsia="sr-Latn-CS" w:bidi="sr-Latn-CS"/>
              </w:rPr>
              <w:t xml:space="preserve"> 1,13 (1,08, 1,19)</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AUC 1,23 (1,18, 1,29)</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min</w:t>
            </w:r>
            <w:r w:rsidRPr="00AE75B3">
              <w:rPr>
                <w:rFonts w:ascii="Times New Roman" w:eastAsia="Times New Roman" w:hAnsi="Times New Roman" w:cs="Times New Roman"/>
                <w:lang w:val="sr-Latn-CS" w:eastAsia="sr-Latn-CS" w:bidi="sr-Latn-CS"/>
              </w:rPr>
              <w:t xml:space="preserve"> 1,28 (1,21, 1,36)</w:t>
            </w:r>
          </w:p>
        </w:tc>
        <w:tc>
          <w:tcPr>
            <w:tcW w:w="4708" w:type="dxa"/>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Nije potrebno prilagođavanje doze lijeka Harvoni ili atazanavira (pojačanog ritonavirom).</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Za kombinaciju tenofovir/emtricitabin + atazanavir/ritonavir pogledati u nastavku.</w:t>
            </w:r>
          </w:p>
        </w:tc>
      </w:tr>
      <w:tr w:rsidR="00AE75B3" w:rsidRPr="00AE75B3" w:rsidTr="00F11E78">
        <w:tblPrEx>
          <w:tblLook w:val="0000" w:firstRow="0" w:lastRow="0" w:firstColumn="0" w:lastColumn="0" w:noHBand="0" w:noVBand="0"/>
        </w:tblPrEx>
        <w:trPr>
          <w:cantSplit/>
        </w:trPr>
        <w:tc>
          <w:tcPr>
            <w:tcW w:w="2517" w:type="dxa"/>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lastRenderedPageBreak/>
              <w:t>Atazanavir pojačan ritonavirom (300 mg/100 mg jednom dnevno) + emtricitabin/tenofovir disoproksil fumarat (200 mg/300 mg jednom dnevno)/ledipasvir (90 mg jednom dnevno)</w:t>
            </w:r>
            <w:r w:rsidRPr="00AE75B3">
              <w:rPr>
                <w:rFonts w:ascii="Times New Roman" w:eastAsia="Times New Roman" w:hAnsi="Times New Roman" w:cs="Times New Roman"/>
                <w:vertAlign w:val="superscript"/>
                <w:lang w:val="sr-Latn-CS" w:eastAsia="sr-Latn-CS" w:bidi="sr-Latn-CS"/>
              </w:rPr>
              <w:t>c</w:t>
            </w:r>
            <w:r w:rsidRPr="00AE75B3">
              <w:rPr>
                <w:rFonts w:ascii="Times New Roman" w:eastAsia="Times New Roman" w:hAnsi="Times New Roman" w:cs="Times New Roman"/>
                <w:lang w:val="sr-Latn-CS" w:eastAsia="sr-Latn-CS" w:bidi="sr-Latn-CS"/>
              </w:rPr>
              <w:t>/sofosbuvir (400 mg jednom dnevno)</w:t>
            </w:r>
            <w:r w:rsidRPr="00AE75B3">
              <w:rPr>
                <w:rFonts w:ascii="Times New Roman" w:eastAsia="Times New Roman" w:hAnsi="Times New Roman" w:cs="Times New Roman"/>
                <w:vertAlign w:val="superscript"/>
                <w:lang w:val="sr-Latn-CS" w:eastAsia="sr-Latn-CS" w:bidi="sr-Latn-CS"/>
              </w:rPr>
              <w:t>c, d</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p>
          <w:p w:rsidR="00AE75B3" w:rsidRPr="00AE75B3" w:rsidRDefault="00AE75B3" w:rsidP="00AE75B3">
            <w:pPr>
              <w:spacing w:after="0" w:line="240" w:lineRule="auto"/>
              <w:outlineLvl w:val="0"/>
              <w:rPr>
                <w:rFonts w:ascii="Times New Roman" w:eastAsia="Times New Roman" w:hAnsi="Times New Roman" w:cs="Times New Roman"/>
                <w:vertAlign w:val="superscript"/>
                <w:lang w:val="sr-Latn-CS" w:eastAsia="sr-Latn-CS" w:bidi="sr-Latn-CS"/>
              </w:rPr>
            </w:pPr>
            <w:r w:rsidRPr="00AE75B3">
              <w:rPr>
                <w:rFonts w:ascii="Times New Roman" w:eastAsia="Times New Roman" w:hAnsi="Times New Roman" w:cs="Times New Roman"/>
                <w:lang w:val="sr-Latn-CS" w:eastAsia="sr-Latn-CS" w:bidi="sr-Latn-CS"/>
              </w:rPr>
              <w:t>Dozirano istovremeno</w:t>
            </w:r>
            <w:r w:rsidRPr="00AE75B3">
              <w:rPr>
                <w:rFonts w:ascii="Times New Roman" w:eastAsia="Times New Roman" w:hAnsi="Times New Roman" w:cs="Times New Roman"/>
                <w:vertAlign w:val="superscript"/>
                <w:lang w:val="sr-Latn-CS" w:eastAsia="sr-Latn-CS" w:bidi="sr-Latn-CS"/>
              </w:rPr>
              <w:t>f</w:t>
            </w:r>
          </w:p>
        </w:tc>
        <w:tc>
          <w:tcPr>
            <w:tcW w:w="2409" w:type="dxa"/>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Atazanavir</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max</w:t>
            </w:r>
            <w:r w:rsidRPr="00AE75B3">
              <w:rPr>
                <w:rFonts w:ascii="Times New Roman" w:eastAsia="Times New Roman" w:hAnsi="Times New Roman" w:cs="Times New Roman"/>
                <w:lang w:val="sr-Latn-CS" w:eastAsia="sr-Latn-CS" w:bidi="sr-Latn-CS"/>
              </w:rPr>
              <w:t xml:space="preserve"> 1,07 (0,99, 1,14)</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AUC 1,27 (1,18, 1,37)</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min</w:t>
            </w:r>
            <w:r w:rsidRPr="00AE75B3">
              <w:rPr>
                <w:rFonts w:ascii="Times New Roman" w:eastAsia="Times New Roman" w:hAnsi="Times New Roman" w:cs="Times New Roman"/>
                <w:lang w:val="sr-Latn-CS" w:eastAsia="sr-Latn-CS" w:bidi="sr-Latn-CS"/>
              </w:rPr>
              <w:t xml:space="preserve"> 1,63 (1,45, 1,84)</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Ritonavir</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max</w:t>
            </w:r>
            <w:r w:rsidRPr="00AE75B3">
              <w:rPr>
                <w:rFonts w:ascii="Times New Roman" w:eastAsia="Times New Roman" w:hAnsi="Times New Roman" w:cs="Times New Roman"/>
                <w:lang w:val="sr-Latn-CS" w:eastAsia="sr-Latn-CS" w:bidi="sr-Latn-CS"/>
              </w:rPr>
              <w:t xml:space="preserve"> 0,86 (0,79, 0,93)</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AUC 0,97 (0,89, 1,05)</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min</w:t>
            </w:r>
            <w:r w:rsidRPr="00AE75B3">
              <w:rPr>
                <w:rFonts w:ascii="Times New Roman" w:eastAsia="Times New Roman" w:hAnsi="Times New Roman" w:cs="Times New Roman"/>
                <w:lang w:val="sr-Latn-CS" w:eastAsia="sr-Latn-CS" w:bidi="sr-Latn-CS"/>
              </w:rPr>
              <w:t xml:space="preserve"> 1,45 (1,27, 1,64)</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Emtricitabin</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max</w:t>
            </w:r>
            <w:r w:rsidRPr="00AE75B3">
              <w:rPr>
                <w:rFonts w:ascii="Times New Roman" w:eastAsia="Times New Roman" w:hAnsi="Times New Roman" w:cs="Times New Roman"/>
                <w:lang w:val="sr-Latn-CS" w:eastAsia="sr-Latn-CS" w:bidi="sr-Latn-CS"/>
              </w:rPr>
              <w:t xml:space="preserve"> 0,98 (0,94, 1,02)</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AUC 1,00 (0,97, 1,04)</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min</w:t>
            </w:r>
            <w:r w:rsidRPr="00AE75B3">
              <w:rPr>
                <w:rFonts w:ascii="Times New Roman" w:eastAsia="Times New Roman" w:hAnsi="Times New Roman" w:cs="Times New Roman"/>
                <w:lang w:val="sr-Latn-CS" w:eastAsia="sr-Latn-CS" w:bidi="sr-Latn-CS"/>
              </w:rPr>
              <w:t xml:space="preserve"> 1,04 (0,96, 1,12)</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Tenofovir</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max</w:t>
            </w:r>
            <w:r w:rsidRPr="00AE75B3">
              <w:rPr>
                <w:rFonts w:ascii="Times New Roman" w:eastAsia="Times New Roman" w:hAnsi="Times New Roman" w:cs="Times New Roman"/>
                <w:lang w:val="sr-Latn-CS" w:eastAsia="sr-Latn-CS" w:bidi="sr-Latn-CS"/>
              </w:rPr>
              <w:t xml:space="preserve"> 1,47 (1,37, 1,58)</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AUC 1,35 (1,29, 1,42)</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min</w:t>
            </w:r>
            <w:r w:rsidRPr="00AE75B3">
              <w:rPr>
                <w:rFonts w:ascii="Times New Roman" w:eastAsia="Times New Roman" w:hAnsi="Times New Roman" w:cs="Times New Roman"/>
                <w:lang w:val="sr-Latn-CS" w:eastAsia="sr-Latn-CS" w:bidi="sr-Latn-CS"/>
              </w:rPr>
              <w:t xml:space="preserve"> 1,47 (1,38, 1,57)</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Ledipasvir</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max</w:t>
            </w:r>
            <w:r w:rsidRPr="00AE75B3">
              <w:rPr>
                <w:rFonts w:ascii="Times New Roman" w:eastAsia="Times New Roman" w:hAnsi="Times New Roman" w:cs="Times New Roman"/>
                <w:lang w:val="sr-Latn-CS" w:eastAsia="sr-Latn-CS" w:bidi="sr-Latn-CS"/>
              </w:rPr>
              <w:t xml:space="preserve"> 1,68 (1,54, 1,84)</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AUC 1,96 (1,74, 2,21)</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min</w:t>
            </w:r>
            <w:r w:rsidRPr="00AE75B3">
              <w:rPr>
                <w:rFonts w:ascii="Times New Roman" w:eastAsia="Times New Roman" w:hAnsi="Times New Roman" w:cs="Times New Roman"/>
                <w:lang w:val="sr-Latn-CS" w:eastAsia="sr-Latn-CS" w:bidi="sr-Latn-CS"/>
              </w:rPr>
              <w:t xml:space="preserve"> 2,18 (1,91, 2,50)</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Sofosbuvir</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max</w:t>
            </w:r>
            <w:r w:rsidRPr="00AE75B3">
              <w:rPr>
                <w:rFonts w:ascii="Times New Roman" w:eastAsia="Times New Roman" w:hAnsi="Times New Roman" w:cs="Times New Roman"/>
                <w:lang w:val="sr-Latn-CS" w:eastAsia="sr-Latn-CS" w:bidi="sr-Latn-CS"/>
              </w:rPr>
              <w:t xml:space="preserve"> 1,01 (0,88, 1,15)</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AUC 1,11 (1,02, 1,21)</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GS</w:t>
            </w:r>
            <w:r w:rsidRPr="00AE75B3">
              <w:rPr>
                <w:rFonts w:ascii="Times New Roman" w:eastAsia="Times New Roman" w:hAnsi="Times New Roman" w:cs="Times New Roman"/>
                <w:b/>
                <w:lang w:val="sr-Latn-CS" w:eastAsia="sr-Latn-CS" w:bidi="sr-Latn-CS"/>
              </w:rPr>
              <w:noBreakHyphen/>
            </w:r>
            <w:r w:rsidRPr="00AE75B3">
              <w:rPr>
                <w:rFonts w:ascii="Times New Roman" w:eastAsia="Times New Roman" w:hAnsi="Times New Roman" w:cs="Times New Roman"/>
                <w:lang w:val="sr-Latn-CS" w:eastAsia="sr-Latn-CS" w:bidi="sr-Latn-CS"/>
              </w:rPr>
              <w:t>331007</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max</w:t>
            </w:r>
            <w:r w:rsidRPr="00AE75B3">
              <w:rPr>
                <w:rFonts w:ascii="Times New Roman" w:eastAsia="Times New Roman" w:hAnsi="Times New Roman" w:cs="Times New Roman"/>
                <w:lang w:val="sr-Latn-CS" w:eastAsia="sr-Latn-CS" w:bidi="sr-Latn-CS"/>
              </w:rPr>
              <w:t xml:space="preserve"> 1,17 (1,12, 1,23)</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AUC 1,31 (1,25, 1,36)</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min</w:t>
            </w:r>
            <w:r w:rsidRPr="00AE75B3">
              <w:rPr>
                <w:rFonts w:ascii="Times New Roman" w:eastAsia="Times New Roman" w:hAnsi="Times New Roman" w:cs="Times New Roman"/>
                <w:lang w:val="sr-Latn-CS" w:eastAsia="sr-Latn-CS" w:bidi="sr-Latn-CS"/>
              </w:rPr>
              <w:t xml:space="preserve"> 1,42 (1,34, 1,49)</w:t>
            </w:r>
          </w:p>
        </w:tc>
        <w:tc>
          <w:tcPr>
            <w:tcW w:w="4708" w:type="dxa"/>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Kad se daje sa tenofovir disoproksil fumaratom koji se primjenjuje zajedno s atazanavirom/ritonavirom, lijek Harvoni će povećati koncentraciju tenofovira.</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Bezbjednost tenofovir disoproksil fumarata kada se primjenjuje uz lijek Harvoni i farmakokinetički pojačivač (npr. ritonavir ili kobicistat) nije ustanovljena.</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Ovu kombinaciju treba primjenjivati sa oprezom uz često praćenje funkcije bubrega, ako nijesu dostupne druge alternative (vidjeti odjeljak 4.4).</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Koncentracije atazanavira takođe su povećane, uz rizik od povećanja nivoa bilirubina/žutice. Taj je rizik još i veći ako se, kao dio liječenja HCV-a, primjenjuje ribavirin.</w:t>
            </w:r>
          </w:p>
        </w:tc>
      </w:tr>
      <w:tr w:rsidR="00AE75B3" w:rsidRPr="00AE75B3" w:rsidTr="00F11E78">
        <w:tblPrEx>
          <w:tblLook w:val="0000" w:firstRow="0" w:lastRow="0" w:firstColumn="0" w:lastColumn="0" w:noHBand="0" w:noVBand="0"/>
        </w:tblPrEx>
        <w:trPr>
          <w:cantSplit/>
        </w:trPr>
        <w:tc>
          <w:tcPr>
            <w:tcW w:w="2517" w:type="dxa"/>
            <w:tcBorders>
              <w:bottom w:val="dashSmallGap" w:sz="4" w:space="0" w:color="auto"/>
            </w:tcBorders>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lastRenderedPageBreak/>
              <w:t>Darunavir pojačan ritonavirom</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(800 mg/100 mg jednom dnevno)/ledipasvir (90 mg jednom dnevno)</w:t>
            </w:r>
            <w:r w:rsidRPr="00AE75B3">
              <w:rPr>
                <w:rFonts w:ascii="Times New Roman" w:eastAsia="Times New Roman" w:hAnsi="Times New Roman" w:cs="Times New Roman"/>
                <w:vertAlign w:val="superscript"/>
                <w:lang w:val="sr-Latn-CS" w:eastAsia="sr-Latn-CS" w:bidi="sr-Latn-CS"/>
              </w:rPr>
              <w:t>d</w:t>
            </w:r>
          </w:p>
        </w:tc>
        <w:tc>
          <w:tcPr>
            <w:tcW w:w="2409" w:type="dxa"/>
            <w:tcBorders>
              <w:bottom w:val="dashSmallGap" w:sz="4" w:space="0" w:color="auto"/>
            </w:tcBorders>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Darunavir</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max</w:t>
            </w:r>
            <w:r w:rsidRPr="00AE75B3">
              <w:rPr>
                <w:rFonts w:ascii="Times New Roman" w:eastAsia="Times New Roman" w:hAnsi="Times New Roman" w:cs="Times New Roman"/>
                <w:lang w:val="sr-Latn-CS" w:eastAsia="sr-Latn-CS" w:bidi="sr-Latn-CS"/>
              </w:rPr>
              <w:t xml:space="preserve"> 1,02 (0,88, 1,19)</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AUC 0,96 (0,84, 1,11)</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min</w:t>
            </w:r>
            <w:r w:rsidRPr="00AE75B3">
              <w:rPr>
                <w:rFonts w:ascii="Times New Roman" w:eastAsia="Times New Roman" w:hAnsi="Times New Roman" w:cs="Times New Roman"/>
                <w:lang w:val="sr-Latn-CS" w:eastAsia="sr-Latn-CS" w:bidi="sr-Latn-CS"/>
              </w:rPr>
              <w:t xml:space="preserve"> 0,97 (0,86, 1,10)</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Ledipasvir</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max</w:t>
            </w:r>
            <w:r w:rsidRPr="00AE75B3">
              <w:rPr>
                <w:rFonts w:ascii="Times New Roman" w:eastAsia="Times New Roman" w:hAnsi="Times New Roman" w:cs="Times New Roman"/>
                <w:lang w:val="sr-Latn-CS" w:eastAsia="sr-Latn-CS" w:bidi="sr-Latn-CS"/>
              </w:rPr>
              <w:t xml:space="preserve"> 1,45 (1,34, 1,56)</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AUC 1,39 (1,28, 1,49)</w:t>
            </w:r>
          </w:p>
          <w:p w:rsidR="00AE75B3" w:rsidRPr="00AE75B3" w:rsidRDefault="00AE75B3" w:rsidP="00AE75B3">
            <w:pPr>
              <w:spacing w:after="0" w:line="240" w:lineRule="auto"/>
              <w:outlineLvl w:val="0"/>
              <w:rPr>
                <w:rFonts w:ascii="Times New Roman" w:eastAsia="Times New Roman" w:hAnsi="Times New Roman" w:cs="Times New Roman"/>
                <w:i/>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min</w:t>
            </w:r>
            <w:r w:rsidRPr="00AE75B3">
              <w:rPr>
                <w:rFonts w:ascii="Times New Roman" w:eastAsia="Times New Roman" w:hAnsi="Times New Roman" w:cs="Times New Roman"/>
                <w:lang w:val="sr-Latn-CS" w:eastAsia="sr-Latn-CS" w:bidi="sr-Latn-CS"/>
              </w:rPr>
              <w:t xml:space="preserve"> 1,39 (1,29, 1,51)</w:t>
            </w:r>
          </w:p>
        </w:tc>
        <w:tc>
          <w:tcPr>
            <w:tcW w:w="4708" w:type="dxa"/>
            <w:vMerge w:val="restart"/>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Nije potrebno prilagođavanje doze lijeka Harvoni ili darunavira (pojačanog ritonavirom).</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Za kombinaciju tenofovir/emtricitabin + darunavir/ritonavir pogledati u nastavku.</w:t>
            </w:r>
          </w:p>
        </w:tc>
      </w:tr>
      <w:tr w:rsidR="00AE75B3" w:rsidRPr="00AE75B3" w:rsidTr="00F11E78">
        <w:tblPrEx>
          <w:tblLook w:val="0000" w:firstRow="0" w:lastRow="0" w:firstColumn="0" w:lastColumn="0" w:noHBand="0" w:noVBand="0"/>
        </w:tblPrEx>
        <w:trPr>
          <w:cantSplit/>
        </w:trPr>
        <w:tc>
          <w:tcPr>
            <w:tcW w:w="2517" w:type="dxa"/>
            <w:tcBorders>
              <w:top w:val="dashSmallGap" w:sz="4" w:space="0" w:color="auto"/>
            </w:tcBorders>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Darunavir pojačan ritonavirom</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(800 mg/100 mg jednom dnevno)/sofosbuvir (400 mg jednom dnevno)</w:t>
            </w:r>
          </w:p>
        </w:tc>
        <w:tc>
          <w:tcPr>
            <w:tcW w:w="2409" w:type="dxa"/>
            <w:tcBorders>
              <w:top w:val="dashSmallGap" w:sz="4" w:space="0" w:color="auto"/>
            </w:tcBorders>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Darunavir</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max</w:t>
            </w:r>
            <w:r w:rsidRPr="00AE75B3">
              <w:rPr>
                <w:rFonts w:ascii="Times New Roman" w:eastAsia="Times New Roman" w:hAnsi="Times New Roman" w:cs="Times New Roman"/>
                <w:lang w:val="sr-Latn-CS" w:eastAsia="sr-Latn-CS" w:bidi="sr-Latn-CS"/>
              </w:rPr>
              <w:t xml:space="preserve"> 0,97 (0,94, 1,01)</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AUC 0,97 (0,94, 1,00)</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min</w:t>
            </w:r>
            <w:r w:rsidRPr="00AE75B3">
              <w:rPr>
                <w:rFonts w:ascii="Times New Roman" w:eastAsia="Times New Roman" w:hAnsi="Times New Roman" w:cs="Times New Roman"/>
                <w:lang w:val="sr-Latn-CS" w:eastAsia="sr-Latn-CS" w:bidi="sr-Latn-CS"/>
              </w:rPr>
              <w:t xml:space="preserve"> 0,86 (0,78, 0,96)</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Sofosbuvir</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max</w:t>
            </w:r>
            <w:r w:rsidRPr="00AE75B3">
              <w:rPr>
                <w:rFonts w:ascii="Times New Roman" w:eastAsia="Times New Roman" w:hAnsi="Times New Roman" w:cs="Times New Roman"/>
                <w:lang w:val="sr-Latn-CS" w:eastAsia="sr-Latn-CS" w:bidi="sr-Latn-CS"/>
              </w:rPr>
              <w:t xml:space="preserve"> 1,45 (1,10, 1,92)</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AUC 1,34 (1,12, 1,59)</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GS</w:t>
            </w:r>
            <w:r w:rsidRPr="00AE75B3">
              <w:rPr>
                <w:rFonts w:ascii="Times New Roman" w:eastAsia="Times New Roman" w:hAnsi="Times New Roman" w:cs="Times New Roman"/>
                <w:b/>
                <w:lang w:val="sr-Latn-CS" w:eastAsia="sr-Latn-CS" w:bidi="sr-Latn-CS"/>
              </w:rPr>
              <w:noBreakHyphen/>
            </w:r>
            <w:r w:rsidRPr="00AE75B3">
              <w:rPr>
                <w:rFonts w:ascii="Times New Roman" w:eastAsia="Times New Roman" w:hAnsi="Times New Roman" w:cs="Times New Roman"/>
                <w:lang w:val="sr-Latn-CS" w:eastAsia="sr-Latn-CS" w:bidi="sr-Latn-CS"/>
              </w:rPr>
              <w:t>331007</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max</w:t>
            </w:r>
            <w:r w:rsidRPr="00AE75B3">
              <w:rPr>
                <w:rFonts w:ascii="Times New Roman" w:eastAsia="Times New Roman" w:hAnsi="Times New Roman" w:cs="Times New Roman"/>
                <w:lang w:val="sr-Latn-CS" w:eastAsia="sr-Latn-CS" w:bidi="sr-Latn-CS"/>
              </w:rPr>
              <w:t xml:space="preserve"> 0,97 (0,90, 1,05)</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AUC 1,24 (1,18, 1,30)</w:t>
            </w:r>
          </w:p>
        </w:tc>
        <w:tc>
          <w:tcPr>
            <w:tcW w:w="4708" w:type="dxa"/>
            <w:vMerge/>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p>
        </w:tc>
      </w:tr>
      <w:tr w:rsidR="00AE75B3" w:rsidRPr="00AE75B3" w:rsidTr="00F11E78">
        <w:tblPrEx>
          <w:tblLook w:val="0000" w:firstRow="0" w:lastRow="0" w:firstColumn="0" w:lastColumn="0" w:noHBand="0" w:noVBand="0"/>
        </w:tblPrEx>
        <w:trPr>
          <w:cantSplit/>
        </w:trPr>
        <w:tc>
          <w:tcPr>
            <w:tcW w:w="2517" w:type="dxa"/>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lastRenderedPageBreak/>
              <w:t>Darunavir pojačan ritonavirom (800 mg/100 mg jednom dnevno) + emtricitabin/tenofovir disoproksil fumarat (200 mg/300 mg jednom dnevno)/ledipasvir (90 mg jednom dnevno)</w:t>
            </w:r>
            <w:r w:rsidRPr="00AE75B3">
              <w:rPr>
                <w:rFonts w:ascii="Times New Roman" w:eastAsia="Times New Roman" w:hAnsi="Times New Roman" w:cs="Times New Roman"/>
                <w:vertAlign w:val="superscript"/>
                <w:lang w:val="sr-Latn-CS" w:eastAsia="sr-Latn-CS" w:bidi="sr-Latn-CS"/>
              </w:rPr>
              <w:t>c</w:t>
            </w:r>
            <w:r w:rsidRPr="00AE75B3">
              <w:rPr>
                <w:rFonts w:ascii="Times New Roman" w:eastAsia="Times New Roman" w:hAnsi="Times New Roman" w:cs="Times New Roman"/>
                <w:lang w:val="sr-Latn-CS" w:eastAsia="sr-Latn-CS" w:bidi="sr-Latn-CS"/>
              </w:rPr>
              <w:t>/sofosbuvir (400 mg jednom dnevno)</w:t>
            </w:r>
            <w:r w:rsidRPr="00AE75B3">
              <w:rPr>
                <w:rFonts w:ascii="Times New Roman" w:eastAsia="Times New Roman" w:hAnsi="Times New Roman" w:cs="Times New Roman"/>
                <w:vertAlign w:val="superscript"/>
                <w:lang w:val="sr-Latn-CS" w:eastAsia="sr-Latn-CS" w:bidi="sr-Latn-CS"/>
              </w:rPr>
              <w:t>c, d</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Dozirano istovremeno</w:t>
            </w:r>
            <w:r w:rsidRPr="00AE75B3">
              <w:rPr>
                <w:rFonts w:ascii="Times New Roman" w:eastAsia="Times New Roman" w:hAnsi="Times New Roman" w:cs="Times New Roman"/>
                <w:vertAlign w:val="superscript"/>
                <w:lang w:val="sr-Latn-CS" w:eastAsia="sr-Latn-CS" w:bidi="sr-Latn-CS"/>
              </w:rPr>
              <w:t>f</w:t>
            </w:r>
          </w:p>
        </w:tc>
        <w:tc>
          <w:tcPr>
            <w:tcW w:w="2409" w:type="dxa"/>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Darunavir</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max</w:t>
            </w:r>
            <w:r w:rsidRPr="00AE75B3">
              <w:rPr>
                <w:rFonts w:ascii="Times New Roman" w:eastAsia="Times New Roman" w:hAnsi="Times New Roman" w:cs="Times New Roman"/>
                <w:lang w:val="sr-Latn-CS" w:eastAsia="sr-Latn-CS" w:bidi="sr-Latn-CS"/>
              </w:rPr>
              <w:t xml:space="preserve"> 1,01 (0,96, 1,06)</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AUC 1,04 (0,99, 1,08)</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min</w:t>
            </w:r>
            <w:r w:rsidRPr="00AE75B3">
              <w:rPr>
                <w:rFonts w:ascii="Times New Roman" w:eastAsia="Times New Roman" w:hAnsi="Times New Roman" w:cs="Times New Roman"/>
                <w:lang w:val="sr-Latn-CS" w:eastAsia="sr-Latn-CS" w:bidi="sr-Latn-CS"/>
              </w:rPr>
              <w:t xml:space="preserve"> 1,08 (0,98, 1,20)</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Ritonavir</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max</w:t>
            </w:r>
            <w:r w:rsidRPr="00AE75B3">
              <w:rPr>
                <w:rFonts w:ascii="Times New Roman" w:eastAsia="Times New Roman" w:hAnsi="Times New Roman" w:cs="Times New Roman"/>
                <w:lang w:val="sr-Latn-CS" w:eastAsia="sr-Latn-CS" w:bidi="sr-Latn-CS"/>
              </w:rPr>
              <w:t xml:space="preserve"> 1,17 (1,01, 1,35)</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AUC 1,25 (1,15, 1,36)</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min</w:t>
            </w:r>
            <w:r w:rsidRPr="00AE75B3">
              <w:rPr>
                <w:rFonts w:ascii="Times New Roman" w:eastAsia="Times New Roman" w:hAnsi="Times New Roman" w:cs="Times New Roman"/>
                <w:lang w:val="sr-Latn-CS" w:eastAsia="sr-Latn-CS" w:bidi="sr-Latn-CS"/>
              </w:rPr>
              <w:t xml:space="preserve"> 1,48 (1,34, 1,63)</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Emtricitabin</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max</w:t>
            </w:r>
            <w:r w:rsidRPr="00AE75B3">
              <w:rPr>
                <w:rFonts w:ascii="Times New Roman" w:eastAsia="Times New Roman" w:hAnsi="Times New Roman" w:cs="Times New Roman"/>
                <w:lang w:val="sr-Latn-CS" w:eastAsia="sr-Latn-CS" w:bidi="sr-Latn-CS"/>
              </w:rPr>
              <w:t xml:space="preserve"> 1,02 (0,96, 1,08)</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AUC 1,04 (1,00, 1,08)</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min</w:t>
            </w:r>
            <w:r w:rsidRPr="00AE75B3">
              <w:rPr>
                <w:rFonts w:ascii="Times New Roman" w:eastAsia="Times New Roman" w:hAnsi="Times New Roman" w:cs="Times New Roman"/>
                <w:lang w:val="sr-Latn-CS" w:eastAsia="sr-Latn-CS" w:bidi="sr-Latn-CS"/>
              </w:rPr>
              <w:t xml:space="preserve"> 1,03 (0,97, 1,10)</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Tenofovir</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max</w:t>
            </w:r>
            <w:r w:rsidRPr="00AE75B3">
              <w:rPr>
                <w:rFonts w:ascii="Times New Roman" w:eastAsia="Times New Roman" w:hAnsi="Times New Roman" w:cs="Times New Roman"/>
                <w:lang w:val="sr-Latn-CS" w:eastAsia="sr-Latn-CS" w:bidi="sr-Latn-CS"/>
              </w:rPr>
              <w:t xml:space="preserve"> 1,64 (1,54, 1,74)</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AUC 1,50 (1,42, 1,59)</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min</w:t>
            </w:r>
            <w:r w:rsidRPr="00AE75B3">
              <w:rPr>
                <w:rFonts w:ascii="Times New Roman" w:eastAsia="Times New Roman" w:hAnsi="Times New Roman" w:cs="Times New Roman"/>
                <w:lang w:val="sr-Latn-CS" w:eastAsia="sr-Latn-CS" w:bidi="sr-Latn-CS"/>
              </w:rPr>
              <w:t xml:space="preserve"> 1,59 (1,49, 1,70)</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Ledipasvir</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max</w:t>
            </w:r>
            <w:r w:rsidRPr="00AE75B3">
              <w:rPr>
                <w:rFonts w:ascii="Times New Roman" w:eastAsia="Times New Roman" w:hAnsi="Times New Roman" w:cs="Times New Roman"/>
                <w:lang w:val="sr-Latn-CS" w:eastAsia="sr-Latn-CS" w:bidi="sr-Latn-CS"/>
              </w:rPr>
              <w:t xml:space="preserve"> 1,11 (0,99, 1,24)</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AUC 1,12 (1,00, 1,25)</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min</w:t>
            </w:r>
            <w:r w:rsidRPr="00AE75B3">
              <w:rPr>
                <w:rFonts w:ascii="Times New Roman" w:eastAsia="Times New Roman" w:hAnsi="Times New Roman" w:cs="Times New Roman"/>
                <w:lang w:val="sr-Latn-CS" w:eastAsia="sr-Latn-CS" w:bidi="sr-Latn-CS"/>
              </w:rPr>
              <w:t xml:space="preserve"> 1,17 (1,04, 1,31)</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Sofosbuvir</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max</w:t>
            </w:r>
            <w:r w:rsidRPr="00AE75B3">
              <w:rPr>
                <w:rFonts w:ascii="Times New Roman" w:eastAsia="Times New Roman" w:hAnsi="Times New Roman" w:cs="Times New Roman"/>
                <w:lang w:val="sr-Latn-CS" w:eastAsia="sr-Latn-CS" w:bidi="sr-Latn-CS"/>
              </w:rPr>
              <w:t xml:space="preserve"> 0,63 (0,52, 0,75)</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AUC 0,73 (0,65, 0,82)</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GS</w:t>
            </w:r>
            <w:r w:rsidRPr="00AE75B3">
              <w:rPr>
                <w:rFonts w:ascii="Times New Roman" w:eastAsia="Times New Roman" w:hAnsi="Times New Roman" w:cs="Times New Roman"/>
                <w:b/>
                <w:lang w:val="sr-Latn-CS" w:eastAsia="sr-Latn-CS" w:bidi="sr-Latn-CS"/>
              </w:rPr>
              <w:noBreakHyphen/>
            </w:r>
            <w:r w:rsidRPr="00AE75B3">
              <w:rPr>
                <w:rFonts w:ascii="Times New Roman" w:eastAsia="Times New Roman" w:hAnsi="Times New Roman" w:cs="Times New Roman"/>
                <w:lang w:val="sr-Latn-CS" w:eastAsia="sr-Latn-CS" w:bidi="sr-Latn-CS"/>
              </w:rPr>
              <w:t>331007</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max</w:t>
            </w:r>
            <w:r w:rsidRPr="00AE75B3">
              <w:rPr>
                <w:rFonts w:ascii="Times New Roman" w:eastAsia="Times New Roman" w:hAnsi="Times New Roman" w:cs="Times New Roman"/>
                <w:lang w:val="sr-Latn-CS" w:eastAsia="sr-Latn-CS" w:bidi="sr-Latn-CS"/>
              </w:rPr>
              <w:t xml:space="preserve"> 1,10 (1,04, 1,16)</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AUC 1,20 (1,16, 1,24)</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min</w:t>
            </w:r>
            <w:r w:rsidRPr="00AE75B3">
              <w:rPr>
                <w:rFonts w:ascii="Times New Roman" w:eastAsia="Times New Roman" w:hAnsi="Times New Roman" w:cs="Times New Roman"/>
                <w:lang w:val="sr-Latn-CS" w:eastAsia="sr-Latn-CS" w:bidi="sr-Latn-CS"/>
              </w:rPr>
              <w:t xml:space="preserve"> 1,26 (1,20, 1,32)</w:t>
            </w:r>
          </w:p>
        </w:tc>
        <w:tc>
          <w:tcPr>
            <w:tcW w:w="4708" w:type="dxa"/>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Kada se daje s darunavirom/ritonavirom koji se primjenjuje zajedno s tenofovir disoproksil fumaratom, lijek Harvoni će povećati koncentraciju tenofovira.</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Bezbjednost tenofovir disoproksil fumarata kada se primjenjuje uz lijek Harvoni i farmakokinetički pojačivač (npr. ritonavir ili kobicistat) nije ustanovljena.</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Ovu kombinaciju treba primjenjivati sa oprezom uz često praćenje funkcije bubrega, ako nijesu dostupne druge alternative (vidjeti odjeljak 4.4).</w:t>
            </w:r>
          </w:p>
        </w:tc>
      </w:tr>
      <w:tr w:rsidR="00AE75B3" w:rsidRPr="00AE75B3" w:rsidTr="00F11E78">
        <w:tblPrEx>
          <w:tblLook w:val="0000" w:firstRow="0" w:lastRow="0" w:firstColumn="0" w:lastColumn="0" w:noHBand="0" w:noVBand="0"/>
        </w:tblPrEx>
        <w:trPr>
          <w:cantSplit/>
        </w:trPr>
        <w:tc>
          <w:tcPr>
            <w:tcW w:w="2517" w:type="dxa"/>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lastRenderedPageBreak/>
              <w:t>Lopinavir pojačan ritonavirom + emtricitabin/tenofovir disoproksil fumarat</w:t>
            </w:r>
          </w:p>
        </w:tc>
        <w:tc>
          <w:tcPr>
            <w:tcW w:w="2409" w:type="dxa"/>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Interakcija nije ispitana.</w:t>
            </w:r>
          </w:p>
          <w:p w:rsidR="00AE75B3" w:rsidRPr="00AE75B3" w:rsidRDefault="00AE75B3" w:rsidP="00AE75B3">
            <w:pPr>
              <w:spacing w:after="0" w:line="240" w:lineRule="auto"/>
              <w:outlineLvl w:val="0"/>
              <w:rPr>
                <w:rFonts w:ascii="Times New Roman" w:eastAsia="Times New Roman" w:hAnsi="Times New Roman" w:cs="Times New Roman"/>
                <w:i/>
                <w:lang w:val="sr-Latn-CS" w:eastAsia="sr-Latn-CS" w:bidi="sr-Latn-CS"/>
              </w:rPr>
            </w:pPr>
            <w:r w:rsidRPr="00AE75B3">
              <w:rPr>
                <w:rFonts w:ascii="Times New Roman" w:eastAsia="Times New Roman" w:hAnsi="Times New Roman" w:cs="Times New Roman"/>
                <w:i/>
                <w:lang w:val="sr-Latn-CS" w:eastAsia="sr-Latn-CS" w:bidi="sr-Latn-CS"/>
              </w:rPr>
              <w:t>Očekivano:</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Lopinavir</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Ritonavir</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Emtricitabin</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Tenofovir</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Ledipasvir</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Sofosbuvir</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GS</w:t>
            </w:r>
            <w:r w:rsidRPr="00AE75B3">
              <w:rPr>
                <w:rFonts w:ascii="Times New Roman" w:eastAsia="Times New Roman" w:hAnsi="Times New Roman" w:cs="Times New Roman"/>
                <w:b/>
                <w:lang w:val="sr-Latn-CS" w:eastAsia="sr-Latn-CS" w:bidi="sr-Latn-CS"/>
              </w:rPr>
              <w:noBreakHyphen/>
            </w:r>
            <w:r w:rsidRPr="00AE75B3">
              <w:rPr>
                <w:rFonts w:ascii="Times New Roman" w:eastAsia="Times New Roman" w:hAnsi="Times New Roman" w:cs="Times New Roman"/>
                <w:lang w:val="sr-Latn-CS" w:eastAsia="sr-Latn-CS" w:bidi="sr-Latn-CS"/>
              </w:rPr>
              <w:t>331007</w:t>
            </w:r>
          </w:p>
        </w:tc>
        <w:tc>
          <w:tcPr>
            <w:tcW w:w="4708" w:type="dxa"/>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Kada se daje sa lopinavirom/ritonavirom koji se primjenjuje zajedno s tenofovir disoproksil fumaratom, očekuje se da će lijek Harvoni povećati koncentraciju tenofovira.</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Bezbjednost tenofovir disoproksil fumarata kada se primjenjuje uz lijek Harvoni i farmakokinetički pojačivač (npr. ritonavir ili kobicistat) nije ustanovljena.</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Ovu kombinaciju treba primjenjivati sa oprezom uz često praćenje funkcije bubrega, ako nijesu dostupne druge alternative (vidjeti odjeljak 4.4).</w:t>
            </w:r>
          </w:p>
        </w:tc>
      </w:tr>
      <w:tr w:rsidR="00AE75B3" w:rsidRPr="00AE75B3" w:rsidTr="00F11E78">
        <w:tblPrEx>
          <w:tblLook w:val="0000" w:firstRow="0" w:lastRow="0" w:firstColumn="0" w:lastColumn="0" w:noHBand="0" w:noVBand="0"/>
        </w:tblPrEx>
        <w:trPr>
          <w:cantSplit/>
        </w:trPr>
        <w:tc>
          <w:tcPr>
            <w:tcW w:w="2517" w:type="dxa"/>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Tipranavir pojačan ritonavirom</w:t>
            </w:r>
          </w:p>
        </w:tc>
        <w:tc>
          <w:tcPr>
            <w:tcW w:w="2409" w:type="dxa"/>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Interakcija nije ispitana.</w:t>
            </w:r>
          </w:p>
          <w:p w:rsidR="00AE75B3" w:rsidRPr="00AE75B3" w:rsidRDefault="00AE75B3" w:rsidP="00AE75B3">
            <w:pPr>
              <w:spacing w:after="0" w:line="240" w:lineRule="auto"/>
              <w:outlineLvl w:val="0"/>
              <w:rPr>
                <w:rFonts w:ascii="Times New Roman" w:eastAsia="Times New Roman" w:hAnsi="Times New Roman" w:cs="Times New Roman"/>
                <w:i/>
                <w:lang w:val="sr-Latn-CS" w:eastAsia="sr-Latn-CS" w:bidi="sr-Latn-CS"/>
              </w:rPr>
            </w:pPr>
            <w:r w:rsidRPr="00AE75B3">
              <w:rPr>
                <w:rFonts w:ascii="Times New Roman" w:eastAsia="Times New Roman" w:hAnsi="Times New Roman" w:cs="Times New Roman"/>
                <w:i/>
                <w:lang w:val="sr-Latn-CS" w:eastAsia="sr-Latn-CS" w:bidi="sr-Latn-CS"/>
              </w:rPr>
              <w:t>Očekivano:</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Ledipasvir</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Sofosbuvir</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GS</w:t>
            </w:r>
            <w:r w:rsidRPr="00AE75B3">
              <w:rPr>
                <w:rFonts w:ascii="Times New Roman" w:eastAsia="Times New Roman" w:hAnsi="Times New Roman" w:cs="Times New Roman"/>
                <w:b/>
                <w:lang w:val="sr-Latn-CS" w:eastAsia="sr-Latn-CS" w:bidi="sr-Latn-CS"/>
              </w:rPr>
              <w:noBreakHyphen/>
            </w:r>
            <w:r w:rsidRPr="00AE75B3">
              <w:rPr>
                <w:rFonts w:ascii="Times New Roman" w:eastAsia="Times New Roman" w:hAnsi="Times New Roman" w:cs="Times New Roman"/>
                <w:lang w:val="sr-Latn-CS" w:eastAsia="sr-Latn-CS" w:bidi="sr-Latn-CS"/>
              </w:rPr>
              <w:t>331007</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(Indukcija P</w:t>
            </w:r>
            <w:r w:rsidRPr="00AE75B3">
              <w:rPr>
                <w:rFonts w:ascii="Times New Roman" w:eastAsia="Times New Roman" w:hAnsi="Times New Roman" w:cs="Times New Roman"/>
                <w:b/>
                <w:lang w:val="sr-Latn-CS" w:eastAsia="sr-Latn-CS" w:bidi="sr-Latn-CS"/>
              </w:rPr>
              <w:noBreakHyphen/>
            </w:r>
            <w:r w:rsidRPr="00AE75B3">
              <w:rPr>
                <w:rFonts w:ascii="Times New Roman" w:eastAsia="Times New Roman" w:hAnsi="Times New Roman" w:cs="Times New Roman"/>
                <w:lang w:val="sr-Latn-CS" w:eastAsia="sr-Latn-CS" w:bidi="sr-Latn-CS"/>
              </w:rPr>
              <w:t>gp)</w:t>
            </w:r>
          </w:p>
        </w:tc>
        <w:tc>
          <w:tcPr>
            <w:tcW w:w="4708" w:type="dxa"/>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Očekuje se da će istovremena primjena lijeka Harvoni s tipranavirom (koji je pojačan ritonavirom) smanjiti koncentraciju ledipasvira i tako dovesti do smanjenog terapijskog efekta lijeka Harvoni. Ne preporučuje se istovremena primjena ovih ljekova.</w:t>
            </w:r>
          </w:p>
        </w:tc>
      </w:tr>
      <w:tr w:rsidR="00AE75B3" w:rsidRPr="00AE75B3" w:rsidTr="00F11E78">
        <w:tblPrEx>
          <w:tblLook w:val="0000" w:firstRow="0" w:lastRow="0" w:firstColumn="0" w:lastColumn="0" w:noHBand="0" w:noVBand="0"/>
        </w:tblPrEx>
        <w:trPr>
          <w:cantSplit/>
        </w:trPr>
        <w:tc>
          <w:tcPr>
            <w:tcW w:w="9634" w:type="dxa"/>
            <w:gridSpan w:val="3"/>
          </w:tcPr>
          <w:p w:rsidR="00AE75B3" w:rsidRPr="00AE75B3" w:rsidRDefault="00AE75B3" w:rsidP="00AE75B3">
            <w:pPr>
              <w:keepNext/>
              <w:keepLines/>
              <w:spacing w:after="0" w:line="240" w:lineRule="auto"/>
              <w:outlineLvl w:val="0"/>
              <w:rPr>
                <w:rFonts w:ascii="Times New Roman" w:eastAsia="Times New Roman" w:hAnsi="Times New Roman" w:cs="Times New Roman"/>
                <w:b/>
                <w:i/>
                <w:lang w:val="sr-Latn-CS" w:eastAsia="sr-Latn-CS" w:bidi="sr-Latn-CS"/>
              </w:rPr>
            </w:pPr>
            <w:r w:rsidRPr="00AE75B3">
              <w:rPr>
                <w:rFonts w:ascii="Times New Roman" w:eastAsia="Times New Roman" w:hAnsi="Times New Roman" w:cs="Times New Roman"/>
                <w:b/>
                <w:i/>
                <w:lang w:val="sr-Latn-CS" w:eastAsia="sr-Latn-CS" w:bidi="sr-Latn-CS"/>
              </w:rPr>
              <w:t>ANTIVIRUSNI LJEKOVI ZA LIJEČENJE HIV INFEKCIJE: INHIBITORI INTEGRAZE</w:t>
            </w:r>
          </w:p>
        </w:tc>
      </w:tr>
      <w:tr w:rsidR="00AE75B3" w:rsidRPr="00AE75B3" w:rsidTr="00F11E78">
        <w:tblPrEx>
          <w:tblLook w:val="0000" w:firstRow="0" w:lastRow="0" w:firstColumn="0" w:lastColumn="0" w:noHBand="0" w:noVBand="0"/>
        </w:tblPrEx>
        <w:trPr>
          <w:cantSplit/>
        </w:trPr>
        <w:tc>
          <w:tcPr>
            <w:tcW w:w="2517" w:type="dxa"/>
            <w:tcBorders>
              <w:bottom w:val="dashSmallGap" w:sz="4" w:space="0" w:color="auto"/>
            </w:tcBorders>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Raltegravir</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(400 mg dva puta dnevno)/ledipasvir (90 mg jednom dnevno)</w:t>
            </w:r>
            <w:r w:rsidRPr="00AE75B3">
              <w:rPr>
                <w:rFonts w:ascii="Times New Roman" w:eastAsia="Times New Roman" w:hAnsi="Times New Roman" w:cs="Times New Roman"/>
                <w:vertAlign w:val="superscript"/>
                <w:lang w:val="sr-Latn-CS" w:eastAsia="sr-Latn-CS" w:bidi="sr-Latn-CS"/>
              </w:rPr>
              <w:t>d</w:t>
            </w:r>
          </w:p>
        </w:tc>
        <w:tc>
          <w:tcPr>
            <w:tcW w:w="2409" w:type="dxa"/>
            <w:tcBorders>
              <w:bottom w:val="dashSmallGap" w:sz="4" w:space="0" w:color="auto"/>
            </w:tcBorders>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Raltegravir</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max</w:t>
            </w:r>
            <w:r w:rsidRPr="00AE75B3">
              <w:rPr>
                <w:rFonts w:ascii="Times New Roman" w:eastAsia="Times New Roman" w:hAnsi="Times New Roman" w:cs="Times New Roman"/>
                <w:lang w:val="sr-Latn-CS" w:eastAsia="sr-Latn-CS" w:bidi="sr-Latn-CS"/>
              </w:rPr>
              <w:t xml:space="preserve"> 0,82 (0,66, 1,02)</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AUC 0,85 (0,70, 1,02)</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min</w:t>
            </w:r>
            <w:r w:rsidRPr="00AE75B3">
              <w:rPr>
                <w:rFonts w:ascii="Times New Roman" w:eastAsia="Times New Roman" w:hAnsi="Times New Roman" w:cs="Times New Roman"/>
                <w:lang w:val="sr-Latn-CS" w:eastAsia="sr-Latn-CS" w:bidi="sr-Latn-CS"/>
              </w:rPr>
              <w:t xml:space="preserve"> 1,15 (0,90, 1,46)</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Ledipasvir</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max</w:t>
            </w:r>
            <w:r w:rsidRPr="00AE75B3">
              <w:rPr>
                <w:rFonts w:ascii="Times New Roman" w:eastAsia="Times New Roman" w:hAnsi="Times New Roman" w:cs="Times New Roman"/>
                <w:lang w:val="sr-Latn-CS" w:eastAsia="sr-Latn-CS" w:bidi="sr-Latn-CS"/>
              </w:rPr>
              <w:t xml:space="preserve"> 0,92 (0,85, 1,00)</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AUC 0,91 (0,84, 1,00)</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min</w:t>
            </w:r>
            <w:r w:rsidRPr="00AE75B3">
              <w:rPr>
                <w:rFonts w:ascii="Times New Roman" w:eastAsia="Times New Roman" w:hAnsi="Times New Roman" w:cs="Times New Roman"/>
                <w:lang w:val="sr-Latn-CS" w:eastAsia="sr-Latn-CS" w:bidi="sr-Latn-CS"/>
              </w:rPr>
              <w:t xml:space="preserve"> 0,89 (0,81, 0,98)</w:t>
            </w:r>
          </w:p>
        </w:tc>
        <w:tc>
          <w:tcPr>
            <w:tcW w:w="4708" w:type="dxa"/>
            <w:vMerge w:val="restart"/>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Nije potrebno prilagođavanje doze lijeka Harvoni ili raltegravira.</w:t>
            </w:r>
          </w:p>
        </w:tc>
      </w:tr>
      <w:tr w:rsidR="00AE75B3" w:rsidRPr="00AE75B3" w:rsidTr="00F11E78">
        <w:tblPrEx>
          <w:tblLook w:val="0000" w:firstRow="0" w:lastRow="0" w:firstColumn="0" w:lastColumn="0" w:noHBand="0" w:noVBand="0"/>
        </w:tblPrEx>
        <w:trPr>
          <w:cantSplit/>
        </w:trPr>
        <w:tc>
          <w:tcPr>
            <w:tcW w:w="2517" w:type="dxa"/>
            <w:tcBorders>
              <w:top w:val="dashSmallGap" w:sz="4" w:space="0" w:color="auto"/>
            </w:tcBorders>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lastRenderedPageBreak/>
              <w:t>Raltegravir</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(400 mg dva puta dnevno)/sofosbuvir (400 mg jednom dnevno)</w:t>
            </w:r>
            <w:r w:rsidRPr="00AE75B3">
              <w:rPr>
                <w:rFonts w:ascii="Times New Roman" w:eastAsia="Times New Roman" w:hAnsi="Times New Roman" w:cs="Times New Roman"/>
                <w:vertAlign w:val="superscript"/>
                <w:lang w:val="sr-Latn-CS" w:eastAsia="sr-Latn-CS" w:bidi="sr-Latn-CS"/>
              </w:rPr>
              <w:t>d</w:t>
            </w:r>
          </w:p>
        </w:tc>
        <w:tc>
          <w:tcPr>
            <w:tcW w:w="2409" w:type="dxa"/>
            <w:tcBorders>
              <w:top w:val="dashSmallGap" w:sz="4" w:space="0" w:color="auto"/>
            </w:tcBorders>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Raltegravir</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max</w:t>
            </w:r>
            <w:r w:rsidRPr="00AE75B3">
              <w:rPr>
                <w:rFonts w:ascii="Times New Roman" w:eastAsia="Times New Roman" w:hAnsi="Times New Roman" w:cs="Times New Roman"/>
                <w:lang w:val="sr-Latn-CS" w:eastAsia="sr-Latn-CS" w:bidi="sr-Latn-CS"/>
              </w:rPr>
              <w:t xml:space="preserve"> 0,57 (0,44, 0,75)</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AUC 0,73 (0,59, 0,91)</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min</w:t>
            </w:r>
            <w:r w:rsidRPr="00AE75B3">
              <w:rPr>
                <w:rFonts w:ascii="Times New Roman" w:eastAsia="Times New Roman" w:hAnsi="Times New Roman" w:cs="Times New Roman"/>
                <w:lang w:val="sr-Latn-CS" w:eastAsia="sr-Latn-CS" w:bidi="sr-Latn-CS"/>
              </w:rPr>
              <w:t xml:space="preserve"> 0,95 (0,81, 1,12)</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Sofosbuvir</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max</w:t>
            </w:r>
            <w:r w:rsidRPr="00AE75B3">
              <w:rPr>
                <w:rFonts w:ascii="Times New Roman" w:eastAsia="Times New Roman" w:hAnsi="Times New Roman" w:cs="Times New Roman"/>
                <w:lang w:val="sr-Latn-CS" w:eastAsia="sr-Latn-CS" w:bidi="sr-Latn-CS"/>
              </w:rPr>
              <w:t xml:space="preserve"> 0,87 (0,71, 1,08)</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AUC 0,95 (0,82, 1,09)</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GS</w:t>
            </w:r>
            <w:r w:rsidRPr="00AE75B3">
              <w:rPr>
                <w:rFonts w:ascii="Times New Roman" w:eastAsia="Times New Roman" w:hAnsi="Times New Roman" w:cs="Times New Roman"/>
                <w:b/>
                <w:lang w:val="sr-Latn-CS" w:eastAsia="sr-Latn-CS" w:bidi="sr-Latn-CS"/>
              </w:rPr>
              <w:noBreakHyphen/>
            </w:r>
            <w:r w:rsidRPr="00AE75B3">
              <w:rPr>
                <w:rFonts w:ascii="Times New Roman" w:eastAsia="Times New Roman" w:hAnsi="Times New Roman" w:cs="Times New Roman"/>
                <w:lang w:val="sr-Latn-CS" w:eastAsia="sr-Latn-CS" w:bidi="sr-Latn-CS"/>
              </w:rPr>
              <w:t>331007</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max</w:t>
            </w:r>
            <w:r w:rsidRPr="00AE75B3">
              <w:rPr>
                <w:rFonts w:ascii="Times New Roman" w:eastAsia="Times New Roman" w:hAnsi="Times New Roman" w:cs="Times New Roman"/>
                <w:lang w:val="sr-Latn-CS" w:eastAsia="sr-Latn-CS" w:bidi="sr-Latn-CS"/>
              </w:rPr>
              <w:t xml:space="preserve"> 1,09 (0,99, 1,19)</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AUC 1,02 (0,97, 1,08)</w:t>
            </w:r>
          </w:p>
        </w:tc>
        <w:tc>
          <w:tcPr>
            <w:tcW w:w="4708" w:type="dxa"/>
            <w:vMerge/>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p>
        </w:tc>
      </w:tr>
      <w:tr w:rsidR="00AE75B3" w:rsidRPr="00AE75B3" w:rsidTr="00F11E78">
        <w:tblPrEx>
          <w:tblLook w:val="0000" w:firstRow="0" w:lastRow="0" w:firstColumn="0" w:lastColumn="0" w:noHBand="0" w:noVBand="0"/>
        </w:tblPrEx>
        <w:trPr>
          <w:cantSplit/>
        </w:trPr>
        <w:tc>
          <w:tcPr>
            <w:tcW w:w="2517" w:type="dxa"/>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lastRenderedPageBreak/>
              <w:t>Elvitegravir/kobicistat/emtricitabin/tenofovir disoproksil fumarat</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(150 mg / 150 mg / 200 mg / 300 mg jednom dnevno)/ledipasvir (90 mg jednom dnevno)</w:t>
            </w:r>
            <w:r w:rsidRPr="00AE75B3">
              <w:rPr>
                <w:rFonts w:ascii="Times New Roman" w:eastAsia="Times New Roman" w:hAnsi="Times New Roman" w:cs="Times New Roman"/>
                <w:vertAlign w:val="superscript"/>
                <w:lang w:val="sr-Latn-CS" w:eastAsia="sr-Latn-CS" w:bidi="sr-Latn-CS"/>
              </w:rPr>
              <w:t>c</w:t>
            </w:r>
            <w:r w:rsidRPr="00AE75B3">
              <w:rPr>
                <w:rFonts w:ascii="Times New Roman" w:eastAsia="Times New Roman" w:hAnsi="Times New Roman" w:cs="Times New Roman"/>
                <w:lang w:val="sr-Latn-CS" w:eastAsia="sr-Latn-CS" w:bidi="sr-Latn-CS"/>
              </w:rPr>
              <w:t>/sofosbuvir (400 mg jednom dnevno)</w:t>
            </w:r>
            <w:r w:rsidRPr="00AE75B3">
              <w:rPr>
                <w:rFonts w:ascii="Times New Roman" w:eastAsia="Times New Roman" w:hAnsi="Times New Roman" w:cs="Times New Roman"/>
                <w:vertAlign w:val="superscript"/>
                <w:lang w:val="sr-Latn-CS" w:eastAsia="sr-Latn-CS" w:bidi="sr-Latn-CS"/>
              </w:rPr>
              <w:t>c</w:t>
            </w:r>
          </w:p>
        </w:tc>
        <w:tc>
          <w:tcPr>
            <w:tcW w:w="2409" w:type="dxa"/>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Interakcije nijesu ispitane.</w:t>
            </w:r>
          </w:p>
          <w:p w:rsidR="00AE75B3" w:rsidRPr="00AE75B3" w:rsidRDefault="00AE75B3" w:rsidP="00AE75B3">
            <w:pPr>
              <w:spacing w:after="0" w:line="240" w:lineRule="auto"/>
              <w:outlineLvl w:val="0"/>
              <w:rPr>
                <w:rFonts w:ascii="Times New Roman" w:eastAsia="Times New Roman" w:hAnsi="Times New Roman" w:cs="Times New Roman"/>
                <w:i/>
                <w:lang w:val="sr-Latn-CS" w:eastAsia="sr-Latn-CS" w:bidi="sr-Latn-CS"/>
              </w:rPr>
            </w:pPr>
            <w:r w:rsidRPr="00AE75B3">
              <w:rPr>
                <w:rFonts w:ascii="Times New Roman" w:eastAsia="Times New Roman" w:hAnsi="Times New Roman" w:cs="Times New Roman"/>
                <w:i/>
                <w:lang w:val="sr-Latn-CS" w:eastAsia="sr-Latn-CS" w:bidi="sr-Latn-CS"/>
              </w:rPr>
              <w:t>Očekivano:</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Emtricitabin</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Tenofovir</w:t>
            </w:r>
          </w:p>
          <w:p w:rsidR="00AE75B3" w:rsidRPr="00AE75B3" w:rsidRDefault="00AE75B3" w:rsidP="00AE75B3">
            <w:pPr>
              <w:spacing w:after="0" w:line="240" w:lineRule="auto"/>
              <w:outlineLvl w:val="0"/>
              <w:rPr>
                <w:rFonts w:ascii="Times New Roman" w:eastAsia="Times New Roman" w:hAnsi="Times New Roman" w:cs="Times New Roman"/>
                <w:i/>
                <w:lang w:val="sr-Latn-CS" w:eastAsia="sr-Latn-CS" w:bidi="sr-Latn-CS"/>
              </w:rPr>
            </w:pPr>
          </w:p>
          <w:p w:rsidR="00AE75B3" w:rsidRPr="00AE75B3" w:rsidRDefault="00AE75B3" w:rsidP="00AE75B3">
            <w:pPr>
              <w:spacing w:after="0" w:line="240" w:lineRule="auto"/>
              <w:outlineLvl w:val="0"/>
              <w:rPr>
                <w:rFonts w:ascii="Times New Roman" w:eastAsia="Times New Roman" w:hAnsi="Times New Roman" w:cs="Times New Roman"/>
                <w:i/>
                <w:lang w:val="sr-Latn-CS" w:eastAsia="sr-Latn-CS" w:bidi="sr-Latn-CS"/>
              </w:rPr>
            </w:pPr>
            <w:r w:rsidRPr="00AE75B3">
              <w:rPr>
                <w:rFonts w:ascii="Times New Roman" w:eastAsia="Times New Roman" w:hAnsi="Times New Roman" w:cs="Times New Roman"/>
                <w:i/>
                <w:lang w:val="sr-Latn-CS" w:eastAsia="sr-Latn-CS" w:bidi="sr-Latn-CS"/>
              </w:rPr>
              <w:t>Uočeno:</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Elvitegravir</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max</w:t>
            </w:r>
            <w:r w:rsidRPr="00AE75B3">
              <w:rPr>
                <w:rFonts w:ascii="Times New Roman" w:eastAsia="Times New Roman" w:hAnsi="Times New Roman" w:cs="Times New Roman"/>
                <w:lang w:val="sr-Latn-CS" w:eastAsia="sr-Latn-CS" w:bidi="sr-Latn-CS"/>
              </w:rPr>
              <w:t xml:space="preserve"> 0,88 (0,82, 0,95)</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AUC 1,02 (0,95, 1,09)</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min</w:t>
            </w:r>
            <w:r w:rsidRPr="00AE75B3">
              <w:rPr>
                <w:rFonts w:ascii="Times New Roman" w:eastAsia="Times New Roman" w:hAnsi="Times New Roman" w:cs="Times New Roman"/>
                <w:lang w:val="sr-Latn-CS" w:eastAsia="sr-Latn-CS" w:bidi="sr-Latn-CS"/>
              </w:rPr>
              <w:t xml:space="preserve"> 1,36 (1,23, 1,49)</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Kobicistat</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max</w:t>
            </w:r>
            <w:r w:rsidRPr="00AE75B3">
              <w:rPr>
                <w:rFonts w:ascii="Times New Roman" w:eastAsia="Times New Roman" w:hAnsi="Times New Roman" w:cs="Times New Roman"/>
                <w:lang w:val="sr-Latn-CS" w:eastAsia="sr-Latn-CS" w:bidi="sr-Latn-CS"/>
              </w:rPr>
              <w:t xml:space="preserve"> 1,25 (1,18, 1,32)</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AUC 1,59 (1,49, 1,70)</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min</w:t>
            </w:r>
            <w:r w:rsidRPr="00AE75B3">
              <w:rPr>
                <w:rFonts w:ascii="Times New Roman" w:eastAsia="Times New Roman" w:hAnsi="Times New Roman" w:cs="Times New Roman"/>
                <w:lang w:val="sr-Latn-CS" w:eastAsia="sr-Latn-CS" w:bidi="sr-Latn-CS"/>
              </w:rPr>
              <w:t xml:space="preserve"> 4,25 (3,47, 5,22)</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Ledipasvir</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max</w:t>
            </w:r>
            <w:r w:rsidRPr="00AE75B3">
              <w:rPr>
                <w:rFonts w:ascii="Times New Roman" w:eastAsia="Times New Roman" w:hAnsi="Times New Roman" w:cs="Times New Roman"/>
                <w:lang w:val="sr-Latn-CS" w:eastAsia="sr-Latn-CS" w:bidi="sr-Latn-CS"/>
              </w:rPr>
              <w:t xml:space="preserve"> 1,63 (1,51, 1,75)</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AUC 1,78 (1,64, 1,94)</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min</w:t>
            </w:r>
            <w:r w:rsidRPr="00AE75B3">
              <w:rPr>
                <w:rFonts w:ascii="Times New Roman" w:eastAsia="Times New Roman" w:hAnsi="Times New Roman" w:cs="Times New Roman"/>
                <w:lang w:val="sr-Latn-CS" w:eastAsia="sr-Latn-CS" w:bidi="sr-Latn-CS"/>
              </w:rPr>
              <w:t xml:space="preserve"> 1,91 (1,76, 2,08)</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Sofosbuvir</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max</w:t>
            </w:r>
            <w:r w:rsidRPr="00AE75B3">
              <w:rPr>
                <w:rFonts w:ascii="Times New Roman" w:eastAsia="Times New Roman" w:hAnsi="Times New Roman" w:cs="Times New Roman"/>
                <w:lang w:val="sr-Latn-CS" w:eastAsia="sr-Latn-CS" w:bidi="sr-Latn-CS"/>
              </w:rPr>
              <w:t xml:space="preserve"> 1,33 (1,14, 1,56)</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AUC 1,36 (1,21, 1,52)</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GS</w:t>
            </w:r>
            <w:r w:rsidRPr="00AE75B3">
              <w:rPr>
                <w:rFonts w:ascii="Times New Roman" w:eastAsia="Times New Roman" w:hAnsi="Times New Roman" w:cs="Times New Roman"/>
                <w:b/>
                <w:lang w:val="sr-Latn-CS" w:eastAsia="sr-Latn-CS" w:bidi="sr-Latn-CS"/>
              </w:rPr>
              <w:noBreakHyphen/>
            </w:r>
            <w:r w:rsidRPr="00AE75B3">
              <w:rPr>
                <w:rFonts w:ascii="Times New Roman" w:eastAsia="Times New Roman" w:hAnsi="Times New Roman" w:cs="Times New Roman"/>
                <w:lang w:val="sr-Latn-CS" w:eastAsia="sr-Latn-CS" w:bidi="sr-Latn-CS"/>
              </w:rPr>
              <w:t>331007</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max</w:t>
            </w:r>
            <w:r w:rsidRPr="00AE75B3">
              <w:rPr>
                <w:rFonts w:ascii="Times New Roman" w:eastAsia="Times New Roman" w:hAnsi="Times New Roman" w:cs="Times New Roman"/>
                <w:lang w:val="sr-Latn-CS" w:eastAsia="sr-Latn-CS" w:bidi="sr-Latn-CS"/>
              </w:rPr>
              <w:t xml:space="preserve"> 1,33 (1,22, 1,44)</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AUC 1,44 (1,41, 1,48)</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min</w:t>
            </w:r>
            <w:r w:rsidRPr="00AE75B3">
              <w:rPr>
                <w:rFonts w:ascii="Times New Roman" w:eastAsia="Times New Roman" w:hAnsi="Times New Roman" w:cs="Times New Roman"/>
                <w:lang w:val="sr-Latn-CS" w:eastAsia="sr-Latn-CS" w:bidi="sr-Latn-CS"/>
              </w:rPr>
              <w:t xml:space="preserve"> 1,53 (1,47, 1,59)</w:t>
            </w:r>
          </w:p>
        </w:tc>
        <w:tc>
          <w:tcPr>
            <w:tcW w:w="4708" w:type="dxa"/>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Kad se daje sa elvitegravirom/kobicistatom/emtricitabinom/tenofovir disoproksil fumaratom, očekuje se da će lijek Harvoni povećati koncentraciju tenofovira.</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Bezbjednost tenofovir disoproksil fumarata kada se primjenjuje uz lijek Harvoni i farmakokinetički pojačivač (npr. ritonavir ili kobicistat) nije ustanovljena.</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Ovu kombinaciju treba primjenjivati sa oprezom uz često praćenje funkcije bubrega, ako nijesu dostupne druge alternative (vidjeti odjeljak 4.4).</w:t>
            </w:r>
          </w:p>
        </w:tc>
      </w:tr>
      <w:tr w:rsidR="00AE75B3" w:rsidRPr="00AE75B3" w:rsidTr="00F11E78">
        <w:tblPrEx>
          <w:tblLook w:val="0000" w:firstRow="0" w:lastRow="0" w:firstColumn="0" w:lastColumn="0" w:noHBand="0" w:noVBand="0"/>
        </w:tblPrEx>
        <w:trPr>
          <w:cantSplit/>
        </w:trPr>
        <w:tc>
          <w:tcPr>
            <w:tcW w:w="2517" w:type="dxa"/>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Dolutegravir</w:t>
            </w:r>
          </w:p>
        </w:tc>
        <w:tc>
          <w:tcPr>
            <w:tcW w:w="2409" w:type="dxa"/>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Interakcija nije ispitana.</w:t>
            </w:r>
          </w:p>
          <w:p w:rsidR="00AE75B3" w:rsidRPr="00AE75B3" w:rsidRDefault="00AE75B3" w:rsidP="00AE75B3">
            <w:pPr>
              <w:spacing w:after="0" w:line="240" w:lineRule="auto"/>
              <w:outlineLvl w:val="0"/>
              <w:rPr>
                <w:rFonts w:ascii="Times New Roman" w:eastAsia="Times New Roman" w:hAnsi="Times New Roman" w:cs="Times New Roman"/>
                <w:i/>
                <w:lang w:val="sr-Latn-CS" w:eastAsia="sr-Latn-CS" w:bidi="sr-Latn-CS"/>
              </w:rPr>
            </w:pPr>
            <w:r w:rsidRPr="00AE75B3">
              <w:rPr>
                <w:rFonts w:ascii="Times New Roman" w:eastAsia="Times New Roman" w:hAnsi="Times New Roman" w:cs="Times New Roman"/>
                <w:i/>
                <w:lang w:val="sr-Latn-CS" w:eastAsia="sr-Latn-CS" w:bidi="sr-Latn-CS"/>
              </w:rPr>
              <w:t>Očekivano:</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Dolutegravir</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Ledipasvir</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Sofosbuvir</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GS</w:t>
            </w:r>
            <w:r w:rsidRPr="00AE75B3">
              <w:rPr>
                <w:rFonts w:ascii="Times New Roman" w:eastAsia="Times New Roman" w:hAnsi="Times New Roman" w:cs="Times New Roman"/>
                <w:b/>
                <w:lang w:val="sr-Latn-CS" w:eastAsia="sr-Latn-CS" w:bidi="sr-Latn-CS"/>
              </w:rPr>
              <w:noBreakHyphen/>
            </w:r>
            <w:r w:rsidRPr="00AE75B3">
              <w:rPr>
                <w:rFonts w:ascii="Times New Roman" w:eastAsia="Times New Roman" w:hAnsi="Times New Roman" w:cs="Times New Roman"/>
                <w:lang w:val="sr-Latn-CS" w:eastAsia="sr-Latn-CS" w:bidi="sr-Latn-CS"/>
              </w:rPr>
              <w:t>331007</w:t>
            </w:r>
          </w:p>
        </w:tc>
        <w:tc>
          <w:tcPr>
            <w:tcW w:w="4708" w:type="dxa"/>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Nije potrebno podešavanje doze.</w:t>
            </w:r>
          </w:p>
        </w:tc>
      </w:tr>
      <w:tr w:rsidR="00AE75B3" w:rsidRPr="00AE75B3" w:rsidTr="00F11E78">
        <w:tblPrEx>
          <w:tblLook w:val="0000" w:firstRow="0" w:lastRow="0" w:firstColumn="0" w:lastColumn="0" w:noHBand="0" w:noVBand="0"/>
        </w:tblPrEx>
        <w:trPr>
          <w:cantSplit/>
        </w:trPr>
        <w:tc>
          <w:tcPr>
            <w:tcW w:w="9634" w:type="dxa"/>
            <w:gridSpan w:val="3"/>
          </w:tcPr>
          <w:p w:rsidR="00AE75B3" w:rsidRPr="00AE75B3" w:rsidRDefault="00AE75B3" w:rsidP="00AE75B3">
            <w:pPr>
              <w:keepNext/>
              <w:keepLines/>
              <w:spacing w:after="0" w:line="240" w:lineRule="auto"/>
              <w:outlineLvl w:val="0"/>
              <w:rPr>
                <w:rFonts w:ascii="Times New Roman" w:eastAsia="Times New Roman" w:hAnsi="Times New Roman" w:cs="Times New Roman"/>
                <w:b/>
                <w:i/>
                <w:lang w:val="sr-Latn-CS" w:eastAsia="sr-Latn-CS" w:bidi="sr-Latn-CS"/>
              </w:rPr>
            </w:pPr>
            <w:r w:rsidRPr="00AE75B3">
              <w:rPr>
                <w:rFonts w:ascii="Times New Roman" w:eastAsia="Times New Roman" w:hAnsi="Times New Roman" w:cs="Times New Roman"/>
                <w:b/>
                <w:i/>
                <w:lang w:val="sr-Latn-CS" w:eastAsia="sr-Latn-CS" w:bidi="sr-Latn-CS"/>
              </w:rPr>
              <w:lastRenderedPageBreak/>
              <w:t>BILJNI DODACI</w:t>
            </w:r>
          </w:p>
        </w:tc>
      </w:tr>
      <w:tr w:rsidR="00AE75B3" w:rsidRPr="00AE75B3" w:rsidTr="00F11E78">
        <w:tblPrEx>
          <w:tblLook w:val="0000" w:firstRow="0" w:lastRow="0" w:firstColumn="0" w:lastColumn="0" w:noHBand="0" w:noVBand="0"/>
        </w:tblPrEx>
        <w:trPr>
          <w:cantSplit/>
        </w:trPr>
        <w:tc>
          <w:tcPr>
            <w:tcW w:w="2517" w:type="dxa"/>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Kantarion</w:t>
            </w:r>
          </w:p>
        </w:tc>
        <w:tc>
          <w:tcPr>
            <w:tcW w:w="2409" w:type="dxa"/>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Interakcija nije ispitana.</w:t>
            </w:r>
          </w:p>
          <w:p w:rsidR="00AE75B3" w:rsidRPr="00AE75B3" w:rsidRDefault="00AE75B3" w:rsidP="00AE75B3">
            <w:pPr>
              <w:spacing w:after="0" w:line="240" w:lineRule="auto"/>
              <w:outlineLvl w:val="0"/>
              <w:rPr>
                <w:rFonts w:ascii="Times New Roman" w:eastAsia="Times New Roman" w:hAnsi="Times New Roman" w:cs="Times New Roman"/>
                <w:i/>
                <w:lang w:val="sr-Latn-CS" w:eastAsia="sr-Latn-CS" w:bidi="sr-Latn-CS"/>
              </w:rPr>
            </w:pPr>
            <w:r w:rsidRPr="00AE75B3">
              <w:rPr>
                <w:rFonts w:ascii="Times New Roman" w:eastAsia="Times New Roman" w:hAnsi="Times New Roman" w:cs="Times New Roman"/>
                <w:i/>
                <w:lang w:val="sr-Latn-CS" w:eastAsia="sr-Latn-CS" w:bidi="sr-Latn-CS"/>
              </w:rPr>
              <w:t>Očekivano:</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Ledipasvir</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Sofosbuvir</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GS</w:t>
            </w:r>
            <w:r w:rsidRPr="00AE75B3">
              <w:rPr>
                <w:rFonts w:ascii="Times New Roman" w:eastAsia="Times New Roman" w:hAnsi="Times New Roman" w:cs="Times New Roman"/>
                <w:b/>
                <w:lang w:val="sr-Latn-CS" w:eastAsia="sr-Latn-CS" w:bidi="sr-Latn-CS"/>
              </w:rPr>
              <w:noBreakHyphen/>
            </w:r>
            <w:r w:rsidRPr="00AE75B3">
              <w:rPr>
                <w:rFonts w:ascii="Times New Roman" w:eastAsia="Times New Roman" w:hAnsi="Times New Roman" w:cs="Times New Roman"/>
                <w:lang w:val="sr-Latn-CS" w:eastAsia="sr-Latn-CS" w:bidi="sr-Latn-CS"/>
              </w:rPr>
              <w:t>331007</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(Indukcija P</w:t>
            </w:r>
            <w:r w:rsidRPr="00AE75B3">
              <w:rPr>
                <w:rFonts w:ascii="Times New Roman" w:eastAsia="Times New Roman" w:hAnsi="Times New Roman" w:cs="Times New Roman"/>
                <w:b/>
                <w:lang w:val="sr-Latn-CS" w:eastAsia="sr-Latn-CS" w:bidi="sr-Latn-CS"/>
              </w:rPr>
              <w:noBreakHyphen/>
            </w:r>
            <w:r w:rsidRPr="00AE75B3">
              <w:rPr>
                <w:rFonts w:ascii="Times New Roman" w:eastAsia="Times New Roman" w:hAnsi="Times New Roman" w:cs="Times New Roman"/>
                <w:lang w:val="sr-Latn-CS" w:eastAsia="sr-Latn-CS" w:bidi="sr-Latn-CS"/>
              </w:rPr>
              <w:t>gp)</w:t>
            </w:r>
          </w:p>
        </w:tc>
        <w:tc>
          <w:tcPr>
            <w:tcW w:w="4708" w:type="dxa"/>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Primjena lijeka Harvoni je kontraindikovana sa primjenom kantariona, jakim induktorom intestinalnog P</w:t>
            </w:r>
            <w:r w:rsidRPr="00AE75B3">
              <w:rPr>
                <w:rFonts w:ascii="Times New Roman" w:eastAsia="Times New Roman" w:hAnsi="Times New Roman" w:cs="Times New Roman"/>
                <w:b/>
                <w:lang w:val="sr-Latn-CS" w:eastAsia="sr-Latn-CS" w:bidi="sr-Latn-CS"/>
              </w:rPr>
              <w:noBreakHyphen/>
            </w:r>
            <w:r w:rsidRPr="00AE75B3">
              <w:rPr>
                <w:rFonts w:ascii="Times New Roman" w:eastAsia="Times New Roman" w:hAnsi="Times New Roman" w:cs="Times New Roman"/>
                <w:lang w:val="sr-Latn-CS" w:eastAsia="sr-Latn-CS" w:bidi="sr-Latn-CS"/>
              </w:rPr>
              <w:t>gp (vidjeti odjeljak 4.3).</w:t>
            </w:r>
          </w:p>
        </w:tc>
      </w:tr>
      <w:tr w:rsidR="00AE75B3" w:rsidRPr="00AE75B3" w:rsidTr="00F11E78">
        <w:tblPrEx>
          <w:tblLook w:val="0000" w:firstRow="0" w:lastRow="0" w:firstColumn="0" w:lastColumn="0" w:noHBand="0" w:noVBand="0"/>
        </w:tblPrEx>
        <w:trPr>
          <w:cantSplit/>
        </w:trPr>
        <w:tc>
          <w:tcPr>
            <w:tcW w:w="9634" w:type="dxa"/>
            <w:gridSpan w:val="3"/>
          </w:tcPr>
          <w:p w:rsidR="00AE75B3" w:rsidRPr="00AE75B3" w:rsidRDefault="00AE75B3" w:rsidP="00AE75B3">
            <w:pPr>
              <w:keepNext/>
              <w:keepLines/>
              <w:spacing w:after="0" w:line="240" w:lineRule="auto"/>
              <w:outlineLvl w:val="0"/>
              <w:rPr>
                <w:rFonts w:ascii="Times New Roman" w:eastAsia="Times New Roman" w:hAnsi="Times New Roman" w:cs="Times New Roman"/>
                <w:b/>
                <w:i/>
                <w:lang w:val="sr-Latn-CS" w:eastAsia="sr-Latn-CS" w:bidi="sr-Latn-CS"/>
              </w:rPr>
            </w:pPr>
            <w:r w:rsidRPr="00AE75B3">
              <w:rPr>
                <w:rFonts w:ascii="Times New Roman" w:eastAsia="Times New Roman" w:hAnsi="Times New Roman" w:cs="Times New Roman"/>
                <w:b/>
                <w:i/>
                <w:lang w:val="sr-Latn-CS" w:eastAsia="sr-Latn-CS" w:bidi="sr-Latn-CS"/>
              </w:rPr>
              <w:t>INHIBITORI HMG</w:t>
            </w:r>
            <w:r w:rsidRPr="00AE75B3">
              <w:rPr>
                <w:rFonts w:ascii="Times New Roman" w:eastAsia="Times New Roman" w:hAnsi="Times New Roman" w:cs="Times New Roman"/>
                <w:b/>
                <w:lang w:val="sr-Latn-CS" w:eastAsia="sr-Latn-CS" w:bidi="sr-Latn-CS"/>
              </w:rPr>
              <w:noBreakHyphen/>
            </w:r>
            <w:r w:rsidRPr="00AE75B3">
              <w:rPr>
                <w:rFonts w:ascii="Times New Roman" w:eastAsia="Times New Roman" w:hAnsi="Times New Roman" w:cs="Times New Roman"/>
                <w:b/>
                <w:i/>
                <w:lang w:val="sr-Latn-CS" w:eastAsia="sr-Latn-CS" w:bidi="sr-Latn-CS"/>
              </w:rPr>
              <w:t>CoA REDUKTAZE</w:t>
            </w:r>
          </w:p>
        </w:tc>
      </w:tr>
      <w:tr w:rsidR="00AE75B3" w:rsidRPr="00AE75B3" w:rsidTr="00F11E78">
        <w:tblPrEx>
          <w:tblLook w:val="0000" w:firstRow="0" w:lastRow="0" w:firstColumn="0" w:lastColumn="0" w:noHBand="0" w:noVBand="0"/>
        </w:tblPrEx>
        <w:trPr>
          <w:cantSplit/>
        </w:trPr>
        <w:tc>
          <w:tcPr>
            <w:tcW w:w="2517" w:type="dxa"/>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Rosuvastatin</w:t>
            </w:r>
            <w:r w:rsidRPr="00AE75B3">
              <w:rPr>
                <w:rFonts w:ascii="Times New Roman" w:eastAsia="Times New Roman" w:hAnsi="Times New Roman" w:cs="Times New Roman"/>
                <w:vertAlign w:val="superscript"/>
                <w:lang w:val="sr-Latn-CS" w:eastAsia="sr-Latn-CS" w:bidi="sr-Latn-CS"/>
              </w:rPr>
              <w:t>g</w:t>
            </w:r>
          </w:p>
        </w:tc>
        <w:tc>
          <w:tcPr>
            <w:tcW w:w="2409" w:type="dxa"/>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Rosuvastatin</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(Inhibicija transportera lijeka OATP i BCRP)</w:t>
            </w:r>
          </w:p>
        </w:tc>
        <w:tc>
          <w:tcPr>
            <w:tcW w:w="4708" w:type="dxa"/>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Istovremena primjena lijeka Harvoni sa rosuvastatinom može značajno povećati koncentraciju rosuvastatina (AUC povećana nekoliko puta), što je povezano s povećanim rizikom od miopatije, uključujući rabdomiolizu. Istovremena primjena lijeka Harvoni sa rosuvastatinom je kontraindikovana (vidjeti odjeljak 4.3).</w:t>
            </w:r>
          </w:p>
        </w:tc>
      </w:tr>
      <w:tr w:rsidR="00AE75B3" w:rsidRPr="00AE75B3" w:rsidTr="00F11E78">
        <w:tblPrEx>
          <w:tblLook w:val="0000" w:firstRow="0" w:lastRow="0" w:firstColumn="0" w:lastColumn="0" w:noHBand="0" w:noVBand="0"/>
        </w:tblPrEx>
        <w:trPr>
          <w:cantSplit/>
        </w:trPr>
        <w:tc>
          <w:tcPr>
            <w:tcW w:w="2517" w:type="dxa"/>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Pravastatin</w:t>
            </w:r>
            <w:r w:rsidRPr="00AE75B3">
              <w:rPr>
                <w:rFonts w:ascii="Times New Roman" w:eastAsia="Times New Roman" w:hAnsi="Times New Roman" w:cs="Times New Roman"/>
                <w:vertAlign w:val="superscript"/>
                <w:lang w:val="sr-Latn-CS" w:eastAsia="sr-Latn-CS" w:bidi="sr-Latn-CS"/>
              </w:rPr>
              <w:t>g</w:t>
            </w:r>
          </w:p>
        </w:tc>
        <w:tc>
          <w:tcPr>
            <w:tcW w:w="2409" w:type="dxa"/>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Pravastatin</w:t>
            </w:r>
          </w:p>
        </w:tc>
        <w:tc>
          <w:tcPr>
            <w:tcW w:w="4708" w:type="dxa"/>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Istovremena primjena lijeka Harvoni sa pravastatinom može značajno povećati koncentraciju pravastatina, što je povezano sa povećanim rizikom od miopatije. Kod ovih pacijenata se preporučuje klinička i biohemijska kontrola i može biti potrebno prilagođavanje doze (vidjeti odjeljak 4.4).</w:t>
            </w:r>
          </w:p>
        </w:tc>
      </w:tr>
      <w:tr w:rsidR="00AE75B3" w:rsidRPr="00AE75B3" w:rsidTr="00F11E78">
        <w:tblPrEx>
          <w:tblLook w:val="0000" w:firstRow="0" w:lastRow="0" w:firstColumn="0" w:lastColumn="0" w:noHBand="0" w:noVBand="0"/>
        </w:tblPrEx>
        <w:trPr>
          <w:cantSplit/>
        </w:trPr>
        <w:tc>
          <w:tcPr>
            <w:tcW w:w="2517" w:type="dxa"/>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Drugi statini</w:t>
            </w:r>
          </w:p>
        </w:tc>
        <w:tc>
          <w:tcPr>
            <w:tcW w:w="2409" w:type="dxa"/>
          </w:tcPr>
          <w:p w:rsidR="00AE75B3" w:rsidRPr="00AE75B3" w:rsidRDefault="00AE75B3" w:rsidP="00AE75B3">
            <w:pPr>
              <w:spacing w:after="0" w:line="240" w:lineRule="auto"/>
              <w:outlineLvl w:val="0"/>
              <w:rPr>
                <w:rFonts w:ascii="Times New Roman" w:eastAsia="Times New Roman" w:hAnsi="Times New Roman" w:cs="Times New Roman"/>
                <w:i/>
                <w:lang w:val="sr-Latn-CS" w:eastAsia="sr-Latn-CS" w:bidi="sr-Latn-CS"/>
              </w:rPr>
            </w:pPr>
            <w:r w:rsidRPr="00AE75B3">
              <w:rPr>
                <w:rFonts w:ascii="Times New Roman" w:eastAsia="Times New Roman" w:hAnsi="Times New Roman" w:cs="Times New Roman"/>
                <w:i/>
                <w:lang w:val="sr-Latn-CS" w:eastAsia="sr-Latn-CS" w:bidi="sr-Latn-CS"/>
              </w:rPr>
              <w:t>Očekivano:</w:t>
            </w:r>
          </w:p>
          <w:p w:rsidR="00AE75B3" w:rsidRPr="00AE75B3" w:rsidDel="000E41C7"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Statini</w:t>
            </w:r>
          </w:p>
        </w:tc>
        <w:tc>
          <w:tcPr>
            <w:tcW w:w="4708" w:type="dxa"/>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Ne mogu se isključiti interakcije sa drugim inhibitorima reduktaze HMG</w:t>
            </w:r>
            <w:r w:rsidRPr="00AE75B3">
              <w:rPr>
                <w:rFonts w:ascii="Times New Roman" w:eastAsia="Times New Roman" w:hAnsi="Times New Roman" w:cs="Times New Roman"/>
                <w:b/>
                <w:lang w:val="sr-Latn-CS" w:eastAsia="sr-Latn-CS" w:bidi="sr-Latn-CS"/>
              </w:rPr>
              <w:noBreakHyphen/>
            </w:r>
            <w:r w:rsidRPr="00AE75B3">
              <w:rPr>
                <w:rFonts w:ascii="Times New Roman" w:eastAsia="Times New Roman" w:hAnsi="Times New Roman" w:cs="Times New Roman"/>
                <w:lang w:val="sr-Latn-CS" w:eastAsia="sr-Latn-CS" w:bidi="sr-Latn-CS"/>
              </w:rPr>
              <w:t>CoA. Kad se primjenjuju istovremeno sa lijekom Harvoni, treba razmotriti primjenu manje doze statina i sprovoditi pažljivo praćenje zbog neželjenih dejstava statina (vidjeti odjeljak 4.4).</w:t>
            </w:r>
          </w:p>
        </w:tc>
      </w:tr>
      <w:tr w:rsidR="00AE75B3" w:rsidRPr="00AE75B3" w:rsidTr="00F11E78">
        <w:tblPrEx>
          <w:tblLook w:val="0000" w:firstRow="0" w:lastRow="0" w:firstColumn="0" w:lastColumn="0" w:noHBand="0" w:noVBand="0"/>
        </w:tblPrEx>
        <w:trPr>
          <w:cantSplit/>
        </w:trPr>
        <w:tc>
          <w:tcPr>
            <w:tcW w:w="9634" w:type="dxa"/>
            <w:gridSpan w:val="3"/>
          </w:tcPr>
          <w:p w:rsidR="00AE75B3" w:rsidRPr="00AE75B3" w:rsidRDefault="00AE75B3" w:rsidP="00AE75B3">
            <w:pPr>
              <w:keepNext/>
              <w:keepLines/>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b/>
                <w:i/>
                <w:lang w:val="sr-Latn-CS" w:eastAsia="sr-Latn-CS" w:bidi="sr-Latn-CS"/>
              </w:rPr>
              <w:t>OPIOIDNI ANALGETICI</w:t>
            </w:r>
          </w:p>
        </w:tc>
      </w:tr>
      <w:tr w:rsidR="00AE75B3" w:rsidRPr="00AE75B3" w:rsidTr="00F11E78">
        <w:tblPrEx>
          <w:tblLook w:val="0000" w:firstRow="0" w:lastRow="0" w:firstColumn="0" w:lastColumn="0" w:noHBand="0" w:noVBand="0"/>
        </w:tblPrEx>
        <w:trPr>
          <w:cantSplit/>
        </w:trPr>
        <w:tc>
          <w:tcPr>
            <w:tcW w:w="2517" w:type="dxa"/>
            <w:tcBorders>
              <w:bottom w:val="dashSmallGap" w:sz="4" w:space="0" w:color="auto"/>
            </w:tcBorders>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Metadon</w:t>
            </w:r>
          </w:p>
        </w:tc>
        <w:tc>
          <w:tcPr>
            <w:tcW w:w="2409" w:type="dxa"/>
            <w:tcBorders>
              <w:bottom w:val="dashSmallGap" w:sz="4" w:space="0" w:color="auto"/>
            </w:tcBorders>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Interakcija nije ispitana.</w:t>
            </w:r>
          </w:p>
          <w:p w:rsidR="00AE75B3" w:rsidRPr="00AE75B3" w:rsidRDefault="00AE75B3" w:rsidP="00AE75B3">
            <w:pPr>
              <w:spacing w:after="0" w:line="240" w:lineRule="auto"/>
              <w:outlineLvl w:val="0"/>
              <w:rPr>
                <w:rFonts w:ascii="Times New Roman" w:eastAsia="Times New Roman" w:hAnsi="Times New Roman" w:cs="Times New Roman"/>
                <w:i/>
                <w:lang w:val="sr-Latn-CS" w:eastAsia="sr-Latn-CS" w:bidi="sr-Latn-CS"/>
              </w:rPr>
            </w:pPr>
            <w:r w:rsidRPr="00AE75B3">
              <w:rPr>
                <w:rFonts w:ascii="Times New Roman" w:eastAsia="Times New Roman" w:hAnsi="Times New Roman" w:cs="Times New Roman"/>
                <w:i/>
                <w:lang w:val="sr-Latn-CS" w:eastAsia="sr-Latn-CS" w:bidi="sr-Latn-CS"/>
              </w:rPr>
              <w:t>Očekivano:</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Ledipasvir</w:t>
            </w:r>
          </w:p>
        </w:tc>
        <w:tc>
          <w:tcPr>
            <w:tcW w:w="4708" w:type="dxa"/>
            <w:vMerge w:val="restart"/>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Nije potrebno prilagođavanje doze lijeka Harvoni ili metadona.</w:t>
            </w:r>
          </w:p>
        </w:tc>
      </w:tr>
      <w:tr w:rsidR="00AE75B3" w:rsidRPr="00AE75B3" w:rsidTr="00F11E78">
        <w:tblPrEx>
          <w:tblLook w:val="0000" w:firstRow="0" w:lastRow="0" w:firstColumn="0" w:lastColumn="0" w:noHBand="0" w:noVBand="0"/>
        </w:tblPrEx>
        <w:trPr>
          <w:cantSplit/>
        </w:trPr>
        <w:tc>
          <w:tcPr>
            <w:tcW w:w="2517" w:type="dxa"/>
            <w:tcBorders>
              <w:top w:val="dashSmallGap" w:sz="4" w:space="0" w:color="auto"/>
            </w:tcBorders>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lastRenderedPageBreak/>
              <w:t>Metadon</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Metadon (terapija održavanja metadonom [30 do 130 mg/dnevno])/sofosbuvir (400 mg jednom dnevno)</w:t>
            </w:r>
            <w:r w:rsidRPr="00AE75B3">
              <w:rPr>
                <w:rFonts w:ascii="Times New Roman" w:eastAsia="Times New Roman" w:hAnsi="Times New Roman" w:cs="Times New Roman"/>
                <w:vertAlign w:val="superscript"/>
                <w:lang w:val="sr-Latn-CS" w:eastAsia="sr-Latn-CS" w:bidi="sr-Latn-CS"/>
              </w:rPr>
              <w:t>d</w:t>
            </w:r>
          </w:p>
        </w:tc>
        <w:tc>
          <w:tcPr>
            <w:tcW w:w="2409" w:type="dxa"/>
            <w:tcBorders>
              <w:top w:val="dashSmallGap" w:sz="4" w:space="0" w:color="auto"/>
            </w:tcBorders>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R</w:t>
            </w:r>
            <w:r w:rsidRPr="00AE75B3">
              <w:rPr>
                <w:rFonts w:ascii="Times New Roman" w:eastAsia="Times New Roman" w:hAnsi="Times New Roman" w:cs="Times New Roman"/>
                <w:b/>
                <w:lang w:val="sr-Latn-CS" w:eastAsia="sr-Latn-CS" w:bidi="sr-Latn-CS"/>
              </w:rPr>
              <w:noBreakHyphen/>
            </w:r>
            <w:r w:rsidRPr="00AE75B3">
              <w:rPr>
                <w:rFonts w:ascii="Times New Roman" w:eastAsia="Times New Roman" w:hAnsi="Times New Roman" w:cs="Times New Roman"/>
                <w:lang w:val="sr-Latn-CS" w:eastAsia="sr-Latn-CS" w:bidi="sr-Latn-CS"/>
              </w:rPr>
              <w:t>metadon</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max</w:t>
            </w:r>
            <w:r w:rsidRPr="00AE75B3">
              <w:rPr>
                <w:rFonts w:ascii="Times New Roman" w:eastAsia="Times New Roman" w:hAnsi="Times New Roman" w:cs="Times New Roman"/>
                <w:lang w:val="sr-Latn-CS" w:eastAsia="sr-Latn-CS" w:bidi="sr-Latn-CS"/>
              </w:rPr>
              <w:t xml:space="preserve"> 0,99 (0,85, 1,16)</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AUC 1,01 (0,85, 1,21)</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min</w:t>
            </w:r>
            <w:r w:rsidRPr="00AE75B3">
              <w:rPr>
                <w:rFonts w:ascii="Times New Roman" w:eastAsia="Times New Roman" w:hAnsi="Times New Roman" w:cs="Times New Roman"/>
                <w:lang w:val="sr-Latn-CS" w:eastAsia="sr-Latn-CS" w:bidi="sr-Latn-CS"/>
              </w:rPr>
              <w:t xml:space="preserve"> 0,94 (0,77, 1,14)</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S</w:t>
            </w:r>
            <w:r w:rsidRPr="00AE75B3">
              <w:rPr>
                <w:rFonts w:ascii="Times New Roman" w:eastAsia="Times New Roman" w:hAnsi="Times New Roman" w:cs="Times New Roman"/>
                <w:b/>
                <w:lang w:val="sr-Latn-CS" w:eastAsia="sr-Latn-CS" w:bidi="sr-Latn-CS"/>
              </w:rPr>
              <w:noBreakHyphen/>
            </w:r>
            <w:r w:rsidRPr="00AE75B3">
              <w:rPr>
                <w:rFonts w:ascii="Times New Roman" w:eastAsia="Times New Roman" w:hAnsi="Times New Roman" w:cs="Times New Roman"/>
                <w:lang w:val="sr-Latn-CS" w:eastAsia="sr-Latn-CS" w:bidi="sr-Latn-CS"/>
              </w:rPr>
              <w:t>metadon</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max</w:t>
            </w:r>
            <w:r w:rsidRPr="00AE75B3">
              <w:rPr>
                <w:rFonts w:ascii="Times New Roman" w:eastAsia="Times New Roman" w:hAnsi="Times New Roman" w:cs="Times New Roman"/>
                <w:lang w:val="sr-Latn-CS" w:eastAsia="sr-Latn-CS" w:bidi="sr-Latn-CS"/>
              </w:rPr>
              <w:t xml:space="preserve"> 0,95 (0,79, 1,13)</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AUC 0,95 (0,77, 1,17)</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min</w:t>
            </w:r>
            <w:r w:rsidRPr="00AE75B3">
              <w:rPr>
                <w:rFonts w:ascii="Times New Roman" w:eastAsia="Times New Roman" w:hAnsi="Times New Roman" w:cs="Times New Roman"/>
                <w:lang w:val="sr-Latn-CS" w:eastAsia="sr-Latn-CS" w:bidi="sr-Latn-CS"/>
              </w:rPr>
              <w:t xml:space="preserve"> 0,95 (0,74, 1,22)</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Sofosbuvir</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max</w:t>
            </w:r>
            <w:r w:rsidRPr="00AE75B3">
              <w:rPr>
                <w:rFonts w:ascii="Times New Roman" w:eastAsia="Times New Roman" w:hAnsi="Times New Roman" w:cs="Times New Roman"/>
                <w:lang w:val="sr-Latn-CS" w:eastAsia="sr-Latn-CS" w:bidi="sr-Latn-CS"/>
              </w:rPr>
              <w:t xml:space="preserve"> 0,95 (0,68, 1,33)</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AUC 1,30 (1,00, 1,69)</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GS</w:t>
            </w:r>
            <w:r w:rsidRPr="00AE75B3">
              <w:rPr>
                <w:rFonts w:ascii="Times New Roman" w:eastAsia="Times New Roman" w:hAnsi="Times New Roman" w:cs="Times New Roman"/>
                <w:b/>
                <w:lang w:val="sr-Latn-CS" w:eastAsia="sr-Latn-CS" w:bidi="sr-Latn-CS"/>
              </w:rPr>
              <w:noBreakHyphen/>
            </w:r>
            <w:r w:rsidRPr="00AE75B3">
              <w:rPr>
                <w:rFonts w:ascii="Times New Roman" w:eastAsia="Times New Roman" w:hAnsi="Times New Roman" w:cs="Times New Roman"/>
                <w:lang w:val="sr-Latn-CS" w:eastAsia="sr-Latn-CS" w:bidi="sr-Latn-CS"/>
              </w:rPr>
              <w:t>331007</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max</w:t>
            </w:r>
            <w:r w:rsidRPr="00AE75B3">
              <w:rPr>
                <w:rFonts w:ascii="Times New Roman" w:eastAsia="Times New Roman" w:hAnsi="Times New Roman" w:cs="Times New Roman"/>
                <w:lang w:val="sr-Latn-CS" w:eastAsia="sr-Latn-CS" w:bidi="sr-Latn-CS"/>
              </w:rPr>
              <w:t xml:space="preserve"> 0,73 (0,65, 0,83)</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AUC 1,04 (0,89, 1,22)</w:t>
            </w:r>
          </w:p>
        </w:tc>
        <w:tc>
          <w:tcPr>
            <w:tcW w:w="4708" w:type="dxa"/>
            <w:vMerge/>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p>
        </w:tc>
      </w:tr>
      <w:tr w:rsidR="00AE75B3" w:rsidRPr="00AE75B3" w:rsidTr="00F11E78">
        <w:tblPrEx>
          <w:tblLook w:val="0000" w:firstRow="0" w:lastRow="0" w:firstColumn="0" w:lastColumn="0" w:noHBand="0" w:noVBand="0"/>
        </w:tblPrEx>
        <w:trPr>
          <w:cantSplit/>
        </w:trPr>
        <w:tc>
          <w:tcPr>
            <w:tcW w:w="9634" w:type="dxa"/>
            <w:gridSpan w:val="3"/>
          </w:tcPr>
          <w:p w:rsidR="00AE75B3" w:rsidRPr="00AE75B3" w:rsidRDefault="00AE75B3" w:rsidP="00AE75B3">
            <w:pPr>
              <w:keepNext/>
              <w:keepLines/>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b/>
                <w:i/>
                <w:lang w:val="sr-Latn-CS" w:eastAsia="sr-Latn-CS" w:bidi="sr-Latn-CS"/>
              </w:rPr>
              <w:t>IMUNOSUPRESIVI</w:t>
            </w:r>
          </w:p>
        </w:tc>
      </w:tr>
      <w:tr w:rsidR="00AE75B3" w:rsidRPr="00AE75B3" w:rsidTr="00F11E78">
        <w:tblPrEx>
          <w:tblLook w:val="0000" w:firstRow="0" w:lastRow="0" w:firstColumn="0" w:lastColumn="0" w:noHBand="0" w:noVBand="0"/>
        </w:tblPrEx>
        <w:trPr>
          <w:cantSplit/>
        </w:trPr>
        <w:tc>
          <w:tcPr>
            <w:tcW w:w="2517" w:type="dxa"/>
            <w:tcBorders>
              <w:bottom w:val="dashSmallGap" w:sz="4" w:space="0" w:color="auto"/>
            </w:tcBorders>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Ciklosporin</w:t>
            </w:r>
            <w:r w:rsidRPr="00AE75B3">
              <w:rPr>
                <w:rFonts w:ascii="Times New Roman" w:eastAsia="Times New Roman" w:hAnsi="Times New Roman" w:cs="Times New Roman"/>
                <w:vertAlign w:val="superscript"/>
                <w:lang w:val="sr-Latn-CS" w:eastAsia="sr-Latn-CS" w:bidi="sr-Latn-CS"/>
              </w:rPr>
              <w:t>g</w:t>
            </w:r>
          </w:p>
        </w:tc>
        <w:tc>
          <w:tcPr>
            <w:tcW w:w="2409" w:type="dxa"/>
            <w:tcBorders>
              <w:bottom w:val="dashSmallGap" w:sz="4" w:space="0" w:color="auto"/>
            </w:tcBorders>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Interakcija nije ispitana.</w:t>
            </w:r>
          </w:p>
          <w:p w:rsidR="00AE75B3" w:rsidRPr="00AE75B3" w:rsidRDefault="00AE75B3" w:rsidP="00AE75B3">
            <w:pPr>
              <w:spacing w:after="0" w:line="240" w:lineRule="auto"/>
              <w:outlineLvl w:val="0"/>
              <w:rPr>
                <w:rFonts w:ascii="Times New Roman" w:eastAsia="Times New Roman" w:hAnsi="Times New Roman" w:cs="Times New Roman"/>
                <w:i/>
                <w:lang w:val="sr-Latn-CS" w:eastAsia="sr-Latn-CS" w:bidi="sr-Latn-CS"/>
              </w:rPr>
            </w:pPr>
            <w:r w:rsidRPr="00AE75B3">
              <w:rPr>
                <w:rFonts w:ascii="Times New Roman" w:eastAsia="Times New Roman" w:hAnsi="Times New Roman" w:cs="Times New Roman"/>
                <w:i/>
                <w:lang w:val="sr-Latn-CS" w:eastAsia="sr-Latn-CS" w:bidi="sr-Latn-CS"/>
              </w:rPr>
              <w:t>Očekivano:</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Ledipasvir</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Ciklosporin</w:t>
            </w:r>
          </w:p>
        </w:tc>
        <w:tc>
          <w:tcPr>
            <w:tcW w:w="4708" w:type="dxa"/>
            <w:vMerge w:val="restart"/>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Nije potrebno prilagođavanje doze lijeka Harvoni ili ciklosporina.</w:t>
            </w:r>
          </w:p>
        </w:tc>
      </w:tr>
      <w:tr w:rsidR="00AE75B3" w:rsidRPr="00AE75B3" w:rsidTr="00F11E78">
        <w:tblPrEx>
          <w:tblLook w:val="0000" w:firstRow="0" w:lastRow="0" w:firstColumn="0" w:lastColumn="0" w:noHBand="0" w:noVBand="0"/>
        </w:tblPrEx>
        <w:trPr>
          <w:cantSplit/>
        </w:trPr>
        <w:tc>
          <w:tcPr>
            <w:tcW w:w="2517" w:type="dxa"/>
            <w:tcBorders>
              <w:top w:val="dashSmallGap" w:sz="4" w:space="0" w:color="auto"/>
            </w:tcBorders>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Ciklosporin</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(600 mg pojedinačna doza)/sofosbuvir (400 mg pojedinačna doza)</w:t>
            </w:r>
            <w:r w:rsidRPr="00AE75B3">
              <w:rPr>
                <w:rFonts w:ascii="Times New Roman" w:eastAsia="Times New Roman" w:hAnsi="Times New Roman" w:cs="Times New Roman"/>
                <w:vertAlign w:val="superscript"/>
                <w:lang w:val="sr-Latn-CS" w:eastAsia="sr-Latn-CS" w:bidi="sr-Latn-CS"/>
              </w:rPr>
              <w:t>h</w:t>
            </w:r>
          </w:p>
        </w:tc>
        <w:tc>
          <w:tcPr>
            <w:tcW w:w="2409" w:type="dxa"/>
            <w:tcBorders>
              <w:top w:val="dashSmallGap" w:sz="4" w:space="0" w:color="auto"/>
            </w:tcBorders>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Ciklosporin</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max</w:t>
            </w:r>
            <w:r w:rsidRPr="00AE75B3">
              <w:rPr>
                <w:rFonts w:ascii="Times New Roman" w:eastAsia="Times New Roman" w:hAnsi="Times New Roman" w:cs="Times New Roman"/>
                <w:lang w:val="sr-Latn-CS" w:eastAsia="sr-Latn-CS" w:bidi="sr-Latn-CS"/>
              </w:rPr>
              <w:t xml:space="preserve"> 1,06 (0,94, 1,18)</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AUC 0,98 (0,85, 1,14)</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Sofosbuvir</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max</w:t>
            </w:r>
            <w:r w:rsidRPr="00AE75B3">
              <w:rPr>
                <w:rFonts w:ascii="Times New Roman" w:eastAsia="Times New Roman" w:hAnsi="Times New Roman" w:cs="Times New Roman"/>
                <w:lang w:val="sr-Latn-CS" w:eastAsia="sr-Latn-CS" w:bidi="sr-Latn-CS"/>
              </w:rPr>
              <w:t xml:space="preserve"> 2,54 (1,87, 3,45)</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AUC 4,53 (3,26, 6,30)</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GS</w:t>
            </w:r>
            <w:r w:rsidRPr="00AE75B3">
              <w:rPr>
                <w:rFonts w:ascii="Times New Roman" w:eastAsia="Times New Roman" w:hAnsi="Times New Roman" w:cs="Times New Roman"/>
                <w:b/>
                <w:lang w:val="sr-Latn-CS" w:eastAsia="sr-Latn-CS" w:bidi="sr-Latn-CS"/>
              </w:rPr>
              <w:noBreakHyphen/>
            </w:r>
            <w:r w:rsidRPr="00AE75B3">
              <w:rPr>
                <w:rFonts w:ascii="Times New Roman" w:eastAsia="Times New Roman" w:hAnsi="Times New Roman" w:cs="Times New Roman"/>
                <w:lang w:val="sr-Latn-CS" w:eastAsia="sr-Latn-CS" w:bidi="sr-Latn-CS"/>
              </w:rPr>
              <w:t>331007</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max</w:t>
            </w:r>
            <w:r w:rsidRPr="00AE75B3">
              <w:rPr>
                <w:rFonts w:ascii="Times New Roman" w:eastAsia="Times New Roman" w:hAnsi="Times New Roman" w:cs="Times New Roman"/>
                <w:lang w:val="sr-Latn-CS" w:eastAsia="sr-Latn-CS" w:bidi="sr-Latn-CS"/>
              </w:rPr>
              <w:t xml:space="preserve"> 0,60 (0,53, 0,69)</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AUC 1,04 (0,90, 1,20)</w:t>
            </w:r>
          </w:p>
        </w:tc>
        <w:tc>
          <w:tcPr>
            <w:tcW w:w="4708" w:type="dxa"/>
            <w:vMerge/>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p>
        </w:tc>
      </w:tr>
      <w:tr w:rsidR="00AE75B3" w:rsidRPr="00AE75B3" w:rsidTr="00F11E78">
        <w:tblPrEx>
          <w:tblLook w:val="0000" w:firstRow="0" w:lastRow="0" w:firstColumn="0" w:lastColumn="0" w:noHBand="0" w:noVBand="0"/>
        </w:tblPrEx>
        <w:trPr>
          <w:cantSplit/>
        </w:trPr>
        <w:tc>
          <w:tcPr>
            <w:tcW w:w="2517" w:type="dxa"/>
            <w:tcBorders>
              <w:bottom w:val="dashSmallGap" w:sz="4" w:space="0" w:color="auto"/>
            </w:tcBorders>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lastRenderedPageBreak/>
              <w:t>Takrolimus</w:t>
            </w:r>
          </w:p>
        </w:tc>
        <w:tc>
          <w:tcPr>
            <w:tcW w:w="2409" w:type="dxa"/>
            <w:tcBorders>
              <w:bottom w:val="dashSmallGap" w:sz="4" w:space="0" w:color="auto"/>
            </w:tcBorders>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Interakcija nije ispitana.</w:t>
            </w:r>
          </w:p>
          <w:p w:rsidR="00AE75B3" w:rsidRPr="00AE75B3" w:rsidRDefault="00AE75B3" w:rsidP="00AE75B3">
            <w:pPr>
              <w:spacing w:after="0" w:line="240" w:lineRule="auto"/>
              <w:outlineLvl w:val="0"/>
              <w:rPr>
                <w:rFonts w:ascii="Times New Roman" w:eastAsia="Times New Roman" w:hAnsi="Times New Roman" w:cs="Times New Roman"/>
                <w:i/>
                <w:lang w:val="sr-Latn-CS" w:eastAsia="sr-Latn-CS" w:bidi="sr-Latn-CS"/>
              </w:rPr>
            </w:pPr>
            <w:r w:rsidRPr="00AE75B3">
              <w:rPr>
                <w:rFonts w:ascii="Times New Roman" w:eastAsia="Times New Roman" w:hAnsi="Times New Roman" w:cs="Times New Roman"/>
                <w:i/>
                <w:lang w:val="sr-Latn-CS" w:eastAsia="sr-Latn-CS" w:bidi="sr-Latn-CS"/>
              </w:rPr>
              <w:t>Očekivano:</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Ledipasvir</w:t>
            </w:r>
          </w:p>
        </w:tc>
        <w:tc>
          <w:tcPr>
            <w:tcW w:w="4708" w:type="dxa"/>
            <w:vMerge w:val="restart"/>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Nije potrebno prilagođavanje doze lijeka Harvoni ili takrolimusa.</w:t>
            </w:r>
          </w:p>
        </w:tc>
      </w:tr>
      <w:tr w:rsidR="00AE75B3" w:rsidRPr="00AE75B3" w:rsidTr="00F11E78">
        <w:tblPrEx>
          <w:tblLook w:val="0000" w:firstRow="0" w:lastRow="0" w:firstColumn="0" w:lastColumn="0" w:noHBand="0" w:noVBand="0"/>
        </w:tblPrEx>
        <w:trPr>
          <w:cantSplit/>
        </w:trPr>
        <w:tc>
          <w:tcPr>
            <w:tcW w:w="2517" w:type="dxa"/>
            <w:tcBorders>
              <w:top w:val="dashSmallGap" w:sz="4" w:space="0" w:color="auto"/>
            </w:tcBorders>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Takrolimus</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(5 mg pojedinačna doza)/sofosbuvir (400 mg pojedinačna doza)</w:t>
            </w:r>
            <w:r w:rsidRPr="00AE75B3">
              <w:rPr>
                <w:rFonts w:ascii="Times New Roman" w:eastAsia="Times New Roman" w:hAnsi="Times New Roman" w:cs="Times New Roman"/>
                <w:vertAlign w:val="superscript"/>
                <w:lang w:val="sr-Latn-CS" w:eastAsia="sr-Latn-CS" w:bidi="sr-Latn-CS"/>
              </w:rPr>
              <w:t>h</w:t>
            </w:r>
          </w:p>
        </w:tc>
        <w:tc>
          <w:tcPr>
            <w:tcW w:w="2409" w:type="dxa"/>
            <w:tcBorders>
              <w:top w:val="dashSmallGap" w:sz="4" w:space="0" w:color="auto"/>
            </w:tcBorders>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Takrolimus</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max</w:t>
            </w:r>
            <w:r w:rsidRPr="00AE75B3">
              <w:rPr>
                <w:rFonts w:ascii="Times New Roman" w:eastAsia="Times New Roman" w:hAnsi="Times New Roman" w:cs="Times New Roman"/>
                <w:lang w:val="sr-Latn-CS" w:eastAsia="sr-Latn-CS" w:bidi="sr-Latn-CS"/>
              </w:rPr>
              <w:t xml:space="preserve"> 0,73 (0,59, 0,90)</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AUC 1,09 (0,84, 1,40)</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Sofosbuvir</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max</w:t>
            </w:r>
            <w:r w:rsidRPr="00AE75B3">
              <w:rPr>
                <w:rFonts w:ascii="Times New Roman" w:eastAsia="Times New Roman" w:hAnsi="Times New Roman" w:cs="Times New Roman"/>
                <w:lang w:val="sr-Latn-CS" w:eastAsia="sr-Latn-CS" w:bidi="sr-Latn-CS"/>
              </w:rPr>
              <w:t xml:space="preserve"> 0,97 (0,65, 1,43)</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AUC 1,13 (0,81, 1,57)</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GS</w:t>
            </w:r>
            <w:r w:rsidRPr="00AE75B3">
              <w:rPr>
                <w:rFonts w:ascii="Times New Roman" w:eastAsia="Times New Roman" w:hAnsi="Times New Roman" w:cs="Times New Roman"/>
                <w:b/>
                <w:lang w:val="sr-Latn-CS" w:eastAsia="sr-Latn-CS" w:bidi="sr-Latn-CS"/>
              </w:rPr>
              <w:noBreakHyphen/>
            </w:r>
            <w:r w:rsidRPr="00AE75B3">
              <w:rPr>
                <w:rFonts w:ascii="Times New Roman" w:eastAsia="Times New Roman" w:hAnsi="Times New Roman" w:cs="Times New Roman"/>
                <w:lang w:val="sr-Latn-CS" w:eastAsia="sr-Latn-CS" w:bidi="sr-Latn-CS"/>
              </w:rPr>
              <w:t>331007</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max</w:t>
            </w:r>
            <w:r w:rsidRPr="00AE75B3">
              <w:rPr>
                <w:rFonts w:ascii="Times New Roman" w:eastAsia="Times New Roman" w:hAnsi="Times New Roman" w:cs="Times New Roman"/>
                <w:lang w:val="sr-Latn-CS" w:eastAsia="sr-Latn-CS" w:bidi="sr-Latn-CS"/>
              </w:rPr>
              <w:t xml:space="preserve"> 0,97 (0,83, 1,14)</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AUC 1,00 (0,87, 1,13)</w:t>
            </w:r>
          </w:p>
        </w:tc>
        <w:tc>
          <w:tcPr>
            <w:tcW w:w="4708" w:type="dxa"/>
            <w:vMerge/>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p>
        </w:tc>
      </w:tr>
      <w:tr w:rsidR="00AE75B3" w:rsidRPr="00AE75B3" w:rsidTr="00F11E78">
        <w:tblPrEx>
          <w:tblLook w:val="0000" w:firstRow="0" w:lastRow="0" w:firstColumn="0" w:lastColumn="0" w:noHBand="0" w:noVBand="0"/>
        </w:tblPrEx>
        <w:trPr>
          <w:cantSplit/>
        </w:trPr>
        <w:tc>
          <w:tcPr>
            <w:tcW w:w="9634" w:type="dxa"/>
            <w:gridSpan w:val="3"/>
            <w:shd w:val="clear" w:color="auto" w:fill="FFFFFF"/>
          </w:tcPr>
          <w:p w:rsidR="00AE75B3" w:rsidRPr="00AE75B3" w:rsidRDefault="00AE75B3" w:rsidP="00AE75B3">
            <w:pPr>
              <w:keepNext/>
              <w:keepLines/>
              <w:spacing w:after="0" w:line="240" w:lineRule="auto"/>
              <w:outlineLvl w:val="0"/>
              <w:rPr>
                <w:rFonts w:ascii="Times New Roman" w:eastAsia="Times New Roman" w:hAnsi="Times New Roman" w:cs="Times New Roman"/>
                <w:b/>
                <w:i/>
                <w:lang w:val="sr-Latn-CS" w:eastAsia="sr-Latn-CS" w:bidi="sr-Latn-CS"/>
              </w:rPr>
            </w:pPr>
            <w:r w:rsidRPr="00AE75B3">
              <w:rPr>
                <w:rFonts w:ascii="Times New Roman" w:eastAsia="Times New Roman" w:hAnsi="Times New Roman" w:cs="Times New Roman"/>
                <w:b/>
                <w:i/>
                <w:lang w:val="sr-Latn-CS" w:eastAsia="sr-Latn-CS" w:bidi="sr-Latn-CS"/>
              </w:rPr>
              <w:t>ORALNI KONTRACEPTIVI</w:t>
            </w:r>
          </w:p>
        </w:tc>
      </w:tr>
      <w:tr w:rsidR="00AE75B3" w:rsidRPr="00AE75B3" w:rsidTr="00F11E78">
        <w:tblPrEx>
          <w:tblLook w:val="0000" w:firstRow="0" w:lastRow="0" w:firstColumn="0" w:lastColumn="0" w:noHBand="0" w:noVBand="0"/>
        </w:tblPrEx>
        <w:trPr>
          <w:cantSplit/>
        </w:trPr>
        <w:tc>
          <w:tcPr>
            <w:tcW w:w="2517" w:type="dxa"/>
            <w:tcBorders>
              <w:bottom w:val="dashSmallGap" w:sz="4" w:space="0" w:color="auto"/>
            </w:tcBorders>
            <w:shd w:val="clear" w:color="auto" w:fill="FFFFFF"/>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Norgestimat/etinil estradiol (norgestimat 0,180 mg / 0,215 mg / 0,25 mg/etinil estradiol 0,025 mg) / ledipasvir (90 mg jednom dnevno)</w:t>
            </w:r>
            <w:r w:rsidRPr="00AE75B3">
              <w:rPr>
                <w:rFonts w:ascii="Times New Roman" w:eastAsia="Times New Roman" w:hAnsi="Times New Roman" w:cs="Times New Roman"/>
                <w:vertAlign w:val="superscript"/>
                <w:lang w:val="sr-Latn-CS" w:eastAsia="sr-Latn-CS" w:bidi="sr-Latn-CS"/>
              </w:rPr>
              <w:t>d</w:t>
            </w:r>
          </w:p>
        </w:tc>
        <w:tc>
          <w:tcPr>
            <w:tcW w:w="2409" w:type="dxa"/>
            <w:tcBorders>
              <w:bottom w:val="dashSmallGap" w:sz="4" w:space="0" w:color="auto"/>
            </w:tcBorders>
            <w:shd w:val="clear" w:color="auto" w:fill="FFFFFF"/>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Norelgestromin</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max</w:t>
            </w:r>
            <w:r w:rsidRPr="00AE75B3">
              <w:rPr>
                <w:rFonts w:ascii="Times New Roman" w:eastAsia="Times New Roman" w:hAnsi="Times New Roman" w:cs="Times New Roman"/>
                <w:lang w:val="sr-Latn-CS" w:eastAsia="sr-Latn-CS" w:bidi="sr-Latn-CS"/>
              </w:rPr>
              <w:t xml:space="preserve"> 1,02 (0,89, 1,16)</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AUC 1,03 (0,90, 1,18)</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min</w:t>
            </w:r>
            <w:r w:rsidRPr="00AE75B3">
              <w:rPr>
                <w:rFonts w:ascii="Times New Roman" w:eastAsia="Times New Roman" w:hAnsi="Times New Roman" w:cs="Times New Roman"/>
                <w:lang w:val="sr-Latn-CS" w:eastAsia="sr-Latn-CS" w:bidi="sr-Latn-CS"/>
              </w:rPr>
              <w:t xml:space="preserve"> 1,09 (0,91, 1,31)</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Norgestrel</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max</w:t>
            </w:r>
            <w:r w:rsidRPr="00AE75B3">
              <w:rPr>
                <w:rFonts w:ascii="Times New Roman" w:eastAsia="Times New Roman" w:hAnsi="Times New Roman" w:cs="Times New Roman"/>
                <w:lang w:val="sr-Latn-CS" w:eastAsia="sr-Latn-CS" w:bidi="sr-Latn-CS"/>
              </w:rPr>
              <w:t xml:space="preserve"> 1,03 (0,87, 1,23)</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AUC 0,99 (0,82, 1,20)</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min</w:t>
            </w:r>
            <w:r w:rsidRPr="00AE75B3">
              <w:rPr>
                <w:rFonts w:ascii="Times New Roman" w:eastAsia="Times New Roman" w:hAnsi="Times New Roman" w:cs="Times New Roman"/>
                <w:lang w:val="sr-Latn-CS" w:eastAsia="sr-Latn-CS" w:bidi="sr-Latn-CS"/>
              </w:rPr>
              <w:t xml:space="preserve"> 1,00 (0,81, 1,23)</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Etinil estradiol</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max</w:t>
            </w:r>
            <w:r w:rsidRPr="00AE75B3">
              <w:rPr>
                <w:rFonts w:ascii="Times New Roman" w:eastAsia="Times New Roman" w:hAnsi="Times New Roman" w:cs="Times New Roman"/>
                <w:lang w:val="sr-Latn-CS" w:eastAsia="sr-Latn-CS" w:bidi="sr-Latn-CS"/>
              </w:rPr>
              <w:t xml:space="preserve"> 1,40 (1,18, 1,66)</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AUC 1,20 (1,04, 1,39)</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min</w:t>
            </w:r>
            <w:r w:rsidRPr="00AE75B3">
              <w:rPr>
                <w:rFonts w:ascii="Times New Roman" w:eastAsia="Times New Roman" w:hAnsi="Times New Roman" w:cs="Times New Roman"/>
                <w:lang w:val="sr-Latn-CS" w:eastAsia="sr-Latn-CS" w:bidi="sr-Latn-CS"/>
              </w:rPr>
              <w:t xml:space="preserve"> 0,98 (0,79, 1,22)</w:t>
            </w:r>
          </w:p>
        </w:tc>
        <w:tc>
          <w:tcPr>
            <w:tcW w:w="4708" w:type="dxa"/>
            <w:vMerge w:val="restart"/>
            <w:shd w:val="clear" w:color="auto" w:fill="FFFFFF"/>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Nije potrebno prilagođavanje doze oralnih kontraceptiva.</w:t>
            </w:r>
          </w:p>
        </w:tc>
      </w:tr>
      <w:tr w:rsidR="00AE75B3" w:rsidRPr="00AE75B3" w:rsidTr="00F11E78">
        <w:tblPrEx>
          <w:tblLook w:val="0000" w:firstRow="0" w:lastRow="0" w:firstColumn="0" w:lastColumn="0" w:noHBand="0" w:noVBand="0"/>
        </w:tblPrEx>
        <w:trPr>
          <w:cantSplit/>
        </w:trPr>
        <w:tc>
          <w:tcPr>
            <w:tcW w:w="2517" w:type="dxa"/>
            <w:tcBorders>
              <w:top w:val="dashSmallGap" w:sz="4" w:space="0" w:color="auto"/>
            </w:tcBorders>
            <w:shd w:val="clear" w:color="auto" w:fill="FFFFFF"/>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lastRenderedPageBreak/>
              <w:t>Norgestimat/etinil estradiol (norgestimat 0,180 mg / 0,215 mg / 0,25 mg / etinil estradiol 0,025 mg) / sofosbuvir (400 mg jednom dnevno)</w:t>
            </w:r>
            <w:r w:rsidRPr="00AE75B3">
              <w:rPr>
                <w:rFonts w:ascii="Times New Roman" w:eastAsia="Times New Roman" w:hAnsi="Times New Roman" w:cs="Times New Roman"/>
                <w:vertAlign w:val="superscript"/>
                <w:lang w:val="sr-Latn-CS" w:eastAsia="sr-Latn-CS" w:bidi="sr-Latn-CS"/>
              </w:rPr>
              <w:t>d</w:t>
            </w:r>
          </w:p>
        </w:tc>
        <w:tc>
          <w:tcPr>
            <w:tcW w:w="2409" w:type="dxa"/>
            <w:tcBorders>
              <w:top w:val="dashSmallGap" w:sz="4" w:space="0" w:color="auto"/>
            </w:tcBorders>
            <w:shd w:val="clear" w:color="auto" w:fill="FFFFFF"/>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Norelgestromin</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max</w:t>
            </w:r>
            <w:r w:rsidRPr="00AE75B3">
              <w:rPr>
                <w:rFonts w:ascii="Times New Roman" w:eastAsia="Times New Roman" w:hAnsi="Times New Roman" w:cs="Times New Roman"/>
                <w:lang w:val="sr-Latn-CS" w:eastAsia="sr-Latn-CS" w:bidi="sr-Latn-CS"/>
              </w:rPr>
              <w:t xml:space="preserve"> 1,07 (0,94, 1,22)</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AUC 1,06 (0,92, 1,21)</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min</w:t>
            </w:r>
            <w:r w:rsidRPr="00AE75B3">
              <w:rPr>
                <w:rFonts w:ascii="Times New Roman" w:eastAsia="Times New Roman" w:hAnsi="Times New Roman" w:cs="Times New Roman"/>
                <w:lang w:val="sr-Latn-CS" w:eastAsia="sr-Latn-CS" w:bidi="sr-Latn-CS"/>
              </w:rPr>
              <w:t xml:space="preserve"> 1,07 (0,89, 1,28)</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Norgestrel</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max</w:t>
            </w:r>
            <w:r w:rsidRPr="00AE75B3">
              <w:rPr>
                <w:rFonts w:ascii="Times New Roman" w:eastAsia="Times New Roman" w:hAnsi="Times New Roman" w:cs="Times New Roman"/>
                <w:lang w:val="sr-Latn-CS" w:eastAsia="sr-Latn-CS" w:bidi="sr-Latn-CS"/>
              </w:rPr>
              <w:t xml:space="preserve"> 1,18 (0,99, 1,41)</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AUC 1,19 (0,98, 1,45)</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min</w:t>
            </w:r>
            <w:r w:rsidRPr="00AE75B3">
              <w:rPr>
                <w:rFonts w:ascii="Times New Roman" w:eastAsia="Times New Roman" w:hAnsi="Times New Roman" w:cs="Times New Roman"/>
                <w:lang w:val="sr-Latn-CS" w:eastAsia="sr-Latn-CS" w:bidi="sr-Latn-CS"/>
              </w:rPr>
              <w:t xml:space="preserve"> 1,23 (1,00, 1,51)</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Etinil estradiol</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max</w:t>
            </w:r>
            <w:r w:rsidRPr="00AE75B3">
              <w:rPr>
                <w:rFonts w:ascii="Times New Roman" w:eastAsia="Times New Roman" w:hAnsi="Times New Roman" w:cs="Times New Roman"/>
                <w:lang w:val="sr-Latn-CS" w:eastAsia="sr-Latn-CS" w:bidi="sr-Latn-CS"/>
              </w:rPr>
              <w:t xml:space="preserve"> 1,15 (0,97, 1,36)</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AUC 1,09 (0,94, 1,26)</w:t>
            </w:r>
          </w:p>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r w:rsidRPr="00AE75B3">
              <w:rPr>
                <w:rFonts w:ascii="Times New Roman" w:eastAsia="Times New Roman" w:hAnsi="Times New Roman" w:cs="Times New Roman"/>
                <w:lang w:val="sr-Latn-CS" w:eastAsia="sr-Latn-CS" w:bidi="sr-Latn-CS"/>
              </w:rPr>
              <w:t>↔ C</w:t>
            </w:r>
            <w:r w:rsidRPr="00AE75B3">
              <w:rPr>
                <w:rFonts w:ascii="Times New Roman" w:eastAsia="Times New Roman" w:hAnsi="Times New Roman" w:cs="Times New Roman"/>
                <w:vertAlign w:val="subscript"/>
                <w:lang w:val="sr-Latn-CS" w:eastAsia="sr-Latn-CS" w:bidi="sr-Latn-CS"/>
              </w:rPr>
              <w:t>min</w:t>
            </w:r>
            <w:r w:rsidRPr="00AE75B3">
              <w:rPr>
                <w:rFonts w:ascii="Times New Roman" w:eastAsia="Times New Roman" w:hAnsi="Times New Roman" w:cs="Times New Roman"/>
                <w:lang w:val="sr-Latn-CS" w:eastAsia="sr-Latn-CS" w:bidi="sr-Latn-CS"/>
              </w:rPr>
              <w:t xml:space="preserve"> 0,99 (0,80, 1,23)</w:t>
            </w:r>
          </w:p>
        </w:tc>
        <w:tc>
          <w:tcPr>
            <w:tcW w:w="4708" w:type="dxa"/>
            <w:vMerge/>
            <w:shd w:val="clear" w:color="auto" w:fill="FFFFFF"/>
          </w:tcPr>
          <w:p w:rsidR="00AE75B3" w:rsidRPr="00AE75B3" w:rsidRDefault="00AE75B3" w:rsidP="00AE75B3">
            <w:pPr>
              <w:spacing w:after="0" w:line="240" w:lineRule="auto"/>
              <w:outlineLvl w:val="0"/>
              <w:rPr>
                <w:rFonts w:ascii="Times New Roman" w:eastAsia="Times New Roman" w:hAnsi="Times New Roman" w:cs="Times New Roman"/>
                <w:lang w:val="sr-Latn-CS" w:eastAsia="sr-Latn-CS" w:bidi="sr-Latn-CS"/>
              </w:rPr>
            </w:pPr>
          </w:p>
        </w:tc>
      </w:tr>
    </w:tbl>
    <w:p w:rsidR="00594C0D" w:rsidRPr="009C1E28" w:rsidRDefault="00594C0D" w:rsidP="005037F4">
      <w:pPr>
        <w:spacing w:after="0"/>
        <w:jc w:val="both"/>
        <w:rPr>
          <w:rFonts w:ascii="Times New Roman" w:hAnsi="Times New Roman" w:cs="Times New Roman"/>
          <w:b/>
        </w:rPr>
      </w:pPr>
    </w:p>
    <w:bookmarkEnd w:id="3"/>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a. Srednja vrijednost odnosa (90% IP) farmakokinetike ljekova istovremeno primijenjenih sa jednim ispitivanim lijekom ili u kombinaciji. Bez efekta = 1,00.</w:t>
      </w:r>
    </w:p>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b. Sva ispitivanja interakcija sprovedena su kod zdravih dobrovoljaca.</w:t>
      </w:r>
    </w:p>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c. Primijenjen kao lijek Harvoni.</w:t>
      </w:r>
    </w:p>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d. Opseg u kojem nema farmakokinetičkih interakcija je od 70</w:t>
      </w:r>
      <w:r w:rsidRPr="009C1E28">
        <w:rPr>
          <w:rFonts w:ascii="Times New Roman" w:hAnsi="Times New Roman" w:cs="Times New Roman"/>
        </w:rPr>
        <w:noBreakHyphen/>
        <w:t>143%.</w:t>
      </w:r>
    </w:p>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e. Ovo su ljekovi iz iste klase za koje se mogu predvidjeti slične interakcije.</w:t>
      </w:r>
    </w:p>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f. Primjena atazanavira/ritonavira + emtricitabin/tenofovir disoproksil fumarata ili darunavira/ritonavira + emtricitabin/tenofovir disoproksil fumarata i lijeka Harvoni u vremenskom razmaku (od 12 sati) dala je slične rezultate.</w:t>
      </w:r>
    </w:p>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g. Ispitivanje je sprovedeno u prisustvu druga dva antivirusna lijeka sa direktnim dejstvom.</w:t>
      </w: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h. Granica bioekvivalencije/ekvivalencije od 80</w:t>
      </w:r>
      <w:r w:rsidRPr="009C1E28">
        <w:rPr>
          <w:rFonts w:ascii="Times New Roman" w:hAnsi="Times New Roman" w:cs="Times New Roman"/>
        </w:rPr>
        <w:noBreakHyphen/>
        <w:t>125%.</w:t>
      </w:r>
    </w:p>
    <w:p w:rsidR="009C1E28" w:rsidRPr="009C1E28" w:rsidRDefault="009C1E28" w:rsidP="009C1E28">
      <w:pPr>
        <w:spacing w:after="0"/>
        <w:jc w:val="both"/>
        <w:rPr>
          <w:rFonts w:ascii="Times New Roman" w:hAnsi="Times New Roman" w:cs="Times New Roman"/>
          <w:b/>
        </w:rPr>
      </w:pPr>
    </w:p>
    <w:p w:rsidR="009C1E28" w:rsidRPr="004724E2" w:rsidRDefault="009C1E28" w:rsidP="009C1E28">
      <w:pPr>
        <w:keepNext/>
        <w:keepLines/>
        <w:spacing w:after="0"/>
        <w:ind w:left="567" w:hanging="567"/>
        <w:jc w:val="both"/>
        <w:rPr>
          <w:rFonts w:ascii="Times New Roman" w:hAnsi="Times New Roman" w:cs="Times New Roman"/>
          <w:b/>
        </w:rPr>
      </w:pPr>
      <w:r w:rsidRPr="004724E2">
        <w:rPr>
          <w:rFonts w:ascii="Times New Roman" w:hAnsi="Times New Roman" w:cs="Times New Roman"/>
          <w:b/>
        </w:rPr>
        <w:t>4.6</w:t>
      </w:r>
      <w:r w:rsidRPr="004724E2">
        <w:rPr>
          <w:rFonts w:ascii="Times New Roman" w:hAnsi="Times New Roman" w:cs="Times New Roman"/>
          <w:b/>
        </w:rPr>
        <w:tab/>
        <w:t>Primjena u periodu trudnoće i dojenja</w:t>
      </w:r>
    </w:p>
    <w:p w:rsidR="009C1E28" w:rsidRPr="009C1E28" w:rsidRDefault="009C1E28" w:rsidP="009C1E28">
      <w:pPr>
        <w:keepNext/>
        <w:keepLines/>
        <w:spacing w:after="0"/>
        <w:jc w:val="both"/>
        <w:rPr>
          <w:rFonts w:ascii="Times New Roman" w:hAnsi="Times New Roman" w:cs="Times New Roman"/>
          <w:b/>
        </w:rPr>
      </w:pPr>
    </w:p>
    <w:p w:rsidR="009C1E28" w:rsidRPr="009C1E28" w:rsidRDefault="009C1E28" w:rsidP="009C1E28">
      <w:pPr>
        <w:keepNext/>
        <w:keepLines/>
        <w:spacing w:after="0"/>
        <w:jc w:val="both"/>
        <w:rPr>
          <w:rFonts w:ascii="Times New Roman" w:hAnsi="Times New Roman" w:cs="Times New Roman"/>
          <w:b/>
          <w:u w:val="single"/>
        </w:rPr>
      </w:pPr>
      <w:r w:rsidRPr="009C1E28">
        <w:rPr>
          <w:rFonts w:ascii="Times New Roman" w:hAnsi="Times New Roman" w:cs="Times New Roman"/>
          <w:u w:val="single"/>
        </w:rPr>
        <w:t>Reproduktivno sposobne žene/kontracepcija kod muškaraca i žena</w:t>
      </w: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 xml:space="preserve">Kada se lijek Harvoni primjenjuje u kombinaciji sa ribavirinom, potreban je krajnji oprez kako bi se izbjegla trudnoća kod pacijentkinja i partnerki pacijenata muškog pola. Značajni teratogeni i/ili embriocidni efekti pokazani su kod svih životinjskih vrsta izloženih ribavirinu. Žene koje su sposobne da rađaju ili njihovi partneri moraju da koriste efikasni oblik kontracepcije tokom liječenja i u periodu nakon završetka liječenja kako je preporučeno u Sažetku karakteristika lijeka za ribavirin. </w:t>
      </w:r>
      <w:r w:rsidRPr="009C1E28">
        <w:rPr>
          <w:rFonts w:ascii="Times New Roman" w:hAnsi="Times New Roman" w:cs="Times New Roman"/>
          <w:snapToGrid w:val="0"/>
        </w:rPr>
        <w:t>Dodatne informacije pročitati u Sažetku</w:t>
      </w:r>
      <w:r w:rsidRPr="009C1E28">
        <w:rPr>
          <w:rFonts w:ascii="Times New Roman" w:hAnsi="Times New Roman" w:cs="Times New Roman"/>
        </w:rPr>
        <w:t xml:space="preserve"> karakteristika lijeka za ribavirin.</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keepNext/>
        <w:keepLines/>
        <w:spacing w:after="0"/>
        <w:jc w:val="both"/>
        <w:rPr>
          <w:rFonts w:ascii="Times New Roman" w:hAnsi="Times New Roman" w:cs="Times New Roman"/>
          <w:b/>
          <w:u w:val="single"/>
        </w:rPr>
      </w:pPr>
      <w:r w:rsidRPr="009C1E28">
        <w:rPr>
          <w:rFonts w:ascii="Times New Roman" w:hAnsi="Times New Roman" w:cs="Times New Roman"/>
          <w:u w:val="single"/>
        </w:rPr>
        <w:lastRenderedPageBreak/>
        <w:t>Trudnoća</w:t>
      </w: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Nema podataka, ili su podaci o primjeni ledipasvira, sofosbuvira ili lijeka Harvoni kod trudnica ograničeni (rezultati iz manje od 300 trudnoća).</w:t>
      </w: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Ispitivanja na životinjama ne ukazuju na direktna štetna dejstva u odnosu na reproduktivnu toksičnost. Nijesu opaženi značajni efekti ledipasvira ili sofosbuvira na fetalni razvoj kod pacova i kunića. Međutim, nije bilo moguće u potpunosti procijeniti granice izloženosti sofosbuviru koje se postižu kod pacova u odnosu na izloženost kod ljudi pri preporučenoj kliničkoj dozi (vidjeti odjeljak 5.3).</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Kao mjera opreza, preporučuje se izbjegavanje primjene lijeka Harvoni tokom trudnoće.</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u w:val="single"/>
        </w:rPr>
        <w:t>Dojenje</w:t>
      </w: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Nije poznato da li se ledipasvir ili sofosbuvir i njihovi metaboliti izlučuju u majčino mlijeko</w:t>
      </w:r>
      <w:r w:rsidRPr="009C1E28">
        <w:rPr>
          <w:rFonts w:ascii="Times New Roman" w:hAnsi="Times New Roman" w:cs="Times New Roman"/>
          <w:snapToGrid w:val="0"/>
        </w:rPr>
        <w:t xml:space="preserve"> kod ljudi.</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spacing w:after="0"/>
        <w:jc w:val="both"/>
        <w:rPr>
          <w:rFonts w:ascii="Times New Roman" w:eastAsia="SimSun" w:hAnsi="Times New Roman" w:cs="Times New Roman"/>
          <w:b/>
        </w:rPr>
      </w:pPr>
      <w:r w:rsidRPr="009C1E28">
        <w:rPr>
          <w:rFonts w:ascii="Times New Roman" w:hAnsi="Times New Roman" w:cs="Times New Roman"/>
        </w:rPr>
        <w:t>Dostupni farmakokinetički podaci kod životinja pokazuju da se ledipasvir i metaboliti sofosbuvira izlučuju u mlijeko (vidjeti odjeljak 5.3).</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 xml:space="preserve">Ne može se isključiti rizik za novorođenče/odjojčad. </w:t>
      </w:r>
      <w:r w:rsidRPr="009C1E28">
        <w:rPr>
          <w:rFonts w:ascii="Times New Roman" w:hAnsi="Times New Roman" w:cs="Times New Roman"/>
          <w:snapToGrid w:val="0"/>
        </w:rPr>
        <w:t>Stoga,</w:t>
      </w:r>
      <w:r w:rsidRPr="009C1E28">
        <w:rPr>
          <w:rFonts w:ascii="Times New Roman" w:hAnsi="Times New Roman" w:cs="Times New Roman"/>
        </w:rPr>
        <w:t xml:space="preserve"> lijek Harvoni ne bi trebalo primjenjivati tokom dojenja.</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u w:val="single"/>
        </w:rPr>
        <w:t>Fertilitet</w:t>
      </w: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Nema dostupnih podataka o uticaju lijeka Harvoni na fertilitet kod ljudi. Ispitivanja na životinjama ne ukazuju na štetna dejstva ledipasvira ili sofosbuvira na fertilitet.</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 xml:space="preserve">Ako se ribavirin primjenjuje istovremeno sa lijekom Harvoni, važe kontraindikacije </w:t>
      </w:r>
      <w:r w:rsidRPr="009C1E28">
        <w:rPr>
          <w:rFonts w:ascii="Times New Roman" w:hAnsi="Times New Roman" w:cs="Times New Roman"/>
          <w:snapToGrid w:val="0"/>
        </w:rPr>
        <w:t>usljed primjene</w:t>
      </w:r>
      <w:r w:rsidRPr="009C1E28">
        <w:rPr>
          <w:rFonts w:ascii="Times New Roman" w:hAnsi="Times New Roman" w:cs="Times New Roman"/>
        </w:rPr>
        <w:t xml:space="preserve"> ribavirina tokom trudnoće i dojenja (vidjeti takođe Sažetak karakteristika lijeka za ribavirin).</w:t>
      </w:r>
    </w:p>
    <w:p w:rsidR="009C1E28" w:rsidRPr="009C1E28" w:rsidRDefault="009C1E28" w:rsidP="009C1E28">
      <w:pPr>
        <w:spacing w:after="0"/>
        <w:jc w:val="both"/>
        <w:rPr>
          <w:rFonts w:ascii="Times New Roman" w:hAnsi="Times New Roman" w:cs="Times New Roman"/>
          <w:b/>
        </w:rPr>
      </w:pPr>
    </w:p>
    <w:p w:rsidR="009C1E28" w:rsidRPr="000614BC" w:rsidRDefault="009C1E28" w:rsidP="009C1E28">
      <w:pPr>
        <w:keepNext/>
        <w:keepLines/>
        <w:spacing w:after="0"/>
        <w:ind w:left="567" w:hanging="567"/>
        <w:jc w:val="both"/>
        <w:rPr>
          <w:rFonts w:ascii="Times New Roman" w:hAnsi="Times New Roman" w:cs="Times New Roman"/>
          <w:b/>
        </w:rPr>
      </w:pPr>
      <w:r w:rsidRPr="000614BC">
        <w:rPr>
          <w:rFonts w:ascii="Times New Roman" w:hAnsi="Times New Roman" w:cs="Times New Roman"/>
          <w:b/>
        </w:rPr>
        <w:t>4.7</w:t>
      </w:r>
      <w:r w:rsidRPr="000614BC">
        <w:rPr>
          <w:rFonts w:ascii="Times New Roman" w:hAnsi="Times New Roman" w:cs="Times New Roman"/>
          <w:b/>
        </w:rPr>
        <w:tab/>
        <w:t>Uticaj na psihofizičke sposobnosti prilikom upravljanja motornim vozilima i rukovanja mašinama</w:t>
      </w:r>
    </w:p>
    <w:p w:rsidR="009C1E28" w:rsidRPr="009C1E28" w:rsidRDefault="009C1E28" w:rsidP="009C1E28">
      <w:pPr>
        <w:keepNext/>
        <w:keepLines/>
        <w:spacing w:after="0"/>
        <w:jc w:val="both"/>
        <w:rPr>
          <w:rFonts w:ascii="Times New Roman" w:hAnsi="Times New Roman" w:cs="Times New Roman"/>
          <w:b/>
        </w:rPr>
      </w:pP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Lijek Harvoni (primijenjen sam ili u kombinaciji sa ribavirinom) nema ili ima zanemarljiv uticaj na psihofizičke sposobnosti prilikom upravljanja motornim vozilima i rukovanja mašinama. Međutim, pacijenti treba da imaju u vidu da je umor bio češći kod pacijenata liječenih ledipasvirom/sofosbuvirom u poređenju sa  placebom.</w:t>
      </w:r>
    </w:p>
    <w:p w:rsidR="009C1E28" w:rsidRPr="009C1E28" w:rsidRDefault="009C1E28" w:rsidP="009C1E28">
      <w:pPr>
        <w:spacing w:after="0"/>
        <w:jc w:val="both"/>
        <w:rPr>
          <w:rFonts w:ascii="Times New Roman" w:hAnsi="Times New Roman" w:cs="Times New Roman"/>
          <w:b/>
        </w:rPr>
      </w:pPr>
    </w:p>
    <w:p w:rsidR="009C1E28" w:rsidRPr="000614BC" w:rsidRDefault="009C1E28" w:rsidP="009C1E28">
      <w:pPr>
        <w:keepNext/>
        <w:keepLines/>
        <w:spacing w:after="0"/>
        <w:ind w:left="567" w:hanging="567"/>
        <w:jc w:val="both"/>
        <w:rPr>
          <w:rFonts w:ascii="Times New Roman" w:hAnsi="Times New Roman" w:cs="Times New Roman"/>
          <w:b/>
        </w:rPr>
      </w:pPr>
      <w:r w:rsidRPr="000614BC">
        <w:rPr>
          <w:rFonts w:ascii="Times New Roman" w:hAnsi="Times New Roman" w:cs="Times New Roman"/>
          <w:b/>
        </w:rPr>
        <w:t>4.8</w:t>
      </w:r>
      <w:r w:rsidRPr="000614BC">
        <w:rPr>
          <w:rFonts w:ascii="Times New Roman" w:hAnsi="Times New Roman" w:cs="Times New Roman"/>
          <w:b/>
        </w:rPr>
        <w:tab/>
        <w:t>Neželjena dejstva</w:t>
      </w:r>
    </w:p>
    <w:p w:rsidR="009C1E28" w:rsidRPr="009C1E28" w:rsidRDefault="009C1E28" w:rsidP="009C1E28">
      <w:pPr>
        <w:keepNext/>
        <w:keepLines/>
        <w:spacing w:after="0"/>
        <w:ind w:left="567" w:hanging="567"/>
        <w:jc w:val="both"/>
        <w:rPr>
          <w:rFonts w:ascii="Times New Roman" w:hAnsi="Times New Roman" w:cs="Times New Roman"/>
          <w:b/>
        </w:rPr>
      </w:pPr>
    </w:p>
    <w:p w:rsidR="009C1E28" w:rsidRPr="009C1E28" w:rsidRDefault="009C1E28" w:rsidP="009C1E28">
      <w:pPr>
        <w:keepNext/>
        <w:keepLines/>
        <w:spacing w:after="0"/>
        <w:ind w:left="567" w:hanging="567"/>
        <w:jc w:val="both"/>
        <w:rPr>
          <w:rFonts w:ascii="Times New Roman" w:hAnsi="Times New Roman" w:cs="Times New Roman"/>
          <w:b/>
          <w:u w:val="single"/>
        </w:rPr>
      </w:pPr>
      <w:r w:rsidRPr="009C1E28">
        <w:rPr>
          <w:rFonts w:ascii="Times New Roman" w:hAnsi="Times New Roman" w:cs="Times New Roman"/>
          <w:u w:val="single"/>
        </w:rPr>
        <w:t>Sažetak bezbjednosnog profila kod odraslih</w:t>
      </w: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Procjena bezbjednosti ledipasvira/sofosbuvira zasniva se na udruženim podacima iz tri klinička ispitivanja faze 3 (ION</w:t>
      </w:r>
      <w:r w:rsidRPr="009C1E28">
        <w:rPr>
          <w:rFonts w:ascii="Times New Roman" w:hAnsi="Times New Roman" w:cs="Times New Roman"/>
        </w:rPr>
        <w:noBreakHyphen/>
        <w:t>3, ION</w:t>
      </w:r>
      <w:r w:rsidRPr="009C1E28">
        <w:rPr>
          <w:rFonts w:ascii="Times New Roman" w:hAnsi="Times New Roman" w:cs="Times New Roman"/>
        </w:rPr>
        <w:noBreakHyphen/>
        <w:t>1 i ION</w:t>
      </w:r>
      <w:r w:rsidRPr="009C1E28">
        <w:rPr>
          <w:rFonts w:ascii="Times New Roman" w:hAnsi="Times New Roman" w:cs="Times New Roman"/>
        </w:rPr>
        <w:noBreakHyphen/>
        <w:t xml:space="preserve">2) u koja je bilo uključeno 215, 539 odnosno 326 pacijenata koji su primali ledipasvir/sofosbuvir tokom 8, 12 odnosno 24 nedjelje; i 216, 328 odnosno 328 pacijenata koji su primali kombinovanu terapiju ledipasvir/sofosbuvir + ribavirin tokom 8, 12 odnosno 24 nedjelje. U ta ispitivanja nijesu bile uključene kontrolne grupe koje nijesu primale ledipasvir/sofosbuvir. Dodatni podaci uključuju dvostruko </w:t>
      </w:r>
      <w:r w:rsidRPr="009C1E28">
        <w:rPr>
          <w:rFonts w:ascii="Times New Roman" w:hAnsi="Times New Roman" w:cs="Times New Roman"/>
        </w:rPr>
        <w:lastRenderedPageBreak/>
        <w:t>slijepo poređenje bezbjednosti ledipasvira/sofosbuvira (12 nedjelja) i placeba kod 155 pacijenata sa cirozom (vidjeti odjeljak 5.1).</w:t>
      </w: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Procenat pacijenata kod kojih je liječenje trajno prekinuto zbog neželjenih dejstava iznosio je 0%, &lt;1%, odnosno 1% kod pacijenata koji su primali ledipasvir/sofosbuvir tokom 8, 12 odnosno 24 nedjelje; i &lt;1%, 0%, odnosno 2% kod pacijenata koji su primali kombinovanu terapiju ledipasvir/sofosbuvir + ribavirin tokom 8, 12 odnosno 24 nedjelje.</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U kliničkim ispitivanjima umor i glavobolja su bili češći kod pacijenata liječenih ledipasvirom/sofosbuvirom u poređenju sa placebom. Kada se ledipasvir/sofosbuvir ispitivao sa ribavirinom, najčešća neželjena dejstva kombinovane terapije ledipasvir/sofosbuvir + ribavirin bila su konzistentna sa poznatim bezbjednosnim profilom ribavirina, bez povećanja učestalosti ili težine očekivanih neželjenih dejstava.</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Sljedeća neželjena dejstva utvrđena su za Harvoni (tabela 6). Neželjena dejstva su klasifikovana u nastavku prema klasi sistema organa i učestalosti ispoljavanja. Učestalost se definiše kao: veoma česta (≥1/10), česta (≥1/100 i &lt;1/10), povremena (≥1/1000 i &lt;1/100), rijetka (≥1/10 000 i &lt;1/1000), ili veoma rijetka (&lt;1/10 000).</w:t>
      </w:r>
    </w:p>
    <w:p w:rsidR="009C1E28" w:rsidRPr="009C1E28" w:rsidRDefault="009C1E28" w:rsidP="009C1E28">
      <w:pPr>
        <w:spacing w:after="0"/>
        <w:jc w:val="both"/>
        <w:rPr>
          <w:rFonts w:ascii="Times New Roman" w:hAnsi="Times New Roman" w:cs="Times New Roman"/>
          <w:b/>
        </w:rPr>
      </w:pPr>
    </w:p>
    <w:p w:rsidR="009C1E28" w:rsidRDefault="009C1E28" w:rsidP="009C1E28">
      <w:pPr>
        <w:keepNext/>
        <w:keepLines/>
        <w:spacing w:after="0"/>
        <w:jc w:val="both"/>
        <w:rPr>
          <w:rFonts w:ascii="Times New Roman" w:hAnsi="Times New Roman" w:cs="Times New Roman"/>
          <w:b/>
        </w:rPr>
      </w:pPr>
      <w:r w:rsidRPr="000614BC">
        <w:rPr>
          <w:rFonts w:ascii="Times New Roman" w:hAnsi="Times New Roman" w:cs="Times New Roman"/>
          <w:b/>
        </w:rPr>
        <w:t>Tabela 6: Neželjene reakcije na lijek utvrđene sa lijekom Harvoni</w:t>
      </w:r>
    </w:p>
    <w:p w:rsidR="000614BC" w:rsidRPr="000614BC" w:rsidRDefault="000614BC" w:rsidP="009C1E28">
      <w:pPr>
        <w:keepNext/>
        <w:keepLines/>
        <w:spacing w:after="0"/>
        <w:jc w:val="both"/>
        <w:rPr>
          <w:rFonts w:ascii="Times New Roman" w:hAnsi="Times New Roman" w:cs="Times New Roman"/>
          <w:b/>
        </w:rPr>
      </w:pPr>
    </w:p>
    <w:tbl>
      <w:tblPr>
        <w:tblW w:w="6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4395"/>
      </w:tblGrid>
      <w:tr w:rsidR="009C1E28" w:rsidRPr="009C1E28" w:rsidTr="00DB57CE">
        <w:trPr>
          <w:cantSplit/>
          <w:tblHeader/>
        </w:trPr>
        <w:tc>
          <w:tcPr>
            <w:tcW w:w="2376" w:type="dxa"/>
          </w:tcPr>
          <w:p w:rsidR="009C1E28" w:rsidRPr="009C1E28" w:rsidRDefault="009C1E28" w:rsidP="009C1E28">
            <w:pPr>
              <w:keepNext/>
              <w:keepLines/>
              <w:spacing w:after="0"/>
              <w:jc w:val="both"/>
              <w:rPr>
                <w:rFonts w:ascii="Times New Roman" w:hAnsi="Times New Roman" w:cs="Times New Roman"/>
              </w:rPr>
            </w:pPr>
            <w:r w:rsidRPr="009C1E28">
              <w:rPr>
                <w:rFonts w:ascii="Times New Roman" w:hAnsi="Times New Roman" w:cs="Times New Roman"/>
              </w:rPr>
              <w:t>Učestalost</w:t>
            </w:r>
          </w:p>
        </w:tc>
        <w:tc>
          <w:tcPr>
            <w:tcW w:w="4395" w:type="dxa"/>
          </w:tcPr>
          <w:p w:rsidR="009C1E28" w:rsidRPr="009C1E28" w:rsidRDefault="009C1E28" w:rsidP="009C1E28">
            <w:pPr>
              <w:keepNext/>
              <w:keepLines/>
              <w:spacing w:after="0"/>
              <w:jc w:val="both"/>
              <w:rPr>
                <w:rFonts w:ascii="Times New Roman" w:hAnsi="Times New Roman" w:cs="Times New Roman"/>
              </w:rPr>
            </w:pPr>
            <w:r w:rsidRPr="009C1E28">
              <w:rPr>
                <w:rFonts w:ascii="Times New Roman" w:hAnsi="Times New Roman" w:cs="Times New Roman"/>
              </w:rPr>
              <w:t>Neželjena reakcija na lijek</w:t>
            </w:r>
          </w:p>
        </w:tc>
      </w:tr>
      <w:tr w:rsidR="009C1E28" w:rsidRPr="009C1E28" w:rsidTr="00DB57CE">
        <w:tc>
          <w:tcPr>
            <w:tcW w:w="6771" w:type="dxa"/>
            <w:gridSpan w:val="2"/>
            <w:shd w:val="clear" w:color="auto" w:fill="E0E0E0"/>
            <w:vAlign w:val="center"/>
          </w:tcPr>
          <w:p w:rsidR="009C1E28" w:rsidRPr="009C1E28" w:rsidRDefault="009C1E28" w:rsidP="009C1E28">
            <w:pPr>
              <w:keepNext/>
              <w:keepLines/>
              <w:spacing w:after="0"/>
              <w:jc w:val="both"/>
              <w:rPr>
                <w:rFonts w:ascii="Times New Roman" w:hAnsi="Times New Roman" w:cs="Times New Roman"/>
                <w:b/>
                <w:i/>
              </w:rPr>
            </w:pPr>
            <w:r w:rsidRPr="009C1E28">
              <w:rPr>
                <w:rFonts w:ascii="Times New Roman" w:hAnsi="Times New Roman" w:cs="Times New Roman"/>
                <w:i/>
              </w:rPr>
              <w:t>Poremećaji nervnog sistema:</w:t>
            </w:r>
          </w:p>
        </w:tc>
      </w:tr>
      <w:tr w:rsidR="009C1E28" w:rsidRPr="009C1E28" w:rsidTr="00DB57CE">
        <w:tc>
          <w:tcPr>
            <w:tcW w:w="2376" w:type="dxa"/>
            <w:vAlign w:val="center"/>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Veoma česta</w:t>
            </w:r>
          </w:p>
        </w:tc>
        <w:tc>
          <w:tcPr>
            <w:tcW w:w="4395" w:type="dxa"/>
            <w:vAlign w:val="center"/>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Glavobolja</w:t>
            </w:r>
          </w:p>
        </w:tc>
      </w:tr>
      <w:tr w:rsidR="009C1E28" w:rsidRPr="009C1E28" w:rsidTr="00DB57CE">
        <w:tc>
          <w:tcPr>
            <w:tcW w:w="6771" w:type="dxa"/>
            <w:gridSpan w:val="2"/>
            <w:shd w:val="clear" w:color="auto" w:fill="D9D9D9"/>
            <w:vAlign w:val="center"/>
          </w:tcPr>
          <w:p w:rsidR="009C1E28" w:rsidRPr="009C1E28" w:rsidRDefault="009C1E28" w:rsidP="009C1E28">
            <w:pPr>
              <w:keepNext/>
              <w:keepLines/>
              <w:spacing w:after="0"/>
              <w:jc w:val="both"/>
              <w:rPr>
                <w:rFonts w:ascii="Times New Roman" w:hAnsi="Times New Roman" w:cs="Times New Roman"/>
                <w:b/>
                <w:i/>
              </w:rPr>
            </w:pPr>
            <w:r w:rsidRPr="009C1E28">
              <w:rPr>
                <w:rFonts w:ascii="Times New Roman" w:hAnsi="Times New Roman" w:cs="Times New Roman"/>
                <w:i/>
              </w:rPr>
              <w:t>Poremećaji kože i potkožnog tkiva:</w:t>
            </w:r>
          </w:p>
        </w:tc>
      </w:tr>
      <w:tr w:rsidR="009C1E28" w:rsidRPr="009C1E28" w:rsidTr="00DB57CE">
        <w:tc>
          <w:tcPr>
            <w:tcW w:w="2376" w:type="dxa"/>
            <w:vAlign w:val="center"/>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Česta</w:t>
            </w:r>
          </w:p>
        </w:tc>
        <w:tc>
          <w:tcPr>
            <w:tcW w:w="4395" w:type="dxa"/>
            <w:vAlign w:val="center"/>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Osip</w:t>
            </w:r>
          </w:p>
        </w:tc>
      </w:tr>
      <w:tr w:rsidR="009C1E28" w:rsidRPr="009C1E28" w:rsidTr="00DB57CE">
        <w:tc>
          <w:tcPr>
            <w:tcW w:w="2376" w:type="dxa"/>
            <w:vAlign w:val="center"/>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Nepoznata učestalost</w:t>
            </w:r>
          </w:p>
        </w:tc>
        <w:tc>
          <w:tcPr>
            <w:tcW w:w="4395" w:type="dxa"/>
            <w:vAlign w:val="center"/>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Angioedem</w:t>
            </w:r>
          </w:p>
        </w:tc>
      </w:tr>
      <w:tr w:rsidR="009C1E28" w:rsidRPr="009C1E28" w:rsidTr="00DB57CE">
        <w:tc>
          <w:tcPr>
            <w:tcW w:w="6771" w:type="dxa"/>
            <w:gridSpan w:val="2"/>
            <w:shd w:val="clear" w:color="auto" w:fill="E0E0E0"/>
            <w:vAlign w:val="center"/>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i/>
              </w:rPr>
              <w:t>Opšti poremećaji:</w:t>
            </w:r>
          </w:p>
        </w:tc>
      </w:tr>
      <w:tr w:rsidR="009C1E28" w:rsidRPr="009C1E28" w:rsidTr="00DB57CE">
        <w:trPr>
          <w:trHeight w:val="212"/>
        </w:trPr>
        <w:tc>
          <w:tcPr>
            <w:tcW w:w="2376" w:type="dxa"/>
            <w:vAlign w:val="center"/>
          </w:tcPr>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Veoma česta</w:t>
            </w:r>
          </w:p>
        </w:tc>
        <w:tc>
          <w:tcPr>
            <w:tcW w:w="4395" w:type="dxa"/>
            <w:vAlign w:val="center"/>
          </w:tcPr>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Umor</w:t>
            </w:r>
          </w:p>
        </w:tc>
      </w:tr>
    </w:tbl>
    <w:p w:rsidR="009C1E28" w:rsidRPr="009C1E28" w:rsidRDefault="009C1E28" w:rsidP="009C1E28">
      <w:pPr>
        <w:spacing w:after="0"/>
        <w:jc w:val="both"/>
        <w:rPr>
          <w:rFonts w:ascii="Times New Roman" w:hAnsi="Times New Roman" w:cs="Times New Roman"/>
          <w:b/>
        </w:rPr>
      </w:pPr>
    </w:p>
    <w:p w:rsidR="009C1E28" w:rsidRPr="009C1E28" w:rsidRDefault="009C1E28" w:rsidP="009C1E28">
      <w:pPr>
        <w:keepNext/>
        <w:keepLines/>
        <w:spacing w:after="0"/>
        <w:jc w:val="both"/>
        <w:rPr>
          <w:rFonts w:ascii="Times New Roman" w:hAnsi="Times New Roman" w:cs="Times New Roman"/>
          <w:b/>
          <w:u w:val="single"/>
        </w:rPr>
      </w:pPr>
      <w:r w:rsidRPr="009C1E28">
        <w:rPr>
          <w:rFonts w:ascii="Times New Roman" w:hAnsi="Times New Roman" w:cs="Times New Roman"/>
          <w:u w:val="single"/>
        </w:rPr>
        <w:t>Odrasli sa dekompenzovanom cirozom i/ili pacijenti koji čekaju transplantaciju jetre, ili poslije transplantacije jetre</w:t>
      </w: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Bezbjednosni profil kombinacije ledipasvir/sofosbuvir sa ribavirinom tokom 12 ili 24 nedjelje, kod odraslih sa dekompenzovanom bolešću jetre i/ili kod pacijenata nakon transplantacije, procijenjen je u dvije otvorene studije (SOLAR</w:t>
      </w:r>
      <w:r w:rsidRPr="009C1E28">
        <w:rPr>
          <w:rFonts w:ascii="Times New Roman" w:hAnsi="Times New Roman" w:cs="Times New Roman"/>
        </w:rPr>
        <w:noBreakHyphen/>
        <w:t>1 i SOLAR-2). Nijesu zabilježene nove neželjene reakcije na lijek kod pacijenata sa dekompenzovanom cirozom i/ili kod pacijenata nakon transplantacije jetre koji su primali ledipasvir/sofosbuvir sa ribavirinom. Iako su se neželjeni događaji, uključujući i ozbiljne neželjene događaje, javljali češće u ovoj studiji u poređenju sa studijama iz kojih su isključeni pacijenti sa dekompenzacijom i/ili pacijenti nakon transplantacije, zabilježeni neželjeni događaji bili su očekivani kao kliničke sekvele uznapredovale bolesti jetre i/ili transplantacije, ili su bili u skladu sa poznatim bezbjednosnim profilom ribavirina (vidjeti odjeljak 5.1 za detalje o ovoj studiji).</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Smanjenje vrijednosti hemoglobina na &lt;10 g/dl i &lt;8,5 g/dl tokom liječenja zabilježeno je kod 39%, odnosno 13% pacijenata liječenih kombinacijom ledipasvir/sofosbuvir sa ribavirinom. Primjena ribavirina prekinuta je kod 15% pacijenata.</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lastRenderedPageBreak/>
        <w:t>Kod 7% primalaca transplantata jetre modifikovan je njihov imunosupresivni agens.</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keepNext/>
        <w:keepLines/>
        <w:spacing w:after="0"/>
        <w:jc w:val="both"/>
        <w:rPr>
          <w:rFonts w:ascii="Times New Roman" w:hAnsi="Times New Roman" w:cs="Times New Roman"/>
          <w:b/>
          <w:u w:val="single"/>
        </w:rPr>
      </w:pPr>
      <w:r w:rsidRPr="009C1E28">
        <w:rPr>
          <w:rFonts w:ascii="Times New Roman" w:hAnsi="Times New Roman" w:cs="Times New Roman"/>
          <w:u w:val="single"/>
        </w:rPr>
        <w:t>Pedijatrijska populacija</w:t>
      </w: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Bezbjednost i efikasnost lijeka Harvoni kod adolescenata starosti od 12 do &lt;18 godina bazirana je na podacima iz Faze 2 otvorenog kliničkog ispitivanja (Studija 1116) koja je uključila 100 pacijenata sa HCV infekcijom genotipa 1 koji su liječeni kombinacijom ledipasvir/sofosbuvir tokom 12 nedjelja. Uočene neželjene reakcije su u skladu sa onima koje su uočene u kliničkim studijama za ledipasvir/sofosbuvir kod odraslih (pogledajte Tabelu 6).</w:t>
      </w:r>
    </w:p>
    <w:p w:rsidR="009C1E28" w:rsidRPr="009C1E28" w:rsidRDefault="009C1E28" w:rsidP="009C1E28">
      <w:pPr>
        <w:spacing w:after="0"/>
        <w:jc w:val="both"/>
        <w:rPr>
          <w:rFonts w:ascii="Times New Roman" w:hAnsi="Times New Roman" w:cs="Times New Roman"/>
          <w:b/>
          <w:u w:val="single"/>
        </w:rPr>
      </w:pPr>
    </w:p>
    <w:p w:rsidR="009C1E28" w:rsidRPr="009C1E28" w:rsidRDefault="009C1E28" w:rsidP="009C1E28">
      <w:pPr>
        <w:keepNext/>
        <w:keepLines/>
        <w:spacing w:after="0"/>
        <w:jc w:val="both"/>
        <w:rPr>
          <w:rFonts w:ascii="Times New Roman" w:hAnsi="Times New Roman" w:cs="Times New Roman"/>
          <w:b/>
          <w:u w:val="single"/>
        </w:rPr>
      </w:pPr>
      <w:r w:rsidRPr="009C1E28">
        <w:rPr>
          <w:rFonts w:ascii="Times New Roman" w:hAnsi="Times New Roman" w:cs="Times New Roman"/>
          <w:u w:val="single"/>
        </w:rPr>
        <w:t>Opis odabranih neželjenih reakcija</w:t>
      </w:r>
    </w:p>
    <w:p w:rsidR="009C1E28" w:rsidRPr="009C1E28" w:rsidRDefault="009C1E28" w:rsidP="009C1E28">
      <w:pPr>
        <w:keepNext/>
        <w:keepLines/>
        <w:spacing w:after="0"/>
        <w:jc w:val="both"/>
        <w:rPr>
          <w:rFonts w:ascii="Times New Roman" w:hAnsi="Times New Roman" w:cs="Times New Roman"/>
          <w:b/>
          <w:i/>
        </w:rPr>
      </w:pPr>
      <w:r w:rsidRPr="009C1E28">
        <w:rPr>
          <w:rFonts w:ascii="Times New Roman" w:hAnsi="Times New Roman" w:cs="Times New Roman"/>
          <w:i/>
        </w:rPr>
        <w:t>Srčane aritmije</w:t>
      </w: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Slučajevi teške bradikardije i srčanog bloka zabilježeni su kada se lijek Harvoni koristio istovremeno sa amjodaronom i/ili sa drugim ljekovima koji smanjuju srčanu frekvenciju (vidjeti odjeljke 4.4 i 4.5).</w:t>
      </w:r>
    </w:p>
    <w:p w:rsidR="009C1E28" w:rsidRPr="009C1E28" w:rsidRDefault="009C1E28" w:rsidP="009C1E28">
      <w:pPr>
        <w:spacing w:after="0"/>
        <w:jc w:val="both"/>
        <w:rPr>
          <w:rFonts w:ascii="Times New Roman" w:hAnsi="Times New Roman" w:cs="Times New Roman"/>
          <w:b/>
          <w:u w:val="single"/>
        </w:rPr>
      </w:pPr>
    </w:p>
    <w:p w:rsidR="009C1E28" w:rsidRPr="009C1E28" w:rsidRDefault="009C1E28" w:rsidP="009C1E28">
      <w:pPr>
        <w:spacing w:after="0" w:line="276" w:lineRule="auto"/>
        <w:jc w:val="both"/>
        <w:rPr>
          <w:rFonts w:ascii="Times New Roman" w:hAnsi="Times New Roman" w:cs="Times New Roman"/>
          <w:b/>
          <w:u w:val="single"/>
        </w:rPr>
      </w:pPr>
      <w:r w:rsidRPr="009C1E28">
        <w:rPr>
          <w:rFonts w:ascii="Times New Roman" w:hAnsi="Times New Roman" w:cs="Times New Roman"/>
          <w:u w:val="single"/>
        </w:rPr>
        <w:t>Prijavljivanje sumnji na neželjena dejstva</w:t>
      </w:r>
    </w:p>
    <w:p w:rsidR="009C1E28" w:rsidRPr="009C1E28" w:rsidRDefault="009C1E28" w:rsidP="009C1E28">
      <w:pPr>
        <w:spacing w:after="0" w:line="276" w:lineRule="auto"/>
        <w:jc w:val="both"/>
        <w:rPr>
          <w:rFonts w:ascii="Times New Roman" w:hAnsi="Times New Roman" w:cs="Times New Roman"/>
          <w:b/>
          <w:u w:val="single"/>
        </w:rPr>
      </w:pPr>
    </w:p>
    <w:p w:rsidR="009C1E28" w:rsidRPr="009C1E28" w:rsidRDefault="009C1E28" w:rsidP="009C1E28">
      <w:pPr>
        <w:spacing w:after="0"/>
        <w:jc w:val="both"/>
        <w:rPr>
          <w:rFonts w:ascii="Times New Roman" w:eastAsia="Calibri" w:hAnsi="Times New Roman" w:cs="Times New Roman"/>
          <w:b/>
        </w:rPr>
      </w:pPr>
      <w:r w:rsidRPr="009C1E28">
        <w:rPr>
          <w:rFonts w:ascii="Times New Roman" w:eastAsia="Calibri" w:hAnsi="Times New Roman" w:cs="Times New Roman"/>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pStyle w:val="NoSpacing"/>
        <w:jc w:val="both"/>
        <w:rPr>
          <w:rFonts w:eastAsia="Calibri"/>
          <w:sz w:val="22"/>
          <w:szCs w:val="22"/>
        </w:rPr>
      </w:pPr>
      <w:r w:rsidRPr="009C1E28">
        <w:rPr>
          <w:sz w:val="22"/>
          <w:szCs w:val="22"/>
        </w:rPr>
        <w:t>Agencija za ljekove i medicinska sredstva Crne Gore</w:t>
      </w:r>
    </w:p>
    <w:p w:rsidR="009C1E28" w:rsidRPr="009C1E28" w:rsidRDefault="009C1E28" w:rsidP="009C1E28">
      <w:pPr>
        <w:pStyle w:val="NoSpacing"/>
        <w:jc w:val="both"/>
        <w:rPr>
          <w:rFonts w:eastAsia="Calibri"/>
          <w:sz w:val="22"/>
          <w:szCs w:val="22"/>
        </w:rPr>
      </w:pPr>
      <w:r w:rsidRPr="009C1E28">
        <w:rPr>
          <w:sz w:val="22"/>
          <w:szCs w:val="22"/>
        </w:rPr>
        <w:t>Odjeljenje za farmakovigilancu</w:t>
      </w:r>
    </w:p>
    <w:p w:rsidR="009C1E28" w:rsidRPr="009C1E28" w:rsidRDefault="009C1E28" w:rsidP="009C1E28">
      <w:pPr>
        <w:pStyle w:val="NoSpacing"/>
        <w:jc w:val="both"/>
        <w:rPr>
          <w:rFonts w:eastAsia="Calibri"/>
          <w:sz w:val="22"/>
          <w:szCs w:val="22"/>
        </w:rPr>
      </w:pPr>
      <w:r w:rsidRPr="009C1E28">
        <w:rPr>
          <w:sz w:val="22"/>
          <w:szCs w:val="22"/>
        </w:rPr>
        <w:t>Bulevar Ivana Crnojevića 64a, 81000 Podgorica</w:t>
      </w:r>
    </w:p>
    <w:p w:rsidR="009C1E28" w:rsidRPr="009C1E28" w:rsidRDefault="009C1E28" w:rsidP="009C1E28">
      <w:pPr>
        <w:pStyle w:val="NoSpacing"/>
        <w:jc w:val="both"/>
        <w:rPr>
          <w:rFonts w:eastAsia="Calibri"/>
          <w:sz w:val="22"/>
          <w:szCs w:val="22"/>
        </w:rPr>
      </w:pPr>
    </w:p>
    <w:p w:rsidR="009C1E28" w:rsidRPr="009C1E28" w:rsidRDefault="009C1E28" w:rsidP="009C1E28">
      <w:pPr>
        <w:pStyle w:val="NoSpacing"/>
        <w:jc w:val="both"/>
        <w:rPr>
          <w:rFonts w:eastAsia="Calibri"/>
          <w:sz w:val="22"/>
          <w:szCs w:val="22"/>
        </w:rPr>
      </w:pPr>
      <w:r w:rsidRPr="009C1E28">
        <w:rPr>
          <w:sz w:val="22"/>
          <w:szCs w:val="22"/>
        </w:rPr>
        <w:t>tel: +382 (0) 20 310 280</w:t>
      </w:r>
    </w:p>
    <w:p w:rsidR="009C1E28" w:rsidRPr="009C1E28" w:rsidRDefault="009C1E28" w:rsidP="009C1E28">
      <w:pPr>
        <w:pStyle w:val="NoSpacing"/>
        <w:jc w:val="both"/>
        <w:rPr>
          <w:rFonts w:eastAsia="Calibri"/>
          <w:sz w:val="22"/>
          <w:szCs w:val="22"/>
        </w:rPr>
      </w:pPr>
      <w:r w:rsidRPr="009C1E28">
        <w:rPr>
          <w:sz w:val="22"/>
          <w:szCs w:val="22"/>
        </w:rPr>
        <w:t>faks: +382 (0) 20 310 581</w:t>
      </w:r>
    </w:p>
    <w:p w:rsidR="009C1E28" w:rsidRPr="009C1E28" w:rsidRDefault="00DB57CE" w:rsidP="009C1E28">
      <w:pPr>
        <w:pStyle w:val="NoSpacing"/>
        <w:jc w:val="both"/>
        <w:rPr>
          <w:rFonts w:eastAsia="Calibri"/>
          <w:sz w:val="22"/>
          <w:szCs w:val="22"/>
        </w:rPr>
      </w:pPr>
      <w:hyperlink r:id="rId9">
        <w:r w:rsidR="009C1E28" w:rsidRPr="009C1E28">
          <w:rPr>
            <w:color w:val="0000FF"/>
            <w:sz w:val="22"/>
            <w:szCs w:val="22"/>
            <w:u w:val="single"/>
          </w:rPr>
          <w:t>www.calims.me</w:t>
        </w:r>
      </w:hyperlink>
    </w:p>
    <w:p w:rsidR="009C1E28" w:rsidRPr="009C1E28" w:rsidRDefault="00DB57CE" w:rsidP="009C1E28">
      <w:pPr>
        <w:pStyle w:val="NoSpacing"/>
        <w:jc w:val="both"/>
        <w:rPr>
          <w:rFonts w:eastAsia="Calibri"/>
          <w:color w:val="0000FF"/>
          <w:sz w:val="22"/>
          <w:szCs w:val="22"/>
          <w:u w:val="single"/>
        </w:rPr>
      </w:pPr>
      <w:hyperlink r:id="rId10">
        <w:r w:rsidR="009C1E28" w:rsidRPr="009C1E28">
          <w:rPr>
            <w:color w:val="0000FF"/>
            <w:sz w:val="22"/>
            <w:szCs w:val="22"/>
            <w:u w:val="single"/>
          </w:rPr>
          <w:t>nezeljenadejstva@calims.me</w:t>
        </w:r>
      </w:hyperlink>
    </w:p>
    <w:p w:rsidR="009C1E28" w:rsidRPr="009C1E28" w:rsidRDefault="009C1E28" w:rsidP="009C1E28">
      <w:pPr>
        <w:pStyle w:val="NoSpacing"/>
        <w:jc w:val="both"/>
        <w:rPr>
          <w:rFonts w:eastAsia="Calibri"/>
          <w:sz w:val="22"/>
          <w:szCs w:val="22"/>
        </w:rPr>
      </w:pPr>
      <w:r w:rsidRPr="009C1E28">
        <w:rPr>
          <w:sz w:val="22"/>
          <w:szCs w:val="22"/>
        </w:rPr>
        <w:t>putem IS zdravstvene zaštite</w:t>
      </w:r>
    </w:p>
    <w:p w:rsidR="009C1E28" w:rsidRPr="009C1E28" w:rsidRDefault="009C1E28" w:rsidP="009C1E28">
      <w:pPr>
        <w:spacing w:after="0"/>
        <w:jc w:val="both"/>
        <w:rPr>
          <w:rFonts w:ascii="Times New Roman" w:hAnsi="Times New Roman" w:cs="Times New Roman"/>
          <w:b/>
        </w:rPr>
      </w:pPr>
    </w:p>
    <w:p w:rsidR="009C1E28" w:rsidRPr="000614BC" w:rsidRDefault="009C1E28" w:rsidP="009C1E28">
      <w:pPr>
        <w:keepNext/>
        <w:keepLines/>
        <w:spacing w:after="0"/>
        <w:jc w:val="both"/>
        <w:rPr>
          <w:rFonts w:ascii="Times New Roman" w:hAnsi="Times New Roman" w:cs="Times New Roman"/>
          <w:b/>
        </w:rPr>
      </w:pPr>
      <w:r w:rsidRPr="000614BC">
        <w:rPr>
          <w:rFonts w:ascii="Times New Roman" w:hAnsi="Times New Roman" w:cs="Times New Roman"/>
          <w:b/>
        </w:rPr>
        <w:t>4.9</w:t>
      </w:r>
      <w:r w:rsidRPr="000614BC">
        <w:rPr>
          <w:rFonts w:ascii="Times New Roman" w:hAnsi="Times New Roman" w:cs="Times New Roman"/>
          <w:b/>
        </w:rPr>
        <w:tab/>
        <w:t>Predoziranje i mjere koje je potrebno preduzeti</w:t>
      </w:r>
    </w:p>
    <w:p w:rsidR="009C1E28" w:rsidRPr="009C1E28" w:rsidRDefault="009C1E28" w:rsidP="009C1E28">
      <w:pPr>
        <w:keepNext/>
        <w:keepLines/>
        <w:spacing w:after="0"/>
        <w:jc w:val="both"/>
        <w:rPr>
          <w:rFonts w:ascii="Times New Roman" w:hAnsi="Times New Roman" w:cs="Times New Roman"/>
          <w:b/>
        </w:rPr>
      </w:pP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Najviše zabilježene doze bile su 120 mg ledipasvira dva puta dnevno tokom 10 dana i pojedinačna doza sofosbuvira od 1200 mg. U tim ispitivanjima na zdravim dobrovoljcima nije bilo nepovoljnih efekata opaženih pri ovim nivoima doze, a neželjena dejstva su imala sličnu učestalost i težinu kao i ona zabilježena u grupama koje su primale placebo. Dejstva viših doza nijesu poznata.</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Nije dostupan specifičan antidot za predoziranje lijekom Harvoni. U slučaju predoziranja, pacijent se mora pratiti zbog znakova toksičnosti. Liječenje predoziranja lijekom Harvoni sastoji se od opštih suportivnih mjera, uključujući praćenje vitalnih znakova, kao i posmatranje kliničkog stanja pacijenta. Hemodijaliza najvjerovatnije neće dovesti do značajnog uklanjanja ledipasvira, jer je ledipasvir u visokom procentu vezan za proteine plazme. Hemodijalizom se može efikasno odstraniti glavni cirkulišući metabolit sofosbuvira, GS</w:t>
      </w:r>
      <w:r w:rsidRPr="009C1E28">
        <w:rPr>
          <w:rFonts w:ascii="Times New Roman" w:hAnsi="Times New Roman" w:cs="Times New Roman"/>
        </w:rPr>
        <w:noBreakHyphen/>
        <w:t>331007, uz odnos ekstrakcije od 53%.</w:t>
      </w:r>
    </w:p>
    <w:p w:rsidR="009C1E28" w:rsidRPr="009C1E28" w:rsidRDefault="009C1E28" w:rsidP="009C1E28">
      <w:pPr>
        <w:spacing w:after="0"/>
        <w:jc w:val="both"/>
        <w:rPr>
          <w:rFonts w:ascii="Times New Roman" w:hAnsi="Times New Roman" w:cs="Times New Roman"/>
          <w:b/>
        </w:rPr>
      </w:pPr>
    </w:p>
    <w:p w:rsidR="009C1E28" w:rsidRPr="000614BC" w:rsidRDefault="009C1E28" w:rsidP="009C1E28">
      <w:pPr>
        <w:keepNext/>
        <w:keepLines/>
        <w:spacing w:after="0"/>
        <w:ind w:left="567" w:hanging="567"/>
        <w:jc w:val="both"/>
        <w:rPr>
          <w:rFonts w:ascii="Times New Roman" w:hAnsi="Times New Roman" w:cs="Times New Roman"/>
          <w:b/>
        </w:rPr>
      </w:pPr>
      <w:r w:rsidRPr="000614BC">
        <w:rPr>
          <w:rFonts w:ascii="Times New Roman" w:hAnsi="Times New Roman" w:cs="Times New Roman"/>
          <w:b/>
        </w:rPr>
        <w:lastRenderedPageBreak/>
        <w:t>5.</w:t>
      </w:r>
      <w:r w:rsidRPr="000614BC">
        <w:rPr>
          <w:rFonts w:ascii="Times New Roman" w:hAnsi="Times New Roman" w:cs="Times New Roman"/>
          <w:b/>
        </w:rPr>
        <w:tab/>
        <w:t>FARMAKOLOŠKI PODACI</w:t>
      </w:r>
    </w:p>
    <w:p w:rsidR="009C1E28" w:rsidRPr="009C1E28" w:rsidRDefault="009C1E28" w:rsidP="009C1E28">
      <w:pPr>
        <w:keepNext/>
        <w:keepLines/>
        <w:spacing w:after="0"/>
        <w:jc w:val="both"/>
        <w:rPr>
          <w:rFonts w:ascii="Times New Roman" w:hAnsi="Times New Roman" w:cs="Times New Roman"/>
          <w:b/>
        </w:rPr>
      </w:pPr>
    </w:p>
    <w:p w:rsidR="009C1E28" w:rsidRPr="000614BC" w:rsidRDefault="009C1E28" w:rsidP="009C1E28">
      <w:pPr>
        <w:keepNext/>
        <w:keepLines/>
        <w:spacing w:after="0"/>
        <w:ind w:left="567" w:hanging="567"/>
        <w:jc w:val="both"/>
        <w:rPr>
          <w:rFonts w:ascii="Times New Roman" w:hAnsi="Times New Roman" w:cs="Times New Roman"/>
          <w:b/>
        </w:rPr>
      </w:pPr>
      <w:r w:rsidRPr="000614BC">
        <w:rPr>
          <w:rFonts w:ascii="Times New Roman" w:hAnsi="Times New Roman" w:cs="Times New Roman"/>
          <w:b/>
        </w:rPr>
        <w:t>5.1</w:t>
      </w:r>
      <w:r w:rsidRPr="000614BC">
        <w:rPr>
          <w:rFonts w:ascii="Times New Roman" w:hAnsi="Times New Roman" w:cs="Times New Roman"/>
          <w:b/>
        </w:rPr>
        <w:tab/>
        <w:t>Farmakodinamski podaci</w:t>
      </w:r>
    </w:p>
    <w:p w:rsidR="009C1E28" w:rsidRPr="009C1E28" w:rsidRDefault="009C1E28" w:rsidP="009C1E28">
      <w:pPr>
        <w:keepNext/>
        <w:keepLines/>
        <w:spacing w:after="0"/>
        <w:jc w:val="both"/>
        <w:rPr>
          <w:rFonts w:ascii="Times New Roman" w:hAnsi="Times New Roman" w:cs="Times New Roman"/>
          <w:b/>
        </w:rPr>
      </w:pP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 xml:space="preserve">Farmakoterapijska grupa: Antivirusni lijek direktnog dejstva </w:t>
      </w: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ATC kod: J05AP51</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keepNext/>
        <w:keepLines/>
        <w:spacing w:after="0"/>
        <w:jc w:val="both"/>
        <w:rPr>
          <w:rFonts w:ascii="Times New Roman" w:hAnsi="Times New Roman" w:cs="Times New Roman"/>
          <w:b/>
          <w:u w:val="single"/>
        </w:rPr>
      </w:pPr>
      <w:r w:rsidRPr="009C1E28">
        <w:rPr>
          <w:rFonts w:ascii="Times New Roman" w:hAnsi="Times New Roman" w:cs="Times New Roman"/>
          <w:u w:val="single"/>
        </w:rPr>
        <w:t>Mehanizam dejstva</w:t>
      </w: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 xml:space="preserve">Ledipasvir je inhibitor HCV-a usmjeren na protein HCV NS5A, koji je neophodan kako za replikaciju RNK, tako i za sklapanje viriona HCV-a. Biohemijska potvrda inhibicije NS5A ledipasvirom trenutno nije moguća, jer NS5A nema enzimsku funkciju. </w:t>
      </w:r>
      <w:r w:rsidRPr="009C1E28">
        <w:rPr>
          <w:rFonts w:ascii="Times New Roman" w:hAnsi="Times New Roman" w:cs="Times New Roman"/>
          <w:i/>
        </w:rPr>
        <w:t>In vitro</w:t>
      </w:r>
      <w:r w:rsidRPr="009C1E28">
        <w:rPr>
          <w:rFonts w:ascii="Times New Roman" w:hAnsi="Times New Roman" w:cs="Times New Roman"/>
        </w:rPr>
        <w:t xml:space="preserve"> ispitivanja selekcije rezistencije i unakrsne rezistencije pokazuju da je ledipasvir po načinu djelovanja usmjeren na NS5A.</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Sofosbuvir je pan-genotipski inhibitor HCV NS5B RNK-zavisne RNK polimeraze, koja je neophodna za replikaciju virusa. Sofosbuvir je nukleotidni prolijek iz kojeg intracelularnim metabolizmom nastaje farmakološki aktivni uridinu analogni trifosfat (GS</w:t>
      </w:r>
      <w:r w:rsidRPr="009C1E28">
        <w:rPr>
          <w:rFonts w:ascii="Times New Roman" w:hAnsi="Times New Roman" w:cs="Times New Roman"/>
        </w:rPr>
        <w:noBreakHyphen/>
        <w:t>461203), koji se može ugraditi u RNK HCV-a pomoću NS5B polimeraze i djeluje kao terminator lanca. GS</w:t>
      </w:r>
      <w:r w:rsidRPr="009C1E28">
        <w:rPr>
          <w:rFonts w:ascii="Times New Roman" w:hAnsi="Times New Roman" w:cs="Times New Roman"/>
        </w:rPr>
        <w:noBreakHyphen/>
        <w:t>461203 (aktivni metabolit sofosbuvira) nije inhibitor ni ljudskih DNK- i RNK-polimeraza, niti je inhibitor mitohondrijske RNK-polimeraze.</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keepNext/>
        <w:keepLines/>
        <w:spacing w:after="0"/>
        <w:jc w:val="both"/>
        <w:rPr>
          <w:rFonts w:ascii="Times New Roman" w:hAnsi="Times New Roman" w:cs="Times New Roman"/>
          <w:b/>
          <w:u w:val="single"/>
        </w:rPr>
      </w:pPr>
      <w:r w:rsidRPr="009C1E28">
        <w:rPr>
          <w:rFonts w:ascii="Times New Roman" w:hAnsi="Times New Roman" w:cs="Times New Roman"/>
          <w:u w:val="single"/>
        </w:rPr>
        <w:t>Antivirusno dejstvo</w:t>
      </w:r>
    </w:p>
    <w:p w:rsidR="009C1E28" w:rsidRDefault="009C1E28" w:rsidP="009C1E28">
      <w:pPr>
        <w:autoSpaceDE w:val="0"/>
        <w:autoSpaceDN w:val="0"/>
        <w:adjustRightInd w:val="0"/>
        <w:spacing w:after="0"/>
        <w:jc w:val="both"/>
        <w:rPr>
          <w:rFonts w:ascii="Times New Roman" w:hAnsi="Times New Roman" w:cs="Times New Roman"/>
        </w:rPr>
      </w:pPr>
      <w:r w:rsidRPr="009C1E28">
        <w:rPr>
          <w:rFonts w:ascii="Times New Roman" w:hAnsi="Times New Roman" w:cs="Times New Roman"/>
        </w:rPr>
        <w:t>Vrijednosti EC</w:t>
      </w:r>
      <w:r w:rsidRPr="009C1E28">
        <w:rPr>
          <w:rFonts w:ascii="Times New Roman" w:hAnsi="Times New Roman" w:cs="Times New Roman"/>
          <w:vertAlign w:val="subscript"/>
        </w:rPr>
        <w:t>50</w:t>
      </w:r>
      <w:r w:rsidRPr="009C1E28">
        <w:rPr>
          <w:rFonts w:ascii="Times New Roman" w:hAnsi="Times New Roman" w:cs="Times New Roman"/>
        </w:rPr>
        <w:t xml:space="preserve"> ledipasvira i sofosbuvira protiv replikona pune dužine ili himernih replikona koji kodiraju sekvence NS5A i NS5B iz kliničkih izolata navedene su u tabeli 7. Prisustvo 40% ljudskog seruma nije imalo efekta na anti</w:t>
      </w:r>
      <w:r w:rsidRPr="009C1E28">
        <w:rPr>
          <w:rFonts w:ascii="Times New Roman" w:hAnsi="Times New Roman" w:cs="Times New Roman"/>
        </w:rPr>
        <w:noBreakHyphen/>
        <w:t>HCV aktivnost sofosbuvira, ali je smanjilo anti</w:t>
      </w:r>
      <w:r w:rsidRPr="009C1E28">
        <w:rPr>
          <w:rFonts w:ascii="Times New Roman" w:hAnsi="Times New Roman" w:cs="Times New Roman"/>
        </w:rPr>
        <w:noBreakHyphen/>
        <w:t>HCV aktivnost ledipasvira 12 puta protiv replikona HCV-a genotipa 1a.</w:t>
      </w:r>
    </w:p>
    <w:p w:rsidR="000614BC" w:rsidRDefault="000614BC" w:rsidP="009C1E28">
      <w:pPr>
        <w:autoSpaceDE w:val="0"/>
        <w:autoSpaceDN w:val="0"/>
        <w:adjustRightInd w:val="0"/>
        <w:spacing w:after="0"/>
        <w:jc w:val="both"/>
        <w:rPr>
          <w:rFonts w:ascii="Times New Roman" w:hAnsi="Times New Roman" w:cs="Times New Roman"/>
        </w:rPr>
      </w:pPr>
    </w:p>
    <w:p w:rsidR="000614BC" w:rsidRPr="000614BC" w:rsidRDefault="000614BC" w:rsidP="009C1E28">
      <w:pPr>
        <w:autoSpaceDE w:val="0"/>
        <w:autoSpaceDN w:val="0"/>
        <w:adjustRightInd w:val="0"/>
        <w:spacing w:after="0"/>
        <w:jc w:val="both"/>
        <w:rPr>
          <w:rFonts w:ascii="Times New Roman" w:hAnsi="Times New Roman" w:cs="Times New Roman"/>
          <w:b/>
        </w:rPr>
      </w:pPr>
      <w:r w:rsidRPr="000614BC">
        <w:rPr>
          <w:rFonts w:ascii="Times New Roman" w:hAnsi="Times New Roman" w:cs="Times New Roman"/>
          <w:b/>
        </w:rPr>
        <w:t>Tabela 7: Aktivnost ledipasvira i sofosbuvira protiv himernih replikona</w:t>
      </w:r>
    </w:p>
    <w:p w:rsidR="009C1E28" w:rsidRPr="009C1E28" w:rsidRDefault="009C1E28" w:rsidP="009C1E28">
      <w:pPr>
        <w:keepNext/>
        <w:keepLines/>
        <w:autoSpaceDE w:val="0"/>
        <w:autoSpaceDN w:val="0"/>
        <w:adjustRightInd w:val="0"/>
        <w:spacing w:after="0"/>
        <w:jc w:val="both"/>
        <w:rPr>
          <w:rFonts w:ascii="Times New Roman" w:hAnsi="Times New Roman" w:cs="Times New Roman"/>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1984"/>
        <w:gridCol w:w="1843"/>
        <w:gridCol w:w="1985"/>
        <w:gridCol w:w="2296"/>
      </w:tblGrid>
      <w:tr w:rsidR="009C1E28" w:rsidRPr="009C1E28" w:rsidTr="00DB57CE">
        <w:trPr>
          <w:trHeight w:val="286"/>
        </w:trPr>
        <w:tc>
          <w:tcPr>
            <w:tcW w:w="1526" w:type="dxa"/>
            <w:vMerge w:val="restart"/>
          </w:tcPr>
          <w:p w:rsidR="009C1E28" w:rsidRPr="000614BC" w:rsidRDefault="009C1E28" w:rsidP="000614BC">
            <w:pPr>
              <w:keepNext/>
              <w:keepLines/>
              <w:spacing w:after="0"/>
              <w:jc w:val="both"/>
              <w:rPr>
                <w:rFonts w:ascii="Times New Roman" w:hAnsi="Times New Roman" w:cs="Times New Roman"/>
                <w:b/>
              </w:rPr>
            </w:pPr>
            <w:r w:rsidRPr="000614BC">
              <w:rPr>
                <w:rFonts w:ascii="Times New Roman" w:hAnsi="Times New Roman" w:cs="Times New Roman"/>
                <w:b/>
              </w:rPr>
              <w:t>Replikoni genotipa</w:t>
            </w:r>
          </w:p>
        </w:tc>
        <w:tc>
          <w:tcPr>
            <w:tcW w:w="3827" w:type="dxa"/>
            <w:gridSpan w:val="2"/>
          </w:tcPr>
          <w:p w:rsidR="009C1E28" w:rsidRPr="00D95AD4" w:rsidRDefault="009C1E28" w:rsidP="000614BC">
            <w:pPr>
              <w:keepNext/>
              <w:keepLines/>
              <w:spacing w:after="0"/>
              <w:jc w:val="both"/>
              <w:rPr>
                <w:rFonts w:ascii="Times New Roman" w:hAnsi="Times New Roman" w:cs="Times New Roman"/>
                <w:b/>
              </w:rPr>
            </w:pPr>
            <w:r w:rsidRPr="00D95AD4">
              <w:rPr>
                <w:rFonts w:ascii="Times New Roman" w:hAnsi="Times New Roman" w:cs="Times New Roman"/>
                <w:b/>
              </w:rPr>
              <w:t>Aktivnost ledipasvira (EC</w:t>
            </w:r>
            <w:r w:rsidRPr="00D95AD4">
              <w:rPr>
                <w:rFonts w:ascii="Times New Roman" w:hAnsi="Times New Roman" w:cs="Times New Roman"/>
                <w:b/>
                <w:vertAlign w:val="subscript"/>
              </w:rPr>
              <w:t>50</w:t>
            </w:r>
            <w:r w:rsidRPr="00D95AD4">
              <w:rPr>
                <w:rFonts w:ascii="Times New Roman" w:hAnsi="Times New Roman" w:cs="Times New Roman"/>
                <w:b/>
              </w:rPr>
              <w:t>, nM)</w:t>
            </w:r>
          </w:p>
        </w:tc>
        <w:tc>
          <w:tcPr>
            <w:tcW w:w="4281" w:type="dxa"/>
            <w:gridSpan w:val="2"/>
          </w:tcPr>
          <w:p w:rsidR="009C1E28" w:rsidRPr="00D95AD4" w:rsidRDefault="009C1E28" w:rsidP="000614BC">
            <w:pPr>
              <w:keepNext/>
              <w:keepLines/>
              <w:spacing w:after="0"/>
              <w:jc w:val="both"/>
              <w:rPr>
                <w:rFonts w:ascii="Times New Roman" w:hAnsi="Times New Roman" w:cs="Times New Roman"/>
                <w:b/>
              </w:rPr>
            </w:pPr>
            <w:r w:rsidRPr="00D95AD4">
              <w:rPr>
                <w:rFonts w:ascii="Times New Roman" w:hAnsi="Times New Roman" w:cs="Times New Roman"/>
                <w:b/>
              </w:rPr>
              <w:t>Aktivnost sofosbuvira (EC</w:t>
            </w:r>
            <w:r w:rsidRPr="00D95AD4">
              <w:rPr>
                <w:rFonts w:ascii="Times New Roman" w:hAnsi="Times New Roman" w:cs="Times New Roman"/>
                <w:b/>
                <w:vertAlign w:val="subscript"/>
              </w:rPr>
              <w:t>50</w:t>
            </w:r>
            <w:r w:rsidRPr="00D95AD4">
              <w:rPr>
                <w:rFonts w:ascii="Times New Roman" w:hAnsi="Times New Roman" w:cs="Times New Roman"/>
                <w:b/>
              </w:rPr>
              <w:t>, nM)</w:t>
            </w:r>
          </w:p>
        </w:tc>
      </w:tr>
      <w:tr w:rsidR="009C1E28" w:rsidRPr="009C1E28" w:rsidTr="00DB57CE">
        <w:tc>
          <w:tcPr>
            <w:tcW w:w="1526" w:type="dxa"/>
            <w:vMerge/>
          </w:tcPr>
          <w:p w:rsidR="009C1E28" w:rsidRPr="009C1E28" w:rsidRDefault="009C1E28" w:rsidP="000614BC">
            <w:pPr>
              <w:keepNext/>
              <w:keepLines/>
              <w:spacing w:after="0"/>
              <w:jc w:val="both"/>
              <w:rPr>
                <w:rFonts w:ascii="Times New Roman" w:hAnsi="Times New Roman" w:cs="Times New Roman"/>
              </w:rPr>
            </w:pPr>
          </w:p>
        </w:tc>
        <w:tc>
          <w:tcPr>
            <w:tcW w:w="1984" w:type="dxa"/>
          </w:tcPr>
          <w:p w:rsidR="009C1E28" w:rsidRPr="00D95AD4" w:rsidRDefault="009C1E28" w:rsidP="000614BC">
            <w:pPr>
              <w:keepNext/>
              <w:keepLines/>
              <w:spacing w:after="0"/>
              <w:jc w:val="both"/>
              <w:rPr>
                <w:rFonts w:ascii="Times New Roman" w:hAnsi="Times New Roman" w:cs="Times New Roman"/>
                <w:b/>
              </w:rPr>
            </w:pPr>
            <w:r w:rsidRPr="00D95AD4">
              <w:rPr>
                <w:rFonts w:ascii="Times New Roman" w:hAnsi="Times New Roman" w:cs="Times New Roman"/>
                <w:b/>
              </w:rPr>
              <w:t>Stabilni replikoni</w:t>
            </w:r>
          </w:p>
        </w:tc>
        <w:tc>
          <w:tcPr>
            <w:tcW w:w="1843" w:type="dxa"/>
          </w:tcPr>
          <w:p w:rsidR="009C1E28" w:rsidRPr="00D95AD4" w:rsidRDefault="009C1E28" w:rsidP="000614BC">
            <w:pPr>
              <w:keepNext/>
              <w:keepLines/>
              <w:spacing w:after="0"/>
              <w:jc w:val="both"/>
              <w:rPr>
                <w:rFonts w:ascii="Times New Roman" w:hAnsi="Times New Roman" w:cs="Times New Roman"/>
                <w:b/>
              </w:rPr>
            </w:pPr>
            <w:r w:rsidRPr="00D95AD4">
              <w:rPr>
                <w:rFonts w:ascii="Times New Roman" w:hAnsi="Times New Roman" w:cs="Times New Roman"/>
                <w:b/>
              </w:rPr>
              <w:t>NS5A tranzitorni replikoni</w:t>
            </w:r>
          </w:p>
          <w:p w:rsidR="009C1E28" w:rsidRPr="009C1E28" w:rsidRDefault="009C1E28" w:rsidP="000614BC">
            <w:pPr>
              <w:keepNext/>
              <w:keepLines/>
              <w:spacing w:after="0"/>
              <w:jc w:val="both"/>
              <w:rPr>
                <w:rFonts w:ascii="Times New Roman" w:hAnsi="Times New Roman" w:cs="Times New Roman"/>
              </w:rPr>
            </w:pPr>
            <w:r w:rsidRPr="00D95AD4">
              <w:rPr>
                <w:rFonts w:ascii="Times New Roman" w:hAnsi="Times New Roman" w:cs="Times New Roman"/>
                <w:b/>
              </w:rPr>
              <w:t>Medijana (opseg)</w:t>
            </w:r>
            <w:r w:rsidRPr="00D95AD4">
              <w:rPr>
                <w:rFonts w:ascii="Times New Roman" w:hAnsi="Times New Roman" w:cs="Times New Roman"/>
                <w:b/>
                <w:vertAlign w:val="superscript"/>
              </w:rPr>
              <w:t>a</w:t>
            </w:r>
          </w:p>
        </w:tc>
        <w:tc>
          <w:tcPr>
            <w:tcW w:w="1985" w:type="dxa"/>
          </w:tcPr>
          <w:p w:rsidR="009C1E28" w:rsidRPr="00D95AD4" w:rsidRDefault="009C1E28" w:rsidP="000614BC">
            <w:pPr>
              <w:keepNext/>
              <w:keepLines/>
              <w:spacing w:after="0"/>
              <w:jc w:val="both"/>
              <w:rPr>
                <w:rFonts w:ascii="Times New Roman" w:hAnsi="Times New Roman" w:cs="Times New Roman"/>
                <w:b/>
              </w:rPr>
            </w:pPr>
            <w:r w:rsidRPr="00D95AD4">
              <w:rPr>
                <w:rFonts w:ascii="Times New Roman" w:hAnsi="Times New Roman" w:cs="Times New Roman"/>
                <w:b/>
              </w:rPr>
              <w:t>Stabilni replikoni</w:t>
            </w:r>
          </w:p>
        </w:tc>
        <w:tc>
          <w:tcPr>
            <w:tcW w:w="2296" w:type="dxa"/>
          </w:tcPr>
          <w:p w:rsidR="009C1E28" w:rsidRPr="00D95AD4" w:rsidRDefault="009C1E28" w:rsidP="00DB57CE">
            <w:pPr>
              <w:keepNext/>
              <w:keepLines/>
              <w:spacing w:after="0"/>
              <w:rPr>
                <w:rFonts w:ascii="Times New Roman" w:hAnsi="Times New Roman" w:cs="Times New Roman"/>
                <w:b/>
              </w:rPr>
            </w:pPr>
            <w:r w:rsidRPr="00D95AD4">
              <w:rPr>
                <w:rFonts w:ascii="Times New Roman" w:hAnsi="Times New Roman" w:cs="Times New Roman"/>
                <w:b/>
              </w:rPr>
              <w:t>NS5B tranzitorni replikoni</w:t>
            </w:r>
          </w:p>
          <w:p w:rsidR="009C1E28" w:rsidRPr="009C1E28" w:rsidRDefault="009C1E28" w:rsidP="00DB57CE">
            <w:pPr>
              <w:keepNext/>
              <w:keepLines/>
              <w:spacing w:after="0"/>
              <w:rPr>
                <w:rFonts w:ascii="Times New Roman" w:hAnsi="Times New Roman" w:cs="Times New Roman"/>
              </w:rPr>
            </w:pPr>
            <w:r w:rsidRPr="00D95AD4">
              <w:rPr>
                <w:rFonts w:ascii="Times New Roman" w:hAnsi="Times New Roman" w:cs="Times New Roman"/>
                <w:b/>
              </w:rPr>
              <w:t>Medijana (opseg)</w:t>
            </w:r>
            <w:r w:rsidRPr="00D95AD4">
              <w:rPr>
                <w:rFonts w:ascii="Times New Roman" w:hAnsi="Times New Roman" w:cs="Times New Roman"/>
                <w:b/>
                <w:vertAlign w:val="superscript"/>
              </w:rPr>
              <w:t>a</w:t>
            </w:r>
          </w:p>
        </w:tc>
      </w:tr>
      <w:tr w:rsidR="009C1E28" w:rsidRPr="009C1E28" w:rsidTr="00DB57CE">
        <w:tc>
          <w:tcPr>
            <w:tcW w:w="1526" w:type="dxa"/>
          </w:tcPr>
          <w:p w:rsidR="009C1E28" w:rsidRPr="009C1E28" w:rsidRDefault="009C1E28" w:rsidP="000614BC">
            <w:pPr>
              <w:keepNext/>
              <w:keepLines/>
              <w:spacing w:after="0"/>
              <w:jc w:val="both"/>
              <w:rPr>
                <w:rFonts w:ascii="Times New Roman" w:hAnsi="Times New Roman" w:cs="Times New Roman"/>
                <w:b/>
              </w:rPr>
            </w:pPr>
            <w:r w:rsidRPr="009C1E28">
              <w:rPr>
                <w:rFonts w:ascii="Times New Roman" w:hAnsi="Times New Roman" w:cs="Times New Roman"/>
              </w:rPr>
              <w:t>Genotip 1a</w:t>
            </w:r>
          </w:p>
        </w:tc>
        <w:tc>
          <w:tcPr>
            <w:tcW w:w="1984" w:type="dxa"/>
          </w:tcPr>
          <w:p w:rsidR="009C1E28" w:rsidRPr="009C1E28" w:rsidRDefault="009C1E28" w:rsidP="000614BC">
            <w:pPr>
              <w:keepNext/>
              <w:keepLines/>
              <w:spacing w:after="0"/>
              <w:jc w:val="both"/>
              <w:rPr>
                <w:rFonts w:ascii="Times New Roman" w:hAnsi="Times New Roman" w:cs="Times New Roman"/>
                <w:b/>
              </w:rPr>
            </w:pPr>
            <w:r w:rsidRPr="009C1E28">
              <w:rPr>
                <w:rFonts w:ascii="Times New Roman" w:hAnsi="Times New Roman" w:cs="Times New Roman"/>
              </w:rPr>
              <w:t>0,031</w:t>
            </w:r>
          </w:p>
        </w:tc>
        <w:tc>
          <w:tcPr>
            <w:tcW w:w="1843" w:type="dxa"/>
          </w:tcPr>
          <w:p w:rsidR="009C1E28" w:rsidRPr="009C1E28" w:rsidRDefault="009C1E28" w:rsidP="000614BC">
            <w:pPr>
              <w:keepNext/>
              <w:keepLines/>
              <w:spacing w:after="0"/>
              <w:jc w:val="both"/>
              <w:rPr>
                <w:rFonts w:ascii="Times New Roman" w:hAnsi="Times New Roman" w:cs="Times New Roman"/>
                <w:b/>
              </w:rPr>
            </w:pPr>
            <w:r w:rsidRPr="009C1E28">
              <w:rPr>
                <w:rFonts w:ascii="Times New Roman" w:hAnsi="Times New Roman" w:cs="Times New Roman"/>
              </w:rPr>
              <w:t>0,018 (0,009</w:t>
            </w:r>
            <w:r w:rsidRPr="009C1E28">
              <w:rPr>
                <w:rFonts w:ascii="Times New Roman" w:hAnsi="Times New Roman" w:cs="Times New Roman"/>
              </w:rPr>
              <w:noBreakHyphen/>
              <w:t>0,085)</w:t>
            </w:r>
          </w:p>
        </w:tc>
        <w:tc>
          <w:tcPr>
            <w:tcW w:w="1985" w:type="dxa"/>
          </w:tcPr>
          <w:p w:rsidR="009C1E28" w:rsidRPr="009C1E28" w:rsidRDefault="009C1E28" w:rsidP="000614BC">
            <w:pPr>
              <w:keepNext/>
              <w:keepLines/>
              <w:spacing w:after="0"/>
              <w:jc w:val="both"/>
              <w:rPr>
                <w:rFonts w:ascii="Times New Roman" w:hAnsi="Times New Roman" w:cs="Times New Roman"/>
                <w:b/>
              </w:rPr>
            </w:pPr>
            <w:r w:rsidRPr="009C1E28">
              <w:rPr>
                <w:rFonts w:ascii="Times New Roman" w:hAnsi="Times New Roman" w:cs="Times New Roman"/>
              </w:rPr>
              <w:t>40</w:t>
            </w:r>
          </w:p>
        </w:tc>
        <w:tc>
          <w:tcPr>
            <w:tcW w:w="2296" w:type="dxa"/>
          </w:tcPr>
          <w:p w:rsidR="009C1E28" w:rsidRPr="009C1E28" w:rsidRDefault="009C1E28" w:rsidP="000614BC">
            <w:pPr>
              <w:keepNext/>
              <w:keepLines/>
              <w:spacing w:after="0"/>
              <w:jc w:val="both"/>
              <w:rPr>
                <w:rFonts w:ascii="Times New Roman" w:hAnsi="Times New Roman" w:cs="Times New Roman"/>
                <w:b/>
              </w:rPr>
            </w:pPr>
            <w:r w:rsidRPr="009C1E28">
              <w:rPr>
                <w:rFonts w:ascii="Times New Roman" w:hAnsi="Times New Roman" w:cs="Times New Roman"/>
              </w:rPr>
              <w:t>62 (29</w:t>
            </w:r>
            <w:r w:rsidRPr="009C1E28">
              <w:rPr>
                <w:rFonts w:ascii="Times New Roman" w:hAnsi="Times New Roman" w:cs="Times New Roman"/>
              </w:rPr>
              <w:noBreakHyphen/>
              <w:t>128)</w:t>
            </w:r>
          </w:p>
        </w:tc>
      </w:tr>
      <w:tr w:rsidR="009C1E28" w:rsidRPr="009C1E28" w:rsidTr="00DB57CE">
        <w:tc>
          <w:tcPr>
            <w:tcW w:w="1526" w:type="dxa"/>
          </w:tcPr>
          <w:p w:rsidR="009C1E28" w:rsidRPr="009C1E28" w:rsidRDefault="009C1E28" w:rsidP="000614BC">
            <w:pPr>
              <w:keepNext/>
              <w:keepLines/>
              <w:spacing w:after="0"/>
              <w:jc w:val="both"/>
              <w:rPr>
                <w:rFonts w:ascii="Times New Roman" w:hAnsi="Times New Roman" w:cs="Times New Roman"/>
                <w:b/>
              </w:rPr>
            </w:pPr>
            <w:r w:rsidRPr="009C1E28">
              <w:rPr>
                <w:rFonts w:ascii="Times New Roman" w:hAnsi="Times New Roman" w:cs="Times New Roman"/>
              </w:rPr>
              <w:t>Genotip 1b</w:t>
            </w:r>
          </w:p>
        </w:tc>
        <w:tc>
          <w:tcPr>
            <w:tcW w:w="1984" w:type="dxa"/>
          </w:tcPr>
          <w:p w:rsidR="009C1E28" w:rsidRPr="009C1E28" w:rsidRDefault="009C1E28" w:rsidP="000614BC">
            <w:pPr>
              <w:keepNext/>
              <w:keepLines/>
              <w:spacing w:after="0"/>
              <w:jc w:val="both"/>
              <w:rPr>
                <w:rFonts w:ascii="Times New Roman" w:hAnsi="Times New Roman" w:cs="Times New Roman"/>
                <w:b/>
              </w:rPr>
            </w:pPr>
            <w:r w:rsidRPr="009C1E28">
              <w:rPr>
                <w:rFonts w:ascii="Times New Roman" w:hAnsi="Times New Roman" w:cs="Times New Roman"/>
              </w:rPr>
              <w:t>0,004</w:t>
            </w:r>
          </w:p>
        </w:tc>
        <w:tc>
          <w:tcPr>
            <w:tcW w:w="1843" w:type="dxa"/>
          </w:tcPr>
          <w:p w:rsidR="009C1E28" w:rsidRPr="009C1E28" w:rsidRDefault="009C1E28" w:rsidP="000614BC">
            <w:pPr>
              <w:keepNext/>
              <w:keepLines/>
              <w:spacing w:after="0"/>
              <w:jc w:val="both"/>
              <w:rPr>
                <w:rFonts w:ascii="Times New Roman" w:hAnsi="Times New Roman" w:cs="Times New Roman"/>
                <w:b/>
              </w:rPr>
            </w:pPr>
            <w:r w:rsidRPr="009C1E28">
              <w:rPr>
                <w:rFonts w:ascii="Times New Roman" w:hAnsi="Times New Roman" w:cs="Times New Roman"/>
              </w:rPr>
              <w:t>0,006 (0,004</w:t>
            </w:r>
            <w:r w:rsidRPr="009C1E28">
              <w:rPr>
                <w:rFonts w:ascii="Times New Roman" w:hAnsi="Times New Roman" w:cs="Times New Roman"/>
              </w:rPr>
              <w:noBreakHyphen/>
              <w:t>0,007)</w:t>
            </w:r>
          </w:p>
        </w:tc>
        <w:tc>
          <w:tcPr>
            <w:tcW w:w="1985" w:type="dxa"/>
          </w:tcPr>
          <w:p w:rsidR="009C1E28" w:rsidRPr="009C1E28" w:rsidRDefault="009C1E28" w:rsidP="000614BC">
            <w:pPr>
              <w:keepNext/>
              <w:keepLines/>
              <w:spacing w:after="0"/>
              <w:jc w:val="both"/>
              <w:rPr>
                <w:rFonts w:ascii="Times New Roman" w:hAnsi="Times New Roman" w:cs="Times New Roman"/>
                <w:b/>
              </w:rPr>
            </w:pPr>
            <w:r w:rsidRPr="009C1E28">
              <w:rPr>
                <w:rFonts w:ascii="Times New Roman" w:hAnsi="Times New Roman" w:cs="Times New Roman"/>
              </w:rPr>
              <w:t>110</w:t>
            </w:r>
          </w:p>
        </w:tc>
        <w:tc>
          <w:tcPr>
            <w:tcW w:w="2296" w:type="dxa"/>
          </w:tcPr>
          <w:p w:rsidR="009C1E28" w:rsidRPr="009C1E28" w:rsidRDefault="009C1E28" w:rsidP="000614BC">
            <w:pPr>
              <w:keepNext/>
              <w:keepLines/>
              <w:spacing w:after="0"/>
              <w:jc w:val="both"/>
              <w:rPr>
                <w:rFonts w:ascii="Times New Roman" w:hAnsi="Times New Roman" w:cs="Times New Roman"/>
                <w:b/>
              </w:rPr>
            </w:pPr>
            <w:r w:rsidRPr="009C1E28">
              <w:rPr>
                <w:rFonts w:ascii="Times New Roman" w:hAnsi="Times New Roman" w:cs="Times New Roman"/>
              </w:rPr>
              <w:t>102 (45</w:t>
            </w:r>
            <w:r w:rsidRPr="009C1E28">
              <w:rPr>
                <w:rFonts w:ascii="Times New Roman" w:hAnsi="Times New Roman" w:cs="Times New Roman"/>
              </w:rPr>
              <w:noBreakHyphen/>
              <w:t>170)</w:t>
            </w:r>
          </w:p>
        </w:tc>
      </w:tr>
      <w:tr w:rsidR="009C1E28" w:rsidRPr="009C1E28" w:rsidTr="00DB57CE">
        <w:tc>
          <w:tcPr>
            <w:tcW w:w="1526" w:type="dxa"/>
          </w:tcPr>
          <w:p w:rsidR="009C1E28" w:rsidRPr="009C1E28" w:rsidRDefault="009C1E28" w:rsidP="000614BC">
            <w:pPr>
              <w:keepNext/>
              <w:keepLines/>
              <w:spacing w:after="0"/>
              <w:jc w:val="both"/>
              <w:rPr>
                <w:rFonts w:ascii="Times New Roman" w:hAnsi="Times New Roman" w:cs="Times New Roman"/>
                <w:b/>
              </w:rPr>
            </w:pPr>
            <w:r w:rsidRPr="009C1E28">
              <w:rPr>
                <w:rFonts w:ascii="Times New Roman" w:hAnsi="Times New Roman" w:cs="Times New Roman"/>
              </w:rPr>
              <w:t>Genotip 2a</w:t>
            </w:r>
          </w:p>
        </w:tc>
        <w:tc>
          <w:tcPr>
            <w:tcW w:w="1984" w:type="dxa"/>
          </w:tcPr>
          <w:p w:rsidR="009C1E28" w:rsidRPr="009C1E28" w:rsidRDefault="009C1E28" w:rsidP="000614BC">
            <w:pPr>
              <w:keepNext/>
              <w:keepLines/>
              <w:spacing w:after="0"/>
              <w:jc w:val="both"/>
              <w:rPr>
                <w:rFonts w:ascii="Times New Roman" w:hAnsi="Times New Roman" w:cs="Times New Roman"/>
                <w:b/>
              </w:rPr>
            </w:pPr>
            <w:r w:rsidRPr="009C1E28">
              <w:rPr>
                <w:rFonts w:ascii="Times New Roman" w:hAnsi="Times New Roman" w:cs="Times New Roman"/>
              </w:rPr>
              <w:t>21</w:t>
            </w:r>
            <w:r w:rsidRPr="009C1E28">
              <w:rPr>
                <w:rFonts w:ascii="Times New Roman" w:hAnsi="Times New Roman" w:cs="Times New Roman"/>
              </w:rPr>
              <w:noBreakHyphen/>
              <w:t>249</w:t>
            </w:r>
          </w:p>
        </w:tc>
        <w:tc>
          <w:tcPr>
            <w:tcW w:w="1843" w:type="dxa"/>
          </w:tcPr>
          <w:p w:rsidR="009C1E28" w:rsidRPr="009C1E28" w:rsidRDefault="009C1E28" w:rsidP="000614BC">
            <w:pPr>
              <w:keepNext/>
              <w:keepLines/>
              <w:spacing w:after="0"/>
              <w:jc w:val="both"/>
              <w:rPr>
                <w:rFonts w:ascii="Times New Roman" w:hAnsi="Times New Roman" w:cs="Times New Roman"/>
                <w:b/>
              </w:rPr>
            </w:pPr>
            <w:r w:rsidRPr="009C1E28">
              <w:rPr>
                <w:rFonts w:ascii="Times New Roman" w:hAnsi="Times New Roman" w:cs="Times New Roman"/>
              </w:rPr>
              <w:t>-</w:t>
            </w:r>
          </w:p>
        </w:tc>
        <w:tc>
          <w:tcPr>
            <w:tcW w:w="1985" w:type="dxa"/>
          </w:tcPr>
          <w:p w:rsidR="009C1E28" w:rsidRPr="009C1E28" w:rsidRDefault="009C1E28" w:rsidP="000614BC">
            <w:pPr>
              <w:keepNext/>
              <w:keepLines/>
              <w:spacing w:after="0"/>
              <w:jc w:val="both"/>
              <w:rPr>
                <w:rFonts w:ascii="Times New Roman" w:hAnsi="Times New Roman" w:cs="Times New Roman"/>
                <w:b/>
              </w:rPr>
            </w:pPr>
            <w:r w:rsidRPr="009C1E28">
              <w:rPr>
                <w:rFonts w:ascii="Times New Roman" w:hAnsi="Times New Roman" w:cs="Times New Roman"/>
              </w:rPr>
              <w:t>50</w:t>
            </w:r>
          </w:p>
        </w:tc>
        <w:tc>
          <w:tcPr>
            <w:tcW w:w="2296" w:type="dxa"/>
          </w:tcPr>
          <w:p w:rsidR="009C1E28" w:rsidRPr="009C1E28" w:rsidRDefault="009C1E28" w:rsidP="000614BC">
            <w:pPr>
              <w:keepNext/>
              <w:keepLines/>
              <w:spacing w:after="0"/>
              <w:jc w:val="both"/>
              <w:rPr>
                <w:rFonts w:ascii="Times New Roman" w:hAnsi="Times New Roman" w:cs="Times New Roman"/>
                <w:b/>
              </w:rPr>
            </w:pPr>
            <w:r w:rsidRPr="009C1E28">
              <w:rPr>
                <w:rFonts w:ascii="Times New Roman" w:hAnsi="Times New Roman" w:cs="Times New Roman"/>
              </w:rPr>
              <w:t>29 (14</w:t>
            </w:r>
            <w:r w:rsidRPr="009C1E28">
              <w:rPr>
                <w:rFonts w:ascii="Times New Roman" w:hAnsi="Times New Roman" w:cs="Times New Roman"/>
              </w:rPr>
              <w:noBreakHyphen/>
              <w:t>81)</w:t>
            </w:r>
          </w:p>
        </w:tc>
      </w:tr>
      <w:tr w:rsidR="009C1E28" w:rsidRPr="009C1E28" w:rsidTr="00DB57CE">
        <w:tc>
          <w:tcPr>
            <w:tcW w:w="1526" w:type="dxa"/>
          </w:tcPr>
          <w:p w:rsidR="009C1E28" w:rsidRPr="009C1E28" w:rsidRDefault="009C1E28" w:rsidP="000614BC">
            <w:pPr>
              <w:keepNext/>
              <w:keepLines/>
              <w:spacing w:after="0"/>
              <w:jc w:val="both"/>
              <w:rPr>
                <w:rFonts w:ascii="Times New Roman" w:hAnsi="Times New Roman" w:cs="Times New Roman"/>
                <w:b/>
              </w:rPr>
            </w:pPr>
            <w:r w:rsidRPr="009C1E28">
              <w:rPr>
                <w:rFonts w:ascii="Times New Roman" w:hAnsi="Times New Roman" w:cs="Times New Roman"/>
              </w:rPr>
              <w:t>Genotip 2b</w:t>
            </w:r>
          </w:p>
        </w:tc>
        <w:tc>
          <w:tcPr>
            <w:tcW w:w="1984" w:type="dxa"/>
          </w:tcPr>
          <w:p w:rsidR="009C1E28" w:rsidRPr="009C1E28" w:rsidRDefault="009C1E28" w:rsidP="000614BC">
            <w:pPr>
              <w:keepNext/>
              <w:keepLines/>
              <w:spacing w:after="0"/>
              <w:jc w:val="both"/>
              <w:rPr>
                <w:rFonts w:ascii="Times New Roman" w:hAnsi="Times New Roman" w:cs="Times New Roman"/>
                <w:b/>
              </w:rPr>
            </w:pPr>
            <w:r w:rsidRPr="009C1E28">
              <w:rPr>
                <w:rFonts w:ascii="Times New Roman" w:hAnsi="Times New Roman" w:cs="Times New Roman"/>
              </w:rPr>
              <w:t>16</w:t>
            </w:r>
            <w:r w:rsidRPr="009C1E28">
              <w:rPr>
                <w:rFonts w:ascii="Times New Roman" w:hAnsi="Times New Roman" w:cs="Times New Roman"/>
              </w:rPr>
              <w:noBreakHyphen/>
              <w:t>530</w:t>
            </w:r>
            <w:r w:rsidRPr="009C1E28">
              <w:rPr>
                <w:rFonts w:ascii="Times New Roman" w:hAnsi="Times New Roman" w:cs="Times New Roman"/>
                <w:vertAlign w:val="superscript"/>
              </w:rPr>
              <w:t>b</w:t>
            </w:r>
          </w:p>
        </w:tc>
        <w:tc>
          <w:tcPr>
            <w:tcW w:w="1843" w:type="dxa"/>
          </w:tcPr>
          <w:p w:rsidR="009C1E28" w:rsidRPr="009C1E28" w:rsidRDefault="009C1E28" w:rsidP="000614BC">
            <w:pPr>
              <w:keepNext/>
              <w:keepLines/>
              <w:spacing w:after="0"/>
              <w:jc w:val="both"/>
              <w:rPr>
                <w:rFonts w:ascii="Times New Roman" w:hAnsi="Times New Roman" w:cs="Times New Roman"/>
                <w:b/>
              </w:rPr>
            </w:pPr>
            <w:r w:rsidRPr="009C1E28">
              <w:rPr>
                <w:rFonts w:ascii="Times New Roman" w:hAnsi="Times New Roman" w:cs="Times New Roman"/>
              </w:rPr>
              <w:t>-</w:t>
            </w:r>
          </w:p>
        </w:tc>
        <w:tc>
          <w:tcPr>
            <w:tcW w:w="1985" w:type="dxa"/>
          </w:tcPr>
          <w:p w:rsidR="009C1E28" w:rsidRPr="009C1E28" w:rsidRDefault="009C1E28" w:rsidP="000614BC">
            <w:pPr>
              <w:keepNext/>
              <w:keepLines/>
              <w:spacing w:after="0"/>
              <w:jc w:val="both"/>
              <w:rPr>
                <w:rFonts w:ascii="Times New Roman" w:hAnsi="Times New Roman" w:cs="Times New Roman"/>
                <w:b/>
              </w:rPr>
            </w:pPr>
            <w:r w:rsidRPr="009C1E28">
              <w:rPr>
                <w:rFonts w:ascii="Times New Roman" w:hAnsi="Times New Roman" w:cs="Times New Roman"/>
              </w:rPr>
              <w:t>15</w:t>
            </w:r>
            <w:r w:rsidRPr="009C1E28">
              <w:rPr>
                <w:rFonts w:ascii="Times New Roman" w:hAnsi="Times New Roman" w:cs="Times New Roman"/>
                <w:vertAlign w:val="superscript"/>
              </w:rPr>
              <w:t>b</w:t>
            </w:r>
          </w:p>
        </w:tc>
        <w:tc>
          <w:tcPr>
            <w:tcW w:w="2296" w:type="dxa"/>
          </w:tcPr>
          <w:p w:rsidR="009C1E28" w:rsidRPr="009C1E28" w:rsidRDefault="009C1E28" w:rsidP="000614BC">
            <w:pPr>
              <w:keepNext/>
              <w:keepLines/>
              <w:spacing w:after="0"/>
              <w:jc w:val="both"/>
              <w:rPr>
                <w:rFonts w:ascii="Times New Roman" w:hAnsi="Times New Roman" w:cs="Times New Roman"/>
                <w:b/>
              </w:rPr>
            </w:pPr>
            <w:r w:rsidRPr="009C1E28">
              <w:rPr>
                <w:rFonts w:ascii="Times New Roman" w:hAnsi="Times New Roman" w:cs="Times New Roman"/>
              </w:rPr>
              <w:t>-</w:t>
            </w:r>
          </w:p>
        </w:tc>
      </w:tr>
      <w:tr w:rsidR="009C1E28" w:rsidRPr="009C1E28" w:rsidTr="00DB57CE">
        <w:tc>
          <w:tcPr>
            <w:tcW w:w="1526" w:type="dxa"/>
          </w:tcPr>
          <w:p w:rsidR="009C1E28" w:rsidRPr="009C1E28" w:rsidRDefault="009C1E28" w:rsidP="000614BC">
            <w:pPr>
              <w:keepNext/>
              <w:keepLines/>
              <w:spacing w:after="0"/>
              <w:jc w:val="both"/>
              <w:rPr>
                <w:rFonts w:ascii="Times New Roman" w:hAnsi="Times New Roman" w:cs="Times New Roman"/>
                <w:b/>
              </w:rPr>
            </w:pPr>
            <w:r w:rsidRPr="009C1E28">
              <w:rPr>
                <w:rFonts w:ascii="Times New Roman" w:hAnsi="Times New Roman" w:cs="Times New Roman"/>
              </w:rPr>
              <w:t>Genotip 3a</w:t>
            </w:r>
          </w:p>
        </w:tc>
        <w:tc>
          <w:tcPr>
            <w:tcW w:w="1984" w:type="dxa"/>
          </w:tcPr>
          <w:p w:rsidR="009C1E28" w:rsidRPr="009C1E28" w:rsidRDefault="009C1E28" w:rsidP="000614BC">
            <w:pPr>
              <w:keepNext/>
              <w:keepLines/>
              <w:spacing w:after="0"/>
              <w:jc w:val="both"/>
              <w:rPr>
                <w:rFonts w:ascii="Times New Roman" w:hAnsi="Times New Roman" w:cs="Times New Roman"/>
                <w:b/>
              </w:rPr>
            </w:pPr>
            <w:r w:rsidRPr="009C1E28">
              <w:rPr>
                <w:rFonts w:ascii="Times New Roman" w:hAnsi="Times New Roman" w:cs="Times New Roman"/>
              </w:rPr>
              <w:t>168</w:t>
            </w:r>
          </w:p>
        </w:tc>
        <w:tc>
          <w:tcPr>
            <w:tcW w:w="1843" w:type="dxa"/>
          </w:tcPr>
          <w:p w:rsidR="009C1E28" w:rsidRPr="009C1E28" w:rsidRDefault="009C1E28" w:rsidP="000614BC">
            <w:pPr>
              <w:keepNext/>
              <w:keepLines/>
              <w:spacing w:after="0"/>
              <w:jc w:val="both"/>
              <w:rPr>
                <w:rFonts w:ascii="Times New Roman" w:hAnsi="Times New Roman" w:cs="Times New Roman"/>
                <w:b/>
              </w:rPr>
            </w:pPr>
            <w:r w:rsidRPr="009C1E28">
              <w:rPr>
                <w:rFonts w:ascii="Times New Roman" w:hAnsi="Times New Roman" w:cs="Times New Roman"/>
              </w:rPr>
              <w:t>-</w:t>
            </w:r>
          </w:p>
        </w:tc>
        <w:tc>
          <w:tcPr>
            <w:tcW w:w="1985" w:type="dxa"/>
          </w:tcPr>
          <w:p w:rsidR="009C1E28" w:rsidRPr="009C1E28" w:rsidRDefault="009C1E28" w:rsidP="000614BC">
            <w:pPr>
              <w:keepNext/>
              <w:keepLines/>
              <w:spacing w:after="0"/>
              <w:jc w:val="both"/>
              <w:rPr>
                <w:rFonts w:ascii="Times New Roman" w:hAnsi="Times New Roman" w:cs="Times New Roman"/>
                <w:b/>
              </w:rPr>
            </w:pPr>
            <w:r w:rsidRPr="009C1E28">
              <w:rPr>
                <w:rFonts w:ascii="Times New Roman" w:hAnsi="Times New Roman" w:cs="Times New Roman"/>
              </w:rPr>
              <w:t>50</w:t>
            </w:r>
          </w:p>
        </w:tc>
        <w:tc>
          <w:tcPr>
            <w:tcW w:w="2296" w:type="dxa"/>
          </w:tcPr>
          <w:p w:rsidR="009C1E28" w:rsidRPr="009C1E28" w:rsidRDefault="009C1E28" w:rsidP="000614BC">
            <w:pPr>
              <w:keepNext/>
              <w:keepLines/>
              <w:spacing w:after="0"/>
              <w:jc w:val="both"/>
              <w:rPr>
                <w:rFonts w:ascii="Times New Roman" w:hAnsi="Times New Roman" w:cs="Times New Roman"/>
                <w:b/>
              </w:rPr>
            </w:pPr>
            <w:r w:rsidRPr="009C1E28">
              <w:rPr>
                <w:rFonts w:ascii="Times New Roman" w:hAnsi="Times New Roman" w:cs="Times New Roman"/>
              </w:rPr>
              <w:t>81 (24</w:t>
            </w:r>
            <w:r w:rsidRPr="009C1E28">
              <w:rPr>
                <w:rFonts w:ascii="Times New Roman" w:hAnsi="Times New Roman" w:cs="Times New Roman"/>
              </w:rPr>
              <w:noBreakHyphen/>
              <w:t>181)</w:t>
            </w:r>
          </w:p>
        </w:tc>
      </w:tr>
      <w:tr w:rsidR="009C1E28" w:rsidRPr="009C1E28" w:rsidTr="00DB57CE">
        <w:tc>
          <w:tcPr>
            <w:tcW w:w="1526" w:type="dxa"/>
          </w:tcPr>
          <w:p w:rsidR="009C1E28" w:rsidRPr="009C1E28" w:rsidRDefault="009C1E28" w:rsidP="000614BC">
            <w:pPr>
              <w:keepNext/>
              <w:keepLines/>
              <w:spacing w:after="0"/>
              <w:jc w:val="both"/>
              <w:rPr>
                <w:rFonts w:ascii="Times New Roman" w:hAnsi="Times New Roman" w:cs="Times New Roman"/>
                <w:b/>
              </w:rPr>
            </w:pPr>
            <w:r w:rsidRPr="009C1E28">
              <w:rPr>
                <w:rFonts w:ascii="Times New Roman" w:hAnsi="Times New Roman" w:cs="Times New Roman"/>
              </w:rPr>
              <w:t>Genotip 4a</w:t>
            </w:r>
          </w:p>
        </w:tc>
        <w:tc>
          <w:tcPr>
            <w:tcW w:w="1984" w:type="dxa"/>
          </w:tcPr>
          <w:p w:rsidR="009C1E28" w:rsidRPr="009C1E28" w:rsidRDefault="009C1E28" w:rsidP="000614BC">
            <w:pPr>
              <w:keepNext/>
              <w:keepLines/>
              <w:spacing w:after="0"/>
              <w:jc w:val="both"/>
              <w:rPr>
                <w:rFonts w:ascii="Times New Roman" w:hAnsi="Times New Roman" w:cs="Times New Roman"/>
                <w:b/>
              </w:rPr>
            </w:pPr>
            <w:r w:rsidRPr="009C1E28">
              <w:rPr>
                <w:rFonts w:ascii="Times New Roman" w:hAnsi="Times New Roman" w:cs="Times New Roman"/>
              </w:rPr>
              <w:t>0,39</w:t>
            </w:r>
          </w:p>
        </w:tc>
        <w:tc>
          <w:tcPr>
            <w:tcW w:w="1843" w:type="dxa"/>
          </w:tcPr>
          <w:p w:rsidR="009C1E28" w:rsidRPr="009C1E28" w:rsidRDefault="009C1E28" w:rsidP="000614BC">
            <w:pPr>
              <w:keepNext/>
              <w:keepLines/>
              <w:spacing w:after="0"/>
              <w:jc w:val="both"/>
              <w:rPr>
                <w:rFonts w:ascii="Times New Roman" w:hAnsi="Times New Roman" w:cs="Times New Roman"/>
                <w:b/>
              </w:rPr>
            </w:pPr>
            <w:r w:rsidRPr="009C1E28">
              <w:rPr>
                <w:rFonts w:ascii="Times New Roman" w:hAnsi="Times New Roman" w:cs="Times New Roman"/>
              </w:rPr>
              <w:t>-</w:t>
            </w:r>
          </w:p>
        </w:tc>
        <w:tc>
          <w:tcPr>
            <w:tcW w:w="1985" w:type="dxa"/>
          </w:tcPr>
          <w:p w:rsidR="009C1E28" w:rsidRPr="009C1E28" w:rsidRDefault="009C1E28" w:rsidP="000614BC">
            <w:pPr>
              <w:keepNext/>
              <w:keepLines/>
              <w:spacing w:after="0"/>
              <w:jc w:val="both"/>
              <w:rPr>
                <w:rFonts w:ascii="Times New Roman" w:hAnsi="Times New Roman" w:cs="Times New Roman"/>
                <w:b/>
              </w:rPr>
            </w:pPr>
            <w:r w:rsidRPr="009C1E28">
              <w:rPr>
                <w:rFonts w:ascii="Times New Roman" w:hAnsi="Times New Roman" w:cs="Times New Roman"/>
              </w:rPr>
              <w:t>40</w:t>
            </w:r>
          </w:p>
        </w:tc>
        <w:tc>
          <w:tcPr>
            <w:tcW w:w="2296" w:type="dxa"/>
          </w:tcPr>
          <w:p w:rsidR="009C1E28" w:rsidRPr="009C1E28" w:rsidRDefault="009C1E28" w:rsidP="000614BC">
            <w:pPr>
              <w:keepNext/>
              <w:keepLines/>
              <w:spacing w:after="0"/>
              <w:jc w:val="both"/>
              <w:rPr>
                <w:rFonts w:ascii="Times New Roman" w:hAnsi="Times New Roman" w:cs="Times New Roman"/>
                <w:b/>
              </w:rPr>
            </w:pPr>
            <w:r w:rsidRPr="009C1E28">
              <w:rPr>
                <w:rFonts w:ascii="Times New Roman" w:hAnsi="Times New Roman" w:cs="Times New Roman"/>
              </w:rPr>
              <w:t>-</w:t>
            </w:r>
          </w:p>
        </w:tc>
      </w:tr>
      <w:tr w:rsidR="009C1E28" w:rsidRPr="009C1E28" w:rsidTr="00DB57CE">
        <w:tc>
          <w:tcPr>
            <w:tcW w:w="1526" w:type="dxa"/>
          </w:tcPr>
          <w:p w:rsidR="009C1E28" w:rsidRPr="009C1E28" w:rsidRDefault="009C1E28" w:rsidP="000614BC">
            <w:pPr>
              <w:keepNext/>
              <w:keepLines/>
              <w:spacing w:after="0"/>
              <w:jc w:val="both"/>
              <w:rPr>
                <w:rFonts w:ascii="Times New Roman" w:hAnsi="Times New Roman" w:cs="Times New Roman"/>
                <w:b/>
              </w:rPr>
            </w:pPr>
            <w:r w:rsidRPr="009C1E28">
              <w:rPr>
                <w:rFonts w:ascii="Times New Roman" w:hAnsi="Times New Roman" w:cs="Times New Roman"/>
              </w:rPr>
              <w:t>Genotip 4d</w:t>
            </w:r>
          </w:p>
        </w:tc>
        <w:tc>
          <w:tcPr>
            <w:tcW w:w="1984" w:type="dxa"/>
          </w:tcPr>
          <w:p w:rsidR="009C1E28" w:rsidRPr="009C1E28" w:rsidRDefault="009C1E28" w:rsidP="000614BC">
            <w:pPr>
              <w:keepNext/>
              <w:keepLines/>
              <w:spacing w:after="0"/>
              <w:jc w:val="both"/>
              <w:rPr>
                <w:rFonts w:ascii="Times New Roman" w:hAnsi="Times New Roman" w:cs="Times New Roman"/>
                <w:b/>
              </w:rPr>
            </w:pPr>
            <w:r w:rsidRPr="009C1E28">
              <w:rPr>
                <w:rFonts w:ascii="Times New Roman" w:hAnsi="Times New Roman" w:cs="Times New Roman"/>
              </w:rPr>
              <w:t>0,60</w:t>
            </w:r>
          </w:p>
        </w:tc>
        <w:tc>
          <w:tcPr>
            <w:tcW w:w="1843" w:type="dxa"/>
          </w:tcPr>
          <w:p w:rsidR="009C1E28" w:rsidRPr="009C1E28" w:rsidRDefault="009C1E28" w:rsidP="000614BC">
            <w:pPr>
              <w:keepNext/>
              <w:keepLines/>
              <w:spacing w:after="0"/>
              <w:jc w:val="both"/>
              <w:rPr>
                <w:rFonts w:ascii="Times New Roman" w:hAnsi="Times New Roman" w:cs="Times New Roman"/>
                <w:b/>
              </w:rPr>
            </w:pPr>
            <w:r w:rsidRPr="009C1E28">
              <w:rPr>
                <w:rFonts w:ascii="Times New Roman" w:hAnsi="Times New Roman" w:cs="Times New Roman"/>
              </w:rPr>
              <w:t>-</w:t>
            </w:r>
          </w:p>
        </w:tc>
        <w:tc>
          <w:tcPr>
            <w:tcW w:w="1985" w:type="dxa"/>
          </w:tcPr>
          <w:p w:rsidR="009C1E28" w:rsidRPr="009C1E28" w:rsidRDefault="009C1E28" w:rsidP="000614BC">
            <w:pPr>
              <w:keepNext/>
              <w:keepLines/>
              <w:spacing w:after="0"/>
              <w:jc w:val="both"/>
              <w:rPr>
                <w:rFonts w:ascii="Times New Roman" w:hAnsi="Times New Roman" w:cs="Times New Roman"/>
                <w:b/>
              </w:rPr>
            </w:pPr>
            <w:r w:rsidRPr="009C1E28">
              <w:rPr>
                <w:rFonts w:ascii="Times New Roman" w:hAnsi="Times New Roman" w:cs="Times New Roman"/>
              </w:rPr>
              <w:t>-</w:t>
            </w:r>
          </w:p>
        </w:tc>
        <w:tc>
          <w:tcPr>
            <w:tcW w:w="2296" w:type="dxa"/>
          </w:tcPr>
          <w:p w:rsidR="009C1E28" w:rsidRPr="009C1E28" w:rsidRDefault="009C1E28" w:rsidP="000614BC">
            <w:pPr>
              <w:keepNext/>
              <w:keepLines/>
              <w:spacing w:after="0"/>
              <w:jc w:val="both"/>
              <w:rPr>
                <w:rFonts w:ascii="Times New Roman" w:hAnsi="Times New Roman" w:cs="Times New Roman"/>
                <w:b/>
              </w:rPr>
            </w:pPr>
            <w:r w:rsidRPr="009C1E28">
              <w:rPr>
                <w:rFonts w:ascii="Times New Roman" w:hAnsi="Times New Roman" w:cs="Times New Roman"/>
              </w:rPr>
              <w:t>-</w:t>
            </w:r>
          </w:p>
        </w:tc>
      </w:tr>
      <w:tr w:rsidR="009C1E28" w:rsidRPr="009C1E28" w:rsidTr="00DB57CE">
        <w:tc>
          <w:tcPr>
            <w:tcW w:w="1526" w:type="dxa"/>
          </w:tcPr>
          <w:p w:rsidR="009C1E28" w:rsidRPr="009C1E28" w:rsidRDefault="009C1E28" w:rsidP="000614BC">
            <w:pPr>
              <w:keepNext/>
              <w:keepLines/>
              <w:spacing w:after="0"/>
              <w:jc w:val="both"/>
              <w:rPr>
                <w:rFonts w:ascii="Times New Roman" w:hAnsi="Times New Roman" w:cs="Times New Roman"/>
                <w:b/>
              </w:rPr>
            </w:pPr>
            <w:r w:rsidRPr="009C1E28">
              <w:rPr>
                <w:rFonts w:ascii="Times New Roman" w:hAnsi="Times New Roman" w:cs="Times New Roman"/>
              </w:rPr>
              <w:t>Genotip 5a</w:t>
            </w:r>
          </w:p>
        </w:tc>
        <w:tc>
          <w:tcPr>
            <w:tcW w:w="1984" w:type="dxa"/>
          </w:tcPr>
          <w:p w:rsidR="009C1E28" w:rsidRPr="009C1E28" w:rsidRDefault="009C1E28" w:rsidP="000614BC">
            <w:pPr>
              <w:keepNext/>
              <w:keepLines/>
              <w:spacing w:after="0"/>
              <w:jc w:val="both"/>
              <w:rPr>
                <w:rFonts w:ascii="Times New Roman" w:hAnsi="Times New Roman" w:cs="Times New Roman"/>
                <w:b/>
              </w:rPr>
            </w:pPr>
            <w:r w:rsidRPr="009C1E28">
              <w:rPr>
                <w:rFonts w:ascii="Times New Roman" w:hAnsi="Times New Roman" w:cs="Times New Roman"/>
              </w:rPr>
              <w:t>0,15</w:t>
            </w:r>
            <w:r w:rsidRPr="009C1E28">
              <w:rPr>
                <w:rFonts w:ascii="Times New Roman" w:hAnsi="Times New Roman" w:cs="Times New Roman"/>
                <w:vertAlign w:val="superscript"/>
              </w:rPr>
              <w:t>b</w:t>
            </w:r>
          </w:p>
        </w:tc>
        <w:tc>
          <w:tcPr>
            <w:tcW w:w="1843" w:type="dxa"/>
          </w:tcPr>
          <w:p w:rsidR="009C1E28" w:rsidRPr="009C1E28" w:rsidRDefault="009C1E28" w:rsidP="000614BC">
            <w:pPr>
              <w:keepNext/>
              <w:keepLines/>
              <w:spacing w:after="0"/>
              <w:jc w:val="both"/>
              <w:rPr>
                <w:rFonts w:ascii="Times New Roman" w:hAnsi="Times New Roman" w:cs="Times New Roman"/>
                <w:b/>
              </w:rPr>
            </w:pPr>
            <w:r w:rsidRPr="009C1E28">
              <w:rPr>
                <w:rFonts w:ascii="Times New Roman" w:hAnsi="Times New Roman" w:cs="Times New Roman"/>
              </w:rPr>
              <w:t>-</w:t>
            </w:r>
          </w:p>
        </w:tc>
        <w:tc>
          <w:tcPr>
            <w:tcW w:w="1985" w:type="dxa"/>
          </w:tcPr>
          <w:p w:rsidR="009C1E28" w:rsidRPr="009C1E28" w:rsidRDefault="009C1E28" w:rsidP="000614BC">
            <w:pPr>
              <w:keepNext/>
              <w:keepLines/>
              <w:spacing w:after="0"/>
              <w:jc w:val="both"/>
              <w:rPr>
                <w:rFonts w:ascii="Times New Roman" w:hAnsi="Times New Roman" w:cs="Times New Roman"/>
                <w:b/>
              </w:rPr>
            </w:pPr>
            <w:r w:rsidRPr="009C1E28">
              <w:rPr>
                <w:rFonts w:ascii="Times New Roman" w:hAnsi="Times New Roman" w:cs="Times New Roman"/>
              </w:rPr>
              <w:t>15</w:t>
            </w:r>
            <w:r w:rsidRPr="009C1E28">
              <w:rPr>
                <w:rFonts w:ascii="Times New Roman" w:hAnsi="Times New Roman" w:cs="Times New Roman"/>
                <w:vertAlign w:val="superscript"/>
              </w:rPr>
              <w:t>b</w:t>
            </w:r>
          </w:p>
        </w:tc>
        <w:tc>
          <w:tcPr>
            <w:tcW w:w="2296" w:type="dxa"/>
          </w:tcPr>
          <w:p w:rsidR="009C1E28" w:rsidRPr="009C1E28" w:rsidRDefault="009C1E28" w:rsidP="000614BC">
            <w:pPr>
              <w:keepNext/>
              <w:keepLines/>
              <w:spacing w:after="0"/>
              <w:jc w:val="both"/>
              <w:rPr>
                <w:rFonts w:ascii="Times New Roman" w:hAnsi="Times New Roman" w:cs="Times New Roman"/>
                <w:b/>
              </w:rPr>
            </w:pPr>
            <w:r w:rsidRPr="009C1E28">
              <w:rPr>
                <w:rFonts w:ascii="Times New Roman" w:hAnsi="Times New Roman" w:cs="Times New Roman"/>
              </w:rPr>
              <w:t>-</w:t>
            </w:r>
          </w:p>
        </w:tc>
      </w:tr>
      <w:tr w:rsidR="009C1E28" w:rsidRPr="009C1E28" w:rsidTr="00DB57CE">
        <w:trPr>
          <w:trHeight w:val="64"/>
        </w:trPr>
        <w:tc>
          <w:tcPr>
            <w:tcW w:w="1526" w:type="dxa"/>
          </w:tcPr>
          <w:p w:rsidR="009C1E28" w:rsidRPr="009C1E28" w:rsidRDefault="009C1E28" w:rsidP="000614BC">
            <w:pPr>
              <w:keepNext/>
              <w:keepLines/>
              <w:spacing w:after="0"/>
              <w:jc w:val="both"/>
              <w:rPr>
                <w:rFonts w:ascii="Times New Roman" w:hAnsi="Times New Roman" w:cs="Times New Roman"/>
                <w:b/>
              </w:rPr>
            </w:pPr>
            <w:r w:rsidRPr="009C1E28">
              <w:rPr>
                <w:rFonts w:ascii="Times New Roman" w:hAnsi="Times New Roman" w:cs="Times New Roman"/>
              </w:rPr>
              <w:t>Genotip 6a</w:t>
            </w:r>
          </w:p>
        </w:tc>
        <w:tc>
          <w:tcPr>
            <w:tcW w:w="1984" w:type="dxa"/>
          </w:tcPr>
          <w:p w:rsidR="009C1E28" w:rsidRPr="009C1E28" w:rsidRDefault="009C1E28" w:rsidP="000614BC">
            <w:pPr>
              <w:keepNext/>
              <w:keepLines/>
              <w:spacing w:after="0"/>
              <w:jc w:val="both"/>
              <w:rPr>
                <w:rFonts w:ascii="Times New Roman" w:hAnsi="Times New Roman" w:cs="Times New Roman"/>
                <w:b/>
              </w:rPr>
            </w:pPr>
            <w:r w:rsidRPr="009C1E28">
              <w:rPr>
                <w:rFonts w:ascii="Times New Roman" w:hAnsi="Times New Roman" w:cs="Times New Roman"/>
              </w:rPr>
              <w:t>1,1</w:t>
            </w:r>
            <w:r w:rsidRPr="009C1E28">
              <w:rPr>
                <w:rFonts w:ascii="Times New Roman" w:hAnsi="Times New Roman" w:cs="Times New Roman"/>
                <w:vertAlign w:val="superscript"/>
              </w:rPr>
              <w:t>b</w:t>
            </w:r>
          </w:p>
        </w:tc>
        <w:tc>
          <w:tcPr>
            <w:tcW w:w="1843" w:type="dxa"/>
          </w:tcPr>
          <w:p w:rsidR="009C1E28" w:rsidRPr="009C1E28" w:rsidRDefault="009C1E28" w:rsidP="000614BC">
            <w:pPr>
              <w:keepNext/>
              <w:keepLines/>
              <w:spacing w:after="0"/>
              <w:jc w:val="both"/>
              <w:rPr>
                <w:rFonts w:ascii="Times New Roman" w:hAnsi="Times New Roman" w:cs="Times New Roman"/>
                <w:b/>
              </w:rPr>
            </w:pPr>
            <w:r w:rsidRPr="009C1E28">
              <w:rPr>
                <w:rFonts w:ascii="Times New Roman" w:hAnsi="Times New Roman" w:cs="Times New Roman"/>
              </w:rPr>
              <w:t>-</w:t>
            </w:r>
          </w:p>
        </w:tc>
        <w:tc>
          <w:tcPr>
            <w:tcW w:w="1985" w:type="dxa"/>
          </w:tcPr>
          <w:p w:rsidR="009C1E28" w:rsidRPr="009C1E28" w:rsidRDefault="009C1E28" w:rsidP="000614BC">
            <w:pPr>
              <w:keepNext/>
              <w:keepLines/>
              <w:spacing w:after="0"/>
              <w:jc w:val="both"/>
              <w:rPr>
                <w:rFonts w:ascii="Times New Roman" w:hAnsi="Times New Roman" w:cs="Times New Roman"/>
                <w:b/>
              </w:rPr>
            </w:pPr>
            <w:r w:rsidRPr="009C1E28">
              <w:rPr>
                <w:rFonts w:ascii="Times New Roman" w:hAnsi="Times New Roman" w:cs="Times New Roman"/>
              </w:rPr>
              <w:t>14</w:t>
            </w:r>
            <w:r w:rsidRPr="009C1E28">
              <w:rPr>
                <w:rFonts w:ascii="Times New Roman" w:hAnsi="Times New Roman" w:cs="Times New Roman"/>
                <w:vertAlign w:val="superscript"/>
              </w:rPr>
              <w:t>b</w:t>
            </w:r>
          </w:p>
        </w:tc>
        <w:tc>
          <w:tcPr>
            <w:tcW w:w="2296" w:type="dxa"/>
          </w:tcPr>
          <w:p w:rsidR="009C1E28" w:rsidRPr="009C1E28" w:rsidRDefault="009C1E28" w:rsidP="000614BC">
            <w:pPr>
              <w:keepNext/>
              <w:keepLines/>
              <w:spacing w:after="0"/>
              <w:jc w:val="both"/>
              <w:rPr>
                <w:rFonts w:ascii="Times New Roman" w:hAnsi="Times New Roman" w:cs="Times New Roman"/>
                <w:b/>
              </w:rPr>
            </w:pPr>
            <w:r w:rsidRPr="009C1E28">
              <w:rPr>
                <w:rFonts w:ascii="Times New Roman" w:hAnsi="Times New Roman" w:cs="Times New Roman"/>
              </w:rPr>
              <w:t>-</w:t>
            </w:r>
          </w:p>
        </w:tc>
      </w:tr>
      <w:tr w:rsidR="009C1E28" w:rsidRPr="009C1E28" w:rsidTr="00DB57CE">
        <w:tc>
          <w:tcPr>
            <w:tcW w:w="1526" w:type="dxa"/>
          </w:tcPr>
          <w:p w:rsidR="009C1E28" w:rsidRPr="009C1E28" w:rsidRDefault="009C1E28" w:rsidP="000614BC">
            <w:pPr>
              <w:keepNext/>
              <w:keepLines/>
              <w:spacing w:after="0"/>
              <w:jc w:val="both"/>
              <w:rPr>
                <w:rFonts w:ascii="Times New Roman" w:hAnsi="Times New Roman" w:cs="Times New Roman"/>
                <w:b/>
              </w:rPr>
            </w:pPr>
            <w:r w:rsidRPr="009C1E28">
              <w:rPr>
                <w:rFonts w:ascii="Times New Roman" w:hAnsi="Times New Roman" w:cs="Times New Roman"/>
              </w:rPr>
              <w:lastRenderedPageBreak/>
              <w:t>Genotip 6e</w:t>
            </w:r>
          </w:p>
        </w:tc>
        <w:tc>
          <w:tcPr>
            <w:tcW w:w="1984" w:type="dxa"/>
          </w:tcPr>
          <w:p w:rsidR="009C1E28" w:rsidRPr="009C1E28" w:rsidRDefault="009C1E28" w:rsidP="000614BC">
            <w:pPr>
              <w:keepNext/>
              <w:keepLines/>
              <w:spacing w:after="0"/>
              <w:jc w:val="both"/>
              <w:rPr>
                <w:rFonts w:ascii="Times New Roman" w:hAnsi="Times New Roman" w:cs="Times New Roman"/>
                <w:b/>
              </w:rPr>
            </w:pPr>
            <w:r w:rsidRPr="009C1E28">
              <w:rPr>
                <w:rFonts w:ascii="Times New Roman" w:hAnsi="Times New Roman" w:cs="Times New Roman"/>
              </w:rPr>
              <w:t>264</w:t>
            </w:r>
            <w:r w:rsidRPr="009C1E28">
              <w:rPr>
                <w:rFonts w:ascii="Times New Roman" w:hAnsi="Times New Roman" w:cs="Times New Roman"/>
                <w:vertAlign w:val="superscript"/>
              </w:rPr>
              <w:t>b</w:t>
            </w:r>
          </w:p>
        </w:tc>
        <w:tc>
          <w:tcPr>
            <w:tcW w:w="1843" w:type="dxa"/>
          </w:tcPr>
          <w:p w:rsidR="009C1E28" w:rsidRPr="009C1E28" w:rsidRDefault="009C1E28" w:rsidP="000614BC">
            <w:pPr>
              <w:keepNext/>
              <w:keepLines/>
              <w:spacing w:after="0"/>
              <w:jc w:val="both"/>
              <w:rPr>
                <w:rFonts w:ascii="Times New Roman" w:hAnsi="Times New Roman" w:cs="Times New Roman"/>
                <w:b/>
              </w:rPr>
            </w:pPr>
            <w:r w:rsidRPr="009C1E28">
              <w:rPr>
                <w:rFonts w:ascii="Times New Roman" w:hAnsi="Times New Roman" w:cs="Times New Roman"/>
              </w:rPr>
              <w:t>-</w:t>
            </w:r>
          </w:p>
        </w:tc>
        <w:tc>
          <w:tcPr>
            <w:tcW w:w="1985" w:type="dxa"/>
          </w:tcPr>
          <w:p w:rsidR="009C1E28" w:rsidRPr="009C1E28" w:rsidRDefault="009C1E28" w:rsidP="000614BC">
            <w:pPr>
              <w:keepNext/>
              <w:keepLines/>
              <w:spacing w:after="0"/>
              <w:jc w:val="both"/>
              <w:rPr>
                <w:rFonts w:ascii="Times New Roman" w:hAnsi="Times New Roman" w:cs="Times New Roman"/>
                <w:b/>
              </w:rPr>
            </w:pPr>
            <w:r w:rsidRPr="009C1E28">
              <w:rPr>
                <w:rFonts w:ascii="Times New Roman" w:hAnsi="Times New Roman" w:cs="Times New Roman"/>
              </w:rPr>
              <w:t>-</w:t>
            </w:r>
          </w:p>
        </w:tc>
        <w:tc>
          <w:tcPr>
            <w:tcW w:w="2296" w:type="dxa"/>
          </w:tcPr>
          <w:p w:rsidR="009C1E28" w:rsidRPr="009C1E28" w:rsidRDefault="009C1E28" w:rsidP="000614BC">
            <w:pPr>
              <w:keepNext/>
              <w:keepLines/>
              <w:spacing w:after="0"/>
              <w:jc w:val="both"/>
              <w:rPr>
                <w:rFonts w:ascii="Times New Roman" w:hAnsi="Times New Roman" w:cs="Times New Roman"/>
                <w:b/>
              </w:rPr>
            </w:pPr>
            <w:r w:rsidRPr="009C1E28">
              <w:rPr>
                <w:rFonts w:ascii="Times New Roman" w:hAnsi="Times New Roman" w:cs="Times New Roman"/>
              </w:rPr>
              <w:t>-</w:t>
            </w:r>
          </w:p>
        </w:tc>
      </w:tr>
    </w:tbl>
    <w:p w:rsidR="009C1E28" w:rsidRPr="009C1E28" w:rsidRDefault="009C1E28" w:rsidP="009C1E28">
      <w:pPr>
        <w:pStyle w:val="Table-Footer"/>
        <w:jc w:val="both"/>
        <w:rPr>
          <w:sz w:val="22"/>
          <w:szCs w:val="22"/>
        </w:rPr>
      </w:pPr>
      <w:r w:rsidRPr="009C1E28">
        <w:rPr>
          <w:sz w:val="22"/>
          <w:szCs w:val="22"/>
        </w:rPr>
        <w:t>a. Tranzitorni replikoni koji prenose NS5A ili NS5B iz izolata pacijenata.</w:t>
      </w:r>
    </w:p>
    <w:p w:rsidR="009C1E28" w:rsidRPr="009C1E28" w:rsidRDefault="009C1E28" w:rsidP="009C1E28">
      <w:pPr>
        <w:pStyle w:val="Table-Footer"/>
        <w:keepNext w:val="0"/>
        <w:keepLines w:val="0"/>
        <w:jc w:val="both"/>
        <w:rPr>
          <w:sz w:val="22"/>
          <w:szCs w:val="22"/>
        </w:rPr>
      </w:pPr>
      <w:r w:rsidRPr="009C1E28">
        <w:rPr>
          <w:sz w:val="22"/>
          <w:szCs w:val="22"/>
        </w:rPr>
        <w:t>b. Za ispitivanje ledipasvira bili su upotrijebljeni himerni replikoni koji nose NS5A gene iz genotipova 2b, 5a, 6a i 6e, dok su za ispitivanje sofosbuvira bili upotrijebljeni himerni replikoni koji nose NS5B gene iz genotipova 2b, 5a ili 6a.</w:t>
      </w:r>
    </w:p>
    <w:p w:rsidR="009C1E28" w:rsidRPr="009C1E28" w:rsidRDefault="009C1E28" w:rsidP="009C1E28">
      <w:pPr>
        <w:autoSpaceDE w:val="0"/>
        <w:autoSpaceDN w:val="0"/>
        <w:adjustRightInd w:val="0"/>
        <w:spacing w:after="0"/>
        <w:jc w:val="both"/>
        <w:rPr>
          <w:rFonts w:ascii="Times New Roman" w:hAnsi="Times New Roman" w:cs="Times New Roman"/>
          <w:b/>
        </w:rPr>
      </w:pPr>
    </w:p>
    <w:p w:rsidR="009C1E28" w:rsidRPr="009C1E28" w:rsidRDefault="009C1E28" w:rsidP="009C1E28">
      <w:pPr>
        <w:keepNext/>
        <w:keepLines/>
        <w:spacing w:after="0"/>
        <w:jc w:val="both"/>
        <w:rPr>
          <w:rFonts w:ascii="Times New Roman" w:hAnsi="Times New Roman" w:cs="Times New Roman"/>
          <w:b/>
          <w:u w:val="single"/>
        </w:rPr>
      </w:pPr>
      <w:r w:rsidRPr="009C1E28">
        <w:rPr>
          <w:rFonts w:ascii="Times New Roman" w:hAnsi="Times New Roman" w:cs="Times New Roman"/>
          <w:u w:val="single"/>
        </w:rPr>
        <w:t>Rezistencija</w:t>
      </w:r>
    </w:p>
    <w:p w:rsidR="009C1E28" w:rsidRPr="009C1E28" w:rsidRDefault="009C1E28" w:rsidP="009C1E28">
      <w:pPr>
        <w:keepNext/>
        <w:keepLines/>
        <w:spacing w:after="0"/>
        <w:jc w:val="both"/>
        <w:rPr>
          <w:rFonts w:ascii="Times New Roman" w:hAnsi="Times New Roman" w:cs="Times New Roman"/>
          <w:b/>
          <w:i/>
        </w:rPr>
      </w:pPr>
      <w:r w:rsidRPr="009C1E28">
        <w:rPr>
          <w:rFonts w:ascii="Times New Roman" w:hAnsi="Times New Roman" w:cs="Times New Roman"/>
          <w:i/>
        </w:rPr>
        <w:t>U ćelijskoj kulturi</w:t>
      </w: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Replikoni HCV-a sa smanjenom senzitivnošću na ledipasvir odabrani su u ćelijskoj kulturi za genotip 1a i 1b. Smanjena senzitivnost na ledipasvir bila je povezana sa primarnom NS5A supstitucijom Y93H kako u genotipu 1a tako i u genotipu 1b. Pored toga, nastala je Q30E supstitucija u replikonima genotipa 1a. Ciljana mutageneza NS5A RAV-ova pokazala je da su supstitucije koje nose promjenu senzitivnosti &gt;100 i ≤1000 puta na ledipasvir Q30H/R, L31I/M/V, P32L i Y93T u genotipu 1a, i P58D i Y93S u genotipu 1b; a supstitucije koje nose promjenu &gt;1000 puta su M28A/G, Q30E/G/K, H58D, Y93C/H/N/S u genotipu 1a, i A92K i Y93H u genotipu 1b.</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Replikoni HCV-a sa smanjenom senzitivnošću na sofosbuvir odabrani su u ćelijskoj kulturi za više genotipova, uključujući 1b, 2a, 2b, 3a, 4a, 5a i 6a. Smanjena senzitivnost na sofosbuvir bila je povezana sa primarnom S282T supstitucijom u NS5B u svim ispitanim genotipovima replikona. Ciljana mutageneza u vidu supstitucije S282T u replikonima 8 genotipova dovela je do 2 do 18 puta smanjene senzitivnosti na sofosbuvir i smanjila je kapacitet reprodukcije virusa za 89% do 99% u poređenju sa odgovarajućim divljim tipom.</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keepNext/>
        <w:keepLines/>
        <w:spacing w:after="0"/>
        <w:jc w:val="both"/>
        <w:rPr>
          <w:rFonts w:ascii="Times New Roman" w:hAnsi="Times New Roman" w:cs="Times New Roman"/>
          <w:b/>
          <w:i/>
        </w:rPr>
      </w:pPr>
      <w:r w:rsidRPr="009C1E28">
        <w:rPr>
          <w:rFonts w:ascii="Times New Roman" w:hAnsi="Times New Roman" w:cs="Times New Roman"/>
          <w:i/>
        </w:rPr>
        <w:t>U kliničkim ispitivanjima – odrasli sa genotipom 1</w:t>
      </w: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U analizi udruženih podataka pacijenata koji su primali ledipasvir/sofosbuvir u ispitivanjima faze III (ION</w:t>
      </w:r>
      <w:r w:rsidRPr="009C1E28">
        <w:rPr>
          <w:rFonts w:ascii="Times New Roman" w:hAnsi="Times New Roman" w:cs="Times New Roman"/>
        </w:rPr>
        <w:noBreakHyphen/>
        <w:t>3, ION</w:t>
      </w:r>
      <w:r w:rsidRPr="009C1E28">
        <w:rPr>
          <w:rFonts w:ascii="Times New Roman" w:hAnsi="Times New Roman" w:cs="Times New Roman"/>
        </w:rPr>
        <w:noBreakHyphen/>
        <w:t>1 i ION</w:t>
      </w:r>
      <w:r w:rsidRPr="009C1E28">
        <w:rPr>
          <w:rFonts w:ascii="Times New Roman" w:hAnsi="Times New Roman" w:cs="Times New Roman"/>
        </w:rPr>
        <w:noBreakHyphen/>
        <w:t>2), 37 pacijenata (29 sa genotipom 1a i 8 sa genotipom 1b) zadovoljilo je kriterijume za analizu rezistencije zbog virusološkog neuspjeha ili ranog prekida primjene lijeka tokom ispitivanja i jer su imali HCV RNK &gt;1000 IJ/ml. Podaci detaljnog sekvencioniranja za NS5A i NS5B (granična vrijednost testa od 1%) nakon početka ispitivanja bili su dostupni za 37/37, odnosno 36/37 pacijenata.</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 xml:space="preserve">Varijante NS5A povezane s rezistencijom (engl. </w:t>
      </w:r>
      <w:r w:rsidRPr="009C1E28">
        <w:rPr>
          <w:rFonts w:ascii="Times New Roman" w:hAnsi="Times New Roman" w:cs="Times New Roman"/>
          <w:i/>
        </w:rPr>
        <w:t>resistance-associated variants</w:t>
      </w:r>
      <w:r w:rsidRPr="009C1E28">
        <w:rPr>
          <w:rFonts w:ascii="Times New Roman" w:hAnsi="Times New Roman" w:cs="Times New Roman"/>
        </w:rPr>
        <w:t xml:space="preserve">, RAV) uočene su u izolatima nakon početka ispitivanja kod 29/37 pacijenata (22/29 sa genotipom 1a i 7/8 s genotipom 1b) koji nijesu ostvarili održivu virusološku reakciju (eng. </w:t>
      </w:r>
      <w:r w:rsidRPr="009C1E28">
        <w:rPr>
          <w:rFonts w:ascii="Times New Roman" w:hAnsi="Times New Roman" w:cs="Times New Roman"/>
          <w:i/>
        </w:rPr>
        <w:t>sustained virologic response</w:t>
      </w:r>
      <w:r w:rsidRPr="009C1E28">
        <w:rPr>
          <w:rFonts w:ascii="Times New Roman" w:hAnsi="Times New Roman" w:cs="Times New Roman"/>
        </w:rPr>
        <w:t xml:space="preserve">, SVR). Od 29 pacijenata sa genotipom 1a koji su zadovoljili kriterijume za provjeru rezistencije, 22/29 (76%) pacijenata nosilo je jednu ili više NS5A RAV na pozicijama K24, M28, Q30, L31, S38 i Y93 u vrijeme virusološkog neuspjeha, dok se kod preostalih 7/29 pacijenata nije otkrila nijedna NS5A RAV u vrijeme virusološkog neuspjeha. Najčešće varijante bile su Q30R, Y93H i L31M. Od 8 pacijenata sa genotipom 1b koji su zadovoljili kriterijume za provjeru rezistencije, 7/8 (88%) nosilo je jednu ili više NS5A RAV na položajima L31 i Y93 u vrijeme virusološkog neuspjeha, dok 1/8 pacijenata nije imao NS5A RAV u vrijeme virusološkog neuspjeha. Najčešća varijanta bila je Y93H. Od 8 pacijenata koji nijesu imali NS5A RAV u vrijeme virusološkog neuspjeha, 7 pacijenata primalo je terapiju tokom 8 nedjelja (n = 3 ledipasvirom/sofosbuvirom; n = 4 ledipasvirom/sofosbuvirom + ribavirinom), a 1 je pacijent primao ledipasvir/sofosbuvir tokom 12 nedjelja. U fenotipskim analizama, izolati nakon početka ispitivanja kod pacijenata koji su nosili NS5A RAV u vrijeme virusološkog neuspjeha pokazali su od 20 do najmanje 243 puta (najviša ispitana doza) smanjenu senzitivnost </w:t>
      </w:r>
      <w:r w:rsidRPr="009C1E28">
        <w:rPr>
          <w:rFonts w:ascii="Times New Roman" w:hAnsi="Times New Roman" w:cs="Times New Roman"/>
        </w:rPr>
        <w:lastRenderedPageBreak/>
        <w:t>na ledipasvir. Ciljana mutageneza u vidu supstitucije Y93H u oba genotipa 1a i 1b, kao i Q30R i L31M supstitucija u genotipu 1a, dovela je do jako smanjene senzitivnosti na ledipasvir (promjena u EC</w:t>
      </w:r>
      <w:r w:rsidRPr="009C1E28">
        <w:rPr>
          <w:rFonts w:ascii="Times New Roman" w:hAnsi="Times New Roman" w:cs="Times New Roman"/>
          <w:vertAlign w:val="subscript"/>
        </w:rPr>
        <w:t>50</w:t>
      </w:r>
      <w:r w:rsidRPr="009C1E28">
        <w:rPr>
          <w:rFonts w:ascii="Times New Roman" w:hAnsi="Times New Roman" w:cs="Times New Roman"/>
        </w:rPr>
        <w:t xml:space="preserve"> u rasponu od 544 do 1677 puta).</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Među pacijentima sa urađenom transplantacijom koji imaju kompenzovano oboljenje jetre ili među pacijentima sa kompenzovanim oboljenjem jetre ili prije ili poslije transplantacije (studije SOLAR-1 i SOLAR-2), relaps je povezan sa otkrivanjem jednog ili više od sljedećih NS5A RAV: K24R, M28T, Q30R/H/K, L31V, H58D i Y93H/C kod 12/14 pacijenata sa genotipom 1a, i L31M, Y93H/N kod 6/6 pacijenata sa genotipom 1b.</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NS5B supstitucija E237G je otkrivena kod 3 pacijenta (1 genotipa 1b i 2 genotipa 1a) u fazi III studija (ION-3, ION-1 i ION-2) i 3 pacijenta  sa infekcijom genotipa 1a u studijama SOLAR-1 i SOLAR-2 u vrijeme relapsa. Supstitucija E237G je pokazala smanjenje osjetljivosti na sofosbuvir od 1,3 puta u graničnoj vrijednosti replikona genotipa 1a. Klinički značaj  ove supstitucije trenutno nije poznat.</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Supstitucija S282T povezana sa rezistencijom na sofosbuvir u NS5B nije bila otkrivena ni u jednom izolatu kod virusološkog neuspjeha u ispitivanjima faze III. Međutim, bila je otkrivena supstitucija NS5B S282T u kombinaciji sa NS5A supstitucijama L31M, Y93H i Q30L kod jednog pacijenta u vrijeme virusološkog neuspjeha nakon 8 nedjelja liječenja ledipasvirom/sofosbuvirom u jednom ispitivanju faze II (LONESTAR). Taj pacijent je kasnije bio liječen ledipasvirom/sofosbuvirom + ribavirinom tokom 24 nedjelje i postigao je SVR nakon ponovnog liječenja.</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U studiji SIRIUS (pogledati odjeljak „Klinička efikasnost i bezbjednost“ ispod), 5 pacijenata sa infekcijom genotipom 1 imalo je relaps nakon liječenja kombinacijom ledipasvir/sofosbuvir sa ili bez ribavirina. Prilikom relapsa su uočene NS5A RAV kod 5/5 pacijenata (za genotip 1a: Q30R/H + L31M/V [n=1] i Q30R [n=1]; za genotip 1b: Y93H [n = 3]).</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keepNext/>
        <w:keepLines/>
        <w:spacing w:after="0"/>
        <w:jc w:val="both"/>
        <w:rPr>
          <w:rFonts w:ascii="Times New Roman" w:hAnsi="Times New Roman" w:cs="Times New Roman"/>
          <w:b/>
          <w:i/>
        </w:rPr>
      </w:pPr>
      <w:r w:rsidRPr="009C1E28">
        <w:rPr>
          <w:rFonts w:ascii="Times New Roman" w:hAnsi="Times New Roman" w:cs="Times New Roman"/>
          <w:i/>
        </w:rPr>
        <w:t>U kliničkim ispitivanjima – odrasli sa genotipom 2, 3, 4, 5 i 6</w:t>
      </w: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NS5A RAV: Nije bilo pacijenata koji su inficirani genotipom 2 i koji su imali relaps u kliničkoj studiji i zato nema podataka koji se odnose na NS5A RAV u momentu neuspjeha.</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Kod pacijenata inficiranih genotipom 3 koji su imali virusološki neuspjeh, razvoj NS5A RAV (što podrazumijeva i povećanje RAV prisutnog na početku) tipično nije bio detektovan u momentu neuspjeha (n=17).</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 xml:space="preserve">Što se tiče pacijenata inficiranih genotipom 4, 5 i 6, samo mali broj pacijenta je bio evaluiran (ukupno 5 pacijenata sa neuspjehom liječenja). Supstitucija NS5A sa Y93C pojavila se u HCV kod jednog pacijenta (genotip 4), dok su NS5A RAV prisutne na početku registrovane i u vrijeme neuspjeha kod svih pacijenata. </w:t>
      </w:r>
      <w:r w:rsidRPr="009C1E28">
        <w:rPr>
          <w:rFonts w:ascii="Times New Roman" w:hAnsi="Times New Roman" w:cs="Times New Roman"/>
          <w:iCs/>
        </w:rPr>
        <w:t xml:space="preserve">U studiji SOLAR-2, kod jednog pacijenta sa genotipom 4d u vrijeme relapsa razvila se NS5B supstitucija E237G. </w:t>
      </w:r>
      <w:r w:rsidRPr="009C1E28">
        <w:rPr>
          <w:rFonts w:ascii="Times New Roman" w:hAnsi="Times New Roman" w:cs="Times New Roman"/>
        </w:rPr>
        <w:t>Klinički značaj ove supstitucije trenutno nije poznat.</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NS5B RAV: Supstitucija NS5B sa S282T pojavila se u HCV kod 1/17 neuspješno liječenih pacijenata genotipa 3, i u HCV kod 1/3, 1/1 i 1/1 neuspješno liječenih pacijenata genotipa 4, 5 i 6.</w:t>
      </w:r>
    </w:p>
    <w:p w:rsidR="009C1E28" w:rsidRPr="009C1E28" w:rsidRDefault="009C1E28" w:rsidP="009C1E28">
      <w:pPr>
        <w:keepNext/>
        <w:keepLines/>
        <w:spacing w:after="0"/>
        <w:jc w:val="both"/>
        <w:rPr>
          <w:rFonts w:ascii="Times New Roman" w:hAnsi="Times New Roman" w:cs="Times New Roman"/>
          <w:b/>
          <w:u w:val="single"/>
        </w:rPr>
      </w:pPr>
      <w:r w:rsidRPr="009C1E28">
        <w:rPr>
          <w:rFonts w:ascii="Times New Roman" w:hAnsi="Times New Roman" w:cs="Times New Roman"/>
          <w:u w:val="single"/>
        </w:rPr>
        <w:lastRenderedPageBreak/>
        <w:t>Uticaj početnih varijanti HCV-a povezanih sa rezistencijom na ishod liječenja</w:t>
      </w:r>
    </w:p>
    <w:p w:rsidR="009C1E28" w:rsidRPr="009C1E28" w:rsidRDefault="009C1E28" w:rsidP="009C1E28">
      <w:pPr>
        <w:keepNext/>
        <w:keepLines/>
        <w:spacing w:after="0"/>
        <w:jc w:val="both"/>
        <w:rPr>
          <w:rFonts w:ascii="Times New Roman" w:hAnsi="Times New Roman" w:cs="Times New Roman"/>
          <w:b/>
          <w:i/>
        </w:rPr>
      </w:pPr>
      <w:r w:rsidRPr="009C1E28">
        <w:rPr>
          <w:rFonts w:ascii="Times New Roman" w:hAnsi="Times New Roman" w:cs="Times New Roman"/>
          <w:i/>
        </w:rPr>
        <w:t>Odrasli sa genotipom 1</w:t>
      </w: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Sprovedene su analize da se istraži povezanost između početnih NS5A RAV koje su postojale od ranije i ishoda liječenja. U analizi zbirnih podataka iz ispitivanja faze III, 16% pacijenata imalo je početne NS5A RAV utvrđene populacionim ili detaljnim sekvencioniranjem bez obzira na podtip. Početni NS5A RAV bili su više zastupljeni kod pacijenata koji su u ispitivanjima faze III imali relaps (vidjeti odjeljak „Klinička efikasnost i bezbjednost“).</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Nakon 12 nedjelja liječenja ledipasvirom/sofosbuvirom (bez ribavirina) prethodno liječenih pacijenata (grupa 1 u ispitivanju ION</w:t>
      </w:r>
      <w:r w:rsidRPr="009C1E28">
        <w:rPr>
          <w:rFonts w:ascii="Times New Roman" w:hAnsi="Times New Roman" w:cs="Times New Roman"/>
        </w:rPr>
        <w:noBreakHyphen/>
        <w:t>2), 4/4 pacijenta s početnim NS5A RAV koji nose promjenu u senzitivnosti na ledipasvir ≤100 puta postiglo je SVR. U istoj terapijskoj grupi (pacijenti sa početnim NS5A RAV koji su nosili promjenu &gt;100 puta), relaps je nastupio u 4/13 (31%) u poređenju sa 3/95 (3%) kod onih bez ikakvih početnih RAV ili kod RAV koji nose promjenu ≤100 puta.</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Nakon 12 nedjelja liječenja ledipasvirom/sofosbuvirom sa ribavirinom prethodno liječenih pacijenata sa kompenzovanom cirozom jetre (SIRIUS, n=77), 8/8 pacijenata sa početnim NS5A RAV koji su imali &gt;100 puta redukovanu senzitivnost na ledipasvir postiglo je SVR12.</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spacing w:after="0"/>
        <w:jc w:val="both"/>
        <w:rPr>
          <w:rFonts w:ascii="Times New Roman" w:hAnsi="Times New Roman" w:cs="Times New Roman"/>
          <w:b/>
          <w:bCs/>
        </w:rPr>
      </w:pPr>
      <w:r w:rsidRPr="009C1E28">
        <w:rPr>
          <w:rFonts w:ascii="Times New Roman" w:hAnsi="Times New Roman" w:cs="Times New Roman"/>
          <w:bCs/>
        </w:rPr>
        <w:t>Među subjektima poslije transplantacije sa kompenzovanim oboljenjem jetre (studije SOLAR-1 i SOLAR-2), nije bilo relapsa kod pacijenata sa početnim NS5A RAV (n = 23) nakon liječenja ledipasvirom/sofosbuvirom + ribavirinom tokom 12 nedjelja. Među pacijentima sa kompenzovanim oboljenjem jetre (prije i poslije transplantacije), 4/16 (25%) pacijenata sa NS5A RAV koji su imali rezistenciju &gt; 100 puta imalo je relaps nakon 12 nedjelja liječenja ledipasvirom/sofosbuvirom + ribavirinim, u poređenju sa 7/120 (6%) kod onih bez početnih NS5A RAV ili RAV koji su imali promjenu ≤ 100 puta.</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Grupu NS5A RAV koji su nosili povećanje &gt;100 puta i koji su bili uočeni kod pacijenata činile su sljedeće supstitucije u genotipu 1a (M28A, Q30H/R/E, L31M/V/I, H58D, Y93H/N/C) ili u genotipu 1b (Y93H). Proporcija takvih početnih NS5A RAV uočenih pomoću detaljnog sekvencioniranja kretala se od vrlo male (granična vrijednost testa = 1%) do velike (veći dio populacije plazme).</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Supstitucija S282T povezana sa rezistencijom na sofosbuvir nije bila otkrivena populacionim ili detaljnim sekvencioniranjem u početnoj NS5B sekvenci ni kod jednog pacijenta u ispitivanjima faze III. SVR je postignut kod sva 24 pacijenta (n = 20 sa L159F + C316N; n = 1 sa L159F; i n = 3 sa N142T) koji su na početku imali varijante povezane sa rezistencijom na NS5B nukleozidne inhibitore.</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keepNext/>
        <w:keepLines/>
        <w:spacing w:after="0"/>
        <w:jc w:val="both"/>
        <w:rPr>
          <w:rFonts w:ascii="Times New Roman" w:hAnsi="Times New Roman" w:cs="Times New Roman"/>
          <w:b/>
          <w:i/>
        </w:rPr>
      </w:pPr>
      <w:r w:rsidRPr="009C1E28">
        <w:rPr>
          <w:rFonts w:ascii="Times New Roman" w:hAnsi="Times New Roman" w:cs="Times New Roman"/>
          <w:i/>
        </w:rPr>
        <w:t>Odrasli sa genotipom 2, 3, 4, 5 i 6</w:t>
      </w: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Zbog ograničenih veličina studija, uticaj početnih NS5A RAV na ishod liječenja za pacijente sa HHV-om koji su inficirani genotipom 2, 3, 4, 5 ili 6 nije u cjelini procijenjen. Nijesu registrovane velike razlike u ishodima u odnosu na prisustvo ili odsustvo početnih NS5A RAV.</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keepNext/>
        <w:keepLines/>
        <w:spacing w:after="0"/>
        <w:jc w:val="both"/>
        <w:rPr>
          <w:rFonts w:ascii="Times New Roman" w:hAnsi="Times New Roman" w:cs="Times New Roman"/>
          <w:b/>
          <w:u w:val="single"/>
        </w:rPr>
      </w:pPr>
      <w:r w:rsidRPr="009C1E28">
        <w:rPr>
          <w:rFonts w:ascii="Times New Roman" w:hAnsi="Times New Roman" w:cs="Times New Roman"/>
          <w:u w:val="single"/>
        </w:rPr>
        <w:t>Unakrsna rezistencija</w:t>
      </w: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 xml:space="preserve">Ledipasvir je bio potpuno aktivan u odnosu na supstituciju S282T u NS5B povezane sa rezistencijom na sofosbuvir, dok su sve supstitucije u NS5A povezane sa rezistencijom na ledipasvir bile potpuno osjetljive na </w:t>
      </w:r>
      <w:r w:rsidRPr="009C1E28">
        <w:rPr>
          <w:rFonts w:ascii="Times New Roman" w:hAnsi="Times New Roman" w:cs="Times New Roman"/>
        </w:rPr>
        <w:lastRenderedPageBreak/>
        <w:t>sofosbuvir. I sofosbuvir i ledipasvir su bili potpuno aktivni protiv supstitucija povezanih sa rezistencijom na druge antivirusne ljekove direktnog djelovanja sa različitim mehanizmom djelovanja, kao što su NS5B nenukleozidni inhibitori i NS3 inhibitori proteaze. Supstitucije NS5A koje nose rezistenciju na ledipasvir mogu da smanje antivirusno djelovanje drugih inhibitora NS5A.</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keepNext/>
        <w:keepLines/>
        <w:autoSpaceDE w:val="0"/>
        <w:autoSpaceDN w:val="0"/>
        <w:adjustRightInd w:val="0"/>
        <w:spacing w:after="0"/>
        <w:jc w:val="both"/>
        <w:rPr>
          <w:rFonts w:ascii="Times New Roman" w:hAnsi="Times New Roman" w:cs="Times New Roman"/>
          <w:b/>
        </w:rPr>
      </w:pPr>
      <w:r w:rsidRPr="009C1E28">
        <w:rPr>
          <w:rFonts w:ascii="Times New Roman" w:hAnsi="Times New Roman" w:cs="Times New Roman"/>
          <w:u w:val="single"/>
        </w:rPr>
        <w:t>Klinička efikasnost i bezbjednost</w:t>
      </w: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Efikasnost lijeka Harvoni (ledipasvir [LDV]/sofosbuvir [SOF]) bila je procijenjena u tri otvorena ispitivanja faze III sa podacima dostupnim za ukupno 1950 pacijenata sa HHC-om genotipa 1. Tri ispitivanja faze III uključivala su jedno ispitivanje sprovedeno kod pacijenata bez ciroze koji prethodno nijesu bili liječeni (ION</w:t>
      </w:r>
      <w:r w:rsidRPr="009C1E28">
        <w:rPr>
          <w:rFonts w:ascii="Times New Roman" w:hAnsi="Times New Roman" w:cs="Times New Roman"/>
        </w:rPr>
        <w:noBreakHyphen/>
        <w:t>3); jedno ispitivanje kod pacijenata sa cirozom i bez ciroze koji prethodno nijesu bili liječeni (ION</w:t>
      </w:r>
      <w:r w:rsidRPr="009C1E28">
        <w:rPr>
          <w:rFonts w:ascii="Times New Roman" w:hAnsi="Times New Roman" w:cs="Times New Roman"/>
        </w:rPr>
        <w:noBreakHyphen/>
        <w:t>1); i jedno ispitivanje kod pacijenata sa cirozom i bez ciroze kod kojih je prethodna terapija režimom na bazi interferona bila neuspješna, uključujući režime koji su sadržali inhibitor proteaze HCV-a (ION</w:t>
      </w:r>
      <w:r w:rsidRPr="009C1E28">
        <w:rPr>
          <w:rFonts w:ascii="Times New Roman" w:hAnsi="Times New Roman" w:cs="Times New Roman"/>
        </w:rPr>
        <w:noBreakHyphen/>
        <w:t>2). Pacijenti u tim ispitivanjima imali su kompenzovanu bolest jetre. Sva tri ispitivanja faze III procjenjivala su efikasnost ledipasvira/sofosbuvira sa ribavirinom ili bez njega.</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Trajanje liječenja bilo je fiksno u svakom ispitivanju. Vrijednosti HCV RNK u serumu tokom kliničkih ispitivanja bile su mjerene pomoću testa COBAS TaqMan HCV (verzija 2.0), koji se koristi sa sistemom High Pure System. Ovaj test je imao donju granicu kvantifikacije (LLOQ) od 25 IJ/ml. SVR je bio primarni ishod prema kojem se određivala stopa izlječenja HCV-a, koje se definisalo kao HCV RNK manji od LLOQ 12 nedjelja nakon završetka liječenja.</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keepNext/>
        <w:keepLines/>
        <w:spacing w:after="0"/>
        <w:jc w:val="both"/>
        <w:rPr>
          <w:rFonts w:ascii="Times New Roman" w:hAnsi="Times New Roman" w:cs="Times New Roman"/>
          <w:b/>
          <w:i/>
        </w:rPr>
      </w:pPr>
      <w:r w:rsidRPr="009C1E28">
        <w:rPr>
          <w:rFonts w:ascii="Times New Roman" w:hAnsi="Times New Roman" w:cs="Times New Roman"/>
          <w:i/>
        </w:rPr>
        <w:t>Odrasli bez ciroze koji prethodno nijesu bili liječeni – ION</w:t>
      </w:r>
      <w:r w:rsidRPr="009C1E28">
        <w:rPr>
          <w:rFonts w:ascii="Times New Roman" w:hAnsi="Times New Roman" w:cs="Times New Roman"/>
        </w:rPr>
        <w:noBreakHyphen/>
      </w:r>
      <w:r w:rsidRPr="009C1E28">
        <w:rPr>
          <w:rFonts w:ascii="Times New Roman" w:hAnsi="Times New Roman" w:cs="Times New Roman"/>
          <w:i/>
        </w:rPr>
        <w:t>3 (ispitivanje 0108) – genotip 1</w:t>
      </w:r>
    </w:p>
    <w:p w:rsidR="009C1E28" w:rsidRDefault="009C1E28" w:rsidP="009C1E28">
      <w:pPr>
        <w:spacing w:after="0"/>
        <w:jc w:val="both"/>
        <w:rPr>
          <w:rFonts w:ascii="Times New Roman" w:hAnsi="Times New Roman" w:cs="Times New Roman"/>
        </w:rPr>
      </w:pPr>
      <w:r w:rsidRPr="009C1E28">
        <w:rPr>
          <w:rFonts w:ascii="Times New Roman" w:hAnsi="Times New Roman" w:cs="Times New Roman"/>
        </w:rPr>
        <w:t>U ispitivanju ION</w:t>
      </w:r>
      <w:r w:rsidRPr="009C1E28">
        <w:rPr>
          <w:rFonts w:ascii="Times New Roman" w:hAnsi="Times New Roman" w:cs="Times New Roman"/>
        </w:rPr>
        <w:noBreakHyphen/>
        <w:t>3 procjenjivalo se 8 nedjelja liječenja ledipasvirom/sofosbuvirom sa ribavirinom ili bez njega, i 12 nedjelja liječenja ledipasvirom/sofosbuvirom pacijenata s HHC-om genotipa 1, bez ciroze, koji prethodno nijesu bili liječeni. Pacijenti su bili randomizovani u odnosu 1:1:1 u jednu od tri terapijske grupe i stratifikovani prema genotipu HCV-a (1a naspram 1b).</w:t>
      </w:r>
    </w:p>
    <w:p w:rsidR="00D95AD4" w:rsidRDefault="00D95AD4" w:rsidP="009C1E28">
      <w:pPr>
        <w:spacing w:after="0"/>
        <w:jc w:val="both"/>
        <w:rPr>
          <w:rFonts w:ascii="Times New Roman" w:hAnsi="Times New Roman" w:cs="Times New Roman"/>
        </w:rPr>
      </w:pPr>
    </w:p>
    <w:p w:rsidR="009C1E28" w:rsidRPr="009C1E28" w:rsidRDefault="00D95AD4" w:rsidP="009C1E28">
      <w:pPr>
        <w:spacing w:after="0"/>
        <w:jc w:val="both"/>
        <w:rPr>
          <w:rFonts w:ascii="Times New Roman" w:hAnsi="Times New Roman" w:cs="Times New Roman"/>
          <w:b/>
        </w:rPr>
      </w:pPr>
      <w:r w:rsidRPr="00D95AD4">
        <w:rPr>
          <w:rFonts w:ascii="Times New Roman" w:hAnsi="Times New Roman" w:cs="Times New Roman"/>
          <w:b/>
        </w:rPr>
        <w:t>Tabela 8: Demografske i početne karakteristike u ispitivanju ION</w:t>
      </w:r>
      <w:r w:rsidRPr="00D95AD4">
        <w:rPr>
          <w:rFonts w:ascii="Times New Roman" w:hAnsi="Times New Roman" w:cs="Times New Roman"/>
          <w:b/>
        </w:rPr>
        <w:noBreakHyphen/>
        <w:t>3</w:t>
      </w:r>
    </w:p>
    <w:p w:rsidR="009C1E28" w:rsidRPr="009C1E28" w:rsidRDefault="009C1E28" w:rsidP="009C1E28">
      <w:pPr>
        <w:keepNext/>
        <w:keepLines/>
        <w:spacing w:after="0"/>
        <w:jc w:val="both"/>
        <w:rPr>
          <w:rFonts w:ascii="Times New Roman" w:hAnsi="Times New Roman" w:cs="Times New Roman"/>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
        <w:gridCol w:w="2523"/>
        <w:gridCol w:w="1559"/>
        <w:gridCol w:w="1701"/>
        <w:gridCol w:w="1701"/>
        <w:gridCol w:w="1871"/>
      </w:tblGrid>
      <w:tr w:rsidR="009C1E28" w:rsidRPr="009C1E28" w:rsidTr="00D95AD4">
        <w:tc>
          <w:tcPr>
            <w:tcW w:w="2802" w:type="dxa"/>
            <w:gridSpan w:val="2"/>
          </w:tcPr>
          <w:p w:rsidR="009C1E28" w:rsidRPr="00D95AD4" w:rsidRDefault="009C1E28" w:rsidP="00D95AD4">
            <w:pPr>
              <w:keepNext/>
              <w:keepLines/>
              <w:spacing w:after="0"/>
              <w:jc w:val="both"/>
              <w:rPr>
                <w:rFonts w:ascii="Times New Roman" w:hAnsi="Times New Roman" w:cs="Times New Roman"/>
                <w:b/>
              </w:rPr>
            </w:pPr>
            <w:r w:rsidRPr="00D95AD4">
              <w:rPr>
                <w:rFonts w:ascii="Times New Roman" w:hAnsi="Times New Roman" w:cs="Times New Roman"/>
                <w:b/>
              </w:rPr>
              <w:t>Raspodjela pacijenata</w:t>
            </w:r>
          </w:p>
        </w:tc>
        <w:tc>
          <w:tcPr>
            <w:tcW w:w="1559" w:type="dxa"/>
          </w:tcPr>
          <w:p w:rsidR="009C1E28" w:rsidRPr="00D95AD4" w:rsidRDefault="009C1E28" w:rsidP="00D95AD4">
            <w:pPr>
              <w:keepNext/>
              <w:keepLines/>
              <w:spacing w:after="0"/>
              <w:jc w:val="both"/>
              <w:rPr>
                <w:rFonts w:ascii="Times New Roman" w:hAnsi="Times New Roman" w:cs="Times New Roman"/>
                <w:b/>
              </w:rPr>
            </w:pPr>
            <w:r w:rsidRPr="00D95AD4">
              <w:rPr>
                <w:rFonts w:ascii="Times New Roman" w:hAnsi="Times New Roman" w:cs="Times New Roman"/>
                <w:b/>
              </w:rPr>
              <w:t>LDV/SOF</w:t>
            </w:r>
          </w:p>
          <w:p w:rsidR="009C1E28" w:rsidRPr="00D95AD4" w:rsidRDefault="009C1E28" w:rsidP="00D95AD4">
            <w:pPr>
              <w:keepNext/>
              <w:keepLines/>
              <w:spacing w:after="0"/>
              <w:jc w:val="both"/>
              <w:rPr>
                <w:rFonts w:ascii="Times New Roman" w:hAnsi="Times New Roman" w:cs="Times New Roman"/>
                <w:b/>
              </w:rPr>
            </w:pPr>
            <w:r w:rsidRPr="00D95AD4">
              <w:rPr>
                <w:rFonts w:ascii="Times New Roman" w:hAnsi="Times New Roman" w:cs="Times New Roman"/>
                <w:b/>
              </w:rPr>
              <w:t>8 nedjelja</w:t>
            </w:r>
          </w:p>
          <w:p w:rsidR="009C1E28" w:rsidRPr="00D95AD4" w:rsidRDefault="009C1E28" w:rsidP="00D95AD4">
            <w:pPr>
              <w:keepNext/>
              <w:keepLines/>
              <w:spacing w:after="0"/>
              <w:jc w:val="both"/>
              <w:rPr>
                <w:rFonts w:ascii="Times New Roman" w:hAnsi="Times New Roman" w:cs="Times New Roman"/>
                <w:b/>
              </w:rPr>
            </w:pPr>
            <w:r w:rsidRPr="00D95AD4">
              <w:rPr>
                <w:rFonts w:ascii="Times New Roman" w:hAnsi="Times New Roman" w:cs="Times New Roman"/>
                <w:b/>
              </w:rPr>
              <w:t>(n=215)</w:t>
            </w:r>
          </w:p>
        </w:tc>
        <w:tc>
          <w:tcPr>
            <w:tcW w:w="1701" w:type="dxa"/>
          </w:tcPr>
          <w:p w:rsidR="009C1E28" w:rsidRPr="00D95AD4" w:rsidRDefault="009C1E28" w:rsidP="00D95AD4">
            <w:pPr>
              <w:keepNext/>
              <w:keepLines/>
              <w:spacing w:after="0"/>
              <w:jc w:val="both"/>
              <w:rPr>
                <w:rFonts w:ascii="Times New Roman" w:hAnsi="Times New Roman" w:cs="Times New Roman"/>
                <w:b/>
              </w:rPr>
            </w:pPr>
            <w:r w:rsidRPr="00D95AD4">
              <w:rPr>
                <w:rFonts w:ascii="Times New Roman" w:hAnsi="Times New Roman" w:cs="Times New Roman"/>
                <w:b/>
              </w:rPr>
              <w:t>LDV/SOF+RBV</w:t>
            </w:r>
          </w:p>
          <w:p w:rsidR="009C1E28" w:rsidRPr="00D95AD4" w:rsidRDefault="009C1E28" w:rsidP="00D95AD4">
            <w:pPr>
              <w:keepNext/>
              <w:keepLines/>
              <w:spacing w:after="0"/>
              <w:jc w:val="both"/>
              <w:rPr>
                <w:rFonts w:ascii="Times New Roman" w:hAnsi="Times New Roman" w:cs="Times New Roman"/>
                <w:b/>
              </w:rPr>
            </w:pPr>
            <w:r w:rsidRPr="00D95AD4">
              <w:rPr>
                <w:rFonts w:ascii="Times New Roman" w:hAnsi="Times New Roman" w:cs="Times New Roman"/>
                <w:b/>
              </w:rPr>
              <w:t>8 nedjelja</w:t>
            </w:r>
          </w:p>
          <w:p w:rsidR="009C1E28" w:rsidRPr="00D95AD4" w:rsidRDefault="009C1E28" w:rsidP="00D95AD4">
            <w:pPr>
              <w:keepNext/>
              <w:keepLines/>
              <w:spacing w:after="0"/>
              <w:jc w:val="both"/>
              <w:rPr>
                <w:rFonts w:ascii="Times New Roman" w:hAnsi="Times New Roman" w:cs="Times New Roman"/>
                <w:b/>
              </w:rPr>
            </w:pPr>
            <w:r w:rsidRPr="00D95AD4">
              <w:rPr>
                <w:rFonts w:ascii="Times New Roman" w:hAnsi="Times New Roman" w:cs="Times New Roman"/>
                <w:b/>
              </w:rPr>
              <w:t>(n=216)</w:t>
            </w:r>
          </w:p>
        </w:tc>
        <w:tc>
          <w:tcPr>
            <w:tcW w:w="1701" w:type="dxa"/>
          </w:tcPr>
          <w:p w:rsidR="009C1E28" w:rsidRPr="00D95AD4" w:rsidRDefault="009C1E28" w:rsidP="00D95AD4">
            <w:pPr>
              <w:keepNext/>
              <w:keepLines/>
              <w:spacing w:after="0"/>
              <w:jc w:val="both"/>
              <w:rPr>
                <w:rFonts w:ascii="Times New Roman" w:hAnsi="Times New Roman" w:cs="Times New Roman"/>
                <w:b/>
              </w:rPr>
            </w:pPr>
            <w:r w:rsidRPr="00D95AD4">
              <w:rPr>
                <w:rFonts w:ascii="Times New Roman" w:hAnsi="Times New Roman" w:cs="Times New Roman"/>
                <w:b/>
              </w:rPr>
              <w:t>LDV/SOF</w:t>
            </w:r>
          </w:p>
          <w:p w:rsidR="009C1E28" w:rsidRPr="00D95AD4" w:rsidRDefault="009C1E28" w:rsidP="00D95AD4">
            <w:pPr>
              <w:keepNext/>
              <w:keepLines/>
              <w:spacing w:after="0"/>
              <w:jc w:val="both"/>
              <w:rPr>
                <w:rFonts w:ascii="Times New Roman" w:hAnsi="Times New Roman" w:cs="Times New Roman"/>
                <w:b/>
              </w:rPr>
            </w:pPr>
            <w:r w:rsidRPr="00D95AD4">
              <w:rPr>
                <w:rFonts w:ascii="Times New Roman" w:hAnsi="Times New Roman" w:cs="Times New Roman"/>
                <w:b/>
              </w:rPr>
              <w:t>12 nedjelja</w:t>
            </w:r>
          </w:p>
          <w:p w:rsidR="009C1E28" w:rsidRPr="00D95AD4" w:rsidRDefault="009C1E28" w:rsidP="00D95AD4">
            <w:pPr>
              <w:keepNext/>
              <w:keepLines/>
              <w:spacing w:after="0"/>
              <w:jc w:val="both"/>
              <w:rPr>
                <w:rFonts w:ascii="Times New Roman" w:hAnsi="Times New Roman" w:cs="Times New Roman"/>
                <w:b/>
              </w:rPr>
            </w:pPr>
            <w:r w:rsidRPr="00D95AD4">
              <w:rPr>
                <w:rFonts w:ascii="Times New Roman" w:hAnsi="Times New Roman" w:cs="Times New Roman"/>
                <w:b/>
              </w:rPr>
              <w:t>(n=216)</w:t>
            </w:r>
          </w:p>
        </w:tc>
        <w:tc>
          <w:tcPr>
            <w:tcW w:w="1871" w:type="dxa"/>
          </w:tcPr>
          <w:p w:rsidR="009C1E28" w:rsidRPr="00D95AD4" w:rsidRDefault="009C1E28" w:rsidP="00D95AD4">
            <w:pPr>
              <w:keepNext/>
              <w:keepLines/>
              <w:spacing w:after="0"/>
              <w:jc w:val="both"/>
              <w:rPr>
                <w:rFonts w:ascii="Times New Roman" w:hAnsi="Times New Roman" w:cs="Times New Roman"/>
                <w:b/>
              </w:rPr>
            </w:pPr>
            <w:r w:rsidRPr="00D95AD4">
              <w:rPr>
                <w:rFonts w:ascii="Times New Roman" w:hAnsi="Times New Roman" w:cs="Times New Roman"/>
                <w:b/>
              </w:rPr>
              <w:t>UKUPNO</w:t>
            </w:r>
          </w:p>
          <w:p w:rsidR="009C1E28" w:rsidRPr="00D95AD4" w:rsidRDefault="009C1E28" w:rsidP="00D95AD4">
            <w:pPr>
              <w:keepNext/>
              <w:keepLines/>
              <w:spacing w:after="0"/>
              <w:jc w:val="both"/>
              <w:rPr>
                <w:rFonts w:ascii="Times New Roman" w:hAnsi="Times New Roman" w:cs="Times New Roman"/>
                <w:b/>
              </w:rPr>
            </w:pPr>
          </w:p>
          <w:p w:rsidR="009C1E28" w:rsidRPr="00D95AD4" w:rsidRDefault="009C1E28" w:rsidP="00D95AD4">
            <w:pPr>
              <w:keepNext/>
              <w:keepLines/>
              <w:spacing w:after="0"/>
              <w:jc w:val="both"/>
              <w:rPr>
                <w:rFonts w:ascii="Times New Roman" w:hAnsi="Times New Roman" w:cs="Times New Roman"/>
                <w:b/>
              </w:rPr>
            </w:pPr>
            <w:r w:rsidRPr="00D95AD4">
              <w:rPr>
                <w:rFonts w:ascii="Times New Roman" w:hAnsi="Times New Roman" w:cs="Times New Roman"/>
                <w:b/>
              </w:rPr>
              <w:t>(n=647)</w:t>
            </w:r>
          </w:p>
        </w:tc>
      </w:tr>
      <w:tr w:rsidR="009C1E28" w:rsidRPr="009C1E28" w:rsidTr="00D95AD4">
        <w:tc>
          <w:tcPr>
            <w:tcW w:w="2802" w:type="dxa"/>
            <w:gridSpan w:val="2"/>
          </w:tcPr>
          <w:p w:rsidR="009C1E28" w:rsidRPr="009C1E28" w:rsidRDefault="009C1E28" w:rsidP="00D95AD4">
            <w:pPr>
              <w:keepNext/>
              <w:keepLines/>
              <w:spacing w:after="0"/>
              <w:jc w:val="both"/>
              <w:rPr>
                <w:rFonts w:ascii="Times New Roman" w:hAnsi="Times New Roman" w:cs="Times New Roman"/>
                <w:b/>
              </w:rPr>
            </w:pPr>
            <w:r w:rsidRPr="009C1E28">
              <w:rPr>
                <w:rFonts w:ascii="Times New Roman" w:hAnsi="Times New Roman" w:cs="Times New Roman"/>
              </w:rPr>
              <w:t>Starost (godine): medijana (opseg)</w:t>
            </w:r>
          </w:p>
        </w:tc>
        <w:tc>
          <w:tcPr>
            <w:tcW w:w="1559" w:type="dxa"/>
          </w:tcPr>
          <w:p w:rsidR="009C1E28" w:rsidRPr="009C1E28" w:rsidRDefault="009C1E28" w:rsidP="00D95AD4">
            <w:pPr>
              <w:keepNext/>
              <w:keepLines/>
              <w:spacing w:after="0"/>
              <w:jc w:val="both"/>
              <w:rPr>
                <w:rFonts w:ascii="Times New Roman" w:hAnsi="Times New Roman" w:cs="Times New Roman"/>
                <w:b/>
              </w:rPr>
            </w:pPr>
            <w:r w:rsidRPr="009C1E28">
              <w:rPr>
                <w:rFonts w:ascii="Times New Roman" w:hAnsi="Times New Roman" w:cs="Times New Roman"/>
              </w:rPr>
              <w:t>53 (22</w:t>
            </w:r>
            <w:r w:rsidRPr="009C1E28">
              <w:rPr>
                <w:rFonts w:ascii="Times New Roman" w:hAnsi="Times New Roman" w:cs="Times New Roman"/>
              </w:rPr>
              <w:noBreakHyphen/>
              <w:t>75)</w:t>
            </w:r>
          </w:p>
        </w:tc>
        <w:tc>
          <w:tcPr>
            <w:tcW w:w="1701" w:type="dxa"/>
          </w:tcPr>
          <w:p w:rsidR="009C1E28" w:rsidRPr="009C1E28" w:rsidRDefault="009C1E28" w:rsidP="00D95AD4">
            <w:pPr>
              <w:keepNext/>
              <w:keepLines/>
              <w:spacing w:after="0"/>
              <w:jc w:val="both"/>
              <w:rPr>
                <w:rFonts w:ascii="Times New Roman" w:eastAsia="Batang" w:hAnsi="Times New Roman" w:cs="Times New Roman"/>
                <w:b/>
              </w:rPr>
            </w:pPr>
            <w:r w:rsidRPr="009C1E28">
              <w:rPr>
                <w:rFonts w:ascii="Times New Roman" w:hAnsi="Times New Roman" w:cs="Times New Roman"/>
              </w:rPr>
              <w:t>51 (21</w:t>
            </w:r>
            <w:r w:rsidRPr="009C1E28">
              <w:rPr>
                <w:rFonts w:ascii="Times New Roman" w:hAnsi="Times New Roman" w:cs="Times New Roman"/>
              </w:rPr>
              <w:noBreakHyphen/>
              <w:t>71)</w:t>
            </w:r>
          </w:p>
        </w:tc>
        <w:tc>
          <w:tcPr>
            <w:tcW w:w="1701" w:type="dxa"/>
          </w:tcPr>
          <w:p w:rsidR="009C1E28" w:rsidRPr="009C1E28" w:rsidRDefault="009C1E28" w:rsidP="00D95AD4">
            <w:pPr>
              <w:keepNext/>
              <w:keepLines/>
              <w:spacing w:after="0"/>
              <w:jc w:val="both"/>
              <w:rPr>
                <w:rFonts w:ascii="Times New Roman" w:hAnsi="Times New Roman" w:cs="Times New Roman"/>
                <w:b/>
              </w:rPr>
            </w:pPr>
            <w:r w:rsidRPr="009C1E28">
              <w:rPr>
                <w:rFonts w:ascii="Times New Roman" w:hAnsi="Times New Roman" w:cs="Times New Roman"/>
              </w:rPr>
              <w:t>53 (20</w:t>
            </w:r>
            <w:r w:rsidRPr="009C1E28">
              <w:rPr>
                <w:rFonts w:ascii="Times New Roman" w:hAnsi="Times New Roman" w:cs="Times New Roman"/>
              </w:rPr>
              <w:noBreakHyphen/>
              <w:t>71)</w:t>
            </w:r>
          </w:p>
        </w:tc>
        <w:tc>
          <w:tcPr>
            <w:tcW w:w="1871" w:type="dxa"/>
          </w:tcPr>
          <w:p w:rsidR="009C1E28" w:rsidRPr="009C1E28" w:rsidRDefault="009C1E28" w:rsidP="00D95AD4">
            <w:pPr>
              <w:keepNext/>
              <w:keepLines/>
              <w:spacing w:after="0"/>
              <w:jc w:val="both"/>
              <w:rPr>
                <w:rFonts w:ascii="Times New Roman" w:hAnsi="Times New Roman" w:cs="Times New Roman"/>
                <w:b/>
              </w:rPr>
            </w:pPr>
            <w:r w:rsidRPr="009C1E28">
              <w:rPr>
                <w:rFonts w:ascii="Times New Roman" w:hAnsi="Times New Roman" w:cs="Times New Roman"/>
              </w:rPr>
              <w:t>52 (20</w:t>
            </w:r>
            <w:r w:rsidRPr="009C1E28">
              <w:rPr>
                <w:rFonts w:ascii="Times New Roman" w:hAnsi="Times New Roman" w:cs="Times New Roman"/>
              </w:rPr>
              <w:noBreakHyphen/>
              <w:t>75)</w:t>
            </w:r>
          </w:p>
        </w:tc>
      </w:tr>
      <w:tr w:rsidR="009C1E28" w:rsidRPr="009C1E28" w:rsidTr="00D95AD4">
        <w:tc>
          <w:tcPr>
            <w:tcW w:w="2802" w:type="dxa"/>
            <w:gridSpan w:val="2"/>
          </w:tcPr>
          <w:p w:rsidR="009C1E28" w:rsidRPr="009C1E28" w:rsidRDefault="009C1E28" w:rsidP="00D95AD4">
            <w:pPr>
              <w:keepNext/>
              <w:keepLines/>
              <w:spacing w:after="0"/>
              <w:jc w:val="both"/>
              <w:rPr>
                <w:rFonts w:ascii="Times New Roman" w:hAnsi="Times New Roman" w:cs="Times New Roman"/>
                <w:b/>
              </w:rPr>
            </w:pPr>
            <w:r w:rsidRPr="009C1E28">
              <w:rPr>
                <w:rFonts w:ascii="Times New Roman" w:hAnsi="Times New Roman" w:cs="Times New Roman"/>
              </w:rPr>
              <w:t>Muški pol</w:t>
            </w:r>
          </w:p>
        </w:tc>
        <w:tc>
          <w:tcPr>
            <w:tcW w:w="1559" w:type="dxa"/>
          </w:tcPr>
          <w:p w:rsidR="009C1E28" w:rsidRPr="009C1E28" w:rsidRDefault="009C1E28" w:rsidP="00D95AD4">
            <w:pPr>
              <w:keepNext/>
              <w:keepLines/>
              <w:spacing w:after="0"/>
              <w:jc w:val="both"/>
              <w:rPr>
                <w:rFonts w:ascii="Times New Roman" w:hAnsi="Times New Roman" w:cs="Times New Roman"/>
                <w:b/>
              </w:rPr>
            </w:pPr>
            <w:r w:rsidRPr="009C1E28">
              <w:rPr>
                <w:rFonts w:ascii="Times New Roman" w:hAnsi="Times New Roman" w:cs="Times New Roman"/>
              </w:rPr>
              <w:t xml:space="preserve">60% (130) </w:t>
            </w:r>
          </w:p>
        </w:tc>
        <w:tc>
          <w:tcPr>
            <w:tcW w:w="1701" w:type="dxa"/>
          </w:tcPr>
          <w:p w:rsidR="009C1E28" w:rsidRPr="009C1E28" w:rsidRDefault="009C1E28" w:rsidP="00D95AD4">
            <w:pPr>
              <w:keepNext/>
              <w:keepLines/>
              <w:spacing w:after="0"/>
              <w:jc w:val="both"/>
              <w:rPr>
                <w:rFonts w:ascii="Times New Roman" w:hAnsi="Times New Roman" w:cs="Times New Roman"/>
                <w:b/>
              </w:rPr>
            </w:pPr>
            <w:r w:rsidRPr="009C1E28">
              <w:rPr>
                <w:rFonts w:ascii="Times New Roman" w:hAnsi="Times New Roman" w:cs="Times New Roman"/>
              </w:rPr>
              <w:t>54% (117)</w:t>
            </w:r>
          </w:p>
        </w:tc>
        <w:tc>
          <w:tcPr>
            <w:tcW w:w="1701" w:type="dxa"/>
          </w:tcPr>
          <w:p w:rsidR="009C1E28" w:rsidRPr="009C1E28" w:rsidRDefault="009C1E28" w:rsidP="00D95AD4">
            <w:pPr>
              <w:keepNext/>
              <w:keepLines/>
              <w:spacing w:after="0"/>
              <w:jc w:val="both"/>
              <w:rPr>
                <w:rFonts w:ascii="Times New Roman" w:hAnsi="Times New Roman" w:cs="Times New Roman"/>
                <w:b/>
              </w:rPr>
            </w:pPr>
            <w:r w:rsidRPr="009C1E28">
              <w:rPr>
                <w:rFonts w:ascii="Times New Roman" w:hAnsi="Times New Roman" w:cs="Times New Roman"/>
              </w:rPr>
              <w:t>59% (128)</w:t>
            </w:r>
          </w:p>
        </w:tc>
        <w:tc>
          <w:tcPr>
            <w:tcW w:w="1871" w:type="dxa"/>
          </w:tcPr>
          <w:p w:rsidR="009C1E28" w:rsidRPr="009C1E28" w:rsidRDefault="009C1E28" w:rsidP="00D95AD4">
            <w:pPr>
              <w:keepNext/>
              <w:keepLines/>
              <w:spacing w:after="0"/>
              <w:jc w:val="both"/>
              <w:rPr>
                <w:rFonts w:ascii="Times New Roman" w:hAnsi="Times New Roman" w:cs="Times New Roman"/>
                <w:b/>
              </w:rPr>
            </w:pPr>
            <w:r w:rsidRPr="009C1E28">
              <w:rPr>
                <w:rFonts w:ascii="Times New Roman" w:hAnsi="Times New Roman" w:cs="Times New Roman"/>
              </w:rPr>
              <w:t>58% (375)</w:t>
            </w:r>
          </w:p>
        </w:tc>
      </w:tr>
      <w:tr w:rsidR="009C1E28" w:rsidRPr="009C1E28" w:rsidTr="00D95AD4">
        <w:tc>
          <w:tcPr>
            <w:tcW w:w="2802" w:type="dxa"/>
            <w:gridSpan w:val="2"/>
          </w:tcPr>
          <w:p w:rsidR="009C1E28" w:rsidRPr="009C1E28" w:rsidRDefault="009C1E28" w:rsidP="00D95AD4">
            <w:pPr>
              <w:keepNext/>
              <w:keepLines/>
              <w:spacing w:after="0"/>
              <w:jc w:val="both"/>
              <w:rPr>
                <w:rFonts w:ascii="Times New Roman" w:hAnsi="Times New Roman" w:cs="Times New Roman"/>
                <w:b/>
              </w:rPr>
            </w:pPr>
            <w:r w:rsidRPr="009C1E28">
              <w:rPr>
                <w:rFonts w:ascii="Times New Roman" w:hAnsi="Times New Roman" w:cs="Times New Roman"/>
              </w:rPr>
              <w:t>Rasa: crnci/afroamerikanci</w:t>
            </w:r>
          </w:p>
        </w:tc>
        <w:tc>
          <w:tcPr>
            <w:tcW w:w="1559" w:type="dxa"/>
          </w:tcPr>
          <w:p w:rsidR="009C1E28" w:rsidRPr="009C1E28" w:rsidRDefault="009C1E28" w:rsidP="00D95AD4">
            <w:pPr>
              <w:keepNext/>
              <w:keepLines/>
              <w:spacing w:after="0"/>
              <w:jc w:val="both"/>
              <w:rPr>
                <w:rFonts w:ascii="Times New Roman" w:hAnsi="Times New Roman" w:cs="Times New Roman"/>
                <w:b/>
              </w:rPr>
            </w:pPr>
            <w:r w:rsidRPr="009C1E28">
              <w:rPr>
                <w:rFonts w:ascii="Times New Roman" w:hAnsi="Times New Roman" w:cs="Times New Roman"/>
              </w:rPr>
              <w:t>21% (45)</w:t>
            </w:r>
          </w:p>
        </w:tc>
        <w:tc>
          <w:tcPr>
            <w:tcW w:w="1701" w:type="dxa"/>
          </w:tcPr>
          <w:p w:rsidR="009C1E28" w:rsidRPr="009C1E28" w:rsidRDefault="009C1E28" w:rsidP="00D95AD4">
            <w:pPr>
              <w:keepNext/>
              <w:keepLines/>
              <w:spacing w:after="0"/>
              <w:jc w:val="both"/>
              <w:rPr>
                <w:rFonts w:ascii="Times New Roman" w:hAnsi="Times New Roman" w:cs="Times New Roman"/>
                <w:b/>
              </w:rPr>
            </w:pPr>
            <w:r w:rsidRPr="009C1E28">
              <w:rPr>
                <w:rFonts w:ascii="Times New Roman" w:hAnsi="Times New Roman" w:cs="Times New Roman"/>
              </w:rPr>
              <w:t>17% (36)</w:t>
            </w:r>
          </w:p>
        </w:tc>
        <w:tc>
          <w:tcPr>
            <w:tcW w:w="1701" w:type="dxa"/>
          </w:tcPr>
          <w:p w:rsidR="009C1E28" w:rsidRPr="009C1E28" w:rsidRDefault="009C1E28" w:rsidP="00D95AD4">
            <w:pPr>
              <w:keepNext/>
              <w:keepLines/>
              <w:spacing w:after="0"/>
              <w:jc w:val="both"/>
              <w:rPr>
                <w:rFonts w:ascii="Times New Roman" w:hAnsi="Times New Roman" w:cs="Times New Roman"/>
                <w:b/>
              </w:rPr>
            </w:pPr>
            <w:r w:rsidRPr="009C1E28">
              <w:rPr>
                <w:rFonts w:ascii="Times New Roman" w:hAnsi="Times New Roman" w:cs="Times New Roman"/>
              </w:rPr>
              <w:t>19% (42)</w:t>
            </w:r>
          </w:p>
        </w:tc>
        <w:tc>
          <w:tcPr>
            <w:tcW w:w="1871" w:type="dxa"/>
          </w:tcPr>
          <w:p w:rsidR="009C1E28" w:rsidRPr="009C1E28" w:rsidRDefault="009C1E28" w:rsidP="00D95AD4">
            <w:pPr>
              <w:keepNext/>
              <w:keepLines/>
              <w:spacing w:after="0"/>
              <w:jc w:val="both"/>
              <w:rPr>
                <w:rFonts w:ascii="Times New Roman" w:hAnsi="Times New Roman" w:cs="Times New Roman"/>
                <w:b/>
              </w:rPr>
            </w:pPr>
            <w:r w:rsidRPr="009C1E28">
              <w:rPr>
                <w:rFonts w:ascii="Times New Roman" w:hAnsi="Times New Roman" w:cs="Times New Roman"/>
              </w:rPr>
              <w:t>19% (123)</w:t>
            </w:r>
          </w:p>
        </w:tc>
      </w:tr>
      <w:tr w:rsidR="009C1E28" w:rsidRPr="009C1E28" w:rsidTr="00D95AD4">
        <w:tc>
          <w:tcPr>
            <w:tcW w:w="2802" w:type="dxa"/>
            <w:gridSpan w:val="2"/>
          </w:tcPr>
          <w:p w:rsidR="009C1E28" w:rsidRPr="009C1E28" w:rsidRDefault="009C1E28" w:rsidP="00D95AD4">
            <w:pPr>
              <w:keepNext/>
              <w:keepLines/>
              <w:spacing w:after="0"/>
              <w:jc w:val="both"/>
              <w:rPr>
                <w:rFonts w:ascii="Times New Roman" w:hAnsi="Times New Roman" w:cs="Times New Roman"/>
                <w:b/>
              </w:rPr>
            </w:pPr>
            <w:r w:rsidRPr="009C1E28">
              <w:rPr>
                <w:rFonts w:ascii="Times New Roman" w:hAnsi="Times New Roman" w:cs="Times New Roman"/>
              </w:rPr>
              <w:tab/>
              <w:t>bijelci</w:t>
            </w:r>
          </w:p>
        </w:tc>
        <w:tc>
          <w:tcPr>
            <w:tcW w:w="1559" w:type="dxa"/>
          </w:tcPr>
          <w:p w:rsidR="009C1E28" w:rsidRPr="009C1E28" w:rsidRDefault="009C1E28" w:rsidP="00D95AD4">
            <w:pPr>
              <w:keepNext/>
              <w:keepLines/>
              <w:spacing w:after="0"/>
              <w:jc w:val="both"/>
              <w:rPr>
                <w:rFonts w:ascii="Times New Roman" w:hAnsi="Times New Roman" w:cs="Times New Roman"/>
                <w:b/>
              </w:rPr>
            </w:pPr>
            <w:r w:rsidRPr="009C1E28">
              <w:rPr>
                <w:rFonts w:ascii="Times New Roman" w:hAnsi="Times New Roman" w:cs="Times New Roman"/>
              </w:rPr>
              <w:t>76% (164)</w:t>
            </w:r>
          </w:p>
        </w:tc>
        <w:tc>
          <w:tcPr>
            <w:tcW w:w="1701" w:type="dxa"/>
          </w:tcPr>
          <w:p w:rsidR="009C1E28" w:rsidRPr="009C1E28" w:rsidRDefault="009C1E28" w:rsidP="00D95AD4">
            <w:pPr>
              <w:keepNext/>
              <w:keepLines/>
              <w:spacing w:after="0"/>
              <w:jc w:val="both"/>
              <w:rPr>
                <w:rFonts w:ascii="Times New Roman" w:hAnsi="Times New Roman" w:cs="Times New Roman"/>
                <w:b/>
              </w:rPr>
            </w:pPr>
            <w:r w:rsidRPr="009C1E28">
              <w:rPr>
                <w:rFonts w:ascii="Times New Roman" w:hAnsi="Times New Roman" w:cs="Times New Roman"/>
              </w:rPr>
              <w:t>81% (176)</w:t>
            </w:r>
          </w:p>
        </w:tc>
        <w:tc>
          <w:tcPr>
            <w:tcW w:w="1701" w:type="dxa"/>
          </w:tcPr>
          <w:p w:rsidR="009C1E28" w:rsidRPr="009C1E28" w:rsidRDefault="009C1E28" w:rsidP="00D95AD4">
            <w:pPr>
              <w:keepNext/>
              <w:keepLines/>
              <w:spacing w:after="0"/>
              <w:jc w:val="both"/>
              <w:rPr>
                <w:rFonts w:ascii="Times New Roman" w:hAnsi="Times New Roman" w:cs="Times New Roman"/>
                <w:b/>
              </w:rPr>
            </w:pPr>
            <w:r w:rsidRPr="009C1E28">
              <w:rPr>
                <w:rFonts w:ascii="Times New Roman" w:hAnsi="Times New Roman" w:cs="Times New Roman"/>
              </w:rPr>
              <w:t>77% (167)</w:t>
            </w:r>
          </w:p>
        </w:tc>
        <w:tc>
          <w:tcPr>
            <w:tcW w:w="1871" w:type="dxa"/>
          </w:tcPr>
          <w:p w:rsidR="009C1E28" w:rsidRPr="009C1E28" w:rsidRDefault="009C1E28" w:rsidP="00D95AD4">
            <w:pPr>
              <w:keepNext/>
              <w:keepLines/>
              <w:spacing w:after="0"/>
              <w:jc w:val="both"/>
              <w:rPr>
                <w:rFonts w:ascii="Times New Roman" w:hAnsi="Times New Roman" w:cs="Times New Roman"/>
                <w:b/>
              </w:rPr>
            </w:pPr>
            <w:r w:rsidRPr="009C1E28">
              <w:rPr>
                <w:rFonts w:ascii="Times New Roman" w:hAnsi="Times New Roman" w:cs="Times New Roman"/>
              </w:rPr>
              <w:t>78% (507)</w:t>
            </w:r>
          </w:p>
        </w:tc>
      </w:tr>
      <w:tr w:rsidR="009C1E28" w:rsidRPr="009C1E28" w:rsidTr="00D95AD4">
        <w:tc>
          <w:tcPr>
            <w:tcW w:w="2802" w:type="dxa"/>
            <w:gridSpan w:val="2"/>
          </w:tcPr>
          <w:p w:rsidR="009C1E28" w:rsidRPr="009C1E28" w:rsidRDefault="009C1E28" w:rsidP="00D95AD4">
            <w:pPr>
              <w:keepNext/>
              <w:keepLines/>
              <w:spacing w:after="0"/>
              <w:jc w:val="both"/>
              <w:rPr>
                <w:rFonts w:ascii="Times New Roman" w:hAnsi="Times New Roman" w:cs="Times New Roman"/>
                <w:b/>
              </w:rPr>
            </w:pPr>
            <w:r w:rsidRPr="009C1E28">
              <w:rPr>
                <w:rFonts w:ascii="Times New Roman" w:hAnsi="Times New Roman" w:cs="Times New Roman"/>
              </w:rPr>
              <w:t>Genotip 1a</w:t>
            </w:r>
          </w:p>
        </w:tc>
        <w:tc>
          <w:tcPr>
            <w:tcW w:w="1559" w:type="dxa"/>
          </w:tcPr>
          <w:p w:rsidR="009C1E28" w:rsidRPr="009C1E28" w:rsidRDefault="009C1E28" w:rsidP="00D95AD4">
            <w:pPr>
              <w:keepNext/>
              <w:keepLines/>
              <w:spacing w:after="0"/>
              <w:jc w:val="both"/>
              <w:rPr>
                <w:rFonts w:ascii="Times New Roman" w:hAnsi="Times New Roman" w:cs="Times New Roman"/>
                <w:b/>
              </w:rPr>
            </w:pPr>
            <w:r w:rsidRPr="009C1E28">
              <w:rPr>
                <w:rFonts w:ascii="Times New Roman" w:hAnsi="Times New Roman" w:cs="Times New Roman"/>
              </w:rPr>
              <w:t>80% (171)</w:t>
            </w:r>
          </w:p>
        </w:tc>
        <w:tc>
          <w:tcPr>
            <w:tcW w:w="1701" w:type="dxa"/>
          </w:tcPr>
          <w:p w:rsidR="009C1E28" w:rsidRPr="009C1E28" w:rsidRDefault="009C1E28" w:rsidP="00D95AD4">
            <w:pPr>
              <w:keepNext/>
              <w:keepLines/>
              <w:spacing w:after="0"/>
              <w:jc w:val="both"/>
              <w:rPr>
                <w:rFonts w:ascii="Times New Roman" w:hAnsi="Times New Roman" w:cs="Times New Roman"/>
                <w:b/>
              </w:rPr>
            </w:pPr>
            <w:r w:rsidRPr="009C1E28">
              <w:rPr>
                <w:rFonts w:ascii="Times New Roman" w:hAnsi="Times New Roman" w:cs="Times New Roman"/>
              </w:rPr>
              <w:t>80% (172)</w:t>
            </w:r>
          </w:p>
        </w:tc>
        <w:tc>
          <w:tcPr>
            <w:tcW w:w="1701" w:type="dxa"/>
          </w:tcPr>
          <w:p w:rsidR="009C1E28" w:rsidRPr="009C1E28" w:rsidRDefault="009C1E28" w:rsidP="00D95AD4">
            <w:pPr>
              <w:keepNext/>
              <w:keepLines/>
              <w:spacing w:after="0"/>
              <w:jc w:val="both"/>
              <w:rPr>
                <w:rFonts w:ascii="Times New Roman" w:hAnsi="Times New Roman" w:cs="Times New Roman"/>
                <w:b/>
              </w:rPr>
            </w:pPr>
            <w:r w:rsidRPr="009C1E28">
              <w:rPr>
                <w:rFonts w:ascii="Times New Roman" w:hAnsi="Times New Roman" w:cs="Times New Roman"/>
              </w:rPr>
              <w:t>80% (172)</w:t>
            </w:r>
          </w:p>
        </w:tc>
        <w:tc>
          <w:tcPr>
            <w:tcW w:w="1871" w:type="dxa"/>
          </w:tcPr>
          <w:p w:rsidR="009C1E28" w:rsidRPr="009C1E28" w:rsidRDefault="009C1E28" w:rsidP="00D95AD4">
            <w:pPr>
              <w:keepNext/>
              <w:keepLines/>
              <w:spacing w:after="0"/>
              <w:jc w:val="both"/>
              <w:rPr>
                <w:rFonts w:ascii="Times New Roman" w:hAnsi="Times New Roman" w:cs="Times New Roman"/>
                <w:b/>
              </w:rPr>
            </w:pPr>
            <w:r w:rsidRPr="009C1E28">
              <w:rPr>
                <w:rFonts w:ascii="Times New Roman" w:hAnsi="Times New Roman" w:cs="Times New Roman"/>
              </w:rPr>
              <w:t>80% (515)</w:t>
            </w:r>
            <w:r w:rsidRPr="009C1E28">
              <w:rPr>
                <w:rFonts w:ascii="Times New Roman" w:hAnsi="Times New Roman" w:cs="Times New Roman"/>
                <w:vertAlign w:val="superscript"/>
              </w:rPr>
              <w:t>a</w:t>
            </w:r>
          </w:p>
        </w:tc>
      </w:tr>
      <w:tr w:rsidR="009C1E28" w:rsidRPr="009C1E28" w:rsidTr="00D95AD4">
        <w:tc>
          <w:tcPr>
            <w:tcW w:w="2802" w:type="dxa"/>
            <w:gridSpan w:val="2"/>
          </w:tcPr>
          <w:p w:rsidR="009C1E28" w:rsidRPr="009C1E28" w:rsidRDefault="009C1E28" w:rsidP="00D95AD4">
            <w:pPr>
              <w:keepNext/>
              <w:keepLines/>
              <w:spacing w:after="0"/>
              <w:jc w:val="both"/>
              <w:rPr>
                <w:rFonts w:ascii="Times New Roman" w:hAnsi="Times New Roman" w:cs="Times New Roman"/>
                <w:b/>
              </w:rPr>
            </w:pPr>
            <w:r w:rsidRPr="009C1E28">
              <w:rPr>
                <w:rFonts w:ascii="Times New Roman" w:hAnsi="Times New Roman" w:cs="Times New Roman"/>
              </w:rPr>
              <w:t>IL28CC genotip</w:t>
            </w:r>
          </w:p>
        </w:tc>
        <w:tc>
          <w:tcPr>
            <w:tcW w:w="1559" w:type="dxa"/>
          </w:tcPr>
          <w:p w:rsidR="009C1E28" w:rsidRPr="009C1E28" w:rsidRDefault="009C1E28" w:rsidP="00D95AD4">
            <w:pPr>
              <w:keepNext/>
              <w:keepLines/>
              <w:spacing w:after="0"/>
              <w:jc w:val="both"/>
              <w:rPr>
                <w:rFonts w:ascii="Times New Roman" w:hAnsi="Times New Roman" w:cs="Times New Roman"/>
                <w:b/>
              </w:rPr>
            </w:pPr>
            <w:r w:rsidRPr="009C1E28">
              <w:rPr>
                <w:rFonts w:ascii="Times New Roman" w:hAnsi="Times New Roman" w:cs="Times New Roman"/>
              </w:rPr>
              <w:t>26% (56)</w:t>
            </w:r>
          </w:p>
        </w:tc>
        <w:tc>
          <w:tcPr>
            <w:tcW w:w="1701" w:type="dxa"/>
          </w:tcPr>
          <w:p w:rsidR="009C1E28" w:rsidRPr="009C1E28" w:rsidRDefault="009C1E28" w:rsidP="00D95AD4">
            <w:pPr>
              <w:keepNext/>
              <w:keepLines/>
              <w:spacing w:after="0"/>
              <w:jc w:val="both"/>
              <w:rPr>
                <w:rFonts w:ascii="Times New Roman" w:hAnsi="Times New Roman" w:cs="Times New Roman"/>
                <w:b/>
              </w:rPr>
            </w:pPr>
            <w:r w:rsidRPr="009C1E28">
              <w:rPr>
                <w:rFonts w:ascii="Times New Roman" w:hAnsi="Times New Roman" w:cs="Times New Roman"/>
              </w:rPr>
              <w:t>28% (60)</w:t>
            </w:r>
          </w:p>
        </w:tc>
        <w:tc>
          <w:tcPr>
            <w:tcW w:w="1701" w:type="dxa"/>
          </w:tcPr>
          <w:p w:rsidR="009C1E28" w:rsidRPr="009C1E28" w:rsidRDefault="009C1E28" w:rsidP="00D95AD4">
            <w:pPr>
              <w:keepNext/>
              <w:keepLines/>
              <w:spacing w:after="0"/>
              <w:jc w:val="both"/>
              <w:rPr>
                <w:rFonts w:ascii="Times New Roman" w:hAnsi="Times New Roman" w:cs="Times New Roman"/>
                <w:b/>
              </w:rPr>
            </w:pPr>
            <w:r w:rsidRPr="009C1E28">
              <w:rPr>
                <w:rFonts w:ascii="Times New Roman" w:hAnsi="Times New Roman" w:cs="Times New Roman"/>
              </w:rPr>
              <w:t>26% (56)</w:t>
            </w:r>
          </w:p>
        </w:tc>
        <w:tc>
          <w:tcPr>
            <w:tcW w:w="1871" w:type="dxa"/>
          </w:tcPr>
          <w:p w:rsidR="009C1E28" w:rsidRPr="009C1E28" w:rsidRDefault="009C1E28" w:rsidP="00D95AD4">
            <w:pPr>
              <w:keepNext/>
              <w:keepLines/>
              <w:spacing w:after="0"/>
              <w:jc w:val="both"/>
              <w:rPr>
                <w:rFonts w:ascii="Times New Roman" w:hAnsi="Times New Roman" w:cs="Times New Roman"/>
                <w:b/>
              </w:rPr>
            </w:pPr>
            <w:r w:rsidRPr="009C1E28">
              <w:rPr>
                <w:rFonts w:ascii="Times New Roman" w:hAnsi="Times New Roman" w:cs="Times New Roman"/>
              </w:rPr>
              <w:t>27% (172)</w:t>
            </w:r>
          </w:p>
        </w:tc>
      </w:tr>
      <w:tr w:rsidR="009C1E28" w:rsidRPr="009C1E28" w:rsidTr="00D95AD4">
        <w:tc>
          <w:tcPr>
            <w:tcW w:w="9634" w:type="dxa"/>
            <w:gridSpan w:val="6"/>
          </w:tcPr>
          <w:p w:rsidR="009C1E28" w:rsidRPr="009C1E28" w:rsidRDefault="009C1E28" w:rsidP="00D95AD4">
            <w:pPr>
              <w:keepNext/>
              <w:keepLines/>
              <w:spacing w:after="0"/>
              <w:jc w:val="both"/>
              <w:rPr>
                <w:rFonts w:ascii="Times New Roman" w:hAnsi="Times New Roman" w:cs="Times New Roman"/>
                <w:b/>
                <w:i/>
              </w:rPr>
            </w:pPr>
            <w:r w:rsidRPr="009C1E28">
              <w:rPr>
                <w:rFonts w:ascii="Times New Roman" w:hAnsi="Times New Roman" w:cs="Times New Roman"/>
                <w:i/>
              </w:rPr>
              <w:t xml:space="preserve">Metavir-rezultat određen FibroTestom </w:t>
            </w:r>
            <w:r w:rsidRPr="009C1E28">
              <w:rPr>
                <w:rFonts w:ascii="Times New Roman" w:hAnsi="Times New Roman" w:cs="Times New Roman"/>
                <w:i/>
                <w:vertAlign w:val="superscript"/>
              </w:rPr>
              <w:t>b</w:t>
            </w:r>
          </w:p>
        </w:tc>
      </w:tr>
      <w:tr w:rsidR="009C1E28" w:rsidRPr="009C1E28" w:rsidTr="00D95AD4">
        <w:tc>
          <w:tcPr>
            <w:tcW w:w="279" w:type="dxa"/>
            <w:tcBorders>
              <w:right w:val="nil"/>
            </w:tcBorders>
          </w:tcPr>
          <w:p w:rsidR="009C1E28" w:rsidRPr="009C1E28" w:rsidRDefault="009C1E28" w:rsidP="00D95AD4">
            <w:pPr>
              <w:keepNext/>
              <w:keepLines/>
              <w:spacing w:after="0"/>
              <w:jc w:val="both"/>
              <w:rPr>
                <w:rFonts w:ascii="Times New Roman" w:hAnsi="Times New Roman" w:cs="Times New Roman"/>
                <w:b/>
              </w:rPr>
            </w:pPr>
          </w:p>
        </w:tc>
        <w:tc>
          <w:tcPr>
            <w:tcW w:w="2523" w:type="dxa"/>
            <w:tcBorders>
              <w:left w:val="nil"/>
            </w:tcBorders>
          </w:tcPr>
          <w:p w:rsidR="009C1E28" w:rsidRPr="009C1E28" w:rsidRDefault="009C1E28" w:rsidP="00D95AD4">
            <w:pPr>
              <w:keepNext/>
              <w:keepLines/>
              <w:spacing w:after="0"/>
              <w:jc w:val="both"/>
              <w:rPr>
                <w:rFonts w:ascii="Times New Roman" w:hAnsi="Times New Roman" w:cs="Times New Roman"/>
                <w:b/>
              </w:rPr>
            </w:pPr>
            <w:r w:rsidRPr="009C1E28">
              <w:rPr>
                <w:rFonts w:ascii="Times New Roman" w:hAnsi="Times New Roman" w:cs="Times New Roman"/>
              </w:rPr>
              <w:t>F0</w:t>
            </w:r>
            <w:r w:rsidRPr="009C1E28">
              <w:rPr>
                <w:rFonts w:ascii="Times New Roman" w:hAnsi="Times New Roman" w:cs="Times New Roman"/>
              </w:rPr>
              <w:noBreakHyphen/>
              <w:t>F1</w:t>
            </w:r>
          </w:p>
        </w:tc>
        <w:tc>
          <w:tcPr>
            <w:tcW w:w="1559" w:type="dxa"/>
          </w:tcPr>
          <w:p w:rsidR="009C1E28" w:rsidRPr="009C1E28" w:rsidRDefault="009C1E28" w:rsidP="00D95AD4">
            <w:pPr>
              <w:keepNext/>
              <w:keepLines/>
              <w:spacing w:after="0"/>
              <w:jc w:val="both"/>
              <w:rPr>
                <w:rFonts w:ascii="Times New Roman" w:hAnsi="Times New Roman" w:cs="Times New Roman"/>
                <w:b/>
              </w:rPr>
            </w:pPr>
            <w:r w:rsidRPr="009C1E28">
              <w:rPr>
                <w:rFonts w:ascii="Times New Roman" w:hAnsi="Times New Roman" w:cs="Times New Roman"/>
              </w:rPr>
              <w:t>33% (72)</w:t>
            </w:r>
          </w:p>
        </w:tc>
        <w:tc>
          <w:tcPr>
            <w:tcW w:w="1701" w:type="dxa"/>
          </w:tcPr>
          <w:p w:rsidR="009C1E28" w:rsidRPr="009C1E28" w:rsidRDefault="009C1E28" w:rsidP="00D95AD4">
            <w:pPr>
              <w:keepNext/>
              <w:keepLines/>
              <w:spacing w:after="0"/>
              <w:jc w:val="both"/>
              <w:rPr>
                <w:rFonts w:ascii="Times New Roman" w:hAnsi="Times New Roman" w:cs="Times New Roman"/>
                <w:b/>
              </w:rPr>
            </w:pPr>
            <w:r w:rsidRPr="009C1E28">
              <w:rPr>
                <w:rFonts w:ascii="Times New Roman" w:hAnsi="Times New Roman" w:cs="Times New Roman"/>
              </w:rPr>
              <w:t>38% (81)</w:t>
            </w:r>
          </w:p>
        </w:tc>
        <w:tc>
          <w:tcPr>
            <w:tcW w:w="1701" w:type="dxa"/>
          </w:tcPr>
          <w:p w:rsidR="009C1E28" w:rsidRPr="009C1E28" w:rsidRDefault="009C1E28" w:rsidP="00D95AD4">
            <w:pPr>
              <w:keepNext/>
              <w:keepLines/>
              <w:spacing w:after="0"/>
              <w:jc w:val="both"/>
              <w:rPr>
                <w:rFonts w:ascii="Times New Roman" w:hAnsi="Times New Roman" w:cs="Times New Roman"/>
                <w:b/>
              </w:rPr>
            </w:pPr>
            <w:r w:rsidRPr="009C1E28">
              <w:rPr>
                <w:rFonts w:ascii="Times New Roman" w:hAnsi="Times New Roman" w:cs="Times New Roman"/>
              </w:rPr>
              <w:t>33% (72)</w:t>
            </w:r>
          </w:p>
        </w:tc>
        <w:tc>
          <w:tcPr>
            <w:tcW w:w="1871" w:type="dxa"/>
          </w:tcPr>
          <w:p w:rsidR="009C1E28" w:rsidRPr="009C1E28" w:rsidRDefault="009C1E28" w:rsidP="00D95AD4">
            <w:pPr>
              <w:keepNext/>
              <w:keepLines/>
              <w:spacing w:after="0"/>
              <w:jc w:val="both"/>
              <w:rPr>
                <w:rFonts w:ascii="Times New Roman" w:hAnsi="Times New Roman" w:cs="Times New Roman"/>
                <w:b/>
              </w:rPr>
            </w:pPr>
            <w:r w:rsidRPr="009C1E28">
              <w:rPr>
                <w:rFonts w:ascii="Times New Roman" w:hAnsi="Times New Roman" w:cs="Times New Roman"/>
              </w:rPr>
              <w:t>35% (225)</w:t>
            </w:r>
          </w:p>
        </w:tc>
      </w:tr>
      <w:tr w:rsidR="009C1E28" w:rsidRPr="009C1E28" w:rsidTr="00D95AD4">
        <w:tc>
          <w:tcPr>
            <w:tcW w:w="279" w:type="dxa"/>
            <w:tcBorders>
              <w:right w:val="nil"/>
            </w:tcBorders>
          </w:tcPr>
          <w:p w:rsidR="009C1E28" w:rsidRPr="009C1E28" w:rsidRDefault="009C1E28" w:rsidP="00D95AD4">
            <w:pPr>
              <w:keepNext/>
              <w:keepLines/>
              <w:spacing w:after="0"/>
              <w:jc w:val="both"/>
              <w:rPr>
                <w:rFonts w:ascii="Times New Roman" w:hAnsi="Times New Roman" w:cs="Times New Roman"/>
                <w:b/>
              </w:rPr>
            </w:pPr>
          </w:p>
        </w:tc>
        <w:tc>
          <w:tcPr>
            <w:tcW w:w="2523" w:type="dxa"/>
            <w:tcBorders>
              <w:left w:val="nil"/>
            </w:tcBorders>
          </w:tcPr>
          <w:p w:rsidR="009C1E28" w:rsidRPr="009C1E28" w:rsidRDefault="009C1E28" w:rsidP="00D95AD4">
            <w:pPr>
              <w:keepNext/>
              <w:keepLines/>
              <w:spacing w:after="0"/>
              <w:jc w:val="both"/>
              <w:rPr>
                <w:rFonts w:ascii="Times New Roman" w:hAnsi="Times New Roman" w:cs="Times New Roman"/>
                <w:b/>
              </w:rPr>
            </w:pPr>
            <w:r w:rsidRPr="009C1E28">
              <w:rPr>
                <w:rFonts w:ascii="Times New Roman" w:hAnsi="Times New Roman" w:cs="Times New Roman"/>
              </w:rPr>
              <w:t>F2</w:t>
            </w:r>
          </w:p>
        </w:tc>
        <w:tc>
          <w:tcPr>
            <w:tcW w:w="1559" w:type="dxa"/>
          </w:tcPr>
          <w:p w:rsidR="009C1E28" w:rsidRPr="009C1E28" w:rsidRDefault="009C1E28" w:rsidP="00D95AD4">
            <w:pPr>
              <w:keepNext/>
              <w:keepLines/>
              <w:spacing w:after="0"/>
              <w:jc w:val="both"/>
              <w:rPr>
                <w:rFonts w:ascii="Times New Roman" w:hAnsi="Times New Roman" w:cs="Times New Roman"/>
                <w:b/>
              </w:rPr>
            </w:pPr>
            <w:r w:rsidRPr="009C1E28">
              <w:rPr>
                <w:rFonts w:ascii="Times New Roman" w:hAnsi="Times New Roman" w:cs="Times New Roman"/>
              </w:rPr>
              <w:t>30% (65)</w:t>
            </w:r>
          </w:p>
        </w:tc>
        <w:tc>
          <w:tcPr>
            <w:tcW w:w="1701" w:type="dxa"/>
          </w:tcPr>
          <w:p w:rsidR="009C1E28" w:rsidRPr="009C1E28" w:rsidRDefault="009C1E28" w:rsidP="00D95AD4">
            <w:pPr>
              <w:keepNext/>
              <w:keepLines/>
              <w:spacing w:after="0"/>
              <w:jc w:val="both"/>
              <w:rPr>
                <w:rFonts w:ascii="Times New Roman" w:hAnsi="Times New Roman" w:cs="Times New Roman"/>
                <w:b/>
              </w:rPr>
            </w:pPr>
            <w:r w:rsidRPr="009C1E28">
              <w:rPr>
                <w:rFonts w:ascii="Times New Roman" w:hAnsi="Times New Roman" w:cs="Times New Roman"/>
              </w:rPr>
              <w:t>28% (61)</w:t>
            </w:r>
          </w:p>
        </w:tc>
        <w:tc>
          <w:tcPr>
            <w:tcW w:w="1701" w:type="dxa"/>
          </w:tcPr>
          <w:p w:rsidR="009C1E28" w:rsidRPr="009C1E28" w:rsidRDefault="009C1E28" w:rsidP="00D95AD4">
            <w:pPr>
              <w:keepNext/>
              <w:keepLines/>
              <w:spacing w:after="0"/>
              <w:jc w:val="both"/>
              <w:rPr>
                <w:rFonts w:ascii="Times New Roman" w:hAnsi="Times New Roman" w:cs="Times New Roman"/>
                <w:b/>
              </w:rPr>
            </w:pPr>
            <w:r w:rsidRPr="009C1E28">
              <w:rPr>
                <w:rFonts w:ascii="Times New Roman" w:hAnsi="Times New Roman" w:cs="Times New Roman"/>
              </w:rPr>
              <w:t>30% (65)</w:t>
            </w:r>
          </w:p>
        </w:tc>
        <w:tc>
          <w:tcPr>
            <w:tcW w:w="1871" w:type="dxa"/>
          </w:tcPr>
          <w:p w:rsidR="009C1E28" w:rsidRPr="009C1E28" w:rsidRDefault="009C1E28" w:rsidP="00D95AD4">
            <w:pPr>
              <w:keepNext/>
              <w:keepLines/>
              <w:spacing w:after="0"/>
              <w:jc w:val="both"/>
              <w:rPr>
                <w:rFonts w:ascii="Times New Roman" w:hAnsi="Times New Roman" w:cs="Times New Roman"/>
                <w:b/>
              </w:rPr>
            </w:pPr>
            <w:r w:rsidRPr="009C1E28">
              <w:rPr>
                <w:rFonts w:ascii="Times New Roman" w:hAnsi="Times New Roman" w:cs="Times New Roman"/>
              </w:rPr>
              <w:t>30% (191)</w:t>
            </w:r>
          </w:p>
        </w:tc>
      </w:tr>
      <w:tr w:rsidR="009C1E28" w:rsidRPr="009C1E28" w:rsidTr="00D95AD4">
        <w:tc>
          <w:tcPr>
            <w:tcW w:w="279" w:type="dxa"/>
            <w:tcBorders>
              <w:right w:val="nil"/>
            </w:tcBorders>
          </w:tcPr>
          <w:p w:rsidR="009C1E28" w:rsidRPr="009C1E28" w:rsidRDefault="009C1E28" w:rsidP="00D95AD4">
            <w:pPr>
              <w:keepNext/>
              <w:keepLines/>
              <w:spacing w:after="0"/>
              <w:jc w:val="both"/>
              <w:rPr>
                <w:rFonts w:ascii="Times New Roman" w:hAnsi="Times New Roman" w:cs="Times New Roman"/>
                <w:b/>
              </w:rPr>
            </w:pPr>
          </w:p>
        </w:tc>
        <w:tc>
          <w:tcPr>
            <w:tcW w:w="2523" w:type="dxa"/>
            <w:tcBorders>
              <w:left w:val="nil"/>
            </w:tcBorders>
          </w:tcPr>
          <w:p w:rsidR="009C1E28" w:rsidRPr="009C1E28" w:rsidRDefault="009C1E28" w:rsidP="00D95AD4">
            <w:pPr>
              <w:keepNext/>
              <w:keepLines/>
              <w:spacing w:after="0"/>
              <w:jc w:val="both"/>
              <w:rPr>
                <w:rFonts w:ascii="Times New Roman" w:hAnsi="Times New Roman" w:cs="Times New Roman"/>
                <w:b/>
              </w:rPr>
            </w:pPr>
            <w:r w:rsidRPr="009C1E28">
              <w:rPr>
                <w:rFonts w:ascii="Times New Roman" w:hAnsi="Times New Roman" w:cs="Times New Roman"/>
              </w:rPr>
              <w:t>F3</w:t>
            </w:r>
            <w:r w:rsidRPr="009C1E28">
              <w:rPr>
                <w:rFonts w:ascii="Times New Roman" w:hAnsi="Times New Roman" w:cs="Times New Roman"/>
              </w:rPr>
              <w:noBreakHyphen/>
              <w:t>F4</w:t>
            </w:r>
          </w:p>
        </w:tc>
        <w:tc>
          <w:tcPr>
            <w:tcW w:w="1559" w:type="dxa"/>
          </w:tcPr>
          <w:p w:rsidR="009C1E28" w:rsidRPr="009C1E28" w:rsidRDefault="009C1E28" w:rsidP="00D95AD4">
            <w:pPr>
              <w:keepNext/>
              <w:keepLines/>
              <w:spacing w:after="0"/>
              <w:jc w:val="both"/>
              <w:rPr>
                <w:rFonts w:ascii="Times New Roman" w:hAnsi="Times New Roman" w:cs="Times New Roman"/>
                <w:b/>
              </w:rPr>
            </w:pPr>
            <w:r w:rsidRPr="009C1E28">
              <w:rPr>
                <w:rFonts w:ascii="Times New Roman" w:hAnsi="Times New Roman" w:cs="Times New Roman"/>
              </w:rPr>
              <w:t>36% (77)</w:t>
            </w:r>
          </w:p>
        </w:tc>
        <w:tc>
          <w:tcPr>
            <w:tcW w:w="1701" w:type="dxa"/>
          </w:tcPr>
          <w:p w:rsidR="009C1E28" w:rsidRPr="009C1E28" w:rsidRDefault="009C1E28" w:rsidP="00D95AD4">
            <w:pPr>
              <w:keepNext/>
              <w:keepLines/>
              <w:spacing w:after="0"/>
              <w:jc w:val="both"/>
              <w:rPr>
                <w:rFonts w:ascii="Times New Roman" w:hAnsi="Times New Roman" w:cs="Times New Roman"/>
                <w:b/>
              </w:rPr>
            </w:pPr>
            <w:r w:rsidRPr="009C1E28">
              <w:rPr>
                <w:rFonts w:ascii="Times New Roman" w:hAnsi="Times New Roman" w:cs="Times New Roman"/>
              </w:rPr>
              <w:t>33% (71)</w:t>
            </w:r>
          </w:p>
        </w:tc>
        <w:tc>
          <w:tcPr>
            <w:tcW w:w="1701" w:type="dxa"/>
          </w:tcPr>
          <w:p w:rsidR="009C1E28" w:rsidRPr="009C1E28" w:rsidRDefault="009C1E28" w:rsidP="00D95AD4">
            <w:pPr>
              <w:keepNext/>
              <w:keepLines/>
              <w:spacing w:after="0"/>
              <w:jc w:val="both"/>
              <w:rPr>
                <w:rFonts w:ascii="Times New Roman" w:hAnsi="Times New Roman" w:cs="Times New Roman"/>
                <w:b/>
              </w:rPr>
            </w:pPr>
            <w:r w:rsidRPr="009C1E28">
              <w:rPr>
                <w:rFonts w:ascii="Times New Roman" w:hAnsi="Times New Roman" w:cs="Times New Roman"/>
              </w:rPr>
              <w:t>37% (79)</w:t>
            </w:r>
          </w:p>
        </w:tc>
        <w:tc>
          <w:tcPr>
            <w:tcW w:w="1871" w:type="dxa"/>
          </w:tcPr>
          <w:p w:rsidR="009C1E28" w:rsidRPr="009C1E28" w:rsidRDefault="009C1E28" w:rsidP="00D95AD4">
            <w:pPr>
              <w:keepNext/>
              <w:keepLines/>
              <w:spacing w:after="0"/>
              <w:jc w:val="both"/>
              <w:rPr>
                <w:rFonts w:ascii="Times New Roman" w:hAnsi="Times New Roman" w:cs="Times New Roman"/>
                <w:b/>
              </w:rPr>
            </w:pPr>
            <w:r w:rsidRPr="009C1E28">
              <w:rPr>
                <w:rFonts w:ascii="Times New Roman" w:hAnsi="Times New Roman" w:cs="Times New Roman"/>
              </w:rPr>
              <w:t>35% (227)</w:t>
            </w:r>
          </w:p>
        </w:tc>
      </w:tr>
      <w:tr w:rsidR="009C1E28" w:rsidRPr="009C1E28" w:rsidTr="00D95AD4">
        <w:tc>
          <w:tcPr>
            <w:tcW w:w="279" w:type="dxa"/>
            <w:tcBorders>
              <w:right w:val="nil"/>
            </w:tcBorders>
          </w:tcPr>
          <w:p w:rsidR="009C1E28" w:rsidRPr="009C1E28" w:rsidRDefault="009C1E28" w:rsidP="00D95AD4">
            <w:pPr>
              <w:keepNext/>
              <w:keepLines/>
              <w:spacing w:after="0"/>
              <w:jc w:val="both"/>
              <w:rPr>
                <w:rFonts w:ascii="Times New Roman" w:hAnsi="Times New Roman" w:cs="Times New Roman"/>
                <w:b/>
              </w:rPr>
            </w:pPr>
          </w:p>
        </w:tc>
        <w:tc>
          <w:tcPr>
            <w:tcW w:w="2523" w:type="dxa"/>
            <w:tcBorders>
              <w:left w:val="nil"/>
            </w:tcBorders>
          </w:tcPr>
          <w:p w:rsidR="009C1E28" w:rsidRPr="009C1E28" w:rsidRDefault="009C1E28" w:rsidP="00D95AD4">
            <w:pPr>
              <w:keepNext/>
              <w:keepLines/>
              <w:spacing w:after="0"/>
              <w:jc w:val="both"/>
              <w:rPr>
                <w:rFonts w:ascii="Times New Roman" w:hAnsi="Times New Roman" w:cs="Times New Roman"/>
                <w:b/>
              </w:rPr>
            </w:pPr>
            <w:r w:rsidRPr="009C1E28">
              <w:rPr>
                <w:rFonts w:ascii="Times New Roman" w:hAnsi="Times New Roman" w:cs="Times New Roman"/>
              </w:rPr>
              <w:t>Nije moguće protumačiti</w:t>
            </w:r>
          </w:p>
        </w:tc>
        <w:tc>
          <w:tcPr>
            <w:tcW w:w="1559" w:type="dxa"/>
          </w:tcPr>
          <w:p w:rsidR="009C1E28" w:rsidRPr="009C1E28" w:rsidRDefault="009C1E28" w:rsidP="00D95AD4">
            <w:pPr>
              <w:keepNext/>
              <w:keepLines/>
              <w:spacing w:after="0"/>
              <w:jc w:val="both"/>
              <w:rPr>
                <w:rFonts w:ascii="Times New Roman" w:hAnsi="Times New Roman" w:cs="Times New Roman"/>
                <w:b/>
              </w:rPr>
            </w:pPr>
            <w:r w:rsidRPr="009C1E28">
              <w:rPr>
                <w:rFonts w:ascii="Times New Roman" w:hAnsi="Times New Roman" w:cs="Times New Roman"/>
              </w:rPr>
              <w:t>&lt;1% (1)</w:t>
            </w:r>
          </w:p>
        </w:tc>
        <w:tc>
          <w:tcPr>
            <w:tcW w:w="1701" w:type="dxa"/>
          </w:tcPr>
          <w:p w:rsidR="009C1E28" w:rsidRPr="009C1E28" w:rsidRDefault="009C1E28" w:rsidP="00D95AD4">
            <w:pPr>
              <w:keepNext/>
              <w:keepLines/>
              <w:spacing w:after="0"/>
              <w:jc w:val="both"/>
              <w:rPr>
                <w:rFonts w:ascii="Times New Roman" w:hAnsi="Times New Roman" w:cs="Times New Roman"/>
                <w:b/>
              </w:rPr>
            </w:pPr>
            <w:r w:rsidRPr="009C1E28">
              <w:rPr>
                <w:rFonts w:ascii="Times New Roman" w:hAnsi="Times New Roman" w:cs="Times New Roman"/>
              </w:rPr>
              <w:t>1% (3)</w:t>
            </w:r>
          </w:p>
        </w:tc>
        <w:tc>
          <w:tcPr>
            <w:tcW w:w="1701" w:type="dxa"/>
          </w:tcPr>
          <w:p w:rsidR="009C1E28" w:rsidRPr="009C1E28" w:rsidRDefault="009C1E28" w:rsidP="00D95AD4">
            <w:pPr>
              <w:keepNext/>
              <w:keepLines/>
              <w:spacing w:after="0"/>
              <w:jc w:val="both"/>
              <w:rPr>
                <w:rFonts w:ascii="Times New Roman" w:hAnsi="Times New Roman" w:cs="Times New Roman"/>
                <w:b/>
              </w:rPr>
            </w:pPr>
            <w:r w:rsidRPr="009C1E28">
              <w:rPr>
                <w:rFonts w:ascii="Times New Roman" w:hAnsi="Times New Roman" w:cs="Times New Roman"/>
              </w:rPr>
              <w:t>0% (0)</w:t>
            </w:r>
          </w:p>
        </w:tc>
        <w:tc>
          <w:tcPr>
            <w:tcW w:w="1871" w:type="dxa"/>
          </w:tcPr>
          <w:p w:rsidR="009C1E28" w:rsidRPr="009C1E28" w:rsidRDefault="009C1E28" w:rsidP="00D95AD4">
            <w:pPr>
              <w:keepNext/>
              <w:keepLines/>
              <w:spacing w:after="0"/>
              <w:jc w:val="both"/>
              <w:rPr>
                <w:rFonts w:ascii="Times New Roman" w:hAnsi="Times New Roman" w:cs="Times New Roman"/>
                <w:b/>
              </w:rPr>
            </w:pPr>
            <w:r w:rsidRPr="009C1E28">
              <w:rPr>
                <w:rFonts w:ascii="Times New Roman" w:hAnsi="Times New Roman" w:cs="Times New Roman"/>
              </w:rPr>
              <w:t>&lt;1% (4)</w:t>
            </w:r>
          </w:p>
        </w:tc>
      </w:tr>
    </w:tbl>
    <w:p w:rsidR="00D95AD4" w:rsidRDefault="00D95AD4" w:rsidP="009C1E28">
      <w:pPr>
        <w:keepNext/>
        <w:keepLines/>
        <w:spacing w:after="0"/>
        <w:jc w:val="both"/>
        <w:rPr>
          <w:rFonts w:ascii="Times New Roman" w:hAnsi="Times New Roman" w:cs="Times New Roman"/>
        </w:rPr>
      </w:pPr>
    </w:p>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a. Kod jednog pacijenta u terapijskoj grupi liječenoj 8 nedjelja LDV/SOF-om nije bio potvrđen podtip genotipa 1.</w:t>
      </w: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b. Rezultati FibroTesta koji nijesu nedostajali bili su mapirani na Metavir-rezultate prema sljedećem: 0</w:t>
      </w:r>
      <w:r w:rsidRPr="009C1E28">
        <w:rPr>
          <w:rFonts w:ascii="Times New Roman" w:hAnsi="Times New Roman" w:cs="Times New Roman"/>
        </w:rPr>
        <w:noBreakHyphen/>
        <w:t>0,31 = F0</w:t>
      </w:r>
      <w:r w:rsidRPr="009C1E28">
        <w:rPr>
          <w:rFonts w:ascii="Times New Roman" w:hAnsi="Times New Roman" w:cs="Times New Roman"/>
        </w:rPr>
        <w:noBreakHyphen/>
        <w:t>F1; 0,32</w:t>
      </w:r>
      <w:r w:rsidRPr="009C1E28">
        <w:rPr>
          <w:rFonts w:ascii="Times New Roman" w:hAnsi="Times New Roman" w:cs="Times New Roman"/>
        </w:rPr>
        <w:noBreakHyphen/>
        <w:t>0,58 = F2; 0,59</w:t>
      </w:r>
      <w:r w:rsidRPr="009C1E28">
        <w:rPr>
          <w:rFonts w:ascii="Times New Roman" w:hAnsi="Times New Roman" w:cs="Times New Roman"/>
        </w:rPr>
        <w:noBreakHyphen/>
        <w:t>1,00 = F3</w:t>
      </w:r>
      <w:r w:rsidRPr="009C1E28">
        <w:rPr>
          <w:rFonts w:ascii="Times New Roman" w:hAnsi="Times New Roman" w:cs="Times New Roman"/>
        </w:rPr>
        <w:noBreakHyphen/>
        <w:t>F4.</w:t>
      </w:r>
    </w:p>
    <w:p w:rsidR="009C1E28" w:rsidRPr="009C1E28" w:rsidRDefault="009C1E28" w:rsidP="009C1E28">
      <w:pPr>
        <w:spacing w:after="0"/>
        <w:jc w:val="both"/>
        <w:rPr>
          <w:rFonts w:ascii="Times New Roman" w:hAnsi="Times New Roman" w:cs="Times New Roman"/>
          <w:b/>
        </w:rPr>
      </w:pPr>
    </w:p>
    <w:p w:rsidR="009C1E28" w:rsidRPr="00D95AD4" w:rsidRDefault="009C1E28" w:rsidP="009C1E28">
      <w:pPr>
        <w:keepNext/>
        <w:keepLines/>
        <w:spacing w:after="0"/>
        <w:jc w:val="both"/>
        <w:rPr>
          <w:rFonts w:ascii="Times New Roman" w:hAnsi="Times New Roman" w:cs="Times New Roman"/>
          <w:b/>
        </w:rPr>
      </w:pPr>
      <w:r w:rsidRPr="00D95AD4">
        <w:rPr>
          <w:rFonts w:ascii="Times New Roman" w:hAnsi="Times New Roman" w:cs="Times New Roman"/>
          <w:b/>
        </w:rPr>
        <w:t>Tabela 9: Stope odgovora u ispitivanju ION</w:t>
      </w:r>
      <w:r w:rsidRPr="00D95AD4">
        <w:rPr>
          <w:rFonts w:ascii="Times New Roman" w:hAnsi="Times New Roman" w:cs="Times New Roman"/>
          <w:b/>
        </w:rPr>
        <w:noBreakHyphen/>
        <w:t>3</w:t>
      </w:r>
    </w:p>
    <w:p w:rsidR="00D95AD4" w:rsidRPr="009C1E28" w:rsidRDefault="00D95AD4" w:rsidP="009C1E28">
      <w:pPr>
        <w:keepNext/>
        <w:keepLines/>
        <w:spacing w:after="0"/>
        <w:jc w:val="both"/>
        <w:rPr>
          <w:rFonts w:ascii="Times New Roman" w:hAnsi="Times New Roman" w:cs="Times New Roman"/>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
        <w:gridCol w:w="2820"/>
        <w:gridCol w:w="1971"/>
        <w:gridCol w:w="1842"/>
        <w:gridCol w:w="2722"/>
      </w:tblGrid>
      <w:tr w:rsidR="009C1E28" w:rsidRPr="009C1E28" w:rsidTr="00D95AD4">
        <w:tc>
          <w:tcPr>
            <w:tcW w:w="3099" w:type="dxa"/>
            <w:gridSpan w:val="2"/>
          </w:tcPr>
          <w:p w:rsidR="009C1E28" w:rsidRPr="009C1E28" w:rsidRDefault="009C1E28" w:rsidP="009C1E28">
            <w:pPr>
              <w:keepNext/>
              <w:keepLines/>
              <w:spacing w:after="0"/>
              <w:jc w:val="both"/>
              <w:rPr>
                <w:rFonts w:ascii="Times New Roman" w:hAnsi="Times New Roman" w:cs="Times New Roman"/>
              </w:rPr>
            </w:pPr>
          </w:p>
        </w:tc>
        <w:tc>
          <w:tcPr>
            <w:tcW w:w="1971" w:type="dxa"/>
          </w:tcPr>
          <w:p w:rsidR="009C1E28" w:rsidRPr="00D95AD4" w:rsidRDefault="009C1E28" w:rsidP="009C1E28">
            <w:pPr>
              <w:keepNext/>
              <w:keepLines/>
              <w:spacing w:after="0"/>
              <w:jc w:val="both"/>
              <w:rPr>
                <w:rFonts w:ascii="Times New Roman" w:hAnsi="Times New Roman" w:cs="Times New Roman"/>
                <w:b/>
              </w:rPr>
            </w:pPr>
            <w:r w:rsidRPr="00D95AD4">
              <w:rPr>
                <w:rFonts w:ascii="Times New Roman" w:hAnsi="Times New Roman" w:cs="Times New Roman"/>
                <w:b/>
              </w:rPr>
              <w:t>LDV/SOF</w:t>
            </w:r>
          </w:p>
          <w:p w:rsidR="009C1E28" w:rsidRPr="00D95AD4" w:rsidRDefault="009C1E28" w:rsidP="009C1E28">
            <w:pPr>
              <w:keepNext/>
              <w:keepLines/>
              <w:spacing w:after="0"/>
              <w:jc w:val="both"/>
              <w:rPr>
                <w:rFonts w:ascii="Times New Roman" w:hAnsi="Times New Roman" w:cs="Times New Roman"/>
                <w:b/>
              </w:rPr>
            </w:pPr>
            <w:r w:rsidRPr="00D95AD4">
              <w:rPr>
                <w:rFonts w:ascii="Times New Roman" w:hAnsi="Times New Roman" w:cs="Times New Roman"/>
                <w:b/>
              </w:rPr>
              <w:t>8 nedjelja</w:t>
            </w:r>
          </w:p>
          <w:p w:rsidR="009C1E28" w:rsidRPr="00D95AD4" w:rsidRDefault="009C1E28" w:rsidP="009C1E28">
            <w:pPr>
              <w:keepNext/>
              <w:keepLines/>
              <w:spacing w:after="0"/>
              <w:jc w:val="both"/>
              <w:rPr>
                <w:rFonts w:ascii="Times New Roman" w:hAnsi="Times New Roman" w:cs="Times New Roman"/>
                <w:b/>
              </w:rPr>
            </w:pPr>
            <w:r w:rsidRPr="00D95AD4">
              <w:rPr>
                <w:rFonts w:ascii="Times New Roman" w:hAnsi="Times New Roman" w:cs="Times New Roman"/>
                <w:b/>
              </w:rPr>
              <w:t>(n=215)</w:t>
            </w:r>
          </w:p>
        </w:tc>
        <w:tc>
          <w:tcPr>
            <w:tcW w:w="1842" w:type="dxa"/>
          </w:tcPr>
          <w:p w:rsidR="009C1E28" w:rsidRPr="00D95AD4" w:rsidRDefault="009C1E28" w:rsidP="009C1E28">
            <w:pPr>
              <w:keepNext/>
              <w:keepLines/>
              <w:spacing w:after="0"/>
              <w:jc w:val="both"/>
              <w:rPr>
                <w:rFonts w:ascii="Times New Roman" w:hAnsi="Times New Roman" w:cs="Times New Roman"/>
                <w:b/>
              </w:rPr>
            </w:pPr>
            <w:r w:rsidRPr="00D95AD4">
              <w:rPr>
                <w:rFonts w:ascii="Times New Roman" w:hAnsi="Times New Roman" w:cs="Times New Roman"/>
                <w:b/>
              </w:rPr>
              <w:t>LDV/SOF+RBV</w:t>
            </w:r>
          </w:p>
          <w:p w:rsidR="009C1E28" w:rsidRPr="00D95AD4" w:rsidRDefault="009C1E28" w:rsidP="009C1E28">
            <w:pPr>
              <w:keepNext/>
              <w:keepLines/>
              <w:spacing w:after="0"/>
              <w:jc w:val="both"/>
              <w:rPr>
                <w:rFonts w:ascii="Times New Roman" w:hAnsi="Times New Roman" w:cs="Times New Roman"/>
                <w:b/>
              </w:rPr>
            </w:pPr>
            <w:r w:rsidRPr="00D95AD4">
              <w:rPr>
                <w:rFonts w:ascii="Times New Roman" w:hAnsi="Times New Roman" w:cs="Times New Roman"/>
                <w:b/>
              </w:rPr>
              <w:t>8 nedjelja</w:t>
            </w:r>
          </w:p>
          <w:p w:rsidR="009C1E28" w:rsidRPr="00D95AD4" w:rsidRDefault="009C1E28" w:rsidP="009C1E28">
            <w:pPr>
              <w:keepNext/>
              <w:keepLines/>
              <w:spacing w:after="0"/>
              <w:jc w:val="both"/>
              <w:rPr>
                <w:rFonts w:ascii="Times New Roman" w:hAnsi="Times New Roman" w:cs="Times New Roman"/>
                <w:b/>
              </w:rPr>
            </w:pPr>
            <w:r w:rsidRPr="00D95AD4">
              <w:rPr>
                <w:rFonts w:ascii="Times New Roman" w:hAnsi="Times New Roman" w:cs="Times New Roman"/>
                <w:b/>
              </w:rPr>
              <w:t>(n=216)</w:t>
            </w:r>
          </w:p>
        </w:tc>
        <w:tc>
          <w:tcPr>
            <w:tcW w:w="2722" w:type="dxa"/>
          </w:tcPr>
          <w:p w:rsidR="009C1E28" w:rsidRPr="00D95AD4" w:rsidRDefault="009C1E28" w:rsidP="009C1E28">
            <w:pPr>
              <w:keepNext/>
              <w:keepLines/>
              <w:spacing w:after="0"/>
              <w:jc w:val="both"/>
              <w:rPr>
                <w:rFonts w:ascii="Times New Roman" w:hAnsi="Times New Roman" w:cs="Times New Roman"/>
                <w:b/>
              </w:rPr>
            </w:pPr>
            <w:r w:rsidRPr="00D95AD4">
              <w:rPr>
                <w:rFonts w:ascii="Times New Roman" w:hAnsi="Times New Roman" w:cs="Times New Roman"/>
                <w:b/>
              </w:rPr>
              <w:t>LDV/SOF</w:t>
            </w:r>
          </w:p>
          <w:p w:rsidR="009C1E28" w:rsidRPr="00D95AD4" w:rsidRDefault="009C1E28" w:rsidP="009C1E28">
            <w:pPr>
              <w:keepNext/>
              <w:keepLines/>
              <w:spacing w:after="0"/>
              <w:jc w:val="both"/>
              <w:rPr>
                <w:rFonts w:ascii="Times New Roman" w:hAnsi="Times New Roman" w:cs="Times New Roman"/>
                <w:b/>
              </w:rPr>
            </w:pPr>
            <w:r w:rsidRPr="00D95AD4">
              <w:rPr>
                <w:rFonts w:ascii="Times New Roman" w:hAnsi="Times New Roman" w:cs="Times New Roman"/>
                <w:b/>
              </w:rPr>
              <w:t>12 nedjelja</w:t>
            </w:r>
          </w:p>
          <w:p w:rsidR="009C1E28" w:rsidRPr="00D95AD4" w:rsidRDefault="009C1E28" w:rsidP="009C1E28">
            <w:pPr>
              <w:keepNext/>
              <w:keepLines/>
              <w:spacing w:after="0"/>
              <w:jc w:val="both"/>
              <w:rPr>
                <w:rFonts w:ascii="Times New Roman" w:hAnsi="Times New Roman" w:cs="Times New Roman"/>
                <w:b/>
              </w:rPr>
            </w:pPr>
            <w:r w:rsidRPr="00D95AD4">
              <w:rPr>
                <w:rFonts w:ascii="Times New Roman" w:hAnsi="Times New Roman" w:cs="Times New Roman"/>
                <w:b/>
              </w:rPr>
              <w:t>(n=216)</w:t>
            </w:r>
          </w:p>
        </w:tc>
      </w:tr>
      <w:tr w:rsidR="009C1E28" w:rsidRPr="009C1E28" w:rsidTr="00D95AD4">
        <w:tc>
          <w:tcPr>
            <w:tcW w:w="3099" w:type="dxa"/>
            <w:gridSpan w:val="2"/>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SVR</w:t>
            </w:r>
          </w:p>
        </w:tc>
        <w:tc>
          <w:tcPr>
            <w:tcW w:w="1971"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94% (202/215)</w:t>
            </w:r>
          </w:p>
        </w:tc>
        <w:tc>
          <w:tcPr>
            <w:tcW w:w="1842" w:type="dxa"/>
          </w:tcPr>
          <w:p w:rsidR="009C1E28" w:rsidRPr="009C1E28" w:rsidRDefault="009C1E28" w:rsidP="009C1E28">
            <w:pPr>
              <w:keepNext/>
              <w:keepLines/>
              <w:spacing w:after="0"/>
              <w:jc w:val="both"/>
              <w:rPr>
                <w:rFonts w:ascii="Times New Roman" w:eastAsia="Batang" w:hAnsi="Times New Roman" w:cs="Times New Roman"/>
                <w:b/>
              </w:rPr>
            </w:pPr>
            <w:r w:rsidRPr="009C1E28">
              <w:rPr>
                <w:rFonts w:ascii="Times New Roman" w:hAnsi="Times New Roman" w:cs="Times New Roman"/>
              </w:rPr>
              <w:t>93% (201/216)</w:t>
            </w:r>
          </w:p>
        </w:tc>
        <w:tc>
          <w:tcPr>
            <w:tcW w:w="2722"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96% (208/216)</w:t>
            </w:r>
          </w:p>
        </w:tc>
      </w:tr>
      <w:tr w:rsidR="009C1E28" w:rsidRPr="009C1E28" w:rsidTr="00D95AD4">
        <w:tc>
          <w:tcPr>
            <w:tcW w:w="9634" w:type="dxa"/>
            <w:gridSpan w:val="5"/>
          </w:tcPr>
          <w:p w:rsidR="009C1E28" w:rsidRPr="009C1E28" w:rsidRDefault="009C1E28" w:rsidP="009C1E28">
            <w:pPr>
              <w:keepNext/>
              <w:keepLines/>
              <w:spacing w:after="0"/>
              <w:jc w:val="both"/>
              <w:rPr>
                <w:rFonts w:ascii="Times New Roman" w:hAnsi="Times New Roman" w:cs="Times New Roman"/>
                <w:b/>
                <w:i/>
              </w:rPr>
            </w:pPr>
            <w:r w:rsidRPr="009C1E28">
              <w:rPr>
                <w:rFonts w:ascii="Times New Roman" w:hAnsi="Times New Roman" w:cs="Times New Roman"/>
                <w:i/>
              </w:rPr>
              <w:t>Ishod kod pacijenata bez SVR</w:t>
            </w:r>
          </w:p>
        </w:tc>
      </w:tr>
      <w:tr w:rsidR="009C1E28" w:rsidRPr="009C1E28" w:rsidTr="00D95AD4">
        <w:tc>
          <w:tcPr>
            <w:tcW w:w="279" w:type="dxa"/>
            <w:tcBorders>
              <w:right w:val="nil"/>
            </w:tcBorders>
          </w:tcPr>
          <w:p w:rsidR="009C1E28" w:rsidRPr="009C1E28" w:rsidRDefault="009C1E28" w:rsidP="009C1E28">
            <w:pPr>
              <w:keepNext/>
              <w:keepLines/>
              <w:spacing w:after="0"/>
              <w:jc w:val="both"/>
              <w:rPr>
                <w:rFonts w:ascii="Times New Roman" w:hAnsi="Times New Roman" w:cs="Times New Roman"/>
                <w:b/>
              </w:rPr>
            </w:pPr>
          </w:p>
        </w:tc>
        <w:tc>
          <w:tcPr>
            <w:tcW w:w="2820" w:type="dxa"/>
            <w:tcBorders>
              <w:left w:val="nil"/>
            </w:tcBorders>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Virusološki neuspjeh tokom terapije</w:t>
            </w:r>
          </w:p>
        </w:tc>
        <w:tc>
          <w:tcPr>
            <w:tcW w:w="1971"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0/215</w:t>
            </w:r>
          </w:p>
        </w:tc>
        <w:tc>
          <w:tcPr>
            <w:tcW w:w="1842"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0/216</w:t>
            </w:r>
          </w:p>
        </w:tc>
        <w:tc>
          <w:tcPr>
            <w:tcW w:w="2722"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0/216</w:t>
            </w:r>
          </w:p>
        </w:tc>
      </w:tr>
      <w:tr w:rsidR="009C1E28" w:rsidRPr="009C1E28" w:rsidTr="00D95AD4">
        <w:tc>
          <w:tcPr>
            <w:tcW w:w="279" w:type="dxa"/>
            <w:tcBorders>
              <w:right w:val="nil"/>
            </w:tcBorders>
          </w:tcPr>
          <w:p w:rsidR="009C1E28" w:rsidRPr="009C1E28" w:rsidRDefault="009C1E28" w:rsidP="009C1E28">
            <w:pPr>
              <w:keepNext/>
              <w:keepLines/>
              <w:spacing w:after="0"/>
              <w:jc w:val="both"/>
              <w:rPr>
                <w:rFonts w:ascii="Times New Roman" w:hAnsi="Times New Roman" w:cs="Times New Roman"/>
                <w:b/>
              </w:rPr>
            </w:pPr>
          </w:p>
        </w:tc>
        <w:tc>
          <w:tcPr>
            <w:tcW w:w="2820" w:type="dxa"/>
            <w:tcBorders>
              <w:left w:val="nil"/>
            </w:tcBorders>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Relaps</w:t>
            </w:r>
            <w:r w:rsidRPr="009C1E28">
              <w:rPr>
                <w:rFonts w:ascii="Times New Roman" w:hAnsi="Times New Roman" w:cs="Times New Roman"/>
                <w:vertAlign w:val="superscript"/>
              </w:rPr>
              <w:t>a</w:t>
            </w:r>
          </w:p>
        </w:tc>
        <w:tc>
          <w:tcPr>
            <w:tcW w:w="1971"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5% (11/215)</w:t>
            </w:r>
          </w:p>
        </w:tc>
        <w:tc>
          <w:tcPr>
            <w:tcW w:w="1842"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4% (9/214)</w:t>
            </w:r>
          </w:p>
        </w:tc>
        <w:tc>
          <w:tcPr>
            <w:tcW w:w="2722"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1% (3/216)</w:t>
            </w:r>
          </w:p>
        </w:tc>
      </w:tr>
      <w:tr w:rsidR="009C1E28" w:rsidRPr="009C1E28" w:rsidTr="00D95AD4">
        <w:tc>
          <w:tcPr>
            <w:tcW w:w="279" w:type="dxa"/>
            <w:tcBorders>
              <w:right w:val="nil"/>
            </w:tcBorders>
          </w:tcPr>
          <w:p w:rsidR="009C1E28" w:rsidRPr="009C1E28" w:rsidRDefault="009C1E28" w:rsidP="009C1E28">
            <w:pPr>
              <w:keepNext/>
              <w:keepLines/>
              <w:spacing w:after="0"/>
              <w:jc w:val="both"/>
              <w:rPr>
                <w:rFonts w:ascii="Times New Roman" w:hAnsi="Times New Roman" w:cs="Times New Roman"/>
                <w:b/>
              </w:rPr>
            </w:pPr>
          </w:p>
        </w:tc>
        <w:tc>
          <w:tcPr>
            <w:tcW w:w="2820" w:type="dxa"/>
            <w:tcBorders>
              <w:left w:val="nil"/>
            </w:tcBorders>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Drugo</w:t>
            </w:r>
            <w:r w:rsidRPr="009C1E28">
              <w:rPr>
                <w:rFonts w:ascii="Times New Roman" w:hAnsi="Times New Roman" w:cs="Times New Roman"/>
                <w:vertAlign w:val="superscript"/>
              </w:rPr>
              <w:t>b</w:t>
            </w:r>
          </w:p>
        </w:tc>
        <w:tc>
          <w:tcPr>
            <w:tcW w:w="1971"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&lt; 1% (2/215)</w:t>
            </w:r>
          </w:p>
        </w:tc>
        <w:tc>
          <w:tcPr>
            <w:tcW w:w="1842"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3% (6/216)</w:t>
            </w:r>
          </w:p>
        </w:tc>
        <w:tc>
          <w:tcPr>
            <w:tcW w:w="2722"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2% (5/216)</w:t>
            </w:r>
          </w:p>
        </w:tc>
      </w:tr>
      <w:tr w:rsidR="009C1E28" w:rsidRPr="009C1E28" w:rsidTr="00D95AD4">
        <w:tc>
          <w:tcPr>
            <w:tcW w:w="9634" w:type="dxa"/>
            <w:gridSpan w:val="5"/>
          </w:tcPr>
          <w:p w:rsidR="009C1E28" w:rsidRPr="009C1E28" w:rsidRDefault="009C1E28" w:rsidP="009C1E28">
            <w:pPr>
              <w:keepNext/>
              <w:keepLines/>
              <w:spacing w:after="0"/>
              <w:jc w:val="both"/>
              <w:rPr>
                <w:rFonts w:ascii="Times New Roman" w:hAnsi="Times New Roman" w:cs="Times New Roman"/>
                <w:b/>
                <w:i/>
              </w:rPr>
            </w:pPr>
            <w:r w:rsidRPr="009C1E28">
              <w:rPr>
                <w:rFonts w:ascii="Times New Roman" w:hAnsi="Times New Roman" w:cs="Times New Roman"/>
                <w:i/>
              </w:rPr>
              <w:t>Genotip</w:t>
            </w:r>
          </w:p>
        </w:tc>
      </w:tr>
      <w:tr w:rsidR="009C1E28" w:rsidRPr="009C1E28" w:rsidTr="00D95AD4">
        <w:tc>
          <w:tcPr>
            <w:tcW w:w="279" w:type="dxa"/>
            <w:tcBorders>
              <w:right w:val="nil"/>
            </w:tcBorders>
          </w:tcPr>
          <w:p w:rsidR="009C1E28" w:rsidRPr="009C1E28" w:rsidRDefault="009C1E28" w:rsidP="009C1E28">
            <w:pPr>
              <w:keepNext/>
              <w:keepLines/>
              <w:spacing w:after="0"/>
              <w:jc w:val="both"/>
              <w:rPr>
                <w:rFonts w:ascii="Times New Roman" w:hAnsi="Times New Roman" w:cs="Times New Roman"/>
                <w:b/>
              </w:rPr>
            </w:pPr>
          </w:p>
        </w:tc>
        <w:tc>
          <w:tcPr>
            <w:tcW w:w="2820" w:type="dxa"/>
            <w:tcBorders>
              <w:left w:val="nil"/>
            </w:tcBorders>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Genotip 1a</w:t>
            </w:r>
          </w:p>
        </w:tc>
        <w:tc>
          <w:tcPr>
            <w:tcW w:w="1971"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93% (159/171)</w:t>
            </w:r>
          </w:p>
        </w:tc>
        <w:tc>
          <w:tcPr>
            <w:tcW w:w="1842"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92% (159/172)</w:t>
            </w:r>
          </w:p>
        </w:tc>
        <w:tc>
          <w:tcPr>
            <w:tcW w:w="2722"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96% (165/172)</w:t>
            </w:r>
          </w:p>
        </w:tc>
      </w:tr>
      <w:tr w:rsidR="009C1E28" w:rsidRPr="009C1E28" w:rsidTr="00D95AD4">
        <w:tc>
          <w:tcPr>
            <w:tcW w:w="279" w:type="dxa"/>
            <w:tcBorders>
              <w:right w:val="nil"/>
            </w:tcBorders>
          </w:tcPr>
          <w:p w:rsidR="009C1E28" w:rsidRPr="009C1E28" w:rsidRDefault="009C1E28" w:rsidP="009C1E28">
            <w:pPr>
              <w:keepNext/>
              <w:keepLines/>
              <w:spacing w:after="0"/>
              <w:jc w:val="both"/>
              <w:rPr>
                <w:rFonts w:ascii="Times New Roman" w:hAnsi="Times New Roman" w:cs="Times New Roman"/>
                <w:b/>
              </w:rPr>
            </w:pPr>
          </w:p>
        </w:tc>
        <w:tc>
          <w:tcPr>
            <w:tcW w:w="2820" w:type="dxa"/>
            <w:tcBorders>
              <w:left w:val="nil"/>
            </w:tcBorders>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Genotip 1b</w:t>
            </w:r>
          </w:p>
        </w:tc>
        <w:tc>
          <w:tcPr>
            <w:tcW w:w="1971"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98% (42/43)</w:t>
            </w:r>
          </w:p>
        </w:tc>
        <w:tc>
          <w:tcPr>
            <w:tcW w:w="1842"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95% (42/44)</w:t>
            </w:r>
          </w:p>
        </w:tc>
        <w:tc>
          <w:tcPr>
            <w:tcW w:w="2722"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98% (43/44)</w:t>
            </w:r>
          </w:p>
        </w:tc>
      </w:tr>
    </w:tbl>
    <w:p w:rsidR="00D95AD4" w:rsidRDefault="00D95AD4" w:rsidP="009C1E28">
      <w:pPr>
        <w:keepNext/>
        <w:keepLines/>
        <w:spacing w:after="0"/>
        <w:jc w:val="both"/>
        <w:rPr>
          <w:rFonts w:ascii="Times New Roman" w:hAnsi="Times New Roman" w:cs="Times New Roman"/>
        </w:rPr>
      </w:pPr>
    </w:p>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a. Imenilac za relaps je broj pacijenata sa HCV RNK &lt;LLOQ na njihovom posljednjem pregledu za vrijeme trajanja terapije.</w:t>
      </w:r>
    </w:p>
    <w:p w:rsidR="00DD26F2" w:rsidRDefault="009C1E28" w:rsidP="009C1E28">
      <w:pPr>
        <w:spacing w:after="0"/>
        <w:jc w:val="both"/>
        <w:rPr>
          <w:rFonts w:ascii="Times New Roman" w:hAnsi="Times New Roman" w:cs="Times New Roman"/>
        </w:rPr>
      </w:pPr>
      <w:r w:rsidRPr="009C1E28">
        <w:rPr>
          <w:rFonts w:ascii="Times New Roman" w:hAnsi="Times New Roman" w:cs="Times New Roman"/>
        </w:rPr>
        <w:t>b. Ostalo uključuje pacijente koji nijesu postigli SVR i nijesu zadovoljili kriterijume virusološkog neuspjeha (npr. izgubljeni za praćenje).</w:t>
      </w:r>
    </w:p>
    <w:p w:rsidR="00DD26F2" w:rsidRDefault="00DD26F2" w:rsidP="00DD26F2">
      <w:pPr>
        <w:rPr>
          <w:rFonts w:ascii="Times New Roman" w:hAnsi="Times New Roman" w:cs="Times New Roman"/>
        </w:rPr>
      </w:pPr>
    </w:p>
    <w:p w:rsidR="00DD26F2" w:rsidRPr="00DD26F2" w:rsidRDefault="00DD26F2" w:rsidP="00DD26F2">
      <w:pPr>
        <w:rPr>
          <w:rFonts w:ascii="Times New Roman" w:hAnsi="Times New Roman" w:cs="Times New Roman"/>
        </w:rPr>
      </w:pPr>
    </w:p>
    <w:p w:rsidR="00DD26F2" w:rsidRPr="002045B8" w:rsidRDefault="00DD26F2" w:rsidP="002045B8">
      <w:pPr>
        <w:pageBreakBefore/>
        <w:spacing w:after="0"/>
        <w:jc w:val="both"/>
        <w:rPr>
          <w:rFonts w:ascii="Times New Roman" w:hAnsi="Times New Roman" w:cs="Times New Roman"/>
          <w:b/>
        </w:rPr>
      </w:pPr>
      <w:r w:rsidRPr="009C1E28">
        <w:rPr>
          <w:rFonts w:ascii="Times New Roman" w:hAnsi="Times New Roman" w:cs="Times New Roman"/>
        </w:rPr>
        <w:lastRenderedPageBreak/>
        <w:t xml:space="preserve">Osmonedjeljno liječenje ledipasvirom/sofosbuvirom bez ribavirina nije bilo lošije od osmonedjeljnog liječenja ledipasvirom/sofosbuvirom sa ribavirinom (terapijska razlika 0,9%; 95%-tni interval povjerenja: od -3,9% do 5,7%) i 12-nedjeljnog liječenja ledipasvirom/sofosbuvirom (terapijska razlika </w:t>
      </w:r>
      <w:r w:rsidRPr="009C1E28">
        <w:rPr>
          <w:rFonts w:ascii="Times New Roman" w:hAnsi="Times New Roman" w:cs="Times New Roman"/>
        </w:rPr>
        <w:noBreakHyphen/>
        <w:t>2,3%; 97,5%-tni interval povjerenja: od -7,2% do 3,6%). Među pacijentima sa početnim HCV RNK &lt;6 miliona IJ/ml, SVR je bio 97% (119/123) uz osmonedjeljno liječenje ledipasvirom/sofosbuvirom, i 96% (126/131) uz 12-nedjeljno liječenje ledipasvirom/sofosbuvirom.</w:t>
      </w:r>
    </w:p>
    <w:p w:rsidR="002045B8" w:rsidRDefault="002045B8" w:rsidP="00DD26F2">
      <w:pPr>
        <w:tabs>
          <w:tab w:val="left" w:pos="1290"/>
        </w:tabs>
        <w:jc w:val="both"/>
        <w:rPr>
          <w:rFonts w:ascii="Times New Roman" w:hAnsi="Times New Roman" w:cs="Times New Roman"/>
          <w:b/>
        </w:rPr>
      </w:pPr>
    </w:p>
    <w:p w:rsidR="009C1E28" w:rsidRPr="00DD26F2" w:rsidRDefault="009C1E28" w:rsidP="00DD26F2">
      <w:pPr>
        <w:tabs>
          <w:tab w:val="left" w:pos="1290"/>
        </w:tabs>
        <w:jc w:val="both"/>
        <w:rPr>
          <w:rFonts w:ascii="Times New Roman" w:hAnsi="Times New Roman" w:cs="Times New Roman"/>
          <w:b/>
        </w:rPr>
      </w:pPr>
      <w:r w:rsidRPr="00DD26F2">
        <w:rPr>
          <w:rFonts w:ascii="Times New Roman" w:hAnsi="Times New Roman" w:cs="Times New Roman"/>
          <w:b/>
        </w:rPr>
        <w:t>Tabela 10: Stope relapsa prema početnim karakteristikama u ispitivanju ION</w:t>
      </w:r>
      <w:r w:rsidRPr="00DD26F2">
        <w:rPr>
          <w:rFonts w:ascii="Times New Roman" w:hAnsi="Times New Roman" w:cs="Times New Roman"/>
          <w:b/>
        </w:rPr>
        <w:noBreakHyphen/>
        <w:t>3, populacija sa virusološkim neuspjehom*</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
        <w:gridCol w:w="3518"/>
        <w:gridCol w:w="1701"/>
        <w:gridCol w:w="1710"/>
        <w:gridCol w:w="2429"/>
      </w:tblGrid>
      <w:tr w:rsidR="009C1E28" w:rsidRPr="009C1E28" w:rsidTr="00DD26F2">
        <w:tc>
          <w:tcPr>
            <w:tcW w:w="3794" w:type="dxa"/>
            <w:gridSpan w:val="2"/>
            <w:shd w:val="clear" w:color="auto" w:fill="FFFFFF"/>
          </w:tcPr>
          <w:p w:rsidR="009C1E28" w:rsidRPr="009C1E28" w:rsidRDefault="009C1E28" w:rsidP="009C1E28">
            <w:pPr>
              <w:keepNext/>
              <w:keepLines/>
              <w:spacing w:after="0"/>
              <w:jc w:val="both"/>
              <w:rPr>
                <w:rFonts w:ascii="Times New Roman" w:hAnsi="Times New Roman" w:cs="Times New Roman"/>
              </w:rPr>
            </w:pPr>
          </w:p>
        </w:tc>
        <w:tc>
          <w:tcPr>
            <w:tcW w:w="1701" w:type="dxa"/>
            <w:shd w:val="clear" w:color="auto" w:fill="FFFFFF"/>
          </w:tcPr>
          <w:p w:rsidR="009C1E28" w:rsidRPr="009C1E28" w:rsidRDefault="009C1E28" w:rsidP="009C1E28">
            <w:pPr>
              <w:keepNext/>
              <w:keepLines/>
              <w:spacing w:after="0"/>
              <w:jc w:val="both"/>
              <w:rPr>
                <w:rFonts w:ascii="Times New Roman" w:hAnsi="Times New Roman" w:cs="Times New Roman"/>
              </w:rPr>
            </w:pPr>
            <w:r w:rsidRPr="009C1E28">
              <w:rPr>
                <w:rFonts w:ascii="Times New Roman" w:hAnsi="Times New Roman" w:cs="Times New Roman"/>
              </w:rPr>
              <w:t>LDV/SOF</w:t>
            </w:r>
          </w:p>
          <w:p w:rsidR="009C1E28" w:rsidRPr="009C1E28" w:rsidRDefault="009C1E28" w:rsidP="009C1E28">
            <w:pPr>
              <w:keepNext/>
              <w:keepLines/>
              <w:spacing w:after="0"/>
              <w:jc w:val="both"/>
              <w:rPr>
                <w:rFonts w:ascii="Times New Roman" w:hAnsi="Times New Roman" w:cs="Times New Roman"/>
              </w:rPr>
            </w:pPr>
            <w:r w:rsidRPr="009C1E28">
              <w:rPr>
                <w:rFonts w:ascii="Times New Roman" w:hAnsi="Times New Roman" w:cs="Times New Roman"/>
              </w:rPr>
              <w:t>8 nedjelja</w:t>
            </w:r>
          </w:p>
          <w:p w:rsidR="009C1E28" w:rsidRPr="009C1E28" w:rsidRDefault="009C1E28" w:rsidP="009C1E28">
            <w:pPr>
              <w:keepNext/>
              <w:keepLines/>
              <w:spacing w:after="0"/>
              <w:jc w:val="both"/>
              <w:rPr>
                <w:rFonts w:ascii="Times New Roman" w:hAnsi="Times New Roman" w:cs="Times New Roman"/>
              </w:rPr>
            </w:pPr>
            <w:r w:rsidRPr="009C1E28">
              <w:rPr>
                <w:rFonts w:ascii="Times New Roman" w:hAnsi="Times New Roman" w:cs="Times New Roman"/>
              </w:rPr>
              <w:t>(n=213)</w:t>
            </w:r>
          </w:p>
        </w:tc>
        <w:tc>
          <w:tcPr>
            <w:tcW w:w="1710" w:type="dxa"/>
            <w:shd w:val="clear" w:color="auto" w:fill="FFFFFF"/>
          </w:tcPr>
          <w:p w:rsidR="009C1E28" w:rsidRPr="009C1E28" w:rsidRDefault="009C1E28" w:rsidP="009C1E28">
            <w:pPr>
              <w:keepNext/>
              <w:keepLines/>
              <w:spacing w:after="0"/>
              <w:jc w:val="both"/>
              <w:rPr>
                <w:rFonts w:ascii="Times New Roman" w:hAnsi="Times New Roman" w:cs="Times New Roman"/>
              </w:rPr>
            </w:pPr>
            <w:r w:rsidRPr="009C1E28">
              <w:rPr>
                <w:rFonts w:ascii="Times New Roman" w:hAnsi="Times New Roman" w:cs="Times New Roman"/>
              </w:rPr>
              <w:t>LDV/SOF+RBV</w:t>
            </w:r>
          </w:p>
          <w:p w:rsidR="009C1E28" w:rsidRPr="009C1E28" w:rsidRDefault="009C1E28" w:rsidP="009C1E28">
            <w:pPr>
              <w:keepNext/>
              <w:keepLines/>
              <w:spacing w:after="0"/>
              <w:jc w:val="both"/>
              <w:rPr>
                <w:rFonts w:ascii="Times New Roman" w:hAnsi="Times New Roman" w:cs="Times New Roman"/>
              </w:rPr>
            </w:pPr>
            <w:r w:rsidRPr="009C1E28">
              <w:rPr>
                <w:rFonts w:ascii="Times New Roman" w:hAnsi="Times New Roman" w:cs="Times New Roman"/>
              </w:rPr>
              <w:t>8 nedjelja</w:t>
            </w:r>
          </w:p>
          <w:p w:rsidR="009C1E28" w:rsidRPr="009C1E28" w:rsidRDefault="009C1E28" w:rsidP="009C1E28">
            <w:pPr>
              <w:keepNext/>
              <w:keepLines/>
              <w:spacing w:after="0"/>
              <w:jc w:val="both"/>
              <w:rPr>
                <w:rFonts w:ascii="Times New Roman" w:hAnsi="Times New Roman" w:cs="Times New Roman"/>
              </w:rPr>
            </w:pPr>
            <w:r w:rsidRPr="009C1E28">
              <w:rPr>
                <w:rFonts w:ascii="Times New Roman" w:hAnsi="Times New Roman" w:cs="Times New Roman"/>
              </w:rPr>
              <w:t>(n=210)</w:t>
            </w:r>
          </w:p>
        </w:tc>
        <w:tc>
          <w:tcPr>
            <w:tcW w:w="2429" w:type="dxa"/>
            <w:shd w:val="clear" w:color="auto" w:fill="FFFFFF"/>
          </w:tcPr>
          <w:p w:rsidR="009C1E28" w:rsidRPr="009C1E28" w:rsidRDefault="009C1E28" w:rsidP="009C1E28">
            <w:pPr>
              <w:keepNext/>
              <w:keepLines/>
              <w:spacing w:after="0"/>
              <w:jc w:val="both"/>
              <w:rPr>
                <w:rFonts w:ascii="Times New Roman" w:hAnsi="Times New Roman" w:cs="Times New Roman"/>
              </w:rPr>
            </w:pPr>
            <w:r w:rsidRPr="009C1E28">
              <w:rPr>
                <w:rFonts w:ascii="Times New Roman" w:hAnsi="Times New Roman" w:cs="Times New Roman"/>
              </w:rPr>
              <w:t>LDV/SOF</w:t>
            </w:r>
          </w:p>
          <w:p w:rsidR="009C1E28" w:rsidRPr="009C1E28" w:rsidRDefault="009C1E28" w:rsidP="009C1E28">
            <w:pPr>
              <w:keepNext/>
              <w:keepLines/>
              <w:spacing w:after="0"/>
              <w:jc w:val="both"/>
              <w:rPr>
                <w:rFonts w:ascii="Times New Roman" w:hAnsi="Times New Roman" w:cs="Times New Roman"/>
              </w:rPr>
            </w:pPr>
            <w:r w:rsidRPr="009C1E28">
              <w:rPr>
                <w:rFonts w:ascii="Times New Roman" w:hAnsi="Times New Roman" w:cs="Times New Roman"/>
              </w:rPr>
              <w:t>12 nedjelja</w:t>
            </w:r>
          </w:p>
          <w:p w:rsidR="009C1E28" w:rsidRPr="009C1E28" w:rsidRDefault="009C1E28" w:rsidP="009C1E28">
            <w:pPr>
              <w:keepNext/>
              <w:keepLines/>
              <w:spacing w:after="0"/>
              <w:jc w:val="both"/>
              <w:rPr>
                <w:rFonts w:ascii="Times New Roman" w:hAnsi="Times New Roman" w:cs="Times New Roman"/>
              </w:rPr>
            </w:pPr>
            <w:r w:rsidRPr="009C1E28">
              <w:rPr>
                <w:rFonts w:ascii="Times New Roman" w:hAnsi="Times New Roman" w:cs="Times New Roman"/>
              </w:rPr>
              <w:t>(n=211)</w:t>
            </w:r>
          </w:p>
        </w:tc>
      </w:tr>
      <w:tr w:rsidR="009C1E28" w:rsidRPr="009C1E28" w:rsidTr="00DD26F2">
        <w:tc>
          <w:tcPr>
            <w:tcW w:w="9634" w:type="dxa"/>
            <w:gridSpan w:val="5"/>
            <w:shd w:val="clear" w:color="auto" w:fill="FFFFFF"/>
          </w:tcPr>
          <w:p w:rsidR="009C1E28" w:rsidRPr="009C1E28" w:rsidRDefault="009C1E28" w:rsidP="009C1E28">
            <w:pPr>
              <w:keepNext/>
              <w:keepLines/>
              <w:spacing w:after="0"/>
              <w:jc w:val="both"/>
              <w:rPr>
                <w:rFonts w:ascii="Times New Roman" w:hAnsi="Times New Roman" w:cs="Times New Roman"/>
                <w:b/>
                <w:i/>
              </w:rPr>
            </w:pPr>
            <w:r w:rsidRPr="009C1E28">
              <w:rPr>
                <w:rFonts w:ascii="Times New Roman" w:hAnsi="Times New Roman" w:cs="Times New Roman"/>
                <w:i/>
              </w:rPr>
              <w:t>Pol</w:t>
            </w:r>
          </w:p>
        </w:tc>
      </w:tr>
      <w:tr w:rsidR="009C1E28" w:rsidRPr="009C1E28" w:rsidTr="00DD26F2">
        <w:trPr>
          <w:trHeight w:val="218"/>
        </w:trPr>
        <w:tc>
          <w:tcPr>
            <w:tcW w:w="276" w:type="dxa"/>
            <w:tcBorders>
              <w:right w:val="nil"/>
            </w:tcBorders>
            <w:shd w:val="clear" w:color="auto" w:fill="FFFFFF"/>
          </w:tcPr>
          <w:p w:rsidR="009C1E28" w:rsidRPr="009C1E28" w:rsidRDefault="009C1E28" w:rsidP="009C1E28">
            <w:pPr>
              <w:keepNext/>
              <w:keepLines/>
              <w:spacing w:after="0"/>
              <w:jc w:val="both"/>
              <w:rPr>
                <w:rFonts w:ascii="Times New Roman" w:hAnsi="Times New Roman" w:cs="Times New Roman"/>
                <w:b/>
              </w:rPr>
            </w:pPr>
          </w:p>
        </w:tc>
        <w:tc>
          <w:tcPr>
            <w:tcW w:w="3518" w:type="dxa"/>
            <w:tcBorders>
              <w:left w:val="nil"/>
            </w:tcBorders>
            <w:shd w:val="clear" w:color="auto" w:fill="FFFFFF"/>
          </w:tcPr>
          <w:p w:rsidR="009C1E28" w:rsidRPr="009C1E28" w:rsidRDefault="009C1E28" w:rsidP="009C1E28">
            <w:pPr>
              <w:pStyle w:val="Text1"/>
              <w:keepNext/>
              <w:keepLines/>
              <w:spacing w:after="0"/>
              <w:jc w:val="both"/>
              <w:rPr>
                <w:sz w:val="22"/>
                <w:szCs w:val="22"/>
              </w:rPr>
            </w:pPr>
            <w:r w:rsidRPr="009C1E28">
              <w:rPr>
                <w:sz w:val="22"/>
                <w:szCs w:val="22"/>
              </w:rPr>
              <w:t>Muški</w:t>
            </w:r>
          </w:p>
        </w:tc>
        <w:tc>
          <w:tcPr>
            <w:tcW w:w="1701" w:type="dxa"/>
            <w:shd w:val="clear" w:color="auto" w:fill="FFFFFF"/>
          </w:tcPr>
          <w:p w:rsidR="009C1E28" w:rsidRPr="009C1E28" w:rsidRDefault="009C1E28" w:rsidP="009C1E28">
            <w:pPr>
              <w:pStyle w:val="Text1"/>
              <w:keepNext/>
              <w:keepLines/>
              <w:spacing w:after="0"/>
              <w:jc w:val="both"/>
              <w:rPr>
                <w:sz w:val="22"/>
                <w:szCs w:val="22"/>
              </w:rPr>
            </w:pPr>
            <w:r w:rsidRPr="009C1E28">
              <w:rPr>
                <w:sz w:val="22"/>
                <w:szCs w:val="22"/>
              </w:rPr>
              <w:t>8% (10/129)</w:t>
            </w:r>
          </w:p>
        </w:tc>
        <w:tc>
          <w:tcPr>
            <w:tcW w:w="1710" w:type="dxa"/>
            <w:shd w:val="clear" w:color="auto" w:fill="FFFFFF"/>
          </w:tcPr>
          <w:p w:rsidR="009C1E28" w:rsidRPr="009C1E28" w:rsidRDefault="009C1E28" w:rsidP="009C1E28">
            <w:pPr>
              <w:pStyle w:val="Text1"/>
              <w:keepNext/>
              <w:keepLines/>
              <w:spacing w:after="0"/>
              <w:jc w:val="both"/>
              <w:rPr>
                <w:sz w:val="22"/>
                <w:szCs w:val="22"/>
              </w:rPr>
            </w:pPr>
            <w:r w:rsidRPr="009C1E28">
              <w:rPr>
                <w:sz w:val="22"/>
                <w:szCs w:val="22"/>
              </w:rPr>
              <w:t>7% (8/114)</w:t>
            </w:r>
          </w:p>
        </w:tc>
        <w:tc>
          <w:tcPr>
            <w:tcW w:w="2429" w:type="dxa"/>
            <w:shd w:val="clear" w:color="auto" w:fill="FFFFFF"/>
          </w:tcPr>
          <w:p w:rsidR="009C1E28" w:rsidRPr="009C1E28" w:rsidRDefault="009C1E28" w:rsidP="009C1E28">
            <w:pPr>
              <w:pStyle w:val="Text1"/>
              <w:keepNext/>
              <w:keepLines/>
              <w:spacing w:after="0"/>
              <w:jc w:val="both"/>
              <w:rPr>
                <w:sz w:val="22"/>
                <w:szCs w:val="22"/>
              </w:rPr>
            </w:pPr>
            <w:r w:rsidRPr="009C1E28">
              <w:rPr>
                <w:sz w:val="22"/>
                <w:szCs w:val="22"/>
              </w:rPr>
              <w:t>2% (3/127)</w:t>
            </w:r>
          </w:p>
        </w:tc>
      </w:tr>
      <w:tr w:rsidR="009C1E28" w:rsidRPr="009C1E28" w:rsidTr="00DD26F2">
        <w:tc>
          <w:tcPr>
            <w:tcW w:w="276" w:type="dxa"/>
            <w:tcBorders>
              <w:right w:val="nil"/>
            </w:tcBorders>
            <w:shd w:val="clear" w:color="auto" w:fill="FFFFFF"/>
          </w:tcPr>
          <w:p w:rsidR="009C1E28" w:rsidRPr="009C1E28" w:rsidRDefault="009C1E28" w:rsidP="009C1E28">
            <w:pPr>
              <w:keepNext/>
              <w:keepLines/>
              <w:spacing w:after="0"/>
              <w:jc w:val="both"/>
              <w:rPr>
                <w:rFonts w:ascii="Times New Roman" w:hAnsi="Times New Roman" w:cs="Times New Roman"/>
                <w:b/>
              </w:rPr>
            </w:pPr>
          </w:p>
        </w:tc>
        <w:tc>
          <w:tcPr>
            <w:tcW w:w="3518" w:type="dxa"/>
            <w:tcBorders>
              <w:left w:val="nil"/>
            </w:tcBorders>
            <w:shd w:val="clear" w:color="auto" w:fill="FFFFFF"/>
          </w:tcPr>
          <w:p w:rsidR="009C1E28" w:rsidRPr="009C1E28" w:rsidRDefault="009C1E28" w:rsidP="009C1E28">
            <w:pPr>
              <w:pStyle w:val="Text1"/>
              <w:keepNext/>
              <w:keepLines/>
              <w:spacing w:after="0"/>
              <w:jc w:val="both"/>
              <w:rPr>
                <w:sz w:val="22"/>
                <w:szCs w:val="22"/>
              </w:rPr>
            </w:pPr>
            <w:r w:rsidRPr="009C1E28">
              <w:rPr>
                <w:sz w:val="22"/>
                <w:szCs w:val="22"/>
              </w:rPr>
              <w:t>Ženski</w:t>
            </w:r>
          </w:p>
        </w:tc>
        <w:tc>
          <w:tcPr>
            <w:tcW w:w="1701" w:type="dxa"/>
            <w:shd w:val="clear" w:color="auto" w:fill="FFFFFF"/>
          </w:tcPr>
          <w:p w:rsidR="009C1E28" w:rsidRPr="009C1E28" w:rsidRDefault="009C1E28" w:rsidP="009C1E28">
            <w:pPr>
              <w:pStyle w:val="Text1"/>
              <w:keepNext/>
              <w:keepLines/>
              <w:spacing w:after="0"/>
              <w:jc w:val="both"/>
              <w:rPr>
                <w:sz w:val="22"/>
                <w:szCs w:val="22"/>
              </w:rPr>
            </w:pPr>
            <w:r w:rsidRPr="009C1E28">
              <w:rPr>
                <w:sz w:val="22"/>
                <w:szCs w:val="22"/>
              </w:rPr>
              <w:t>1% (1/84)</w:t>
            </w:r>
          </w:p>
        </w:tc>
        <w:tc>
          <w:tcPr>
            <w:tcW w:w="1710" w:type="dxa"/>
            <w:shd w:val="clear" w:color="auto" w:fill="FFFFFF"/>
          </w:tcPr>
          <w:p w:rsidR="009C1E28" w:rsidRPr="009C1E28" w:rsidRDefault="009C1E28" w:rsidP="009C1E28">
            <w:pPr>
              <w:pStyle w:val="Text1"/>
              <w:keepNext/>
              <w:keepLines/>
              <w:spacing w:after="0"/>
              <w:jc w:val="both"/>
              <w:rPr>
                <w:sz w:val="22"/>
                <w:szCs w:val="22"/>
              </w:rPr>
            </w:pPr>
            <w:r w:rsidRPr="009C1E28">
              <w:rPr>
                <w:sz w:val="22"/>
                <w:szCs w:val="22"/>
              </w:rPr>
              <w:t>1% (1/96)</w:t>
            </w:r>
          </w:p>
        </w:tc>
        <w:tc>
          <w:tcPr>
            <w:tcW w:w="2429" w:type="dxa"/>
            <w:shd w:val="clear" w:color="auto" w:fill="FFFFFF"/>
          </w:tcPr>
          <w:p w:rsidR="009C1E28" w:rsidRPr="009C1E28" w:rsidRDefault="009C1E28" w:rsidP="009C1E28">
            <w:pPr>
              <w:pStyle w:val="Text1"/>
              <w:keepNext/>
              <w:keepLines/>
              <w:spacing w:after="0"/>
              <w:jc w:val="both"/>
              <w:rPr>
                <w:sz w:val="22"/>
                <w:szCs w:val="22"/>
              </w:rPr>
            </w:pPr>
            <w:r w:rsidRPr="009C1E28">
              <w:rPr>
                <w:sz w:val="22"/>
                <w:szCs w:val="22"/>
              </w:rPr>
              <w:t>0% (0/84)</w:t>
            </w:r>
          </w:p>
        </w:tc>
      </w:tr>
      <w:tr w:rsidR="009C1E28" w:rsidRPr="009C1E28" w:rsidTr="00DD26F2">
        <w:tc>
          <w:tcPr>
            <w:tcW w:w="9634" w:type="dxa"/>
            <w:gridSpan w:val="5"/>
            <w:shd w:val="clear" w:color="auto" w:fill="FFFFFF"/>
          </w:tcPr>
          <w:p w:rsidR="009C1E28" w:rsidRPr="009C1E28" w:rsidRDefault="009C1E28" w:rsidP="009C1E28">
            <w:pPr>
              <w:pStyle w:val="Text1"/>
              <w:keepNext/>
              <w:keepLines/>
              <w:spacing w:after="0"/>
              <w:jc w:val="both"/>
              <w:rPr>
                <w:i/>
                <w:sz w:val="22"/>
                <w:szCs w:val="22"/>
              </w:rPr>
            </w:pPr>
            <w:r w:rsidRPr="009C1E28">
              <w:rPr>
                <w:i/>
                <w:sz w:val="22"/>
                <w:szCs w:val="22"/>
              </w:rPr>
              <w:t>IL28 genotip</w:t>
            </w:r>
          </w:p>
        </w:tc>
      </w:tr>
      <w:tr w:rsidR="009C1E28" w:rsidRPr="009C1E28" w:rsidTr="00DD26F2">
        <w:tc>
          <w:tcPr>
            <w:tcW w:w="276" w:type="dxa"/>
            <w:tcBorders>
              <w:right w:val="nil"/>
            </w:tcBorders>
            <w:shd w:val="clear" w:color="auto" w:fill="FFFFFF"/>
          </w:tcPr>
          <w:p w:rsidR="009C1E28" w:rsidRPr="009C1E28" w:rsidRDefault="009C1E28" w:rsidP="009C1E28">
            <w:pPr>
              <w:keepNext/>
              <w:keepLines/>
              <w:spacing w:after="0"/>
              <w:jc w:val="both"/>
              <w:rPr>
                <w:rFonts w:ascii="Times New Roman" w:hAnsi="Times New Roman" w:cs="Times New Roman"/>
                <w:b/>
              </w:rPr>
            </w:pPr>
          </w:p>
        </w:tc>
        <w:tc>
          <w:tcPr>
            <w:tcW w:w="3518" w:type="dxa"/>
            <w:tcBorders>
              <w:left w:val="nil"/>
            </w:tcBorders>
            <w:shd w:val="clear" w:color="auto" w:fill="FFFFFF"/>
          </w:tcPr>
          <w:p w:rsidR="009C1E28" w:rsidRPr="009C1E28" w:rsidRDefault="009C1E28" w:rsidP="009C1E28">
            <w:pPr>
              <w:pStyle w:val="Text1"/>
              <w:keepNext/>
              <w:keepLines/>
              <w:spacing w:after="0"/>
              <w:jc w:val="both"/>
              <w:rPr>
                <w:sz w:val="22"/>
                <w:szCs w:val="22"/>
              </w:rPr>
            </w:pPr>
            <w:r w:rsidRPr="009C1E28">
              <w:rPr>
                <w:sz w:val="22"/>
                <w:szCs w:val="22"/>
              </w:rPr>
              <w:t>CC</w:t>
            </w:r>
          </w:p>
        </w:tc>
        <w:tc>
          <w:tcPr>
            <w:tcW w:w="1701" w:type="dxa"/>
            <w:shd w:val="clear" w:color="auto" w:fill="FFFFFF"/>
          </w:tcPr>
          <w:p w:rsidR="009C1E28" w:rsidRPr="009C1E28" w:rsidRDefault="009C1E28" w:rsidP="009C1E28">
            <w:pPr>
              <w:pStyle w:val="Text1"/>
              <w:keepNext/>
              <w:keepLines/>
              <w:spacing w:after="0"/>
              <w:jc w:val="both"/>
              <w:rPr>
                <w:sz w:val="22"/>
                <w:szCs w:val="22"/>
              </w:rPr>
            </w:pPr>
            <w:r w:rsidRPr="009C1E28">
              <w:rPr>
                <w:sz w:val="22"/>
                <w:szCs w:val="22"/>
              </w:rPr>
              <w:t>4% (2/56)</w:t>
            </w:r>
          </w:p>
        </w:tc>
        <w:tc>
          <w:tcPr>
            <w:tcW w:w="1710" w:type="dxa"/>
            <w:shd w:val="clear" w:color="auto" w:fill="FFFFFF"/>
          </w:tcPr>
          <w:p w:rsidR="009C1E28" w:rsidRPr="009C1E28" w:rsidRDefault="009C1E28" w:rsidP="009C1E28">
            <w:pPr>
              <w:pStyle w:val="Text1"/>
              <w:keepNext/>
              <w:keepLines/>
              <w:spacing w:after="0"/>
              <w:jc w:val="both"/>
              <w:rPr>
                <w:sz w:val="22"/>
                <w:szCs w:val="22"/>
              </w:rPr>
            </w:pPr>
            <w:r w:rsidRPr="009C1E28">
              <w:rPr>
                <w:sz w:val="22"/>
                <w:szCs w:val="22"/>
              </w:rPr>
              <w:t>0% (0/57)</w:t>
            </w:r>
          </w:p>
        </w:tc>
        <w:tc>
          <w:tcPr>
            <w:tcW w:w="2429" w:type="dxa"/>
            <w:shd w:val="clear" w:color="auto" w:fill="FFFFFF"/>
          </w:tcPr>
          <w:p w:rsidR="009C1E28" w:rsidRPr="009C1E28" w:rsidRDefault="009C1E28" w:rsidP="009C1E28">
            <w:pPr>
              <w:pStyle w:val="Text1"/>
              <w:keepNext/>
              <w:keepLines/>
              <w:spacing w:after="0"/>
              <w:jc w:val="both"/>
              <w:rPr>
                <w:sz w:val="22"/>
                <w:szCs w:val="22"/>
              </w:rPr>
            </w:pPr>
            <w:r w:rsidRPr="009C1E28">
              <w:rPr>
                <w:sz w:val="22"/>
                <w:szCs w:val="22"/>
              </w:rPr>
              <w:t>0% (0/54)</w:t>
            </w:r>
          </w:p>
        </w:tc>
      </w:tr>
      <w:tr w:rsidR="009C1E28" w:rsidRPr="009C1E28" w:rsidTr="00DD26F2">
        <w:tc>
          <w:tcPr>
            <w:tcW w:w="276" w:type="dxa"/>
            <w:tcBorders>
              <w:right w:val="nil"/>
            </w:tcBorders>
            <w:shd w:val="clear" w:color="auto" w:fill="FFFFFF"/>
          </w:tcPr>
          <w:p w:rsidR="009C1E28" w:rsidRPr="009C1E28" w:rsidRDefault="009C1E28" w:rsidP="009C1E28">
            <w:pPr>
              <w:keepNext/>
              <w:keepLines/>
              <w:spacing w:after="0"/>
              <w:jc w:val="both"/>
              <w:rPr>
                <w:rFonts w:ascii="Times New Roman" w:hAnsi="Times New Roman" w:cs="Times New Roman"/>
                <w:b/>
              </w:rPr>
            </w:pPr>
          </w:p>
        </w:tc>
        <w:tc>
          <w:tcPr>
            <w:tcW w:w="3518" w:type="dxa"/>
            <w:tcBorders>
              <w:left w:val="nil"/>
            </w:tcBorders>
            <w:shd w:val="clear" w:color="auto" w:fill="FFFFFF"/>
          </w:tcPr>
          <w:p w:rsidR="009C1E28" w:rsidRPr="009C1E28" w:rsidRDefault="009C1E28" w:rsidP="009C1E28">
            <w:pPr>
              <w:pStyle w:val="Text1"/>
              <w:keepNext/>
              <w:keepLines/>
              <w:spacing w:after="0"/>
              <w:jc w:val="both"/>
              <w:rPr>
                <w:sz w:val="22"/>
                <w:szCs w:val="22"/>
              </w:rPr>
            </w:pPr>
            <w:r w:rsidRPr="009C1E28">
              <w:rPr>
                <w:sz w:val="22"/>
                <w:szCs w:val="22"/>
              </w:rPr>
              <w:t>Ne-CC</w:t>
            </w:r>
          </w:p>
        </w:tc>
        <w:tc>
          <w:tcPr>
            <w:tcW w:w="1701" w:type="dxa"/>
            <w:shd w:val="clear" w:color="auto" w:fill="FFFFFF"/>
          </w:tcPr>
          <w:p w:rsidR="009C1E28" w:rsidRPr="009C1E28" w:rsidRDefault="009C1E28" w:rsidP="009C1E28">
            <w:pPr>
              <w:pStyle w:val="Text1"/>
              <w:keepNext/>
              <w:keepLines/>
              <w:spacing w:after="0"/>
              <w:jc w:val="both"/>
              <w:rPr>
                <w:sz w:val="22"/>
                <w:szCs w:val="22"/>
              </w:rPr>
            </w:pPr>
            <w:r w:rsidRPr="009C1E28">
              <w:rPr>
                <w:sz w:val="22"/>
                <w:szCs w:val="22"/>
              </w:rPr>
              <w:t>6% (9/157)</w:t>
            </w:r>
          </w:p>
        </w:tc>
        <w:tc>
          <w:tcPr>
            <w:tcW w:w="1710" w:type="dxa"/>
            <w:shd w:val="clear" w:color="auto" w:fill="FFFFFF"/>
          </w:tcPr>
          <w:p w:rsidR="009C1E28" w:rsidRPr="009C1E28" w:rsidRDefault="009C1E28" w:rsidP="009C1E28">
            <w:pPr>
              <w:pStyle w:val="Text1"/>
              <w:keepNext/>
              <w:keepLines/>
              <w:spacing w:after="0"/>
              <w:jc w:val="both"/>
              <w:rPr>
                <w:sz w:val="22"/>
                <w:szCs w:val="22"/>
              </w:rPr>
            </w:pPr>
            <w:r w:rsidRPr="009C1E28">
              <w:rPr>
                <w:sz w:val="22"/>
                <w:szCs w:val="22"/>
              </w:rPr>
              <w:t>6% (9/153)</w:t>
            </w:r>
          </w:p>
        </w:tc>
        <w:tc>
          <w:tcPr>
            <w:tcW w:w="2429" w:type="dxa"/>
            <w:shd w:val="clear" w:color="auto" w:fill="FFFFFF"/>
          </w:tcPr>
          <w:p w:rsidR="009C1E28" w:rsidRPr="009C1E28" w:rsidRDefault="009C1E28" w:rsidP="009C1E28">
            <w:pPr>
              <w:pStyle w:val="Text1"/>
              <w:keepNext/>
              <w:keepLines/>
              <w:spacing w:after="0"/>
              <w:jc w:val="both"/>
              <w:rPr>
                <w:sz w:val="22"/>
                <w:szCs w:val="22"/>
              </w:rPr>
            </w:pPr>
            <w:r w:rsidRPr="009C1E28">
              <w:rPr>
                <w:sz w:val="22"/>
                <w:szCs w:val="22"/>
              </w:rPr>
              <w:t>2% (3/157)</w:t>
            </w:r>
          </w:p>
        </w:tc>
      </w:tr>
      <w:tr w:rsidR="009C1E28" w:rsidRPr="009C1E28" w:rsidTr="00DD26F2">
        <w:tc>
          <w:tcPr>
            <w:tcW w:w="9634" w:type="dxa"/>
            <w:gridSpan w:val="5"/>
            <w:shd w:val="clear" w:color="auto" w:fill="FFFFFF"/>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i/>
              </w:rPr>
              <w:t>Početni HCV RNK</w:t>
            </w:r>
            <w:r w:rsidRPr="009C1E28">
              <w:rPr>
                <w:rFonts w:ascii="Times New Roman" w:hAnsi="Times New Roman" w:cs="Times New Roman"/>
                <w:vertAlign w:val="superscript"/>
              </w:rPr>
              <w:t xml:space="preserve">a </w:t>
            </w:r>
          </w:p>
        </w:tc>
      </w:tr>
      <w:tr w:rsidR="009C1E28" w:rsidRPr="009C1E28" w:rsidTr="00DD26F2">
        <w:trPr>
          <w:trHeight w:val="218"/>
        </w:trPr>
        <w:tc>
          <w:tcPr>
            <w:tcW w:w="276" w:type="dxa"/>
            <w:tcBorders>
              <w:right w:val="nil"/>
            </w:tcBorders>
            <w:shd w:val="clear" w:color="auto" w:fill="FFFFFF"/>
          </w:tcPr>
          <w:p w:rsidR="009C1E28" w:rsidRPr="009C1E28" w:rsidRDefault="009C1E28" w:rsidP="009C1E28">
            <w:pPr>
              <w:keepNext/>
              <w:keepLines/>
              <w:spacing w:after="0"/>
              <w:jc w:val="both"/>
              <w:rPr>
                <w:rFonts w:ascii="Times New Roman" w:hAnsi="Times New Roman" w:cs="Times New Roman"/>
                <w:b/>
              </w:rPr>
            </w:pPr>
          </w:p>
        </w:tc>
        <w:tc>
          <w:tcPr>
            <w:tcW w:w="3518" w:type="dxa"/>
            <w:tcBorders>
              <w:left w:val="nil"/>
            </w:tcBorders>
            <w:shd w:val="clear" w:color="auto" w:fill="FFFFFF"/>
          </w:tcPr>
          <w:p w:rsidR="009C1E28" w:rsidRPr="009C1E28" w:rsidRDefault="009C1E28" w:rsidP="009C1E28">
            <w:pPr>
              <w:pStyle w:val="Text1"/>
              <w:keepNext/>
              <w:keepLines/>
              <w:spacing w:after="0"/>
              <w:jc w:val="both"/>
              <w:rPr>
                <w:sz w:val="22"/>
                <w:szCs w:val="22"/>
              </w:rPr>
            </w:pPr>
            <w:r w:rsidRPr="009C1E28">
              <w:rPr>
                <w:sz w:val="22"/>
                <w:szCs w:val="22"/>
              </w:rPr>
              <w:t>HCV RNK &lt;6 miliona IJ/ml</w:t>
            </w:r>
          </w:p>
        </w:tc>
        <w:tc>
          <w:tcPr>
            <w:tcW w:w="1701" w:type="dxa"/>
            <w:shd w:val="clear" w:color="auto" w:fill="FFFFFF"/>
          </w:tcPr>
          <w:p w:rsidR="009C1E28" w:rsidRPr="009C1E28" w:rsidRDefault="009C1E28" w:rsidP="009C1E28">
            <w:pPr>
              <w:pStyle w:val="Text1"/>
              <w:keepNext/>
              <w:keepLines/>
              <w:spacing w:after="0"/>
              <w:jc w:val="both"/>
              <w:rPr>
                <w:sz w:val="22"/>
                <w:szCs w:val="22"/>
              </w:rPr>
            </w:pPr>
            <w:r w:rsidRPr="009C1E28">
              <w:rPr>
                <w:sz w:val="22"/>
                <w:szCs w:val="22"/>
              </w:rPr>
              <w:t>2% (2/121)</w:t>
            </w:r>
          </w:p>
        </w:tc>
        <w:tc>
          <w:tcPr>
            <w:tcW w:w="1710" w:type="dxa"/>
            <w:shd w:val="clear" w:color="auto" w:fill="FFFFFF"/>
          </w:tcPr>
          <w:p w:rsidR="009C1E28" w:rsidRPr="009C1E28" w:rsidRDefault="009C1E28" w:rsidP="009C1E28">
            <w:pPr>
              <w:pStyle w:val="Text1"/>
              <w:keepNext/>
              <w:keepLines/>
              <w:spacing w:after="0"/>
              <w:jc w:val="both"/>
              <w:rPr>
                <w:sz w:val="22"/>
                <w:szCs w:val="22"/>
              </w:rPr>
            </w:pPr>
            <w:r w:rsidRPr="009C1E28">
              <w:rPr>
                <w:sz w:val="22"/>
                <w:szCs w:val="22"/>
              </w:rPr>
              <w:t>2% (3/136)</w:t>
            </w:r>
          </w:p>
        </w:tc>
        <w:tc>
          <w:tcPr>
            <w:tcW w:w="2429" w:type="dxa"/>
            <w:shd w:val="clear" w:color="auto" w:fill="FFFFFF"/>
          </w:tcPr>
          <w:p w:rsidR="009C1E28" w:rsidRPr="009C1E28" w:rsidRDefault="009C1E28" w:rsidP="009C1E28">
            <w:pPr>
              <w:pStyle w:val="Text1"/>
              <w:keepNext/>
              <w:keepLines/>
              <w:spacing w:after="0"/>
              <w:jc w:val="both"/>
              <w:rPr>
                <w:sz w:val="22"/>
                <w:szCs w:val="22"/>
              </w:rPr>
            </w:pPr>
            <w:r w:rsidRPr="009C1E28">
              <w:rPr>
                <w:sz w:val="22"/>
                <w:szCs w:val="22"/>
              </w:rPr>
              <w:t>2% (2/128)</w:t>
            </w:r>
          </w:p>
        </w:tc>
      </w:tr>
      <w:tr w:rsidR="009C1E28" w:rsidRPr="009C1E28" w:rsidTr="00DD26F2">
        <w:tc>
          <w:tcPr>
            <w:tcW w:w="276" w:type="dxa"/>
            <w:tcBorders>
              <w:right w:val="nil"/>
            </w:tcBorders>
            <w:shd w:val="clear" w:color="auto" w:fill="FFFFFF"/>
          </w:tcPr>
          <w:p w:rsidR="009C1E28" w:rsidRPr="009C1E28" w:rsidRDefault="009C1E28" w:rsidP="009C1E28">
            <w:pPr>
              <w:keepNext/>
              <w:keepLines/>
              <w:spacing w:after="0"/>
              <w:jc w:val="both"/>
              <w:rPr>
                <w:rFonts w:ascii="Times New Roman" w:hAnsi="Times New Roman" w:cs="Times New Roman"/>
                <w:b/>
              </w:rPr>
            </w:pPr>
          </w:p>
        </w:tc>
        <w:tc>
          <w:tcPr>
            <w:tcW w:w="3518" w:type="dxa"/>
            <w:tcBorders>
              <w:left w:val="nil"/>
            </w:tcBorders>
            <w:shd w:val="clear" w:color="auto" w:fill="FFFFFF"/>
          </w:tcPr>
          <w:p w:rsidR="009C1E28" w:rsidRPr="009C1E28" w:rsidRDefault="009C1E28" w:rsidP="009C1E28">
            <w:pPr>
              <w:pStyle w:val="Text1"/>
              <w:keepNext/>
              <w:keepLines/>
              <w:spacing w:after="0"/>
              <w:jc w:val="both"/>
              <w:rPr>
                <w:sz w:val="22"/>
                <w:szCs w:val="22"/>
              </w:rPr>
            </w:pPr>
            <w:r w:rsidRPr="009C1E28">
              <w:rPr>
                <w:sz w:val="22"/>
                <w:szCs w:val="22"/>
              </w:rPr>
              <w:t>HCV RNK ≥6 miliona IJ/ml</w:t>
            </w:r>
          </w:p>
        </w:tc>
        <w:tc>
          <w:tcPr>
            <w:tcW w:w="1701" w:type="dxa"/>
            <w:shd w:val="clear" w:color="auto" w:fill="FFFFFF"/>
          </w:tcPr>
          <w:p w:rsidR="009C1E28" w:rsidRPr="009C1E28" w:rsidRDefault="009C1E28" w:rsidP="009C1E28">
            <w:pPr>
              <w:pStyle w:val="Text1"/>
              <w:keepNext/>
              <w:keepLines/>
              <w:spacing w:after="0"/>
              <w:jc w:val="both"/>
              <w:rPr>
                <w:sz w:val="22"/>
                <w:szCs w:val="22"/>
              </w:rPr>
            </w:pPr>
            <w:r w:rsidRPr="009C1E28">
              <w:rPr>
                <w:sz w:val="22"/>
                <w:szCs w:val="22"/>
              </w:rPr>
              <w:t>10% (9/92)</w:t>
            </w:r>
          </w:p>
        </w:tc>
        <w:tc>
          <w:tcPr>
            <w:tcW w:w="1710" w:type="dxa"/>
            <w:shd w:val="clear" w:color="auto" w:fill="FFFFFF"/>
          </w:tcPr>
          <w:p w:rsidR="009C1E28" w:rsidRPr="009C1E28" w:rsidRDefault="009C1E28" w:rsidP="009C1E28">
            <w:pPr>
              <w:pStyle w:val="Text1"/>
              <w:keepNext/>
              <w:keepLines/>
              <w:spacing w:after="0"/>
              <w:jc w:val="both"/>
              <w:rPr>
                <w:sz w:val="22"/>
                <w:szCs w:val="22"/>
              </w:rPr>
            </w:pPr>
            <w:r w:rsidRPr="009C1E28">
              <w:rPr>
                <w:sz w:val="22"/>
                <w:szCs w:val="22"/>
              </w:rPr>
              <w:t>8% (6/74)</w:t>
            </w:r>
          </w:p>
        </w:tc>
        <w:tc>
          <w:tcPr>
            <w:tcW w:w="2429" w:type="dxa"/>
            <w:shd w:val="clear" w:color="auto" w:fill="FFFFFF"/>
          </w:tcPr>
          <w:p w:rsidR="009C1E28" w:rsidRPr="009C1E28" w:rsidRDefault="009C1E28" w:rsidP="009C1E28">
            <w:pPr>
              <w:pStyle w:val="Text1"/>
              <w:keepNext/>
              <w:keepLines/>
              <w:spacing w:after="0"/>
              <w:jc w:val="both"/>
              <w:rPr>
                <w:sz w:val="22"/>
                <w:szCs w:val="22"/>
              </w:rPr>
            </w:pPr>
            <w:r w:rsidRPr="009C1E28">
              <w:rPr>
                <w:sz w:val="22"/>
                <w:szCs w:val="22"/>
              </w:rPr>
              <w:t>1% (1/83)</w:t>
            </w:r>
          </w:p>
        </w:tc>
      </w:tr>
    </w:tbl>
    <w:p w:rsidR="002045B8" w:rsidRDefault="002045B8" w:rsidP="009C1E28">
      <w:pPr>
        <w:keepNext/>
        <w:keepLines/>
        <w:spacing w:after="0"/>
        <w:jc w:val="both"/>
        <w:rPr>
          <w:rFonts w:ascii="Times New Roman" w:hAnsi="Times New Roman" w:cs="Times New Roman"/>
        </w:rPr>
      </w:pPr>
    </w:p>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*Pacijenti izgubljeni za praćenje ili oni koji su povukli pristanak bili su isključeni.</w:t>
      </w: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a. Vrijednosti HCV RNK bile su utvrđene pomoću testa Roche TaqMan; HCV RNK pacijenta može se razlikovati od posjete do posjete.</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keepNext/>
        <w:keepLines/>
        <w:spacing w:after="0"/>
        <w:jc w:val="both"/>
        <w:rPr>
          <w:rFonts w:ascii="Times New Roman" w:hAnsi="Times New Roman" w:cs="Times New Roman"/>
          <w:b/>
          <w:i/>
        </w:rPr>
      </w:pPr>
      <w:r w:rsidRPr="009C1E28">
        <w:rPr>
          <w:rFonts w:ascii="Times New Roman" w:hAnsi="Times New Roman" w:cs="Times New Roman"/>
          <w:i/>
        </w:rPr>
        <w:t>Odrasli sa ili bez ciroze koji prethodno nijesu bili liječeni – ION</w:t>
      </w:r>
      <w:r w:rsidRPr="009C1E28">
        <w:rPr>
          <w:rFonts w:ascii="Times New Roman" w:hAnsi="Times New Roman" w:cs="Times New Roman"/>
        </w:rPr>
        <w:noBreakHyphen/>
      </w:r>
      <w:r w:rsidRPr="009C1E28">
        <w:rPr>
          <w:rFonts w:ascii="Times New Roman" w:hAnsi="Times New Roman" w:cs="Times New Roman"/>
          <w:i/>
        </w:rPr>
        <w:t>1 (ispitivanje 0102) – genotip 1</w:t>
      </w: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Ispitivanje ION</w:t>
      </w:r>
      <w:r w:rsidRPr="009C1E28">
        <w:rPr>
          <w:rFonts w:ascii="Times New Roman" w:hAnsi="Times New Roman" w:cs="Times New Roman"/>
        </w:rPr>
        <w:noBreakHyphen/>
        <w:t>1 bilo je randomizovano, otvoreno ispitivanje u kome se procjenjivalo 12 i 24 nedjelja liječenja ledipasvirom/sofosbuvirom sa ribavirinom ili bez njega kod 865 pacijenata sa HHC-om genotipa 1, uključujući one sa cirozom (randomizovani u odnosu 1:1:1:1), koji prethodno nijesu bili liječeni. Randomizacija je bila stratifikovana prema prisutnosti ili odsutnosti ciroze i genotipu HCV-a (1a naspram 1b).</w:t>
      </w:r>
    </w:p>
    <w:p w:rsidR="009C1E28" w:rsidRPr="009C1E28" w:rsidRDefault="009C1E28" w:rsidP="009C1E28">
      <w:pPr>
        <w:spacing w:after="0"/>
        <w:jc w:val="both"/>
        <w:rPr>
          <w:rFonts w:ascii="Times New Roman" w:hAnsi="Times New Roman" w:cs="Times New Roman"/>
          <w:b/>
        </w:rPr>
      </w:pPr>
    </w:p>
    <w:p w:rsidR="009C1E28" w:rsidRDefault="009C1E28" w:rsidP="009C1E28">
      <w:pPr>
        <w:keepNext/>
        <w:keepLines/>
        <w:spacing w:after="0"/>
        <w:jc w:val="both"/>
        <w:rPr>
          <w:rFonts w:ascii="Times New Roman" w:hAnsi="Times New Roman" w:cs="Times New Roman"/>
          <w:b/>
        </w:rPr>
      </w:pPr>
      <w:r w:rsidRPr="002045B8">
        <w:rPr>
          <w:rFonts w:ascii="Times New Roman" w:hAnsi="Times New Roman" w:cs="Times New Roman"/>
          <w:b/>
        </w:rPr>
        <w:lastRenderedPageBreak/>
        <w:t>Tabela 11: Demografske i početne karakteristike u ispitivanju ION</w:t>
      </w:r>
      <w:r w:rsidRPr="002045B8">
        <w:rPr>
          <w:rFonts w:ascii="Times New Roman" w:hAnsi="Times New Roman" w:cs="Times New Roman"/>
          <w:b/>
        </w:rPr>
        <w:noBreakHyphen/>
        <w:t>1</w:t>
      </w:r>
    </w:p>
    <w:p w:rsidR="002045B8" w:rsidRPr="002045B8" w:rsidRDefault="002045B8" w:rsidP="009C1E28">
      <w:pPr>
        <w:keepNext/>
        <w:keepLines/>
        <w:spacing w:after="0"/>
        <w:jc w:val="both"/>
        <w:rPr>
          <w:rFonts w:ascii="Times New Roman" w:hAnsi="Times New Roman" w:cs="Times New Roman"/>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
        <w:gridCol w:w="2381"/>
        <w:gridCol w:w="1417"/>
        <w:gridCol w:w="1276"/>
        <w:gridCol w:w="1134"/>
        <w:gridCol w:w="1276"/>
        <w:gridCol w:w="1871"/>
      </w:tblGrid>
      <w:tr w:rsidR="009C1E28" w:rsidRPr="009C1E28" w:rsidTr="002045B8">
        <w:tc>
          <w:tcPr>
            <w:tcW w:w="2660" w:type="dxa"/>
            <w:gridSpan w:val="2"/>
          </w:tcPr>
          <w:p w:rsidR="009C1E28" w:rsidRPr="009C1E28" w:rsidRDefault="009C1E28" w:rsidP="009C1E28">
            <w:pPr>
              <w:keepNext/>
              <w:keepLines/>
              <w:spacing w:after="0"/>
              <w:jc w:val="both"/>
              <w:rPr>
                <w:rFonts w:ascii="Times New Roman" w:hAnsi="Times New Roman" w:cs="Times New Roman"/>
              </w:rPr>
            </w:pPr>
            <w:r w:rsidRPr="009C1E28">
              <w:rPr>
                <w:rFonts w:ascii="Times New Roman" w:hAnsi="Times New Roman" w:cs="Times New Roman"/>
              </w:rPr>
              <w:t>Raspodjela pacijenata</w:t>
            </w:r>
          </w:p>
        </w:tc>
        <w:tc>
          <w:tcPr>
            <w:tcW w:w="1417" w:type="dxa"/>
          </w:tcPr>
          <w:p w:rsidR="009C1E28" w:rsidRPr="009C1E28" w:rsidRDefault="009C1E28" w:rsidP="009C1E28">
            <w:pPr>
              <w:pStyle w:val="TableHeaderCenter"/>
              <w:keepNext/>
              <w:keepLines/>
              <w:spacing w:before="0" w:after="0"/>
              <w:jc w:val="both"/>
              <w:rPr>
                <w:rFonts w:ascii="Times New Roman" w:hAnsi="Times New Roman"/>
                <w:color w:val="auto"/>
                <w:sz w:val="22"/>
                <w:szCs w:val="22"/>
              </w:rPr>
            </w:pPr>
            <w:r w:rsidRPr="009C1E28">
              <w:rPr>
                <w:rFonts w:ascii="Times New Roman" w:hAnsi="Times New Roman"/>
                <w:color w:val="auto"/>
                <w:sz w:val="22"/>
                <w:szCs w:val="22"/>
              </w:rPr>
              <w:t>LDV/SOF</w:t>
            </w:r>
          </w:p>
          <w:p w:rsidR="009C1E28" w:rsidRPr="009C1E28" w:rsidRDefault="009C1E28" w:rsidP="009C1E28">
            <w:pPr>
              <w:pStyle w:val="TableHeaderCenter"/>
              <w:keepNext/>
              <w:keepLines/>
              <w:spacing w:before="0" w:after="0"/>
              <w:jc w:val="both"/>
              <w:rPr>
                <w:rFonts w:ascii="Times New Roman" w:hAnsi="Times New Roman"/>
                <w:color w:val="auto"/>
                <w:sz w:val="22"/>
                <w:szCs w:val="22"/>
              </w:rPr>
            </w:pPr>
            <w:r w:rsidRPr="009C1E28">
              <w:rPr>
                <w:rFonts w:ascii="Times New Roman" w:hAnsi="Times New Roman"/>
                <w:color w:val="auto"/>
                <w:sz w:val="22"/>
                <w:szCs w:val="22"/>
              </w:rPr>
              <w:t>12 nedjelja</w:t>
            </w:r>
          </w:p>
          <w:p w:rsidR="009C1E28" w:rsidRPr="009C1E28" w:rsidRDefault="009C1E28" w:rsidP="009C1E28">
            <w:pPr>
              <w:pStyle w:val="TableHeaderCenter"/>
              <w:keepNext/>
              <w:keepLines/>
              <w:spacing w:before="0" w:after="0"/>
              <w:jc w:val="both"/>
              <w:rPr>
                <w:rFonts w:ascii="Times New Roman" w:hAnsi="Times New Roman"/>
                <w:color w:val="auto"/>
                <w:sz w:val="22"/>
                <w:szCs w:val="22"/>
              </w:rPr>
            </w:pPr>
            <w:r w:rsidRPr="009C1E28">
              <w:rPr>
                <w:rFonts w:ascii="Times New Roman" w:hAnsi="Times New Roman"/>
                <w:color w:val="auto"/>
                <w:sz w:val="22"/>
                <w:szCs w:val="22"/>
              </w:rPr>
              <w:t>(n=214)</w:t>
            </w:r>
          </w:p>
        </w:tc>
        <w:tc>
          <w:tcPr>
            <w:tcW w:w="1276" w:type="dxa"/>
          </w:tcPr>
          <w:p w:rsidR="009C1E28" w:rsidRPr="009C1E28" w:rsidRDefault="009C1E28" w:rsidP="009C1E28">
            <w:pPr>
              <w:pStyle w:val="TableHeaderCenter"/>
              <w:keepNext/>
              <w:keepLines/>
              <w:spacing w:before="0" w:after="0"/>
              <w:jc w:val="both"/>
              <w:rPr>
                <w:rFonts w:ascii="Times New Roman" w:hAnsi="Times New Roman"/>
                <w:color w:val="auto"/>
                <w:sz w:val="22"/>
                <w:szCs w:val="22"/>
              </w:rPr>
            </w:pPr>
            <w:r w:rsidRPr="009C1E28">
              <w:rPr>
                <w:rFonts w:ascii="Times New Roman" w:hAnsi="Times New Roman"/>
                <w:color w:val="auto"/>
                <w:sz w:val="22"/>
                <w:szCs w:val="22"/>
              </w:rPr>
              <w:t>LDV/SOF+ RBV 12 nedjelja</w:t>
            </w:r>
          </w:p>
          <w:p w:rsidR="009C1E28" w:rsidRPr="009C1E28" w:rsidRDefault="009C1E28" w:rsidP="009C1E28">
            <w:pPr>
              <w:pStyle w:val="TableHeaderCenter"/>
              <w:keepNext/>
              <w:keepLines/>
              <w:spacing w:before="0" w:after="0"/>
              <w:jc w:val="both"/>
              <w:rPr>
                <w:rFonts w:ascii="Times New Roman" w:hAnsi="Times New Roman"/>
                <w:color w:val="auto"/>
                <w:sz w:val="22"/>
                <w:szCs w:val="22"/>
              </w:rPr>
            </w:pPr>
            <w:r w:rsidRPr="009C1E28">
              <w:rPr>
                <w:rFonts w:ascii="Times New Roman" w:hAnsi="Times New Roman"/>
                <w:color w:val="auto"/>
                <w:sz w:val="22"/>
                <w:szCs w:val="22"/>
              </w:rPr>
              <w:t>(n=217)</w:t>
            </w:r>
          </w:p>
        </w:tc>
        <w:tc>
          <w:tcPr>
            <w:tcW w:w="1134" w:type="dxa"/>
          </w:tcPr>
          <w:p w:rsidR="009C1E28" w:rsidRPr="009C1E28" w:rsidRDefault="009C1E28" w:rsidP="009C1E28">
            <w:pPr>
              <w:pStyle w:val="TableHeaderCenter"/>
              <w:keepNext/>
              <w:keepLines/>
              <w:spacing w:before="0" w:after="0"/>
              <w:jc w:val="both"/>
              <w:rPr>
                <w:rFonts w:ascii="Times New Roman" w:hAnsi="Times New Roman"/>
                <w:color w:val="auto"/>
                <w:sz w:val="22"/>
                <w:szCs w:val="22"/>
              </w:rPr>
            </w:pPr>
            <w:r w:rsidRPr="009C1E28">
              <w:rPr>
                <w:rFonts w:ascii="Times New Roman" w:hAnsi="Times New Roman"/>
                <w:color w:val="auto"/>
                <w:sz w:val="22"/>
                <w:szCs w:val="22"/>
              </w:rPr>
              <w:t>LDV/SOF</w:t>
            </w:r>
          </w:p>
          <w:p w:rsidR="009C1E28" w:rsidRPr="009C1E28" w:rsidRDefault="009C1E28" w:rsidP="009C1E28">
            <w:pPr>
              <w:pStyle w:val="TableHeaderCenter"/>
              <w:keepNext/>
              <w:keepLines/>
              <w:spacing w:before="0" w:after="0"/>
              <w:jc w:val="both"/>
              <w:rPr>
                <w:rFonts w:ascii="Times New Roman" w:hAnsi="Times New Roman"/>
                <w:color w:val="auto"/>
                <w:sz w:val="22"/>
                <w:szCs w:val="22"/>
              </w:rPr>
            </w:pPr>
            <w:r w:rsidRPr="009C1E28">
              <w:rPr>
                <w:rFonts w:ascii="Times New Roman" w:hAnsi="Times New Roman"/>
                <w:color w:val="auto"/>
                <w:sz w:val="22"/>
                <w:szCs w:val="22"/>
              </w:rPr>
              <w:t>24 nedjelja</w:t>
            </w:r>
          </w:p>
          <w:p w:rsidR="009C1E28" w:rsidRPr="009C1E28" w:rsidRDefault="009C1E28" w:rsidP="009C1E28">
            <w:pPr>
              <w:keepNext/>
              <w:keepLines/>
              <w:spacing w:after="0"/>
              <w:jc w:val="both"/>
              <w:rPr>
                <w:rFonts w:ascii="Times New Roman" w:hAnsi="Times New Roman" w:cs="Times New Roman"/>
              </w:rPr>
            </w:pPr>
            <w:r w:rsidRPr="009C1E28">
              <w:rPr>
                <w:rFonts w:ascii="Times New Roman" w:hAnsi="Times New Roman" w:cs="Times New Roman"/>
              </w:rPr>
              <w:t>(n=217)</w:t>
            </w:r>
          </w:p>
        </w:tc>
        <w:tc>
          <w:tcPr>
            <w:tcW w:w="1276" w:type="dxa"/>
          </w:tcPr>
          <w:p w:rsidR="009C1E28" w:rsidRPr="009C1E28" w:rsidRDefault="009C1E28" w:rsidP="009C1E28">
            <w:pPr>
              <w:pStyle w:val="TableHeaderCenter"/>
              <w:keepNext/>
              <w:keepLines/>
              <w:spacing w:before="0" w:after="0"/>
              <w:jc w:val="both"/>
              <w:rPr>
                <w:rFonts w:ascii="Times New Roman" w:hAnsi="Times New Roman"/>
                <w:color w:val="auto"/>
                <w:sz w:val="22"/>
                <w:szCs w:val="22"/>
              </w:rPr>
            </w:pPr>
            <w:r w:rsidRPr="009C1E28">
              <w:rPr>
                <w:rFonts w:ascii="Times New Roman" w:hAnsi="Times New Roman"/>
                <w:color w:val="auto"/>
                <w:sz w:val="22"/>
                <w:szCs w:val="22"/>
              </w:rPr>
              <w:t>LDV/SOF+ RBV 24 nedjelja</w:t>
            </w:r>
          </w:p>
          <w:p w:rsidR="009C1E28" w:rsidRPr="009C1E28" w:rsidRDefault="009C1E28" w:rsidP="009C1E28">
            <w:pPr>
              <w:keepNext/>
              <w:keepLines/>
              <w:spacing w:after="0"/>
              <w:jc w:val="both"/>
              <w:rPr>
                <w:rFonts w:ascii="Times New Roman" w:hAnsi="Times New Roman" w:cs="Times New Roman"/>
              </w:rPr>
            </w:pPr>
            <w:r w:rsidRPr="009C1E28">
              <w:rPr>
                <w:rFonts w:ascii="Times New Roman" w:hAnsi="Times New Roman" w:cs="Times New Roman"/>
              </w:rPr>
              <w:t>(n=217)</w:t>
            </w:r>
          </w:p>
        </w:tc>
        <w:tc>
          <w:tcPr>
            <w:tcW w:w="1871" w:type="dxa"/>
          </w:tcPr>
          <w:p w:rsidR="009C1E28" w:rsidRPr="009C1E28" w:rsidRDefault="009C1E28" w:rsidP="009C1E28">
            <w:pPr>
              <w:keepNext/>
              <w:keepLines/>
              <w:spacing w:after="0"/>
              <w:jc w:val="both"/>
              <w:rPr>
                <w:rFonts w:ascii="Times New Roman" w:hAnsi="Times New Roman" w:cs="Times New Roman"/>
              </w:rPr>
            </w:pPr>
            <w:r w:rsidRPr="009C1E28">
              <w:rPr>
                <w:rFonts w:ascii="Times New Roman" w:hAnsi="Times New Roman" w:cs="Times New Roman"/>
              </w:rPr>
              <w:t>UKUPNO</w:t>
            </w:r>
          </w:p>
          <w:p w:rsidR="009C1E28" w:rsidRPr="009C1E28" w:rsidRDefault="009C1E28" w:rsidP="009C1E28">
            <w:pPr>
              <w:keepNext/>
              <w:keepLines/>
              <w:spacing w:after="0"/>
              <w:jc w:val="both"/>
              <w:rPr>
                <w:rFonts w:ascii="Times New Roman" w:hAnsi="Times New Roman" w:cs="Times New Roman"/>
              </w:rPr>
            </w:pPr>
          </w:p>
          <w:p w:rsidR="009C1E28" w:rsidRPr="009C1E28" w:rsidRDefault="009C1E28" w:rsidP="009C1E28">
            <w:pPr>
              <w:keepNext/>
              <w:keepLines/>
              <w:spacing w:after="0"/>
              <w:jc w:val="both"/>
              <w:rPr>
                <w:rFonts w:ascii="Times New Roman" w:hAnsi="Times New Roman" w:cs="Times New Roman"/>
              </w:rPr>
            </w:pPr>
            <w:r w:rsidRPr="009C1E28">
              <w:rPr>
                <w:rFonts w:ascii="Times New Roman" w:hAnsi="Times New Roman" w:cs="Times New Roman"/>
              </w:rPr>
              <w:t>(n=865)</w:t>
            </w:r>
          </w:p>
        </w:tc>
      </w:tr>
      <w:tr w:rsidR="009C1E28" w:rsidRPr="009C1E28" w:rsidTr="002045B8">
        <w:tc>
          <w:tcPr>
            <w:tcW w:w="2660" w:type="dxa"/>
            <w:gridSpan w:val="2"/>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Starost (godine): medijana (opseg)</w:t>
            </w:r>
          </w:p>
        </w:tc>
        <w:tc>
          <w:tcPr>
            <w:tcW w:w="1417"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52 (18</w:t>
            </w:r>
            <w:r w:rsidRPr="009C1E28">
              <w:rPr>
                <w:rFonts w:ascii="Times New Roman" w:hAnsi="Times New Roman" w:cs="Times New Roman"/>
              </w:rPr>
              <w:noBreakHyphen/>
              <w:t>75)</w:t>
            </w:r>
          </w:p>
        </w:tc>
        <w:tc>
          <w:tcPr>
            <w:tcW w:w="1276" w:type="dxa"/>
          </w:tcPr>
          <w:p w:rsidR="009C1E28" w:rsidRPr="009C1E28" w:rsidRDefault="009C1E28" w:rsidP="009C1E28">
            <w:pPr>
              <w:keepNext/>
              <w:keepLines/>
              <w:spacing w:after="0"/>
              <w:jc w:val="both"/>
              <w:rPr>
                <w:rFonts w:ascii="Times New Roman" w:eastAsia="Batang" w:hAnsi="Times New Roman" w:cs="Times New Roman"/>
                <w:b/>
              </w:rPr>
            </w:pPr>
            <w:r w:rsidRPr="009C1E28">
              <w:rPr>
                <w:rFonts w:ascii="Times New Roman" w:hAnsi="Times New Roman" w:cs="Times New Roman"/>
              </w:rPr>
              <w:t>52 (18</w:t>
            </w:r>
            <w:r w:rsidRPr="009C1E28">
              <w:rPr>
                <w:rFonts w:ascii="Times New Roman" w:hAnsi="Times New Roman" w:cs="Times New Roman"/>
              </w:rPr>
              <w:noBreakHyphen/>
              <w:t>78)</w:t>
            </w:r>
          </w:p>
        </w:tc>
        <w:tc>
          <w:tcPr>
            <w:tcW w:w="1134"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53 (22</w:t>
            </w:r>
            <w:r w:rsidRPr="009C1E28">
              <w:rPr>
                <w:rFonts w:ascii="Times New Roman" w:hAnsi="Times New Roman" w:cs="Times New Roman"/>
              </w:rPr>
              <w:noBreakHyphen/>
              <w:t>80)</w:t>
            </w:r>
          </w:p>
        </w:tc>
        <w:tc>
          <w:tcPr>
            <w:tcW w:w="1276"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53 (24</w:t>
            </w:r>
            <w:r w:rsidRPr="009C1E28">
              <w:rPr>
                <w:rFonts w:ascii="Times New Roman" w:hAnsi="Times New Roman" w:cs="Times New Roman"/>
              </w:rPr>
              <w:noBreakHyphen/>
              <w:t>77)</w:t>
            </w:r>
          </w:p>
        </w:tc>
        <w:tc>
          <w:tcPr>
            <w:tcW w:w="1871"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52 (18</w:t>
            </w:r>
            <w:r w:rsidRPr="009C1E28">
              <w:rPr>
                <w:rFonts w:ascii="Times New Roman" w:hAnsi="Times New Roman" w:cs="Times New Roman"/>
              </w:rPr>
              <w:noBreakHyphen/>
              <w:t>80)</w:t>
            </w:r>
          </w:p>
        </w:tc>
      </w:tr>
      <w:tr w:rsidR="009C1E28" w:rsidRPr="009C1E28" w:rsidTr="002045B8">
        <w:tc>
          <w:tcPr>
            <w:tcW w:w="2660" w:type="dxa"/>
            <w:gridSpan w:val="2"/>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Muški pol</w:t>
            </w:r>
          </w:p>
        </w:tc>
        <w:tc>
          <w:tcPr>
            <w:tcW w:w="1417"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59% (127)</w:t>
            </w:r>
          </w:p>
        </w:tc>
        <w:tc>
          <w:tcPr>
            <w:tcW w:w="1276"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59% (128)</w:t>
            </w:r>
          </w:p>
        </w:tc>
        <w:tc>
          <w:tcPr>
            <w:tcW w:w="1134"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64% (139)</w:t>
            </w:r>
          </w:p>
        </w:tc>
        <w:tc>
          <w:tcPr>
            <w:tcW w:w="1276"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55% (119)</w:t>
            </w:r>
          </w:p>
        </w:tc>
        <w:tc>
          <w:tcPr>
            <w:tcW w:w="1871"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59% (513)</w:t>
            </w:r>
          </w:p>
        </w:tc>
      </w:tr>
      <w:tr w:rsidR="009C1E28" w:rsidRPr="009C1E28" w:rsidTr="002045B8">
        <w:tc>
          <w:tcPr>
            <w:tcW w:w="2660" w:type="dxa"/>
            <w:gridSpan w:val="2"/>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Rasa: crnci/afroamerikanci</w:t>
            </w:r>
          </w:p>
        </w:tc>
        <w:tc>
          <w:tcPr>
            <w:tcW w:w="1417"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11% (24)</w:t>
            </w:r>
          </w:p>
        </w:tc>
        <w:tc>
          <w:tcPr>
            <w:tcW w:w="1276"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12% (26)</w:t>
            </w:r>
          </w:p>
        </w:tc>
        <w:tc>
          <w:tcPr>
            <w:tcW w:w="1134"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15% (32)</w:t>
            </w:r>
          </w:p>
        </w:tc>
        <w:tc>
          <w:tcPr>
            <w:tcW w:w="1276"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12% (26)</w:t>
            </w:r>
          </w:p>
        </w:tc>
        <w:tc>
          <w:tcPr>
            <w:tcW w:w="1871"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12% (108)</w:t>
            </w:r>
          </w:p>
        </w:tc>
      </w:tr>
      <w:tr w:rsidR="009C1E28" w:rsidRPr="009C1E28" w:rsidTr="002045B8">
        <w:tc>
          <w:tcPr>
            <w:tcW w:w="2660" w:type="dxa"/>
            <w:gridSpan w:val="2"/>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ab/>
              <w:t>Bijelci</w:t>
            </w:r>
          </w:p>
        </w:tc>
        <w:tc>
          <w:tcPr>
            <w:tcW w:w="1417"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87% (187)</w:t>
            </w:r>
          </w:p>
        </w:tc>
        <w:tc>
          <w:tcPr>
            <w:tcW w:w="1276"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87% (188)</w:t>
            </w:r>
          </w:p>
        </w:tc>
        <w:tc>
          <w:tcPr>
            <w:tcW w:w="1134"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82% (177)</w:t>
            </w:r>
          </w:p>
        </w:tc>
        <w:tc>
          <w:tcPr>
            <w:tcW w:w="1276"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84% (183)</w:t>
            </w:r>
          </w:p>
        </w:tc>
        <w:tc>
          <w:tcPr>
            <w:tcW w:w="1871"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85% (735)</w:t>
            </w:r>
          </w:p>
        </w:tc>
      </w:tr>
      <w:tr w:rsidR="009C1E28" w:rsidRPr="009C1E28" w:rsidTr="002045B8">
        <w:tc>
          <w:tcPr>
            <w:tcW w:w="2660" w:type="dxa"/>
            <w:gridSpan w:val="2"/>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Genotip 1a</w:t>
            </w:r>
            <w:r w:rsidRPr="009C1E28">
              <w:rPr>
                <w:rFonts w:ascii="Times New Roman" w:hAnsi="Times New Roman" w:cs="Times New Roman"/>
                <w:vertAlign w:val="superscript"/>
              </w:rPr>
              <w:t>a</w:t>
            </w:r>
          </w:p>
        </w:tc>
        <w:tc>
          <w:tcPr>
            <w:tcW w:w="1417"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68% (145)</w:t>
            </w:r>
          </w:p>
        </w:tc>
        <w:tc>
          <w:tcPr>
            <w:tcW w:w="1276"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68% (148)</w:t>
            </w:r>
          </w:p>
        </w:tc>
        <w:tc>
          <w:tcPr>
            <w:tcW w:w="1134"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67% (146)</w:t>
            </w:r>
          </w:p>
        </w:tc>
        <w:tc>
          <w:tcPr>
            <w:tcW w:w="1276"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66% (143)</w:t>
            </w:r>
          </w:p>
        </w:tc>
        <w:tc>
          <w:tcPr>
            <w:tcW w:w="1871"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67% (582)</w:t>
            </w:r>
          </w:p>
        </w:tc>
      </w:tr>
      <w:tr w:rsidR="009C1E28" w:rsidRPr="009C1E28" w:rsidTr="002045B8">
        <w:tc>
          <w:tcPr>
            <w:tcW w:w="2660" w:type="dxa"/>
            <w:gridSpan w:val="2"/>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IL28CC genotip</w:t>
            </w:r>
          </w:p>
        </w:tc>
        <w:tc>
          <w:tcPr>
            <w:tcW w:w="1417"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26% (55)</w:t>
            </w:r>
          </w:p>
        </w:tc>
        <w:tc>
          <w:tcPr>
            <w:tcW w:w="1276"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35% (76)</w:t>
            </w:r>
          </w:p>
        </w:tc>
        <w:tc>
          <w:tcPr>
            <w:tcW w:w="1134"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24% (52)</w:t>
            </w:r>
          </w:p>
        </w:tc>
        <w:tc>
          <w:tcPr>
            <w:tcW w:w="1276"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34% (73)</w:t>
            </w:r>
          </w:p>
        </w:tc>
        <w:tc>
          <w:tcPr>
            <w:tcW w:w="1871"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30% (256)</w:t>
            </w:r>
          </w:p>
        </w:tc>
      </w:tr>
      <w:tr w:rsidR="009C1E28" w:rsidRPr="009C1E28" w:rsidTr="002045B8">
        <w:tc>
          <w:tcPr>
            <w:tcW w:w="9634" w:type="dxa"/>
            <w:gridSpan w:val="7"/>
          </w:tcPr>
          <w:p w:rsidR="009C1E28" w:rsidRPr="009C1E28" w:rsidRDefault="009C1E28" w:rsidP="009C1E28">
            <w:pPr>
              <w:keepNext/>
              <w:keepLines/>
              <w:spacing w:after="0"/>
              <w:jc w:val="both"/>
              <w:rPr>
                <w:rFonts w:ascii="Times New Roman" w:hAnsi="Times New Roman" w:cs="Times New Roman"/>
                <w:b/>
                <w:i/>
              </w:rPr>
            </w:pPr>
            <w:r w:rsidRPr="009C1E28">
              <w:rPr>
                <w:rFonts w:ascii="Times New Roman" w:hAnsi="Times New Roman" w:cs="Times New Roman"/>
                <w:i/>
              </w:rPr>
              <w:t xml:space="preserve">Metavir-rezultat određen FibroTestom </w:t>
            </w:r>
            <w:r w:rsidRPr="009C1E28">
              <w:rPr>
                <w:rFonts w:ascii="Times New Roman" w:hAnsi="Times New Roman" w:cs="Times New Roman"/>
                <w:i/>
                <w:vertAlign w:val="superscript"/>
              </w:rPr>
              <w:t>b</w:t>
            </w:r>
          </w:p>
        </w:tc>
      </w:tr>
      <w:tr w:rsidR="009C1E28" w:rsidRPr="009C1E28" w:rsidTr="002045B8">
        <w:tc>
          <w:tcPr>
            <w:tcW w:w="279" w:type="dxa"/>
            <w:tcBorders>
              <w:right w:val="nil"/>
            </w:tcBorders>
          </w:tcPr>
          <w:p w:rsidR="009C1E28" w:rsidRPr="009C1E28" w:rsidRDefault="009C1E28" w:rsidP="009C1E28">
            <w:pPr>
              <w:keepNext/>
              <w:keepLines/>
              <w:spacing w:after="0"/>
              <w:jc w:val="both"/>
              <w:rPr>
                <w:rFonts w:ascii="Times New Roman" w:hAnsi="Times New Roman" w:cs="Times New Roman"/>
                <w:b/>
              </w:rPr>
            </w:pPr>
          </w:p>
        </w:tc>
        <w:tc>
          <w:tcPr>
            <w:tcW w:w="2381" w:type="dxa"/>
            <w:tcBorders>
              <w:left w:val="nil"/>
            </w:tcBorders>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F0</w:t>
            </w:r>
            <w:r w:rsidRPr="009C1E28">
              <w:rPr>
                <w:rFonts w:ascii="Times New Roman" w:hAnsi="Times New Roman" w:cs="Times New Roman"/>
              </w:rPr>
              <w:noBreakHyphen/>
              <w:t>F1</w:t>
            </w:r>
          </w:p>
        </w:tc>
        <w:tc>
          <w:tcPr>
            <w:tcW w:w="1417"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27% (57)</w:t>
            </w:r>
          </w:p>
        </w:tc>
        <w:tc>
          <w:tcPr>
            <w:tcW w:w="1276"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26% (56)</w:t>
            </w:r>
          </w:p>
        </w:tc>
        <w:tc>
          <w:tcPr>
            <w:tcW w:w="1134"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29% (62)</w:t>
            </w:r>
          </w:p>
        </w:tc>
        <w:tc>
          <w:tcPr>
            <w:tcW w:w="1276"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30% (66)</w:t>
            </w:r>
          </w:p>
        </w:tc>
        <w:tc>
          <w:tcPr>
            <w:tcW w:w="1871"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28% (241)</w:t>
            </w:r>
          </w:p>
        </w:tc>
      </w:tr>
      <w:tr w:rsidR="009C1E28" w:rsidRPr="009C1E28" w:rsidTr="002045B8">
        <w:tc>
          <w:tcPr>
            <w:tcW w:w="279" w:type="dxa"/>
            <w:tcBorders>
              <w:right w:val="nil"/>
            </w:tcBorders>
          </w:tcPr>
          <w:p w:rsidR="009C1E28" w:rsidRPr="009C1E28" w:rsidRDefault="009C1E28" w:rsidP="009C1E28">
            <w:pPr>
              <w:keepNext/>
              <w:keepLines/>
              <w:spacing w:after="0"/>
              <w:jc w:val="both"/>
              <w:rPr>
                <w:rFonts w:ascii="Times New Roman" w:hAnsi="Times New Roman" w:cs="Times New Roman"/>
                <w:b/>
              </w:rPr>
            </w:pPr>
          </w:p>
        </w:tc>
        <w:tc>
          <w:tcPr>
            <w:tcW w:w="2381" w:type="dxa"/>
            <w:tcBorders>
              <w:left w:val="nil"/>
            </w:tcBorders>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F2</w:t>
            </w:r>
          </w:p>
        </w:tc>
        <w:tc>
          <w:tcPr>
            <w:tcW w:w="1417"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26% (56)</w:t>
            </w:r>
          </w:p>
        </w:tc>
        <w:tc>
          <w:tcPr>
            <w:tcW w:w="1276"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25% (55)</w:t>
            </w:r>
          </w:p>
        </w:tc>
        <w:tc>
          <w:tcPr>
            <w:tcW w:w="1134"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22% (47)</w:t>
            </w:r>
          </w:p>
        </w:tc>
        <w:tc>
          <w:tcPr>
            <w:tcW w:w="1276"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28% (60)</w:t>
            </w:r>
          </w:p>
        </w:tc>
        <w:tc>
          <w:tcPr>
            <w:tcW w:w="1871"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25% (218)</w:t>
            </w:r>
          </w:p>
        </w:tc>
      </w:tr>
      <w:tr w:rsidR="009C1E28" w:rsidRPr="009C1E28" w:rsidTr="002045B8">
        <w:tc>
          <w:tcPr>
            <w:tcW w:w="279" w:type="dxa"/>
            <w:tcBorders>
              <w:right w:val="nil"/>
            </w:tcBorders>
          </w:tcPr>
          <w:p w:rsidR="009C1E28" w:rsidRPr="009C1E28" w:rsidRDefault="009C1E28" w:rsidP="009C1E28">
            <w:pPr>
              <w:keepNext/>
              <w:keepLines/>
              <w:spacing w:after="0"/>
              <w:jc w:val="both"/>
              <w:rPr>
                <w:rFonts w:ascii="Times New Roman" w:hAnsi="Times New Roman" w:cs="Times New Roman"/>
                <w:b/>
              </w:rPr>
            </w:pPr>
          </w:p>
        </w:tc>
        <w:tc>
          <w:tcPr>
            <w:tcW w:w="2381" w:type="dxa"/>
            <w:tcBorders>
              <w:left w:val="nil"/>
            </w:tcBorders>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F3</w:t>
            </w:r>
            <w:r w:rsidRPr="009C1E28">
              <w:rPr>
                <w:rFonts w:ascii="Times New Roman" w:hAnsi="Times New Roman" w:cs="Times New Roman"/>
              </w:rPr>
              <w:noBreakHyphen/>
              <w:t>F4</w:t>
            </w:r>
          </w:p>
        </w:tc>
        <w:tc>
          <w:tcPr>
            <w:tcW w:w="1417"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47% (100)</w:t>
            </w:r>
          </w:p>
        </w:tc>
        <w:tc>
          <w:tcPr>
            <w:tcW w:w="1276"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48% (104)</w:t>
            </w:r>
          </w:p>
        </w:tc>
        <w:tc>
          <w:tcPr>
            <w:tcW w:w="1134"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49% (107)</w:t>
            </w:r>
          </w:p>
        </w:tc>
        <w:tc>
          <w:tcPr>
            <w:tcW w:w="1276"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42% (91)</w:t>
            </w:r>
          </w:p>
        </w:tc>
        <w:tc>
          <w:tcPr>
            <w:tcW w:w="1871"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46% (402)</w:t>
            </w:r>
          </w:p>
        </w:tc>
      </w:tr>
      <w:tr w:rsidR="009C1E28" w:rsidRPr="009C1E28" w:rsidTr="002045B8">
        <w:tc>
          <w:tcPr>
            <w:tcW w:w="279" w:type="dxa"/>
            <w:tcBorders>
              <w:right w:val="nil"/>
            </w:tcBorders>
          </w:tcPr>
          <w:p w:rsidR="009C1E28" w:rsidRPr="009C1E28" w:rsidRDefault="009C1E28" w:rsidP="009C1E28">
            <w:pPr>
              <w:keepNext/>
              <w:keepLines/>
              <w:spacing w:after="0"/>
              <w:jc w:val="both"/>
              <w:rPr>
                <w:rFonts w:ascii="Times New Roman" w:hAnsi="Times New Roman" w:cs="Times New Roman"/>
                <w:b/>
              </w:rPr>
            </w:pPr>
          </w:p>
        </w:tc>
        <w:tc>
          <w:tcPr>
            <w:tcW w:w="2381" w:type="dxa"/>
            <w:tcBorders>
              <w:left w:val="nil"/>
            </w:tcBorders>
          </w:tcPr>
          <w:p w:rsidR="009C1E28" w:rsidRPr="009C1E28" w:rsidRDefault="009C1E28" w:rsidP="002045B8">
            <w:pPr>
              <w:keepNext/>
              <w:keepLines/>
              <w:spacing w:after="0"/>
              <w:rPr>
                <w:rFonts w:ascii="Times New Roman" w:hAnsi="Times New Roman" w:cs="Times New Roman"/>
                <w:b/>
              </w:rPr>
            </w:pPr>
            <w:r w:rsidRPr="009C1E28">
              <w:rPr>
                <w:rFonts w:ascii="Times New Roman" w:hAnsi="Times New Roman" w:cs="Times New Roman"/>
              </w:rPr>
              <w:t>Nije moguće protumačiti</w:t>
            </w:r>
          </w:p>
        </w:tc>
        <w:tc>
          <w:tcPr>
            <w:tcW w:w="1417"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&lt;1% (1)</w:t>
            </w:r>
          </w:p>
        </w:tc>
        <w:tc>
          <w:tcPr>
            <w:tcW w:w="1276"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1% (2)</w:t>
            </w:r>
          </w:p>
        </w:tc>
        <w:tc>
          <w:tcPr>
            <w:tcW w:w="1134"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&lt;1% (1)</w:t>
            </w:r>
          </w:p>
        </w:tc>
        <w:tc>
          <w:tcPr>
            <w:tcW w:w="1276"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0% (0)</w:t>
            </w:r>
          </w:p>
        </w:tc>
        <w:tc>
          <w:tcPr>
            <w:tcW w:w="1871"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&lt;1% (4)</w:t>
            </w:r>
          </w:p>
        </w:tc>
      </w:tr>
    </w:tbl>
    <w:p w:rsidR="002045B8" w:rsidRDefault="002045B8" w:rsidP="009C1E28">
      <w:pPr>
        <w:keepNext/>
        <w:keepLines/>
        <w:spacing w:after="0"/>
        <w:jc w:val="both"/>
        <w:rPr>
          <w:rFonts w:ascii="Times New Roman" w:hAnsi="Times New Roman" w:cs="Times New Roman"/>
        </w:rPr>
      </w:pPr>
    </w:p>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a. Kod dva pacijenta u terapijskoj grupi liječenoj 12 nedjelja LDV/SOF-om, jednog pacijenta u grupi liječenoj 12 nedjelja LDV/SOF+RBV-om, dva pacijenta u terapijskoj grupi liječenoj 24 nedjelje LDV/SOF-om, i dva pacijenta u terapijskoj grupi liječenoj 24 nedjelje LDV/SOF+RBV-om nije bila potvrđena podvrsta genotipa 1.</w:t>
      </w: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b. Rezultati FibroTesta koji nijesu nedostajali bili su mapirani na Metavir-rezultate prema sljedećem: 0</w:t>
      </w:r>
      <w:r w:rsidRPr="009C1E28">
        <w:rPr>
          <w:rFonts w:ascii="Times New Roman" w:hAnsi="Times New Roman" w:cs="Times New Roman"/>
        </w:rPr>
        <w:noBreakHyphen/>
        <w:t>0,31 = F0</w:t>
      </w:r>
      <w:r w:rsidRPr="009C1E28">
        <w:rPr>
          <w:rFonts w:ascii="Times New Roman" w:hAnsi="Times New Roman" w:cs="Times New Roman"/>
        </w:rPr>
        <w:noBreakHyphen/>
        <w:t>F1; 0,32</w:t>
      </w:r>
      <w:r w:rsidRPr="009C1E28">
        <w:rPr>
          <w:rFonts w:ascii="Times New Roman" w:hAnsi="Times New Roman" w:cs="Times New Roman"/>
        </w:rPr>
        <w:noBreakHyphen/>
        <w:t>0,58 = F2; 0,59</w:t>
      </w:r>
      <w:r w:rsidRPr="009C1E28">
        <w:rPr>
          <w:rFonts w:ascii="Times New Roman" w:hAnsi="Times New Roman" w:cs="Times New Roman"/>
        </w:rPr>
        <w:noBreakHyphen/>
        <w:t>1,00 = F3</w:t>
      </w:r>
      <w:r w:rsidRPr="009C1E28">
        <w:rPr>
          <w:rFonts w:ascii="Times New Roman" w:hAnsi="Times New Roman" w:cs="Times New Roman"/>
        </w:rPr>
        <w:noBreakHyphen/>
        <w:t>F4.</w:t>
      </w:r>
    </w:p>
    <w:p w:rsidR="009C1E28" w:rsidRPr="009C1E28" w:rsidRDefault="009C1E28" w:rsidP="009C1E28">
      <w:pPr>
        <w:spacing w:after="0"/>
        <w:jc w:val="both"/>
        <w:rPr>
          <w:rFonts w:ascii="Times New Roman" w:hAnsi="Times New Roman" w:cs="Times New Roman"/>
          <w:b/>
        </w:rPr>
      </w:pPr>
    </w:p>
    <w:p w:rsidR="009C1E28" w:rsidRDefault="009C1E28" w:rsidP="009C1E28">
      <w:pPr>
        <w:keepNext/>
        <w:keepLines/>
        <w:spacing w:after="0"/>
        <w:jc w:val="both"/>
        <w:rPr>
          <w:rFonts w:ascii="Times New Roman" w:hAnsi="Times New Roman" w:cs="Times New Roman"/>
          <w:b/>
        </w:rPr>
      </w:pPr>
      <w:r w:rsidRPr="002045B8">
        <w:rPr>
          <w:rFonts w:ascii="Times New Roman" w:hAnsi="Times New Roman" w:cs="Times New Roman"/>
          <w:b/>
        </w:rPr>
        <w:lastRenderedPageBreak/>
        <w:t>Tabela 12: Stope odgovora u ispitivanju ION</w:t>
      </w:r>
      <w:r w:rsidRPr="002045B8">
        <w:rPr>
          <w:rFonts w:ascii="Times New Roman" w:hAnsi="Times New Roman" w:cs="Times New Roman"/>
          <w:b/>
        </w:rPr>
        <w:noBreakHyphen/>
        <w:t>1</w:t>
      </w:r>
    </w:p>
    <w:p w:rsidR="002045B8" w:rsidRPr="002045B8" w:rsidRDefault="002045B8" w:rsidP="009C1E28">
      <w:pPr>
        <w:keepNext/>
        <w:keepLines/>
        <w:spacing w:after="0"/>
        <w:jc w:val="both"/>
        <w:rPr>
          <w:rFonts w:ascii="Times New Roman" w:hAnsi="Times New Roman" w:cs="Times New Roman"/>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
        <w:gridCol w:w="2418"/>
        <w:gridCol w:w="1738"/>
        <w:gridCol w:w="1784"/>
        <w:gridCol w:w="1463"/>
        <w:gridCol w:w="1967"/>
      </w:tblGrid>
      <w:tr w:rsidR="009C1E28" w:rsidRPr="009C1E28" w:rsidTr="00DB57CE">
        <w:tc>
          <w:tcPr>
            <w:tcW w:w="2682" w:type="dxa"/>
            <w:gridSpan w:val="2"/>
          </w:tcPr>
          <w:p w:rsidR="009C1E28" w:rsidRPr="009C1E28" w:rsidRDefault="009C1E28" w:rsidP="009C1E28">
            <w:pPr>
              <w:keepNext/>
              <w:keepLines/>
              <w:spacing w:after="0"/>
              <w:jc w:val="both"/>
              <w:rPr>
                <w:rFonts w:ascii="Times New Roman" w:hAnsi="Times New Roman" w:cs="Times New Roman"/>
              </w:rPr>
            </w:pPr>
          </w:p>
        </w:tc>
        <w:tc>
          <w:tcPr>
            <w:tcW w:w="1738" w:type="dxa"/>
          </w:tcPr>
          <w:p w:rsidR="009C1E28" w:rsidRPr="009C1E28" w:rsidRDefault="009C1E28" w:rsidP="009C1E28">
            <w:pPr>
              <w:pStyle w:val="TableHeaderCenter"/>
              <w:keepNext/>
              <w:keepLines/>
              <w:spacing w:before="0" w:after="0"/>
              <w:jc w:val="both"/>
              <w:rPr>
                <w:rFonts w:ascii="Times New Roman" w:hAnsi="Times New Roman"/>
                <w:color w:val="auto"/>
                <w:sz w:val="22"/>
                <w:szCs w:val="22"/>
              </w:rPr>
            </w:pPr>
            <w:r w:rsidRPr="009C1E28">
              <w:rPr>
                <w:rFonts w:ascii="Times New Roman" w:hAnsi="Times New Roman"/>
                <w:color w:val="auto"/>
                <w:sz w:val="22"/>
                <w:szCs w:val="22"/>
              </w:rPr>
              <w:t>LDV/SOF</w:t>
            </w:r>
          </w:p>
          <w:p w:rsidR="009C1E28" w:rsidRPr="009C1E28" w:rsidRDefault="009C1E28" w:rsidP="009C1E28">
            <w:pPr>
              <w:pStyle w:val="TableHeaderCenter"/>
              <w:keepNext/>
              <w:keepLines/>
              <w:spacing w:before="0" w:after="0"/>
              <w:jc w:val="both"/>
              <w:rPr>
                <w:rFonts w:ascii="Times New Roman" w:hAnsi="Times New Roman"/>
                <w:color w:val="auto"/>
                <w:sz w:val="22"/>
                <w:szCs w:val="22"/>
              </w:rPr>
            </w:pPr>
            <w:r w:rsidRPr="009C1E28">
              <w:rPr>
                <w:rFonts w:ascii="Times New Roman" w:hAnsi="Times New Roman"/>
                <w:color w:val="auto"/>
                <w:sz w:val="22"/>
                <w:szCs w:val="22"/>
              </w:rPr>
              <w:t>12 nedjelja</w:t>
            </w:r>
          </w:p>
          <w:p w:rsidR="009C1E28" w:rsidRPr="009C1E28" w:rsidRDefault="009C1E28" w:rsidP="009C1E28">
            <w:pPr>
              <w:pStyle w:val="TableHeaderCenter"/>
              <w:keepNext/>
              <w:keepLines/>
              <w:spacing w:before="0" w:after="0"/>
              <w:jc w:val="both"/>
              <w:rPr>
                <w:rFonts w:ascii="Times New Roman" w:hAnsi="Times New Roman"/>
                <w:color w:val="auto"/>
                <w:sz w:val="22"/>
                <w:szCs w:val="22"/>
              </w:rPr>
            </w:pPr>
            <w:r w:rsidRPr="009C1E28">
              <w:rPr>
                <w:rFonts w:ascii="Times New Roman" w:hAnsi="Times New Roman"/>
                <w:color w:val="auto"/>
                <w:sz w:val="22"/>
                <w:szCs w:val="22"/>
              </w:rPr>
              <w:t>(n=214)</w:t>
            </w:r>
          </w:p>
        </w:tc>
        <w:tc>
          <w:tcPr>
            <w:tcW w:w="1784" w:type="dxa"/>
          </w:tcPr>
          <w:p w:rsidR="009C1E28" w:rsidRPr="009C1E28" w:rsidRDefault="009C1E28" w:rsidP="009C1E28">
            <w:pPr>
              <w:pStyle w:val="TableHeaderCenter"/>
              <w:keepNext/>
              <w:keepLines/>
              <w:spacing w:before="0" w:after="0"/>
              <w:jc w:val="both"/>
              <w:rPr>
                <w:rFonts w:ascii="Times New Roman" w:hAnsi="Times New Roman"/>
                <w:color w:val="auto"/>
                <w:sz w:val="22"/>
                <w:szCs w:val="22"/>
              </w:rPr>
            </w:pPr>
            <w:r w:rsidRPr="009C1E28">
              <w:rPr>
                <w:rFonts w:ascii="Times New Roman" w:hAnsi="Times New Roman"/>
                <w:color w:val="auto"/>
                <w:sz w:val="22"/>
                <w:szCs w:val="22"/>
              </w:rPr>
              <w:t>LDV/SOF+RBV 12 nedjelja</w:t>
            </w:r>
          </w:p>
          <w:p w:rsidR="009C1E28" w:rsidRPr="009C1E28" w:rsidRDefault="009C1E28" w:rsidP="009C1E28">
            <w:pPr>
              <w:pStyle w:val="TableHeaderCenter"/>
              <w:keepNext/>
              <w:keepLines/>
              <w:spacing w:before="0" w:after="0"/>
              <w:jc w:val="both"/>
              <w:rPr>
                <w:rFonts w:ascii="Times New Roman" w:hAnsi="Times New Roman"/>
                <w:color w:val="auto"/>
                <w:sz w:val="22"/>
                <w:szCs w:val="22"/>
              </w:rPr>
            </w:pPr>
            <w:r w:rsidRPr="009C1E28">
              <w:rPr>
                <w:rFonts w:ascii="Times New Roman" w:hAnsi="Times New Roman"/>
                <w:color w:val="auto"/>
                <w:sz w:val="22"/>
                <w:szCs w:val="22"/>
              </w:rPr>
              <w:t>(n=217)</w:t>
            </w:r>
          </w:p>
        </w:tc>
        <w:tc>
          <w:tcPr>
            <w:tcW w:w="1463" w:type="dxa"/>
          </w:tcPr>
          <w:p w:rsidR="009C1E28" w:rsidRPr="009C1E28" w:rsidRDefault="009C1E28" w:rsidP="009C1E28">
            <w:pPr>
              <w:pStyle w:val="TableHeaderCenter"/>
              <w:keepNext/>
              <w:keepLines/>
              <w:spacing w:before="0" w:after="0"/>
              <w:jc w:val="both"/>
              <w:rPr>
                <w:rFonts w:ascii="Times New Roman" w:hAnsi="Times New Roman"/>
                <w:color w:val="auto"/>
                <w:sz w:val="22"/>
                <w:szCs w:val="22"/>
              </w:rPr>
            </w:pPr>
            <w:r w:rsidRPr="009C1E28">
              <w:rPr>
                <w:rFonts w:ascii="Times New Roman" w:hAnsi="Times New Roman"/>
                <w:color w:val="auto"/>
                <w:sz w:val="22"/>
                <w:szCs w:val="22"/>
              </w:rPr>
              <w:t>LDV/SOF</w:t>
            </w:r>
          </w:p>
          <w:p w:rsidR="009C1E28" w:rsidRPr="009C1E28" w:rsidRDefault="009C1E28" w:rsidP="009C1E28">
            <w:pPr>
              <w:pStyle w:val="TableHeaderCenter"/>
              <w:keepNext/>
              <w:keepLines/>
              <w:spacing w:before="0" w:after="0"/>
              <w:jc w:val="both"/>
              <w:rPr>
                <w:rFonts w:ascii="Times New Roman" w:hAnsi="Times New Roman"/>
                <w:color w:val="auto"/>
                <w:sz w:val="22"/>
                <w:szCs w:val="22"/>
              </w:rPr>
            </w:pPr>
            <w:r w:rsidRPr="009C1E28">
              <w:rPr>
                <w:rFonts w:ascii="Times New Roman" w:hAnsi="Times New Roman"/>
                <w:color w:val="auto"/>
                <w:sz w:val="22"/>
                <w:szCs w:val="22"/>
              </w:rPr>
              <w:t>24 nedjelje</w:t>
            </w:r>
          </w:p>
          <w:p w:rsidR="009C1E28" w:rsidRPr="009C1E28" w:rsidRDefault="009C1E28" w:rsidP="009C1E28">
            <w:pPr>
              <w:pStyle w:val="TableHeaderCenter"/>
              <w:keepNext/>
              <w:keepLines/>
              <w:spacing w:before="0" w:after="0"/>
              <w:jc w:val="both"/>
              <w:rPr>
                <w:rFonts w:ascii="Times New Roman" w:hAnsi="Times New Roman"/>
                <w:color w:val="auto"/>
                <w:sz w:val="22"/>
                <w:szCs w:val="22"/>
              </w:rPr>
            </w:pPr>
            <w:r w:rsidRPr="009C1E28">
              <w:rPr>
                <w:rFonts w:ascii="Times New Roman" w:hAnsi="Times New Roman"/>
                <w:color w:val="auto"/>
                <w:sz w:val="22"/>
                <w:szCs w:val="22"/>
              </w:rPr>
              <w:t>(n=217)</w:t>
            </w:r>
          </w:p>
        </w:tc>
        <w:tc>
          <w:tcPr>
            <w:tcW w:w="1967" w:type="dxa"/>
          </w:tcPr>
          <w:p w:rsidR="009C1E28" w:rsidRPr="009C1E28" w:rsidRDefault="009C1E28" w:rsidP="009C1E28">
            <w:pPr>
              <w:pStyle w:val="TableHeaderCenter"/>
              <w:keepNext/>
              <w:keepLines/>
              <w:spacing w:before="0" w:after="0"/>
              <w:jc w:val="both"/>
              <w:rPr>
                <w:rFonts w:ascii="Times New Roman" w:hAnsi="Times New Roman"/>
                <w:color w:val="auto"/>
                <w:sz w:val="22"/>
                <w:szCs w:val="22"/>
              </w:rPr>
            </w:pPr>
            <w:r w:rsidRPr="009C1E28">
              <w:rPr>
                <w:rFonts w:ascii="Times New Roman" w:hAnsi="Times New Roman"/>
                <w:color w:val="auto"/>
                <w:sz w:val="22"/>
                <w:szCs w:val="22"/>
              </w:rPr>
              <w:t>LDV/SOF+RBV 24 nedjelje</w:t>
            </w:r>
          </w:p>
          <w:p w:rsidR="009C1E28" w:rsidRPr="009C1E28" w:rsidRDefault="009C1E28" w:rsidP="009C1E28">
            <w:pPr>
              <w:pStyle w:val="TableHeaderCenter"/>
              <w:keepNext/>
              <w:keepLines/>
              <w:spacing w:before="0" w:after="0"/>
              <w:jc w:val="both"/>
              <w:rPr>
                <w:rFonts w:ascii="Times New Roman" w:hAnsi="Times New Roman"/>
                <w:color w:val="auto"/>
                <w:sz w:val="22"/>
                <w:szCs w:val="22"/>
              </w:rPr>
            </w:pPr>
            <w:r w:rsidRPr="009C1E28">
              <w:rPr>
                <w:rFonts w:ascii="Times New Roman" w:hAnsi="Times New Roman"/>
                <w:color w:val="auto"/>
                <w:sz w:val="22"/>
                <w:szCs w:val="22"/>
              </w:rPr>
              <w:t>(n=217)</w:t>
            </w:r>
          </w:p>
        </w:tc>
      </w:tr>
      <w:tr w:rsidR="009C1E28" w:rsidRPr="009C1E28" w:rsidTr="00DB57CE">
        <w:tc>
          <w:tcPr>
            <w:tcW w:w="2682" w:type="dxa"/>
            <w:gridSpan w:val="2"/>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SVR</w:t>
            </w:r>
          </w:p>
        </w:tc>
        <w:tc>
          <w:tcPr>
            <w:tcW w:w="1738" w:type="dxa"/>
          </w:tcPr>
          <w:p w:rsidR="009C1E28" w:rsidRPr="009C1E28" w:rsidRDefault="009C1E28" w:rsidP="009C1E28">
            <w:pPr>
              <w:pStyle w:val="TableCellCenter"/>
              <w:keepNext/>
              <w:keepLines/>
              <w:spacing w:before="0" w:after="0"/>
              <w:jc w:val="both"/>
              <w:rPr>
                <w:color w:val="auto"/>
                <w:sz w:val="22"/>
                <w:szCs w:val="22"/>
              </w:rPr>
            </w:pPr>
            <w:r w:rsidRPr="009C1E28">
              <w:rPr>
                <w:color w:val="auto"/>
                <w:sz w:val="22"/>
                <w:szCs w:val="22"/>
              </w:rPr>
              <w:t xml:space="preserve">99% (210/213) </w:t>
            </w:r>
          </w:p>
        </w:tc>
        <w:tc>
          <w:tcPr>
            <w:tcW w:w="1784" w:type="dxa"/>
          </w:tcPr>
          <w:p w:rsidR="009C1E28" w:rsidRPr="009C1E28" w:rsidRDefault="009C1E28" w:rsidP="009C1E28">
            <w:pPr>
              <w:pStyle w:val="TableCellCenter"/>
              <w:keepNext/>
              <w:keepLines/>
              <w:spacing w:before="0" w:after="0"/>
              <w:jc w:val="both"/>
              <w:rPr>
                <w:color w:val="auto"/>
                <w:sz w:val="22"/>
                <w:szCs w:val="22"/>
              </w:rPr>
            </w:pPr>
            <w:r w:rsidRPr="009C1E28">
              <w:rPr>
                <w:color w:val="auto"/>
                <w:sz w:val="22"/>
                <w:szCs w:val="22"/>
              </w:rPr>
              <w:t>97% (211/217)</w:t>
            </w:r>
          </w:p>
        </w:tc>
        <w:tc>
          <w:tcPr>
            <w:tcW w:w="1463" w:type="dxa"/>
          </w:tcPr>
          <w:p w:rsidR="009C1E28" w:rsidRPr="009C1E28" w:rsidRDefault="009C1E28" w:rsidP="009C1E28">
            <w:pPr>
              <w:pStyle w:val="TableCellCenter"/>
              <w:keepNext/>
              <w:keepLines/>
              <w:spacing w:before="0" w:after="0"/>
              <w:jc w:val="both"/>
              <w:rPr>
                <w:color w:val="auto"/>
                <w:sz w:val="22"/>
                <w:szCs w:val="22"/>
              </w:rPr>
            </w:pPr>
            <w:r w:rsidRPr="009C1E28">
              <w:rPr>
                <w:color w:val="auto"/>
                <w:sz w:val="22"/>
                <w:szCs w:val="22"/>
              </w:rPr>
              <w:t>98% (213/217)</w:t>
            </w:r>
          </w:p>
        </w:tc>
        <w:tc>
          <w:tcPr>
            <w:tcW w:w="1967" w:type="dxa"/>
          </w:tcPr>
          <w:p w:rsidR="009C1E28" w:rsidRPr="009C1E28" w:rsidRDefault="009C1E28" w:rsidP="009C1E28">
            <w:pPr>
              <w:pStyle w:val="TableCellCenter"/>
              <w:keepNext/>
              <w:keepLines/>
              <w:spacing w:before="0" w:after="0"/>
              <w:jc w:val="both"/>
              <w:rPr>
                <w:color w:val="auto"/>
                <w:sz w:val="22"/>
                <w:szCs w:val="22"/>
              </w:rPr>
            </w:pPr>
            <w:r w:rsidRPr="009C1E28">
              <w:rPr>
                <w:color w:val="auto"/>
                <w:sz w:val="22"/>
                <w:szCs w:val="22"/>
              </w:rPr>
              <w:t>99% (215/217)</w:t>
            </w:r>
          </w:p>
        </w:tc>
      </w:tr>
      <w:tr w:rsidR="009C1E28" w:rsidRPr="009C1E28" w:rsidTr="00DB57CE">
        <w:tc>
          <w:tcPr>
            <w:tcW w:w="9634" w:type="dxa"/>
            <w:gridSpan w:val="6"/>
          </w:tcPr>
          <w:p w:rsidR="009C1E28" w:rsidRPr="009C1E28" w:rsidRDefault="009C1E28" w:rsidP="009C1E28">
            <w:pPr>
              <w:keepNext/>
              <w:keepLines/>
              <w:spacing w:after="0"/>
              <w:jc w:val="both"/>
              <w:rPr>
                <w:rFonts w:ascii="Times New Roman" w:hAnsi="Times New Roman" w:cs="Times New Roman"/>
                <w:b/>
                <w:i/>
              </w:rPr>
            </w:pPr>
            <w:r w:rsidRPr="009C1E28">
              <w:rPr>
                <w:rFonts w:ascii="Times New Roman" w:hAnsi="Times New Roman" w:cs="Times New Roman"/>
                <w:i/>
              </w:rPr>
              <w:t>Ishod kod pacijenata bez SVR</w:t>
            </w:r>
          </w:p>
        </w:tc>
      </w:tr>
      <w:tr w:rsidR="009C1E28" w:rsidRPr="009C1E28" w:rsidTr="00DB57CE">
        <w:tc>
          <w:tcPr>
            <w:tcW w:w="264" w:type="dxa"/>
            <w:tcBorders>
              <w:right w:val="nil"/>
            </w:tcBorders>
          </w:tcPr>
          <w:p w:rsidR="009C1E28" w:rsidRPr="009C1E28" w:rsidRDefault="009C1E28" w:rsidP="009C1E28">
            <w:pPr>
              <w:keepNext/>
              <w:keepLines/>
              <w:spacing w:after="0"/>
              <w:jc w:val="both"/>
              <w:rPr>
                <w:rFonts w:ascii="Times New Roman" w:hAnsi="Times New Roman" w:cs="Times New Roman"/>
                <w:b/>
              </w:rPr>
            </w:pPr>
          </w:p>
        </w:tc>
        <w:tc>
          <w:tcPr>
            <w:tcW w:w="2418" w:type="dxa"/>
            <w:tcBorders>
              <w:left w:val="nil"/>
            </w:tcBorders>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Virusološki neuspjeh tokom terapije</w:t>
            </w:r>
          </w:p>
        </w:tc>
        <w:tc>
          <w:tcPr>
            <w:tcW w:w="1738" w:type="dxa"/>
          </w:tcPr>
          <w:p w:rsidR="009C1E28" w:rsidRPr="009C1E28" w:rsidRDefault="009C1E28" w:rsidP="009C1E28">
            <w:pPr>
              <w:pStyle w:val="TableCellCenter"/>
              <w:keepNext/>
              <w:keepLines/>
              <w:spacing w:before="0" w:after="0"/>
              <w:jc w:val="both"/>
              <w:rPr>
                <w:color w:val="auto"/>
                <w:sz w:val="22"/>
                <w:szCs w:val="22"/>
              </w:rPr>
            </w:pPr>
            <w:r w:rsidRPr="009C1E28">
              <w:rPr>
                <w:color w:val="auto"/>
                <w:sz w:val="22"/>
                <w:szCs w:val="22"/>
              </w:rPr>
              <w:t>0/213</w:t>
            </w:r>
            <w:r w:rsidRPr="009C1E28">
              <w:rPr>
                <w:color w:val="auto"/>
                <w:sz w:val="22"/>
                <w:szCs w:val="22"/>
                <w:vertAlign w:val="superscript"/>
              </w:rPr>
              <w:t>a</w:t>
            </w:r>
          </w:p>
        </w:tc>
        <w:tc>
          <w:tcPr>
            <w:tcW w:w="1784" w:type="dxa"/>
          </w:tcPr>
          <w:p w:rsidR="009C1E28" w:rsidRPr="009C1E28" w:rsidRDefault="009C1E28" w:rsidP="009C1E28">
            <w:pPr>
              <w:pStyle w:val="TableCellCenter"/>
              <w:keepNext/>
              <w:keepLines/>
              <w:spacing w:before="0" w:after="0"/>
              <w:jc w:val="both"/>
              <w:rPr>
                <w:color w:val="auto"/>
                <w:sz w:val="22"/>
                <w:szCs w:val="22"/>
              </w:rPr>
            </w:pPr>
            <w:r w:rsidRPr="009C1E28">
              <w:rPr>
                <w:color w:val="auto"/>
                <w:sz w:val="22"/>
                <w:szCs w:val="22"/>
              </w:rPr>
              <w:t>0/217</w:t>
            </w:r>
          </w:p>
        </w:tc>
        <w:tc>
          <w:tcPr>
            <w:tcW w:w="1463" w:type="dxa"/>
          </w:tcPr>
          <w:p w:rsidR="009C1E28" w:rsidRPr="009C1E28" w:rsidRDefault="009C1E28" w:rsidP="009C1E28">
            <w:pPr>
              <w:pStyle w:val="TableCellCenter"/>
              <w:keepNext/>
              <w:keepLines/>
              <w:spacing w:before="0" w:after="0"/>
              <w:jc w:val="both"/>
              <w:rPr>
                <w:color w:val="auto"/>
                <w:sz w:val="22"/>
                <w:szCs w:val="22"/>
              </w:rPr>
            </w:pPr>
            <w:r w:rsidRPr="009C1E28">
              <w:rPr>
                <w:color w:val="auto"/>
                <w:sz w:val="22"/>
                <w:szCs w:val="22"/>
              </w:rPr>
              <w:t>&lt;1% (1/217)</w:t>
            </w:r>
          </w:p>
        </w:tc>
        <w:tc>
          <w:tcPr>
            <w:tcW w:w="1967" w:type="dxa"/>
          </w:tcPr>
          <w:p w:rsidR="009C1E28" w:rsidRPr="009C1E28" w:rsidRDefault="009C1E28" w:rsidP="009C1E28">
            <w:pPr>
              <w:pStyle w:val="TableCellCenter"/>
              <w:keepNext/>
              <w:keepLines/>
              <w:spacing w:before="0" w:after="0"/>
              <w:jc w:val="both"/>
              <w:rPr>
                <w:color w:val="auto"/>
                <w:sz w:val="22"/>
                <w:szCs w:val="22"/>
              </w:rPr>
            </w:pPr>
            <w:r w:rsidRPr="009C1E28">
              <w:rPr>
                <w:color w:val="auto"/>
                <w:sz w:val="22"/>
                <w:szCs w:val="22"/>
              </w:rPr>
              <w:t>0/216</w:t>
            </w:r>
          </w:p>
        </w:tc>
      </w:tr>
      <w:tr w:rsidR="009C1E28" w:rsidRPr="009C1E28" w:rsidTr="00DB57CE">
        <w:tc>
          <w:tcPr>
            <w:tcW w:w="264" w:type="dxa"/>
            <w:tcBorders>
              <w:right w:val="nil"/>
            </w:tcBorders>
          </w:tcPr>
          <w:p w:rsidR="009C1E28" w:rsidRPr="009C1E28" w:rsidRDefault="009C1E28" w:rsidP="009C1E28">
            <w:pPr>
              <w:keepNext/>
              <w:keepLines/>
              <w:spacing w:after="0"/>
              <w:jc w:val="both"/>
              <w:rPr>
                <w:rFonts w:ascii="Times New Roman" w:hAnsi="Times New Roman" w:cs="Times New Roman"/>
                <w:b/>
              </w:rPr>
            </w:pPr>
          </w:p>
        </w:tc>
        <w:tc>
          <w:tcPr>
            <w:tcW w:w="2418" w:type="dxa"/>
            <w:tcBorders>
              <w:left w:val="nil"/>
            </w:tcBorders>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Relaps</w:t>
            </w:r>
            <w:r w:rsidRPr="009C1E28">
              <w:rPr>
                <w:rFonts w:ascii="Times New Roman" w:hAnsi="Times New Roman" w:cs="Times New Roman"/>
                <w:vertAlign w:val="superscript"/>
              </w:rPr>
              <w:t>b</w:t>
            </w:r>
          </w:p>
        </w:tc>
        <w:tc>
          <w:tcPr>
            <w:tcW w:w="1738" w:type="dxa"/>
          </w:tcPr>
          <w:p w:rsidR="009C1E28" w:rsidRPr="009C1E28" w:rsidRDefault="009C1E28" w:rsidP="009C1E28">
            <w:pPr>
              <w:pStyle w:val="TableCellCenter"/>
              <w:keepNext/>
              <w:keepLines/>
              <w:spacing w:before="0" w:after="0"/>
              <w:jc w:val="both"/>
              <w:rPr>
                <w:color w:val="auto"/>
                <w:sz w:val="22"/>
                <w:szCs w:val="22"/>
              </w:rPr>
            </w:pPr>
            <w:r w:rsidRPr="009C1E28">
              <w:rPr>
                <w:color w:val="auto"/>
                <w:sz w:val="22"/>
                <w:szCs w:val="22"/>
              </w:rPr>
              <w:t>&lt;1% (1/212)</w:t>
            </w:r>
          </w:p>
        </w:tc>
        <w:tc>
          <w:tcPr>
            <w:tcW w:w="1784" w:type="dxa"/>
          </w:tcPr>
          <w:p w:rsidR="009C1E28" w:rsidRPr="009C1E28" w:rsidRDefault="009C1E28" w:rsidP="009C1E28">
            <w:pPr>
              <w:pStyle w:val="TableCellCenter"/>
              <w:keepNext/>
              <w:keepLines/>
              <w:spacing w:before="0" w:after="0"/>
              <w:jc w:val="both"/>
              <w:rPr>
                <w:color w:val="auto"/>
                <w:sz w:val="22"/>
                <w:szCs w:val="22"/>
              </w:rPr>
            </w:pPr>
            <w:r w:rsidRPr="009C1E28">
              <w:rPr>
                <w:color w:val="auto"/>
                <w:sz w:val="22"/>
                <w:szCs w:val="22"/>
              </w:rPr>
              <w:t>0/217</w:t>
            </w:r>
          </w:p>
        </w:tc>
        <w:tc>
          <w:tcPr>
            <w:tcW w:w="1463" w:type="dxa"/>
          </w:tcPr>
          <w:p w:rsidR="009C1E28" w:rsidRPr="009C1E28" w:rsidRDefault="009C1E28" w:rsidP="009C1E28">
            <w:pPr>
              <w:pStyle w:val="TableCellCenter"/>
              <w:keepNext/>
              <w:keepLines/>
              <w:spacing w:before="0" w:after="0"/>
              <w:jc w:val="both"/>
              <w:rPr>
                <w:color w:val="auto"/>
                <w:sz w:val="22"/>
                <w:szCs w:val="22"/>
              </w:rPr>
            </w:pPr>
            <w:r w:rsidRPr="009C1E28">
              <w:rPr>
                <w:color w:val="auto"/>
                <w:sz w:val="22"/>
                <w:szCs w:val="22"/>
              </w:rPr>
              <w:t>&lt;1% (1/215)</w:t>
            </w:r>
          </w:p>
        </w:tc>
        <w:tc>
          <w:tcPr>
            <w:tcW w:w="1967" w:type="dxa"/>
          </w:tcPr>
          <w:p w:rsidR="009C1E28" w:rsidRPr="009C1E28" w:rsidRDefault="009C1E28" w:rsidP="009C1E28">
            <w:pPr>
              <w:pStyle w:val="TableCellCenter"/>
              <w:keepNext/>
              <w:keepLines/>
              <w:spacing w:before="0" w:after="0"/>
              <w:jc w:val="both"/>
              <w:rPr>
                <w:color w:val="auto"/>
                <w:sz w:val="22"/>
                <w:szCs w:val="22"/>
              </w:rPr>
            </w:pPr>
            <w:r w:rsidRPr="009C1E28">
              <w:rPr>
                <w:color w:val="auto"/>
                <w:sz w:val="22"/>
                <w:szCs w:val="22"/>
              </w:rPr>
              <w:t>0/216</w:t>
            </w:r>
          </w:p>
        </w:tc>
      </w:tr>
      <w:tr w:rsidR="009C1E28" w:rsidRPr="009C1E28" w:rsidTr="00DB57CE">
        <w:tc>
          <w:tcPr>
            <w:tcW w:w="264" w:type="dxa"/>
            <w:tcBorders>
              <w:right w:val="nil"/>
            </w:tcBorders>
          </w:tcPr>
          <w:p w:rsidR="009C1E28" w:rsidRPr="009C1E28" w:rsidRDefault="009C1E28" w:rsidP="009C1E28">
            <w:pPr>
              <w:keepNext/>
              <w:keepLines/>
              <w:spacing w:after="0"/>
              <w:jc w:val="both"/>
              <w:rPr>
                <w:rFonts w:ascii="Times New Roman" w:hAnsi="Times New Roman" w:cs="Times New Roman"/>
                <w:b/>
              </w:rPr>
            </w:pPr>
          </w:p>
        </w:tc>
        <w:tc>
          <w:tcPr>
            <w:tcW w:w="2418" w:type="dxa"/>
            <w:tcBorders>
              <w:left w:val="nil"/>
            </w:tcBorders>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Drugi</w:t>
            </w:r>
            <w:r w:rsidRPr="009C1E28">
              <w:rPr>
                <w:rFonts w:ascii="Times New Roman" w:hAnsi="Times New Roman" w:cs="Times New Roman"/>
                <w:vertAlign w:val="superscript"/>
              </w:rPr>
              <w:t>c</w:t>
            </w:r>
          </w:p>
        </w:tc>
        <w:tc>
          <w:tcPr>
            <w:tcW w:w="1738" w:type="dxa"/>
          </w:tcPr>
          <w:p w:rsidR="009C1E28" w:rsidRPr="009C1E28" w:rsidRDefault="009C1E28" w:rsidP="009C1E28">
            <w:pPr>
              <w:pStyle w:val="TableCellCenter"/>
              <w:keepNext/>
              <w:keepLines/>
              <w:spacing w:before="0" w:after="0"/>
              <w:jc w:val="both"/>
              <w:rPr>
                <w:color w:val="auto"/>
                <w:sz w:val="22"/>
                <w:szCs w:val="22"/>
              </w:rPr>
            </w:pPr>
            <w:r w:rsidRPr="009C1E28">
              <w:rPr>
                <w:color w:val="auto"/>
                <w:sz w:val="22"/>
                <w:szCs w:val="22"/>
              </w:rPr>
              <w:t>&lt;1% (2/213)</w:t>
            </w:r>
          </w:p>
        </w:tc>
        <w:tc>
          <w:tcPr>
            <w:tcW w:w="1784" w:type="dxa"/>
          </w:tcPr>
          <w:p w:rsidR="009C1E28" w:rsidRPr="009C1E28" w:rsidRDefault="009C1E28" w:rsidP="009C1E28">
            <w:pPr>
              <w:pStyle w:val="TableCellCenter"/>
              <w:keepNext/>
              <w:keepLines/>
              <w:spacing w:before="0" w:after="0"/>
              <w:jc w:val="both"/>
              <w:rPr>
                <w:color w:val="auto"/>
                <w:sz w:val="22"/>
                <w:szCs w:val="22"/>
              </w:rPr>
            </w:pPr>
            <w:r w:rsidRPr="009C1E28">
              <w:rPr>
                <w:color w:val="auto"/>
                <w:sz w:val="22"/>
                <w:szCs w:val="22"/>
              </w:rPr>
              <w:t>3% (6/217)</w:t>
            </w:r>
          </w:p>
        </w:tc>
        <w:tc>
          <w:tcPr>
            <w:tcW w:w="1463" w:type="dxa"/>
          </w:tcPr>
          <w:p w:rsidR="009C1E28" w:rsidRPr="009C1E28" w:rsidRDefault="009C1E28" w:rsidP="009C1E28">
            <w:pPr>
              <w:pStyle w:val="TableCellCenter"/>
              <w:keepNext/>
              <w:keepLines/>
              <w:spacing w:before="0" w:after="0"/>
              <w:jc w:val="both"/>
              <w:rPr>
                <w:color w:val="auto"/>
                <w:sz w:val="22"/>
                <w:szCs w:val="22"/>
              </w:rPr>
            </w:pPr>
            <w:r w:rsidRPr="009C1E28">
              <w:rPr>
                <w:color w:val="auto"/>
                <w:sz w:val="22"/>
                <w:szCs w:val="22"/>
              </w:rPr>
              <w:t>&lt;1% (2/217)</w:t>
            </w:r>
          </w:p>
        </w:tc>
        <w:tc>
          <w:tcPr>
            <w:tcW w:w="1967" w:type="dxa"/>
          </w:tcPr>
          <w:p w:rsidR="009C1E28" w:rsidRPr="009C1E28" w:rsidRDefault="009C1E28" w:rsidP="009C1E28">
            <w:pPr>
              <w:pStyle w:val="TableCellCenter"/>
              <w:keepNext/>
              <w:keepLines/>
              <w:spacing w:before="0" w:after="0"/>
              <w:jc w:val="both"/>
              <w:rPr>
                <w:color w:val="auto"/>
                <w:sz w:val="22"/>
                <w:szCs w:val="22"/>
              </w:rPr>
            </w:pPr>
            <w:r w:rsidRPr="009C1E28">
              <w:rPr>
                <w:color w:val="auto"/>
                <w:sz w:val="22"/>
                <w:szCs w:val="22"/>
              </w:rPr>
              <w:t>&lt;1% (2/217)</w:t>
            </w:r>
          </w:p>
        </w:tc>
      </w:tr>
      <w:tr w:rsidR="009C1E28" w:rsidRPr="009C1E28" w:rsidTr="00DB57CE">
        <w:tc>
          <w:tcPr>
            <w:tcW w:w="9634" w:type="dxa"/>
            <w:gridSpan w:val="6"/>
          </w:tcPr>
          <w:p w:rsidR="009C1E28" w:rsidRPr="009C1E28" w:rsidRDefault="009C1E28" w:rsidP="009C1E28">
            <w:pPr>
              <w:pStyle w:val="TableCellCenter"/>
              <w:keepNext/>
              <w:keepLines/>
              <w:spacing w:before="0" w:after="0"/>
              <w:jc w:val="both"/>
              <w:rPr>
                <w:i/>
                <w:color w:val="auto"/>
                <w:sz w:val="22"/>
                <w:szCs w:val="22"/>
              </w:rPr>
            </w:pPr>
            <w:r w:rsidRPr="009C1E28">
              <w:rPr>
                <w:i/>
                <w:color w:val="auto"/>
                <w:sz w:val="22"/>
                <w:szCs w:val="22"/>
              </w:rPr>
              <w:t>SVR stope za odabrane podgrupe</w:t>
            </w:r>
          </w:p>
        </w:tc>
      </w:tr>
      <w:tr w:rsidR="009C1E28" w:rsidRPr="009C1E28" w:rsidTr="00DB57CE">
        <w:tc>
          <w:tcPr>
            <w:tcW w:w="9634" w:type="dxa"/>
            <w:gridSpan w:val="6"/>
          </w:tcPr>
          <w:p w:rsidR="009C1E28" w:rsidRPr="009C1E28" w:rsidRDefault="009C1E28" w:rsidP="009C1E28">
            <w:pPr>
              <w:pStyle w:val="TableCellCenter"/>
              <w:keepNext/>
              <w:keepLines/>
              <w:spacing w:before="0" w:after="0"/>
              <w:jc w:val="both"/>
              <w:rPr>
                <w:i/>
                <w:color w:val="auto"/>
                <w:sz w:val="22"/>
                <w:szCs w:val="22"/>
              </w:rPr>
            </w:pPr>
            <w:r w:rsidRPr="009C1E28">
              <w:rPr>
                <w:i/>
                <w:color w:val="auto"/>
                <w:sz w:val="22"/>
                <w:szCs w:val="22"/>
              </w:rPr>
              <w:t>Genotip</w:t>
            </w:r>
          </w:p>
        </w:tc>
      </w:tr>
      <w:tr w:rsidR="009C1E28" w:rsidRPr="009C1E28" w:rsidTr="00DB57CE">
        <w:tc>
          <w:tcPr>
            <w:tcW w:w="264" w:type="dxa"/>
            <w:tcBorders>
              <w:right w:val="nil"/>
            </w:tcBorders>
          </w:tcPr>
          <w:p w:rsidR="009C1E28" w:rsidRPr="009C1E28" w:rsidRDefault="009C1E28" w:rsidP="009C1E28">
            <w:pPr>
              <w:keepNext/>
              <w:keepLines/>
              <w:spacing w:after="0"/>
              <w:jc w:val="both"/>
              <w:rPr>
                <w:rFonts w:ascii="Times New Roman" w:hAnsi="Times New Roman" w:cs="Times New Roman"/>
                <w:b/>
              </w:rPr>
            </w:pPr>
          </w:p>
        </w:tc>
        <w:tc>
          <w:tcPr>
            <w:tcW w:w="2418" w:type="dxa"/>
            <w:tcBorders>
              <w:left w:val="nil"/>
            </w:tcBorders>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Genotip 1a</w:t>
            </w:r>
          </w:p>
        </w:tc>
        <w:tc>
          <w:tcPr>
            <w:tcW w:w="1738" w:type="dxa"/>
          </w:tcPr>
          <w:p w:rsidR="009C1E28" w:rsidRPr="009C1E28" w:rsidDel="00CF6604" w:rsidRDefault="009C1E28" w:rsidP="009C1E28">
            <w:pPr>
              <w:pStyle w:val="TableCellCenter"/>
              <w:keepNext/>
              <w:keepLines/>
              <w:spacing w:before="0" w:after="0"/>
              <w:jc w:val="both"/>
              <w:rPr>
                <w:color w:val="auto"/>
                <w:sz w:val="22"/>
                <w:szCs w:val="22"/>
              </w:rPr>
            </w:pPr>
            <w:r w:rsidRPr="009C1E28">
              <w:rPr>
                <w:color w:val="auto"/>
                <w:sz w:val="22"/>
                <w:szCs w:val="22"/>
              </w:rPr>
              <w:t>98% (142/145)</w:t>
            </w:r>
          </w:p>
        </w:tc>
        <w:tc>
          <w:tcPr>
            <w:tcW w:w="1784" w:type="dxa"/>
          </w:tcPr>
          <w:p w:rsidR="009C1E28" w:rsidRPr="009C1E28" w:rsidRDefault="009C1E28" w:rsidP="009C1E28">
            <w:pPr>
              <w:pStyle w:val="TableCellCenter"/>
              <w:keepNext/>
              <w:keepLines/>
              <w:spacing w:before="0" w:after="0"/>
              <w:jc w:val="both"/>
              <w:rPr>
                <w:color w:val="auto"/>
                <w:sz w:val="22"/>
                <w:szCs w:val="22"/>
              </w:rPr>
            </w:pPr>
            <w:r w:rsidRPr="009C1E28">
              <w:rPr>
                <w:color w:val="auto"/>
                <w:sz w:val="22"/>
                <w:szCs w:val="22"/>
              </w:rPr>
              <w:t>97% (143/148)</w:t>
            </w:r>
          </w:p>
        </w:tc>
        <w:tc>
          <w:tcPr>
            <w:tcW w:w="1463" w:type="dxa"/>
          </w:tcPr>
          <w:p w:rsidR="009C1E28" w:rsidRPr="009C1E28" w:rsidRDefault="009C1E28" w:rsidP="009C1E28">
            <w:pPr>
              <w:pStyle w:val="TableCellCenter"/>
              <w:keepNext/>
              <w:keepLines/>
              <w:spacing w:before="0" w:after="0"/>
              <w:jc w:val="both"/>
              <w:rPr>
                <w:color w:val="auto"/>
                <w:sz w:val="22"/>
                <w:szCs w:val="22"/>
              </w:rPr>
            </w:pPr>
            <w:r w:rsidRPr="009C1E28">
              <w:rPr>
                <w:color w:val="auto"/>
                <w:sz w:val="22"/>
                <w:szCs w:val="22"/>
              </w:rPr>
              <w:t>99% (144/146)</w:t>
            </w:r>
          </w:p>
        </w:tc>
        <w:tc>
          <w:tcPr>
            <w:tcW w:w="1967" w:type="dxa"/>
          </w:tcPr>
          <w:p w:rsidR="009C1E28" w:rsidRPr="009C1E28" w:rsidRDefault="009C1E28" w:rsidP="009C1E28">
            <w:pPr>
              <w:pStyle w:val="TableCellCenter"/>
              <w:keepNext/>
              <w:keepLines/>
              <w:spacing w:before="0" w:after="0"/>
              <w:jc w:val="both"/>
              <w:rPr>
                <w:color w:val="auto"/>
                <w:sz w:val="22"/>
                <w:szCs w:val="22"/>
              </w:rPr>
            </w:pPr>
            <w:r w:rsidRPr="009C1E28">
              <w:rPr>
                <w:color w:val="auto"/>
                <w:sz w:val="22"/>
                <w:szCs w:val="22"/>
              </w:rPr>
              <w:t>99% (141/143)</w:t>
            </w:r>
          </w:p>
        </w:tc>
      </w:tr>
      <w:tr w:rsidR="009C1E28" w:rsidRPr="009C1E28" w:rsidTr="00DB57CE">
        <w:tc>
          <w:tcPr>
            <w:tcW w:w="264" w:type="dxa"/>
            <w:tcBorders>
              <w:right w:val="nil"/>
            </w:tcBorders>
          </w:tcPr>
          <w:p w:rsidR="009C1E28" w:rsidRPr="009C1E28" w:rsidRDefault="009C1E28" w:rsidP="009C1E28">
            <w:pPr>
              <w:keepNext/>
              <w:keepLines/>
              <w:spacing w:after="0"/>
              <w:jc w:val="both"/>
              <w:rPr>
                <w:rFonts w:ascii="Times New Roman" w:hAnsi="Times New Roman" w:cs="Times New Roman"/>
                <w:b/>
              </w:rPr>
            </w:pPr>
          </w:p>
        </w:tc>
        <w:tc>
          <w:tcPr>
            <w:tcW w:w="2418" w:type="dxa"/>
            <w:tcBorders>
              <w:left w:val="nil"/>
            </w:tcBorders>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Genotip 1b</w:t>
            </w:r>
          </w:p>
        </w:tc>
        <w:tc>
          <w:tcPr>
            <w:tcW w:w="1738" w:type="dxa"/>
          </w:tcPr>
          <w:p w:rsidR="009C1E28" w:rsidRPr="009C1E28" w:rsidDel="00CF6604" w:rsidRDefault="009C1E28" w:rsidP="009C1E28">
            <w:pPr>
              <w:pStyle w:val="TableCellCenter"/>
              <w:keepNext/>
              <w:keepLines/>
              <w:spacing w:before="0" w:after="0"/>
              <w:jc w:val="both"/>
              <w:rPr>
                <w:color w:val="auto"/>
                <w:sz w:val="22"/>
                <w:szCs w:val="22"/>
              </w:rPr>
            </w:pPr>
            <w:r w:rsidRPr="009C1E28">
              <w:rPr>
                <w:color w:val="auto"/>
                <w:sz w:val="22"/>
                <w:szCs w:val="22"/>
              </w:rPr>
              <w:t>100% (67/67)</w:t>
            </w:r>
          </w:p>
        </w:tc>
        <w:tc>
          <w:tcPr>
            <w:tcW w:w="1784" w:type="dxa"/>
          </w:tcPr>
          <w:p w:rsidR="009C1E28" w:rsidRPr="009C1E28" w:rsidRDefault="009C1E28" w:rsidP="009C1E28">
            <w:pPr>
              <w:pStyle w:val="TableCellCenter"/>
              <w:keepNext/>
              <w:keepLines/>
              <w:spacing w:before="0" w:after="0"/>
              <w:jc w:val="both"/>
              <w:rPr>
                <w:color w:val="auto"/>
                <w:sz w:val="22"/>
                <w:szCs w:val="22"/>
              </w:rPr>
            </w:pPr>
            <w:r w:rsidRPr="009C1E28">
              <w:rPr>
                <w:color w:val="auto"/>
                <w:sz w:val="22"/>
                <w:szCs w:val="22"/>
              </w:rPr>
              <w:t>99% (67/68)</w:t>
            </w:r>
          </w:p>
        </w:tc>
        <w:tc>
          <w:tcPr>
            <w:tcW w:w="1463" w:type="dxa"/>
          </w:tcPr>
          <w:p w:rsidR="009C1E28" w:rsidRPr="009C1E28" w:rsidRDefault="009C1E28" w:rsidP="009C1E28">
            <w:pPr>
              <w:pStyle w:val="TableCellCenter"/>
              <w:keepNext/>
              <w:keepLines/>
              <w:spacing w:before="0" w:after="0"/>
              <w:jc w:val="both"/>
              <w:rPr>
                <w:color w:val="auto"/>
                <w:sz w:val="22"/>
                <w:szCs w:val="22"/>
              </w:rPr>
            </w:pPr>
            <w:r w:rsidRPr="009C1E28">
              <w:rPr>
                <w:color w:val="auto"/>
                <w:sz w:val="22"/>
                <w:szCs w:val="22"/>
              </w:rPr>
              <w:t>97% (67/69)</w:t>
            </w:r>
          </w:p>
        </w:tc>
        <w:tc>
          <w:tcPr>
            <w:tcW w:w="1967" w:type="dxa"/>
          </w:tcPr>
          <w:p w:rsidR="009C1E28" w:rsidRPr="009C1E28" w:rsidRDefault="009C1E28" w:rsidP="009C1E28">
            <w:pPr>
              <w:pStyle w:val="TableCellCenter"/>
              <w:keepNext/>
              <w:keepLines/>
              <w:spacing w:before="0" w:after="0"/>
              <w:jc w:val="both"/>
              <w:rPr>
                <w:color w:val="auto"/>
                <w:sz w:val="22"/>
                <w:szCs w:val="22"/>
              </w:rPr>
            </w:pPr>
            <w:r w:rsidRPr="009C1E28">
              <w:rPr>
                <w:color w:val="auto"/>
                <w:sz w:val="22"/>
                <w:szCs w:val="22"/>
              </w:rPr>
              <w:t>100% (72/72)</w:t>
            </w:r>
          </w:p>
        </w:tc>
      </w:tr>
      <w:tr w:rsidR="009C1E28" w:rsidRPr="009C1E28" w:rsidTr="00DB57CE">
        <w:tc>
          <w:tcPr>
            <w:tcW w:w="9634" w:type="dxa"/>
            <w:gridSpan w:val="6"/>
          </w:tcPr>
          <w:p w:rsidR="009C1E28" w:rsidRPr="009C1E28" w:rsidRDefault="009C1E28" w:rsidP="009C1E28">
            <w:pPr>
              <w:pStyle w:val="TableCellCenter"/>
              <w:keepNext/>
              <w:keepLines/>
              <w:spacing w:before="0" w:after="0"/>
              <w:jc w:val="both"/>
              <w:rPr>
                <w:i/>
                <w:color w:val="auto"/>
                <w:sz w:val="22"/>
                <w:szCs w:val="22"/>
              </w:rPr>
            </w:pPr>
            <w:r w:rsidRPr="009C1E28">
              <w:rPr>
                <w:i/>
                <w:color w:val="auto"/>
                <w:sz w:val="22"/>
                <w:szCs w:val="22"/>
              </w:rPr>
              <w:t>Ciroza</w:t>
            </w:r>
            <w:r w:rsidRPr="009C1E28">
              <w:rPr>
                <w:i/>
                <w:color w:val="auto"/>
                <w:sz w:val="22"/>
                <w:szCs w:val="22"/>
                <w:vertAlign w:val="superscript"/>
              </w:rPr>
              <w:t>d</w:t>
            </w:r>
          </w:p>
        </w:tc>
      </w:tr>
      <w:tr w:rsidR="009C1E28" w:rsidRPr="009C1E28" w:rsidTr="00DB57CE">
        <w:tc>
          <w:tcPr>
            <w:tcW w:w="264" w:type="dxa"/>
            <w:tcBorders>
              <w:right w:val="nil"/>
            </w:tcBorders>
          </w:tcPr>
          <w:p w:rsidR="009C1E28" w:rsidRPr="009C1E28" w:rsidRDefault="009C1E28" w:rsidP="009C1E28">
            <w:pPr>
              <w:keepNext/>
              <w:keepLines/>
              <w:spacing w:after="0"/>
              <w:jc w:val="both"/>
              <w:rPr>
                <w:rFonts w:ascii="Times New Roman" w:hAnsi="Times New Roman" w:cs="Times New Roman"/>
                <w:b/>
              </w:rPr>
            </w:pPr>
          </w:p>
        </w:tc>
        <w:tc>
          <w:tcPr>
            <w:tcW w:w="2418" w:type="dxa"/>
            <w:tcBorders>
              <w:left w:val="nil"/>
            </w:tcBorders>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Ne</w:t>
            </w:r>
          </w:p>
        </w:tc>
        <w:tc>
          <w:tcPr>
            <w:tcW w:w="1738" w:type="dxa"/>
          </w:tcPr>
          <w:p w:rsidR="009C1E28" w:rsidRPr="009C1E28" w:rsidDel="00CF6604" w:rsidRDefault="009C1E28" w:rsidP="009C1E28">
            <w:pPr>
              <w:pStyle w:val="TableCellCenter"/>
              <w:keepNext/>
              <w:keepLines/>
              <w:spacing w:before="0" w:after="0"/>
              <w:jc w:val="both"/>
              <w:rPr>
                <w:color w:val="auto"/>
                <w:sz w:val="22"/>
                <w:szCs w:val="22"/>
              </w:rPr>
            </w:pPr>
            <w:r w:rsidRPr="009C1E28">
              <w:rPr>
                <w:color w:val="auto"/>
                <w:sz w:val="22"/>
                <w:szCs w:val="22"/>
              </w:rPr>
              <w:t>99% (176/177)</w:t>
            </w:r>
          </w:p>
        </w:tc>
        <w:tc>
          <w:tcPr>
            <w:tcW w:w="1784" w:type="dxa"/>
          </w:tcPr>
          <w:p w:rsidR="009C1E28" w:rsidRPr="009C1E28" w:rsidRDefault="009C1E28" w:rsidP="009C1E28">
            <w:pPr>
              <w:pStyle w:val="TableCellCenter"/>
              <w:keepNext/>
              <w:keepLines/>
              <w:spacing w:before="0" w:after="0"/>
              <w:jc w:val="both"/>
              <w:rPr>
                <w:color w:val="auto"/>
                <w:sz w:val="22"/>
                <w:szCs w:val="22"/>
              </w:rPr>
            </w:pPr>
            <w:r w:rsidRPr="009C1E28">
              <w:rPr>
                <w:color w:val="auto"/>
                <w:sz w:val="22"/>
                <w:szCs w:val="22"/>
              </w:rPr>
              <w:t>97% (177/183)</w:t>
            </w:r>
          </w:p>
        </w:tc>
        <w:tc>
          <w:tcPr>
            <w:tcW w:w="1463" w:type="dxa"/>
          </w:tcPr>
          <w:p w:rsidR="009C1E28" w:rsidRPr="009C1E28" w:rsidRDefault="009C1E28" w:rsidP="009C1E28">
            <w:pPr>
              <w:pStyle w:val="TableCellCenter"/>
              <w:keepNext/>
              <w:keepLines/>
              <w:spacing w:before="0" w:after="0"/>
              <w:jc w:val="both"/>
              <w:rPr>
                <w:color w:val="auto"/>
                <w:sz w:val="22"/>
                <w:szCs w:val="22"/>
              </w:rPr>
            </w:pPr>
            <w:r w:rsidRPr="009C1E28">
              <w:rPr>
                <w:color w:val="auto"/>
                <w:sz w:val="22"/>
                <w:szCs w:val="22"/>
              </w:rPr>
              <w:t>98% (181/184)</w:t>
            </w:r>
          </w:p>
        </w:tc>
        <w:tc>
          <w:tcPr>
            <w:tcW w:w="1967" w:type="dxa"/>
          </w:tcPr>
          <w:p w:rsidR="009C1E28" w:rsidRPr="009C1E28" w:rsidRDefault="009C1E28" w:rsidP="009C1E28">
            <w:pPr>
              <w:pStyle w:val="TableCellCenter"/>
              <w:keepNext/>
              <w:keepLines/>
              <w:spacing w:before="0" w:after="0"/>
              <w:jc w:val="both"/>
              <w:rPr>
                <w:color w:val="auto"/>
                <w:sz w:val="22"/>
                <w:szCs w:val="22"/>
              </w:rPr>
            </w:pPr>
            <w:r w:rsidRPr="009C1E28">
              <w:rPr>
                <w:color w:val="auto"/>
                <w:sz w:val="22"/>
                <w:szCs w:val="22"/>
              </w:rPr>
              <w:t>99% (178/180)</w:t>
            </w:r>
          </w:p>
        </w:tc>
      </w:tr>
      <w:tr w:rsidR="009C1E28" w:rsidRPr="009C1E28" w:rsidTr="00DB57CE">
        <w:tc>
          <w:tcPr>
            <w:tcW w:w="264" w:type="dxa"/>
            <w:tcBorders>
              <w:right w:val="nil"/>
            </w:tcBorders>
          </w:tcPr>
          <w:p w:rsidR="009C1E28" w:rsidRPr="009C1E28" w:rsidRDefault="009C1E28" w:rsidP="009C1E28">
            <w:pPr>
              <w:keepNext/>
              <w:keepLines/>
              <w:spacing w:after="0"/>
              <w:jc w:val="both"/>
              <w:rPr>
                <w:rFonts w:ascii="Times New Roman" w:hAnsi="Times New Roman" w:cs="Times New Roman"/>
                <w:b/>
              </w:rPr>
            </w:pPr>
          </w:p>
        </w:tc>
        <w:tc>
          <w:tcPr>
            <w:tcW w:w="2418" w:type="dxa"/>
            <w:tcBorders>
              <w:left w:val="nil"/>
            </w:tcBorders>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Da</w:t>
            </w:r>
          </w:p>
        </w:tc>
        <w:tc>
          <w:tcPr>
            <w:tcW w:w="1738" w:type="dxa"/>
          </w:tcPr>
          <w:p w:rsidR="009C1E28" w:rsidRPr="009C1E28" w:rsidDel="00CF6604" w:rsidRDefault="009C1E28" w:rsidP="009C1E28">
            <w:pPr>
              <w:pStyle w:val="TableCellCenter"/>
              <w:keepNext/>
              <w:keepLines/>
              <w:spacing w:before="0" w:after="0"/>
              <w:jc w:val="both"/>
              <w:rPr>
                <w:color w:val="auto"/>
                <w:sz w:val="22"/>
                <w:szCs w:val="22"/>
              </w:rPr>
            </w:pPr>
            <w:r w:rsidRPr="009C1E28">
              <w:rPr>
                <w:color w:val="auto"/>
                <w:sz w:val="22"/>
                <w:szCs w:val="22"/>
              </w:rPr>
              <w:t>94% (32/34)</w:t>
            </w:r>
          </w:p>
        </w:tc>
        <w:tc>
          <w:tcPr>
            <w:tcW w:w="1784" w:type="dxa"/>
          </w:tcPr>
          <w:p w:rsidR="009C1E28" w:rsidRPr="009C1E28" w:rsidRDefault="009C1E28" w:rsidP="009C1E28">
            <w:pPr>
              <w:pStyle w:val="TableCellCenter"/>
              <w:keepNext/>
              <w:keepLines/>
              <w:spacing w:before="0" w:after="0"/>
              <w:jc w:val="both"/>
              <w:rPr>
                <w:color w:val="auto"/>
                <w:sz w:val="22"/>
                <w:szCs w:val="22"/>
              </w:rPr>
            </w:pPr>
            <w:r w:rsidRPr="009C1E28">
              <w:rPr>
                <w:color w:val="auto"/>
                <w:sz w:val="22"/>
                <w:szCs w:val="22"/>
              </w:rPr>
              <w:t>100% (33/33)</w:t>
            </w:r>
          </w:p>
        </w:tc>
        <w:tc>
          <w:tcPr>
            <w:tcW w:w="1463" w:type="dxa"/>
          </w:tcPr>
          <w:p w:rsidR="009C1E28" w:rsidRPr="009C1E28" w:rsidRDefault="009C1E28" w:rsidP="009C1E28">
            <w:pPr>
              <w:pStyle w:val="TableCellCenter"/>
              <w:keepNext/>
              <w:keepLines/>
              <w:spacing w:before="0" w:after="0"/>
              <w:jc w:val="both"/>
              <w:rPr>
                <w:color w:val="auto"/>
                <w:sz w:val="22"/>
                <w:szCs w:val="22"/>
              </w:rPr>
            </w:pPr>
            <w:r w:rsidRPr="009C1E28">
              <w:rPr>
                <w:color w:val="auto"/>
                <w:sz w:val="22"/>
                <w:szCs w:val="22"/>
              </w:rPr>
              <w:t>97% (32/33)</w:t>
            </w:r>
          </w:p>
        </w:tc>
        <w:tc>
          <w:tcPr>
            <w:tcW w:w="1967" w:type="dxa"/>
          </w:tcPr>
          <w:p w:rsidR="009C1E28" w:rsidRPr="009C1E28" w:rsidRDefault="009C1E28" w:rsidP="009C1E28">
            <w:pPr>
              <w:pStyle w:val="TableCellCenter"/>
              <w:keepNext/>
              <w:keepLines/>
              <w:spacing w:before="0" w:after="0"/>
              <w:jc w:val="both"/>
              <w:rPr>
                <w:color w:val="auto"/>
                <w:sz w:val="22"/>
                <w:szCs w:val="22"/>
              </w:rPr>
            </w:pPr>
            <w:r w:rsidRPr="009C1E28">
              <w:rPr>
                <w:color w:val="auto"/>
                <w:sz w:val="22"/>
                <w:szCs w:val="22"/>
              </w:rPr>
              <w:t>100% (36/36)</w:t>
            </w:r>
          </w:p>
        </w:tc>
      </w:tr>
    </w:tbl>
    <w:p w:rsidR="00DB57CE" w:rsidRDefault="00DB57CE" w:rsidP="009C1E28">
      <w:pPr>
        <w:keepNext/>
        <w:keepLines/>
        <w:spacing w:after="0"/>
        <w:jc w:val="both"/>
        <w:rPr>
          <w:rFonts w:ascii="Times New Roman" w:hAnsi="Times New Roman" w:cs="Times New Roman"/>
        </w:rPr>
      </w:pPr>
    </w:p>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a. Jedan pacijent je bio isključen iz terapijske grupe liječene 12 nedjelja LDV/SOF-om i jedan je pacijent bio isključen iz terapijske grupe liječene 24 nedjelje LDV/SOF+RBV, jer su imali HHC genotipa 4.</w:t>
      </w:r>
    </w:p>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b. Imenilac za relaps je broj pacijenata sa HCV RNK &lt;LLOQ na njihovom posljednjem pregledu za vrijeme trajanja terapije.</w:t>
      </w:r>
    </w:p>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c. Drugi uključuje pacijente koji nijesu postigli SVR i nijesu zadovoljili kriterijume virusološkog neuspjeha (npr. izgubljeni za praćenje).</w:t>
      </w: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d. Pacijenti bez podatka o statusu ciroze bili su isključeni iz analize ove podgrupe.</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keepNext/>
        <w:keepLines/>
        <w:spacing w:after="0"/>
        <w:jc w:val="both"/>
        <w:rPr>
          <w:rFonts w:ascii="Times New Roman" w:hAnsi="Times New Roman" w:cs="Times New Roman"/>
          <w:b/>
          <w:i/>
        </w:rPr>
      </w:pPr>
      <w:r w:rsidRPr="009C1E28">
        <w:rPr>
          <w:rFonts w:ascii="Times New Roman" w:hAnsi="Times New Roman" w:cs="Times New Roman"/>
          <w:i/>
        </w:rPr>
        <w:t>Odrasli sa ili bez ciroze koji su prethodno bili liječeni – ION</w:t>
      </w:r>
      <w:r w:rsidRPr="009C1E28">
        <w:rPr>
          <w:rFonts w:ascii="Times New Roman" w:hAnsi="Times New Roman" w:cs="Times New Roman"/>
        </w:rPr>
        <w:noBreakHyphen/>
      </w:r>
      <w:r w:rsidRPr="009C1E28">
        <w:rPr>
          <w:rFonts w:ascii="Times New Roman" w:hAnsi="Times New Roman" w:cs="Times New Roman"/>
          <w:i/>
        </w:rPr>
        <w:t>2 (ispitivanje 0109) – genotip 1</w:t>
      </w: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ION</w:t>
      </w:r>
      <w:r w:rsidRPr="009C1E28">
        <w:rPr>
          <w:rFonts w:ascii="Times New Roman" w:hAnsi="Times New Roman" w:cs="Times New Roman"/>
        </w:rPr>
        <w:noBreakHyphen/>
        <w:t>2 bilo je randomizovano, otvoreno ispitivanje kojim se procjenjivalo 12 i 24 nedjelja liječenja ledipasvirom/sofosbuvirom sa ribavirinom ili bez njega kod pacijenata (randomizovanih u odnosu 1:1:1:1) sa cirozom ili bez nje zaraženih genotipom 1 HCV</w:t>
      </w:r>
      <w:r w:rsidRPr="009C1E28">
        <w:rPr>
          <w:rFonts w:ascii="Times New Roman" w:hAnsi="Times New Roman" w:cs="Times New Roman"/>
        </w:rPr>
        <w:noBreakHyphen/>
        <w:t>a kod kojih je prethodna terapija režimom na bazi interferona bila neuspješna, uključujući režime koji su sadržali inhibitor proteaze HCV-a. Randomizacija je bila stratifikovana prema prisutnosti ili odsutnosti ciroze, genotipu HCV-a (1a naspram 1b) i odgovoru na prethodnu terapiju HCV-a (relaps/proboj naspram odsustva reakcije).</w:t>
      </w:r>
    </w:p>
    <w:p w:rsidR="009C1E28" w:rsidRPr="009C1E28" w:rsidRDefault="009C1E28" w:rsidP="009C1E28">
      <w:pPr>
        <w:spacing w:after="0"/>
        <w:jc w:val="both"/>
        <w:rPr>
          <w:rFonts w:ascii="Times New Roman" w:hAnsi="Times New Roman" w:cs="Times New Roman"/>
          <w:b/>
        </w:rPr>
      </w:pPr>
    </w:p>
    <w:p w:rsidR="009C1E28" w:rsidRDefault="009C1E28" w:rsidP="009C1E28">
      <w:pPr>
        <w:keepNext/>
        <w:keepLines/>
        <w:spacing w:after="0"/>
        <w:jc w:val="both"/>
        <w:rPr>
          <w:rFonts w:ascii="Times New Roman" w:hAnsi="Times New Roman" w:cs="Times New Roman"/>
          <w:b/>
        </w:rPr>
      </w:pPr>
      <w:r w:rsidRPr="002045B8">
        <w:rPr>
          <w:rFonts w:ascii="Times New Roman" w:hAnsi="Times New Roman" w:cs="Times New Roman"/>
          <w:b/>
        </w:rPr>
        <w:lastRenderedPageBreak/>
        <w:t>Tabela 13: Demografske i početne karakteristike u ispitivanju ION</w:t>
      </w:r>
      <w:r w:rsidRPr="002045B8">
        <w:rPr>
          <w:rFonts w:ascii="Times New Roman" w:hAnsi="Times New Roman" w:cs="Times New Roman"/>
          <w:b/>
        </w:rPr>
        <w:noBreakHyphen/>
        <w:t>2</w:t>
      </w:r>
    </w:p>
    <w:p w:rsidR="002045B8" w:rsidRPr="002045B8" w:rsidRDefault="002045B8" w:rsidP="009C1E28">
      <w:pPr>
        <w:keepNext/>
        <w:keepLines/>
        <w:spacing w:after="0"/>
        <w:jc w:val="both"/>
        <w:rPr>
          <w:rFonts w:ascii="Times New Roman" w:hAnsi="Times New Roman" w:cs="Times New Roman"/>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
        <w:gridCol w:w="1672"/>
        <w:gridCol w:w="1559"/>
        <w:gridCol w:w="1418"/>
        <w:gridCol w:w="1417"/>
        <w:gridCol w:w="1418"/>
        <w:gridCol w:w="1871"/>
      </w:tblGrid>
      <w:tr w:rsidR="009C1E28" w:rsidRPr="009C1E28" w:rsidTr="00DB57CE">
        <w:tc>
          <w:tcPr>
            <w:tcW w:w="1951" w:type="dxa"/>
            <w:gridSpan w:val="2"/>
          </w:tcPr>
          <w:p w:rsidR="009C1E28" w:rsidRPr="002045B8" w:rsidRDefault="009C1E28" w:rsidP="009C1E28">
            <w:pPr>
              <w:keepNext/>
              <w:keepLines/>
              <w:spacing w:after="0"/>
              <w:jc w:val="both"/>
              <w:rPr>
                <w:rFonts w:ascii="Times New Roman" w:hAnsi="Times New Roman" w:cs="Times New Roman"/>
                <w:b/>
              </w:rPr>
            </w:pPr>
            <w:r w:rsidRPr="002045B8">
              <w:rPr>
                <w:rFonts w:ascii="Times New Roman" w:hAnsi="Times New Roman" w:cs="Times New Roman"/>
                <w:b/>
              </w:rPr>
              <w:t>Raspodjela pacijenata</w:t>
            </w:r>
          </w:p>
        </w:tc>
        <w:tc>
          <w:tcPr>
            <w:tcW w:w="1559" w:type="dxa"/>
          </w:tcPr>
          <w:p w:rsidR="009C1E28" w:rsidRPr="002045B8" w:rsidRDefault="009C1E28" w:rsidP="009C1E28">
            <w:pPr>
              <w:keepNext/>
              <w:keepLines/>
              <w:spacing w:after="0"/>
              <w:jc w:val="both"/>
              <w:rPr>
                <w:rFonts w:ascii="Times New Roman" w:hAnsi="Times New Roman" w:cs="Times New Roman"/>
                <w:b/>
              </w:rPr>
            </w:pPr>
            <w:r w:rsidRPr="002045B8">
              <w:rPr>
                <w:rFonts w:ascii="Times New Roman" w:hAnsi="Times New Roman" w:cs="Times New Roman"/>
                <w:b/>
              </w:rPr>
              <w:t>LDV/SOF</w:t>
            </w:r>
          </w:p>
          <w:p w:rsidR="009C1E28" w:rsidRPr="002045B8" w:rsidRDefault="009C1E28" w:rsidP="009C1E28">
            <w:pPr>
              <w:keepNext/>
              <w:keepLines/>
              <w:spacing w:after="0"/>
              <w:jc w:val="both"/>
              <w:rPr>
                <w:rFonts w:ascii="Times New Roman" w:hAnsi="Times New Roman" w:cs="Times New Roman"/>
                <w:b/>
              </w:rPr>
            </w:pPr>
            <w:r w:rsidRPr="002045B8">
              <w:rPr>
                <w:rFonts w:ascii="Times New Roman" w:hAnsi="Times New Roman" w:cs="Times New Roman"/>
                <w:b/>
              </w:rPr>
              <w:t>12 nedjelja</w:t>
            </w:r>
          </w:p>
          <w:p w:rsidR="009C1E28" w:rsidRPr="002045B8" w:rsidRDefault="009C1E28" w:rsidP="009C1E28">
            <w:pPr>
              <w:keepNext/>
              <w:keepLines/>
              <w:spacing w:after="0"/>
              <w:jc w:val="both"/>
              <w:rPr>
                <w:rFonts w:ascii="Times New Roman" w:hAnsi="Times New Roman" w:cs="Times New Roman"/>
                <w:b/>
              </w:rPr>
            </w:pPr>
            <w:r w:rsidRPr="002045B8">
              <w:rPr>
                <w:rFonts w:ascii="Times New Roman" w:hAnsi="Times New Roman" w:cs="Times New Roman"/>
                <w:b/>
              </w:rPr>
              <w:t>(n=109)</w:t>
            </w:r>
          </w:p>
        </w:tc>
        <w:tc>
          <w:tcPr>
            <w:tcW w:w="1418" w:type="dxa"/>
          </w:tcPr>
          <w:p w:rsidR="009C1E28" w:rsidRPr="002045B8" w:rsidRDefault="009C1E28" w:rsidP="009C1E28">
            <w:pPr>
              <w:keepNext/>
              <w:keepLines/>
              <w:spacing w:after="0"/>
              <w:jc w:val="both"/>
              <w:rPr>
                <w:rFonts w:ascii="Times New Roman" w:hAnsi="Times New Roman" w:cs="Times New Roman"/>
                <w:b/>
              </w:rPr>
            </w:pPr>
            <w:r w:rsidRPr="002045B8">
              <w:rPr>
                <w:rFonts w:ascii="Times New Roman" w:hAnsi="Times New Roman" w:cs="Times New Roman"/>
                <w:b/>
              </w:rPr>
              <w:t>LDV/SOF+</w:t>
            </w:r>
          </w:p>
          <w:p w:rsidR="009C1E28" w:rsidRPr="002045B8" w:rsidRDefault="009C1E28" w:rsidP="009C1E28">
            <w:pPr>
              <w:keepNext/>
              <w:keepLines/>
              <w:spacing w:after="0"/>
              <w:jc w:val="both"/>
              <w:rPr>
                <w:rFonts w:ascii="Times New Roman" w:hAnsi="Times New Roman" w:cs="Times New Roman"/>
                <w:b/>
              </w:rPr>
            </w:pPr>
            <w:r w:rsidRPr="002045B8">
              <w:rPr>
                <w:rFonts w:ascii="Times New Roman" w:hAnsi="Times New Roman" w:cs="Times New Roman"/>
                <w:b/>
              </w:rPr>
              <w:t>RBV</w:t>
            </w:r>
          </w:p>
          <w:p w:rsidR="009C1E28" w:rsidRPr="002045B8" w:rsidRDefault="009C1E28" w:rsidP="009C1E28">
            <w:pPr>
              <w:keepNext/>
              <w:keepLines/>
              <w:spacing w:after="0"/>
              <w:jc w:val="both"/>
              <w:rPr>
                <w:rFonts w:ascii="Times New Roman" w:hAnsi="Times New Roman" w:cs="Times New Roman"/>
                <w:b/>
              </w:rPr>
            </w:pPr>
            <w:r w:rsidRPr="002045B8">
              <w:rPr>
                <w:rFonts w:ascii="Times New Roman" w:hAnsi="Times New Roman" w:cs="Times New Roman"/>
                <w:b/>
              </w:rPr>
              <w:t>12 nedjelja</w:t>
            </w:r>
          </w:p>
          <w:p w:rsidR="009C1E28" w:rsidRPr="002045B8" w:rsidRDefault="009C1E28" w:rsidP="009C1E28">
            <w:pPr>
              <w:keepNext/>
              <w:keepLines/>
              <w:spacing w:after="0"/>
              <w:jc w:val="both"/>
              <w:rPr>
                <w:rFonts w:ascii="Times New Roman" w:hAnsi="Times New Roman" w:cs="Times New Roman"/>
                <w:b/>
              </w:rPr>
            </w:pPr>
            <w:r w:rsidRPr="002045B8">
              <w:rPr>
                <w:rFonts w:ascii="Times New Roman" w:hAnsi="Times New Roman" w:cs="Times New Roman"/>
                <w:b/>
              </w:rPr>
              <w:t>(n=111)</w:t>
            </w:r>
          </w:p>
        </w:tc>
        <w:tc>
          <w:tcPr>
            <w:tcW w:w="1417" w:type="dxa"/>
          </w:tcPr>
          <w:p w:rsidR="009C1E28" w:rsidRPr="002045B8" w:rsidRDefault="009C1E28" w:rsidP="009C1E28">
            <w:pPr>
              <w:keepNext/>
              <w:keepLines/>
              <w:spacing w:after="0"/>
              <w:jc w:val="both"/>
              <w:rPr>
                <w:rFonts w:ascii="Times New Roman" w:hAnsi="Times New Roman" w:cs="Times New Roman"/>
                <w:b/>
              </w:rPr>
            </w:pPr>
            <w:r w:rsidRPr="002045B8">
              <w:rPr>
                <w:rFonts w:ascii="Times New Roman" w:hAnsi="Times New Roman" w:cs="Times New Roman"/>
                <w:b/>
              </w:rPr>
              <w:t>LDV/SOF</w:t>
            </w:r>
          </w:p>
          <w:p w:rsidR="009C1E28" w:rsidRPr="002045B8" w:rsidRDefault="009C1E28" w:rsidP="009C1E28">
            <w:pPr>
              <w:keepNext/>
              <w:keepLines/>
              <w:spacing w:after="0"/>
              <w:jc w:val="both"/>
              <w:rPr>
                <w:rFonts w:ascii="Times New Roman" w:hAnsi="Times New Roman" w:cs="Times New Roman"/>
                <w:b/>
              </w:rPr>
            </w:pPr>
            <w:r w:rsidRPr="002045B8">
              <w:rPr>
                <w:rFonts w:ascii="Times New Roman" w:hAnsi="Times New Roman" w:cs="Times New Roman"/>
                <w:b/>
              </w:rPr>
              <w:t>24 nedjelje</w:t>
            </w:r>
          </w:p>
          <w:p w:rsidR="009C1E28" w:rsidRPr="002045B8" w:rsidRDefault="009C1E28" w:rsidP="009C1E28">
            <w:pPr>
              <w:keepNext/>
              <w:keepLines/>
              <w:spacing w:after="0"/>
              <w:jc w:val="both"/>
              <w:rPr>
                <w:rFonts w:ascii="Times New Roman" w:hAnsi="Times New Roman" w:cs="Times New Roman"/>
                <w:b/>
              </w:rPr>
            </w:pPr>
            <w:r w:rsidRPr="002045B8">
              <w:rPr>
                <w:rFonts w:ascii="Times New Roman" w:hAnsi="Times New Roman" w:cs="Times New Roman"/>
                <w:b/>
              </w:rPr>
              <w:t>(n=109)</w:t>
            </w:r>
          </w:p>
        </w:tc>
        <w:tc>
          <w:tcPr>
            <w:tcW w:w="1418" w:type="dxa"/>
          </w:tcPr>
          <w:p w:rsidR="009C1E28" w:rsidRPr="002045B8" w:rsidRDefault="009C1E28" w:rsidP="009C1E28">
            <w:pPr>
              <w:keepNext/>
              <w:keepLines/>
              <w:spacing w:after="0"/>
              <w:jc w:val="both"/>
              <w:rPr>
                <w:rFonts w:ascii="Times New Roman" w:hAnsi="Times New Roman" w:cs="Times New Roman"/>
                <w:b/>
              </w:rPr>
            </w:pPr>
            <w:r w:rsidRPr="002045B8">
              <w:rPr>
                <w:rFonts w:ascii="Times New Roman" w:hAnsi="Times New Roman" w:cs="Times New Roman"/>
                <w:b/>
              </w:rPr>
              <w:t>LDV/SOF+</w:t>
            </w:r>
          </w:p>
          <w:p w:rsidR="009C1E28" w:rsidRPr="002045B8" w:rsidRDefault="009C1E28" w:rsidP="009C1E28">
            <w:pPr>
              <w:keepNext/>
              <w:keepLines/>
              <w:spacing w:after="0"/>
              <w:jc w:val="both"/>
              <w:rPr>
                <w:rFonts w:ascii="Times New Roman" w:hAnsi="Times New Roman" w:cs="Times New Roman"/>
                <w:b/>
              </w:rPr>
            </w:pPr>
            <w:r w:rsidRPr="002045B8">
              <w:rPr>
                <w:rFonts w:ascii="Times New Roman" w:hAnsi="Times New Roman" w:cs="Times New Roman"/>
                <w:b/>
              </w:rPr>
              <w:t>RBV</w:t>
            </w:r>
          </w:p>
          <w:p w:rsidR="009C1E28" w:rsidRPr="002045B8" w:rsidRDefault="009C1E28" w:rsidP="009C1E28">
            <w:pPr>
              <w:keepNext/>
              <w:keepLines/>
              <w:spacing w:after="0"/>
              <w:jc w:val="both"/>
              <w:rPr>
                <w:rFonts w:ascii="Times New Roman" w:hAnsi="Times New Roman" w:cs="Times New Roman"/>
                <w:b/>
              </w:rPr>
            </w:pPr>
            <w:r w:rsidRPr="002045B8">
              <w:rPr>
                <w:rFonts w:ascii="Times New Roman" w:hAnsi="Times New Roman" w:cs="Times New Roman"/>
                <w:b/>
              </w:rPr>
              <w:t>24 nedjelje</w:t>
            </w:r>
          </w:p>
          <w:p w:rsidR="009C1E28" w:rsidRPr="002045B8" w:rsidRDefault="009C1E28" w:rsidP="009C1E28">
            <w:pPr>
              <w:keepNext/>
              <w:keepLines/>
              <w:spacing w:after="0"/>
              <w:jc w:val="both"/>
              <w:rPr>
                <w:rFonts w:ascii="Times New Roman" w:hAnsi="Times New Roman" w:cs="Times New Roman"/>
                <w:b/>
              </w:rPr>
            </w:pPr>
            <w:r w:rsidRPr="002045B8">
              <w:rPr>
                <w:rFonts w:ascii="Times New Roman" w:hAnsi="Times New Roman" w:cs="Times New Roman"/>
                <w:b/>
              </w:rPr>
              <w:t>(n=111)</w:t>
            </w:r>
          </w:p>
        </w:tc>
        <w:tc>
          <w:tcPr>
            <w:tcW w:w="1871" w:type="dxa"/>
          </w:tcPr>
          <w:p w:rsidR="009C1E28" w:rsidRPr="002045B8" w:rsidRDefault="009C1E28" w:rsidP="009C1E28">
            <w:pPr>
              <w:keepNext/>
              <w:keepLines/>
              <w:spacing w:after="0"/>
              <w:jc w:val="both"/>
              <w:rPr>
                <w:rFonts w:ascii="Times New Roman" w:hAnsi="Times New Roman" w:cs="Times New Roman"/>
                <w:b/>
              </w:rPr>
            </w:pPr>
            <w:r w:rsidRPr="002045B8">
              <w:rPr>
                <w:rFonts w:ascii="Times New Roman" w:hAnsi="Times New Roman" w:cs="Times New Roman"/>
                <w:b/>
              </w:rPr>
              <w:t>UKUPNO</w:t>
            </w:r>
          </w:p>
          <w:p w:rsidR="009C1E28" w:rsidRPr="002045B8" w:rsidRDefault="009C1E28" w:rsidP="009C1E28">
            <w:pPr>
              <w:keepNext/>
              <w:keepLines/>
              <w:spacing w:after="0"/>
              <w:jc w:val="both"/>
              <w:rPr>
                <w:rFonts w:ascii="Times New Roman" w:hAnsi="Times New Roman" w:cs="Times New Roman"/>
                <w:b/>
              </w:rPr>
            </w:pPr>
          </w:p>
          <w:p w:rsidR="009C1E28" w:rsidRPr="002045B8" w:rsidRDefault="009C1E28" w:rsidP="009C1E28">
            <w:pPr>
              <w:keepNext/>
              <w:keepLines/>
              <w:spacing w:after="0"/>
              <w:jc w:val="both"/>
              <w:rPr>
                <w:rFonts w:ascii="Times New Roman" w:hAnsi="Times New Roman" w:cs="Times New Roman"/>
                <w:b/>
              </w:rPr>
            </w:pPr>
            <w:r w:rsidRPr="002045B8">
              <w:rPr>
                <w:rFonts w:ascii="Times New Roman" w:hAnsi="Times New Roman" w:cs="Times New Roman"/>
                <w:b/>
              </w:rPr>
              <w:t>(n=440)</w:t>
            </w:r>
          </w:p>
        </w:tc>
      </w:tr>
      <w:tr w:rsidR="009C1E28" w:rsidRPr="009C1E28" w:rsidTr="00DB57CE">
        <w:tc>
          <w:tcPr>
            <w:tcW w:w="1951" w:type="dxa"/>
            <w:gridSpan w:val="2"/>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Starost (godine): medijana (opseg)</w:t>
            </w:r>
          </w:p>
        </w:tc>
        <w:tc>
          <w:tcPr>
            <w:tcW w:w="1559"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56 (24</w:t>
            </w:r>
            <w:r w:rsidRPr="009C1E28">
              <w:rPr>
                <w:rFonts w:ascii="Times New Roman" w:hAnsi="Times New Roman" w:cs="Times New Roman"/>
              </w:rPr>
              <w:noBreakHyphen/>
              <w:t>67)</w:t>
            </w:r>
          </w:p>
        </w:tc>
        <w:tc>
          <w:tcPr>
            <w:tcW w:w="1418" w:type="dxa"/>
          </w:tcPr>
          <w:p w:rsidR="009C1E28" w:rsidRPr="009C1E28" w:rsidRDefault="009C1E28" w:rsidP="009C1E28">
            <w:pPr>
              <w:keepNext/>
              <w:keepLines/>
              <w:spacing w:after="0"/>
              <w:jc w:val="both"/>
              <w:rPr>
                <w:rFonts w:ascii="Times New Roman" w:eastAsia="Batang" w:hAnsi="Times New Roman" w:cs="Times New Roman"/>
                <w:b/>
              </w:rPr>
            </w:pPr>
            <w:r w:rsidRPr="009C1E28">
              <w:rPr>
                <w:rFonts w:ascii="Times New Roman" w:hAnsi="Times New Roman" w:cs="Times New Roman"/>
              </w:rPr>
              <w:t>57 (27</w:t>
            </w:r>
            <w:r w:rsidRPr="009C1E28">
              <w:rPr>
                <w:rFonts w:ascii="Times New Roman" w:hAnsi="Times New Roman" w:cs="Times New Roman"/>
              </w:rPr>
              <w:noBreakHyphen/>
              <w:t>75)</w:t>
            </w:r>
          </w:p>
        </w:tc>
        <w:tc>
          <w:tcPr>
            <w:tcW w:w="1417"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56 (25</w:t>
            </w:r>
            <w:r w:rsidRPr="009C1E28">
              <w:rPr>
                <w:rFonts w:ascii="Times New Roman" w:hAnsi="Times New Roman" w:cs="Times New Roman"/>
              </w:rPr>
              <w:noBreakHyphen/>
              <w:t>68)</w:t>
            </w:r>
          </w:p>
        </w:tc>
        <w:tc>
          <w:tcPr>
            <w:tcW w:w="1418"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55 (28</w:t>
            </w:r>
            <w:r w:rsidRPr="009C1E28">
              <w:rPr>
                <w:rFonts w:ascii="Times New Roman" w:hAnsi="Times New Roman" w:cs="Times New Roman"/>
              </w:rPr>
              <w:noBreakHyphen/>
              <w:t>70)</w:t>
            </w:r>
          </w:p>
        </w:tc>
        <w:tc>
          <w:tcPr>
            <w:tcW w:w="1871"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56 (24</w:t>
            </w:r>
            <w:r w:rsidRPr="009C1E28">
              <w:rPr>
                <w:rFonts w:ascii="Times New Roman" w:hAnsi="Times New Roman" w:cs="Times New Roman"/>
              </w:rPr>
              <w:noBreakHyphen/>
              <w:t>75)</w:t>
            </w:r>
          </w:p>
        </w:tc>
      </w:tr>
      <w:tr w:rsidR="009C1E28" w:rsidRPr="009C1E28" w:rsidTr="00DB57CE">
        <w:tc>
          <w:tcPr>
            <w:tcW w:w="1951" w:type="dxa"/>
            <w:gridSpan w:val="2"/>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Muški pol</w:t>
            </w:r>
          </w:p>
        </w:tc>
        <w:tc>
          <w:tcPr>
            <w:tcW w:w="1559"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68% (74)</w:t>
            </w:r>
          </w:p>
        </w:tc>
        <w:tc>
          <w:tcPr>
            <w:tcW w:w="1418"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64% (71)</w:t>
            </w:r>
          </w:p>
        </w:tc>
        <w:tc>
          <w:tcPr>
            <w:tcW w:w="1417"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68% (74)</w:t>
            </w:r>
          </w:p>
        </w:tc>
        <w:tc>
          <w:tcPr>
            <w:tcW w:w="1418"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61% (68)</w:t>
            </w:r>
          </w:p>
        </w:tc>
        <w:tc>
          <w:tcPr>
            <w:tcW w:w="1871"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65% (287)</w:t>
            </w:r>
          </w:p>
        </w:tc>
      </w:tr>
      <w:tr w:rsidR="009C1E28" w:rsidRPr="009C1E28" w:rsidTr="00DB57CE">
        <w:tc>
          <w:tcPr>
            <w:tcW w:w="1951" w:type="dxa"/>
            <w:gridSpan w:val="2"/>
          </w:tcPr>
          <w:p w:rsidR="009C1E28" w:rsidRPr="009C1E28" w:rsidRDefault="009C1E28" w:rsidP="009C1E28">
            <w:pPr>
              <w:keepNext/>
              <w:keepLines/>
              <w:spacing w:after="0"/>
              <w:ind w:left="567" w:hanging="567"/>
              <w:jc w:val="both"/>
              <w:rPr>
                <w:rFonts w:ascii="Times New Roman" w:hAnsi="Times New Roman" w:cs="Times New Roman"/>
                <w:b/>
              </w:rPr>
            </w:pPr>
            <w:r w:rsidRPr="009C1E28">
              <w:rPr>
                <w:rFonts w:ascii="Times New Roman" w:hAnsi="Times New Roman" w:cs="Times New Roman"/>
              </w:rPr>
              <w:t>Rasa: crnci/afroamerikanci</w:t>
            </w:r>
          </w:p>
        </w:tc>
        <w:tc>
          <w:tcPr>
            <w:tcW w:w="1559"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22% (24)</w:t>
            </w:r>
          </w:p>
        </w:tc>
        <w:tc>
          <w:tcPr>
            <w:tcW w:w="1418"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14% (16)</w:t>
            </w:r>
          </w:p>
        </w:tc>
        <w:tc>
          <w:tcPr>
            <w:tcW w:w="1417"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16% (17)</w:t>
            </w:r>
          </w:p>
        </w:tc>
        <w:tc>
          <w:tcPr>
            <w:tcW w:w="1418"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18% (20)</w:t>
            </w:r>
          </w:p>
        </w:tc>
        <w:tc>
          <w:tcPr>
            <w:tcW w:w="1871"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18% (77)</w:t>
            </w:r>
          </w:p>
        </w:tc>
      </w:tr>
      <w:tr w:rsidR="009C1E28" w:rsidRPr="009C1E28" w:rsidTr="00DB57CE">
        <w:tc>
          <w:tcPr>
            <w:tcW w:w="1951" w:type="dxa"/>
            <w:gridSpan w:val="2"/>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ab/>
              <w:t>Bijelci</w:t>
            </w:r>
          </w:p>
        </w:tc>
        <w:tc>
          <w:tcPr>
            <w:tcW w:w="1559"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77% (84)</w:t>
            </w:r>
          </w:p>
        </w:tc>
        <w:tc>
          <w:tcPr>
            <w:tcW w:w="1418"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85% (94)</w:t>
            </w:r>
          </w:p>
        </w:tc>
        <w:tc>
          <w:tcPr>
            <w:tcW w:w="1417"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83% (91)</w:t>
            </w:r>
          </w:p>
        </w:tc>
        <w:tc>
          <w:tcPr>
            <w:tcW w:w="1418"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80% (89)</w:t>
            </w:r>
          </w:p>
        </w:tc>
        <w:tc>
          <w:tcPr>
            <w:tcW w:w="1871"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81% (358)</w:t>
            </w:r>
          </w:p>
        </w:tc>
      </w:tr>
      <w:tr w:rsidR="009C1E28" w:rsidRPr="009C1E28" w:rsidTr="00DB57CE">
        <w:tc>
          <w:tcPr>
            <w:tcW w:w="1951" w:type="dxa"/>
            <w:gridSpan w:val="2"/>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Genotip 1a</w:t>
            </w:r>
          </w:p>
        </w:tc>
        <w:tc>
          <w:tcPr>
            <w:tcW w:w="1559"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79% (86)</w:t>
            </w:r>
          </w:p>
        </w:tc>
        <w:tc>
          <w:tcPr>
            <w:tcW w:w="1418"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79% (88)</w:t>
            </w:r>
          </w:p>
        </w:tc>
        <w:tc>
          <w:tcPr>
            <w:tcW w:w="1417"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78% (85)</w:t>
            </w:r>
          </w:p>
        </w:tc>
        <w:tc>
          <w:tcPr>
            <w:tcW w:w="1418"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79% (88)</w:t>
            </w:r>
          </w:p>
        </w:tc>
        <w:tc>
          <w:tcPr>
            <w:tcW w:w="1871"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79% (347)</w:t>
            </w:r>
          </w:p>
        </w:tc>
      </w:tr>
      <w:tr w:rsidR="009C1E28" w:rsidRPr="009C1E28" w:rsidTr="00DB57CE">
        <w:tc>
          <w:tcPr>
            <w:tcW w:w="9634" w:type="dxa"/>
            <w:gridSpan w:val="7"/>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i/>
              </w:rPr>
              <w:t>Prethodna anti-HCV terapija</w:t>
            </w:r>
          </w:p>
        </w:tc>
      </w:tr>
      <w:tr w:rsidR="009C1E28" w:rsidRPr="009C1E28" w:rsidTr="00DB57CE">
        <w:tc>
          <w:tcPr>
            <w:tcW w:w="279" w:type="dxa"/>
            <w:tcBorders>
              <w:right w:val="nil"/>
            </w:tcBorders>
          </w:tcPr>
          <w:p w:rsidR="009C1E28" w:rsidRPr="009C1E28" w:rsidRDefault="009C1E28" w:rsidP="009C1E28">
            <w:pPr>
              <w:keepNext/>
              <w:keepLines/>
              <w:spacing w:after="0"/>
              <w:jc w:val="both"/>
              <w:rPr>
                <w:rFonts w:ascii="Times New Roman" w:hAnsi="Times New Roman" w:cs="Times New Roman"/>
                <w:b/>
              </w:rPr>
            </w:pPr>
          </w:p>
        </w:tc>
        <w:tc>
          <w:tcPr>
            <w:tcW w:w="1672" w:type="dxa"/>
            <w:tcBorders>
              <w:left w:val="nil"/>
            </w:tcBorders>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PEG</w:t>
            </w:r>
            <w:r w:rsidRPr="009C1E28">
              <w:rPr>
                <w:rFonts w:ascii="Times New Roman" w:hAnsi="Times New Roman" w:cs="Times New Roman"/>
              </w:rPr>
              <w:noBreakHyphen/>
              <w:t>IFN+RBV</w:t>
            </w:r>
          </w:p>
        </w:tc>
        <w:tc>
          <w:tcPr>
            <w:tcW w:w="1559"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39% (43)</w:t>
            </w:r>
          </w:p>
        </w:tc>
        <w:tc>
          <w:tcPr>
            <w:tcW w:w="1418"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42% (47)</w:t>
            </w:r>
          </w:p>
        </w:tc>
        <w:tc>
          <w:tcPr>
            <w:tcW w:w="1417"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53% (58)</w:t>
            </w:r>
          </w:p>
        </w:tc>
        <w:tc>
          <w:tcPr>
            <w:tcW w:w="1418"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53% (59)</w:t>
            </w:r>
          </w:p>
        </w:tc>
        <w:tc>
          <w:tcPr>
            <w:tcW w:w="1871"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47% (207)</w:t>
            </w:r>
            <w:r w:rsidRPr="009C1E28">
              <w:rPr>
                <w:rFonts w:ascii="Times New Roman" w:hAnsi="Times New Roman" w:cs="Times New Roman"/>
                <w:vertAlign w:val="superscript"/>
              </w:rPr>
              <w:t>a</w:t>
            </w:r>
          </w:p>
        </w:tc>
      </w:tr>
      <w:tr w:rsidR="009C1E28" w:rsidRPr="009C1E28" w:rsidTr="00DB57CE">
        <w:tc>
          <w:tcPr>
            <w:tcW w:w="279" w:type="dxa"/>
            <w:tcBorders>
              <w:right w:val="nil"/>
            </w:tcBorders>
          </w:tcPr>
          <w:p w:rsidR="009C1E28" w:rsidRPr="009C1E28" w:rsidRDefault="009C1E28" w:rsidP="009C1E28">
            <w:pPr>
              <w:keepNext/>
              <w:keepLines/>
              <w:spacing w:after="0"/>
              <w:jc w:val="both"/>
              <w:rPr>
                <w:rFonts w:ascii="Times New Roman" w:hAnsi="Times New Roman" w:cs="Times New Roman"/>
                <w:b/>
              </w:rPr>
            </w:pPr>
          </w:p>
        </w:tc>
        <w:tc>
          <w:tcPr>
            <w:tcW w:w="1672" w:type="dxa"/>
            <w:tcBorders>
              <w:left w:val="nil"/>
            </w:tcBorders>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Inhibitor HCV proteaze + PEG</w:t>
            </w:r>
            <w:r w:rsidRPr="009C1E28">
              <w:rPr>
                <w:rFonts w:ascii="Times New Roman" w:hAnsi="Times New Roman" w:cs="Times New Roman"/>
              </w:rPr>
              <w:noBreakHyphen/>
              <w:t>IFN+RBV</w:t>
            </w:r>
          </w:p>
        </w:tc>
        <w:tc>
          <w:tcPr>
            <w:tcW w:w="1559"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61% (66)</w:t>
            </w:r>
          </w:p>
        </w:tc>
        <w:tc>
          <w:tcPr>
            <w:tcW w:w="1418"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58% (64)</w:t>
            </w:r>
          </w:p>
        </w:tc>
        <w:tc>
          <w:tcPr>
            <w:tcW w:w="1417"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46% (50)</w:t>
            </w:r>
          </w:p>
        </w:tc>
        <w:tc>
          <w:tcPr>
            <w:tcW w:w="1418"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46% (51)</w:t>
            </w:r>
          </w:p>
        </w:tc>
        <w:tc>
          <w:tcPr>
            <w:tcW w:w="1871"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53% (231)</w:t>
            </w:r>
            <w:r w:rsidRPr="009C1E28">
              <w:rPr>
                <w:rFonts w:ascii="Times New Roman" w:hAnsi="Times New Roman" w:cs="Times New Roman"/>
                <w:vertAlign w:val="superscript"/>
              </w:rPr>
              <w:t>a</w:t>
            </w:r>
          </w:p>
        </w:tc>
      </w:tr>
      <w:tr w:rsidR="009C1E28" w:rsidRPr="009C1E28" w:rsidTr="00DB57CE">
        <w:tc>
          <w:tcPr>
            <w:tcW w:w="1951" w:type="dxa"/>
            <w:gridSpan w:val="2"/>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IL28CC genotip</w:t>
            </w:r>
          </w:p>
        </w:tc>
        <w:tc>
          <w:tcPr>
            <w:tcW w:w="1559"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9% (10)</w:t>
            </w:r>
          </w:p>
        </w:tc>
        <w:tc>
          <w:tcPr>
            <w:tcW w:w="1418"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10% (11)</w:t>
            </w:r>
          </w:p>
        </w:tc>
        <w:tc>
          <w:tcPr>
            <w:tcW w:w="1417"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14% (16)</w:t>
            </w:r>
          </w:p>
        </w:tc>
        <w:tc>
          <w:tcPr>
            <w:tcW w:w="1418"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16% (18)</w:t>
            </w:r>
          </w:p>
        </w:tc>
        <w:tc>
          <w:tcPr>
            <w:tcW w:w="1871"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13% (55)</w:t>
            </w:r>
          </w:p>
        </w:tc>
      </w:tr>
      <w:tr w:rsidR="009C1E28" w:rsidRPr="009C1E28" w:rsidTr="00DB57CE">
        <w:tc>
          <w:tcPr>
            <w:tcW w:w="9634" w:type="dxa"/>
            <w:gridSpan w:val="7"/>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i/>
              </w:rPr>
              <w:t xml:space="preserve">Metavir-rezultat određen FibroTestom </w:t>
            </w:r>
            <w:r w:rsidRPr="009C1E28">
              <w:rPr>
                <w:rFonts w:ascii="Times New Roman" w:hAnsi="Times New Roman" w:cs="Times New Roman"/>
                <w:i/>
                <w:vertAlign w:val="superscript"/>
              </w:rPr>
              <w:t>b</w:t>
            </w:r>
          </w:p>
        </w:tc>
      </w:tr>
      <w:tr w:rsidR="009C1E28" w:rsidRPr="009C1E28" w:rsidTr="00DB57CE">
        <w:tc>
          <w:tcPr>
            <w:tcW w:w="279" w:type="dxa"/>
            <w:tcBorders>
              <w:right w:val="nil"/>
            </w:tcBorders>
          </w:tcPr>
          <w:p w:rsidR="009C1E28" w:rsidRPr="009C1E28" w:rsidRDefault="009C1E28" w:rsidP="009C1E28">
            <w:pPr>
              <w:keepNext/>
              <w:keepLines/>
              <w:spacing w:after="0"/>
              <w:jc w:val="both"/>
              <w:rPr>
                <w:rFonts w:ascii="Times New Roman" w:hAnsi="Times New Roman" w:cs="Times New Roman"/>
                <w:b/>
              </w:rPr>
            </w:pPr>
          </w:p>
        </w:tc>
        <w:tc>
          <w:tcPr>
            <w:tcW w:w="1672" w:type="dxa"/>
            <w:tcBorders>
              <w:left w:val="nil"/>
            </w:tcBorders>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F0</w:t>
            </w:r>
            <w:r w:rsidRPr="009C1E28">
              <w:rPr>
                <w:rFonts w:ascii="Times New Roman" w:hAnsi="Times New Roman" w:cs="Times New Roman"/>
              </w:rPr>
              <w:noBreakHyphen/>
              <w:t>F1</w:t>
            </w:r>
          </w:p>
        </w:tc>
        <w:tc>
          <w:tcPr>
            <w:tcW w:w="1559"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14% (15)</w:t>
            </w:r>
          </w:p>
        </w:tc>
        <w:tc>
          <w:tcPr>
            <w:tcW w:w="1418"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10% (11)</w:t>
            </w:r>
          </w:p>
        </w:tc>
        <w:tc>
          <w:tcPr>
            <w:tcW w:w="1417"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12% (13)</w:t>
            </w:r>
          </w:p>
        </w:tc>
        <w:tc>
          <w:tcPr>
            <w:tcW w:w="1418"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16% (18)</w:t>
            </w:r>
          </w:p>
        </w:tc>
        <w:tc>
          <w:tcPr>
            <w:tcW w:w="1871"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13% (57)</w:t>
            </w:r>
          </w:p>
        </w:tc>
      </w:tr>
      <w:tr w:rsidR="009C1E28" w:rsidRPr="009C1E28" w:rsidTr="00DB57CE">
        <w:tc>
          <w:tcPr>
            <w:tcW w:w="279" w:type="dxa"/>
            <w:tcBorders>
              <w:right w:val="nil"/>
            </w:tcBorders>
          </w:tcPr>
          <w:p w:rsidR="009C1E28" w:rsidRPr="009C1E28" w:rsidRDefault="009C1E28" w:rsidP="009C1E28">
            <w:pPr>
              <w:keepNext/>
              <w:keepLines/>
              <w:spacing w:after="0"/>
              <w:jc w:val="both"/>
              <w:rPr>
                <w:rFonts w:ascii="Times New Roman" w:hAnsi="Times New Roman" w:cs="Times New Roman"/>
                <w:b/>
              </w:rPr>
            </w:pPr>
          </w:p>
        </w:tc>
        <w:tc>
          <w:tcPr>
            <w:tcW w:w="1672" w:type="dxa"/>
            <w:tcBorders>
              <w:left w:val="nil"/>
            </w:tcBorders>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F2</w:t>
            </w:r>
          </w:p>
        </w:tc>
        <w:tc>
          <w:tcPr>
            <w:tcW w:w="1559"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28% (31)</w:t>
            </w:r>
          </w:p>
        </w:tc>
        <w:tc>
          <w:tcPr>
            <w:tcW w:w="1418"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26% (29)</w:t>
            </w:r>
          </w:p>
        </w:tc>
        <w:tc>
          <w:tcPr>
            <w:tcW w:w="1417"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28% (31)</w:t>
            </w:r>
          </w:p>
        </w:tc>
        <w:tc>
          <w:tcPr>
            <w:tcW w:w="1418"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30% (33)</w:t>
            </w:r>
          </w:p>
        </w:tc>
        <w:tc>
          <w:tcPr>
            <w:tcW w:w="1871"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28% (124)</w:t>
            </w:r>
          </w:p>
        </w:tc>
      </w:tr>
      <w:tr w:rsidR="009C1E28" w:rsidRPr="009C1E28" w:rsidTr="00DB57CE">
        <w:tc>
          <w:tcPr>
            <w:tcW w:w="279" w:type="dxa"/>
            <w:tcBorders>
              <w:right w:val="nil"/>
            </w:tcBorders>
          </w:tcPr>
          <w:p w:rsidR="009C1E28" w:rsidRPr="009C1E28" w:rsidRDefault="009C1E28" w:rsidP="009C1E28">
            <w:pPr>
              <w:keepNext/>
              <w:keepLines/>
              <w:spacing w:after="0"/>
              <w:jc w:val="both"/>
              <w:rPr>
                <w:rFonts w:ascii="Times New Roman" w:hAnsi="Times New Roman" w:cs="Times New Roman"/>
                <w:b/>
              </w:rPr>
            </w:pPr>
          </w:p>
        </w:tc>
        <w:tc>
          <w:tcPr>
            <w:tcW w:w="1672" w:type="dxa"/>
            <w:tcBorders>
              <w:left w:val="nil"/>
            </w:tcBorders>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F3</w:t>
            </w:r>
            <w:r w:rsidRPr="009C1E28">
              <w:rPr>
                <w:rFonts w:ascii="Times New Roman" w:hAnsi="Times New Roman" w:cs="Times New Roman"/>
              </w:rPr>
              <w:noBreakHyphen/>
              <w:t>F4</w:t>
            </w:r>
          </w:p>
        </w:tc>
        <w:tc>
          <w:tcPr>
            <w:tcW w:w="1559"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58% (63)</w:t>
            </w:r>
          </w:p>
        </w:tc>
        <w:tc>
          <w:tcPr>
            <w:tcW w:w="1418"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64% (71)</w:t>
            </w:r>
          </w:p>
        </w:tc>
        <w:tc>
          <w:tcPr>
            <w:tcW w:w="1417"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58% (63)</w:t>
            </w:r>
          </w:p>
        </w:tc>
        <w:tc>
          <w:tcPr>
            <w:tcW w:w="1418"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54% (60)</w:t>
            </w:r>
          </w:p>
        </w:tc>
        <w:tc>
          <w:tcPr>
            <w:tcW w:w="1871"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58% (257)</w:t>
            </w:r>
          </w:p>
        </w:tc>
      </w:tr>
      <w:tr w:rsidR="009C1E28" w:rsidRPr="009C1E28" w:rsidTr="00DB57CE">
        <w:tc>
          <w:tcPr>
            <w:tcW w:w="279" w:type="dxa"/>
            <w:tcBorders>
              <w:right w:val="nil"/>
            </w:tcBorders>
          </w:tcPr>
          <w:p w:rsidR="009C1E28" w:rsidRPr="009C1E28" w:rsidRDefault="009C1E28" w:rsidP="009C1E28">
            <w:pPr>
              <w:keepNext/>
              <w:keepLines/>
              <w:spacing w:after="0"/>
              <w:jc w:val="both"/>
              <w:rPr>
                <w:rFonts w:ascii="Times New Roman" w:hAnsi="Times New Roman" w:cs="Times New Roman"/>
                <w:b/>
              </w:rPr>
            </w:pPr>
          </w:p>
        </w:tc>
        <w:tc>
          <w:tcPr>
            <w:tcW w:w="1672" w:type="dxa"/>
            <w:tcBorders>
              <w:left w:val="nil"/>
            </w:tcBorders>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Nije moguće protumačiti</w:t>
            </w:r>
          </w:p>
        </w:tc>
        <w:tc>
          <w:tcPr>
            <w:tcW w:w="1559"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0% (0)</w:t>
            </w:r>
          </w:p>
        </w:tc>
        <w:tc>
          <w:tcPr>
            <w:tcW w:w="1418"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0% (0)</w:t>
            </w:r>
          </w:p>
        </w:tc>
        <w:tc>
          <w:tcPr>
            <w:tcW w:w="1417"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2% (2)</w:t>
            </w:r>
          </w:p>
        </w:tc>
        <w:tc>
          <w:tcPr>
            <w:tcW w:w="1418"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0% (0)</w:t>
            </w:r>
          </w:p>
        </w:tc>
        <w:tc>
          <w:tcPr>
            <w:tcW w:w="1871"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&lt;1% (2)</w:t>
            </w:r>
          </w:p>
        </w:tc>
      </w:tr>
    </w:tbl>
    <w:p w:rsidR="00DB57CE" w:rsidRDefault="00DB57CE" w:rsidP="009C1E28">
      <w:pPr>
        <w:keepNext/>
        <w:keepLines/>
        <w:spacing w:after="0"/>
        <w:jc w:val="both"/>
        <w:rPr>
          <w:rFonts w:ascii="Times New Roman" w:hAnsi="Times New Roman" w:cs="Times New Roman"/>
        </w:rPr>
      </w:pPr>
    </w:p>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a. Prethodno liječenje režimom na bazi nepegiliranog interferona bilo je neuspješno kod jednog pacijenta u terapijskoj grupi liječenoj 24 nedjelje LDV/SOF-om i jednog pacijenta u terapijskoj grupi liječenoj 24 nedjelje LDV/SOF+RBV-om.</w:t>
      </w: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b. Rezultati FibroTesta koji nijesu nedostajali bili su mapirani na Metavir-rezultate prema sljedećem: 0</w:t>
      </w:r>
      <w:r w:rsidRPr="009C1E28">
        <w:rPr>
          <w:rFonts w:ascii="Times New Roman" w:hAnsi="Times New Roman" w:cs="Times New Roman"/>
        </w:rPr>
        <w:noBreakHyphen/>
        <w:t>0,31 = F0</w:t>
      </w:r>
      <w:r w:rsidRPr="009C1E28">
        <w:rPr>
          <w:rFonts w:ascii="Times New Roman" w:hAnsi="Times New Roman" w:cs="Times New Roman"/>
        </w:rPr>
        <w:noBreakHyphen/>
        <w:t>F1; 0,32</w:t>
      </w:r>
      <w:r w:rsidRPr="009C1E28">
        <w:rPr>
          <w:rFonts w:ascii="Times New Roman" w:hAnsi="Times New Roman" w:cs="Times New Roman"/>
        </w:rPr>
        <w:noBreakHyphen/>
        <w:t>0,58 = F2; 0,59</w:t>
      </w:r>
      <w:r w:rsidRPr="009C1E28">
        <w:rPr>
          <w:rFonts w:ascii="Times New Roman" w:hAnsi="Times New Roman" w:cs="Times New Roman"/>
        </w:rPr>
        <w:noBreakHyphen/>
        <w:t>1,00 = F3</w:t>
      </w:r>
      <w:r w:rsidRPr="009C1E28">
        <w:rPr>
          <w:rFonts w:ascii="Times New Roman" w:hAnsi="Times New Roman" w:cs="Times New Roman"/>
        </w:rPr>
        <w:noBreakHyphen/>
        <w:t>F4.</w:t>
      </w:r>
    </w:p>
    <w:p w:rsidR="009C1E28" w:rsidRPr="009C1E28" w:rsidRDefault="009C1E28" w:rsidP="009C1E28">
      <w:pPr>
        <w:spacing w:after="0"/>
        <w:jc w:val="both"/>
        <w:rPr>
          <w:rFonts w:ascii="Times New Roman" w:hAnsi="Times New Roman" w:cs="Times New Roman"/>
          <w:b/>
        </w:rPr>
      </w:pPr>
    </w:p>
    <w:p w:rsidR="009C1E28" w:rsidRDefault="009C1E28" w:rsidP="009C1E28">
      <w:pPr>
        <w:keepNext/>
        <w:keepLines/>
        <w:spacing w:after="0"/>
        <w:jc w:val="both"/>
        <w:rPr>
          <w:rFonts w:ascii="Times New Roman" w:hAnsi="Times New Roman" w:cs="Times New Roman"/>
          <w:b/>
        </w:rPr>
      </w:pPr>
      <w:r w:rsidRPr="002045B8">
        <w:rPr>
          <w:rFonts w:ascii="Times New Roman" w:hAnsi="Times New Roman" w:cs="Times New Roman"/>
          <w:b/>
        </w:rPr>
        <w:lastRenderedPageBreak/>
        <w:t>Tabela 14: Stope reakcije u ispitivanju ION</w:t>
      </w:r>
      <w:r w:rsidRPr="002045B8">
        <w:rPr>
          <w:rFonts w:ascii="Times New Roman" w:hAnsi="Times New Roman" w:cs="Times New Roman"/>
          <w:b/>
        </w:rPr>
        <w:noBreakHyphen/>
        <w:t>2</w:t>
      </w:r>
    </w:p>
    <w:p w:rsidR="002045B8" w:rsidRPr="002045B8" w:rsidRDefault="002045B8" w:rsidP="009C1E28">
      <w:pPr>
        <w:keepNext/>
        <w:keepLines/>
        <w:spacing w:after="0"/>
        <w:jc w:val="both"/>
        <w:rPr>
          <w:rFonts w:ascii="Times New Roman" w:hAnsi="Times New Roman" w:cs="Times New Roman"/>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
        <w:gridCol w:w="2253"/>
        <w:gridCol w:w="1701"/>
        <w:gridCol w:w="1701"/>
        <w:gridCol w:w="1701"/>
        <w:gridCol w:w="2013"/>
      </w:tblGrid>
      <w:tr w:rsidR="009C1E28" w:rsidRPr="009C1E28" w:rsidTr="00DB57CE">
        <w:tc>
          <w:tcPr>
            <w:tcW w:w="2518" w:type="dxa"/>
            <w:gridSpan w:val="2"/>
          </w:tcPr>
          <w:p w:rsidR="009C1E28" w:rsidRPr="009C1E28" w:rsidRDefault="009C1E28" w:rsidP="009C1E28">
            <w:pPr>
              <w:keepNext/>
              <w:keepLines/>
              <w:spacing w:after="0"/>
              <w:jc w:val="both"/>
              <w:rPr>
                <w:rFonts w:ascii="Times New Roman" w:hAnsi="Times New Roman" w:cs="Times New Roman"/>
              </w:rPr>
            </w:pPr>
          </w:p>
        </w:tc>
        <w:tc>
          <w:tcPr>
            <w:tcW w:w="1701" w:type="dxa"/>
          </w:tcPr>
          <w:p w:rsidR="009C1E28" w:rsidRPr="002045B8" w:rsidRDefault="009C1E28" w:rsidP="009C1E28">
            <w:pPr>
              <w:keepNext/>
              <w:keepLines/>
              <w:spacing w:after="0"/>
              <w:jc w:val="both"/>
              <w:rPr>
                <w:rFonts w:ascii="Times New Roman" w:hAnsi="Times New Roman" w:cs="Times New Roman"/>
                <w:b/>
              </w:rPr>
            </w:pPr>
            <w:r w:rsidRPr="002045B8">
              <w:rPr>
                <w:rFonts w:ascii="Times New Roman" w:hAnsi="Times New Roman" w:cs="Times New Roman"/>
                <w:b/>
              </w:rPr>
              <w:t>LDV/SOF</w:t>
            </w:r>
          </w:p>
          <w:p w:rsidR="009C1E28" w:rsidRPr="002045B8" w:rsidRDefault="009C1E28" w:rsidP="009C1E28">
            <w:pPr>
              <w:keepNext/>
              <w:keepLines/>
              <w:spacing w:after="0"/>
              <w:jc w:val="both"/>
              <w:rPr>
                <w:rFonts w:ascii="Times New Roman" w:hAnsi="Times New Roman" w:cs="Times New Roman"/>
                <w:b/>
              </w:rPr>
            </w:pPr>
            <w:r w:rsidRPr="002045B8">
              <w:rPr>
                <w:rFonts w:ascii="Times New Roman" w:hAnsi="Times New Roman" w:cs="Times New Roman"/>
                <w:b/>
              </w:rPr>
              <w:t>12 nedjelja</w:t>
            </w:r>
          </w:p>
          <w:p w:rsidR="009C1E28" w:rsidRPr="002045B8" w:rsidRDefault="009C1E28" w:rsidP="009C1E28">
            <w:pPr>
              <w:keepNext/>
              <w:keepLines/>
              <w:spacing w:after="0"/>
              <w:jc w:val="both"/>
              <w:rPr>
                <w:rFonts w:ascii="Times New Roman" w:hAnsi="Times New Roman" w:cs="Times New Roman"/>
                <w:b/>
              </w:rPr>
            </w:pPr>
            <w:r w:rsidRPr="002045B8">
              <w:rPr>
                <w:rFonts w:ascii="Times New Roman" w:hAnsi="Times New Roman" w:cs="Times New Roman"/>
                <w:b/>
              </w:rPr>
              <w:t>(n=109)</w:t>
            </w:r>
          </w:p>
        </w:tc>
        <w:tc>
          <w:tcPr>
            <w:tcW w:w="1701" w:type="dxa"/>
          </w:tcPr>
          <w:p w:rsidR="009C1E28" w:rsidRPr="002045B8" w:rsidRDefault="009C1E28" w:rsidP="009C1E28">
            <w:pPr>
              <w:keepNext/>
              <w:keepLines/>
              <w:spacing w:after="0"/>
              <w:jc w:val="both"/>
              <w:rPr>
                <w:rFonts w:ascii="Times New Roman" w:hAnsi="Times New Roman" w:cs="Times New Roman"/>
                <w:b/>
              </w:rPr>
            </w:pPr>
            <w:r w:rsidRPr="002045B8">
              <w:rPr>
                <w:rFonts w:ascii="Times New Roman" w:hAnsi="Times New Roman" w:cs="Times New Roman"/>
                <w:b/>
              </w:rPr>
              <w:t>LDV/SOF+RBV</w:t>
            </w:r>
          </w:p>
          <w:p w:rsidR="009C1E28" w:rsidRPr="002045B8" w:rsidRDefault="009C1E28" w:rsidP="009C1E28">
            <w:pPr>
              <w:keepNext/>
              <w:keepLines/>
              <w:spacing w:after="0"/>
              <w:jc w:val="both"/>
              <w:rPr>
                <w:rFonts w:ascii="Times New Roman" w:hAnsi="Times New Roman" w:cs="Times New Roman"/>
                <w:b/>
              </w:rPr>
            </w:pPr>
            <w:r w:rsidRPr="002045B8">
              <w:rPr>
                <w:rFonts w:ascii="Times New Roman" w:hAnsi="Times New Roman" w:cs="Times New Roman"/>
                <w:b/>
              </w:rPr>
              <w:t>12 nedjelja</w:t>
            </w:r>
          </w:p>
          <w:p w:rsidR="009C1E28" w:rsidRPr="002045B8" w:rsidRDefault="009C1E28" w:rsidP="009C1E28">
            <w:pPr>
              <w:keepNext/>
              <w:keepLines/>
              <w:spacing w:after="0"/>
              <w:jc w:val="both"/>
              <w:rPr>
                <w:rFonts w:ascii="Times New Roman" w:hAnsi="Times New Roman" w:cs="Times New Roman"/>
                <w:b/>
              </w:rPr>
            </w:pPr>
            <w:r w:rsidRPr="002045B8">
              <w:rPr>
                <w:rFonts w:ascii="Times New Roman" w:hAnsi="Times New Roman" w:cs="Times New Roman"/>
                <w:b/>
              </w:rPr>
              <w:t>(n=111)</w:t>
            </w:r>
          </w:p>
        </w:tc>
        <w:tc>
          <w:tcPr>
            <w:tcW w:w="1701" w:type="dxa"/>
          </w:tcPr>
          <w:p w:rsidR="009C1E28" w:rsidRPr="002045B8" w:rsidRDefault="009C1E28" w:rsidP="009C1E28">
            <w:pPr>
              <w:keepNext/>
              <w:keepLines/>
              <w:spacing w:after="0"/>
              <w:jc w:val="both"/>
              <w:rPr>
                <w:rFonts w:ascii="Times New Roman" w:hAnsi="Times New Roman" w:cs="Times New Roman"/>
                <w:b/>
              </w:rPr>
            </w:pPr>
            <w:r w:rsidRPr="002045B8">
              <w:rPr>
                <w:rFonts w:ascii="Times New Roman" w:hAnsi="Times New Roman" w:cs="Times New Roman"/>
                <w:b/>
              </w:rPr>
              <w:t>LDV/SOF</w:t>
            </w:r>
          </w:p>
          <w:p w:rsidR="009C1E28" w:rsidRPr="002045B8" w:rsidRDefault="009C1E28" w:rsidP="009C1E28">
            <w:pPr>
              <w:keepNext/>
              <w:keepLines/>
              <w:spacing w:after="0"/>
              <w:jc w:val="both"/>
              <w:rPr>
                <w:rFonts w:ascii="Times New Roman" w:hAnsi="Times New Roman" w:cs="Times New Roman"/>
                <w:b/>
              </w:rPr>
            </w:pPr>
            <w:r w:rsidRPr="002045B8">
              <w:rPr>
                <w:rFonts w:ascii="Times New Roman" w:hAnsi="Times New Roman" w:cs="Times New Roman"/>
                <w:b/>
              </w:rPr>
              <w:t>24 nedjelje</w:t>
            </w:r>
          </w:p>
          <w:p w:rsidR="009C1E28" w:rsidRPr="002045B8" w:rsidRDefault="009C1E28" w:rsidP="009C1E28">
            <w:pPr>
              <w:keepNext/>
              <w:keepLines/>
              <w:spacing w:after="0"/>
              <w:jc w:val="both"/>
              <w:rPr>
                <w:rFonts w:ascii="Times New Roman" w:hAnsi="Times New Roman" w:cs="Times New Roman"/>
                <w:b/>
              </w:rPr>
            </w:pPr>
            <w:r w:rsidRPr="002045B8">
              <w:rPr>
                <w:rFonts w:ascii="Times New Roman" w:hAnsi="Times New Roman" w:cs="Times New Roman"/>
                <w:b/>
              </w:rPr>
              <w:t>(n=109)</w:t>
            </w:r>
          </w:p>
        </w:tc>
        <w:tc>
          <w:tcPr>
            <w:tcW w:w="2013" w:type="dxa"/>
          </w:tcPr>
          <w:p w:rsidR="009C1E28" w:rsidRPr="002045B8" w:rsidRDefault="009C1E28" w:rsidP="009C1E28">
            <w:pPr>
              <w:keepNext/>
              <w:keepLines/>
              <w:spacing w:after="0"/>
              <w:jc w:val="both"/>
              <w:rPr>
                <w:rFonts w:ascii="Times New Roman" w:hAnsi="Times New Roman" w:cs="Times New Roman"/>
                <w:b/>
              </w:rPr>
            </w:pPr>
            <w:r w:rsidRPr="002045B8">
              <w:rPr>
                <w:rFonts w:ascii="Times New Roman" w:hAnsi="Times New Roman" w:cs="Times New Roman"/>
                <w:b/>
              </w:rPr>
              <w:t>LDV/SOF+RBV</w:t>
            </w:r>
          </w:p>
          <w:p w:rsidR="009C1E28" w:rsidRPr="002045B8" w:rsidRDefault="009C1E28" w:rsidP="009C1E28">
            <w:pPr>
              <w:keepNext/>
              <w:keepLines/>
              <w:spacing w:after="0"/>
              <w:jc w:val="both"/>
              <w:rPr>
                <w:rFonts w:ascii="Times New Roman" w:hAnsi="Times New Roman" w:cs="Times New Roman"/>
                <w:b/>
              </w:rPr>
            </w:pPr>
            <w:r w:rsidRPr="002045B8">
              <w:rPr>
                <w:rFonts w:ascii="Times New Roman" w:hAnsi="Times New Roman" w:cs="Times New Roman"/>
                <w:b/>
              </w:rPr>
              <w:t>24 nedjelje</w:t>
            </w:r>
          </w:p>
          <w:p w:rsidR="009C1E28" w:rsidRPr="002045B8" w:rsidRDefault="009C1E28" w:rsidP="009C1E28">
            <w:pPr>
              <w:keepNext/>
              <w:keepLines/>
              <w:spacing w:after="0"/>
              <w:jc w:val="both"/>
              <w:rPr>
                <w:rFonts w:ascii="Times New Roman" w:hAnsi="Times New Roman" w:cs="Times New Roman"/>
                <w:b/>
              </w:rPr>
            </w:pPr>
            <w:r w:rsidRPr="002045B8">
              <w:rPr>
                <w:rFonts w:ascii="Times New Roman" w:hAnsi="Times New Roman" w:cs="Times New Roman"/>
                <w:b/>
              </w:rPr>
              <w:t>(n=111)</w:t>
            </w:r>
          </w:p>
        </w:tc>
      </w:tr>
      <w:tr w:rsidR="009C1E28" w:rsidRPr="009C1E28" w:rsidTr="00DB57CE">
        <w:tc>
          <w:tcPr>
            <w:tcW w:w="2518" w:type="dxa"/>
            <w:gridSpan w:val="2"/>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SVR</w:t>
            </w:r>
          </w:p>
        </w:tc>
        <w:tc>
          <w:tcPr>
            <w:tcW w:w="1701"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94% (102/109)</w:t>
            </w:r>
          </w:p>
        </w:tc>
        <w:tc>
          <w:tcPr>
            <w:tcW w:w="1701"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96% (107/111)</w:t>
            </w:r>
          </w:p>
        </w:tc>
        <w:tc>
          <w:tcPr>
            <w:tcW w:w="1701"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99% (108/109)</w:t>
            </w:r>
          </w:p>
        </w:tc>
        <w:tc>
          <w:tcPr>
            <w:tcW w:w="2013"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99% (110/111)</w:t>
            </w:r>
          </w:p>
        </w:tc>
      </w:tr>
      <w:tr w:rsidR="009C1E28" w:rsidRPr="009C1E28" w:rsidTr="00DB57CE">
        <w:tc>
          <w:tcPr>
            <w:tcW w:w="9634" w:type="dxa"/>
            <w:gridSpan w:val="6"/>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i/>
              </w:rPr>
              <w:t>Ishod kod pacijenata bez SVR</w:t>
            </w:r>
          </w:p>
        </w:tc>
      </w:tr>
      <w:tr w:rsidR="009C1E28" w:rsidRPr="009C1E28" w:rsidTr="00DB57CE">
        <w:tc>
          <w:tcPr>
            <w:tcW w:w="265" w:type="dxa"/>
            <w:tcBorders>
              <w:right w:val="nil"/>
            </w:tcBorders>
          </w:tcPr>
          <w:p w:rsidR="009C1E28" w:rsidRPr="009C1E28" w:rsidRDefault="009C1E28" w:rsidP="009C1E28">
            <w:pPr>
              <w:keepNext/>
              <w:keepLines/>
              <w:spacing w:after="0"/>
              <w:jc w:val="both"/>
              <w:rPr>
                <w:rFonts w:ascii="Times New Roman" w:hAnsi="Times New Roman" w:cs="Times New Roman"/>
                <w:b/>
              </w:rPr>
            </w:pPr>
          </w:p>
        </w:tc>
        <w:tc>
          <w:tcPr>
            <w:tcW w:w="2253" w:type="dxa"/>
            <w:tcBorders>
              <w:left w:val="nil"/>
            </w:tcBorders>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Virusološki neuspjeh tokom terapije</w:t>
            </w:r>
          </w:p>
        </w:tc>
        <w:tc>
          <w:tcPr>
            <w:tcW w:w="1701"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0/109</w:t>
            </w:r>
          </w:p>
        </w:tc>
        <w:tc>
          <w:tcPr>
            <w:tcW w:w="1701"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0/111</w:t>
            </w:r>
          </w:p>
        </w:tc>
        <w:tc>
          <w:tcPr>
            <w:tcW w:w="1701"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0/109</w:t>
            </w:r>
          </w:p>
        </w:tc>
        <w:tc>
          <w:tcPr>
            <w:tcW w:w="2013"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&lt;1% (1/111)</w:t>
            </w:r>
          </w:p>
        </w:tc>
      </w:tr>
      <w:tr w:rsidR="009C1E28" w:rsidRPr="009C1E28" w:rsidTr="00DB57CE">
        <w:tc>
          <w:tcPr>
            <w:tcW w:w="265" w:type="dxa"/>
            <w:tcBorders>
              <w:right w:val="nil"/>
            </w:tcBorders>
          </w:tcPr>
          <w:p w:rsidR="009C1E28" w:rsidRPr="009C1E28" w:rsidRDefault="009C1E28" w:rsidP="009C1E28">
            <w:pPr>
              <w:keepNext/>
              <w:keepLines/>
              <w:spacing w:after="0"/>
              <w:jc w:val="both"/>
              <w:rPr>
                <w:rFonts w:ascii="Times New Roman" w:hAnsi="Times New Roman" w:cs="Times New Roman"/>
                <w:b/>
              </w:rPr>
            </w:pPr>
          </w:p>
        </w:tc>
        <w:tc>
          <w:tcPr>
            <w:tcW w:w="2253" w:type="dxa"/>
            <w:tcBorders>
              <w:left w:val="nil"/>
            </w:tcBorders>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Relaps</w:t>
            </w:r>
            <w:r w:rsidRPr="009C1E28">
              <w:rPr>
                <w:rFonts w:ascii="Times New Roman" w:hAnsi="Times New Roman" w:cs="Times New Roman"/>
                <w:vertAlign w:val="superscript"/>
              </w:rPr>
              <w:t>a</w:t>
            </w:r>
          </w:p>
        </w:tc>
        <w:tc>
          <w:tcPr>
            <w:tcW w:w="1701"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6% (7/108)</w:t>
            </w:r>
          </w:p>
        </w:tc>
        <w:tc>
          <w:tcPr>
            <w:tcW w:w="1701"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4% (4/111)</w:t>
            </w:r>
          </w:p>
        </w:tc>
        <w:tc>
          <w:tcPr>
            <w:tcW w:w="1701"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0/109</w:t>
            </w:r>
          </w:p>
        </w:tc>
        <w:tc>
          <w:tcPr>
            <w:tcW w:w="2013"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0/110</w:t>
            </w:r>
          </w:p>
        </w:tc>
      </w:tr>
      <w:tr w:rsidR="009C1E28" w:rsidRPr="009C1E28" w:rsidTr="00DB57CE">
        <w:tc>
          <w:tcPr>
            <w:tcW w:w="265" w:type="dxa"/>
            <w:tcBorders>
              <w:right w:val="nil"/>
            </w:tcBorders>
          </w:tcPr>
          <w:p w:rsidR="009C1E28" w:rsidRPr="009C1E28" w:rsidRDefault="009C1E28" w:rsidP="009C1E28">
            <w:pPr>
              <w:keepNext/>
              <w:keepLines/>
              <w:spacing w:after="0"/>
              <w:jc w:val="both"/>
              <w:rPr>
                <w:rFonts w:ascii="Times New Roman" w:hAnsi="Times New Roman" w:cs="Times New Roman"/>
                <w:b/>
              </w:rPr>
            </w:pPr>
          </w:p>
        </w:tc>
        <w:tc>
          <w:tcPr>
            <w:tcW w:w="2253" w:type="dxa"/>
            <w:tcBorders>
              <w:left w:val="nil"/>
            </w:tcBorders>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Drugo</w:t>
            </w:r>
            <w:r w:rsidRPr="009C1E28">
              <w:rPr>
                <w:rFonts w:ascii="Times New Roman" w:hAnsi="Times New Roman" w:cs="Times New Roman"/>
                <w:vertAlign w:val="superscript"/>
              </w:rPr>
              <w:t>b</w:t>
            </w:r>
          </w:p>
        </w:tc>
        <w:tc>
          <w:tcPr>
            <w:tcW w:w="1701"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0/109</w:t>
            </w:r>
          </w:p>
        </w:tc>
        <w:tc>
          <w:tcPr>
            <w:tcW w:w="1701"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0/111</w:t>
            </w:r>
          </w:p>
        </w:tc>
        <w:tc>
          <w:tcPr>
            <w:tcW w:w="1701"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&lt;1% (1/109)</w:t>
            </w:r>
          </w:p>
        </w:tc>
        <w:tc>
          <w:tcPr>
            <w:tcW w:w="2013"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0/111</w:t>
            </w:r>
          </w:p>
        </w:tc>
      </w:tr>
      <w:tr w:rsidR="009C1E28" w:rsidRPr="009C1E28" w:rsidTr="00DB57CE">
        <w:tc>
          <w:tcPr>
            <w:tcW w:w="9634" w:type="dxa"/>
            <w:gridSpan w:val="6"/>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i/>
              </w:rPr>
              <w:t>SVR stope za odabrane podgrupe</w:t>
            </w:r>
          </w:p>
        </w:tc>
      </w:tr>
      <w:tr w:rsidR="009C1E28" w:rsidRPr="009C1E28" w:rsidTr="00DB57CE">
        <w:tc>
          <w:tcPr>
            <w:tcW w:w="9634" w:type="dxa"/>
            <w:gridSpan w:val="6"/>
          </w:tcPr>
          <w:p w:rsidR="009C1E28" w:rsidRPr="009C1E28" w:rsidRDefault="009C1E28" w:rsidP="009C1E28">
            <w:pPr>
              <w:keepNext/>
              <w:keepLines/>
              <w:spacing w:after="0"/>
              <w:jc w:val="both"/>
              <w:rPr>
                <w:rFonts w:ascii="Times New Roman" w:hAnsi="Times New Roman" w:cs="Times New Roman"/>
                <w:b/>
                <w:i/>
              </w:rPr>
            </w:pPr>
            <w:r w:rsidRPr="009C1E28">
              <w:rPr>
                <w:rFonts w:ascii="Times New Roman" w:hAnsi="Times New Roman" w:cs="Times New Roman"/>
                <w:i/>
              </w:rPr>
              <w:t>Genotip</w:t>
            </w:r>
          </w:p>
        </w:tc>
      </w:tr>
      <w:tr w:rsidR="009C1E28" w:rsidRPr="009C1E28" w:rsidTr="00DB57CE">
        <w:tc>
          <w:tcPr>
            <w:tcW w:w="265" w:type="dxa"/>
            <w:tcBorders>
              <w:right w:val="nil"/>
            </w:tcBorders>
          </w:tcPr>
          <w:p w:rsidR="009C1E28" w:rsidRPr="009C1E28" w:rsidRDefault="009C1E28" w:rsidP="009C1E28">
            <w:pPr>
              <w:keepNext/>
              <w:keepLines/>
              <w:spacing w:after="0"/>
              <w:jc w:val="both"/>
              <w:rPr>
                <w:rFonts w:ascii="Times New Roman" w:hAnsi="Times New Roman" w:cs="Times New Roman"/>
                <w:b/>
              </w:rPr>
            </w:pPr>
          </w:p>
        </w:tc>
        <w:tc>
          <w:tcPr>
            <w:tcW w:w="2253" w:type="dxa"/>
            <w:tcBorders>
              <w:left w:val="nil"/>
            </w:tcBorders>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Genotip 1a</w:t>
            </w:r>
          </w:p>
        </w:tc>
        <w:tc>
          <w:tcPr>
            <w:tcW w:w="1701"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95% (82/86)</w:t>
            </w:r>
          </w:p>
        </w:tc>
        <w:tc>
          <w:tcPr>
            <w:tcW w:w="1701"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95% (84/88)</w:t>
            </w:r>
          </w:p>
        </w:tc>
        <w:tc>
          <w:tcPr>
            <w:tcW w:w="1701"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99% (84/85)</w:t>
            </w:r>
          </w:p>
        </w:tc>
        <w:tc>
          <w:tcPr>
            <w:tcW w:w="2013"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99% (87/88)</w:t>
            </w:r>
          </w:p>
        </w:tc>
      </w:tr>
      <w:tr w:rsidR="009C1E28" w:rsidRPr="009C1E28" w:rsidTr="00DB57CE">
        <w:tc>
          <w:tcPr>
            <w:tcW w:w="265" w:type="dxa"/>
            <w:tcBorders>
              <w:right w:val="nil"/>
            </w:tcBorders>
          </w:tcPr>
          <w:p w:rsidR="009C1E28" w:rsidRPr="009C1E28" w:rsidRDefault="009C1E28" w:rsidP="009C1E28">
            <w:pPr>
              <w:keepNext/>
              <w:keepLines/>
              <w:spacing w:after="0"/>
              <w:jc w:val="both"/>
              <w:rPr>
                <w:rFonts w:ascii="Times New Roman" w:hAnsi="Times New Roman" w:cs="Times New Roman"/>
                <w:b/>
              </w:rPr>
            </w:pPr>
          </w:p>
        </w:tc>
        <w:tc>
          <w:tcPr>
            <w:tcW w:w="2253" w:type="dxa"/>
            <w:tcBorders>
              <w:left w:val="nil"/>
            </w:tcBorders>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Genotip 1b</w:t>
            </w:r>
          </w:p>
        </w:tc>
        <w:tc>
          <w:tcPr>
            <w:tcW w:w="1701"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87% (20/23)</w:t>
            </w:r>
          </w:p>
        </w:tc>
        <w:tc>
          <w:tcPr>
            <w:tcW w:w="1701"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100% (23/23)</w:t>
            </w:r>
          </w:p>
        </w:tc>
        <w:tc>
          <w:tcPr>
            <w:tcW w:w="1701"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100% (24/24)</w:t>
            </w:r>
          </w:p>
        </w:tc>
        <w:tc>
          <w:tcPr>
            <w:tcW w:w="2013"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100% (23/23)</w:t>
            </w:r>
          </w:p>
        </w:tc>
      </w:tr>
      <w:tr w:rsidR="009C1E28" w:rsidRPr="009C1E28" w:rsidTr="00DB57CE">
        <w:tc>
          <w:tcPr>
            <w:tcW w:w="9634" w:type="dxa"/>
            <w:gridSpan w:val="6"/>
          </w:tcPr>
          <w:p w:rsidR="009C1E28" w:rsidRPr="009C1E28" w:rsidRDefault="009C1E28" w:rsidP="009C1E28">
            <w:pPr>
              <w:keepNext/>
              <w:keepLines/>
              <w:spacing w:after="0"/>
              <w:jc w:val="both"/>
              <w:rPr>
                <w:rFonts w:ascii="Times New Roman" w:hAnsi="Times New Roman" w:cs="Times New Roman"/>
                <w:b/>
                <w:i/>
              </w:rPr>
            </w:pPr>
            <w:r w:rsidRPr="009C1E28">
              <w:rPr>
                <w:rFonts w:ascii="Times New Roman" w:hAnsi="Times New Roman" w:cs="Times New Roman"/>
                <w:i/>
              </w:rPr>
              <w:t>Ciroza</w:t>
            </w:r>
          </w:p>
        </w:tc>
      </w:tr>
      <w:tr w:rsidR="009C1E28" w:rsidRPr="009C1E28" w:rsidTr="00DB57CE">
        <w:tc>
          <w:tcPr>
            <w:tcW w:w="265" w:type="dxa"/>
            <w:tcBorders>
              <w:right w:val="nil"/>
            </w:tcBorders>
          </w:tcPr>
          <w:p w:rsidR="009C1E28" w:rsidRPr="009C1E28" w:rsidRDefault="009C1E28" w:rsidP="009C1E28">
            <w:pPr>
              <w:keepNext/>
              <w:keepLines/>
              <w:spacing w:after="0"/>
              <w:jc w:val="both"/>
              <w:rPr>
                <w:rFonts w:ascii="Times New Roman" w:hAnsi="Times New Roman" w:cs="Times New Roman"/>
                <w:b/>
              </w:rPr>
            </w:pPr>
          </w:p>
        </w:tc>
        <w:tc>
          <w:tcPr>
            <w:tcW w:w="2253" w:type="dxa"/>
            <w:tcBorders>
              <w:left w:val="nil"/>
            </w:tcBorders>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Ne</w:t>
            </w:r>
          </w:p>
        </w:tc>
        <w:tc>
          <w:tcPr>
            <w:tcW w:w="1701"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95% (83/87)</w:t>
            </w:r>
          </w:p>
        </w:tc>
        <w:tc>
          <w:tcPr>
            <w:tcW w:w="1701"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100% (88/88)</w:t>
            </w:r>
            <w:r w:rsidRPr="009C1E28">
              <w:rPr>
                <w:rFonts w:ascii="Times New Roman" w:hAnsi="Times New Roman" w:cs="Times New Roman"/>
                <w:vertAlign w:val="superscript"/>
              </w:rPr>
              <w:t>c</w:t>
            </w:r>
          </w:p>
        </w:tc>
        <w:tc>
          <w:tcPr>
            <w:tcW w:w="1701"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99% (85/86)</w:t>
            </w:r>
            <w:r w:rsidRPr="009C1E28">
              <w:rPr>
                <w:rFonts w:ascii="Times New Roman" w:hAnsi="Times New Roman" w:cs="Times New Roman"/>
                <w:vertAlign w:val="superscript"/>
              </w:rPr>
              <w:t>c</w:t>
            </w:r>
          </w:p>
        </w:tc>
        <w:tc>
          <w:tcPr>
            <w:tcW w:w="2013"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99% (88/89)</w:t>
            </w:r>
          </w:p>
        </w:tc>
      </w:tr>
      <w:tr w:rsidR="009C1E28" w:rsidRPr="009C1E28" w:rsidTr="00DB57CE">
        <w:tc>
          <w:tcPr>
            <w:tcW w:w="265" w:type="dxa"/>
            <w:tcBorders>
              <w:right w:val="nil"/>
            </w:tcBorders>
          </w:tcPr>
          <w:p w:rsidR="009C1E28" w:rsidRPr="009C1E28" w:rsidRDefault="009C1E28" w:rsidP="009C1E28">
            <w:pPr>
              <w:keepNext/>
              <w:keepLines/>
              <w:spacing w:after="0"/>
              <w:jc w:val="both"/>
              <w:rPr>
                <w:rFonts w:ascii="Times New Roman" w:hAnsi="Times New Roman" w:cs="Times New Roman"/>
                <w:b/>
              </w:rPr>
            </w:pPr>
          </w:p>
        </w:tc>
        <w:tc>
          <w:tcPr>
            <w:tcW w:w="2253" w:type="dxa"/>
            <w:tcBorders>
              <w:left w:val="nil"/>
            </w:tcBorders>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Da</w:t>
            </w:r>
            <w:r w:rsidRPr="009C1E28">
              <w:rPr>
                <w:rFonts w:ascii="Times New Roman" w:hAnsi="Times New Roman" w:cs="Times New Roman"/>
                <w:vertAlign w:val="superscript"/>
              </w:rPr>
              <w:t>d</w:t>
            </w:r>
          </w:p>
        </w:tc>
        <w:tc>
          <w:tcPr>
            <w:tcW w:w="1701"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86% (19/22)</w:t>
            </w:r>
          </w:p>
        </w:tc>
        <w:tc>
          <w:tcPr>
            <w:tcW w:w="1701"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82% (18/22)</w:t>
            </w:r>
          </w:p>
        </w:tc>
        <w:tc>
          <w:tcPr>
            <w:tcW w:w="1701"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100% (22/22)</w:t>
            </w:r>
          </w:p>
        </w:tc>
        <w:tc>
          <w:tcPr>
            <w:tcW w:w="2013"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100% (22/22)</w:t>
            </w:r>
          </w:p>
        </w:tc>
      </w:tr>
      <w:tr w:rsidR="009C1E28" w:rsidRPr="009C1E28" w:rsidTr="00DB57CE">
        <w:tc>
          <w:tcPr>
            <w:tcW w:w="9634" w:type="dxa"/>
            <w:gridSpan w:val="6"/>
          </w:tcPr>
          <w:p w:rsidR="009C1E28" w:rsidRPr="009C1E28" w:rsidRDefault="009C1E28" w:rsidP="009C1E28">
            <w:pPr>
              <w:keepNext/>
              <w:keepLines/>
              <w:spacing w:after="0"/>
              <w:jc w:val="both"/>
              <w:rPr>
                <w:rFonts w:ascii="Times New Roman" w:hAnsi="Times New Roman" w:cs="Times New Roman"/>
                <w:b/>
                <w:i/>
              </w:rPr>
            </w:pPr>
            <w:r w:rsidRPr="009C1E28">
              <w:rPr>
                <w:rFonts w:ascii="Times New Roman" w:hAnsi="Times New Roman" w:cs="Times New Roman"/>
                <w:i/>
              </w:rPr>
              <w:t>Prethodna anti-HCV terapija</w:t>
            </w:r>
          </w:p>
        </w:tc>
      </w:tr>
      <w:tr w:rsidR="009C1E28" w:rsidRPr="009C1E28" w:rsidTr="00DB57CE">
        <w:tc>
          <w:tcPr>
            <w:tcW w:w="265" w:type="dxa"/>
            <w:tcBorders>
              <w:right w:val="nil"/>
            </w:tcBorders>
          </w:tcPr>
          <w:p w:rsidR="009C1E28" w:rsidRPr="009C1E28" w:rsidRDefault="009C1E28" w:rsidP="009C1E28">
            <w:pPr>
              <w:keepNext/>
              <w:keepLines/>
              <w:spacing w:after="0"/>
              <w:jc w:val="both"/>
              <w:rPr>
                <w:rFonts w:ascii="Times New Roman" w:hAnsi="Times New Roman" w:cs="Times New Roman"/>
                <w:b/>
              </w:rPr>
            </w:pPr>
          </w:p>
        </w:tc>
        <w:tc>
          <w:tcPr>
            <w:tcW w:w="2253" w:type="dxa"/>
            <w:tcBorders>
              <w:left w:val="nil"/>
            </w:tcBorders>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PEG</w:t>
            </w:r>
            <w:r w:rsidRPr="009C1E28">
              <w:rPr>
                <w:rFonts w:ascii="Times New Roman" w:hAnsi="Times New Roman" w:cs="Times New Roman"/>
              </w:rPr>
              <w:noBreakHyphen/>
              <w:t>IFN+RBV</w:t>
            </w:r>
          </w:p>
        </w:tc>
        <w:tc>
          <w:tcPr>
            <w:tcW w:w="1701"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93% (40/43)</w:t>
            </w:r>
          </w:p>
        </w:tc>
        <w:tc>
          <w:tcPr>
            <w:tcW w:w="1701"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96% (45/47)</w:t>
            </w:r>
          </w:p>
        </w:tc>
        <w:tc>
          <w:tcPr>
            <w:tcW w:w="1701"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100% (58/58)</w:t>
            </w:r>
          </w:p>
        </w:tc>
        <w:tc>
          <w:tcPr>
            <w:tcW w:w="2013"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98% (58/59)</w:t>
            </w:r>
          </w:p>
        </w:tc>
      </w:tr>
      <w:tr w:rsidR="009C1E28" w:rsidRPr="009C1E28" w:rsidTr="00DB57CE">
        <w:tc>
          <w:tcPr>
            <w:tcW w:w="265" w:type="dxa"/>
            <w:tcBorders>
              <w:right w:val="nil"/>
            </w:tcBorders>
          </w:tcPr>
          <w:p w:rsidR="009C1E28" w:rsidRPr="009C1E28" w:rsidRDefault="009C1E28" w:rsidP="009C1E28">
            <w:pPr>
              <w:keepNext/>
              <w:keepLines/>
              <w:spacing w:after="0"/>
              <w:jc w:val="both"/>
              <w:rPr>
                <w:rFonts w:ascii="Times New Roman" w:hAnsi="Times New Roman" w:cs="Times New Roman"/>
                <w:b/>
              </w:rPr>
            </w:pPr>
          </w:p>
        </w:tc>
        <w:tc>
          <w:tcPr>
            <w:tcW w:w="2253" w:type="dxa"/>
            <w:tcBorders>
              <w:left w:val="nil"/>
            </w:tcBorders>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Inhibitor HCV proteaze + PEG</w:t>
            </w:r>
            <w:r w:rsidRPr="009C1E28">
              <w:rPr>
                <w:rFonts w:ascii="Times New Roman" w:hAnsi="Times New Roman" w:cs="Times New Roman"/>
              </w:rPr>
              <w:noBreakHyphen/>
              <w:t>IFN+RBV</w:t>
            </w:r>
          </w:p>
        </w:tc>
        <w:tc>
          <w:tcPr>
            <w:tcW w:w="1701"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94% (62/66)</w:t>
            </w:r>
          </w:p>
        </w:tc>
        <w:tc>
          <w:tcPr>
            <w:tcW w:w="1701"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97% (62/64)</w:t>
            </w:r>
          </w:p>
        </w:tc>
        <w:tc>
          <w:tcPr>
            <w:tcW w:w="1701"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98% (49/50)</w:t>
            </w:r>
          </w:p>
        </w:tc>
        <w:tc>
          <w:tcPr>
            <w:tcW w:w="2013"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100% (51/51)</w:t>
            </w:r>
          </w:p>
        </w:tc>
      </w:tr>
    </w:tbl>
    <w:p w:rsidR="00DB57CE" w:rsidRDefault="00DB57CE" w:rsidP="009C1E28">
      <w:pPr>
        <w:keepNext/>
        <w:keepLines/>
        <w:spacing w:after="0"/>
        <w:jc w:val="both"/>
        <w:rPr>
          <w:rFonts w:ascii="Times New Roman" w:hAnsi="Times New Roman" w:cs="Times New Roman"/>
        </w:rPr>
      </w:pPr>
    </w:p>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a. Imenilac za relaps je broj pacijenata s HCV RNK &lt;LLOQ na njihovom posljednjem pregledu za vrijeme trajanja terapije.</w:t>
      </w:r>
    </w:p>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b. Drugo uključuje pacijente koji nijesu postigli SVR i nijesu zadovoljili kriterijume virusološkog neuspjeha (npr. izgubljeni za praćenje).</w:t>
      </w:r>
    </w:p>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c. Pacijenti bez podatka o statusu ciroze bili su isključeni iz analize ove podgrupe.</w:t>
      </w: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d. Metavir-rezultat = 4 ili rezultat po Ishaku ≥5 na biopsiji jetre ili rezultat FibroTesta &gt;0,75 i (APRI) &gt;2</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Tabela 15 prikazuje stope relapsa kod 12-nedjeljnih režima (sa ribavirinom ili bez njega) za odabrane podgrupe (vidjeti takođe prethodni odjeljak „Uticaj početnih varijanti HCV-a udruženih sa rezistencijom na ishod liječenja”). Pacijenti bez ciroze imali su relaps samo u prisustvu početnih NS5A RAV i tokom terapije ledipasvirom/sofosbuvirom bez ribavirina. Pacijenti sa cirozom imali su relaps uz oba režima, kao i u prisustvu i odsustvu početnih NS5A RAV.</w:t>
      </w:r>
    </w:p>
    <w:p w:rsidR="009C1E28" w:rsidRPr="009C1E28" w:rsidRDefault="009C1E28" w:rsidP="009C1E28">
      <w:pPr>
        <w:spacing w:after="0"/>
        <w:jc w:val="both"/>
        <w:rPr>
          <w:rFonts w:ascii="Times New Roman" w:hAnsi="Times New Roman" w:cs="Times New Roman"/>
          <w:b/>
        </w:rPr>
      </w:pPr>
    </w:p>
    <w:p w:rsidR="009C1E28" w:rsidRDefault="009C1E28" w:rsidP="009C1E28">
      <w:pPr>
        <w:keepNext/>
        <w:keepLines/>
        <w:spacing w:after="0"/>
        <w:jc w:val="both"/>
        <w:rPr>
          <w:rFonts w:ascii="Times New Roman" w:hAnsi="Times New Roman" w:cs="Times New Roman"/>
          <w:b/>
        </w:rPr>
      </w:pPr>
      <w:r w:rsidRPr="002045B8">
        <w:rPr>
          <w:rFonts w:ascii="Times New Roman" w:hAnsi="Times New Roman" w:cs="Times New Roman"/>
          <w:b/>
        </w:rPr>
        <w:lastRenderedPageBreak/>
        <w:t>Tabela 15: Stope relapsa za odabrane podgrupe u ispitivanju ION</w:t>
      </w:r>
      <w:r w:rsidRPr="002045B8">
        <w:rPr>
          <w:rFonts w:ascii="Times New Roman" w:hAnsi="Times New Roman" w:cs="Times New Roman"/>
          <w:b/>
        </w:rPr>
        <w:noBreakHyphen/>
        <w:t>2</w:t>
      </w:r>
    </w:p>
    <w:p w:rsidR="002045B8" w:rsidRPr="002045B8" w:rsidRDefault="002045B8" w:rsidP="009C1E28">
      <w:pPr>
        <w:keepNext/>
        <w:keepLines/>
        <w:spacing w:after="0"/>
        <w:jc w:val="both"/>
        <w:rPr>
          <w:rFonts w:ascii="Times New Roman" w:hAnsi="Times New Roman" w:cs="Times New Roman"/>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
        <w:gridCol w:w="2743"/>
        <w:gridCol w:w="1375"/>
        <w:gridCol w:w="1710"/>
        <w:gridCol w:w="1667"/>
        <w:gridCol w:w="1877"/>
      </w:tblGrid>
      <w:tr w:rsidR="009C1E28" w:rsidRPr="009C1E28" w:rsidTr="00DB57CE">
        <w:tc>
          <w:tcPr>
            <w:tcW w:w="3005" w:type="dxa"/>
            <w:gridSpan w:val="2"/>
          </w:tcPr>
          <w:p w:rsidR="009C1E28" w:rsidRPr="009C1E28" w:rsidRDefault="009C1E28" w:rsidP="009C1E28">
            <w:pPr>
              <w:keepNext/>
              <w:keepLines/>
              <w:spacing w:after="0"/>
              <w:jc w:val="both"/>
              <w:rPr>
                <w:rFonts w:ascii="Times New Roman" w:hAnsi="Times New Roman" w:cs="Times New Roman"/>
              </w:rPr>
            </w:pPr>
          </w:p>
        </w:tc>
        <w:tc>
          <w:tcPr>
            <w:tcW w:w="1375" w:type="dxa"/>
          </w:tcPr>
          <w:p w:rsidR="009C1E28" w:rsidRPr="009C1E28" w:rsidRDefault="009C1E28" w:rsidP="009C1E28">
            <w:pPr>
              <w:keepNext/>
              <w:keepLines/>
              <w:spacing w:after="0"/>
              <w:jc w:val="both"/>
              <w:rPr>
                <w:rFonts w:ascii="Times New Roman" w:hAnsi="Times New Roman" w:cs="Times New Roman"/>
              </w:rPr>
            </w:pPr>
            <w:r w:rsidRPr="009C1E28">
              <w:rPr>
                <w:rFonts w:ascii="Times New Roman" w:hAnsi="Times New Roman" w:cs="Times New Roman"/>
              </w:rPr>
              <w:t>LDV/SOF</w:t>
            </w:r>
          </w:p>
          <w:p w:rsidR="009C1E28" w:rsidRPr="009C1E28" w:rsidRDefault="009C1E28" w:rsidP="009C1E28">
            <w:pPr>
              <w:keepNext/>
              <w:keepLines/>
              <w:spacing w:after="0"/>
              <w:jc w:val="both"/>
              <w:rPr>
                <w:rFonts w:ascii="Times New Roman" w:hAnsi="Times New Roman" w:cs="Times New Roman"/>
              </w:rPr>
            </w:pPr>
            <w:r w:rsidRPr="009C1E28">
              <w:rPr>
                <w:rFonts w:ascii="Times New Roman" w:hAnsi="Times New Roman" w:cs="Times New Roman"/>
              </w:rPr>
              <w:t>12 nedjelja</w:t>
            </w:r>
          </w:p>
          <w:p w:rsidR="009C1E28" w:rsidRPr="009C1E28" w:rsidRDefault="009C1E28" w:rsidP="009C1E28">
            <w:pPr>
              <w:keepNext/>
              <w:keepLines/>
              <w:spacing w:after="0"/>
              <w:jc w:val="both"/>
              <w:rPr>
                <w:rFonts w:ascii="Times New Roman" w:hAnsi="Times New Roman" w:cs="Times New Roman"/>
              </w:rPr>
            </w:pPr>
            <w:r w:rsidRPr="009C1E28">
              <w:rPr>
                <w:rFonts w:ascii="Times New Roman" w:hAnsi="Times New Roman" w:cs="Times New Roman"/>
              </w:rPr>
              <w:t>(n=109)</w:t>
            </w:r>
          </w:p>
        </w:tc>
        <w:tc>
          <w:tcPr>
            <w:tcW w:w="1710" w:type="dxa"/>
          </w:tcPr>
          <w:p w:rsidR="009C1E28" w:rsidRPr="009C1E28" w:rsidRDefault="009C1E28" w:rsidP="009C1E28">
            <w:pPr>
              <w:keepNext/>
              <w:keepLines/>
              <w:spacing w:after="0"/>
              <w:jc w:val="both"/>
              <w:rPr>
                <w:rFonts w:ascii="Times New Roman" w:hAnsi="Times New Roman" w:cs="Times New Roman"/>
              </w:rPr>
            </w:pPr>
            <w:r w:rsidRPr="009C1E28">
              <w:rPr>
                <w:rFonts w:ascii="Times New Roman" w:hAnsi="Times New Roman" w:cs="Times New Roman"/>
              </w:rPr>
              <w:t>LDV/SOF+RBV</w:t>
            </w:r>
          </w:p>
          <w:p w:rsidR="009C1E28" w:rsidRPr="009C1E28" w:rsidRDefault="009C1E28" w:rsidP="009C1E28">
            <w:pPr>
              <w:keepNext/>
              <w:keepLines/>
              <w:spacing w:after="0"/>
              <w:jc w:val="both"/>
              <w:rPr>
                <w:rFonts w:ascii="Times New Roman" w:hAnsi="Times New Roman" w:cs="Times New Roman"/>
              </w:rPr>
            </w:pPr>
            <w:r w:rsidRPr="009C1E28">
              <w:rPr>
                <w:rFonts w:ascii="Times New Roman" w:hAnsi="Times New Roman" w:cs="Times New Roman"/>
              </w:rPr>
              <w:t>12 nedjelja</w:t>
            </w:r>
          </w:p>
          <w:p w:rsidR="009C1E28" w:rsidRPr="009C1E28" w:rsidRDefault="009C1E28" w:rsidP="009C1E28">
            <w:pPr>
              <w:keepNext/>
              <w:keepLines/>
              <w:spacing w:after="0"/>
              <w:jc w:val="both"/>
              <w:rPr>
                <w:rFonts w:ascii="Times New Roman" w:hAnsi="Times New Roman" w:cs="Times New Roman"/>
              </w:rPr>
            </w:pPr>
            <w:r w:rsidRPr="009C1E28">
              <w:rPr>
                <w:rFonts w:ascii="Times New Roman" w:hAnsi="Times New Roman" w:cs="Times New Roman"/>
              </w:rPr>
              <w:t>(n=111)</w:t>
            </w:r>
          </w:p>
        </w:tc>
        <w:tc>
          <w:tcPr>
            <w:tcW w:w="1667" w:type="dxa"/>
          </w:tcPr>
          <w:p w:rsidR="009C1E28" w:rsidRPr="009C1E28" w:rsidRDefault="009C1E28" w:rsidP="009C1E28">
            <w:pPr>
              <w:keepNext/>
              <w:keepLines/>
              <w:spacing w:after="0"/>
              <w:jc w:val="both"/>
              <w:rPr>
                <w:rFonts w:ascii="Times New Roman" w:hAnsi="Times New Roman" w:cs="Times New Roman"/>
              </w:rPr>
            </w:pPr>
            <w:r w:rsidRPr="009C1E28">
              <w:rPr>
                <w:rFonts w:ascii="Times New Roman" w:hAnsi="Times New Roman" w:cs="Times New Roman"/>
              </w:rPr>
              <w:t>LDV/SOF</w:t>
            </w:r>
          </w:p>
          <w:p w:rsidR="009C1E28" w:rsidRPr="009C1E28" w:rsidRDefault="009C1E28" w:rsidP="009C1E28">
            <w:pPr>
              <w:keepNext/>
              <w:keepLines/>
              <w:spacing w:after="0"/>
              <w:jc w:val="both"/>
              <w:rPr>
                <w:rFonts w:ascii="Times New Roman" w:hAnsi="Times New Roman" w:cs="Times New Roman"/>
              </w:rPr>
            </w:pPr>
            <w:r w:rsidRPr="009C1E28">
              <w:rPr>
                <w:rFonts w:ascii="Times New Roman" w:hAnsi="Times New Roman" w:cs="Times New Roman"/>
              </w:rPr>
              <w:t>24 nedjelje</w:t>
            </w:r>
          </w:p>
          <w:p w:rsidR="009C1E28" w:rsidRPr="009C1E28" w:rsidRDefault="009C1E28" w:rsidP="009C1E28">
            <w:pPr>
              <w:keepNext/>
              <w:keepLines/>
              <w:spacing w:after="0"/>
              <w:jc w:val="both"/>
              <w:rPr>
                <w:rFonts w:ascii="Times New Roman" w:hAnsi="Times New Roman" w:cs="Times New Roman"/>
              </w:rPr>
            </w:pPr>
            <w:r w:rsidRPr="009C1E28">
              <w:rPr>
                <w:rFonts w:ascii="Times New Roman" w:hAnsi="Times New Roman" w:cs="Times New Roman"/>
              </w:rPr>
              <w:t>(n=109)</w:t>
            </w:r>
          </w:p>
        </w:tc>
        <w:tc>
          <w:tcPr>
            <w:tcW w:w="1877" w:type="dxa"/>
          </w:tcPr>
          <w:p w:rsidR="009C1E28" w:rsidRPr="009C1E28" w:rsidRDefault="009C1E28" w:rsidP="009C1E28">
            <w:pPr>
              <w:keepNext/>
              <w:keepLines/>
              <w:spacing w:after="0"/>
              <w:jc w:val="both"/>
              <w:rPr>
                <w:rFonts w:ascii="Times New Roman" w:hAnsi="Times New Roman" w:cs="Times New Roman"/>
              </w:rPr>
            </w:pPr>
            <w:r w:rsidRPr="009C1E28">
              <w:rPr>
                <w:rFonts w:ascii="Times New Roman" w:hAnsi="Times New Roman" w:cs="Times New Roman"/>
              </w:rPr>
              <w:t>LDV/SOF+RBV</w:t>
            </w:r>
          </w:p>
          <w:p w:rsidR="009C1E28" w:rsidRPr="009C1E28" w:rsidRDefault="009C1E28" w:rsidP="009C1E28">
            <w:pPr>
              <w:keepNext/>
              <w:keepLines/>
              <w:spacing w:after="0"/>
              <w:jc w:val="both"/>
              <w:rPr>
                <w:rFonts w:ascii="Times New Roman" w:hAnsi="Times New Roman" w:cs="Times New Roman"/>
              </w:rPr>
            </w:pPr>
            <w:r w:rsidRPr="009C1E28">
              <w:rPr>
                <w:rFonts w:ascii="Times New Roman" w:hAnsi="Times New Roman" w:cs="Times New Roman"/>
              </w:rPr>
              <w:t>24 nedjelje</w:t>
            </w:r>
          </w:p>
          <w:p w:rsidR="009C1E28" w:rsidRPr="009C1E28" w:rsidRDefault="009C1E28" w:rsidP="009C1E28">
            <w:pPr>
              <w:keepNext/>
              <w:keepLines/>
              <w:spacing w:after="0"/>
              <w:jc w:val="both"/>
              <w:rPr>
                <w:rFonts w:ascii="Times New Roman" w:hAnsi="Times New Roman" w:cs="Times New Roman"/>
              </w:rPr>
            </w:pPr>
            <w:r w:rsidRPr="009C1E28">
              <w:rPr>
                <w:rFonts w:ascii="Times New Roman" w:hAnsi="Times New Roman" w:cs="Times New Roman"/>
              </w:rPr>
              <w:t>(n=111)</w:t>
            </w:r>
          </w:p>
        </w:tc>
      </w:tr>
      <w:tr w:rsidR="009C1E28" w:rsidRPr="009C1E28" w:rsidTr="00DB57CE">
        <w:tc>
          <w:tcPr>
            <w:tcW w:w="3005" w:type="dxa"/>
            <w:gridSpan w:val="2"/>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Broj pacijenata kod kojih je postignuta reakcija na kraju liječenja</w:t>
            </w:r>
          </w:p>
        </w:tc>
        <w:tc>
          <w:tcPr>
            <w:tcW w:w="1375"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108</w:t>
            </w:r>
          </w:p>
        </w:tc>
        <w:tc>
          <w:tcPr>
            <w:tcW w:w="1710"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111</w:t>
            </w:r>
          </w:p>
        </w:tc>
        <w:tc>
          <w:tcPr>
            <w:tcW w:w="1667"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109</w:t>
            </w:r>
          </w:p>
        </w:tc>
        <w:tc>
          <w:tcPr>
            <w:tcW w:w="1877"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110</w:t>
            </w:r>
          </w:p>
        </w:tc>
      </w:tr>
      <w:tr w:rsidR="009C1E28" w:rsidRPr="009C1E28" w:rsidTr="00DB57CE">
        <w:tc>
          <w:tcPr>
            <w:tcW w:w="9634" w:type="dxa"/>
            <w:gridSpan w:val="6"/>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i/>
              </w:rPr>
              <w:t>Ciroza</w:t>
            </w:r>
          </w:p>
        </w:tc>
      </w:tr>
      <w:tr w:rsidR="009C1E28" w:rsidRPr="009C1E28" w:rsidTr="00DB57CE">
        <w:trPr>
          <w:trHeight w:val="218"/>
        </w:trPr>
        <w:tc>
          <w:tcPr>
            <w:tcW w:w="262" w:type="dxa"/>
            <w:tcBorders>
              <w:right w:val="nil"/>
            </w:tcBorders>
          </w:tcPr>
          <w:p w:rsidR="009C1E28" w:rsidRPr="009C1E28" w:rsidRDefault="009C1E28" w:rsidP="009C1E28">
            <w:pPr>
              <w:keepNext/>
              <w:keepLines/>
              <w:spacing w:after="0"/>
              <w:jc w:val="both"/>
              <w:rPr>
                <w:rFonts w:ascii="Times New Roman" w:hAnsi="Times New Roman" w:cs="Times New Roman"/>
                <w:b/>
              </w:rPr>
            </w:pPr>
          </w:p>
        </w:tc>
        <w:tc>
          <w:tcPr>
            <w:tcW w:w="2743" w:type="dxa"/>
            <w:tcBorders>
              <w:left w:val="nil"/>
            </w:tcBorders>
          </w:tcPr>
          <w:p w:rsidR="009C1E28" w:rsidRPr="009C1E28" w:rsidRDefault="009C1E28" w:rsidP="009C1E28">
            <w:pPr>
              <w:pStyle w:val="Text1"/>
              <w:keepNext/>
              <w:keepLines/>
              <w:spacing w:after="0"/>
              <w:jc w:val="both"/>
              <w:rPr>
                <w:sz w:val="22"/>
                <w:szCs w:val="22"/>
              </w:rPr>
            </w:pPr>
            <w:r w:rsidRPr="009C1E28">
              <w:rPr>
                <w:sz w:val="22"/>
                <w:szCs w:val="22"/>
              </w:rPr>
              <w:t>Ne</w:t>
            </w:r>
          </w:p>
        </w:tc>
        <w:tc>
          <w:tcPr>
            <w:tcW w:w="1375" w:type="dxa"/>
          </w:tcPr>
          <w:p w:rsidR="009C1E28" w:rsidRPr="009C1E28" w:rsidRDefault="009C1E28" w:rsidP="009C1E28">
            <w:pPr>
              <w:pStyle w:val="Text1"/>
              <w:keepNext/>
              <w:keepLines/>
              <w:spacing w:after="0"/>
              <w:jc w:val="both"/>
              <w:rPr>
                <w:sz w:val="22"/>
                <w:szCs w:val="22"/>
              </w:rPr>
            </w:pPr>
            <w:r w:rsidRPr="009C1E28">
              <w:rPr>
                <w:sz w:val="22"/>
                <w:szCs w:val="22"/>
              </w:rPr>
              <w:t>5% (4/86)</w:t>
            </w:r>
            <w:r w:rsidRPr="009C1E28">
              <w:rPr>
                <w:sz w:val="22"/>
                <w:szCs w:val="22"/>
                <w:vertAlign w:val="superscript"/>
              </w:rPr>
              <w:t>a</w:t>
            </w:r>
          </w:p>
        </w:tc>
        <w:tc>
          <w:tcPr>
            <w:tcW w:w="1710" w:type="dxa"/>
          </w:tcPr>
          <w:p w:rsidR="009C1E28" w:rsidRPr="009C1E28" w:rsidRDefault="009C1E28" w:rsidP="009C1E28">
            <w:pPr>
              <w:pStyle w:val="Text1"/>
              <w:keepNext/>
              <w:keepLines/>
              <w:spacing w:after="0"/>
              <w:jc w:val="both"/>
              <w:rPr>
                <w:sz w:val="22"/>
                <w:szCs w:val="22"/>
              </w:rPr>
            </w:pPr>
            <w:r w:rsidRPr="009C1E28">
              <w:rPr>
                <w:sz w:val="22"/>
                <w:szCs w:val="22"/>
              </w:rPr>
              <w:t>0% (0/88)</w:t>
            </w:r>
            <w:r w:rsidRPr="009C1E28">
              <w:rPr>
                <w:sz w:val="22"/>
                <w:szCs w:val="22"/>
                <w:vertAlign w:val="superscript"/>
              </w:rPr>
              <w:t>b</w:t>
            </w:r>
          </w:p>
        </w:tc>
        <w:tc>
          <w:tcPr>
            <w:tcW w:w="1667" w:type="dxa"/>
          </w:tcPr>
          <w:p w:rsidR="009C1E28" w:rsidRPr="009C1E28" w:rsidRDefault="009C1E28" w:rsidP="009C1E28">
            <w:pPr>
              <w:pStyle w:val="Text1"/>
              <w:keepNext/>
              <w:keepLines/>
              <w:spacing w:after="0"/>
              <w:jc w:val="both"/>
              <w:rPr>
                <w:sz w:val="22"/>
                <w:szCs w:val="22"/>
              </w:rPr>
            </w:pPr>
            <w:r w:rsidRPr="009C1E28">
              <w:rPr>
                <w:sz w:val="22"/>
                <w:szCs w:val="22"/>
              </w:rPr>
              <w:t>0% (0/86)</w:t>
            </w:r>
            <w:r w:rsidRPr="009C1E28">
              <w:rPr>
                <w:sz w:val="22"/>
                <w:szCs w:val="22"/>
                <w:vertAlign w:val="superscript"/>
              </w:rPr>
              <w:t>b</w:t>
            </w:r>
          </w:p>
        </w:tc>
        <w:tc>
          <w:tcPr>
            <w:tcW w:w="1877" w:type="dxa"/>
          </w:tcPr>
          <w:p w:rsidR="009C1E28" w:rsidRPr="009C1E28" w:rsidRDefault="009C1E28" w:rsidP="009C1E28">
            <w:pPr>
              <w:pStyle w:val="Text1"/>
              <w:keepNext/>
              <w:keepLines/>
              <w:spacing w:after="0"/>
              <w:jc w:val="both"/>
              <w:rPr>
                <w:sz w:val="22"/>
                <w:szCs w:val="22"/>
              </w:rPr>
            </w:pPr>
            <w:r w:rsidRPr="009C1E28">
              <w:rPr>
                <w:sz w:val="22"/>
                <w:szCs w:val="22"/>
              </w:rPr>
              <w:t>0% (0/88)</w:t>
            </w:r>
          </w:p>
        </w:tc>
      </w:tr>
      <w:tr w:rsidR="009C1E28" w:rsidRPr="009C1E28" w:rsidTr="00DB57CE">
        <w:tc>
          <w:tcPr>
            <w:tcW w:w="262" w:type="dxa"/>
            <w:tcBorders>
              <w:right w:val="nil"/>
            </w:tcBorders>
          </w:tcPr>
          <w:p w:rsidR="009C1E28" w:rsidRPr="009C1E28" w:rsidRDefault="009C1E28" w:rsidP="009C1E28">
            <w:pPr>
              <w:keepNext/>
              <w:keepLines/>
              <w:spacing w:after="0"/>
              <w:jc w:val="both"/>
              <w:rPr>
                <w:rFonts w:ascii="Times New Roman" w:hAnsi="Times New Roman" w:cs="Times New Roman"/>
                <w:b/>
              </w:rPr>
            </w:pPr>
          </w:p>
        </w:tc>
        <w:tc>
          <w:tcPr>
            <w:tcW w:w="2743" w:type="dxa"/>
            <w:tcBorders>
              <w:left w:val="nil"/>
            </w:tcBorders>
          </w:tcPr>
          <w:p w:rsidR="009C1E28" w:rsidRPr="009C1E28" w:rsidRDefault="009C1E28" w:rsidP="009C1E28">
            <w:pPr>
              <w:pStyle w:val="Text1"/>
              <w:keepNext/>
              <w:keepLines/>
              <w:spacing w:after="0"/>
              <w:jc w:val="both"/>
              <w:rPr>
                <w:sz w:val="22"/>
                <w:szCs w:val="22"/>
              </w:rPr>
            </w:pPr>
            <w:r w:rsidRPr="009C1E28">
              <w:rPr>
                <w:sz w:val="22"/>
                <w:szCs w:val="22"/>
              </w:rPr>
              <w:t>Da</w:t>
            </w:r>
          </w:p>
        </w:tc>
        <w:tc>
          <w:tcPr>
            <w:tcW w:w="1375" w:type="dxa"/>
          </w:tcPr>
          <w:p w:rsidR="009C1E28" w:rsidRPr="009C1E28" w:rsidRDefault="009C1E28" w:rsidP="009C1E28">
            <w:pPr>
              <w:pStyle w:val="Text1"/>
              <w:keepNext/>
              <w:keepLines/>
              <w:spacing w:after="0"/>
              <w:jc w:val="both"/>
              <w:rPr>
                <w:sz w:val="22"/>
                <w:szCs w:val="22"/>
              </w:rPr>
            </w:pPr>
            <w:r w:rsidRPr="009C1E28">
              <w:rPr>
                <w:sz w:val="22"/>
                <w:szCs w:val="22"/>
              </w:rPr>
              <w:t>14% (3/22)</w:t>
            </w:r>
          </w:p>
        </w:tc>
        <w:tc>
          <w:tcPr>
            <w:tcW w:w="1710" w:type="dxa"/>
          </w:tcPr>
          <w:p w:rsidR="009C1E28" w:rsidRPr="009C1E28" w:rsidRDefault="009C1E28" w:rsidP="009C1E28">
            <w:pPr>
              <w:pStyle w:val="Text1"/>
              <w:keepNext/>
              <w:keepLines/>
              <w:spacing w:after="0"/>
              <w:jc w:val="both"/>
              <w:rPr>
                <w:sz w:val="22"/>
                <w:szCs w:val="22"/>
              </w:rPr>
            </w:pPr>
            <w:r w:rsidRPr="009C1E28">
              <w:rPr>
                <w:sz w:val="22"/>
                <w:szCs w:val="22"/>
              </w:rPr>
              <w:t>18% (4/22)</w:t>
            </w:r>
          </w:p>
        </w:tc>
        <w:tc>
          <w:tcPr>
            <w:tcW w:w="1667" w:type="dxa"/>
          </w:tcPr>
          <w:p w:rsidR="009C1E28" w:rsidRPr="009C1E28" w:rsidRDefault="009C1E28" w:rsidP="009C1E28">
            <w:pPr>
              <w:pStyle w:val="Text1"/>
              <w:keepNext/>
              <w:keepLines/>
              <w:spacing w:after="0"/>
              <w:jc w:val="both"/>
              <w:rPr>
                <w:sz w:val="22"/>
                <w:szCs w:val="22"/>
              </w:rPr>
            </w:pPr>
            <w:r w:rsidRPr="009C1E28">
              <w:rPr>
                <w:sz w:val="22"/>
                <w:szCs w:val="22"/>
              </w:rPr>
              <w:t>0% (0/22)</w:t>
            </w:r>
          </w:p>
        </w:tc>
        <w:tc>
          <w:tcPr>
            <w:tcW w:w="1877" w:type="dxa"/>
          </w:tcPr>
          <w:p w:rsidR="009C1E28" w:rsidRPr="009C1E28" w:rsidRDefault="009C1E28" w:rsidP="009C1E28">
            <w:pPr>
              <w:pStyle w:val="Text1"/>
              <w:keepNext/>
              <w:keepLines/>
              <w:spacing w:after="0"/>
              <w:jc w:val="both"/>
              <w:rPr>
                <w:sz w:val="22"/>
                <w:szCs w:val="22"/>
              </w:rPr>
            </w:pPr>
            <w:r w:rsidRPr="009C1E28">
              <w:rPr>
                <w:sz w:val="22"/>
                <w:szCs w:val="22"/>
              </w:rPr>
              <w:t>0% (0/22)</w:t>
            </w:r>
          </w:p>
        </w:tc>
      </w:tr>
      <w:tr w:rsidR="009C1E28" w:rsidRPr="009C1E28" w:rsidTr="00DB57CE">
        <w:tc>
          <w:tcPr>
            <w:tcW w:w="9634" w:type="dxa"/>
            <w:gridSpan w:val="6"/>
          </w:tcPr>
          <w:p w:rsidR="009C1E28" w:rsidRPr="009C1E28" w:rsidRDefault="009C1E28" w:rsidP="009C1E28">
            <w:pPr>
              <w:pStyle w:val="Text1"/>
              <w:keepNext/>
              <w:keepLines/>
              <w:spacing w:after="0"/>
              <w:jc w:val="both"/>
              <w:rPr>
                <w:sz w:val="22"/>
                <w:szCs w:val="22"/>
              </w:rPr>
            </w:pPr>
            <w:r w:rsidRPr="009C1E28">
              <w:rPr>
                <w:i/>
                <w:sz w:val="22"/>
                <w:szCs w:val="22"/>
              </w:rPr>
              <w:t>Prisustvo početnih supstitucija u NS5A povezanih sa rezistencijom</w:t>
            </w:r>
            <w:r w:rsidRPr="009C1E28">
              <w:rPr>
                <w:i/>
                <w:sz w:val="22"/>
                <w:szCs w:val="22"/>
                <w:vertAlign w:val="superscript"/>
              </w:rPr>
              <w:t>c</w:t>
            </w:r>
          </w:p>
        </w:tc>
      </w:tr>
      <w:tr w:rsidR="009C1E28" w:rsidRPr="009C1E28" w:rsidTr="00DB57CE">
        <w:tc>
          <w:tcPr>
            <w:tcW w:w="262" w:type="dxa"/>
            <w:tcBorders>
              <w:right w:val="nil"/>
            </w:tcBorders>
          </w:tcPr>
          <w:p w:rsidR="009C1E28" w:rsidRPr="009C1E28" w:rsidRDefault="009C1E28" w:rsidP="009C1E28">
            <w:pPr>
              <w:keepNext/>
              <w:keepLines/>
              <w:spacing w:after="0"/>
              <w:jc w:val="both"/>
              <w:rPr>
                <w:rFonts w:ascii="Times New Roman" w:hAnsi="Times New Roman" w:cs="Times New Roman"/>
                <w:b/>
              </w:rPr>
            </w:pPr>
          </w:p>
        </w:tc>
        <w:tc>
          <w:tcPr>
            <w:tcW w:w="2743" w:type="dxa"/>
            <w:tcBorders>
              <w:left w:val="nil"/>
            </w:tcBorders>
          </w:tcPr>
          <w:p w:rsidR="009C1E28" w:rsidRPr="009C1E28" w:rsidRDefault="009C1E28" w:rsidP="009C1E28">
            <w:pPr>
              <w:pStyle w:val="Text1"/>
              <w:keepNext/>
              <w:keepLines/>
              <w:spacing w:after="0"/>
              <w:jc w:val="both"/>
              <w:rPr>
                <w:sz w:val="22"/>
                <w:szCs w:val="22"/>
              </w:rPr>
            </w:pPr>
            <w:r w:rsidRPr="009C1E28">
              <w:rPr>
                <w:sz w:val="22"/>
                <w:szCs w:val="22"/>
              </w:rPr>
              <w:t>Ne</w:t>
            </w:r>
          </w:p>
        </w:tc>
        <w:tc>
          <w:tcPr>
            <w:tcW w:w="1375" w:type="dxa"/>
          </w:tcPr>
          <w:p w:rsidR="009C1E28" w:rsidRPr="009C1E28" w:rsidRDefault="009C1E28" w:rsidP="009C1E28">
            <w:pPr>
              <w:pStyle w:val="Text1"/>
              <w:keepNext/>
              <w:keepLines/>
              <w:spacing w:after="0"/>
              <w:jc w:val="both"/>
              <w:rPr>
                <w:sz w:val="22"/>
                <w:szCs w:val="22"/>
              </w:rPr>
            </w:pPr>
            <w:r w:rsidRPr="009C1E28">
              <w:rPr>
                <w:sz w:val="22"/>
                <w:szCs w:val="22"/>
              </w:rPr>
              <w:t>3% (3/91)</w:t>
            </w:r>
            <w:r w:rsidRPr="009C1E28">
              <w:rPr>
                <w:sz w:val="22"/>
                <w:szCs w:val="22"/>
                <w:vertAlign w:val="superscript"/>
              </w:rPr>
              <w:t>d</w:t>
            </w:r>
          </w:p>
        </w:tc>
        <w:tc>
          <w:tcPr>
            <w:tcW w:w="1710" w:type="dxa"/>
          </w:tcPr>
          <w:p w:rsidR="009C1E28" w:rsidRPr="009C1E28" w:rsidRDefault="009C1E28" w:rsidP="009C1E28">
            <w:pPr>
              <w:pStyle w:val="Text1"/>
              <w:keepNext/>
              <w:keepLines/>
              <w:spacing w:after="0"/>
              <w:jc w:val="both"/>
              <w:rPr>
                <w:sz w:val="22"/>
                <w:szCs w:val="22"/>
              </w:rPr>
            </w:pPr>
            <w:r w:rsidRPr="009C1E28">
              <w:rPr>
                <w:sz w:val="22"/>
                <w:szCs w:val="22"/>
              </w:rPr>
              <w:t>2% (2/94)</w:t>
            </w:r>
          </w:p>
        </w:tc>
        <w:tc>
          <w:tcPr>
            <w:tcW w:w="1667" w:type="dxa"/>
          </w:tcPr>
          <w:p w:rsidR="009C1E28" w:rsidRPr="009C1E28" w:rsidRDefault="009C1E28" w:rsidP="009C1E28">
            <w:pPr>
              <w:pStyle w:val="Text1"/>
              <w:keepNext/>
              <w:keepLines/>
              <w:spacing w:after="0"/>
              <w:jc w:val="both"/>
              <w:rPr>
                <w:sz w:val="22"/>
                <w:szCs w:val="22"/>
              </w:rPr>
            </w:pPr>
            <w:r w:rsidRPr="009C1E28">
              <w:rPr>
                <w:sz w:val="22"/>
                <w:szCs w:val="22"/>
              </w:rPr>
              <w:t>0% (0/96)</w:t>
            </w:r>
          </w:p>
        </w:tc>
        <w:tc>
          <w:tcPr>
            <w:tcW w:w="1877" w:type="dxa"/>
          </w:tcPr>
          <w:p w:rsidR="009C1E28" w:rsidRPr="009C1E28" w:rsidRDefault="009C1E28" w:rsidP="009C1E28">
            <w:pPr>
              <w:pStyle w:val="Text1"/>
              <w:keepNext/>
              <w:keepLines/>
              <w:spacing w:after="0"/>
              <w:jc w:val="both"/>
              <w:rPr>
                <w:sz w:val="22"/>
                <w:szCs w:val="22"/>
              </w:rPr>
            </w:pPr>
            <w:r w:rsidRPr="009C1E28">
              <w:rPr>
                <w:sz w:val="22"/>
                <w:szCs w:val="22"/>
              </w:rPr>
              <w:t>0% (0/95)</w:t>
            </w:r>
            <w:r w:rsidRPr="009C1E28">
              <w:rPr>
                <w:sz w:val="22"/>
                <w:szCs w:val="22"/>
                <w:vertAlign w:val="superscript"/>
              </w:rPr>
              <w:t>f</w:t>
            </w:r>
          </w:p>
        </w:tc>
      </w:tr>
      <w:tr w:rsidR="009C1E28" w:rsidRPr="009C1E28" w:rsidTr="00DB57CE">
        <w:tc>
          <w:tcPr>
            <w:tcW w:w="262" w:type="dxa"/>
            <w:tcBorders>
              <w:right w:val="nil"/>
            </w:tcBorders>
          </w:tcPr>
          <w:p w:rsidR="009C1E28" w:rsidRPr="009C1E28" w:rsidRDefault="009C1E28" w:rsidP="009C1E28">
            <w:pPr>
              <w:keepNext/>
              <w:keepLines/>
              <w:spacing w:after="0"/>
              <w:jc w:val="both"/>
              <w:rPr>
                <w:rFonts w:ascii="Times New Roman" w:hAnsi="Times New Roman" w:cs="Times New Roman"/>
                <w:b/>
              </w:rPr>
            </w:pPr>
          </w:p>
        </w:tc>
        <w:tc>
          <w:tcPr>
            <w:tcW w:w="2743" w:type="dxa"/>
            <w:tcBorders>
              <w:left w:val="nil"/>
            </w:tcBorders>
          </w:tcPr>
          <w:p w:rsidR="009C1E28" w:rsidRPr="009C1E28" w:rsidRDefault="009C1E28" w:rsidP="009C1E28">
            <w:pPr>
              <w:pStyle w:val="Text1"/>
              <w:keepNext/>
              <w:keepLines/>
              <w:spacing w:after="0"/>
              <w:jc w:val="both"/>
              <w:rPr>
                <w:sz w:val="22"/>
                <w:szCs w:val="22"/>
              </w:rPr>
            </w:pPr>
            <w:r w:rsidRPr="009C1E28">
              <w:rPr>
                <w:sz w:val="22"/>
                <w:szCs w:val="22"/>
              </w:rPr>
              <w:t>Da</w:t>
            </w:r>
          </w:p>
        </w:tc>
        <w:tc>
          <w:tcPr>
            <w:tcW w:w="1375" w:type="dxa"/>
          </w:tcPr>
          <w:p w:rsidR="009C1E28" w:rsidRPr="009C1E28" w:rsidRDefault="009C1E28" w:rsidP="009C1E28">
            <w:pPr>
              <w:pStyle w:val="Text1"/>
              <w:keepNext/>
              <w:keepLines/>
              <w:spacing w:after="0"/>
              <w:jc w:val="both"/>
              <w:rPr>
                <w:sz w:val="22"/>
                <w:szCs w:val="22"/>
              </w:rPr>
            </w:pPr>
            <w:r w:rsidRPr="009C1E28">
              <w:rPr>
                <w:sz w:val="22"/>
                <w:szCs w:val="22"/>
              </w:rPr>
              <w:t>24% (4/17)</w:t>
            </w:r>
            <w:r w:rsidRPr="009C1E28">
              <w:rPr>
                <w:sz w:val="22"/>
                <w:szCs w:val="22"/>
                <w:vertAlign w:val="superscript"/>
              </w:rPr>
              <w:t>e</w:t>
            </w:r>
          </w:p>
        </w:tc>
        <w:tc>
          <w:tcPr>
            <w:tcW w:w="1710" w:type="dxa"/>
          </w:tcPr>
          <w:p w:rsidR="009C1E28" w:rsidRPr="009C1E28" w:rsidRDefault="009C1E28" w:rsidP="009C1E28">
            <w:pPr>
              <w:pStyle w:val="Text1"/>
              <w:keepNext/>
              <w:keepLines/>
              <w:spacing w:after="0"/>
              <w:jc w:val="both"/>
              <w:rPr>
                <w:sz w:val="22"/>
                <w:szCs w:val="22"/>
              </w:rPr>
            </w:pPr>
            <w:r w:rsidRPr="009C1E28">
              <w:rPr>
                <w:sz w:val="22"/>
                <w:szCs w:val="22"/>
              </w:rPr>
              <w:t>12% (2/17)</w:t>
            </w:r>
          </w:p>
        </w:tc>
        <w:tc>
          <w:tcPr>
            <w:tcW w:w="1667" w:type="dxa"/>
          </w:tcPr>
          <w:p w:rsidR="009C1E28" w:rsidRPr="009C1E28" w:rsidRDefault="009C1E28" w:rsidP="009C1E28">
            <w:pPr>
              <w:pStyle w:val="Text1"/>
              <w:keepNext/>
              <w:keepLines/>
              <w:spacing w:after="0"/>
              <w:jc w:val="both"/>
              <w:rPr>
                <w:sz w:val="22"/>
                <w:szCs w:val="22"/>
              </w:rPr>
            </w:pPr>
            <w:r w:rsidRPr="009C1E28">
              <w:rPr>
                <w:sz w:val="22"/>
                <w:szCs w:val="22"/>
              </w:rPr>
              <w:t>0% (0/13)</w:t>
            </w:r>
          </w:p>
        </w:tc>
        <w:tc>
          <w:tcPr>
            <w:tcW w:w="1877" w:type="dxa"/>
          </w:tcPr>
          <w:p w:rsidR="009C1E28" w:rsidRPr="009C1E28" w:rsidRDefault="009C1E28" w:rsidP="009C1E28">
            <w:pPr>
              <w:pStyle w:val="Text1"/>
              <w:keepNext/>
              <w:keepLines/>
              <w:spacing w:after="0"/>
              <w:jc w:val="both"/>
              <w:rPr>
                <w:sz w:val="22"/>
                <w:szCs w:val="22"/>
              </w:rPr>
            </w:pPr>
            <w:r w:rsidRPr="009C1E28">
              <w:rPr>
                <w:sz w:val="22"/>
                <w:szCs w:val="22"/>
              </w:rPr>
              <w:t>0% (0/14)</w:t>
            </w:r>
          </w:p>
        </w:tc>
      </w:tr>
    </w:tbl>
    <w:p w:rsidR="00DB57CE" w:rsidRDefault="00DB57CE" w:rsidP="009C1E28">
      <w:pPr>
        <w:keepNext/>
        <w:keepLines/>
        <w:spacing w:after="0"/>
        <w:jc w:val="both"/>
        <w:rPr>
          <w:rFonts w:ascii="Times New Roman" w:hAnsi="Times New Roman" w:cs="Times New Roman"/>
        </w:rPr>
      </w:pPr>
    </w:p>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a. Ova 4 pacijenta bez ciroze sa relapsom imala su početne polimorfizme NS5A povezane sa rezistencijom.</w:t>
      </w:r>
    </w:p>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b. Pacijenti bez podatka o statusu ciroze bili su isključeni iz analize ove podgrupe.</w:t>
      </w:r>
    </w:p>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c. Analiza (detaljnim sekvencioniranjem) je uključila polimorfizme NS5A povezane sa rezistencijom koji su nosili &gt;2,5 puta veću promjenu u EC</w:t>
      </w:r>
      <w:r w:rsidRPr="009C1E28">
        <w:rPr>
          <w:rFonts w:ascii="Times New Roman" w:hAnsi="Times New Roman" w:cs="Times New Roman"/>
          <w:vertAlign w:val="subscript"/>
        </w:rPr>
        <w:t>50</w:t>
      </w:r>
      <w:r w:rsidRPr="009C1E28">
        <w:rPr>
          <w:rFonts w:ascii="Times New Roman" w:hAnsi="Times New Roman" w:cs="Times New Roman"/>
        </w:rPr>
        <w:t xml:space="preserve"> (K24G/N/R, M28A/G/T, Q30E/G/H/L/K/R/T, L31I/F/M/V, P32L, S38F, H58D, A92K/T i Y93C/F/H/N/S za infekciju HCV-om genotipa 1a, i L31I/F/M/V, P32L, P58D, A92K i Y93C/H/N/S za infekciju HCV-om genotipa 1b).</w:t>
      </w:r>
    </w:p>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d. 3/3 pacijenta imalo je cirozu.</w:t>
      </w:r>
    </w:p>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e. 0/4 pacijenta imalo je cirozu.</w:t>
      </w: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 xml:space="preserve">f. Za jednog pacijenta kod kojeg je virusno opterećenje (eng. </w:t>
      </w:r>
      <w:r w:rsidRPr="009C1E28">
        <w:rPr>
          <w:rFonts w:ascii="Times New Roman" w:hAnsi="Times New Roman" w:cs="Times New Roman"/>
          <w:i/>
        </w:rPr>
        <w:t>viral load</w:t>
      </w:r>
      <w:r w:rsidRPr="009C1E28">
        <w:rPr>
          <w:rFonts w:ascii="Times New Roman" w:hAnsi="Times New Roman" w:cs="Times New Roman"/>
        </w:rPr>
        <w:t>) postiglo &lt;LLOQ na kraju liječenja, nedostajali su početni podaci za NS5A, i on je bio isključen iz analize.</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keepNext/>
        <w:keepLines/>
        <w:spacing w:after="0"/>
        <w:jc w:val="both"/>
        <w:rPr>
          <w:rFonts w:ascii="Times New Roman" w:hAnsi="Times New Roman" w:cs="Times New Roman"/>
          <w:b/>
          <w:i/>
        </w:rPr>
      </w:pPr>
      <w:r w:rsidRPr="009C1E28">
        <w:rPr>
          <w:rFonts w:ascii="Times New Roman" w:hAnsi="Times New Roman" w:cs="Times New Roman"/>
          <w:i/>
        </w:rPr>
        <w:t>Prethodno liječeni odrasli sa cirozom – SIRIUS – genotip 1</w:t>
      </w: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 xml:space="preserve">U studiju SIRIUS bili su uključeni pacijenti sa kompenzovanom cirozom koji su imali neuspjeh liječenja pegiliranim interferonom (PEG IFN) + ribavirin, i potom neuspješno liječenje režimom sastavljenim od pegiliranog interferona + ribavirin + inhibitor proteaze NS3/4A. Ciroza je potvrđena biopsijom, fibroskenom (&gt;12,5 kPa) ili FibroTestom &gt;0,75 i indeksom odnosa AST: trombociti (eng. AST: </w:t>
      </w:r>
      <w:r w:rsidRPr="009C1E28">
        <w:rPr>
          <w:rFonts w:ascii="Times New Roman" w:hAnsi="Times New Roman" w:cs="Times New Roman"/>
          <w:i/>
        </w:rPr>
        <w:t>platelet ratio index</w:t>
      </w:r>
      <w:r w:rsidRPr="009C1E28">
        <w:rPr>
          <w:rFonts w:ascii="Times New Roman" w:hAnsi="Times New Roman" w:cs="Times New Roman"/>
        </w:rPr>
        <w:t xml:space="preserve"> - APRI) &gt;2.</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U studiji (dvostruko slijepa i placebom kontrolisana) se evaluiralo 24-nedjeljno liječenje ledipasvirom/sofosbuvirom (sa placebom umjesto ribavirina) naspram 12-nedjeljnog liječenja ledipasvirom/sofosbuvirom sa ribavirinom. U posljednjoj terapijskoj grupi pacijenti su primali placebo (za ledipasvir/sofosbuvir i ribavirin) tokom prvih 12 nedjelja, nakon čega je slijedila aktivna zaslijepljena terapija tokom narednih 12 nedjelja. Pacijenti su stratifikovani na osnovu HCV genotipa (1a naspram 1b) i prethodne reakcije na terapiju (da li je bio postignut HCV RNK&lt;LLOQ).</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Demografske i polazne karakteristike su izbalansirane u dvije terapijske grupe. Medijana za godine starosti bila je 56 godina (opseg: od 23 do 77); 74% pacijenata je bilo muškog pola; 97% su bili bijelci; 63% su imali infekciju genotipom 1a HCV-a; 94% je imalo ne-CC IL28B alele (CT ili TT).</w:t>
      </w: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lastRenderedPageBreak/>
        <w:t>Od 155 uključenih pacijenata, 1 pacijent je prekinuo primjenu terapije dok je bio na placebu. Od preostala 154 pacijenta, ukupno je 149 postiglo SVR12 u obije terapijske grupe; 96% (74/77) pacijenata u grupi ledipasvir/sofosbuvir sa ribavirinom tokom 12 nedjelja, i 97% (75/77) pacijenata u grupi ledipasvir/sofosbuvir tokom 24 nedjelje. Svih 5 pacijenata koji nijesu postigli SVR12 su relapsirali nakon postizanja odgovara registrovanog na kraju liječenja (iznad pogledati odjeljak „Rezistencija“ – „U kliničkim ispitivanjima“).</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keepNext/>
        <w:keepLines/>
        <w:spacing w:after="0"/>
        <w:jc w:val="both"/>
        <w:rPr>
          <w:rFonts w:ascii="Times New Roman" w:hAnsi="Times New Roman" w:cs="Times New Roman"/>
          <w:b/>
          <w:i/>
        </w:rPr>
      </w:pPr>
      <w:r w:rsidRPr="009C1E28">
        <w:rPr>
          <w:rFonts w:ascii="Times New Roman" w:hAnsi="Times New Roman" w:cs="Times New Roman"/>
          <w:i/>
        </w:rPr>
        <w:t>Prethodno liječeni odrasli koji nijesu postigli uspjeh sa kombinacijom sofosbuvir + ribavirin ± PEG-IFN</w:t>
      </w: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Efikasnost ledipasvira/sofosbuvira kod pacijenata koji prethodno nijesu uspjeli sa terapijom sofosbuvir + ribavirin ± PEG-IFN podržana je sa dvije kliničke studije. U studiji 1118, 44 pacijenta sa infekcijom genotipom 1, uključujući i 12 pacijenata sa cirozom, koji su prethodno imali neuspjeh liječenja kombinacijom sofosbuvir + ribavirin + PEG-IFN ili sa kombinacijom sofosbuvir + ribavirin, liječeni su ledipasvirom/sofosbuvirom + ribavirin tokom 12 nedjelja; SVR je bio 100% (44/44). U studiju ION</w:t>
      </w:r>
      <w:r w:rsidRPr="009C1E28">
        <w:rPr>
          <w:rFonts w:ascii="Times New Roman" w:hAnsi="Times New Roman" w:cs="Times New Roman"/>
        </w:rPr>
        <w:noBreakHyphen/>
        <w:t>4 uključeno je 13 HCV/HIV-1 koinficiranih pacijenata sa genotipom 1, uključujući 1 pacijenta sa cirozom, koji nijesu uspjeli sa režimom sofosbuvir + ribavirin; SVR je bio 100% (13/13) nakon 12 nedjelja liječenja ledipasvirom/sofosbuvirom.</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keepNext/>
        <w:keepLines/>
        <w:spacing w:after="0"/>
        <w:jc w:val="both"/>
        <w:rPr>
          <w:rFonts w:ascii="Times New Roman" w:hAnsi="Times New Roman" w:cs="Times New Roman"/>
          <w:b/>
          <w:i/>
        </w:rPr>
      </w:pPr>
      <w:r w:rsidRPr="009C1E28">
        <w:rPr>
          <w:rFonts w:ascii="Times New Roman" w:hAnsi="Times New Roman" w:cs="Times New Roman"/>
          <w:i/>
        </w:rPr>
        <w:t>Odrasli sa HCV/HIV koinfekcijom – ION</w:t>
      </w:r>
      <w:r w:rsidRPr="009C1E28">
        <w:rPr>
          <w:rFonts w:ascii="Times New Roman" w:hAnsi="Times New Roman" w:cs="Times New Roman"/>
        </w:rPr>
        <w:noBreakHyphen/>
      </w:r>
      <w:r w:rsidRPr="009C1E28">
        <w:rPr>
          <w:rFonts w:ascii="Times New Roman" w:hAnsi="Times New Roman" w:cs="Times New Roman"/>
          <w:i/>
        </w:rPr>
        <w:t>4</w:t>
      </w: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ION</w:t>
      </w:r>
      <w:r w:rsidRPr="009C1E28">
        <w:rPr>
          <w:rFonts w:ascii="Times New Roman" w:hAnsi="Times New Roman" w:cs="Times New Roman"/>
        </w:rPr>
        <w:noBreakHyphen/>
        <w:t>4 je bila otvorena klinička studija u kojoj se ispitivala bezbjednost i efikasnost terapije ledipasvirom/sofosbuvirom bez ribavirina tokom 12 nedjelja kod pacijenata koji do tada nijesu liječeni zbog HCV infekcije, i kod pacijenta koji su prethodno liječeni, a koji imaju HHC genotipa 1 ili 4 i koinfekciju sa HIV 1. Pacijenti koji su već liječeni nijesu postigli uspjeh sa prethodnom terapijom sa režimom PEG-IFN + ribavirin ± inhibitor HCV proteaze ili sofosbuvir + ribavirin ± PEG-IFN. Pacijenti su bili na stabilnoj antiretroviralnoj terapiji za HIV 1, koja je uključivala emtricitabin/tenofovir disoproksil fumarat u kombinaciji sa efavirencom, rilpivirinom ili raltegravirom.</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Medijana  starosti bila je 52 godine (opseg: od 26 do 72); 82% pacijenata bili su muškog pola; 61% su bili bijelci; 34% su bili crnci; 75% je imalo HCV infekciju genotipa 1a; 2% je imalo infekciju genotipa 4; 76% je imalo ne-CC IL28B alele (CT ili TT); i 20% je imalo kompenzovanu cirozu. Pedeset i pet procenata (55%) pacijenata je već prethodno bilo liječeno nekom vrstom terapije.</w:t>
      </w:r>
    </w:p>
    <w:p w:rsidR="009C1E28" w:rsidRPr="009C1E28" w:rsidRDefault="009C1E28" w:rsidP="009C1E28">
      <w:pPr>
        <w:spacing w:after="0"/>
        <w:jc w:val="both"/>
        <w:rPr>
          <w:rFonts w:ascii="Times New Roman" w:hAnsi="Times New Roman" w:cs="Times New Roman"/>
          <w:b/>
        </w:rPr>
      </w:pPr>
    </w:p>
    <w:p w:rsidR="009C1E28" w:rsidRDefault="009C1E28" w:rsidP="009C1E28">
      <w:pPr>
        <w:keepNext/>
        <w:keepLines/>
        <w:spacing w:after="0"/>
        <w:jc w:val="both"/>
        <w:rPr>
          <w:rFonts w:ascii="Times New Roman" w:hAnsi="Times New Roman" w:cs="Times New Roman"/>
          <w:b/>
        </w:rPr>
      </w:pPr>
      <w:r w:rsidRPr="002045B8">
        <w:rPr>
          <w:rFonts w:ascii="Times New Roman" w:hAnsi="Times New Roman" w:cs="Times New Roman"/>
          <w:b/>
        </w:rPr>
        <w:lastRenderedPageBreak/>
        <w:t>Tabela 16: Stope reakcije u ispitivanju ION</w:t>
      </w:r>
      <w:r w:rsidRPr="002045B8">
        <w:rPr>
          <w:rFonts w:ascii="Times New Roman" w:hAnsi="Times New Roman" w:cs="Times New Roman"/>
          <w:b/>
        </w:rPr>
        <w:noBreakHyphen/>
        <w:t>4</w:t>
      </w:r>
    </w:p>
    <w:p w:rsidR="002045B8" w:rsidRPr="002045B8" w:rsidRDefault="002045B8" w:rsidP="009C1E28">
      <w:pPr>
        <w:keepNext/>
        <w:keepLines/>
        <w:spacing w:after="0"/>
        <w:jc w:val="both"/>
        <w:rPr>
          <w:rFonts w:ascii="Times New Roman" w:hAnsi="Times New Roman" w:cs="Times New Roman"/>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
        <w:gridCol w:w="269"/>
        <w:gridCol w:w="3969"/>
        <w:gridCol w:w="5131"/>
      </w:tblGrid>
      <w:tr w:rsidR="009C1E28" w:rsidRPr="009C1E28" w:rsidTr="00230CF3">
        <w:tc>
          <w:tcPr>
            <w:tcW w:w="4503" w:type="dxa"/>
            <w:gridSpan w:val="3"/>
          </w:tcPr>
          <w:p w:rsidR="009C1E28" w:rsidRPr="009C1E28" w:rsidRDefault="009C1E28" w:rsidP="009C1E28">
            <w:pPr>
              <w:keepNext/>
              <w:keepLines/>
              <w:spacing w:after="0"/>
              <w:jc w:val="both"/>
              <w:rPr>
                <w:rFonts w:ascii="Times New Roman" w:hAnsi="Times New Roman" w:cs="Times New Roman"/>
              </w:rPr>
            </w:pPr>
          </w:p>
        </w:tc>
        <w:tc>
          <w:tcPr>
            <w:tcW w:w="5131" w:type="dxa"/>
          </w:tcPr>
          <w:p w:rsidR="009C1E28" w:rsidRPr="002045B8" w:rsidRDefault="009C1E28" w:rsidP="009C1E28">
            <w:pPr>
              <w:keepNext/>
              <w:keepLines/>
              <w:spacing w:after="0"/>
              <w:jc w:val="both"/>
              <w:rPr>
                <w:rFonts w:ascii="Times New Roman" w:hAnsi="Times New Roman" w:cs="Times New Roman"/>
                <w:b/>
              </w:rPr>
            </w:pPr>
            <w:r w:rsidRPr="002045B8">
              <w:rPr>
                <w:rFonts w:ascii="Times New Roman" w:hAnsi="Times New Roman" w:cs="Times New Roman"/>
                <w:b/>
              </w:rPr>
              <w:t>LDV/SOF</w:t>
            </w:r>
          </w:p>
          <w:p w:rsidR="009C1E28" w:rsidRPr="002045B8" w:rsidRDefault="009C1E28" w:rsidP="009C1E28">
            <w:pPr>
              <w:keepNext/>
              <w:keepLines/>
              <w:spacing w:after="0"/>
              <w:jc w:val="both"/>
              <w:rPr>
                <w:rFonts w:ascii="Times New Roman" w:hAnsi="Times New Roman" w:cs="Times New Roman"/>
                <w:b/>
              </w:rPr>
            </w:pPr>
            <w:r w:rsidRPr="002045B8">
              <w:rPr>
                <w:rFonts w:ascii="Times New Roman" w:hAnsi="Times New Roman" w:cs="Times New Roman"/>
                <w:b/>
              </w:rPr>
              <w:t>12 nedjelja</w:t>
            </w:r>
          </w:p>
          <w:p w:rsidR="009C1E28" w:rsidRPr="009C1E28" w:rsidRDefault="009C1E28" w:rsidP="009C1E28">
            <w:pPr>
              <w:keepNext/>
              <w:keepLines/>
              <w:spacing w:after="0"/>
              <w:jc w:val="both"/>
              <w:rPr>
                <w:rFonts w:ascii="Times New Roman" w:hAnsi="Times New Roman" w:cs="Times New Roman"/>
                <w:b/>
              </w:rPr>
            </w:pPr>
            <w:r w:rsidRPr="002045B8">
              <w:rPr>
                <w:rFonts w:ascii="Times New Roman" w:hAnsi="Times New Roman" w:cs="Times New Roman"/>
                <w:b/>
              </w:rPr>
              <w:t>(n=335)</w:t>
            </w:r>
          </w:p>
        </w:tc>
      </w:tr>
      <w:tr w:rsidR="009C1E28" w:rsidRPr="009C1E28" w:rsidTr="00230CF3">
        <w:tc>
          <w:tcPr>
            <w:tcW w:w="4503" w:type="dxa"/>
            <w:gridSpan w:val="3"/>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SVR</w:t>
            </w:r>
          </w:p>
        </w:tc>
        <w:tc>
          <w:tcPr>
            <w:tcW w:w="5131"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96% (321/335)</w:t>
            </w:r>
            <w:r w:rsidRPr="009C1E28">
              <w:rPr>
                <w:rFonts w:ascii="Times New Roman" w:hAnsi="Times New Roman" w:cs="Times New Roman"/>
                <w:vertAlign w:val="superscript"/>
              </w:rPr>
              <w:t>a</w:t>
            </w:r>
          </w:p>
        </w:tc>
      </w:tr>
      <w:tr w:rsidR="009C1E28" w:rsidRPr="009C1E28" w:rsidTr="00230CF3">
        <w:tc>
          <w:tcPr>
            <w:tcW w:w="9634" w:type="dxa"/>
            <w:gridSpan w:val="4"/>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i/>
              </w:rPr>
              <w:t>Ishod kod pacijenata bez SVR</w:t>
            </w:r>
          </w:p>
        </w:tc>
      </w:tr>
      <w:tr w:rsidR="009C1E28" w:rsidRPr="009C1E28" w:rsidTr="00230CF3">
        <w:tc>
          <w:tcPr>
            <w:tcW w:w="265" w:type="dxa"/>
            <w:tcBorders>
              <w:right w:val="nil"/>
            </w:tcBorders>
          </w:tcPr>
          <w:p w:rsidR="009C1E28" w:rsidRPr="009C1E28" w:rsidRDefault="009C1E28" w:rsidP="009C1E28">
            <w:pPr>
              <w:keepNext/>
              <w:keepLines/>
              <w:spacing w:after="0"/>
              <w:jc w:val="both"/>
              <w:rPr>
                <w:rFonts w:ascii="Times New Roman" w:hAnsi="Times New Roman" w:cs="Times New Roman"/>
                <w:b/>
              </w:rPr>
            </w:pPr>
          </w:p>
        </w:tc>
        <w:tc>
          <w:tcPr>
            <w:tcW w:w="4238" w:type="dxa"/>
            <w:gridSpan w:val="2"/>
            <w:tcBorders>
              <w:left w:val="nil"/>
            </w:tcBorders>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Virusološki neuspjeh tokom terapije</w:t>
            </w:r>
          </w:p>
        </w:tc>
        <w:tc>
          <w:tcPr>
            <w:tcW w:w="5131"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&lt;1% (2/335)</w:t>
            </w:r>
          </w:p>
        </w:tc>
      </w:tr>
      <w:tr w:rsidR="009C1E28" w:rsidRPr="009C1E28" w:rsidTr="00230CF3">
        <w:tc>
          <w:tcPr>
            <w:tcW w:w="265" w:type="dxa"/>
            <w:tcBorders>
              <w:right w:val="nil"/>
            </w:tcBorders>
          </w:tcPr>
          <w:p w:rsidR="009C1E28" w:rsidRPr="009C1E28" w:rsidRDefault="009C1E28" w:rsidP="009C1E28">
            <w:pPr>
              <w:keepNext/>
              <w:keepLines/>
              <w:spacing w:after="0"/>
              <w:jc w:val="both"/>
              <w:rPr>
                <w:rFonts w:ascii="Times New Roman" w:hAnsi="Times New Roman" w:cs="Times New Roman"/>
                <w:b/>
              </w:rPr>
            </w:pPr>
          </w:p>
        </w:tc>
        <w:tc>
          <w:tcPr>
            <w:tcW w:w="4238" w:type="dxa"/>
            <w:gridSpan w:val="2"/>
            <w:tcBorders>
              <w:left w:val="nil"/>
            </w:tcBorders>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Relaps</w:t>
            </w:r>
            <w:r w:rsidRPr="009C1E28">
              <w:rPr>
                <w:rFonts w:ascii="Times New Roman" w:hAnsi="Times New Roman" w:cs="Times New Roman"/>
                <w:vertAlign w:val="superscript"/>
              </w:rPr>
              <w:t>b</w:t>
            </w:r>
          </w:p>
        </w:tc>
        <w:tc>
          <w:tcPr>
            <w:tcW w:w="5131"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3% (10/333)</w:t>
            </w:r>
          </w:p>
        </w:tc>
      </w:tr>
      <w:tr w:rsidR="009C1E28" w:rsidRPr="009C1E28" w:rsidTr="00230CF3">
        <w:tc>
          <w:tcPr>
            <w:tcW w:w="265" w:type="dxa"/>
            <w:tcBorders>
              <w:right w:val="nil"/>
            </w:tcBorders>
          </w:tcPr>
          <w:p w:rsidR="009C1E28" w:rsidRPr="009C1E28" w:rsidRDefault="009C1E28" w:rsidP="009C1E28">
            <w:pPr>
              <w:keepNext/>
              <w:keepLines/>
              <w:spacing w:after="0"/>
              <w:jc w:val="both"/>
              <w:rPr>
                <w:rFonts w:ascii="Times New Roman" w:hAnsi="Times New Roman" w:cs="Times New Roman"/>
                <w:b/>
              </w:rPr>
            </w:pPr>
          </w:p>
        </w:tc>
        <w:tc>
          <w:tcPr>
            <w:tcW w:w="4238" w:type="dxa"/>
            <w:gridSpan w:val="2"/>
            <w:tcBorders>
              <w:left w:val="nil"/>
            </w:tcBorders>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Drugi</w:t>
            </w:r>
            <w:r w:rsidRPr="009C1E28">
              <w:rPr>
                <w:rFonts w:ascii="Times New Roman" w:hAnsi="Times New Roman" w:cs="Times New Roman"/>
                <w:vertAlign w:val="superscript"/>
              </w:rPr>
              <w:t>c</w:t>
            </w:r>
          </w:p>
        </w:tc>
        <w:tc>
          <w:tcPr>
            <w:tcW w:w="5131"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&lt;1% (2/335)</w:t>
            </w:r>
          </w:p>
        </w:tc>
      </w:tr>
      <w:tr w:rsidR="009C1E28" w:rsidRPr="009C1E28" w:rsidTr="00230CF3">
        <w:tc>
          <w:tcPr>
            <w:tcW w:w="9634" w:type="dxa"/>
            <w:gridSpan w:val="4"/>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i/>
              </w:rPr>
              <w:t>SVR stope za odabrane podgrupe</w:t>
            </w:r>
          </w:p>
        </w:tc>
      </w:tr>
      <w:tr w:rsidR="009C1E28" w:rsidRPr="009C1E28" w:rsidTr="00230CF3">
        <w:tc>
          <w:tcPr>
            <w:tcW w:w="265" w:type="dxa"/>
            <w:tcBorders>
              <w:right w:val="nil"/>
            </w:tcBorders>
          </w:tcPr>
          <w:p w:rsidR="009C1E28" w:rsidRPr="009C1E28" w:rsidRDefault="009C1E28" w:rsidP="009C1E28">
            <w:pPr>
              <w:keepNext/>
              <w:keepLines/>
              <w:spacing w:after="0"/>
              <w:jc w:val="both"/>
              <w:rPr>
                <w:rFonts w:ascii="Times New Roman" w:hAnsi="Times New Roman" w:cs="Times New Roman"/>
                <w:b/>
              </w:rPr>
            </w:pPr>
          </w:p>
        </w:tc>
        <w:tc>
          <w:tcPr>
            <w:tcW w:w="4238" w:type="dxa"/>
            <w:gridSpan w:val="2"/>
            <w:tcBorders>
              <w:left w:val="nil"/>
            </w:tcBorders>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Pacijenti sa cirozom</w:t>
            </w:r>
          </w:p>
        </w:tc>
        <w:tc>
          <w:tcPr>
            <w:tcW w:w="5131"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94% (63/67)</w:t>
            </w:r>
          </w:p>
        </w:tc>
      </w:tr>
      <w:tr w:rsidR="009C1E28" w:rsidRPr="009C1E28" w:rsidTr="00230CF3">
        <w:tc>
          <w:tcPr>
            <w:tcW w:w="265" w:type="dxa"/>
            <w:tcBorders>
              <w:right w:val="nil"/>
            </w:tcBorders>
          </w:tcPr>
          <w:p w:rsidR="009C1E28" w:rsidRPr="009C1E28" w:rsidRDefault="009C1E28" w:rsidP="009C1E28">
            <w:pPr>
              <w:keepNext/>
              <w:keepLines/>
              <w:spacing w:after="0"/>
              <w:jc w:val="both"/>
              <w:rPr>
                <w:rFonts w:ascii="Times New Roman" w:hAnsi="Times New Roman" w:cs="Times New Roman"/>
                <w:b/>
              </w:rPr>
            </w:pPr>
          </w:p>
        </w:tc>
        <w:tc>
          <w:tcPr>
            <w:tcW w:w="269" w:type="dxa"/>
            <w:tcBorders>
              <w:left w:val="nil"/>
              <w:right w:val="nil"/>
            </w:tcBorders>
          </w:tcPr>
          <w:p w:rsidR="009C1E28" w:rsidRPr="009C1E28" w:rsidRDefault="009C1E28" w:rsidP="009C1E28">
            <w:pPr>
              <w:keepNext/>
              <w:keepLines/>
              <w:spacing w:after="0"/>
              <w:jc w:val="both"/>
              <w:rPr>
                <w:rFonts w:ascii="Times New Roman" w:hAnsi="Times New Roman" w:cs="Times New Roman"/>
                <w:b/>
              </w:rPr>
            </w:pPr>
          </w:p>
        </w:tc>
        <w:tc>
          <w:tcPr>
            <w:tcW w:w="3969" w:type="dxa"/>
            <w:tcBorders>
              <w:left w:val="nil"/>
            </w:tcBorders>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Prethodno liječeni pacijenti sa cirozom</w:t>
            </w:r>
          </w:p>
        </w:tc>
        <w:tc>
          <w:tcPr>
            <w:tcW w:w="5131" w:type="dxa"/>
          </w:tcPr>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98% (46/47)</w:t>
            </w:r>
          </w:p>
        </w:tc>
      </w:tr>
    </w:tbl>
    <w:p w:rsidR="00230CF3" w:rsidRDefault="00230CF3" w:rsidP="009C1E28">
      <w:pPr>
        <w:keepNext/>
        <w:keepLines/>
        <w:spacing w:after="0"/>
        <w:jc w:val="both"/>
        <w:rPr>
          <w:rFonts w:ascii="Times New Roman" w:hAnsi="Times New Roman" w:cs="Times New Roman"/>
        </w:rPr>
      </w:pPr>
    </w:p>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a. U studiju je bilo uključeno 8 pacijenata sa HCV infekcijom genotipa 4, pri čemu je 8/8 postiglo SVR12.</w:t>
      </w:r>
    </w:p>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b. Imenilac za relaps je broj pacijenata sa HCV RNK &lt;LLOQ na njihovom posljednjem pregledu za vrijeme trajanja terapije.</w:t>
      </w: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c. Drugi uključuje pacijente koji nijesu postigli SVR i nijesu zadovoljili kriterijume virusološkog neuspjeha (npr. izgubljeni za praćenje).</w:t>
      </w:r>
    </w:p>
    <w:p w:rsidR="009C1E28" w:rsidRPr="009C1E28" w:rsidRDefault="009C1E28" w:rsidP="009C1E28">
      <w:pPr>
        <w:spacing w:after="0"/>
        <w:jc w:val="both"/>
        <w:rPr>
          <w:rFonts w:ascii="Times New Roman" w:hAnsi="Times New Roman" w:cs="Times New Roman"/>
          <w:b/>
          <w:i/>
        </w:rPr>
      </w:pPr>
    </w:p>
    <w:p w:rsidR="009C1E28" w:rsidRPr="009C1E28" w:rsidRDefault="009C1E28" w:rsidP="009C1E28">
      <w:pPr>
        <w:keepNext/>
        <w:keepLines/>
        <w:pageBreakBefore/>
        <w:spacing w:after="0"/>
        <w:jc w:val="both"/>
        <w:rPr>
          <w:rFonts w:ascii="Times New Roman" w:hAnsi="Times New Roman" w:cs="Times New Roman"/>
          <w:b/>
          <w:i/>
        </w:rPr>
      </w:pPr>
      <w:r w:rsidRPr="009C1E28">
        <w:rPr>
          <w:rFonts w:ascii="Times New Roman" w:hAnsi="Times New Roman" w:cs="Times New Roman"/>
          <w:i/>
        </w:rPr>
        <w:lastRenderedPageBreak/>
        <w:t>Odrasli sa HCV/HIV koinfekcijom – ERADICATE</w:t>
      </w: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ERADICATE je bilo otvoreno ispitivanje u kojem se procjenjivalo 12 nedjelja liječenja ledipasvirom/sofosbuvirom kod 50 pacijenata sa HHC-om genotipa 1 i istovremenom HIV infekcijom. Nijedan pacijent nije bio prethodno liječen anti-HCV terapijom i nijedan nije imao cirozu; 26% (13/50) pacijenata prethodno nije bilo liječeno antiretrovirusnim ljekovima za liječenje HIV infekcije, a 74% (37/50) pacijenata istovremeno je primalo antiretrovirusnu terapiju za liječenje HIV infekcije. U vrijeme prelazne analize, 40 pacijenata je dostiglo 12 nedjelja nakon liječenja, a SVR12 je bio 98% (39/40).</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keepNext/>
        <w:keepLines/>
        <w:spacing w:after="0"/>
        <w:jc w:val="both"/>
        <w:rPr>
          <w:rFonts w:ascii="Times New Roman" w:hAnsi="Times New Roman" w:cs="Times New Roman"/>
          <w:b/>
          <w:i/>
        </w:rPr>
      </w:pPr>
      <w:r w:rsidRPr="009C1E28">
        <w:rPr>
          <w:rFonts w:ascii="Times New Roman" w:hAnsi="Times New Roman" w:cs="Times New Roman"/>
          <w:i/>
        </w:rPr>
        <w:t>Pacijenti koji čekaju transplantaciju jetre i poslije transplantacije jetre – SOLAR</w:t>
      </w:r>
      <w:r w:rsidRPr="009C1E28">
        <w:rPr>
          <w:rFonts w:ascii="Times New Roman" w:hAnsi="Times New Roman" w:cs="Times New Roman"/>
        </w:rPr>
        <w:noBreakHyphen/>
      </w:r>
      <w:r w:rsidRPr="009C1E28">
        <w:rPr>
          <w:rFonts w:ascii="Times New Roman" w:hAnsi="Times New Roman" w:cs="Times New Roman"/>
          <w:i/>
        </w:rPr>
        <w:t>1 i SOLAR-2</w:t>
      </w:r>
    </w:p>
    <w:p w:rsidR="009C1E28" w:rsidRPr="009C1E28" w:rsidRDefault="009C1E28" w:rsidP="009C1E28">
      <w:pPr>
        <w:spacing w:after="0"/>
        <w:jc w:val="both"/>
        <w:rPr>
          <w:rFonts w:ascii="Times New Roman" w:hAnsi="Times New Roman" w:cs="Times New Roman"/>
          <w:b/>
          <w:iCs/>
        </w:rPr>
      </w:pPr>
      <w:r w:rsidRPr="009C1E28">
        <w:rPr>
          <w:rFonts w:ascii="Times New Roman" w:hAnsi="Times New Roman" w:cs="Times New Roman"/>
        </w:rPr>
        <w:t>SOLAR</w:t>
      </w:r>
      <w:r w:rsidRPr="009C1E28">
        <w:rPr>
          <w:rFonts w:ascii="Times New Roman" w:hAnsi="Times New Roman" w:cs="Times New Roman"/>
        </w:rPr>
        <w:noBreakHyphen/>
        <w:t xml:space="preserve">1 i SOLAR-2 su dvije otvorene kliničke studije kojima se procijenilo 12- i 24-nedjeljno liječenje ledipasvirom/sofosbuvirom u kombinaciji sa ribavirinom kod pacijenata inficiranih HVC-om genotipa 1 i 4 kojima je transplantirana jetra i/ili koji imaju dekompenzovano oboljenje jetre. Obije studije su bile identično koncipirane. Pacijenti su uključeni u jednu od sedam grupa na osnovu statusa transplantacije jetre i ozbiljnosti oštećenja jetre (pogledati Tabelu 17). Pacijenti sa CPT rezultatom &gt;12 su isključeni. Unutar svake grupe, pacijenti su randomizirani u promjeru 1:1 za primanje </w:t>
      </w:r>
      <w:r w:rsidRPr="009C1E28">
        <w:rPr>
          <w:rFonts w:ascii="Times New Roman" w:hAnsi="Times New Roman" w:cs="Times New Roman"/>
          <w:iCs/>
        </w:rPr>
        <w:t>ledipasvira/sofosbuvira + ribavirin u trajanju od 12 ili 24 nedjelje.</w:t>
      </w:r>
    </w:p>
    <w:p w:rsidR="009C1E28" w:rsidRPr="009C1E28" w:rsidRDefault="009C1E28" w:rsidP="009C1E28">
      <w:pPr>
        <w:spacing w:after="0"/>
        <w:jc w:val="both"/>
        <w:rPr>
          <w:rFonts w:ascii="Times New Roman" w:hAnsi="Times New Roman" w:cs="Times New Roman"/>
          <w:b/>
          <w:iCs/>
        </w:rPr>
      </w:pP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iCs/>
        </w:rPr>
        <w:t>Demografske i početne karakteristike su ravnomjerno raspoređene u svim grupama za liječenje. Od 670 liječenih pacijenata, medijana starosti bila je 59 godina (opseg od 21 do 81); 77% pacijenata bili su muškog pola; 91% su bili bijelci; srednji indeks tjelesne mase bio je 28 kg/m</w:t>
      </w:r>
      <w:r w:rsidRPr="009C1E28">
        <w:rPr>
          <w:rFonts w:ascii="Times New Roman" w:hAnsi="Times New Roman" w:cs="Times New Roman"/>
          <w:iCs/>
          <w:vertAlign w:val="superscript"/>
        </w:rPr>
        <w:t>2</w:t>
      </w:r>
      <w:r w:rsidRPr="009C1E28">
        <w:rPr>
          <w:rFonts w:ascii="Times New Roman" w:hAnsi="Times New Roman" w:cs="Times New Roman"/>
          <w:iCs/>
        </w:rPr>
        <w:t xml:space="preserve"> (opseg od 18 do 49 kg/m</w:t>
      </w:r>
      <w:r w:rsidRPr="009C1E28">
        <w:rPr>
          <w:rFonts w:ascii="Times New Roman" w:hAnsi="Times New Roman" w:cs="Times New Roman"/>
          <w:iCs/>
          <w:vertAlign w:val="superscript"/>
        </w:rPr>
        <w:t>2</w:t>
      </w:r>
      <w:r w:rsidRPr="009C1E28">
        <w:rPr>
          <w:rFonts w:ascii="Times New Roman" w:hAnsi="Times New Roman" w:cs="Times New Roman"/>
          <w:iCs/>
        </w:rPr>
        <w:t>); 94% i 6% imalo je HCV infekciju genotipa 1 odnosno 4; 78% pacijenata je imalo neuspjeh sa prethodnom HCV terapijom. Među pacijentima koji su imali dekompenzovanu cirozu prije ili poslije transplantacije, 64% i 36% su bili CPT klase B odnosno C na skriningu, 24% je imalo rezultat početnog Modela za posljednju fazu bolesti jetre (MELD) veći od 15</w:t>
      </w:r>
      <w:r w:rsidRPr="009C1E28">
        <w:rPr>
          <w:rFonts w:ascii="Times New Roman" w:hAnsi="Times New Roman" w:cs="Times New Roman"/>
        </w:rPr>
        <w:t>.</w:t>
      </w:r>
    </w:p>
    <w:p w:rsidR="009C1E28" w:rsidRPr="009C1E28" w:rsidRDefault="009C1E28" w:rsidP="009C1E28">
      <w:pPr>
        <w:spacing w:after="0"/>
        <w:jc w:val="both"/>
        <w:rPr>
          <w:rFonts w:ascii="Times New Roman" w:hAnsi="Times New Roman" w:cs="Times New Roman"/>
          <w:b/>
          <w:iCs/>
        </w:rPr>
      </w:pPr>
    </w:p>
    <w:p w:rsidR="009C1E28" w:rsidRPr="002045B8" w:rsidRDefault="009C1E28" w:rsidP="009C1E28">
      <w:pPr>
        <w:keepNext/>
        <w:keepLines/>
        <w:spacing w:after="0"/>
        <w:jc w:val="both"/>
        <w:rPr>
          <w:rFonts w:ascii="Times New Roman" w:hAnsi="Times New Roman" w:cs="Times New Roman"/>
          <w:b/>
        </w:rPr>
      </w:pPr>
      <w:r w:rsidRPr="002045B8">
        <w:rPr>
          <w:rFonts w:ascii="Times New Roman" w:hAnsi="Times New Roman" w:cs="Times New Roman"/>
          <w:b/>
        </w:rPr>
        <w:t>Tabela 17: Kombinovane stope odgovora (SVR12) u studijama SOLAR</w:t>
      </w:r>
      <w:r w:rsidRPr="002045B8">
        <w:rPr>
          <w:rFonts w:ascii="Times New Roman" w:hAnsi="Times New Roman" w:cs="Times New Roman"/>
          <w:b/>
        </w:rPr>
        <w:noBreakHyphen/>
        <w:t>1 i SOLAR-2</w:t>
      </w:r>
    </w:p>
    <w:tbl>
      <w:tblPr>
        <w:tblpPr w:leftFromText="180" w:rightFromText="180" w:vertAnchor="text" w:horzAnchor="margin" w:tblpXSpec="center" w:tblpY="244"/>
        <w:tblW w:w="47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4"/>
        <w:gridCol w:w="3065"/>
        <w:gridCol w:w="2458"/>
      </w:tblGrid>
      <w:tr w:rsidR="009C1E28" w:rsidRPr="009C1E28" w:rsidTr="00E627E3">
        <w:trPr>
          <w:trHeight w:val="573"/>
        </w:trPr>
        <w:tc>
          <w:tcPr>
            <w:tcW w:w="1951" w:type="pct"/>
          </w:tcPr>
          <w:p w:rsidR="009C1E28" w:rsidRPr="009C1E28" w:rsidRDefault="009C1E28" w:rsidP="009C1E28">
            <w:pPr>
              <w:keepNext/>
              <w:keepLines/>
              <w:tabs>
                <w:tab w:val="left" w:pos="567"/>
              </w:tabs>
              <w:spacing w:after="0"/>
              <w:jc w:val="both"/>
              <w:rPr>
                <w:rFonts w:ascii="Times New Roman" w:eastAsia="SimSun" w:hAnsi="Times New Roman" w:cs="Times New Roman"/>
                <w:b/>
                <w:iCs/>
              </w:rPr>
            </w:pPr>
          </w:p>
        </w:tc>
        <w:tc>
          <w:tcPr>
            <w:tcW w:w="1692" w:type="pct"/>
          </w:tcPr>
          <w:p w:rsidR="009C1E28" w:rsidRPr="009C1E28" w:rsidRDefault="009C1E28" w:rsidP="009C1E28">
            <w:pPr>
              <w:pStyle w:val="TableHeaderCenter"/>
              <w:keepNext/>
              <w:keepLines/>
              <w:tabs>
                <w:tab w:val="left" w:pos="567"/>
              </w:tabs>
              <w:spacing w:before="0" w:after="0"/>
              <w:jc w:val="both"/>
              <w:rPr>
                <w:rFonts w:ascii="Times New Roman" w:hAnsi="Times New Roman"/>
                <w:color w:val="auto"/>
                <w:sz w:val="22"/>
                <w:szCs w:val="22"/>
              </w:rPr>
            </w:pPr>
            <w:r w:rsidRPr="009C1E28">
              <w:rPr>
                <w:rFonts w:ascii="Times New Roman" w:hAnsi="Times New Roman"/>
                <w:color w:val="auto"/>
                <w:sz w:val="22"/>
                <w:szCs w:val="22"/>
              </w:rPr>
              <w:t>LDV/SOF+RBV</w:t>
            </w:r>
          </w:p>
          <w:p w:rsidR="009C1E28" w:rsidRPr="009C1E28" w:rsidRDefault="009C1E28" w:rsidP="009C1E28">
            <w:pPr>
              <w:pStyle w:val="TableHeaderCenter"/>
              <w:keepNext/>
              <w:keepLines/>
              <w:tabs>
                <w:tab w:val="left" w:pos="567"/>
              </w:tabs>
              <w:spacing w:before="0" w:after="0"/>
              <w:jc w:val="both"/>
              <w:rPr>
                <w:rFonts w:ascii="Times New Roman" w:hAnsi="Times New Roman"/>
                <w:color w:val="auto"/>
                <w:sz w:val="22"/>
                <w:szCs w:val="22"/>
              </w:rPr>
            </w:pPr>
            <w:r w:rsidRPr="009C1E28">
              <w:rPr>
                <w:rFonts w:ascii="Times New Roman" w:hAnsi="Times New Roman"/>
                <w:color w:val="auto"/>
                <w:sz w:val="22"/>
                <w:szCs w:val="22"/>
              </w:rPr>
              <w:t>12 nedjelja</w:t>
            </w:r>
          </w:p>
          <w:p w:rsidR="009C1E28" w:rsidRPr="009C1E28" w:rsidRDefault="009C1E28" w:rsidP="009C1E28">
            <w:pPr>
              <w:pStyle w:val="TableHeaderCenter"/>
              <w:keepNext/>
              <w:keepLines/>
              <w:tabs>
                <w:tab w:val="left" w:pos="567"/>
              </w:tabs>
              <w:spacing w:before="0" w:after="0"/>
              <w:jc w:val="both"/>
              <w:rPr>
                <w:rFonts w:ascii="Times New Roman" w:hAnsi="Times New Roman"/>
                <w:color w:val="auto"/>
                <w:sz w:val="22"/>
                <w:szCs w:val="22"/>
              </w:rPr>
            </w:pPr>
            <w:r w:rsidRPr="009C1E28">
              <w:rPr>
                <w:rFonts w:ascii="Times New Roman" w:hAnsi="Times New Roman"/>
                <w:color w:val="auto"/>
                <w:sz w:val="22"/>
                <w:szCs w:val="22"/>
              </w:rPr>
              <w:t>(n = 307)</w:t>
            </w:r>
            <w:r w:rsidRPr="009C1E28">
              <w:rPr>
                <w:rFonts w:ascii="Times New Roman" w:hAnsi="Times New Roman"/>
                <w:color w:val="auto"/>
                <w:sz w:val="22"/>
                <w:szCs w:val="22"/>
                <w:vertAlign w:val="superscript"/>
              </w:rPr>
              <w:t>a,</w:t>
            </w:r>
            <w:r w:rsidRPr="009C1E28">
              <w:rPr>
                <w:rFonts w:ascii="Times New Roman" w:eastAsia="SimSun" w:hAnsi="Times New Roman"/>
                <w:iCs/>
                <w:color w:val="auto"/>
                <w:sz w:val="22"/>
                <w:szCs w:val="22"/>
                <w:vertAlign w:val="superscript"/>
              </w:rPr>
              <w:t>b</w:t>
            </w:r>
          </w:p>
        </w:tc>
        <w:tc>
          <w:tcPr>
            <w:tcW w:w="1357" w:type="pct"/>
          </w:tcPr>
          <w:p w:rsidR="009C1E28" w:rsidRPr="009C1E28" w:rsidRDefault="009C1E28" w:rsidP="009C1E28">
            <w:pPr>
              <w:pStyle w:val="TableHeaderCenter"/>
              <w:keepNext/>
              <w:keepLines/>
              <w:tabs>
                <w:tab w:val="left" w:pos="567"/>
              </w:tabs>
              <w:spacing w:before="0" w:after="0"/>
              <w:jc w:val="both"/>
              <w:rPr>
                <w:rFonts w:ascii="Times New Roman" w:hAnsi="Times New Roman"/>
                <w:color w:val="auto"/>
                <w:sz w:val="22"/>
                <w:szCs w:val="22"/>
              </w:rPr>
            </w:pPr>
            <w:r w:rsidRPr="009C1E28">
              <w:rPr>
                <w:rFonts w:ascii="Times New Roman" w:hAnsi="Times New Roman"/>
                <w:color w:val="auto"/>
                <w:sz w:val="22"/>
                <w:szCs w:val="22"/>
              </w:rPr>
              <w:t>LDV/SOF+RBV</w:t>
            </w:r>
          </w:p>
          <w:p w:rsidR="009C1E28" w:rsidRPr="009C1E28" w:rsidRDefault="009C1E28" w:rsidP="009C1E28">
            <w:pPr>
              <w:pStyle w:val="TableHeaderCenter"/>
              <w:keepNext/>
              <w:keepLines/>
              <w:tabs>
                <w:tab w:val="left" w:pos="567"/>
              </w:tabs>
              <w:spacing w:before="0" w:after="0"/>
              <w:jc w:val="both"/>
              <w:rPr>
                <w:rFonts w:ascii="Times New Roman" w:hAnsi="Times New Roman"/>
                <w:color w:val="auto"/>
                <w:sz w:val="22"/>
                <w:szCs w:val="22"/>
              </w:rPr>
            </w:pPr>
            <w:r w:rsidRPr="009C1E28">
              <w:rPr>
                <w:rFonts w:ascii="Times New Roman" w:hAnsi="Times New Roman"/>
                <w:color w:val="auto"/>
                <w:sz w:val="22"/>
                <w:szCs w:val="22"/>
              </w:rPr>
              <w:t>24  nedjelje</w:t>
            </w:r>
          </w:p>
          <w:p w:rsidR="009C1E28" w:rsidRPr="009C1E28" w:rsidRDefault="009C1E28" w:rsidP="009C1E28">
            <w:pPr>
              <w:pStyle w:val="TableHeaderCenter"/>
              <w:keepNext/>
              <w:keepLines/>
              <w:tabs>
                <w:tab w:val="left" w:pos="567"/>
              </w:tabs>
              <w:spacing w:before="0" w:after="0"/>
              <w:jc w:val="both"/>
              <w:rPr>
                <w:rFonts w:ascii="Times New Roman" w:hAnsi="Times New Roman"/>
                <w:color w:val="auto"/>
                <w:sz w:val="22"/>
                <w:szCs w:val="22"/>
              </w:rPr>
            </w:pPr>
            <w:r w:rsidRPr="009C1E28">
              <w:rPr>
                <w:rFonts w:ascii="Times New Roman" w:hAnsi="Times New Roman"/>
                <w:color w:val="auto"/>
                <w:sz w:val="22"/>
                <w:szCs w:val="22"/>
              </w:rPr>
              <w:t>(n = 307)</w:t>
            </w:r>
            <w:r w:rsidRPr="009C1E28">
              <w:rPr>
                <w:rFonts w:ascii="Times New Roman" w:hAnsi="Times New Roman"/>
                <w:color w:val="auto"/>
                <w:sz w:val="22"/>
                <w:szCs w:val="22"/>
                <w:vertAlign w:val="superscript"/>
              </w:rPr>
              <w:t>a,</w:t>
            </w:r>
            <w:r w:rsidRPr="009C1E28">
              <w:rPr>
                <w:rFonts w:ascii="Times New Roman" w:eastAsia="SimSun" w:hAnsi="Times New Roman"/>
                <w:iCs/>
                <w:color w:val="auto"/>
                <w:sz w:val="22"/>
                <w:szCs w:val="22"/>
                <w:vertAlign w:val="superscript"/>
              </w:rPr>
              <w:t>b</w:t>
            </w:r>
          </w:p>
        </w:tc>
      </w:tr>
      <w:tr w:rsidR="009C1E28" w:rsidRPr="009C1E28" w:rsidTr="00E627E3">
        <w:trPr>
          <w:trHeight w:val="242"/>
        </w:trPr>
        <w:tc>
          <w:tcPr>
            <w:tcW w:w="1951" w:type="pct"/>
          </w:tcPr>
          <w:p w:rsidR="009C1E28" w:rsidRPr="009C1E28" w:rsidRDefault="009C1E28" w:rsidP="009C1E28">
            <w:pPr>
              <w:keepNext/>
              <w:keepLines/>
              <w:tabs>
                <w:tab w:val="left" w:pos="567"/>
              </w:tabs>
              <w:spacing w:after="0"/>
              <w:jc w:val="both"/>
              <w:rPr>
                <w:rFonts w:ascii="Times New Roman" w:eastAsia="SimSun" w:hAnsi="Times New Roman" w:cs="Times New Roman"/>
                <w:b/>
                <w:iCs/>
                <w:lang w:val="pt-BR"/>
              </w:rPr>
            </w:pPr>
          </w:p>
        </w:tc>
        <w:tc>
          <w:tcPr>
            <w:tcW w:w="1692" w:type="pct"/>
          </w:tcPr>
          <w:p w:rsidR="009C1E28" w:rsidRPr="009C1E28" w:rsidRDefault="009C1E28" w:rsidP="009C1E28">
            <w:pPr>
              <w:pStyle w:val="TableHeaderCenter"/>
              <w:keepNext/>
              <w:keepLines/>
              <w:tabs>
                <w:tab w:val="left" w:pos="567"/>
              </w:tabs>
              <w:spacing w:before="0" w:after="0"/>
              <w:jc w:val="both"/>
              <w:rPr>
                <w:rFonts w:ascii="Times New Roman" w:hAnsi="Times New Roman"/>
                <w:color w:val="auto"/>
                <w:sz w:val="22"/>
                <w:szCs w:val="22"/>
              </w:rPr>
            </w:pPr>
            <w:r w:rsidRPr="009C1E28">
              <w:rPr>
                <w:rFonts w:ascii="Times New Roman" w:hAnsi="Times New Roman"/>
                <w:color w:val="auto"/>
                <w:sz w:val="22"/>
                <w:szCs w:val="22"/>
              </w:rPr>
              <w:t>SVR</w:t>
            </w:r>
          </w:p>
        </w:tc>
        <w:tc>
          <w:tcPr>
            <w:tcW w:w="1357" w:type="pct"/>
          </w:tcPr>
          <w:p w:rsidR="009C1E28" w:rsidRPr="009C1E28" w:rsidRDefault="009C1E28" w:rsidP="009C1E28">
            <w:pPr>
              <w:pStyle w:val="TableHeaderCenter"/>
              <w:keepNext/>
              <w:keepLines/>
              <w:tabs>
                <w:tab w:val="left" w:pos="567"/>
              </w:tabs>
              <w:spacing w:before="0" w:after="0"/>
              <w:jc w:val="both"/>
              <w:rPr>
                <w:rFonts w:ascii="Times New Roman" w:hAnsi="Times New Roman"/>
                <w:color w:val="auto"/>
                <w:sz w:val="22"/>
                <w:szCs w:val="22"/>
              </w:rPr>
            </w:pPr>
            <w:r w:rsidRPr="009C1E28">
              <w:rPr>
                <w:rFonts w:ascii="Times New Roman" w:hAnsi="Times New Roman"/>
                <w:color w:val="auto"/>
                <w:sz w:val="22"/>
                <w:szCs w:val="22"/>
              </w:rPr>
              <w:t>SVR</w:t>
            </w:r>
          </w:p>
        </w:tc>
      </w:tr>
      <w:tr w:rsidR="009C1E28" w:rsidRPr="009C1E28" w:rsidTr="00E627E3">
        <w:tc>
          <w:tcPr>
            <w:tcW w:w="5000" w:type="pct"/>
            <w:gridSpan w:val="3"/>
          </w:tcPr>
          <w:p w:rsidR="009C1E28" w:rsidRPr="009C1E28" w:rsidRDefault="009C1E28" w:rsidP="009C1E28">
            <w:pPr>
              <w:keepNext/>
              <w:keepLines/>
              <w:tabs>
                <w:tab w:val="left" w:pos="567"/>
              </w:tabs>
              <w:spacing w:after="0"/>
              <w:jc w:val="both"/>
              <w:rPr>
                <w:rFonts w:ascii="Times New Roman" w:eastAsia="SimSun" w:hAnsi="Times New Roman" w:cs="Times New Roman"/>
                <w:b/>
                <w:iCs/>
              </w:rPr>
            </w:pPr>
            <w:r w:rsidRPr="009C1E28">
              <w:rPr>
                <w:rFonts w:ascii="Times New Roman" w:eastAsia="SimSun" w:hAnsi="Times New Roman" w:cs="Times New Roman"/>
                <w:iCs/>
              </w:rPr>
              <w:t>Prije transplantacije</w:t>
            </w:r>
          </w:p>
        </w:tc>
      </w:tr>
      <w:tr w:rsidR="009C1E28" w:rsidRPr="009C1E28" w:rsidTr="00E627E3">
        <w:tc>
          <w:tcPr>
            <w:tcW w:w="1951" w:type="pct"/>
          </w:tcPr>
          <w:p w:rsidR="009C1E28" w:rsidRPr="009C1E28" w:rsidRDefault="009C1E28" w:rsidP="009C1E28">
            <w:pPr>
              <w:keepNext/>
              <w:keepLines/>
              <w:tabs>
                <w:tab w:val="left" w:pos="567"/>
              </w:tabs>
              <w:spacing w:after="0"/>
              <w:ind w:firstLine="270"/>
              <w:jc w:val="both"/>
              <w:rPr>
                <w:rFonts w:ascii="Times New Roman" w:eastAsia="SimSun" w:hAnsi="Times New Roman" w:cs="Times New Roman"/>
                <w:b/>
                <w:iCs/>
              </w:rPr>
            </w:pPr>
            <w:r w:rsidRPr="009C1E28">
              <w:rPr>
                <w:rFonts w:ascii="Times New Roman" w:eastAsia="SimSun" w:hAnsi="Times New Roman" w:cs="Times New Roman"/>
                <w:iCs/>
              </w:rPr>
              <w:t>CPT B</w:t>
            </w:r>
          </w:p>
        </w:tc>
        <w:tc>
          <w:tcPr>
            <w:tcW w:w="1692" w:type="pct"/>
          </w:tcPr>
          <w:p w:rsidR="009C1E28" w:rsidRPr="009C1E28" w:rsidRDefault="009C1E28" w:rsidP="009C1E28">
            <w:pPr>
              <w:keepNext/>
              <w:keepLines/>
              <w:tabs>
                <w:tab w:val="left" w:pos="567"/>
              </w:tabs>
              <w:spacing w:after="0"/>
              <w:jc w:val="both"/>
              <w:rPr>
                <w:rFonts w:ascii="Times New Roman" w:eastAsia="SimSun" w:hAnsi="Times New Roman" w:cs="Times New Roman"/>
                <w:b/>
                <w:iCs/>
              </w:rPr>
            </w:pPr>
            <w:r w:rsidRPr="009C1E28">
              <w:rPr>
                <w:rFonts w:ascii="Times New Roman" w:eastAsia="SimSun" w:hAnsi="Times New Roman" w:cs="Times New Roman"/>
                <w:iCs/>
              </w:rPr>
              <w:t>87% (45/52)</w:t>
            </w:r>
          </w:p>
        </w:tc>
        <w:tc>
          <w:tcPr>
            <w:tcW w:w="1357" w:type="pct"/>
          </w:tcPr>
          <w:p w:rsidR="009C1E28" w:rsidRPr="009C1E28" w:rsidRDefault="009C1E28" w:rsidP="009C1E28">
            <w:pPr>
              <w:keepNext/>
              <w:keepLines/>
              <w:tabs>
                <w:tab w:val="left" w:pos="567"/>
              </w:tabs>
              <w:spacing w:after="0"/>
              <w:jc w:val="both"/>
              <w:rPr>
                <w:rFonts w:ascii="Times New Roman" w:eastAsia="SimSun" w:hAnsi="Times New Roman" w:cs="Times New Roman"/>
                <w:b/>
                <w:iCs/>
              </w:rPr>
            </w:pPr>
            <w:r w:rsidRPr="009C1E28">
              <w:rPr>
                <w:rFonts w:ascii="Times New Roman" w:eastAsia="SimSun" w:hAnsi="Times New Roman" w:cs="Times New Roman"/>
                <w:iCs/>
              </w:rPr>
              <w:t>92% (46/50)</w:t>
            </w:r>
          </w:p>
        </w:tc>
      </w:tr>
      <w:tr w:rsidR="009C1E28" w:rsidRPr="009C1E28" w:rsidTr="00E627E3">
        <w:tc>
          <w:tcPr>
            <w:tcW w:w="1951" w:type="pct"/>
          </w:tcPr>
          <w:p w:rsidR="009C1E28" w:rsidRPr="009C1E28" w:rsidRDefault="009C1E28" w:rsidP="009C1E28">
            <w:pPr>
              <w:keepNext/>
              <w:keepLines/>
              <w:tabs>
                <w:tab w:val="left" w:pos="567"/>
              </w:tabs>
              <w:spacing w:after="0"/>
              <w:ind w:firstLine="270"/>
              <w:jc w:val="both"/>
              <w:rPr>
                <w:rFonts w:ascii="Times New Roman" w:eastAsia="SimSun" w:hAnsi="Times New Roman" w:cs="Times New Roman"/>
                <w:b/>
                <w:iCs/>
              </w:rPr>
            </w:pPr>
            <w:r w:rsidRPr="009C1E28">
              <w:rPr>
                <w:rFonts w:ascii="Times New Roman" w:eastAsia="SimSun" w:hAnsi="Times New Roman" w:cs="Times New Roman"/>
                <w:iCs/>
              </w:rPr>
              <w:t>CPT C</w:t>
            </w:r>
          </w:p>
        </w:tc>
        <w:tc>
          <w:tcPr>
            <w:tcW w:w="1692" w:type="pct"/>
          </w:tcPr>
          <w:p w:rsidR="009C1E28" w:rsidRPr="009C1E28" w:rsidRDefault="009C1E28" w:rsidP="009C1E28">
            <w:pPr>
              <w:keepNext/>
              <w:keepLines/>
              <w:tabs>
                <w:tab w:val="left" w:pos="567"/>
              </w:tabs>
              <w:spacing w:after="0"/>
              <w:jc w:val="both"/>
              <w:rPr>
                <w:rFonts w:ascii="Times New Roman" w:eastAsia="SimSun" w:hAnsi="Times New Roman" w:cs="Times New Roman"/>
                <w:b/>
                <w:iCs/>
              </w:rPr>
            </w:pPr>
            <w:r w:rsidRPr="009C1E28">
              <w:rPr>
                <w:rFonts w:ascii="Times New Roman" w:eastAsia="SimSun" w:hAnsi="Times New Roman" w:cs="Times New Roman"/>
                <w:iCs/>
              </w:rPr>
              <w:t>88% (35/40)</w:t>
            </w:r>
          </w:p>
        </w:tc>
        <w:tc>
          <w:tcPr>
            <w:tcW w:w="1357" w:type="pct"/>
          </w:tcPr>
          <w:p w:rsidR="009C1E28" w:rsidRPr="009C1E28" w:rsidRDefault="009C1E28" w:rsidP="009C1E28">
            <w:pPr>
              <w:keepNext/>
              <w:keepLines/>
              <w:tabs>
                <w:tab w:val="left" w:pos="567"/>
              </w:tabs>
              <w:spacing w:after="0"/>
              <w:jc w:val="both"/>
              <w:rPr>
                <w:rFonts w:ascii="Times New Roman" w:eastAsia="SimSun" w:hAnsi="Times New Roman" w:cs="Times New Roman"/>
                <w:b/>
                <w:iCs/>
              </w:rPr>
            </w:pPr>
            <w:r w:rsidRPr="009C1E28">
              <w:rPr>
                <w:rFonts w:ascii="Times New Roman" w:eastAsia="SimSun" w:hAnsi="Times New Roman" w:cs="Times New Roman"/>
                <w:iCs/>
              </w:rPr>
              <w:t>83% (38/46)</w:t>
            </w:r>
          </w:p>
        </w:tc>
      </w:tr>
      <w:tr w:rsidR="009C1E28" w:rsidRPr="009C1E28" w:rsidTr="00E627E3">
        <w:tc>
          <w:tcPr>
            <w:tcW w:w="5000" w:type="pct"/>
            <w:gridSpan w:val="3"/>
          </w:tcPr>
          <w:p w:rsidR="009C1E28" w:rsidRPr="009C1E28" w:rsidRDefault="009C1E28" w:rsidP="009C1E28">
            <w:pPr>
              <w:keepNext/>
              <w:keepLines/>
              <w:tabs>
                <w:tab w:val="left" w:pos="567"/>
              </w:tabs>
              <w:spacing w:after="0"/>
              <w:jc w:val="both"/>
              <w:rPr>
                <w:rFonts w:ascii="Times New Roman" w:eastAsia="SimSun" w:hAnsi="Times New Roman" w:cs="Times New Roman"/>
                <w:b/>
                <w:iCs/>
              </w:rPr>
            </w:pPr>
            <w:r w:rsidRPr="009C1E28">
              <w:rPr>
                <w:rFonts w:ascii="Times New Roman" w:eastAsia="SimSun" w:hAnsi="Times New Roman" w:cs="Times New Roman"/>
                <w:iCs/>
              </w:rPr>
              <w:t>Poslije transplantacije</w:t>
            </w:r>
          </w:p>
        </w:tc>
      </w:tr>
      <w:tr w:rsidR="009C1E28" w:rsidRPr="009C1E28" w:rsidTr="00E627E3">
        <w:tc>
          <w:tcPr>
            <w:tcW w:w="1951" w:type="pct"/>
          </w:tcPr>
          <w:p w:rsidR="009C1E28" w:rsidRPr="009C1E28" w:rsidRDefault="009C1E28" w:rsidP="009C1E28">
            <w:pPr>
              <w:keepNext/>
              <w:keepLines/>
              <w:tabs>
                <w:tab w:val="left" w:pos="567"/>
              </w:tabs>
              <w:spacing w:after="0"/>
              <w:ind w:firstLine="270"/>
              <w:jc w:val="both"/>
              <w:rPr>
                <w:rFonts w:ascii="Times New Roman" w:eastAsia="SimSun" w:hAnsi="Times New Roman" w:cs="Times New Roman"/>
                <w:b/>
                <w:iCs/>
              </w:rPr>
            </w:pPr>
            <w:r w:rsidRPr="009C1E28">
              <w:rPr>
                <w:rFonts w:ascii="Times New Roman" w:eastAsia="SimSun" w:hAnsi="Times New Roman" w:cs="Times New Roman"/>
                <w:iCs/>
              </w:rPr>
              <w:t>Metavir rezultat F0</w:t>
            </w:r>
            <w:r w:rsidRPr="009C1E28">
              <w:rPr>
                <w:rFonts w:ascii="Times New Roman" w:eastAsia="SimSun" w:hAnsi="Times New Roman" w:cs="Times New Roman"/>
                <w:iCs/>
              </w:rPr>
              <w:noBreakHyphen/>
              <w:t>F3</w:t>
            </w:r>
          </w:p>
        </w:tc>
        <w:tc>
          <w:tcPr>
            <w:tcW w:w="1692" w:type="pct"/>
          </w:tcPr>
          <w:p w:rsidR="009C1E28" w:rsidRPr="009C1E28" w:rsidRDefault="009C1E28" w:rsidP="009C1E28">
            <w:pPr>
              <w:keepNext/>
              <w:keepLines/>
              <w:tabs>
                <w:tab w:val="left" w:pos="567"/>
              </w:tabs>
              <w:spacing w:after="0"/>
              <w:jc w:val="both"/>
              <w:rPr>
                <w:rFonts w:ascii="Times New Roman" w:eastAsia="SimSun" w:hAnsi="Times New Roman" w:cs="Times New Roman"/>
                <w:b/>
                <w:iCs/>
              </w:rPr>
            </w:pPr>
            <w:r w:rsidRPr="009C1E28">
              <w:rPr>
                <w:rFonts w:ascii="Times New Roman" w:eastAsia="SimSun" w:hAnsi="Times New Roman" w:cs="Times New Roman"/>
                <w:iCs/>
              </w:rPr>
              <w:t>95% (94/99)</w:t>
            </w:r>
          </w:p>
        </w:tc>
        <w:tc>
          <w:tcPr>
            <w:tcW w:w="1357" w:type="pct"/>
          </w:tcPr>
          <w:p w:rsidR="009C1E28" w:rsidRPr="009C1E28" w:rsidRDefault="009C1E28" w:rsidP="009C1E28">
            <w:pPr>
              <w:keepNext/>
              <w:keepLines/>
              <w:tabs>
                <w:tab w:val="left" w:pos="567"/>
              </w:tabs>
              <w:spacing w:after="0"/>
              <w:jc w:val="both"/>
              <w:rPr>
                <w:rFonts w:ascii="Times New Roman" w:eastAsia="SimSun" w:hAnsi="Times New Roman" w:cs="Times New Roman"/>
                <w:b/>
                <w:iCs/>
              </w:rPr>
            </w:pPr>
            <w:r w:rsidRPr="009C1E28">
              <w:rPr>
                <w:rFonts w:ascii="Times New Roman" w:eastAsia="SimSun" w:hAnsi="Times New Roman" w:cs="Times New Roman"/>
                <w:iCs/>
              </w:rPr>
              <w:t>99% (99/100)</w:t>
            </w:r>
          </w:p>
        </w:tc>
      </w:tr>
      <w:tr w:rsidR="009C1E28" w:rsidRPr="009C1E28" w:rsidTr="00E627E3">
        <w:tc>
          <w:tcPr>
            <w:tcW w:w="1951" w:type="pct"/>
          </w:tcPr>
          <w:p w:rsidR="009C1E28" w:rsidRPr="009C1E28" w:rsidRDefault="009C1E28" w:rsidP="009C1E28">
            <w:pPr>
              <w:keepNext/>
              <w:keepLines/>
              <w:tabs>
                <w:tab w:val="left" w:pos="567"/>
              </w:tabs>
              <w:spacing w:after="0"/>
              <w:ind w:firstLine="270"/>
              <w:jc w:val="both"/>
              <w:rPr>
                <w:rFonts w:ascii="Times New Roman" w:eastAsia="SimSun" w:hAnsi="Times New Roman" w:cs="Times New Roman"/>
                <w:b/>
                <w:iCs/>
              </w:rPr>
            </w:pPr>
            <w:r w:rsidRPr="009C1E28">
              <w:rPr>
                <w:rFonts w:ascii="Times New Roman" w:eastAsia="SimSun" w:hAnsi="Times New Roman" w:cs="Times New Roman"/>
                <w:iCs/>
              </w:rPr>
              <w:t>CPT A</w:t>
            </w:r>
            <w:r w:rsidRPr="009C1E28">
              <w:rPr>
                <w:rFonts w:ascii="Times New Roman" w:eastAsia="SimSun" w:hAnsi="Times New Roman" w:cs="Times New Roman"/>
                <w:iCs/>
                <w:vertAlign w:val="superscript"/>
              </w:rPr>
              <w:t>c</w:t>
            </w:r>
          </w:p>
        </w:tc>
        <w:tc>
          <w:tcPr>
            <w:tcW w:w="1692" w:type="pct"/>
          </w:tcPr>
          <w:p w:rsidR="009C1E28" w:rsidRPr="009C1E28" w:rsidRDefault="009C1E28" w:rsidP="009C1E28">
            <w:pPr>
              <w:keepNext/>
              <w:keepLines/>
              <w:tabs>
                <w:tab w:val="left" w:pos="567"/>
              </w:tabs>
              <w:spacing w:after="0"/>
              <w:jc w:val="both"/>
              <w:rPr>
                <w:rFonts w:ascii="Times New Roman" w:eastAsia="SimSun" w:hAnsi="Times New Roman" w:cs="Times New Roman"/>
                <w:b/>
                <w:iCs/>
              </w:rPr>
            </w:pPr>
            <w:r w:rsidRPr="009C1E28">
              <w:rPr>
                <w:rFonts w:ascii="Times New Roman" w:eastAsia="SimSun" w:hAnsi="Times New Roman" w:cs="Times New Roman"/>
                <w:iCs/>
              </w:rPr>
              <w:t>98% (55/56)</w:t>
            </w:r>
          </w:p>
        </w:tc>
        <w:tc>
          <w:tcPr>
            <w:tcW w:w="1357" w:type="pct"/>
          </w:tcPr>
          <w:p w:rsidR="009C1E28" w:rsidRPr="009C1E28" w:rsidRDefault="009C1E28" w:rsidP="009C1E28">
            <w:pPr>
              <w:keepNext/>
              <w:keepLines/>
              <w:tabs>
                <w:tab w:val="left" w:pos="567"/>
              </w:tabs>
              <w:spacing w:after="0"/>
              <w:jc w:val="both"/>
              <w:rPr>
                <w:rFonts w:ascii="Times New Roman" w:eastAsia="SimSun" w:hAnsi="Times New Roman" w:cs="Times New Roman"/>
                <w:b/>
                <w:iCs/>
              </w:rPr>
            </w:pPr>
            <w:r w:rsidRPr="009C1E28">
              <w:rPr>
                <w:rFonts w:ascii="Times New Roman" w:eastAsia="SimSun" w:hAnsi="Times New Roman" w:cs="Times New Roman"/>
                <w:iCs/>
              </w:rPr>
              <w:t>96% (51/53)</w:t>
            </w:r>
          </w:p>
        </w:tc>
      </w:tr>
      <w:tr w:rsidR="009C1E28" w:rsidRPr="009C1E28" w:rsidTr="00E627E3">
        <w:tc>
          <w:tcPr>
            <w:tcW w:w="1951" w:type="pct"/>
          </w:tcPr>
          <w:p w:rsidR="009C1E28" w:rsidRPr="009C1E28" w:rsidRDefault="009C1E28" w:rsidP="009C1E28">
            <w:pPr>
              <w:keepNext/>
              <w:keepLines/>
              <w:tabs>
                <w:tab w:val="left" w:pos="567"/>
              </w:tabs>
              <w:spacing w:after="0"/>
              <w:ind w:firstLine="270"/>
              <w:jc w:val="both"/>
              <w:rPr>
                <w:rFonts w:ascii="Times New Roman" w:eastAsia="SimSun" w:hAnsi="Times New Roman" w:cs="Times New Roman"/>
                <w:b/>
                <w:iCs/>
              </w:rPr>
            </w:pPr>
            <w:r w:rsidRPr="009C1E28">
              <w:rPr>
                <w:rFonts w:ascii="Times New Roman" w:eastAsia="SimSun" w:hAnsi="Times New Roman" w:cs="Times New Roman"/>
                <w:iCs/>
              </w:rPr>
              <w:t>CPT B</w:t>
            </w:r>
            <w:r w:rsidRPr="009C1E28">
              <w:rPr>
                <w:rFonts w:ascii="Times New Roman" w:eastAsia="SimSun" w:hAnsi="Times New Roman" w:cs="Times New Roman"/>
                <w:iCs/>
                <w:vertAlign w:val="superscript"/>
              </w:rPr>
              <w:t>c</w:t>
            </w:r>
          </w:p>
        </w:tc>
        <w:tc>
          <w:tcPr>
            <w:tcW w:w="1692" w:type="pct"/>
          </w:tcPr>
          <w:p w:rsidR="009C1E28" w:rsidRPr="009C1E28" w:rsidRDefault="009C1E28" w:rsidP="009C1E28">
            <w:pPr>
              <w:keepNext/>
              <w:keepLines/>
              <w:tabs>
                <w:tab w:val="left" w:pos="567"/>
              </w:tabs>
              <w:spacing w:after="0"/>
              <w:jc w:val="both"/>
              <w:rPr>
                <w:rFonts w:ascii="Times New Roman" w:eastAsia="SimSun" w:hAnsi="Times New Roman" w:cs="Times New Roman"/>
                <w:b/>
                <w:iCs/>
              </w:rPr>
            </w:pPr>
            <w:r w:rsidRPr="009C1E28">
              <w:rPr>
                <w:rFonts w:ascii="Times New Roman" w:eastAsia="SimSun" w:hAnsi="Times New Roman" w:cs="Times New Roman"/>
                <w:iCs/>
              </w:rPr>
              <w:t>89% (41/46)</w:t>
            </w:r>
          </w:p>
        </w:tc>
        <w:tc>
          <w:tcPr>
            <w:tcW w:w="1357" w:type="pct"/>
          </w:tcPr>
          <w:p w:rsidR="009C1E28" w:rsidRPr="009C1E28" w:rsidRDefault="009C1E28" w:rsidP="009C1E28">
            <w:pPr>
              <w:keepNext/>
              <w:keepLines/>
              <w:tabs>
                <w:tab w:val="left" w:pos="567"/>
              </w:tabs>
              <w:spacing w:after="0"/>
              <w:jc w:val="both"/>
              <w:rPr>
                <w:rFonts w:ascii="Times New Roman" w:eastAsia="SimSun" w:hAnsi="Times New Roman" w:cs="Times New Roman"/>
                <w:b/>
                <w:iCs/>
              </w:rPr>
            </w:pPr>
            <w:r w:rsidRPr="009C1E28">
              <w:rPr>
                <w:rFonts w:ascii="Times New Roman" w:eastAsia="SimSun" w:hAnsi="Times New Roman" w:cs="Times New Roman"/>
                <w:iCs/>
              </w:rPr>
              <w:t>96% (43/45)</w:t>
            </w:r>
          </w:p>
        </w:tc>
      </w:tr>
      <w:tr w:rsidR="009C1E28" w:rsidRPr="009C1E28" w:rsidTr="00E627E3">
        <w:tc>
          <w:tcPr>
            <w:tcW w:w="1951" w:type="pct"/>
          </w:tcPr>
          <w:p w:rsidR="009C1E28" w:rsidRPr="009C1E28" w:rsidRDefault="009C1E28" w:rsidP="009C1E28">
            <w:pPr>
              <w:keepNext/>
              <w:keepLines/>
              <w:tabs>
                <w:tab w:val="left" w:pos="567"/>
              </w:tabs>
              <w:spacing w:after="0"/>
              <w:ind w:firstLine="270"/>
              <w:jc w:val="both"/>
              <w:rPr>
                <w:rFonts w:ascii="Times New Roman" w:eastAsia="SimSun" w:hAnsi="Times New Roman" w:cs="Times New Roman"/>
                <w:b/>
                <w:iCs/>
              </w:rPr>
            </w:pPr>
            <w:r w:rsidRPr="009C1E28">
              <w:rPr>
                <w:rFonts w:ascii="Times New Roman" w:eastAsia="SimSun" w:hAnsi="Times New Roman" w:cs="Times New Roman"/>
                <w:iCs/>
              </w:rPr>
              <w:t>CPT C</w:t>
            </w:r>
            <w:r w:rsidRPr="009C1E28">
              <w:rPr>
                <w:rFonts w:ascii="Times New Roman" w:eastAsia="SimSun" w:hAnsi="Times New Roman" w:cs="Times New Roman"/>
                <w:iCs/>
                <w:vertAlign w:val="superscript"/>
              </w:rPr>
              <w:t>c</w:t>
            </w:r>
          </w:p>
        </w:tc>
        <w:tc>
          <w:tcPr>
            <w:tcW w:w="1692" w:type="pct"/>
          </w:tcPr>
          <w:p w:rsidR="009C1E28" w:rsidRPr="009C1E28" w:rsidRDefault="009C1E28" w:rsidP="009C1E28">
            <w:pPr>
              <w:keepNext/>
              <w:keepLines/>
              <w:tabs>
                <w:tab w:val="left" w:pos="567"/>
              </w:tabs>
              <w:spacing w:after="0"/>
              <w:jc w:val="both"/>
              <w:rPr>
                <w:rFonts w:ascii="Times New Roman" w:eastAsia="SimSun" w:hAnsi="Times New Roman" w:cs="Times New Roman"/>
                <w:b/>
                <w:iCs/>
              </w:rPr>
            </w:pPr>
            <w:r w:rsidRPr="009C1E28">
              <w:rPr>
                <w:rFonts w:ascii="Times New Roman" w:eastAsia="SimSun" w:hAnsi="Times New Roman" w:cs="Times New Roman"/>
                <w:iCs/>
              </w:rPr>
              <w:t>57% (4/7)</w:t>
            </w:r>
          </w:p>
        </w:tc>
        <w:tc>
          <w:tcPr>
            <w:tcW w:w="1357" w:type="pct"/>
          </w:tcPr>
          <w:p w:rsidR="009C1E28" w:rsidRPr="009C1E28" w:rsidRDefault="009C1E28" w:rsidP="009C1E28">
            <w:pPr>
              <w:keepNext/>
              <w:keepLines/>
              <w:tabs>
                <w:tab w:val="left" w:pos="567"/>
              </w:tabs>
              <w:spacing w:after="0"/>
              <w:jc w:val="both"/>
              <w:rPr>
                <w:rFonts w:ascii="Times New Roman" w:eastAsia="SimSun" w:hAnsi="Times New Roman" w:cs="Times New Roman"/>
                <w:b/>
                <w:iCs/>
              </w:rPr>
            </w:pPr>
            <w:r w:rsidRPr="009C1E28">
              <w:rPr>
                <w:rFonts w:ascii="Times New Roman" w:eastAsia="SimSun" w:hAnsi="Times New Roman" w:cs="Times New Roman"/>
                <w:iCs/>
              </w:rPr>
              <w:t>78% (7/9)</w:t>
            </w:r>
          </w:p>
        </w:tc>
      </w:tr>
      <w:tr w:rsidR="009C1E28" w:rsidRPr="009C1E28" w:rsidTr="00E627E3">
        <w:tc>
          <w:tcPr>
            <w:tcW w:w="1951" w:type="pct"/>
          </w:tcPr>
          <w:p w:rsidR="009C1E28" w:rsidRPr="009C1E28" w:rsidRDefault="009C1E28" w:rsidP="009C1E28">
            <w:pPr>
              <w:keepNext/>
              <w:keepLines/>
              <w:tabs>
                <w:tab w:val="left" w:pos="567"/>
              </w:tabs>
              <w:spacing w:after="0"/>
              <w:ind w:firstLine="270"/>
              <w:jc w:val="both"/>
              <w:rPr>
                <w:rFonts w:ascii="Times New Roman" w:eastAsia="SimSun" w:hAnsi="Times New Roman" w:cs="Times New Roman"/>
                <w:b/>
                <w:iCs/>
              </w:rPr>
            </w:pPr>
            <w:r w:rsidRPr="009C1E28">
              <w:rPr>
                <w:rFonts w:ascii="Times New Roman" w:eastAsia="SimSun" w:hAnsi="Times New Roman" w:cs="Times New Roman"/>
                <w:iCs/>
              </w:rPr>
              <w:t>FCH</w:t>
            </w:r>
          </w:p>
        </w:tc>
        <w:tc>
          <w:tcPr>
            <w:tcW w:w="1692" w:type="pct"/>
          </w:tcPr>
          <w:p w:rsidR="009C1E28" w:rsidRPr="009C1E28" w:rsidRDefault="009C1E28" w:rsidP="009C1E28">
            <w:pPr>
              <w:keepNext/>
              <w:keepLines/>
              <w:tabs>
                <w:tab w:val="left" w:pos="567"/>
              </w:tabs>
              <w:spacing w:after="0"/>
              <w:jc w:val="both"/>
              <w:rPr>
                <w:rFonts w:ascii="Times New Roman" w:eastAsia="SimSun" w:hAnsi="Times New Roman" w:cs="Times New Roman"/>
                <w:b/>
                <w:iCs/>
              </w:rPr>
            </w:pPr>
            <w:r w:rsidRPr="009C1E28">
              <w:rPr>
                <w:rFonts w:ascii="Times New Roman" w:eastAsia="SimSun" w:hAnsi="Times New Roman" w:cs="Times New Roman"/>
                <w:iCs/>
              </w:rPr>
              <w:t>100% (7/7)</w:t>
            </w:r>
          </w:p>
        </w:tc>
        <w:tc>
          <w:tcPr>
            <w:tcW w:w="1357" w:type="pct"/>
          </w:tcPr>
          <w:p w:rsidR="009C1E28" w:rsidRPr="009C1E28" w:rsidRDefault="009C1E28" w:rsidP="009C1E28">
            <w:pPr>
              <w:keepNext/>
              <w:keepLines/>
              <w:tabs>
                <w:tab w:val="left" w:pos="567"/>
              </w:tabs>
              <w:spacing w:after="0"/>
              <w:jc w:val="both"/>
              <w:rPr>
                <w:rFonts w:ascii="Times New Roman" w:eastAsia="SimSun" w:hAnsi="Times New Roman" w:cs="Times New Roman"/>
                <w:b/>
                <w:iCs/>
              </w:rPr>
            </w:pPr>
            <w:r w:rsidRPr="009C1E28">
              <w:rPr>
                <w:rFonts w:ascii="Times New Roman" w:eastAsia="SimSun" w:hAnsi="Times New Roman" w:cs="Times New Roman"/>
                <w:iCs/>
              </w:rPr>
              <w:t>100% (4/4)</w:t>
            </w:r>
          </w:p>
        </w:tc>
      </w:tr>
    </w:tbl>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lastRenderedPageBreak/>
        <w:t>a. Dvanaest pacijenata koji su transplantirani prije 12. nedjelje nakon liječenja sa HCV RNK</w:t>
      </w:r>
      <w:r w:rsidRPr="009C1E28">
        <w:rPr>
          <w:rFonts w:ascii="Times New Roman" w:hAnsi="Times New Roman" w:cs="Times New Roman"/>
          <w:iCs/>
        </w:rPr>
        <w:t>&lt;</w:t>
      </w:r>
      <w:r w:rsidRPr="009C1E28">
        <w:rPr>
          <w:rFonts w:ascii="Times New Roman" w:hAnsi="Times New Roman" w:cs="Times New Roman"/>
        </w:rPr>
        <w:t>LLOQ na posljednjem mjerenju prije transplantacije su isključeni.</w:t>
      </w: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b. Dva pacijenta koji nijesu imali dekompenzovanu cirozu jetre i takođe nijesu imali transplantaciju jetre su isključeni, jer nijesu uspjeli ispuniti kriterijume za uključivanje u bilo koju od grupa za liječenje.</w:t>
      </w: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 xml:space="preserve">c. CPT = Child-Pugh-Turcotte. </w:t>
      </w:r>
      <w:r w:rsidRPr="009C1E28">
        <w:rPr>
          <w:rFonts w:ascii="Times New Roman" w:hAnsi="Times New Roman" w:cs="Times New Roman"/>
          <w:iCs/>
        </w:rPr>
        <w:t xml:space="preserve">FCH = Fibrizirajući holestatski hepatitis. </w:t>
      </w:r>
      <w:r w:rsidRPr="009C1E28">
        <w:rPr>
          <w:rFonts w:ascii="Times New Roman" w:hAnsi="Times New Roman" w:cs="Times New Roman"/>
        </w:rPr>
        <w:t>CPT A = CPT rezultat 5-6 (kompenzovana), CPT B = CPT rezultat 7-9 (dekompenzovana), CPT C = CPT rezultat 10-12 (dekompenzovana).</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spacing w:after="0"/>
        <w:jc w:val="both"/>
        <w:rPr>
          <w:rFonts w:ascii="Times New Roman" w:hAnsi="Times New Roman" w:cs="Times New Roman"/>
          <w:b/>
          <w:iCs/>
        </w:rPr>
      </w:pPr>
      <w:r w:rsidRPr="009C1E28">
        <w:rPr>
          <w:rFonts w:ascii="Times New Roman" w:hAnsi="Times New Roman" w:cs="Times New Roman"/>
          <w:iCs/>
        </w:rPr>
        <w:t xml:space="preserve">Četrdeset pacijenata sa CHC genotipa 4 je uključeno u studije SOLAR-1 i SOLAR-2, SVR 12 je bilo 92% (11/12) i 100% (10/10) kod pacijenata poslije transplantacije koji nijesu imali dekompenzovanu cirozu a 60% (6/10) i 75% (6/8) kod pacijenata sa dekompenzovanom cirozom (prije i poslije transplantacije jetre) koji su liječeni 12 ili 24 nedjelje, respektivno. </w:t>
      </w:r>
      <w:r w:rsidRPr="009C1E28">
        <w:rPr>
          <w:rFonts w:ascii="Times New Roman" w:hAnsi="Times New Roman" w:cs="Times New Roman"/>
        </w:rPr>
        <w:t>Od</w:t>
      </w:r>
      <w:r w:rsidRPr="009C1E28">
        <w:rPr>
          <w:rFonts w:ascii="Times New Roman" w:hAnsi="Times New Roman" w:cs="Times New Roman"/>
          <w:iCs/>
        </w:rPr>
        <w:t xml:space="preserve"> 7 pacijenata koji nijesu uspjeli da postignu SVR12, 3 je imalo relaps, svi su imali dekompezovanu cirozu ili su liječeni ledipasvirom/sofosbuvirom + ribavirinom tokom 12 nedjelja.</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iCs/>
        </w:rPr>
        <w:t xml:space="preserve">Promjene u MELD i CPT rezultatu od polazne vrijednosti do 12. nedjelje poslije tretmana su analizirane za sve pacijente sa dekompenzovanom cirozom </w:t>
      </w:r>
      <w:r w:rsidRPr="009C1E28">
        <w:rPr>
          <w:rFonts w:ascii="Times New Roman" w:hAnsi="Times New Roman" w:cs="Times New Roman"/>
        </w:rPr>
        <w:t>(prije ili poslije transplantacije) koji su postigli SVR12 i za koje su bili dostupni podaci (</w:t>
      </w:r>
      <w:r w:rsidRPr="009C1E28">
        <w:rPr>
          <w:rFonts w:ascii="Times New Roman" w:hAnsi="Times New Roman" w:cs="Times New Roman"/>
          <w:iCs/>
        </w:rPr>
        <w:t>n = 123) radi procjene uticaja SVR12 na funkciju jetre</w:t>
      </w:r>
      <w:r w:rsidRPr="009C1E28">
        <w:rPr>
          <w:rFonts w:ascii="Times New Roman" w:hAnsi="Times New Roman" w:cs="Times New Roman"/>
        </w:rPr>
        <w:t>.</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i/>
        </w:rPr>
        <w:t xml:space="preserve">Promjena MELD rezultata: </w:t>
      </w:r>
      <w:r w:rsidRPr="009C1E28">
        <w:rPr>
          <w:rFonts w:ascii="Times New Roman" w:hAnsi="Times New Roman" w:cs="Times New Roman"/>
        </w:rPr>
        <w:t xml:space="preserve">Među onima koji su postigli SVR12 sa 12-nedjeljnim liječenjem </w:t>
      </w:r>
      <w:r w:rsidRPr="009C1E28">
        <w:rPr>
          <w:rFonts w:ascii="Times New Roman" w:hAnsi="Times New Roman" w:cs="Times New Roman"/>
          <w:iCs/>
        </w:rPr>
        <w:t>ledipasvirom/sofosbuvirom + ribavirinom, 57% (70/123) i 19% (23/123</w:t>
      </w:r>
      <w:r w:rsidRPr="009C1E28">
        <w:rPr>
          <w:rFonts w:ascii="Times New Roman" w:hAnsi="Times New Roman" w:cs="Times New Roman"/>
        </w:rPr>
        <w:t xml:space="preserve">) je imalo poboljšanje ili nije imalo promjene MELD rezultata u odnosu na polazne vrijednosti do 12. nedjelje nakon liječenja; od 32 pacijenta čiji je MELD rezultat bio ≥15 na početku, </w:t>
      </w:r>
      <w:r w:rsidRPr="009C1E28">
        <w:rPr>
          <w:rFonts w:ascii="Times New Roman" w:hAnsi="Times New Roman" w:cs="Times New Roman"/>
          <w:iCs/>
        </w:rPr>
        <w:t>59% (19/32</w:t>
      </w:r>
      <w:r w:rsidRPr="009C1E28">
        <w:rPr>
          <w:rFonts w:ascii="Times New Roman" w:hAnsi="Times New Roman" w:cs="Times New Roman"/>
        </w:rPr>
        <w:t>) je imalo MELD rezultat &lt; 15 u 12. nedjelji nakon terapije. Registrovano poboljšanje u MELD rezultatima uglavnom je bilo posljedica poboljšanja ukupnog bilirubina.</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i/>
        </w:rPr>
        <w:t xml:space="preserve">Promjena CPT rezultata i klase: </w:t>
      </w:r>
      <w:r w:rsidRPr="009C1E28">
        <w:rPr>
          <w:rFonts w:ascii="Times New Roman" w:hAnsi="Times New Roman" w:cs="Times New Roman"/>
          <w:iCs/>
        </w:rPr>
        <w:t>Među onima koji su postigli SVR12 terapijom ledipasvirom/sofosbuvirom sa ribavirinom u trajanju od 12 nedjelja, 60% (74/123</w:t>
      </w:r>
      <w:r w:rsidRPr="009C1E28">
        <w:rPr>
          <w:rFonts w:ascii="Times New Roman" w:hAnsi="Times New Roman" w:cs="Times New Roman"/>
        </w:rPr>
        <w:t>) i 34% (</w:t>
      </w:r>
      <w:r w:rsidRPr="009C1E28">
        <w:rPr>
          <w:rFonts w:ascii="Times New Roman" w:hAnsi="Times New Roman" w:cs="Times New Roman"/>
          <w:iCs/>
        </w:rPr>
        <w:t>42/123</w:t>
      </w:r>
      <w:r w:rsidRPr="009C1E28">
        <w:rPr>
          <w:rFonts w:ascii="Times New Roman" w:hAnsi="Times New Roman" w:cs="Times New Roman"/>
        </w:rPr>
        <w:t xml:space="preserve">) je imalo poboljšanje ili nije imalo promjene CPT rezultata u odnosu na polazne vrijednosti do 12. nedjelja; od </w:t>
      </w:r>
      <w:r w:rsidRPr="009C1E28">
        <w:rPr>
          <w:rFonts w:ascii="Times New Roman" w:hAnsi="Times New Roman" w:cs="Times New Roman"/>
          <w:iCs/>
        </w:rPr>
        <w:t xml:space="preserve">32 </w:t>
      </w:r>
      <w:r w:rsidRPr="009C1E28">
        <w:rPr>
          <w:rFonts w:ascii="Times New Roman" w:hAnsi="Times New Roman" w:cs="Times New Roman"/>
        </w:rPr>
        <w:t xml:space="preserve">pacijenta koji su imali CPT C cirozu na početku, </w:t>
      </w:r>
      <w:r w:rsidRPr="009C1E28">
        <w:rPr>
          <w:rFonts w:ascii="Times New Roman" w:hAnsi="Times New Roman" w:cs="Times New Roman"/>
          <w:iCs/>
        </w:rPr>
        <w:t>53% (17/32</w:t>
      </w:r>
      <w:r w:rsidRPr="009C1E28">
        <w:rPr>
          <w:rFonts w:ascii="Times New Roman" w:hAnsi="Times New Roman" w:cs="Times New Roman"/>
        </w:rPr>
        <w:t xml:space="preserve">) je imalo CPTB cirozu u 12. nedjelji nakon terapije; od </w:t>
      </w:r>
      <w:r w:rsidRPr="009C1E28">
        <w:rPr>
          <w:rFonts w:ascii="Times New Roman" w:hAnsi="Times New Roman" w:cs="Times New Roman"/>
          <w:iCs/>
        </w:rPr>
        <w:t xml:space="preserve">88 </w:t>
      </w:r>
      <w:r w:rsidRPr="009C1E28">
        <w:rPr>
          <w:rFonts w:ascii="Times New Roman" w:hAnsi="Times New Roman" w:cs="Times New Roman"/>
        </w:rPr>
        <w:t xml:space="preserve">pacijenata koji su imali CPT B cirozu na početku, </w:t>
      </w:r>
      <w:r w:rsidRPr="009C1E28">
        <w:rPr>
          <w:rFonts w:ascii="Times New Roman" w:hAnsi="Times New Roman" w:cs="Times New Roman"/>
          <w:iCs/>
        </w:rPr>
        <w:t>25% (22/88</w:t>
      </w:r>
      <w:r w:rsidRPr="009C1E28">
        <w:rPr>
          <w:rFonts w:ascii="Times New Roman" w:hAnsi="Times New Roman" w:cs="Times New Roman"/>
        </w:rPr>
        <w:t>) je imalo CPT A cirozu u 12. nedjelji nakon terapije. Poboljšanje u CPT rezultatima uglavnom je bilo posljedica poboljšanja ukupnog bilirubina i albumina.</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keepNext/>
        <w:keepLines/>
        <w:spacing w:after="0"/>
        <w:jc w:val="both"/>
        <w:rPr>
          <w:rFonts w:ascii="Times New Roman" w:hAnsi="Times New Roman" w:cs="Times New Roman"/>
          <w:b/>
          <w:i/>
        </w:rPr>
      </w:pPr>
      <w:r w:rsidRPr="009C1E28">
        <w:rPr>
          <w:rFonts w:ascii="Times New Roman" w:hAnsi="Times New Roman" w:cs="Times New Roman"/>
          <w:i/>
        </w:rPr>
        <w:t>Klinička efikasnost i bezbjednost kod genotipa 2, 3, 4, 5 i 6 (vidjeti i odjeljak 4.4)</w:t>
      </w: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Ledipasvir/sofosbuvir je ispitivan za liječenje infekcija koje nijesu uzrokovane genotipom 1 u malim studijama faze II, kao što je sumirano u nastavku.</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U kliničke studije bili su uključeni pacijenti sa i bez ciroze koji prethodno nijesu bili liječeni ili koji su imali terapijski neuspjeh nakon terapije korišćenjem PEG</w:t>
      </w:r>
      <w:r w:rsidRPr="009C1E28">
        <w:rPr>
          <w:rFonts w:ascii="Times New Roman" w:hAnsi="Times New Roman" w:cs="Times New Roman"/>
        </w:rPr>
        <w:noBreakHyphen/>
        <w:t>IFN + ribavirin +/</w:t>
      </w:r>
      <w:r w:rsidRPr="009C1E28">
        <w:rPr>
          <w:rFonts w:ascii="Times New Roman" w:hAnsi="Times New Roman" w:cs="Times New Roman"/>
        </w:rPr>
        <w:noBreakHyphen/>
        <w:t xml:space="preserve"> inhibitor proteaze HCV.</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Za infekcije genotipovima 2, 4, 5 i 6, terapija se sastojala od kombinacije ledipasvira/sofosbuvira bez ribavirina, i davana je 12 nedjelja (Tabela 18). Za infekcije genotipom 3, davan je ledipasvir/sofosbuvir sa ili bez ribavirina, takođe tokom 12 nedjelja (Tabela 19).</w:t>
      </w:r>
    </w:p>
    <w:p w:rsidR="009C1E28" w:rsidRPr="009C1E28" w:rsidRDefault="009C1E28" w:rsidP="009C1E28">
      <w:pPr>
        <w:spacing w:after="0"/>
        <w:jc w:val="both"/>
        <w:rPr>
          <w:rFonts w:ascii="Times New Roman" w:hAnsi="Times New Roman" w:cs="Times New Roman"/>
          <w:b/>
          <w:i/>
        </w:rPr>
      </w:pPr>
    </w:p>
    <w:p w:rsidR="009C1E28" w:rsidRDefault="009C1E28" w:rsidP="009C1E28">
      <w:pPr>
        <w:keepNext/>
        <w:keepLines/>
        <w:spacing w:after="0"/>
        <w:jc w:val="both"/>
        <w:rPr>
          <w:rFonts w:ascii="Times New Roman" w:hAnsi="Times New Roman" w:cs="Times New Roman"/>
          <w:b/>
        </w:rPr>
      </w:pPr>
      <w:r w:rsidRPr="002045B8">
        <w:rPr>
          <w:rFonts w:ascii="Times New Roman" w:hAnsi="Times New Roman" w:cs="Times New Roman"/>
          <w:b/>
        </w:rPr>
        <w:lastRenderedPageBreak/>
        <w:t>Tabela 18: Stope reakcije (SVR12) sa ledipasvirom/sofosbuvirom tokom 12 sedmica kod pacijenata sa HCV infekcijom genotipa 2, 4, 5 i 6</w:t>
      </w:r>
    </w:p>
    <w:p w:rsidR="002045B8" w:rsidRPr="002045B8" w:rsidRDefault="002045B8" w:rsidP="009C1E28">
      <w:pPr>
        <w:keepNext/>
        <w:keepLines/>
        <w:spacing w:after="0"/>
        <w:jc w:val="both"/>
        <w:rPr>
          <w:rFonts w:ascii="Times New Roman" w:hAnsi="Times New Roman" w:cs="Times New Roman"/>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567"/>
        <w:gridCol w:w="567"/>
        <w:gridCol w:w="1276"/>
        <w:gridCol w:w="1417"/>
        <w:gridCol w:w="1418"/>
        <w:gridCol w:w="1729"/>
      </w:tblGrid>
      <w:tr w:rsidR="009C1E28" w:rsidRPr="009C1E28" w:rsidTr="00230CF3">
        <w:trPr>
          <w:tblHeader/>
        </w:trPr>
        <w:tc>
          <w:tcPr>
            <w:tcW w:w="2660" w:type="dxa"/>
            <w:vMerge w:val="restart"/>
          </w:tcPr>
          <w:p w:rsidR="009C1E28" w:rsidRPr="009C1E28" w:rsidRDefault="009C1E28" w:rsidP="009C1E28">
            <w:pPr>
              <w:keepNext/>
              <w:keepLines/>
              <w:tabs>
                <w:tab w:val="left" w:pos="567"/>
              </w:tabs>
              <w:spacing w:after="0"/>
              <w:jc w:val="both"/>
              <w:rPr>
                <w:rFonts w:ascii="Times New Roman" w:eastAsia="SimSun" w:hAnsi="Times New Roman" w:cs="Times New Roman"/>
              </w:rPr>
            </w:pPr>
            <w:r w:rsidRPr="009C1E28">
              <w:rPr>
                <w:rFonts w:ascii="Times New Roman" w:hAnsi="Times New Roman" w:cs="Times New Roman"/>
              </w:rPr>
              <w:t>Studija</w:t>
            </w:r>
          </w:p>
        </w:tc>
        <w:tc>
          <w:tcPr>
            <w:tcW w:w="567" w:type="dxa"/>
            <w:vMerge w:val="restart"/>
          </w:tcPr>
          <w:p w:rsidR="009C1E28" w:rsidRPr="009C1E28" w:rsidRDefault="009C1E28" w:rsidP="009C1E28">
            <w:pPr>
              <w:keepNext/>
              <w:keepLines/>
              <w:tabs>
                <w:tab w:val="left" w:pos="567"/>
              </w:tabs>
              <w:spacing w:after="0"/>
              <w:jc w:val="both"/>
              <w:rPr>
                <w:rFonts w:ascii="Times New Roman" w:eastAsia="SimSun" w:hAnsi="Times New Roman" w:cs="Times New Roman"/>
              </w:rPr>
            </w:pPr>
            <w:r w:rsidRPr="009C1E28">
              <w:rPr>
                <w:rFonts w:ascii="Times New Roman" w:hAnsi="Times New Roman" w:cs="Times New Roman"/>
              </w:rPr>
              <w:t>GT</w:t>
            </w:r>
          </w:p>
        </w:tc>
        <w:tc>
          <w:tcPr>
            <w:tcW w:w="567" w:type="dxa"/>
            <w:vMerge w:val="restart"/>
          </w:tcPr>
          <w:p w:rsidR="009C1E28" w:rsidRPr="009C1E28" w:rsidRDefault="009C1E28" w:rsidP="009C1E28">
            <w:pPr>
              <w:keepNext/>
              <w:keepLines/>
              <w:tabs>
                <w:tab w:val="left" w:pos="567"/>
              </w:tabs>
              <w:spacing w:after="0"/>
              <w:jc w:val="both"/>
              <w:rPr>
                <w:rFonts w:ascii="Times New Roman" w:eastAsia="SimSun" w:hAnsi="Times New Roman" w:cs="Times New Roman"/>
              </w:rPr>
            </w:pPr>
            <w:r w:rsidRPr="009C1E28">
              <w:rPr>
                <w:rFonts w:ascii="Times New Roman" w:hAnsi="Times New Roman" w:cs="Times New Roman"/>
              </w:rPr>
              <w:t>n</w:t>
            </w:r>
          </w:p>
        </w:tc>
        <w:tc>
          <w:tcPr>
            <w:tcW w:w="1276" w:type="dxa"/>
            <w:vMerge w:val="restart"/>
          </w:tcPr>
          <w:p w:rsidR="009C1E28" w:rsidRPr="009C1E28" w:rsidRDefault="009C1E28" w:rsidP="009C1E28">
            <w:pPr>
              <w:keepNext/>
              <w:keepLines/>
              <w:tabs>
                <w:tab w:val="left" w:pos="567"/>
              </w:tabs>
              <w:spacing w:after="0"/>
              <w:jc w:val="both"/>
              <w:rPr>
                <w:rFonts w:ascii="Times New Roman" w:eastAsia="SimSun" w:hAnsi="Times New Roman" w:cs="Times New Roman"/>
                <w:vertAlign w:val="superscript"/>
              </w:rPr>
            </w:pPr>
            <w:r w:rsidRPr="009C1E28">
              <w:rPr>
                <w:rFonts w:ascii="Times New Roman" w:hAnsi="Times New Roman" w:cs="Times New Roman"/>
              </w:rPr>
              <w:t>TE</w:t>
            </w:r>
            <w:r w:rsidRPr="009C1E28">
              <w:rPr>
                <w:rFonts w:ascii="Times New Roman" w:hAnsi="Times New Roman" w:cs="Times New Roman"/>
                <w:vertAlign w:val="superscript"/>
              </w:rPr>
              <w:t>a</w:t>
            </w:r>
          </w:p>
        </w:tc>
        <w:tc>
          <w:tcPr>
            <w:tcW w:w="2835" w:type="dxa"/>
            <w:gridSpan w:val="2"/>
          </w:tcPr>
          <w:p w:rsidR="009C1E28" w:rsidRPr="009C1E28" w:rsidRDefault="009C1E28" w:rsidP="009C1E28">
            <w:pPr>
              <w:keepNext/>
              <w:keepLines/>
              <w:tabs>
                <w:tab w:val="left" w:pos="567"/>
              </w:tabs>
              <w:spacing w:after="0"/>
              <w:jc w:val="both"/>
              <w:rPr>
                <w:rFonts w:ascii="Times New Roman" w:eastAsia="SimSun" w:hAnsi="Times New Roman" w:cs="Times New Roman"/>
              </w:rPr>
            </w:pPr>
            <w:r w:rsidRPr="009C1E28">
              <w:rPr>
                <w:rFonts w:ascii="Times New Roman" w:hAnsi="Times New Roman" w:cs="Times New Roman"/>
              </w:rPr>
              <w:t>SVR12</w:t>
            </w:r>
          </w:p>
        </w:tc>
        <w:tc>
          <w:tcPr>
            <w:tcW w:w="1729" w:type="dxa"/>
          </w:tcPr>
          <w:p w:rsidR="009C1E28" w:rsidRPr="009C1E28" w:rsidRDefault="009C1E28" w:rsidP="009C1E28">
            <w:pPr>
              <w:keepNext/>
              <w:keepLines/>
              <w:tabs>
                <w:tab w:val="left" w:pos="567"/>
              </w:tabs>
              <w:spacing w:after="0"/>
              <w:jc w:val="both"/>
              <w:rPr>
                <w:rFonts w:ascii="Times New Roman" w:eastAsia="SimSun" w:hAnsi="Times New Roman" w:cs="Times New Roman"/>
              </w:rPr>
            </w:pPr>
            <w:r w:rsidRPr="009C1E28">
              <w:rPr>
                <w:rFonts w:ascii="Times New Roman" w:hAnsi="Times New Roman" w:cs="Times New Roman"/>
              </w:rPr>
              <w:t>Relaps</w:t>
            </w:r>
            <w:r w:rsidRPr="009C1E28">
              <w:rPr>
                <w:rFonts w:ascii="Times New Roman" w:hAnsi="Times New Roman" w:cs="Times New Roman"/>
                <w:vertAlign w:val="superscript"/>
              </w:rPr>
              <w:t>b</w:t>
            </w:r>
          </w:p>
        </w:tc>
      </w:tr>
      <w:tr w:rsidR="009C1E28" w:rsidRPr="009C1E28" w:rsidTr="00230CF3">
        <w:trPr>
          <w:tblHeader/>
        </w:trPr>
        <w:tc>
          <w:tcPr>
            <w:tcW w:w="2660" w:type="dxa"/>
            <w:vMerge/>
          </w:tcPr>
          <w:p w:rsidR="009C1E28" w:rsidRPr="009C1E28" w:rsidRDefault="009C1E28" w:rsidP="009C1E28">
            <w:pPr>
              <w:keepNext/>
              <w:keepLines/>
              <w:tabs>
                <w:tab w:val="left" w:pos="567"/>
              </w:tabs>
              <w:spacing w:after="0"/>
              <w:jc w:val="both"/>
              <w:rPr>
                <w:rFonts w:ascii="Times New Roman" w:eastAsia="SimSun" w:hAnsi="Times New Roman" w:cs="Times New Roman"/>
              </w:rPr>
            </w:pPr>
          </w:p>
        </w:tc>
        <w:tc>
          <w:tcPr>
            <w:tcW w:w="567" w:type="dxa"/>
            <w:vMerge/>
          </w:tcPr>
          <w:p w:rsidR="009C1E28" w:rsidRPr="009C1E28" w:rsidRDefault="009C1E28" w:rsidP="009C1E28">
            <w:pPr>
              <w:keepNext/>
              <w:keepLines/>
              <w:tabs>
                <w:tab w:val="left" w:pos="567"/>
              </w:tabs>
              <w:spacing w:after="0"/>
              <w:jc w:val="both"/>
              <w:rPr>
                <w:rFonts w:ascii="Times New Roman" w:eastAsia="SimSun" w:hAnsi="Times New Roman" w:cs="Times New Roman"/>
              </w:rPr>
            </w:pPr>
          </w:p>
        </w:tc>
        <w:tc>
          <w:tcPr>
            <w:tcW w:w="567" w:type="dxa"/>
            <w:vMerge/>
          </w:tcPr>
          <w:p w:rsidR="009C1E28" w:rsidRPr="009C1E28" w:rsidRDefault="009C1E28" w:rsidP="009C1E28">
            <w:pPr>
              <w:keepNext/>
              <w:keepLines/>
              <w:tabs>
                <w:tab w:val="left" w:pos="567"/>
              </w:tabs>
              <w:spacing w:after="0"/>
              <w:jc w:val="both"/>
              <w:rPr>
                <w:rFonts w:ascii="Times New Roman" w:eastAsia="SimSun" w:hAnsi="Times New Roman" w:cs="Times New Roman"/>
              </w:rPr>
            </w:pPr>
          </w:p>
        </w:tc>
        <w:tc>
          <w:tcPr>
            <w:tcW w:w="1276" w:type="dxa"/>
            <w:vMerge/>
          </w:tcPr>
          <w:p w:rsidR="009C1E28" w:rsidRPr="009C1E28" w:rsidRDefault="009C1E28" w:rsidP="009C1E28">
            <w:pPr>
              <w:keepNext/>
              <w:keepLines/>
              <w:tabs>
                <w:tab w:val="left" w:pos="567"/>
              </w:tabs>
              <w:spacing w:after="0"/>
              <w:jc w:val="both"/>
              <w:rPr>
                <w:rFonts w:ascii="Times New Roman" w:eastAsia="SimSun" w:hAnsi="Times New Roman" w:cs="Times New Roman"/>
              </w:rPr>
            </w:pPr>
          </w:p>
        </w:tc>
        <w:tc>
          <w:tcPr>
            <w:tcW w:w="1417" w:type="dxa"/>
          </w:tcPr>
          <w:p w:rsidR="009C1E28" w:rsidRPr="009C1E28" w:rsidRDefault="009C1E28" w:rsidP="009C1E28">
            <w:pPr>
              <w:keepNext/>
              <w:keepLines/>
              <w:tabs>
                <w:tab w:val="left" w:pos="567"/>
              </w:tabs>
              <w:spacing w:after="0"/>
              <w:jc w:val="both"/>
              <w:rPr>
                <w:rFonts w:ascii="Times New Roman" w:eastAsia="SimSun" w:hAnsi="Times New Roman" w:cs="Times New Roman"/>
              </w:rPr>
            </w:pPr>
            <w:r w:rsidRPr="009C1E28">
              <w:rPr>
                <w:rFonts w:ascii="Times New Roman" w:hAnsi="Times New Roman" w:cs="Times New Roman"/>
              </w:rPr>
              <w:t>Ukupno</w:t>
            </w:r>
          </w:p>
        </w:tc>
        <w:tc>
          <w:tcPr>
            <w:tcW w:w="1418" w:type="dxa"/>
          </w:tcPr>
          <w:p w:rsidR="009C1E28" w:rsidRPr="009C1E28" w:rsidRDefault="009C1E28" w:rsidP="009C1E28">
            <w:pPr>
              <w:keepNext/>
              <w:keepLines/>
              <w:tabs>
                <w:tab w:val="left" w:pos="567"/>
              </w:tabs>
              <w:spacing w:after="0"/>
              <w:jc w:val="both"/>
              <w:rPr>
                <w:rFonts w:ascii="Times New Roman" w:eastAsia="SimSun" w:hAnsi="Times New Roman" w:cs="Times New Roman"/>
              </w:rPr>
            </w:pPr>
            <w:r w:rsidRPr="009C1E28">
              <w:rPr>
                <w:rFonts w:ascii="Times New Roman" w:hAnsi="Times New Roman" w:cs="Times New Roman"/>
              </w:rPr>
              <w:t>Ciroza</w:t>
            </w:r>
          </w:p>
        </w:tc>
        <w:tc>
          <w:tcPr>
            <w:tcW w:w="1729" w:type="dxa"/>
          </w:tcPr>
          <w:p w:rsidR="009C1E28" w:rsidRPr="009C1E28" w:rsidRDefault="009C1E28" w:rsidP="009C1E28">
            <w:pPr>
              <w:keepNext/>
              <w:keepLines/>
              <w:tabs>
                <w:tab w:val="left" w:pos="567"/>
              </w:tabs>
              <w:spacing w:after="0"/>
              <w:jc w:val="both"/>
              <w:rPr>
                <w:rFonts w:ascii="Times New Roman" w:eastAsia="SimSun" w:hAnsi="Times New Roman" w:cs="Times New Roman"/>
              </w:rPr>
            </w:pPr>
          </w:p>
        </w:tc>
      </w:tr>
      <w:tr w:rsidR="009C1E28" w:rsidRPr="009C1E28" w:rsidTr="00230CF3">
        <w:tc>
          <w:tcPr>
            <w:tcW w:w="2660" w:type="dxa"/>
          </w:tcPr>
          <w:p w:rsidR="009C1E28" w:rsidRPr="009C1E28" w:rsidRDefault="009C1E28" w:rsidP="009C1E28">
            <w:pPr>
              <w:keepNext/>
              <w:keepLines/>
              <w:tabs>
                <w:tab w:val="left" w:pos="567"/>
              </w:tabs>
              <w:spacing w:after="0"/>
              <w:jc w:val="both"/>
              <w:rPr>
                <w:rFonts w:ascii="Times New Roman" w:eastAsia="SimSun" w:hAnsi="Times New Roman" w:cs="Times New Roman"/>
                <w:b/>
              </w:rPr>
            </w:pPr>
            <w:r w:rsidRPr="009C1E28">
              <w:rPr>
                <w:rFonts w:ascii="Times New Roman" w:hAnsi="Times New Roman" w:cs="Times New Roman"/>
              </w:rPr>
              <w:t>Studija 1468 (LEPTON)</w:t>
            </w:r>
          </w:p>
        </w:tc>
        <w:tc>
          <w:tcPr>
            <w:tcW w:w="567" w:type="dxa"/>
          </w:tcPr>
          <w:p w:rsidR="009C1E28" w:rsidRPr="009C1E28" w:rsidRDefault="009C1E28" w:rsidP="009C1E28">
            <w:pPr>
              <w:keepNext/>
              <w:keepLines/>
              <w:tabs>
                <w:tab w:val="left" w:pos="567"/>
              </w:tabs>
              <w:spacing w:after="0"/>
              <w:jc w:val="both"/>
              <w:rPr>
                <w:rFonts w:ascii="Times New Roman" w:eastAsia="SimSun" w:hAnsi="Times New Roman" w:cs="Times New Roman"/>
                <w:b/>
              </w:rPr>
            </w:pPr>
            <w:r w:rsidRPr="009C1E28">
              <w:rPr>
                <w:rFonts w:ascii="Times New Roman" w:hAnsi="Times New Roman" w:cs="Times New Roman"/>
              </w:rPr>
              <w:t>2</w:t>
            </w:r>
          </w:p>
        </w:tc>
        <w:tc>
          <w:tcPr>
            <w:tcW w:w="567" w:type="dxa"/>
          </w:tcPr>
          <w:p w:rsidR="009C1E28" w:rsidRPr="009C1E28" w:rsidRDefault="009C1E28" w:rsidP="009C1E28">
            <w:pPr>
              <w:keepNext/>
              <w:keepLines/>
              <w:tabs>
                <w:tab w:val="left" w:pos="567"/>
              </w:tabs>
              <w:spacing w:after="0"/>
              <w:jc w:val="both"/>
              <w:rPr>
                <w:rFonts w:ascii="Times New Roman" w:eastAsia="SimSun" w:hAnsi="Times New Roman" w:cs="Times New Roman"/>
                <w:b/>
              </w:rPr>
            </w:pPr>
            <w:r w:rsidRPr="009C1E28">
              <w:rPr>
                <w:rFonts w:ascii="Times New Roman" w:hAnsi="Times New Roman" w:cs="Times New Roman"/>
              </w:rPr>
              <w:t>26</w:t>
            </w:r>
          </w:p>
        </w:tc>
        <w:tc>
          <w:tcPr>
            <w:tcW w:w="1276" w:type="dxa"/>
          </w:tcPr>
          <w:p w:rsidR="009C1E28" w:rsidRPr="009C1E28" w:rsidRDefault="009C1E28" w:rsidP="009C1E28">
            <w:pPr>
              <w:keepNext/>
              <w:keepLines/>
              <w:tabs>
                <w:tab w:val="left" w:pos="567"/>
              </w:tabs>
              <w:spacing w:after="0"/>
              <w:jc w:val="both"/>
              <w:rPr>
                <w:rFonts w:ascii="Times New Roman" w:eastAsia="SimSun" w:hAnsi="Times New Roman" w:cs="Times New Roman"/>
                <w:b/>
              </w:rPr>
            </w:pPr>
            <w:r w:rsidRPr="009C1E28">
              <w:rPr>
                <w:rFonts w:ascii="Times New Roman" w:hAnsi="Times New Roman" w:cs="Times New Roman"/>
              </w:rPr>
              <w:t>19% (5/26)</w:t>
            </w:r>
          </w:p>
        </w:tc>
        <w:tc>
          <w:tcPr>
            <w:tcW w:w="1417" w:type="dxa"/>
          </w:tcPr>
          <w:p w:rsidR="009C1E28" w:rsidRPr="009C1E28" w:rsidRDefault="009C1E28" w:rsidP="009C1E28">
            <w:pPr>
              <w:keepNext/>
              <w:keepLines/>
              <w:tabs>
                <w:tab w:val="left" w:pos="567"/>
              </w:tabs>
              <w:spacing w:after="0"/>
              <w:jc w:val="both"/>
              <w:rPr>
                <w:rFonts w:ascii="Times New Roman" w:eastAsia="SimSun" w:hAnsi="Times New Roman" w:cs="Times New Roman"/>
                <w:b/>
              </w:rPr>
            </w:pPr>
            <w:r w:rsidRPr="009C1E28">
              <w:rPr>
                <w:rFonts w:ascii="Times New Roman" w:hAnsi="Times New Roman" w:cs="Times New Roman"/>
              </w:rPr>
              <w:t>96% (25/26)</w:t>
            </w:r>
          </w:p>
        </w:tc>
        <w:tc>
          <w:tcPr>
            <w:tcW w:w="1418" w:type="dxa"/>
          </w:tcPr>
          <w:p w:rsidR="009C1E28" w:rsidRPr="009C1E28" w:rsidRDefault="009C1E28" w:rsidP="009C1E28">
            <w:pPr>
              <w:keepNext/>
              <w:keepLines/>
              <w:tabs>
                <w:tab w:val="left" w:pos="567"/>
              </w:tabs>
              <w:spacing w:after="0"/>
              <w:jc w:val="both"/>
              <w:rPr>
                <w:rFonts w:ascii="Times New Roman" w:eastAsia="SimSun" w:hAnsi="Times New Roman" w:cs="Times New Roman"/>
                <w:b/>
              </w:rPr>
            </w:pPr>
            <w:r w:rsidRPr="009C1E28">
              <w:rPr>
                <w:rFonts w:ascii="Times New Roman" w:hAnsi="Times New Roman" w:cs="Times New Roman"/>
              </w:rPr>
              <w:t>100% (2/2)</w:t>
            </w:r>
          </w:p>
        </w:tc>
        <w:tc>
          <w:tcPr>
            <w:tcW w:w="1729" w:type="dxa"/>
          </w:tcPr>
          <w:p w:rsidR="009C1E28" w:rsidRPr="009C1E28" w:rsidRDefault="009C1E28" w:rsidP="009C1E28">
            <w:pPr>
              <w:keepNext/>
              <w:keepLines/>
              <w:tabs>
                <w:tab w:val="left" w:pos="567"/>
              </w:tabs>
              <w:spacing w:after="0"/>
              <w:jc w:val="both"/>
              <w:rPr>
                <w:rFonts w:ascii="Times New Roman" w:eastAsia="SimSun" w:hAnsi="Times New Roman" w:cs="Times New Roman"/>
                <w:b/>
                <w:vertAlign w:val="superscript"/>
              </w:rPr>
            </w:pPr>
            <w:r w:rsidRPr="009C1E28">
              <w:rPr>
                <w:rFonts w:ascii="Times New Roman" w:hAnsi="Times New Roman" w:cs="Times New Roman"/>
              </w:rPr>
              <w:t>0% (0/25)</w:t>
            </w:r>
          </w:p>
        </w:tc>
      </w:tr>
      <w:tr w:rsidR="009C1E28" w:rsidRPr="009C1E28" w:rsidTr="00230CF3">
        <w:tc>
          <w:tcPr>
            <w:tcW w:w="2660" w:type="dxa"/>
          </w:tcPr>
          <w:p w:rsidR="009C1E28" w:rsidRPr="009C1E28" w:rsidRDefault="009C1E28" w:rsidP="009C1E28">
            <w:pPr>
              <w:keepNext/>
              <w:keepLines/>
              <w:tabs>
                <w:tab w:val="left" w:pos="567"/>
              </w:tabs>
              <w:spacing w:after="0"/>
              <w:jc w:val="both"/>
              <w:rPr>
                <w:rFonts w:ascii="Times New Roman" w:eastAsia="SimSun" w:hAnsi="Times New Roman" w:cs="Times New Roman"/>
                <w:b/>
              </w:rPr>
            </w:pPr>
            <w:r w:rsidRPr="009C1E28">
              <w:rPr>
                <w:rFonts w:ascii="Times New Roman" w:hAnsi="Times New Roman" w:cs="Times New Roman"/>
              </w:rPr>
              <w:t xml:space="preserve">Studija 1119 </w:t>
            </w:r>
          </w:p>
        </w:tc>
        <w:tc>
          <w:tcPr>
            <w:tcW w:w="567" w:type="dxa"/>
          </w:tcPr>
          <w:p w:rsidR="009C1E28" w:rsidRPr="009C1E28" w:rsidRDefault="009C1E28" w:rsidP="009C1E28">
            <w:pPr>
              <w:keepNext/>
              <w:keepLines/>
              <w:tabs>
                <w:tab w:val="left" w:pos="567"/>
              </w:tabs>
              <w:spacing w:after="0"/>
              <w:jc w:val="both"/>
              <w:rPr>
                <w:rFonts w:ascii="Times New Roman" w:eastAsia="SimSun" w:hAnsi="Times New Roman" w:cs="Times New Roman"/>
                <w:b/>
              </w:rPr>
            </w:pPr>
            <w:r w:rsidRPr="009C1E28">
              <w:rPr>
                <w:rFonts w:ascii="Times New Roman" w:hAnsi="Times New Roman" w:cs="Times New Roman"/>
              </w:rPr>
              <w:t>4</w:t>
            </w:r>
          </w:p>
        </w:tc>
        <w:tc>
          <w:tcPr>
            <w:tcW w:w="567" w:type="dxa"/>
          </w:tcPr>
          <w:p w:rsidR="009C1E28" w:rsidRPr="009C1E28" w:rsidRDefault="009C1E28" w:rsidP="009C1E28">
            <w:pPr>
              <w:keepNext/>
              <w:keepLines/>
              <w:tabs>
                <w:tab w:val="left" w:pos="567"/>
              </w:tabs>
              <w:spacing w:after="0"/>
              <w:jc w:val="both"/>
              <w:rPr>
                <w:rFonts w:ascii="Times New Roman" w:eastAsia="SimSun" w:hAnsi="Times New Roman" w:cs="Times New Roman"/>
                <w:b/>
              </w:rPr>
            </w:pPr>
            <w:r w:rsidRPr="009C1E28">
              <w:rPr>
                <w:rFonts w:ascii="Times New Roman" w:hAnsi="Times New Roman" w:cs="Times New Roman"/>
              </w:rPr>
              <w:t>44</w:t>
            </w:r>
          </w:p>
        </w:tc>
        <w:tc>
          <w:tcPr>
            <w:tcW w:w="1276" w:type="dxa"/>
          </w:tcPr>
          <w:p w:rsidR="009C1E28" w:rsidRPr="009C1E28" w:rsidRDefault="009C1E28" w:rsidP="009C1E28">
            <w:pPr>
              <w:keepNext/>
              <w:keepLines/>
              <w:tabs>
                <w:tab w:val="left" w:pos="567"/>
              </w:tabs>
              <w:spacing w:after="0"/>
              <w:jc w:val="both"/>
              <w:rPr>
                <w:rFonts w:ascii="Times New Roman" w:eastAsia="SimSun" w:hAnsi="Times New Roman" w:cs="Times New Roman"/>
                <w:b/>
              </w:rPr>
            </w:pPr>
            <w:r w:rsidRPr="009C1E28">
              <w:rPr>
                <w:rFonts w:ascii="Times New Roman" w:hAnsi="Times New Roman" w:cs="Times New Roman"/>
              </w:rPr>
              <w:t>50% (22/44)</w:t>
            </w:r>
          </w:p>
        </w:tc>
        <w:tc>
          <w:tcPr>
            <w:tcW w:w="1417" w:type="dxa"/>
          </w:tcPr>
          <w:p w:rsidR="009C1E28" w:rsidRPr="009C1E28" w:rsidRDefault="009C1E28" w:rsidP="009C1E28">
            <w:pPr>
              <w:keepNext/>
              <w:keepLines/>
              <w:tabs>
                <w:tab w:val="left" w:pos="567"/>
              </w:tabs>
              <w:spacing w:after="0"/>
              <w:jc w:val="both"/>
              <w:rPr>
                <w:rFonts w:ascii="Times New Roman" w:eastAsia="SimSun" w:hAnsi="Times New Roman" w:cs="Times New Roman"/>
                <w:b/>
              </w:rPr>
            </w:pPr>
            <w:r w:rsidRPr="009C1E28">
              <w:rPr>
                <w:rFonts w:ascii="Times New Roman" w:hAnsi="Times New Roman" w:cs="Times New Roman"/>
              </w:rPr>
              <w:t>93% (41/44)</w:t>
            </w:r>
          </w:p>
        </w:tc>
        <w:tc>
          <w:tcPr>
            <w:tcW w:w="1418" w:type="dxa"/>
          </w:tcPr>
          <w:p w:rsidR="009C1E28" w:rsidRPr="009C1E28" w:rsidRDefault="009C1E28" w:rsidP="009C1E28">
            <w:pPr>
              <w:keepNext/>
              <w:keepLines/>
              <w:tabs>
                <w:tab w:val="left" w:pos="567"/>
              </w:tabs>
              <w:spacing w:after="0"/>
              <w:jc w:val="both"/>
              <w:rPr>
                <w:rFonts w:ascii="Times New Roman" w:eastAsia="SimSun" w:hAnsi="Times New Roman" w:cs="Times New Roman"/>
                <w:b/>
              </w:rPr>
            </w:pPr>
            <w:r w:rsidRPr="009C1E28">
              <w:rPr>
                <w:rFonts w:ascii="Times New Roman" w:hAnsi="Times New Roman" w:cs="Times New Roman"/>
              </w:rPr>
              <w:t>100% (10/10)</w:t>
            </w:r>
          </w:p>
        </w:tc>
        <w:tc>
          <w:tcPr>
            <w:tcW w:w="1729" w:type="dxa"/>
          </w:tcPr>
          <w:p w:rsidR="009C1E28" w:rsidRPr="009C1E28" w:rsidRDefault="009C1E28" w:rsidP="009C1E28">
            <w:pPr>
              <w:keepNext/>
              <w:keepLines/>
              <w:tabs>
                <w:tab w:val="left" w:pos="567"/>
              </w:tabs>
              <w:spacing w:after="0"/>
              <w:jc w:val="both"/>
              <w:rPr>
                <w:rFonts w:ascii="Times New Roman" w:eastAsia="SimSun" w:hAnsi="Times New Roman" w:cs="Times New Roman"/>
                <w:b/>
              </w:rPr>
            </w:pPr>
            <w:r w:rsidRPr="009C1E28">
              <w:rPr>
                <w:rFonts w:ascii="Times New Roman" w:hAnsi="Times New Roman" w:cs="Times New Roman"/>
              </w:rPr>
              <w:t>7% (3/44)</w:t>
            </w:r>
          </w:p>
        </w:tc>
      </w:tr>
      <w:tr w:rsidR="009C1E28" w:rsidRPr="009C1E28" w:rsidTr="00230CF3">
        <w:tc>
          <w:tcPr>
            <w:tcW w:w="2660" w:type="dxa"/>
          </w:tcPr>
          <w:p w:rsidR="009C1E28" w:rsidRPr="009C1E28" w:rsidRDefault="009C1E28" w:rsidP="009C1E28">
            <w:pPr>
              <w:keepNext/>
              <w:keepLines/>
              <w:tabs>
                <w:tab w:val="left" w:pos="567"/>
              </w:tabs>
              <w:spacing w:after="0"/>
              <w:jc w:val="both"/>
              <w:rPr>
                <w:rFonts w:ascii="Times New Roman" w:eastAsia="SimSun" w:hAnsi="Times New Roman" w:cs="Times New Roman"/>
                <w:b/>
              </w:rPr>
            </w:pPr>
            <w:r w:rsidRPr="009C1E28">
              <w:rPr>
                <w:rFonts w:ascii="Times New Roman" w:hAnsi="Times New Roman" w:cs="Times New Roman"/>
              </w:rPr>
              <w:t>Studija 1119</w:t>
            </w:r>
          </w:p>
        </w:tc>
        <w:tc>
          <w:tcPr>
            <w:tcW w:w="567" w:type="dxa"/>
          </w:tcPr>
          <w:p w:rsidR="009C1E28" w:rsidRPr="009C1E28" w:rsidRDefault="009C1E28" w:rsidP="009C1E28">
            <w:pPr>
              <w:keepNext/>
              <w:keepLines/>
              <w:tabs>
                <w:tab w:val="left" w:pos="567"/>
              </w:tabs>
              <w:spacing w:after="0"/>
              <w:jc w:val="both"/>
              <w:rPr>
                <w:rFonts w:ascii="Times New Roman" w:eastAsia="SimSun" w:hAnsi="Times New Roman" w:cs="Times New Roman"/>
                <w:b/>
              </w:rPr>
            </w:pPr>
            <w:r w:rsidRPr="009C1E28">
              <w:rPr>
                <w:rFonts w:ascii="Times New Roman" w:hAnsi="Times New Roman" w:cs="Times New Roman"/>
              </w:rPr>
              <w:t>5</w:t>
            </w:r>
          </w:p>
        </w:tc>
        <w:tc>
          <w:tcPr>
            <w:tcW w:w="567" w:type="dxa"/>
          </w:tcPr>
          <w:p w:rsidR="009C1E28" w:rsidRPr="009C1E28" w:rsidRDefault="009C1E28" w:rsidP="009C1E28">
            <w:pPr>
              <w:keepNext/>
              <w:keepLines/>
              <w:tabs>
                <w:tab w:val="left" w:pos="567"/>
              </w:tabs>
              <w:spacing w:after="0"/>
              <w:jc w:val="both"/>
              <w:rPr>
                <w:rFonts w:ascii="Times New Roman" w:eastAsia="SimSun" w:hAnsi="Times New Roman" w:cs="Times New Roman"/>
                <w:b/>
              </w:rPr>
            </w:pPr>
            <w:r w:rsidRPr="009C1E28">
              <w:rPr>
                <w:rFonts w:ascii="Times New Roman" w:hAnsi="Times New Roman" w:cs="Times New Roman"/>
              </w:rPr>
              <w:t>41</w:t>
            </w:r>
          </w:p>
        </w:tc>
        <w:tc>
          <w:tcPr>
            <w:tcW w:w="1276" w:type="dxa"/>
          </w:tcPr>
          <w:p w:rsidR="009C1E28" w:rsidRPr="009C1E28" w:rsidRDefault="009C1E28" w:rsidP="009C1E28">
            <w:pPr>
              <w:keepNext/>
              <w:keepLines/>
              <w:tabs>
                <w:tab w:val="left" w:pos="567"/>
              </w:tabs>
              <w:spacing w:after="0"/>
              <w:jc w:val="both"/>
              <w:rPr>
                <w:rFonts w:ascii="Times New Roman" w:eastAsia="SimSun" w:hAnsi="Times New Roman" w:cs="Times New Roman"/>
                <w:b/>
              </w:rPr>
            </w:pPr>
            <w:r w:rsidRPr="009C1E28">
              <w:rPr>
                <w:rFonts w:ascii="Times New Roman" w:hAnsi="Times New Roman" w:cs="Times New Roman"/>
              </w:rPr>
              <w:t>49% (20/41)</w:t>
            </w:r>
          </w:p>
        </w:tc>
        <w:tc>
          <w:tcPr>
            <w:tcW w:w="1417" w:type="dxa"/>
          </w:tcPr>
          <w:p w:rsidR="009C1E28" w:rsidRPr="009C1E28" w:rsidRDefault="009C1E28" w:rsidP="009C1E28">
            <w:pPr>
              <w:keepNext/>
              <w:keepLines/>
              <w:tabs>
                <w:tab w:val="left" w:pos="567"/>
              </w:tabs>
              <w:spacing w:after="0"/>
              <w:jc w:val="both"/>
              <w:rPr>
                <w:rFonts w:ascii="Times New Roman" w:eastAsia="SimSun" w:hAnsi="Times New Roman" w:cs="Times New Roman"/>
                <w:b/>
              </w:rPr>
            </w:pPr>
            <w:r w:rsidRPr="009C1E28">
              <w:rPr>
                <w:rFonts w:ascii="Times New Roman" w:hAnsi="Times New Roman" w:cs="Times New Roman"/>
              </w:rPr>
              <w:t>93% (38/41)</w:t>
            </w:r>
          </w:p>
        </w:tc>
        <w:tc>
          <w:tcPr>
            <w:tcW w:w="1418" w:type="dxa"/>
          </w:tcPr>
          <w:p w:rsidR="009C1E28" w:rsidRPr="009C1E28" w:rsidRDefault="009C1E28" w:rsidP="009C1E28">
            <w:pPr>
              <w:keepNext/>
              <w:keepLines/>
              <w:tabs>
                <w:tab w:val="left" w:pos="567"/>
              </w:tabs>
              <w:spacing w:after="0"/>
              <w:jc w:val="both"/>
              <w:rPr>
                <w:rFonts w:ascii="Times New Roman" w:eastAsia="SimSun" w:hAnsi="Times New Roman" w:cs="Times New Roman"/>
                <w:b/>
              </w:rPr>
            </w:pPr>
            <w:r w:rsidRPr="009C1E28">
              <w:rPr>
                <w:rFonts w:ascii="Times New Roman" w:hAnsi="Times New Roman" w:cs="Times New Roman"/>
              </w:rPr>
              <w:t>89% (8/9)</w:t>
            </w:r>
          </w:p>
        </w:tc>
        <w:tc>
          <w:tcPr>
            <w:tcW w:w="1729" w:type="dxa"/>
          </w:tcPr>
          <w:p w:rsidR="009C1E28" w:rsidRPr="009C1E28" w:rsidRDefault="009C1E28" w:rsidP="009C1E28">
            <w:pPr>
              <w:keepNext/>
              <w:keepLines/>
              <w:tabs>
                <w:tab w:val="left" w:pos="567"/>
              </w:tabs>
              <w:spacing w:after="0"/>
              <w:jc w:val="both"/>
              <w:rPr>
                <w:rFonts w:ascii="Times New Roman" w:eastAsia="SimSun" w:hAnsi="Times New Roman" w:cs="Times New Roman"/>
                <w:b/>
                <w:vertAlign w:val="superscript"/>
              </w:rPr>
            </w:pPr>
            <w:r w:rsidRPr="009C1E28">
              <w:rPr>
                <w:rFonts w:ascii="Times New Roman" w:hAnsi="Times New Roman" w:cs="Times New Roman"/>
              </w:rPr>
              <w:t>5% (2/40)</w:t>
            </w:r>
          </w:p>
        </w:tc>
      </w:tr>
      <w:tr w:rsidR="009C1E28" w:rsidRPr="009C1E28" w:rsidTr="00230CF3">
        <w:tc>
          <w:tcPr>
            <w:tcW w:w="2660" w:type="dxa"/>
          </w:tcPr>
          <w:p w:rsidR="009C1E28" w:rsidRPr="009C1E28" w:rsidRDefault="009C1E28" w:rsidP="009C1E28">
            <w:pPr>
              <w:keepNext/>
              <w:keepLines/>
              <w:tabs>
                <w:tab w:val="left" w:pos="567"/>
              </w:tabs>
              <w:spacing w:after="0"/>
              <w:jc w:val="both"/>
              <w:rPr>
                <w:rFonts w:ascii="Times New Roman" w:eastAsia="SimSun" w:hAnsi="Times New Roman" w:cs="Times New Roman"/>
                <w:b/>
              </w:rPr>
            </w:pPr>
            <w:r w:rsidRPr="009C1E28">
              <w:rPr>
                <w:rFonts w:ascii="Times New Roman" w:hAnsi="Times New Roman" w:cs="Times New Roman"/>
              </w:rPr>
              <w:t>Studija 0122 (ELECTRON</w:t>
            </w:r>
            <w:r w:rsidRPr="009C1E28">
              <w:rPr>
                <w:rFonts w:ascii="Times New Roman" w:hAnsi="Times New Roman" w:cs="Times New Roman"/>
              </w:rPr>
              <w:noBreakHyphen/>
              <w:t>2)</w:t>
            </w:r>
          </w:p>
        </w:tc>
        <w:tc>
          <w:tcPr>
            <w:tcW w:w="567" w:type="dxa"/>
          </w:tcPr>
          <w:p w:rsidR="009C1E28" w:rsidRPr="009C1E28" w:rsidRDefault="009C1E28" w:rsidP="009C1E28">
            <w:pPr>
              <w:keepNext/>
              <w:keepLines/>
              <w:tabs>
                <w:tab w:val="left" w:pos="567"/>
              </w:tabs>
              <w:spacing w:after="0"/>
              <w:jc w:val="both"/>
              <w:rPr>
                <w:rFonts w:ascii="Times New Roman" w:eastAsia="SimSun" w:hAnsi="Times New Roman" w:cs="Times New Roman"/>
                <w:b/>
              </w:rPr>
            </w:pPr>
            <w:r w:rsidRPr="009C1E28">
              <w:rPr>
                <w:rFonts w:ascii="Times New Roman" w:hAnsi="Times New Roman" w:cs="Times New Roman"/>
              </w:rPr>
              <w:t>6</w:t>
            </w:r>
          </w:p>
        </w:tc>
        <w:tc>
          <w:tcPr>
            <w:tcW w:w="567" w:type="dxa"/>
          </w:tcPr>
          <w:p w:rsidR="009C1E28" w:rsidRPr="009C1E28" w:rsidRDefault="009C1E28" w:rsidP="009C1E28">
            <w:pPr>
              <w:keepNext/>
              <w:keepLines/>
              <w:tabs>
                <w:tab w:val="left" w:pos="567"/>
              </w:tabs>
              <w:spacing w:after="0"/>
              <w:jc w:val="both"/>
              <w:rPr>
                <w:rFonts w:ascii="Times New Roman" w:eastAsia="SimSun" w:hAnsi="Times New Roman" w:cs="Times New Roman"/>
                <w:b/>
              </w:rPr>
            </w:pPr>
            <w:r w:rsidRPr="009C1E28">
              <w:rPr>
                <w:rFonts w:ascii="Times New Roman" w:hAnsi="Times New Roman" w:cs="Times New Roman"/>
              </w:rPr>
              <w:t>25</w:t>
            </w:r>
          </w:p>
        </w:tc>
        <w:tc>
          <w:tcPr>
            <w:tcW w:w="1276" w:type="dxa"/>
          </w:tcPr>
          <w:p w:rsidR="009C1E28" w:rsidRPr="009C1E28" w:rsidRDefault="009C1E28" w:rsidP="009C1E28">
            <w:pPr>
              <w:keepNext/>
              <w:keepLines/>
              <w:tabs>
                <w:tab w:val="left" w:pos="567"/>
              </w:tabs>
              <w:spacing w:after="0"/>
              <w:jc w:val="both"/>
              <w:rPr>
                <w:rFonts w:ascii="Times New Roman" w:eastAsia="SimSun" w:hAnsi="Times New Roman" w:cs="Times New Roman"/>
                <w:b/>
              </w:rPr>
            </w:pPr>
            <w:r w:rsidRPr="009C1E28">
              <w:rPr>
                <w:rFonts w:ascii="Times New Roman" w:hAnsi="Times New Roman" w:cs="Times New Roman"/>
              </w:rPr>
              <w:t>0% (0/25)</w:t>
            </w:r>
          </w:p>
        </w:tc>
        <w:tc>
          <w:tcPr>
            <w:tcW w:w="1417" w:type="dxa"/>
          </w:tcPr>
          <w:p w:rsidR="009C1E28" w:rsidRPr="009C1E28" w:rsidRDefault="009C1E28" w:rsidP="009C1E28">
            <w:pPr>
              <w:keepNext/>
              <w:keepLines/>
              <w:tabs>
                <w:tab w:val="left" w:pos="567"/>
              </w:tabs>
              <w:spacing w:after="0"/>
              <w:jc w:val="both"/>
              <w:rPr>
                <w:rFonts w:ascii="Times New Roman" w:eastAsia="SimSun" w:hAnsi="Times New Roman" w:cs="Times New Roman"/>
                <w:b/>
              </w:rPr>
            </w:pPr>
            <w:r w:rsidRPr="009C1E28">
              <w:rPr>
                <w:rFonts w:ascii="Times New Roman" w:hAnsi="Times New Roman" w:cs="Times New Roman"/>
              </w:rPr>
              <w:t>96% (24/25)</w:t>
            </w:r>
          </w:p>
        </w:tc>
        <w:tc>
          <w:tcPr>
            <w:tcW w:w="1418" w:type="dxa"/>
          </w:tcPr>
          <w:p w:rsidR="009C1E28" w:rsidRPr="009C1E28" w:rsidRDefault="009C1E28" w:rsidP="009C1E28">
            <w:pPr>
              <w:keepNext/>
              <w:keepLines/>
              <w:tabs>
                <w:tab w:val="left" w:pos="567"/>
              </w:tabs>
              <w:spacing w:after="0"/>
              <w:jc w:val="both"/>
              <w:rPr>
                <w:rFonts w:ascii="Times New Roman" w:eastAsia="SimSun" w:hAnsi="Times New Roman" w:cs="Times New Roman"/>
                <w:b/>
              </w:rPr>
            </w:pPr>
            <w:r w:rsidRPr="009C1E28">
              <w:rPr>
                <w:rFonts w:ascii="Times New Roman" w:hAnsi="Times New Roman" w:cs="Times New Roman"/>
              </w:rPr>
              <w:t>100% (2/2)</w:t>
            </w:r>
          </w:p>
        </w:tc>
        <w:tc>
          <w:tcPr>
            <w:tcW w:w="1729" w:type="dxa"/>
          </w:tcPr>
          <w:p w:rsidR="009C1E28" w:rsidRPr="009C1E28" w:rsidRDefault="009C1E28" w:rsidP="009C1E28">
            <w:pPr>
              <w:keepNext/>
              <w:keepLines/>
              <w:tabs>
                <w:tab w:val="left" w:pos="567"/>
              </w:tabs>
              <w:spacing w:after="0"/>
              <w:jc w:val="both"/>
              <w:rPr>
                <w:rFonts w:ascii="Times New Roman" w:eastAsia="SimSun" w:hAnsi="Times New Roman" w:cs="Times New Roman"/>
                <w:b/>
                <w:vertAlign w:val="superscript"/>
              </w:rPr>
            </w:pPr>
            <w:r w:rsidRPr="009C1E28">
              <w:rPr>
                <w:rFonts w:ascii="Times New Roman" w:hAnsi="Times New Roman" w:cs="Times New Roman"/>
              </w:rPr>
              <w:t>4% (1/25)</w:t>
            </w:r>
          </w:p>
        </w:tc>
      </w:tr>
    </w:tbl>
    <w:p w:rsidR="00230CF3" w:rsidRDefault="00230CF3" w:rsidP="009C1E28">
      <w:pPr>
        <w:keepNext/>
        <w:keepLines/>
        <w:spacing w:after="0"/>
        <w:jc w:val="both"/>
        <w:rPr>
          <w:rFonts w:ascii="Times New Roman" w:hAnsi="Times New Roman" w:cs="Times New Roman"/>
        </w:rPr>
      </w:pPr>
    </w:p>
    <w:p w:rsidR="009C1E28" w:rsidRPr="009C1E28" w:rsidRDefault="009C1E28" w:rsidP="009C1E28">
      <w:pPr>
        <w:keepNext/>
        <w:keepLines/>
        <w:spacing w:after="0"/>
        <w:jc w:val="both"/>
        <w:rPr>
          <w:rFonts w:ascii="Times New Roman" w:hAnsi="Times New Roman" w:cs="Times New Roman"/>
          <w:b/>
        </w:rPr>
      </w:pPr>
      <w:bookmarkStart w:id="4" w:name="_GoBack"/>
      <w:bookmarkEnd w:id="4"/>
      <w:r w:rsidRPr="009C1E28">
        <w:rPr>
          <w:rFonts w:ascii="Times New Roman" w:hAnsi="Times New Roman" w:cs="Times New Roman"/>
        </w:rPr>
        <w:t>a. TE: broj pacijenata koji su prethodno liječeni.</w:t>
      </w: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b. Imenilac za relaps je broj pacijenata sa HCV RNK &lt;LLOQ na njihovom posljednjem pregledu za vrijeme trajanja terapije.</w:t>
      </w:r>
    </w:p>
    <w:p w:rsidR="009C1E28" w:rsidRPr="009C1E28" w:rsidRDefault="009C1E28" w:rsidP="009C1E28">
      <w:pPr>
        <w:spacing w:after="0"/>
        <w:jc w:val="both"/>
        <w:rPr>
          <w:rFonts w:ascii="Times New Roman" w:hAnsi="Times New Roman" w:cs="Times New Roman"/>
          <w:b/>
          <w:i/>
        </w:rPr>
      </w:pPr>
    </w:p>
    <w:p w:rsidR="009C1E28" w:rsidRDefault="009C1E28" w:rsidP="009C1E28">
      <w:pPr>
        <w:keepNext/>
        <w:keepLines/>
        <w:spacing w:after="0"/>
        <w:jc w:val="both"/>
        <w:rPr>
          <w:rFonts w:ascii="Times New Roman" w:hAnsi="Times New Roman" w:cs="Times New Roman"/>
          <w:b/>
        </w:rPr>
      </w:pPr>
      <w:r w:rsidRPr="002045B8">
        <w:rPr>
          <w:rFonts w:ascii="Times New Roman" w:hAnsi="Times New Roman" w:cs="Times New Roman"/>
          <w:b/>
        </w:rPr>
        <w:t>Tabela 19: Stope reakcije (SVR12) kod pacijenata sa infekcijom genotipa 3 (ELECTRON 2)</w:t>
      </w:r>
    </w:p>
    <w:p w:rsidR="002045B8" w:rsidRPr="002045B8" w:rsidRDefault="002045B8" w:rsidP="009C1E28">
      <w:pPr>
        <w:keepNext/>
        <w:keepLines/>
        <w:spacing w:after="0"/>
        <w:jc w:val="both"/>
        <w:rPr>
          <w:rFonts w:ascii="Times New Roman" w:hAnsi="Times New Roman" w:cs="Times New Roman"/>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559"/>
        <w:gridCol w:w="1560"/>
        <w:gridCol w:w="1559"/>
        <w:gridCol w:w="2438"/>
      </w:tblGrid>
      <w:tr w:rsidR="009C1E28" w:rsidRPr="009C1E28" w:rsidTr="00230CF3">
        <w:trPr>
          <w:trHeight w:val="573"/>
          <w:tblHeader/>
        </w:trPr>
        <w:tc>
          <w:tcPr>
            <w:tcW w:w="2518" w:type="dxa"/>
          </w:tcPr>
          <w:p w:rsidR="009C1E28" w:rsidRPr="009C1E28" w:rsidRDefault="009C1E28" w:rsidP="009C1E28">
            <w:pPr>
              <w:keepNext/>
              <w:keepLines/>
              <w:tabs>
                <w:tab w:val="left" w:pos="567"/>
              </w:tabs>
              <w:spacing w:after="0"/>
              <w:jc w:val="both"/>
              <w:rPr>
                <w:rFonts w:ascii="Times New Roman" w:eastAsia="SimSun" w:hAnsi="Times New Roman" w:cs="Times New Roman"/>
                <w:b/>
              </w:rPr>
            </w:pPr>
          </w:p>
        </w:tc>
        <w:tc>
          <w:tcPr>
            <w:tcW w:w="3119" w:type="dxa"/>
            <w:gridSpan w:val="2"/>
          </w:tcPr>
          <w:p w:rsidR="009C1E28" w:rsidRPr="009C1E28" w:rsidRDefault="009C1E28" w:rsidP="009C1E28">
            <w:pPr>
              <w:pStyle w:val="TableHeaderCenter"/>
              <w:keepNext/>
              <w:keepLines/>
              <w:tabs>
                <w:tab w:val="left" w:pos="567"/>
              </w:tabs>
              <w:spacing w:before="0" w:after="0"/>
              <w:jc w:val="both"/>
              <w:rPr>
                <w:rFonts w:ascii="Times New Roman" w:hAnsi="Times New Roman"/>
                <w:color w:val="auto"/>
                <w:sz w:val="22"/>
                <w:szCs w:val="22"/>
              </w:rPr>
            </w:pPr>
            <w:r w:rsidRPr="009C1E28">
              <w:rPr>
                <w:rFonts w:ascii="Times New Roman" w:hAnsi="Times New Roman"/>
                <w:color w:val="auto"/>
                <w:sz w:val="22"/>
                <w:szCs w:val="22"/>
              </w:rPr>
              <w:t>LDV/SOF+RBV</w:t>
            </w:r>
          </w:p>
          <w:p w:rsidR="009C1E28" w:rsidRPr="009C1E28" w:rsidRDefault="009C1E28" w:rsidP="009C1E28">
            <w:pPr>
              <w:pStyle w:val="TableHeaderCenter"/>
              <w:keepNext/>
              <w:keepLines/>
              <w:tabs>
                <w:tab w:val="left" w:pos="567"/>
              </w:tabs>
              <w:spacing w:before="0" w:after="0"/>
              <w:jc w:val="both"/>
              <w:rPr>
                <w:rFonts w:ascii="Times New Roman" w:hAnsi="Times New Roman"/>
                <w:color w:val="auto"/>
                <w:sz w:val="22"/>
                <w:szCs w:val="22"/>
              </w:rPr>
            </w:pPr>
            <w:r w:rsidRPr="009C1E28">
              <w:rPr>
                <w:rFonts w:ascii="Times New Roman" w:hAnsi="Times New Roman"/>
                <w:color w:val="auto"/>
                <w:sz w:val="22"/>
                <w:szCs w:val="22"/>
              </w:rPr>
              <w:t>12 nedjelja</w:t>
            </w:r>
          </w:p>
        </w:tc>
        <w:tc>
          <w:tcPr>
            <w:tcW w:w="3997" w:type="dxa"/>
            <w:gridSpan w:val="2"/>
          </w:tcPr>
          <w:p w:rsidR="009C1E28" w:rsidRPr="009C1E28" w:rsidRDefault="009C1E28" w:rsidP="009C1E28">
            <w:pPr>
              <w:pStyle w:val="TableHeaderCenter"/>
              <w:keepNext/>
              <w:keepLines/>
              <w:tabs>
                <w:tab w:val="left" w:pos="567"/>
              </w:tabs>
              <w:spacing w:before="0" w:after="0"/>
              <w:jc w:val="both"/>
              <w:rPr>
                <w:rFonts w:ascii="Times New Roman" w:hAnsi="Times New Roman"/>
                <w:color w:val="auto"/>
                <w:sz w:val="22"/>
                <w:szCs w:val="22"/>
              </w:rPr>
            </w:pPr>
            <w:r w:rsidRPr="009C1E28">
              <w:rPr>
                <w:rFonts w:ascii="Times New Roman" w:hAnsi="Times New Roman"/>
                <w:color w:val="auto"/>
                <w:sz w:val="22"/>
                <w:szCs w:val="22"/>
              </w:rPr>
              <w:t>LDV/SOF</w:t>
            </w:r>
          </w:p>
          <w:p w:rsidR="009C1E28" w:rsidRPr="009C1E28" w:rsidRDefault="009C1E28" w:rsidP="009C1E28">
            <w:pPr>
              <w:pStyle w:val="TableHeaderCenter"/>
              <w:keepNext/>
              <w:keepLines/>
              <w:tabs>
                <w:tab w:val="left" w:pos="567"/>
              </w:tabs>
              <w:spacing w:before="0" w:after="0"/>
              <w:jc w:val="both"/>
              <w:rPr>
                <w:rFonts w:ascii="Times New Roman" w:hAnsi="Times New Roman"/>
                <w:color w:val="auto"/>
                <w:sz w:val="22"/>
                <w:szCs w:val="22"/>
              </w:rPr>
            </w:pPr>
            <w:r w:rsidRPr="009C1E28">
              <w:rPr>
                <w:rFonts w:ascii="Times New Roman" w:hAnsi="Times New Roman"/>
                <w:color w:val="auto"/>
                <w:sz w:val="22"/>
                <w:szCs w:val="22"/>
              </w:rPr>
              <w:t>12 nedjelja</w:t>
            </w:r>
          </w:p>
        </w:tc>
      </w:tr>
      <w:tr w:rsidR="009C1E28" w:rsidRPr="009C1E28" w:rsidTr="00230CF3">
        <w:trPr>
          <w:trHeight w:val="242"/>
          <w:tblHeader/>
        </w:trPr>
        <w:tc>
          <w:tcPr>
            <w:tcW w:w="2518" w:type="dxa"/>
          </w:tcPr>
          <w:p w:rsidR="009C1E28" w:rsidRPr="009C1E28" w:rsidRDefault="009C1E28" w:rsidP="009C1E28">
            <w:pPr>
              <w:keepNext/>
              <w:keepLines/>
              <w:tabs>
                <w:tab w:val="left" w:pos="567"/>
              </w:tabs>
              <w:spacing w:after="0"/>
              <w:jc w:val="both"/>
              <w:rPr>
                <w:rFonts w:ascii="Times New Roman" w:eastAsia="SimSun" w:hAnsi="Times New Roman" w:cs="Times New Roman"/>
                <w:b/>
              </w:rPr>
            </w:pPr>
          </w:p>
        </w:tc>
        <w:tc>
          <w:tcPr>
            <w:tcW w:w="1559" w:type="dxa"/>
          </w:tcPr>
          <w:p w:rsidR="009C1E28" w:rsidRPr="009C1E28" w:rsidRDefault="009C1E28" w:rsidP="009C1E28">
            <w:pPr>
              <w:pStyle w:val="TableHeaderCenter"/>
              <w:keepNext/>
              <w:keepLines/>
              <w:tabs>
                <w:tab w:val="left" w:pos="567"/>
              </w:tabs>
              <w:spacing w:before="0" w:after="0"/>
              <w:jc w:val="both"/>
              <w:rPr>
                <w:rFonts w:ascii="Times New Roman" w:hAnsi="Times New Roman"/>
                <w:color w:val="auto"/>
                <w:sz w:val="22"/>
                <w:szCs w:val="22"/>
              </w:rPr>
            </w:pPr>
            <w:r w:rsidRPr="009C1E28">
              <w:rPr>
                <w:rFonts w:ascii="Times New Roman" w:hAnsi="Times New Roman"/>
                <w:color w:val="auto"/>
                <w:sz w:val="22"/>
                <w:szCs w:val="22"/>
              </w:rPr>
              <w:t>SVR</w:t>
            </w:r>
          </w:p>
        </w:tc>
        <w:tc>
          <w:tcPr>
            <w:tcW w:w="1560" w:type="dxa"/>
          </w:tcPr>
          <w:p w:rsidR="009C1E28" w:rsidRPr="009C1E28" w:rsidRDefault="009C1E28" w:rsidP="009C1E28">
            <w:pPr>
              <w:pStyle w:val="TableHeaderCenter"/>
              <w:keepNext/>
              <w:keepLines/>
              <w:tabs>
                <w:tab w:val="left" w:pos="567"/>
              </w:tabs>
              <w:spacing w:before="0" w:after="0"/>
              <w:jc w:val="both"/>
              <w:rPr>
                <w:rFonts w:ascii="Times New Roman" w:hAnsi="Times New Roman"/>
                <w:color w:val="auto"/>
                <w:sz w:val="22"/>
                <w:szCs w:val="22"/>
              </w:rPr>
            </w:pPr>
            <w:r w:rsidRPr="009C1E28">
              <w:rPr>
                <w:rFonts w:ascii="Times New Roman" w:hAnsi="Times New Roman"/>
                <w:color w:val="auto"/>
                <w:sz w:val="22"/>
                <w:szCs w:val="22"/>
              </w:rPr>
              <w:t>Relaps</w:t>
            </w:r>
            <w:r w:rsidRPr="009C1E28">
              <w:rPr>
                <w:rFonts w:ascii="Times New Roman" w:hAnsi="Times New Roman"/>
                <w:color w:val="auto"/>
                <w:sz w:val="22"/>
                <w:szCs w:val="22"/>
                <w:vertAlign w:val="superscript"/>
              </w:rPr>
              <w:t>a</w:t>
            </w:r>
          </w:p>
        </w:tc>
        <w:tc>
          <w:tcPr>
            <w:tcW w:w="1559" w:type="dxa"/>
          </w:tcPr>
          <w:p w:rsidR="009C1E28" w:rsidRPr="009C1E28" w:rsidRDefault="009C1E28" w:rsidP="009C1E28">
            <w:pPr>
              <w:pStyle w:val="TableHeaderCenter"/>
              <w:keepNext/>
              <w:keepLines/>
              <w:tabs>
                <w:tab w:val="left" w:pos="567"/>
              </w:tabs>
              <w:spacing w:before="0" w:after="0"/>
              <w:jc w:val="both"/>
              <w:rPr>
                <w:rFonts w:ascii="Times New Roman" w:hAnsi="Times New Roman"/>
                <w:color w:val="auto"/>
                <w:sz w:val="22"/>
                <w:szCs w:val="22"/>
              </w:rPr>
            </w:pPr>
            <w:r w:rsidRPr="009C1E28">
              <w:rPr>
                <w:rFonts w:ascii="Times New Roman" w:hAnsi="Times New Roman"/>
                <w:color w:val="auto"/>
                <w:sz w:val="22"/>
                <w:szCs w:val="22"/>
              </w:rPr>
              <w:t>SVR</w:t>
            </w:r>
          </w:p>
        </w:tc>
        <w:tc>
          <w:tcPr>
            <w:tcW w:w="2438" w:type="dxa"/>
          </w:tcPr>
          <w:p w:rsidR="009C1E28" w:rsidRPr="009C1E28" w:rsidRDefault="009C1E28" w:rsidP="009C1E28">
            <w:pPr>
              <w:pStyle w:val="TableHeaderCenter"/>
              <w:keepNext/>
              <w:keepLines/>
              <w:tabs>
                <w:tab w:val="left" w:pos="567"/>
              </w:tabs>
              <w:spacing w:before="0" w:after="0"/>
              <w:jc w:val="both"/>
              <w:rPr>
                <w:rFonts w:ascii="Times New Roman" w:hAnsi="Times New Roman"/>
                <w:color w:val="auto"/>
                <w:sz w:val="22"/>
                <w:szCs w:val="22"/>
              </w:rPr>
            </w:pPr>
            <w:r w:rsidRPr="009C1E28">
              <w:rPr>
                <w:rFonts w:ascii="Times New Roman" w:hAnsi="Times New Roman"/>
                <w:color w:val="auto"/>
                <w:sz w:val="22"/>
                <w:szCs w:val="22"/>
              </w:rPr>
              <w:t>Relaps</w:t>
            </w:r>
            <w:r w:rsidRPr="009C1E28">
              <w:rPr>
                <w:rFonts w:ascii="Times New Roman" w:hAnsi="Times New Roman"/>
                <w:color w:val="auto"/>
                <w:sz w:val="22"/>
                <w:szCs w:val="22"/>
                <w:vertAlign w:val="superscript"/>
              </w:rPr>
              <w:t>a</w:t>
            </w:r>
          </w:p>
        </w:tc>
      </w:tr>
      <w:tr w:rsidR="009C1E28" w:rsidRPr="009C1E28" w:rsidTr="00230CF3">
        <w:tc>
          <w:tcPr>
            <w:tcW w:w="2518" w:type="dxa"/>
          </w:tcPr>
          <w:p w:rsidR="009C1E28" w:rsidRPr="009C1E28" w:rsidRDefault="009C1E28" w:rsidP="009C1E28">
            <w:pPr>
              <w:keepNext/>
              <w:keepLines/>
              <w:tabs>
                <w:tab w:val="left" w:pos="567"/>
              </w:tabs>
              <w:spacing w:after="0"/>
              <w:jc w:val="both"/>
              <w:rPr>
                <w:rFonts w:ascii="Times New Roman" w:eastAsia="SimSun" w:hAnsi="Times New Roman" w:cs="Times New Roman"/>
                <w:b/>
                <w:i/>
              </w:rPr>
            </w:pPr>
            <w:r w:rsidRPr="009C1E28">
              <w:rPr>
                <w:rFonts w:ascii="Times New Roman" w:hAnsi="Times New Roman" w:cs="Times New Roman"/>
                <w:i/>
              </w:rPr>
              <w:t>Prethodno neliječeni</w:t>
            </w:r>
          </w:p>
        </w:tc>
        <w:tc>
          <w:tcPr>
            <w:tcW w:w="1559" w:type="dxa"/>
          </w:tcPr>
          <w:p w:rsidR="009C1E28" w:rsidRPr="009C1E28" w:rsidRDefault="009C1E28" w:rsidP="009C1E28">
            <w:pPr>
              <w:keepNext/>
              <w:keepLines/>
              <w:tabs>
                <w:tab w:val="left" w:pos="567"/>
              </w:tabs>
              <w:spacing w:after="0"/>
              <w:jc w:val="both"/>
              <w:rPr>
                <w:rFonts w:ascii="Times New Roman" w:eastAsia="SimSun" w:hAnsi="Times New Roman" w:cs="Times New Roman"/>
                <w:b/>
              </w:rPr>
            </w:pPr>
            <w:r w:rsidRPr="009C1E28">
              <w:rPr>
                <w:rFonts w:ascii="Times New Roman" w:hAnsi="Times New Roman" w:cs="Times New Roman"/>
              </w:rPr>
              <w:t>100% (26/26)</w:t>
            </w:r>
          </w:p>
        </w:tc>
        <w:tc>
          <w:tcPr>
            <w:tcW w:w="1560" w:type="dxa"/>
          </w:tcPr>
          <w:p w:rsidR="009C1E28" w:rsidRPr="009C1E28" w:rsidRDefault="009C1E28" w:rsidP="009C1E28">
            <w:pPr>
              <w:keepNext/>
              <w:keepLines/>
              <w:tabs>
                <w:tab w:val="left" w:pos="567"/>
              </w:tabs>
              <w:spacing w:after="0"/>
              <w:jc w:val="both"/>
              <w:rPr>
                <w:rFonts w:ascii="Times New Roman" w:eastAsia="SimSun" w:hAnsi="Times New Roman" w:cs="Times New Roman"/>
                <w:b/>
              </w:rPr>
            </w:pPr>
            <w:r w:rsidRPr="009C1E28">
              <w:rPr>
                <w:rFonts w:ascii="Times New Roman" w:hAnsi="Times New Roman" w:cs="Times New Roman"/>
              </w:rPr>
              <w:t>0% (0/26)</w:t>
            </w:r>
          </w:p>
        </w:tc>
        <w:tc>
          <w:tcPr>
            <w:tcW w:w="1559" w:type="dxa"/>
          </w:tcPr>
          <w:p w:rsidR="009C1E28" w:rsidRPr="009C1E28" w:rsidRDefault="009C1E28" w:rsidP="009C1E28">
            <w:pPr>
              <w:keepNext/>
              <w:keepLines/>
              <w:tabs>
                <w:tab w:val="left" w:pos="567"/>
              </w:tabs>
              <w:spacing w:after="0"/>
              <w:jc w:val="both"/>
              <w:rPr>
                <w:rFonts w:ascii="Times New Roman" w:eastAsia="SimSun" w:hAnsi="Times New Roman" w:cs="Times New Roman"/>
                <w:b/>
              </w:rPr>
            </w:pPr>
            <w:r w:rsidRPr="009C1E28">
              <w:rPr>
                <w:rFonts w:ascii="Times New Roman" w:hAnsi="Times New Roman" w:cs="Times New Roman"/>
              </w:rPr>
              <w:t>64% (16/25)</w:t>
            </w:r>
          </w:p>
        </w:tc>
        <w:tc>
          <w:tcPr>
            <w:tcW w:w="2438" w:type="dxa"/>
          </w:tcPr>
          <w:p w:rsidR="009C1E28" w:rsidRPr="009C1E28" w:rsidRDefault="009C1E28" w:rsidP="009C1E28">
            <w:pPr>
              <w:keepNext/>
              <w:keepLines/>
              <w:tabs>
                <w:tab w:val="left" w:pos="567"/>
              </w:tabs>
              <w:spacing w:after="0"/>
              <w:jc w:val="both"/>
              <w:rPr>
                <w:rFonts w:ascii="Times New Roman" w:eastAsia="SimSun" w:hAnsi="Times New Roman" w:cs="Times New Roman"/>
                <w:b/>
              </w:rPr>
            </w:pPr>
            <w:r w:rsidRPr="009C1E28">
              <w:rPr>
                <w:rFonts w:ascii="Times New Roman" w:hAnsi="Times New Roman" w:cs="Times New Roman"/>
              </w:rPr>
              <w:t>33% (8/24)</w:t>
            </w:r>
          </w:p>
        </w:tc>
      </w:tr>
      <w:tr w:rsidR="009C1E28" w:rsidRPr="009C1E28" w:rsidTr="00230CF3">
        <w:tc>
          <w:tcPr>
            <w:tcW w:w="2518" w:type="dxa"/>
          </w:tcPr>
          <w:p w:rsidR="009C1E28" w:rsidRPr="009C1E28" w:rsidRDefault="009C1E28" w:rsidP="009C1E28">
            <w:pPr>
              <w:keepNext/>
              <w:keepLines/>
              <w:tabs>
                <w:tab w:val="left" w:pos="567"/>
              </w:tabs>
              <w:spacing w:after="0"/>
              <w:ind w:firstLine="142"/>
              <w:jc w:val="both"/>
              <w:rPr>
                <w:rFonts w:ascii="Times New Roman" w:eastAsia="SimSun" w:hAnsi="Times New Roman" w:cs="Times New Roman"/>
                <w:b/>
              </w:rPr>
            </w:pPr>
            <w:r w:rsidRPr="009C1E28">
              <w:rPr>
                <w:rFonts w:ascii="Times New Roman" w:hAnsi="Times New Roman" w:cs="Times New Roman"/>
              </w:rPr>
              <w:t>Pacijenti koji nemaju cirozu</w:t>
            </w:r>
          </w:p>
        </w:tc>
        <w:tc>
          <w:tcPr>
            <w:tcW w:w="1559" w:type="dxa"/>
          </w:tcPr>
          <w:p w:rsidR="009C1E28" w:rsidRPr="009C1E28" w:rsidRDefault="009C1E28" w:rsidP="009C1E28">
            <w:pPr>
              <w:keepNext/>
              <w:keepLines/>
              <w:tabs>
                <w:tab w:val="left" w:pos="567"/>
              </w:tabs>
              <w:spacing w:after="0"/>
              <w:jc w:val="both"/>
              <w:rPr>
                <w:rFonts w:ascii="Times New Roman" w:eastAsia="SimSun" w:hAnsi="Times New Roman" w:cs="Times New Roman"/>
                <w:b/>
              </w:rPr>
            </w:pPr>
            <w:r w:rsidRPr="009C1E28">
              <w:rPr>
                <w:rFonts w:ascii="Times New Roman" w:hAnsi="Times New Roman" w:cs="Times New Roman"/>
              </w:rPr>
              <w:t>100% (20/20)</w:t>
            </w:r>
          </w:p>
        </w:tc>
        <w:tc>
          <w:tcPr>
            <w:tcW w:w="1560" w:type="dxa"/>
          </w:tcPr>
          <w:p w:rsidR="009C1E28" w:rsidRPr="009C1E28" w:rsidRDefault="009C1E28" w:rsidP="009C1E28">
            <w:pPr>
              <w:keepNext/>
              <w:keepLines/>
              <w:tabs>
                <w:tab w:val="left" w:pos="567"/>
              </w:tabs>
              <w:spacing w:after="0"/>
              <w:jc w:val="both"/>
              <w:rPr>
                <w:rFonts w:ascii="Times New Roman" w:eastAsia="SimSun" w:hAnsi="Times New Roman" w:cs="Times New Roman"/>
                <w:b/>
              </w:rPr>
            </w:pPr>
            <w:r w:rsidRPr="009C1E28">
              <w:rPr>
                <w:rFonts w:ascii="Times New Roman" w:hAnsi="Times New Roman" w:cs="Times New Roman"/>
              </w:rPr>
              <w:t>0% (0/21)</w:t>
            </w:r>
          </w:p>
        </w:tc>
        <w:tc>
          <w:tcPr>
            <w:tcW w:w="1559" w:type="dxa"/>
          </w:tcPr>
          <w:p w:rsidR="009C1E28" w:rsidRPr="009C1E28" w:rsidRDefault="009C1E28" w:rsidP="009C1E28">
            <w:pPr>
              <w:keepNext/>
              <w:keepLines/>
              <w:tabs>
                <w:tab w:val="left" w:pos="567"/>
              </w:tabs>
              <w:spacing w:after="0"/>
              <w:jc w:val="both"/>
              <w:rPr>
                <w:rFonts w:ascii="Times New Roman" w:eastAsia="SimSun" w:hAnsi="Times New Roman" w:cs="Times New Roman"/>
                <w:b/>
              </w:rPr>
            </w:pPr>
            <w:r w:rsidRPr="009C1E28">
              <w:rPr>
                <w:rFonts w:ascii="Times New Roman" w:hAnsi="Times New Roman" w:cs="Times New Roman"/>
              </w:rPr>
              <w:t>71% (15/21)</w:t>
            </w:r>
          </w:p>
        </w:tc>
        <w:tc>
          <w:tcPr>
            <w:tcW w:w="2438" w:type="dxa"/>
          </w:tcPr>
          <w:p w:rsidR="009C1E28" w:rsidRPr="009C1E28" w:rsidRDefault="009C1E28" w:rsidP="009C1E28">
            <w:pPr>
              <w:keepNext/>
              <w:keepLines/>
              <w:tabs>
                <w:tab w:val="left" w:pos="567"/>
              </w:tabs>
              <w:spacing w:after="0"/>
              <w:jc w:val="both"/>
              <w:rPr>
                <w:rFonts w:ascii="Times New Roman" w:eastAsia="SimSun" w:hAnsi="Times New Roman" w:cs="Times New Roman"/>
                <w:b/>
              </w:rPr>
            </w:pPr>
            <w:r w:rsidRPr="009C1E28">
              <w:rPr>
                <w:rFonts w:ascii="Times New Roman" w:hAnsi="Times New Roman" w:cs="Times New Roman"/>
              </w:rPr>
              <w:t>25% (5/20)</w:t>
            </w:r>
          </w:p>
        </w:tc>
      </w:tr>
      <w:tr w:rsidR="009C1E28" w:rsidRPr="009C1E28" w:rsidTr="00230CF3">
        <w:tc>
          <w:tcPr>
            <w:tcW w:w="2518" w:type="dxa"/>
          </w:tcPr>
          <w:p w:rsidR="009C1E28" w:rsidRPr="009C1E28" w:rsidRDefault="009C1E28" w:rsidP="009C1E28">
            <w:pPr>
              <w:keepNext/>
              <w:keepLines/>
              <w:tabs>
                <w:tab w:val="left" w:pos="567"/>
              </w:tabs>
              <w:spacing w:after="0"/>
              <w:ind w:firstLine="142"/>
              <w:jc w:val="both"/>
              <w:rPr>
                <w:rFonts w:ascii="Times New Roman" w:eastAsia="SimSun" w:hAnsi="Times New Roman" w:cs="Times New Roman"/>
                <w:b/>
              </w:rPr>
            </w:pPr>
            <w:r w:rsidRPr="009C1E28">
              <w:rPr>
                <w:rFonts w:ascii="Times New Roman" w:hAnsi="Times New Roman" w:cs="Times New Roman"/>
              </w:rPr>
              <w:t>Pacijenti sa cirozom</w:t>
            </w:r>
          </w:p>
        </w:tc>
        <w:tc>
          <w:tcPr>
            <w:tcW w:w="1559" w:type="dxa"/>
          </w:tcPr>
          <w:p w:rsidR="009C1E28" w:rsidRPr="009C1E28" w:rsidRDefault="009C1E28" w:rsidP="009C1E28">
            <w:pPr>
              <w:keepNext/>
              <w:keepLines/>
              <w:tabs>
                <w:tab w:val="left" w:pos="567"/>
              </w:tabs>
              <w:spacing w:after="0"/>
              <w:jc w:val="both"/>
              <w:rPr>
                <w:rFonts w:ascii="Times New Roman" w:eastAsia="SimSun" w:hAnsi="Times New Roman" w:cs="Times New Roman"/>
                <w:b/>
              </w:rPr>
            </w:pPr>
            <w:r w:rsidRPr="009C1E28">
              <w:rPr>
                <w:rFonts w:ascii="Times New Roman" w:hAnsi="Times New Roman" w:cs="Times New Roman"/>
              </w:rPr>
              <w:t>100% (6/6)</w:t>
            </w:r>
          </w:p>
        </w:tc>
        <w:tc>
          <w:tcPr>
            <w:tcW w:w="1560" w:type="dxa"/>
          </w:tcPr>
          <w:p w:rsidR="009C1E28" w:rsidRPr="009C1E28" w:rsidRDefault="009C1E28" w:rsidP="009C1E28">
            <w:pPr>
              <w:keepNext/>
              <w:keepLines/>
              <w:tabs>
                <w:tab w:val="left" w:pos="567"/>
              </w:tabs>
              <w:spacing w:after="0"/>
              <w:jc w:val="both"/>
              <w:rPr>
                <w:rFonts w:ascii="Times New Roman" w:eastAsia="SimSun" w:hAnsi="Times New Roman" w:cs="Times New Roman"/>
                <w:b/>
              </w:rPr>
            </w:pPr>
            <w:r w:rsidRPr="009C1E28">
              <w:rPr>
                <w:rFonts w:ascii="Times New Roman" w:hAnsi="Times New Roman" w:cs="Times New Roman"/>
              </w:rPr>
              <w:t>0% (0/5)</w:t>
            </w:r>
          </w:p>
        </w:tc>
        <w:tc>
          <w:tcPr>
            <w:tcW w:w="1559" w:type="dxa"/>
          </w:tcPr>
          <w:p w:rsidR="009C1E28" w:rsidRPr="009C1E28" w:rsidRDefault="009C1E28" w:rsidP="009C1E28">
            <w:pPr>
              <w:keepNext/>
              <w:keepLines/>
              <w:tabs>
                <w:tab w:val="left" w:pos="567"/>
              </w:tabs>
              <w:spacing w:after="0"/>
              <w:jc w:val="both"/>
              <w:rPr>
                <w:rFonts w:ascii="Times New Roman" w:eastAsia="SimSun" w:hAnsi="Times New Roman" w:cs="Times New Roman"/>
                <w:b/>
              </w:rPr>
            </w:pPr>
            <w:r w:rsidRPr="009C1E28">
              <w:rPr>
                <w:rFonts w:ascii="Times New Roman" w:hAnsi="Times New Roman" w:cs="Times New Roman"/>
              </w:rPr>
              <w:t>25% (1/4)</w:t>
            </w:r>
          </w:p>
        </w:tc>
        <w:tc>
          <w:tcPr>
            <w:tcW w:w="2438" w:type="dxa"/>
          </w:tcPr>
          <w:p w:rsidR="009C1E28" w:rsidRPr="009C1E28" w:rsidRDefault="009C1E28" w:rsidP="009C1E28">
            <w:pPr>
              <w:keepNext/>
              <w:keepLines/>
              <w:tabs>
                <w:tab w:val="left" w:pos="567"/>
              </w:tabs>
              <w:spacing w:after="0"/>
              <w:jc w:val="both"/>
              <w:rPr>
                <w:rFonts w:ascii="Times New Roman" w:eastAsia="SimSun" w:hAnsi="Times New Roman" w:cs="Times New Roman"/>
                <w:b/>
              </w:rPr>
            </w:pPr>
            <w:r w:rsidRPr="009C1E28">
              <w:rPr>
                <w:rFonts w:ascii="Times New Roman" w:hAnsi="Times New Roman" w:cs="Times New Roman"/>
              </w:rPr>
              <w:t>75% (3/4)</w:t>
            </w:r>
          </w:p>
        </w:tc>
      </w:tr>
      <w:tr w:rsidR="009C1E28" w:rsidRPr="009C1E28" w:rsidTr="00230CF3">
        <w:tc>
          <w:tcPr>
            <w:tcW w:w="2518" w:type="dxa"/>
          </w:tcPr>
          <w:p w:rsidR="009C1E28" w:rsidRPr="009C1E28" w:rsidRDefault="009C1E28" w:rsidP="009C1E28">
            <w:pPr>
              <w:keepNext/>
              <w:keepLines/>
              <w:tabs>
                <w:tab w:val="left" w:pos="567"/>
              </w:tabs>
              <w:spacing w:after="0"/>
              <w:jc w:val="both"/>
              <w:rPr>
                <w:rFonts w:ascii="Times New Roman" w:eastAsia="SimSun" w:hAnsi="Times New Roman" w:cs="Times New Roman"/>
                <w:b/>
                <w:i/>
              </w:rPr>
            </w:pPr>
            <w:r w:rsidRPr="009C1E28">
              <w:rPr>
                <w:rFonts w:ascii="Times New Roman" w:hAnsi="Times New Roman" w:cs="Times New Roman"/>
                <w:i/>
              </w:rPr>
              <w:t>Prethodno liječeni</w:t>
            </w:r>
          </w:p>
        </w:tc>
        <w:tc>
          <w:tcPr>
            <w:tcW w:w="1559" w:type="dxa"/>
          </w:tcPr>
          <w:p w:rsidR="009C1E28" w:rsidRPr="009C1E28" w:rsidRDefault="009C1E28" w:rsidP="009C1E28">
            <w:pPr>
              <w:keepNext/>
              <w:keepLines/>
              <w:tabs>
                <w:tab w:val="left" w:pos="567"/>
              </w:tabs>
              <w:spacing w:after="0"/>
              <w:jc w:val="both"/>
              <w:rPr>
                <w:rFonts w:ascii="Times New Roman" w:eastAsia="SimSun" w:hAnsi="Times New Roman" w:cs="Times New Roman"/>
                <w:b/>
              </w:rPr>
            </w:pPr>
            <w:r w:rsidRPr="009C1E28">
              <w:rPr>
                <w:rFonts w:ascii="Times New Roman" w:hAnsi="Times New Roman" w:cs="Times New Roman"/>
              </w:rPr>
              <w:t>82% (41/50)</w:t>
            </w:r>
          </w:p>
        </w:tc>
        <w:tc>
          <w:tcPr>
            <w:tcW w:w="1560" w:type="dxa"/>
          </w:tcPr>
          <w:p w:rsidR="009C1E28" w:rsidRPr="009C1E28" w:rsidRDefault="009C1E28" w:rsidP="009C1E28">
            <w:pPr>
              <w:keepNext/>
              <w:keepLines/>
              <w:tabs>
                <w:tab w:val="left" w:pos="567"/>
              </w:tabs>
              <w:spacing w:after="0"/>
              <w:jc w:val="both"/>
              <w:rPr>
                <w:rFonts w:ascii="Times New Roman" w:eastAsia="SimSun" w:hAnsi="Times New Roman" w:cs="Times New Roman"/>
                <w:b/>
              </w:rPr>
            </w:pPr>
            <w:r w:rsidRPr="009C1E28">
              <w:rPr>
                <w:rFonts w:ascii="Times New Roman" w:hAnsi="Times New Roman" w:cs="Times New Roman"/>
              </w:rPr>
              <w:t>16% (8/49)</w:t>
            </w:r>
          </w:p>
        </w:tc>
        <w:tc>
          <w:tcPr>
            <w:tcW w:w="1559" w:type="dxa"/>
          </w:tcPr>
          <w:p w:rsidR="009C1E28" w:rsidRPr="009C1E28" w:rsidRDefault="009C1E28" w:rsidP="009C1E28">
            <w:pPr>
              <w:keepNext/>
              <w:keepLines/>
              <w:tabs>
                <w:tab w:val="left" w:pos="567"/>
              </w:tabs>
              <w:spacing w:after="0"/>
              <w:jc w:val="both"/>
              <w:rPr>
                <w:rFonts w:ascii="Times New Roman" w:eastAsia="SimSun" w:hAnsi="Times New Roman" w:cs="Times New Roman"/>
                <w:b/>
              </w:rPr>
            </w:pPr>
            <w:r w:rsidRPr="009C1E28">
              <w:rPr>
                <w:rFonts w:ascii="Times New Roman" w:hAnsi="Times New Roman" w:cs="Times New Roman"/>
              </w:rPr>
              <w:t>NS</w:t>
            </w:r>
          </w:p>
        </w:tc>
        <w:tc>
          <w:tcPr>
            <w:tcW w:w="2438" w:type="dxa"/>
          </w:tcPr>
          <w:p w:rsidR="009C1E28" w:rsidRPr="009C1E28" w:rsidRDefault="009C1E28" w:rsidP="009C1E28">
            <w:pPr>
              <w:keepNext/>
              <w:keepLines/>
              <w:tabs>
                <w:tab w:val="left" w:pos="567"/>
              </w:tabs>
              <w:spacing w:after="0"/>
              <w:jc w:val="both"/>
              <w:rPr>
                <w:rFonts w:ascii="Times New Roman" w:eastAsia="SimSun" w:hAnsi="Times New Roman" w:cs="Times New Roman"/>
                <w:b/>
              </w:rPr>
            </w:pPr>
            <w:r w:rsidRPr="009C1E28">
              <w:rPr>
                <w:rFonts w:ascii="Times New Roman" w:hAnsi="Times New Roman" w:cs="Times New Roman"/>
              </w:rPr>
              <w:t>NS</w:t>
            </w:r>
          </w:p>
        </w:tc>
      </w:tr>
      <w:tr w:rsidR="009C1E28" w:rsidRPr="009C1E28" w:rsidTr="00230CF3">
        <w:tc>
          <w:tcPr>
            <w:tcW w:w="2518" w:type="dxa"/>
          </w:tcPr>
          <w:p w:rsidR="009C1E28" w:rsidRPr="009C1E28" w:rsidRDefault="009C1E28" w:rsidP="009C1E28">
            <w:pPr>
              <w:keepNext/>
              <w:keepLines/>
              <w:tabs>
                <w:tab w:val="left" w:pos="567"/>
              </w:tabs>
              <w:spacing w:after="0"/>
              <w:ind w:firstLine="142"/>
              <w:jc w:val="both"/>
              <w:rPr>
                <w:rFonts w:ascii="Times New Roman" w:eastAsia="SimSun" w:hAnsi="Times New Roman" w:cs="Times New Roman"/>
                <w:b/>
              </w:rPr>
            </w:pPr>
            <w:r w:rsidRPr="009C1E28">
              <w:rPr>
                <w:rFonts w:ascii="Times New Roman" w:hAnsi="Times New Roman" w:cs="Times New Roman"/>
              </w:rPr>
              <w:t>Pacijenti koji nemaju cirozu</w:t>
            </w:r>
          </w:p>
        </w:tc>
        <w:tc>
          <w:tcPr>
            <w:tcW w:w="1559" w:type="dxa"/>
          </w:tcPr>
          <w:p w:rsidR="009C1E28" w:rsidRPr="009C1E28" w:rsidRDefault="009C1E28" w:rsidP="009C1E28">
            <w:pPr>
              <w:keepNext/>
              <w:keepLines/>
              <w:tabs>
                <w:tab w:val="left" w:pos="567"/>
              </w:tabs>
              <w:spacing w:after="0"/>
              <w:jc w:val="both"/>
              <w:rPr>
                <w:rFonts w:ascii="Times New Roman" w:eastAsia="SimSun" w:hAnsi="Times New Roman" w:cs="Times New Roman"/>
                <w:b/>
              </w:rPr>
            </w:pPr>
            <w:r w:rsidRPr="009C1E28">
              <w:rPr>
                <w:rFonts w:ascii="Times New Roman" w:hAnsi="Times New Roman" w:cs="Times New Roman"/>
              </w:rPr>
              <w:t>89% (25/28)</w:t>
            </w:r>
          </w:p>
        </w:tc>
        <w:tc>
          <w:tcPr>
            <w:tcW w:w="1560" w:type="dxa"/>
          </w:tcPr>
          <w:p w:rsidR="009C1E28" w:rsidRPr="009C1E28" w:rsidRDefault="009C1E28" w:rsidP="009C1E28">
            <w:pPr>
              <w:keepNext/>
              <w:keepLines/>
              <w:tabs>
                <w:tab w:val="left" w:pos="567"/>
              </w:tabs>
              <w:spacing w:after="0"/>
              <w:jc w:val="both"/>
              <w:rPr>
                <w:rFonts w:ascii="Times New Roman" w:eastAsia="SimSun" w:hAnsi="Times New Roman" w:cs="Times New Roman"/>
                <w:b/>
              </w:rPr>
            </w:pPr>
            <w:r w:rsidRPr="009C1E28">
              <w:rPr>
                <w:rFonts w:ascii="Times New Roman" w:hAnsi="Times New Roman" w:cs="Times New Roman"/>
              </w:rPr>
              <w:t>7% (2/27)</w:t>
            </w:r>
          </w:p>
        </w:tc>
        <w:tc>
          <w:tcPr>
            <w:tcW w:w="1559" w:type="dxa"/>
          </w:tcPr>
          <w:p w:rsidR="009C1E28" w:rsidRPr="009C1E28" w:rsidRDefault="009C1E28" w:rsidP="009C1E28">
            <w:pPr>
              <w:keepNext/>
              <w:keepLines/>
              <w:tabs>
                <w:tab w:val="left" w:pos="567"/>
              </w:tabs>
              <w:spacing w:after="0"/>
              <w:jc w:val="both"/>
              <w:rPr>
                <w:rFonts w:ascii="Times New Roman" w:eastAsia="SimSun" w:hAnsi="Times New Roman" w:cs="Times New Roman"/>
                <w:b/>
              </w:rPr>
            </w:pPr>
            <w:r w:rsidRPr="009C1E28">
              <w:rPr>
                <w:rFonts w:ascii="Times New Roman" w:hAnsi="Times New Roman" w:cs="Times New Roman"/>
              </w:rPr>
              <w:t>NS</w:t>
            </w:r>
          </w:p>
        </w:tc>
        <w:tc>
          <w:tcPr>
            <w:tcW w:w="2438" w:type="dxa"/>
          </w:tcPr>
          <w:p w:rsidR="009C1E28" w:rsidRPr="009C1E28" w:rsidRDefault="009C1E28" w:rsidP="009C1E28">
            <w:pPr>
              <w:keepNext/>
              <w:keepLines/>
              <w:tabs>
                <w:tab w:val="left" w:pos="567"/>
              </w:tabs>
              <w:spacing w:after="0"/>
              <w:jc w:val="both"/>
              <w:rPr>
                <w:rFonts w:ascii="Times New Roman" w:eastAsia="SimSun" w:hAnsi="Times New Roman" w:cs="Times New Roman"/>
                <w:b/>
              </w:rPr>
            </w:pPr>
            <w:r w:rsidRPr="009C1E28">
              <w:rPr>
                <w:rFonts w:ascii="Times New Roman" w:hAnsi="Times New Roman" w:cs="Times New Roman"/>
              </w:rPr>
              <w:t>NS</w:t>
            </w:r>
          </w:p>
        </w:tc>
      </w:tr>
      <w:tr w:rsidR="009C1E28" w:rsidRPr="009C1E28" w:rsidTr="00230CF3">
        <w:tc>
          <w:tcPr>
            <w:tcW w:w="2518" w:type="dxa"/>
          </w:tcPr>
          <w:p w:rsidR="009C1E28" w:rsidRPr="009C1E28" w:rsidRDefault="009C1E28" w:rsidP="009C1E28">
            <w:pPr>
              <w:keepNext/>
              <w:keepLines/>
              <w:tabs>
                <w:tab w:val="left" w:pos="567"/>
              </w:tabs>
              <w:spacing w:after="0"/>
              <w:ind w:firstLine="142"/>
              <w:jc w:val="both"/>
              <w:rPr>
                <w:rFonts w:ascii="Times New Roman" w:eastAsia="SimSun" w:hAnsi="Times New Roman" w:cs="Times New Roman"/>
                <w:b/>
              </w:rPr>
            </w:pPr>
            <w:r w:rsidRPr="009C1E28">
              <w:rPr>
                <w:rFonts w:ascii="Times New Roman" w:hAnsi="Times New Roman" w:cs="Times New Roman"/>
              </w:rPr>
              <w:t>Pacijenti sa cirozom</w:t>
            </w:r>
          </w:p>
        </w:tc>
        <w:tc>
          <w:tcPr>
            <w:tcW w:w="1559" w:type="dxa"/>
          </w:tcPr>
          <w:p w:rsidR="009C1E28" w:rsidRPr="009C1E28" w:rsidRDefault="009C1E28" w:rsidP="009C1E28">
            <w:pPr>
              <w:keepNext/>
              <w:keepLines/>
              <w:tabs>
                <w:tab w:val="left" w:pos="567"/>
              </w:tabs>
              <w:spacing w:after="0"/>
              <w:jc w:val="both"/>
              <w:rPr>
                <w:rFonts w:ascii="Times New Roman" w:eastAsia="SimSun" w:hAnsi="Times New Roman" w:cs="Times New Roman"/>
                <w:b/>
              </w:rPr>
            </w:pPr>
            <w:r w:rsidRPr="009C1E28">
              <w:rPr>
                <w:rFonts w:ascii="Times New Roman" w:hAnsi="Times New Roman" w:cs="Times New Roman"/>
              </w:rPr>
              <w:t>73% (16/22)</w:t>
            </w:r>
          </w:p>
        </w:tc>
        <w:tc>
          <w:tcPr>
            <w:tcW w:w="1560" w:type="dxa"/>
          </w:tcPr>
          <w:p w:rsidR="009C1E28" w:rsidRPr="009C1E28" w:rsidRDefault="009C1E28" w:rsidP="009C1E28">
            <w:pPr>
              <w:keepNext/>
              <w:keepLines/>
              <w:tabs>
                <w:tab w:val="left" w:pos="567"/>
              </w:tabs>
              <w:spacing w:after="0"/>
              <w:jc w:val="both"/>
              <w:rPr>
                <w:rFonts w:ascii="Times New Roman" w:eastAsia="SimSun" w:hAnsi="Times New Roman" w:cs="Times New Roman"/>
                <w:b/>
              </w:rPr>
            </w:pPr>
            <w:r w:rsidRPr="009C1E28">
              <w:rPr>
                <w:rFonts w:ascii="Times New Roman" w:hAnsi="Times New Roman" w:cs="Times New Roman"/>
              </w:rPr>
              <w:t>27% (6/22)</w:t>
            </w:r>
          </w:p>
        </w:tc>
        <w:tc>
          <w:tcPr>
            <w:tcW w:w="1559" w:type="dxa"/>
          </w:tcPr>
          <w:p w:rsidR="009C1E28" w:rsidRPr="009C1E28" w:rsidRDefault="009C1E28" w:rsidP="009C1E28">
            <w:pPr>
              <w:keepNext/>
              <w:keepLines/>
              <w:tabs>
                <w:tab w:val="left" w:pos="567"/>
              </w:tabs>
              <w:spacing w:after="0"/>
              <w:jc w:val="both"/>
              <w:rPr>
                <w:rFonts w:ascii="Times New Roman" w:eastAsia="SimSun" w:hAnsi="Times New Roman" w:cs="Times New Roman"/>
                <w:b/>
              </w:rPr>
            </w:pPr>
            <w:r w:rsidRPr="009C1E28">
              <w:rPr>
                <w:rFonts w:ascii="Times New Roman" w:hAnsi="Times New Roman" w:cs="Times New Roman"/>
              </w:rPr>
              <w:t>NS</w:t>
            </w:r>
          </w:p>
        </w:tc>
        <w:tc>
          <w:tcPr>
            <w:tcW w:w="2438" w:type="dxa"/>
          </w:tcPr>
          <w:p w:rsidR="009C1E28" w:rsidRPr="009C1E28" w:rsidRDefault="009C1E28" w:rsidP="009C1E28">
            <w:pPr>
              <w:keepNext/>
              <w:keepLines/>
              <w:tabs>
                <w:tab w:val="left" w:pos="567"/>
              </w:tabs>
              <w:spacing w:after="0"/>
              <w:jc w:val="both"/>
              <w:rPr>
                <w:rFonts w:ascii="Times New Roman" w:eastAsia="SimSun" w:hAnsi="Times New Roman" w:cs="Times New Roman"/>
                <w:b/>
              </w:rPr>
            </w:pPr>
            <w:r w:rsidRPr="009C1E28">
              <w:rPr>
                <w:rFonts w:ascii="Times New Roman" w:hAnsi="Times New Roman" w:cs="Times New Roman"/>
              </w:rPr>
              <w:t>NS</w:t>
            </w:r>
          </w:p>
        </w:tc>
      </w:tr>
    </w:tbl>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NS: nije ispitano.</w:t>
      </w: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a. Imenilac za relaps je broj pacijenata sa HCV RNK &lt;LLOQ na njihovom posljednjem pregledu za vrijeme trajanja terapije.</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keepNext/>
        <w:keepLines/>
        <w:spacing w:after="0"/>
        <w:jc w:val="both"/>
        <w:rPr>
          <w:rFonts w:ascii="Times New Roman" w:hAnsi="Times New Roman" w:cs="Times New Roman"/>
          <w:b/>
          <w:i/>
        </w:rPr>
      </w:pPr>
      <w:r w:rsidRPr="009C1E28">
        <w:rPr>
          <w:rFonts w:ascii="Times New Roman" w:hAnsi="Times New Roman" w:cs="Times New Roman"/>
          <w:i/>
        </w:rPr>
        <w:t>Pedijatrijska populacija</w:t>
      </w: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 xml:space="preserve">Efikasnost ledipasvira/sofosbuvira kod adolescenata  uzrasta  od 12 do &lt;18 godina inficiranih HCV-om je procijenjena u otvorenom kliničkom ispitivanju faze II, koje je uključivalo 100 pacijenata sa CHC-om genotipa 1 </w:t>
      </w:r>
      <w:r w:rsidRPr="009C1E28">
        <w:rPr>
          <w:rFonts w:ascii="Times New Roman" w:hAnsi="Times New Roman" w:cs="Times New Roman"/>
          <w:iCs/>
        </w:rPr>
        <w:t xml:space="preserve">(studija 1116). Ukupno </w:t>
      </w:r>
      <w:r w:rsidRPr="009C1E28">
        <w:rPr>
          <w:rFonts w:ascii="Times New Roman" w:hAnsi="Times New Roman" w:cs="Times New Roman"/>
        </w:rPr>
        <w:t>80 pacijenata (80%) nijesu bili prethodno liječeni, dok je 20 pacijenata (20%) bilo prethodno liječeno. Svi pacijenti u ispitivanju su liječeni ledipasvirom/sofosbuvirom tokom 12 nedjelja.</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iCs/>
        </w:rPr>
        <w:t>Demografske i početne karakteristike su ravnomjerno raspoređene između prethodno neliječenih i prethodno liječenih pacijenata</w:t>
      </w:r>
      <w:r w:rsidRPr="009C1E28">
        <w:rPr>
          <w:rFonts w:ascii="Times New Roman" w:hAnsi="Times New Roman" w:cs="Times New Roman"/>
        </w:rPr>
        <w:t xml:space="preserve">. Od 100 tretiranih pacijenata, medijana starosne dobi bila je 15 godina (opseg od 12 do 17); 63% pacijenata je bilo ženskog pola; 90% bili su bijelci, 7% bili su crnci, i 2% Azijati; 13% su bili </w:t>
      </w:r>
      <w:r w:rsidRPr="009C1E28">
        <w:rPr>
          <w:rFonts w:ascii="Times New Roman" w:hAnsi="Times New Roman" w:cs="Times New Roman"/>
        </w:rPr>
        <w:lastRenderedPageBreak/>
        <w:t xml:space="preserve">hispano/latino porijekla; prosječna težina 61,3 kg (opseg od 33,0 do 126,0 kg); 55% je imalo početne vrijednosti nivoa HCV RNK veće od 800000 IJ/mL; 81% je imalo HCV infekciju genotipom 1a; 76% je imalo ne-CC IL28B alele (CT ili TT), i 1% poznatu cirozu. Većina pacijenata (84%) je inficirana vertikalnim prenosom. </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SVR12 stopa je bila 98% ukupno (98% [78/80] kod pacijenata koji nijesu prije liječeni, i 100% [20/20] kod prethodno liječenih pacijenata). Ukupno 2 od 100 pacijenata (2%), od kojih oba nijesu prethodno liječeni, nijesu postigli SVR12 (zbog nemogućnosti praćenja). Nijedan pacijent nije doživio virološki neuspjeh (vidjeti odjeljak 4.2 za informacije o pedijatrijskoj primjeni).</w:t>
      </w:r>
    </w:p>
    <w:p w:rsidR="009C1E28" w:rsidRPr="009C1E28" w:rsidRDefault="009C1E28" w:rsidP="009C1E28">
      <w:pPr>
        <w:spacing w:after="0"/>
        <w:jc w:val="both"/>
        <w:rPr>
          <w:rFonts w:ascii="Times New Roman" w:hAnsi="Times New Roman" w:cs="Times New Roman"/>
          <w:b/>
        </w:rPr>
      </w:pPr>
    </w:p>
    <w:p w:rsidR="009C1E28" w:rsidRPr="002045B8" w:rsidRDefault="009C1E28" w:rsidP="009C1E28">
      <w:pPr>
        <w:keepNext/>
        <w:keepLines/>
        <w:spacing w:after="0"/>
        <w:ind w:left="567" w:hanging="567"/>
        <w:jc w:val="both"/>
        <w:rPr>
          <w:rFonts w:ascii="Times New Roman" w:hAnsi="Times New Roman" w:cs="Times New Roman"/>
          <w:b/>
        </w:rPr>
      </w:pPr>
      <w:r w:rsidRPr="002045B8">
        <w:rPr>
          <w:rFonts w:ascii="Times New Roman" w:hAnsi="Times New Roman" w:cs="Times New Roman"/>
          <w:b/>
        </w:rPr>
        <w:t>5.2</w:t>
      </w:r>
      <w:r w:rsidRPr="002045B8">
        <w:rPr>
          <w:rFonts w:ascii="Times New Roman" w:hAnsi="Times New Roman" w:cs="Times New Roman"/>
          <w:b/>
        </w:rPr>
        <w:tab/>
        <w:t>Farmakokinetički podaci</w:t>
      </w:r>
    </w:p>
    <w:p w:rsidR="009C1E28" w:rsidRPr="009C1E28" w:rsidRDefault="009C1E28" w:rsidP="009C1E28">
      <w:pPr>
        <w:keepNext/>
        <w:keepLines/>
        <w:spacing w:after="0"/>
        <w:jc w:val="both"/>
        <w:rPr>
          <w:rFonts w:ascii="Times New Roman" w:hAnsi="Times New Roman" w:cs="Times New Roman"/>
          <w:b/>
        </w:rPr>
      </w:pPr>
    </w:p>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u w:val="single"/>
        </w:rPr>
        <w:t>Resorpcija</w:t>
      </w: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Nakon peroralne primjene ledipasvira/sofosbuvira kod pacijenata inficiranih HCV-om, medijana maksimalnih koncentracija ledipasvira u plazmi registrovana je 4,0 časa nakon uzimanja doze. Sofosbuvir se brzo resorbovao, i medijana maksimalne koncentracija u plazmi registrovana je ~1 čas nakon uzimanja doze. Medijana maksimalne koncentracije GS-331007 u plazmi registrovana je 4 časa nakon uzimanja doze.</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Na osnovu populacione farmakokinetičke analize kod pacijenata zaraženih HCV-om, geometrijska srednja vrijednost AUC</w:t>
      </w:r>
      <w:r w:rsidRPr="009C1E28">
        <w:rPr>
          <w:rFonts w:ascii="Times New Roman" w:hAnsi="Times New Roman" w:cs="Times New Roman"/>
          <w:vertAlign w:val="subscript"/>
        </w:rPr>
        <w:t>0</w:t>
      </w:r>
      <w:r w:rsidRPr="009C1E28">
        <w:rPr>
          <w:rFonts w:ascii="Times New Roman" w:hAnsi="Times New Roman" w:cs="Times New Roman"/>
        </w:rPr>
        <w:noBreakHyphen/>
      </w:r>
      <w:r w:rsidRPr="009C1E28">
        <w:rPr>
          <w:rFonts w:ascii="Times New Roman" w:hAnsi="Times New Roman" w:cs="Times New Roman"/>
          <w:vertAlign w:val="subscript"/>
        </w:rPr>
        <w:t>24</w:t>
      </w:r>
      <w:r w:rsidRPr="009C1E28">
        <w:rPr>
          <w:rFonts w:ascii="Times New Roman" w:hAnsi="Times New Roman" w:cs="Times New Roman"/>
        </w:rPr>
        <w:t xml:space="preserve"> u stanju dinamičke ravnoteže za ledipasvir (n = 2113), sofosbuvir (n = 1542) i GS-331007 (n = 2113) iznosila je 7290, 1320 odnosno 12000 ng•čas/ml. C</w:t>
      </w:r>
      <w:r w:rsidRPr="009C1E28">
        <w:rPr>
          <w:rFonts w:ascii="Times New Roman" w:hAnsi="Times New Roman" w:cs="Times New Roman"/>
          <w:vertAlign w:val="subscript"/>
        </w:rPr>
        <w:t xml:space="preserve">max </w:t>
      </w:r>
      <w:r w:rsidRPr="009C1E28">
        <w:rPr>
          <w:rFonts w:ascii="Times New Roman" w:hAnsi="Times New Roman" w:cs="Times New Roman"/>
        </w:rPr>
        <w:t>u stanju dinamičke ravnoteže za ledipasvir, sofosbuvir i GS-331007 iznosila je 323, 618 odnosno 707 ng/ml. AUC</w:t>
      </w:r>
      <w:r w:rsidRPr="009C1E28">
        <w:rPr>
          <w:rFonts w:ascii="Times New Roman" w:hAnsi="Times New Roman" w:cs="Times New Roman"/>
          <w:vertAlign w:val="subscript"/>
        </w:rPr>
        <w:t>0-24</w:t>
      </w:r>
      <w:r w:rsidRPr="009C1E28">
        <w:rPr>
          <w:rFonts w:ascii="Times New Roman" w:hAnsi="Times New Roman" w:cs="Times New Roman"/>
        </w:rPr>
        <w:t xml:space="preserve"> i C</w:t>
      </w:r>
      <w:r w:rsidRPr="009C1E28">
        <w:rPr>
          <w:rFonts w:ascii="Times New Roman" w:hAnsi="Times New Roman" w:cs="Times New Roman"/>
          <w:vertAlign w:val="subscript"/>
        </w:rPr>
        <w:t>max</w:t>
      </w:r>
      <w:r w:rsidRPr="009C1E28">
        <w:rPr>
          <w:rFonts w:ascii="Times New Roman" w:hAnsi="Times New Roman" w:cs="Times New Roman"/>
        </w:rPr>
        <w:t xml:space="preserve"> sofosbuvira i GS-331007 bile su slične kod zdravih odraslih ispitanika i pacijenata sa HCV infekcijom. U odnosu na one kod zdravih ispitanika (n = 191), AUC</w:t>
      </w:r>
      <w:r w:rsidRPr="009C1E28">
        <w:rPr>
          <w:rFonts w:ascii="Times New Roman" w:hAnsi="Times New Roman" w:cs="Times New Roman"/>
          <w:vertAlign w:val="subscript"/>
        </w:rPr>
        <w:t>0-24</w:t>
      </w:r>
      <w:r w:rsidRPr="009C1E28">
        <w:rPr>
          <w:rFonts w:ascii="Times New Roman" w:hAnsi="Times New Roman" w:cs="Times New Roman"/>
        </w:rPr>
        <w:t xml:space="preserve"> i C</w:t>
      </w:r>
      <w:r w:rsidRPr="009C1E28">
        <w:rPr>
          <w:rFonts w:ascii="Times New Roman" w:hAnsi="Times New Roman" w:cs="Times New Roman"/>
          <w:vertAlign w:val="subscript"/>
        </w:rPr>
        <w:t>max</w:t>
      </w:r>
      <w:r w:rsidRPr="009C1E28">
        <w:rPr>
          <w:rFonts w:ascii="Times New Roman" w:hAnsi="Times New Roman" w:cs="Times New Roman"/>
        </w:rPr>
        <w:t xml:space="preserve"> ledipasvira kod pacijenata inficiranih HCV-om iznosile su 24% manje, odnosno 32% manje. AUC ledipasvira proporcionalna je dozi u opsegu doza od 3 do 100 mg. AUC sofosbuvira i GS-331007 bili su gotovo proporcionalni dozi u opsegu doza od 200 mg do 400 mg.</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keepNext/>
        <w:keepLines/>
        <w:spacing w:after="0"/>
        <w:jc w:val="both"/>
        <w:rPr>
          <w:rFonts w:ascii="Times New Roman" w:hAnsi="Times New Roman" w:cs="Times New Roman"/>
          <w:b/>
          <w:i/>
        </w:rPr>
      </w:pPr>
      <w:r w:rsidRPr="009C1E28">
        <w:rPr>
          <w:rFonts w:ascii="Times New Roman" w:hAnsi="Times New Roman" w:cs="Times New Roman"/>
          <w:i/>
        </w:rPr>
        <w:t>Uticaj hrane</w:t>
      </w: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U odnosu na stanje natašte, primjena jedne doze ledipasvira/sofosbuvira s umjereno masnim ili veoma masnim obrokom povećala je AUC</w:t>
      </w:r>
      <w:r w:rsidRPr="009C1E28">
        <w:rPr>
          <w:rFonts w:ascii="Times New Roman" w:hAnsi="Times New Roman" w:cs="Times New Roman"/>
          <w:vertAlign w:val="subscript"/>
        </w:rPr>
        <w:t>0-inf</w:t>
      </w:r>
      <w:r w:rsidRPr="009C1E28">
        <w:rPr>
          <w:rFonts w:ascii="Times New Roman" w:hAnsi="Times New Roman" w:cs="Times New Roman"/>
        </w:rPr>
        <w:t xml:space="preserve"> sofosbuvira za približno 2 puta, ali nije značajno uticala na C</w:t>
      </w:r>
      <w:r w:rsidRPr="009C1E28">
        <w:rPr>
          <w:rFonts w:ascii="Times New Roman" w:hAnsi="Times New Roman" w:cs="Times New Roman"/>
          <w:vertAlign w:val="subscript"/>
        </w:rPr>
        <w:t>max</w:t>
      </w:r>
      <w:r w:rsidRPr="009C1E28">
        <w:rPr>
          <w:rFonts w:ascii="Times New Roman" w:hAnsi="Times New Roman" w:cs="Times New Roman"/>
        </w:rPr>
        <w:t xml:space="preserve"> sofosbuvira. Izloženost GS-331007 i ledipasviru nije bila promijenjena u prisustvu bilo koje vrste obroka. Lijek Harvoni se može primjenjivati bez obzira na hranu.</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keepNext/>
        <w:keepLines/>
        <w:numPr>
          <w:ilvl w:val="12"/>
          <w:numId w:val="0"/>
        </w:numPr>
        <w:spacing w:after="0"/>
        <w:jc w:val="both"/>
        <w:rPr>
          <w:rFonts w:ascii="Times New Roman" w:hAnsi="Times New Roman" w:cs="Times New Roman"/>
          <w:b/>
          <w:u w:val="single"/>
        </w:rPr>
      </w:pPr>
      <w:r w:rsidRPr="009C1E28">
        <w:rPr>
          <w:rFonts w:ascii="Times New Roman" w:hAnsi="Times New Roman" w:cs="Times New Roman"/>
          <w:u w:val="single"/>
        </w:rPr>
        <w:t>Distribucija</w:t>
      </w: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Ledipasvir je &gt;99,8% vezan za proteine ljudske plazme. Nakon jedne doze od 90 mg [</w:t>
      </w:r>
      <w:r w:rsidRPr="009C1E28">
        <w:rPr>
          <w:rFonts w:ascii="Times New Roman" w:hAnsi="Times New Roman" w:cs="Times New Roman"/>
          <w:vertAlign w:val="superscript"/>
        </w:rPr>
        <w:t>14</w:t>
      </w:r>
      <w:r w:rsidRPr="009C1E28">
        <w:rPr>
          <w:rFonts w:ascii="Times New Roman" w:hAnsi="Times New Roman" w:cs="Times New Roman"/>
        </w:rPr>
        <w:t>C]</w:t>
      </w:r>
      <w:r w:rsidRPr="009C1E28">
        <w:rPr>
          <w:rFonts w:ascii="Times New Roman" w:hAnsi="Times New Roman" w:cs="Times New Roman"/>
        </w:rPr>
        <w:noBreakHyphen/>
        <w:t>ledipasvira kod zdravih ispitanika, odnos [</w:t>
      </w:r>
      <w:r w:rsidRPr="009C1E28">
        <w:rPr>
          <w:rFonts w:ascii="Times New Roman" w:hAnsi="Times New Roman" w:cs="Times New Roman"/>
          <w:vertAlign w:val="superscript"/>
        </w:rPr>
        <w:t>14</w:t>
      </w:r>
      <w:r w:rsidRPr="009C1E28">
        <w:rPr>
          <w:rFonts w:ascii="Times New Roman" w:hAnsi="Times New Roman" w:cs="Times New Roman"/>
        </w:rPr>
        <w:t>C]</w:t>
      </w:r>
      <w:r w:rsidRPr="009C1E28">
        <w:rPr>
          <w:rFonts w:ascii="Times New Roman" w:hAnsi="Times New Roman" w:cs="Times New Roman"/>
        </w:rPr>
        <w:noBreakHyphen/>
        <w:t>radioaktivnosti u krvi u odnosu na plazmu kretao se u opsegu između 0,51 i 0,66.</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Sofosbuvir je približno 61</w:t>
      </w:r>
      <w:r w:rsidRPr="009C1E28">
        <w:rPr>
          <w:rFonts w:ascii="Times New Roman" w:hAnsi="Times New Roman" w:cs="Times New Roman"/>
        </w:rPr>
        <w:noBreakHyphen/>
        <w:t>65% vezan za proteine ljudske plazme, i vezivanje ne zavisi od koncentracije lijeka u opsegu od 1 μg/ml do 20 μg/ml. Vezivanje GS</w:t>
      </w:r>
      <w:r w:rsidRPr="009C1E28">
        <w:rPr>
          <w:rFonts w:ascii="Times New Roman" w:hAnsi="Times New Roman" w:cs="Times New Roman"/>
        </w:rPr>
        <w:noBreakHyphen/>
        <w:t>331007 za proteine u ljudskoj plazmi bilo je minimalno. Nakon jedne doze od 400 mg [</w:t>
      </w:r>
      <w:r w:rsidRPr="009C1E28">
        <w:rPr>
          <w:rFonts w:ascii="Times New Roman" w:hAnsi="Times New Roman" w:cs="Times New Roman"/>
          <w:vertAlign w:val="superscript"/>
        </w:rPr>
        <w:t>14</w:t>
      </w:r>
      <w:r w:rsidRPr="009C1E28">
        <w:rPr>
          <w:rFonts w:ascii="Times New Roman" w:hAnsi="Times New Roman" w:cs="Times New Roman"/>
        </w:rPr>
        <w:t>C]</w:t>
      </w:r>
      <w:r w:rsidRPr="009C1E28">
        <w:rPr>
          <w:rFonts w:ascii="Times New Roman" w:hAnsi="Times New Roman" w:cs="Times New Roman"/>
        </w:rPr>
        <w:noBreakHyphen/>
        <w:t>ledipasvira kod zdravih ispitanika, odnos [</w:t>
      </w:r>
      <w:r w:rsidRPr="009C1E28">
        <w:rPr>
          <w:rFonts w:ascii="Times New Roman" w:hAnsi="Times New Roman" w:cs="Times New Roman"/>
          <w:vertAlign w:val="superscript"/>
        </w:rPr>
        <w:t>14</w:t>
      </w:r>
      <w:r w:rsidRPr="009C1E28">
        <w:rPr>
          <w:rFonts w:ascii="Times New Roman" w:hAnsi="Times New Roman" w:cs="Times New Roman"/>
        </w:rPr>
        <w:t>C]</w:t>
      </w:r>
      <w:r w:rsidRPr="009C1E28">
        <w:rPr>
          <w:rFonts w:ascii="Times New Roman" w:hAnsi="Times New Roman" w:cs="Times New Roman"/>
        </w:rPr>
        <w:noBreakHyphen/>
        <w:t>radioaktivnosti u krvi u odnosu na plazmu iznosio je oko 0,7.</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keepNext/>
        <w:keepLines/>
        <w:numPr>
          <w:ilvl w:val="12"/>
          <w:numId w:val="0"/>
        </w:numPr>
        <w:spacing w:after="0"/>
        <w:jc w:val="both"/>
        <w:rPr>
          <w:rFonts w:ascii="Times New Roman" w:hAnsi="Times New Roman" w:cs="Times New Roman"/>
          <w:b/>
          <w:u w:val="single"/>
        </w:rPr>
      </w:pPr>
      <w:r w:rsidRPr="009C1E28">
        <w:rPr>
          <w:rFonts w:ascii="Times New Roman" w:hAnsi="Times New Roman" w:cs="Times New Roman"/>
          <w:u w:val="single"/>
        </w:rPr>
        <w:lastRenderedPageBreak/>
        <w:t>Biotransformacija</w:t>
      </w:r>
    </w:p>
    <w:p w:rsidR="009C1E28" w:rsidRPr="009C1E28" w:rsidRDefault="009C1E28" w:rsidP="009C1E28">
      <w:pPr>
        <w:autoSpaceDE w:val="0"/>
        <w:autoSpaceDN w:val="0"/>
        <w:adjustRightInd w:val="0"/>
        <w:spacing w:after="0"/>
        <w:jc w:val="both"/>
        <w:rPr>
          <w:rFonts w:ascii="Times New Roman" w:hAnsi="Times New Roman" w:cs="Times New Roman"/>
          <w:b/>
        </w:rPr>
      </w:pPr>
      <w:r w:rsidRPr="009C1E28">
        <w:rPr>
          <w:rFonts w:ascii="Times New Roman" w:hAnsi="Times New Roman" w:cs="Times New Roman"/>
          <w:i/>
        </w:rPr>
        <w:t>In vitro</w:t>
      </w:r>
      <w:r w:rsidRPr="009C1E28">
        <w:rPr>
          <w:rFonts w:ascii="Times New Roman" w:hAnsi="Times New Roman" w:cs="Times New Roman"/>
        </w:rPr>
        <w:t>, nije bio registrovan detektabilan metabolizam ledipasvira preko humanih CYP1A2, CYP2C8, CYP2C9, CYP2C19, CYP2D6 i CYP3A4. Uočen je dokaz sporog oksidativnog metabolizma putem nepoznatog mehanizma. Nakon jedne doze od 90 mg [</w:t>
      </w:r>
      <w:r w:rsidRPr="009C1E28">
        <w:rPr>
          <w:rFonts w:ascii="Times New Roman" w:hAnsi="Times New Roman" w:cs="Times New Roman"/>
          <w:vertAlign w:val="superscript"/>
        </w:rPr>
        <w:t>14</w:t>
      </w:r>
      <w:r w:rsidRPr="009C1E28">
        <w:rPr>
          <w:rFonts w:ascii="Times New Roman" w:hAnsi="Times New Roman" w:cs="Times New Roman"/>
        </w:rPr>
        <w:t>C]</w:t>
      </w:r>
      <w:r w:rsidRPr="009C1E28">
        <w:rPr>
          <w:rFonts w:ascii="Times New Roman" w:hAnsi="Times New Roman" w:cs="Times New Roman"/>
        </w:rPr>
        <w:noBreakHyphen/>
        <w:t>ledipasvira, sistemska izloženost bila je gotovo isključivo posljedica izloženosti nepromijenjenom lijeku (&gt;98%). Nepromijenjeni ledipasvir takođe je glavni oblik prisutan u fecesu.</w:t>
      </w:r>
    </w:p>
    <w:p w:rsidR="009C1E28" w:rsidRPr="009C1E28" w:rsidRDefault="009C1E28" w:rsidP="009C1E28">
      <w:pPr>
        <w:autoSpaceDE w:val="0"/>
        <w:autoSpaceDN w:val="0"/>
        <w:adjustRightInd w:val="0"/>
        <w:spacing w:after="0"/>
        <w:jc w:val="both"/>
        <w:rPr>
          <w:rFonts w:ascii="Times New Roman" w:hAnsi="Times New Roman" w:cs="Times New Roman"/>
          <w:b/>
        </w:rPr>
      </w:pPr>
    </w:p>
    <w:p w:rsidR="009C1E28" w:rsidRPr="009C1E28" w:rsidRDefault="009C1E28" w:rsidP="009C1E28">
      <w:pPr>
        <w:autoSpaceDE w:val="0"/>
        <w:autoSpaceDN w:val="0"/>
        <w:adjustRightInd w:val="0"/>
        <w:spacing w:after="0"/>
        <w:jc w:val="both"/>
        <w:rPr>
          <w:rFonts w:ascii="Times New Roman" w:hAnsi="Times New Roman" w:cs="Times New Roman"/>
          <w:b/>
        </w:rPr>
      </w:pPr>
      <w:r w:rsidRPr="009C1E28">
        <w:rPr>
          <w:rFonts w:ascii="Times New Roman" w:hAnsi="Times New Roman" w:cs="Times New Roman"/>
        </w:rPr>
        <w:t>Sofosbuvir se opse</w:t>
      </w:r>
      <w:r w:rsidRPr="009C1E28">
        <w:rPr>
          <w:rFonts w:ascii="Times New Roman" w:hAnsi="Times New Roman" w:cs="Times New Roman"/>
          <w:lang w:val="sr-Latn-ME"/>
        </w:rPr>
        <w:t>žno</w:t>
      </w:r>
      <w:r w:rsidRPr="009C1E28">
        <w:rPr>
          <w:rFonts w:ascii="Times New Roman" w:hAnsi="Times New Roman" w:cs="Times New Roman"/>
        </w:rPr>
        <w:t xml:space="preserve"> metaboliše u jetri i nastaje farmakološki aktivan nukleozidu analogni trifosfat GS</w:t>
      </w:r>
      <w:r w:rsidRPr="009C1E28">
        <w:rPr>
          <w:rFonts w:ascii="Times New Roman" w:hAnsi="Times New Roman" w:cs="Times New Roman"/>
        </w:rPr>
        <w:noBreakHyphen/>
        <w:t xml:space="preserve">461203. Aktivni metabolit nije registrovan. Put metaboličke aktivacije uključuje sekvencionalnu hidrolizu karboksilnog estra kog katalizuju ljudski katepsin A ili karboksil esteraza 1 i cijepanje fosforamidata histidinskim trijadnim proteinom 1 koji vezuje nukleotide (engl. </w:t>
      </w:r>
      <w:r w:rsidRPr="009C1E28">
        <w:rPr>
          <w:rFonts w:ascii="Times New Roman" w:hAnsi="Times New Roman" w:cs="Times New Roman"/>
          <w:i/>
        </w:rPr>
        <w:t>histidine triad nucleotide-binding protein 1</w:t>
      </w:r>
      <w:r w:rsidRPr="009C1E28">
        <w:rPr>
          <w:rFonts w:ascii="Times New Roman" w:hAnsi="Times New Roman" w:cs="Times New Roman"/>
        </w:rPr>
        <w:t xml:space="preserve">) za kojim slijedi fosforilacija putem biosinteze pirimidinskih nukleotida. Defosforilacija dovodi do stvaranja nukleozidnog metabolita GS-331007 koji se ne može efikasno ponovno fosforilisati i nema anti-HCV djelovanje </w:t>
      </w:r>
      <w:r w:rsidRPr="009C1E28">
        <w:rPr>
          <w:rFonts w:ascii="Times New Roman" w:hAnsi="Times New Roman" w:cs="Times New Roman"/>
          <w:i/>
        </w:rPr>
        <w:t>in vitro</w:t>
      </w:r>
      <w:r w:rsidRPr="009C1E28">
        <w:rPr>
          <w:rFonts w:ascii="Times New Roman" w:hAnsi="Times New Roman" w:cs="Times New Roman"/>
        </w:rPr>
        <w:t>. Kod ledipasvira/sofosbuvira, na GS-331007 otpada približno 85% ukupne sistemske izloženosti.</w:t>
      </w:r>
    </w:p>
    <w:p w:rsidR="009C1E28" w:rsidRPr="009C1E28" w:rsidRDefault="009C1E28" w:rsidP="009C1E28">
      <w:pPr>
        <w:autoSpaceDE w:val="0"/>
        <w:autoSpaceDN w:val="0"/>
        <w:adjustRightInd w:val="0"/>
        <w:spacing w:after="0"/>
        <w:jc w:val="both"/>
        <w:rPr>
          <w:rFonts w:ascii="Times New Roman" w:hAnsi="Times New Roman" w:cs="Times New Roman"/>
          <w:b/>
        </w:rPr>
      </w:pPr>
    </w:p>
    <w:p w:rsidR="009C1E28" w:rsidRPr="009C1E28" w:rsidRDefault="009C1E28" w:rsidP="009C1E28">
      <w:pPr>
        <w:keepNext/>
        <w:keepLines/>
        <w:numPr>
          <w:ilvl w:val="12"/>
          <w:numId w:val="0"/>
        </w:numPr>
        <w:spacing w:after="0"/>
        <w:jc w:val="both"/>
        <w:rPr>
          <w:rFonts w:ascii="Times New Roman" w:hAnsi="Times New Roman" w:cs="Times New Roman"/>
          <w:b/>
        </w:rPr>
      </w:pPr>
      <w:r w:rsidRPr="009C1E28">
        <w:rPr>
          <w:rFonts w:ascii="Times New Roman" w:hAnsi="Times New Roman" w:cs="Times New Roman"/>
          <w:u w:val="single"/>
        </w:rPr>
        <w:t>Eliminacija</w:t>
      </w: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Nakon jedne peroralne doze od 90 mg [</w:t>
      </w:r>
      <w:r w:rsidRPr="009C1E28">
        <w:rPr>
          <w:rFonts w:ascii="Times New Roman" w:hAnsi="Times New Roman" w:cs="Times New Roman"/>
          <w:vertAlign w:val="superscript"/>
        </w:rPr>
        <w:t>14</w:t>
      </w:r>
      <w:r w:rsidRPr="009C1E28">
        <w:rPr>
          <w:rFonts w:ascii="Times New Roman" w:hAnsi="Times New Roman" w:cs="Times New Roman"/>
        </w:rPr>
        <w:t>C]-ledipasvira, srednja vrijednost ukupno otkrivene [</w:t>
      </w:r>
      <w:r w:rsidRPr="009C1E28">
        <w:rPr>
          <w:rFonts w:ascii="Times New Roman" w:hAnsi="Times New Roman" w:cs="Times New Roman"/>
          <w:vertAlign w:val="superscript"/>
        </w:rPr>
        <w:t>14</w:t>
      </w:r>
      <w:r w:rsidRPr="009C1E28">
        <w:rPr>
          <w:rFonts w:ascii="Times New Roman" w:hAnsi="Times New Roman" w:cs="Times New Roman"/>
        </w:rPr>
        <w:t>C]-radioaktivnosti u fecesu i urinu iznosila je 87%, s tim da je najviše radioaktivne doze otkriveno u fecesu (86%). Na nepromijenjeni ledipasvir izlučen u feces otpadala je srednja vrijednost od 70% primijenjene doze, a na oksidativni metabolit M19 2,2% doze. Ovi podaci ukazuju na to da je izlučivanje nepromijenjenog ledipasvira putem žuči glavni put eliminacije, dok je bubrežno izlučivanje manje značajan način (približno 1%). Medijana terminalnog poluvremena eliminacije ledipasvira nakon primjene ledipasvira/sofosbuvira natašte kod zdravih dobrovoljaca iznosila je 47 časova.</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Nakon jedne peroralne doze od 400 mg [</w:t>
      </w:r>
      <w:r w:rsidRPr="009C1E28">
        <w:rPr>
          <w:rFonts w:ascii="Times New Roman" w:hAnsi="Times New Roman" w:cs="Times New Roman"/>
          <w:vertAlign w:val="superscript"/>
        </w:rPr>
        <w:t>14</w:t>
      </w:r>
      <w:r w:rsidRPr="009C1E28">
        <w:rPr>
          <w:rFonts w:ascii="Times New Roman" w:hAnsi="Times New Roman" w:cs="Times New Roman"/>
        </w:rPr>
        <w:t>C]-sofosbuvira, srednja vrijednost ukupno otkrivene doze bila je veća od 92% i sastojala se od približno 80% one otkrivene u urinu, 14% u fecesu i 2,5% u izdahnutom vazduhu. Veći dio doze sofosbuvira otkrivene u urinu činio je GS-331007 (78%), dok je 3,5% bilo otkriveno kao sofosbuvir. Ovi podaci pokazuju da je bubrežni klirens glavni put eliminacije GS</w:t>
      </w:r>
      <w:r w:rsidRPr="009C1E28">
        <w:rPr>
          <w:rFonts w:ascii="Times New Roman" w:hAnsi="Times New Roman" w:cs="Times New Roman"/>
        </w:rPr>
        <w:noBreakHyphen/>
        <w:t>331007, sa tim da se veliki dio izlučuje aktivno. Nakon primjene ledipasvira/sofosbuvira, medijana terminalnog poluvremena eliminacije sofosbuvira iznosila je 0,5 časova, a GS</w:t>
      </w:r>
      <w:r w:rsidRPr="009C1E28">
        <w:rPr>
          <w:rFonts w:ascii="Times New Roman" w:hAnsi="Times New Roman" w:cs="Times New Roman"/>
        </w:rPr>
        <w:noBreakHyphen/>
        <w:t>331007 27 časova.</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Ni ledipasvir niti sofosbuvir nijesu supstrati transportera za unos u jetru, transportera organskih katjona (OCT) 1, polipeptida za transport organskih anjona (OATP) 1B1 ili OATP1B3. GS</w:t>
      </w:r>
      <w:r w:rsidRPr="009C1E28">
        <w:rPr>
          <w:rFonts w:ascii="Times New Roman" w:hAnsi="Times New Roman" w:cs="Times New Roman"/>
        </w:rPr>
        <w:noBreakHyphen/>
        <w:t>331007 nije supstrat bubrežnih transportera koji uključuju transporter organskih anjona (OAT) 1, OAT3 ili OCT2.</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keepNext/>
        <w:keepLines/>
        <w:spacing w:after="0"/>
        <w:jc w:val="both"/>
        <w:rPr>
          <w:rFonts w:ascii="Times New Roman" w:hAnsi="Times New Roman" w:cs="Times New Roman"/>
          <w:b/>
          <w:u w:val="single"/>
        </w:rPr>
      </w:pPr>
      <w:r w:rsidRPr="009C1E28">
        <w:rPr>
          <w:rFonts w:ascii="Times New Roman" w:hAnsi="Times New Roman" w:cs="Times New Roman"/>
          <w:i/>
          <w:u w:val="single"/>
        </w:rPr>
        <w:t>In vitro</w:t>
      </w:r>
      <w:r w:rsidRPr="009C1E28">
        <w:rPr>
          <w:rFonts w:ascii="Times New Roman" w:hAnsi="Times New Roman" w:cs="Times New Roman"/>
          <w:u w:val="single"/>
        </w:rPr>
        <w:t xml:space="preserve"> potencijal ledipasvira/sofosbuvira da utiče na druge ljekove</w:t>
      </w: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Pri koncentracijama koje se postižu u kliničkoj primjeni, ledipasvir nije inhibitor hepatičkih transportera, uključujući OATP 1B1 ili 1B3, BSEP, OCT1, OCT2, OAT1, OAT3, transportera za izbacivanje mnogih ljekova i toksičnih jedinjenja (MATE) 1, proteina odgovornog za rezistenciju na mnoge ljekove (MRP) 2 ili MRP4. Sofosbuvir i GS-331007 nijesu inhibitori transportera ljekova P-gp, BCRP, MRP2, BSEP, OATP1B1, OATP1B3, OCT1, a GS-331007 nije inhibitor OAT1, OCT2 i MATE1.</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lastRenderedPageBreak/>
        <w:t>Sofosbuvir i GS-331007 nijesu ni inhibitori niti induktori enzima CYP ili uridin difosfat glukuronoziltransferaze (UGT) 1A1.</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keepNext/>
        <w:keepLines/>
        <w:spacing w:after="0"/>
        <w:jc w:val="both"/>
        <w:rPr>
          <w:rFonts w:ascii="Times New Roman" w:hAnsi="Times New Roman" w:cs="Times New Roman"/>
          <w:b/>
          <w:u w:val="single"/>
        </w:rPr>
      </w:pPr>
      <w:r w:rsidRPr="009C1E28">
        <w:rPr>
          <w:rFonts w:ascii="Times New Roman" w:hAnsi="Times New Roman" w:cs="Times New Roman"/>
          <w:u w:val="single"/>
        </w:rPr>
        <w:t>Farmakokinetika u posebnim populacijama</w:t>
      </w:r>
    </w:p>
    <w:p w:rsidR="009C1E28" w:rsidRPr="009C1E28" w:rsidRDefault="009C1E28" w:rsidP="009C1E28">
      <w:pPr>
        <w:keepNext/>
        <w:keepLines/>
        <w:spacing w:after="0"/>
        <w:jc w:val="both"/>
        <w:rPr>
          <w:rFonts w:ascii="Times New Roman" w:hAnsi="Times New Roman" w:cs="Times New Roman"/>
          <w:b/>
          <w:i/>
        </w:rPr>
      </w:pPr>
      <w:r w:rsidRPr="009C1E28">
        <w:rPr>
          <w:rFonts w:ascii="Times New Roman" w:hAnsi="Times New Roman" w:cs="Times New Roman"/>
          <w:i/>
        </w:rPr>
        <w:t>Rasa i pol</w:t>
      </w: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Nijesu utvrđene nikakve klinički važne razlike u farmakokinetici ledipasvira, sofosbuvira i GS-331007 u odnosu na rasu. Nijesu utvrđene nikakve klinički važne razlike u farmakokinetici sofosbuvira ili GS-331007 u odnosu na pol. AUC i C</w:t>
      </w:r>
      <w:r w:rsidRPr="009C1E28">
        <w:rPr>
          <w:rFonts w:ascii="Times New Roman" w:hAnsi="Times New Roman" w:cs="Times New Roman"/>
          <w:vertAlign w:val="subscript"/>
        </w:rPr>
        <w:t>max</w:t>
      </w:r>
      <w:r w:rsidRPr="009C1E28">
        <w:rPr>
          <w:rFonts w:ascii="Times New Roman" w:hAnsi="Times New Roman" w:cs="Times New Roman"/>
        </w:rPr>
        <w:t xml:space="preserve"> ledipasvira bile su 77% odnosno 58% više kod žena nego kod muškaraca; međutim, veza između pola i izloženosti ledipasviru nije se smatrala klinički relevantnom.</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keepNext/>
        <w:keepLines/>
        <w:spacing w:after="0"/>
        <w:jc w:val="both"/>
        <w:rPr>
          <w:rFonts w:ascii="Times New Roman" w:hAnsi="Times New Roman" w:cs="Times New Roman"/>
          <w:b/>
          <w:i/>
        </w:rPr>
      </w:pPr>
      <w:r w:rsidRPr="009C1E28">
        <w:rPr>
          <w:rFonts w:ascii="Times New Roman" w:hAnsi="Times New Roman" w:cs="Times New Roman"/>
          <w:i/>
        </w:rPr>
        <w:t>Starije osobe</w:t>
      </w: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Analiza populacione farmakokinetike kod pacijenata zaraženih HCV-om pokazala je da unutar analiziranog raspona starosti (od 18 do 80 godina), starost nije imala klinički važan učinak na izloženost ledipasviru, sofosbuviru ili GS-331007. Klinička ispitivanja ledipasvira/sofosbuvira uključivala su 235 pacijenata (8,6% ukupnog broja pacijenata) starosti 65 i više godina.</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keepNext/>
        <w:keepLines/>
        <w:spacing w:after="0"/>
        <w:jc w:val="both"/>
        <w:rPr>
          <w:rFonts w:ascii="Times New Roman" w:hAnsi="Times New Roman" w:cs="Times New Roman"/>
          <w:b/>
          <w:i/>
        </w:rPr>
      </w:pPr>
      <w:r w:rsidRPr="009C1E28">
        <w:rPr>
          <w:rFonts w:ascii="Times New Roman" w:hAnsi="Times New Roman" w:cs="Times New Roman"/>
          <w:i/>
        </w:rPr>
        <w:t>Oštećenje bubrega</w:t>
      </w: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Farmakokinetika ledipasvira bila je ispitana kod HCV-negativnih pacijenata sa teškim oštećenjem bubrega (eGFR &lt;30 ml/min prema Cockcroft-Gault-u, medijana [opseg] CrCl 22 [17-29] ml/min) nakon jedne doze od 90 mg ledipasvira. Nijesu bile viđene klinički važne razlike u farmakokinetici ledipasvira između zdravih ispitanika i pacijenata s teškim oštećenjem bubrega.</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Farmakokinetika sofosbuvira bila je ispitana kod HCV-negativnih pacijenata s blagim (eGFR ≥50 i &lt;80 ml/min/1,73m</w:t>
      </w:r>
      <w:r w:rsidRPr="009C1E28">
        <w:rPr>
          <w:rFonts w:ascii="Times New Roman" w:hAnsi="Times New Roman" w:cs="Times New Roman"/>
          <w:vertAlign w:val="superscript"/>
        </w:rPr>
        <w:t>2</w:t>
      </w:r>
      <w:r w:rsidRPr="009C1E28">
        <w:rPr>
          <w:rFonts w:ascii="Times New Roman" w:hAnsi="Times New Roman" w:cs="Times New Roman"/>
        </w:rPr>
        <w:t xml:space="preserve"> ), umjerenim (eGFR ≥30 i &lt;50 ml/min/1,73 m</w:t>
      </w:r>
      <w:r w:rsidRPr="009C1E28">
        <w:rPr>
          <w:rFonts w:ascii="Times New Roman" w:hAnsi="Times New Roman" w:cs="Times New Roman"/>
          <w:vertAlign w:val="superscript"/>
        </w:rPr>
        <w:t>2</w:t>
      </w:r>
      <w:r w:rsidRPr="009C1E28">
        <w:rPr>
          <w:rFonts w:ascii="Times New Roman" w:hAnsi="Times New Roman" w:cs="Times New Roman"/>
        </w:rPr>
        <w:t>), teškim oštećenjem bubrega (eGFR &lt;30 ml/min/1,73 m</w:t>
      </w:r>
      <w:r w:rsidRPr="009C1E28">
        <w:rPr>
          <w:rFonts w:ascii="Times New Roman" w:hAnsi="Times New Roman" w:cs="Times New Roman"/>
          <w:vertAlign w:val="superscript"/>
        </w:rPr>
        <w:t>2</w:t>
      </w:r>
      <w:r w:rsidRPr="009C1E28">
        <w:rPr>
          <w:rFonts w:ascii="Times New Roman" w:hAnsi="Times New Roman" w:cs="Times New Roman"/>
        </w:rPr>
        <w:t>), i pacijenata sa završnim stadijumom bolesti bubrega kojima je bila neophodna hemodijaliza, nakon jedne doze od 400 mg sofosbuvira. U odnosu na pacijente sa normalnom funkcijom bubrega (eGFR &gt;80 ml/min/1,73 m</w:t>
      </w:r>
      <w:r w:rsidRPr="009C1E28">
        <w:rPr>
          <w:rFonts w:ascii="Times New Roman" w:hAnsi="Times New Roman" w:cs="Times New Roman"/>
          <w:vertAlign w:val="superscript"/>
        </w:rPr>
        <w:t>2</w:t>
      </w:r>
      <w:r w:rsidRPr="009C1E28">
        <w:rPr>
          <w:rFonts w:ascii="Times New Roman" w:hAnsi="Times New Roman" w:cs="Times New Roman"/>
        </w:rPr>
        <w:t>), AUC</w:t>
      </w:r>
      <w:r w:rsidRPr="009C1E28">
        <w:rPr>
          <w:rFonts w:ascii="Times New Roman" w:hAnsi="Times New Roman" w:cs="Times New Roman"/>
          <w:vertAlign w:val="subscript"/>
        </w:rPr>
        <w:t xml:space="preserve">0-inf  </w:t>
      </w:r>
      <w:r w:rsidRPr="009C1E28">
        <w:rPr>
          <w:rFonts w:ascii="Times New Roman" w:hAnsi="Times New Roman" w:cs="Times New Roman"/>
        </w:rPr>
        <w:t>sofosbuvira bila je 61%, 107% odnosno 171% viša kod blagog, umjerenog odnosno teškog oštećenja funkcije bubrega, dok je AUC</w:t>
      </w:r>
      <w:r w:rsidRPr="009C1E28">
        <w:rPr>
          <w:rFonts w:ascii="Times New Roman" w:hAnsi="Times New Roman" w:cs="Times New Roman"/>
          <w:vertAlign w:val="subscript"/>
        </w:rPr>
        <w:t>0-inf</w:t>
      </w:r>
      <w:r w:rsidRPr="009C1E28">
        <w:rPr>
          <w:rFonts w:ascii="Times New Roman" w:hAnsi="Times New Roman" w:cs="Times New Roman"/>
        </w:rPr>
        <w:t xml:space="preserve"> GS-331007 bila 55%, 88% odnosno 451% viša. Kod pacijenata sa završnim stadijumom bolesti bubrega, u odnosu na pacijente s normalnom funkcijom bubrega, AUC</w:t>
      </w:r>
      <w:r w:rsidRPr="009C1E28">
        <w:rPr>
          <w:rFonts w:ascii="Times New Roman" w:hAnsi="Times New Roman" w:cs="Times New Roman"/>
          <w:vertAlign w:val="subscript"/>
        </w:rPr>
        <w:t xml:space="preserve">0-inf  </w:t>
      </w:r>
      <w:r w:rsidRPr="009C1E28">
        <w:rPr>
          <w:rFonts w:ascii="Times New Roman" w:hAnsi="Times New Roman" w:cs="Times New Roman"/>
        </w:rPr>
        <w:t>sofosbuvira bila je 28% viša kad je doza sofosbuvira bila data 1 čas prije hemodijalize, u poređenju sa 60% višim vrijednostima kad je doza sofosbuvira bila data 1 čas nakon hemodijalize. AUC</w:t>
      </w:r>
      <w:r w:rsidRPr="009C1E28">
        <w:rPr>
          <w:rFonts w:ascii="Times New Roman" w:hAnsi="Times New Roman" w:cs="Times New Roman"/>
          <w:vertAlign w:val="subscript"/>
        </w:rPr>
        <w:t xml:space="preserve">0-inf </w:t>
      </w:r>
      <w:r w:rsidRPr="009C1E28">
        <w:rPr>
          <w:rFonts w:ascii="Times New Roman" w:hAnsi="Times New Roman" w:cs="Times New Roman"/>
        </w:rPr>
        <w:t>GS-331007 kod pacijenata sa završnim stadijumom bolesti bubrega kod kojih je primijenjen sofosbuvir 1 čas prije odnosno 1 čas nakon hemodijalize bila je najmanje 10 puta odnosno 20 puta viša. GS-331007 se efikasno odstranjuje hemodijalizom, uz koeficijent ekstrakcije od približno 53%. Nakon jedne doze od 400 mg sofosbuvira, tokom 4 časa hemodijalize uklonjeno je 18% primijenjene doze sofosbuvira. Bezbjednost i efikasnost sofosbuvira nijesu ustanovljene kod pacijenata s teškim oštećenjem bubrega ili završnim stadijumom bolesti bubrega.</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keepNext/>
        <w:keepLines/>
        <w:spacing w:after="0"/>
        <w:jc w:val="both"/>
        <w:rPr>
          <w:rFonts w:ascii="Times New Roman" w:hAnsi="Times New Roman" w:cs="Times New Roman"/>
          <w:b/>
          <w:i/>
        </w:rPr>
      </w:pPr>
      <w:r w:rsidRPr="009C1E28">
        <w:rPr>
          <w:rFonts w:ascii="Times New Roman" w:hAnsi="Times New Roman" w:cs="Times New Roman"/>
          <w:i/>
        </w:rPr>
        <w:t>Oštećenje jetre</w:t>
      </w: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Farmakokinetika ledipasvira bila je ispitana kod HCV-negativnih pacijenata s teškim oštećenjem jetre (CPT klase C) nakon jedne doze od 90 mg ledipasvira. Izloženost ledipasviru u plazmi (AUC</w:t>
      </w:r>
      <w:r w:rsidRPr="009C1E28">
        <w:rPr>
          <w:rFonts w:ascii="Times New Roman" w:hAnsi="Times New Roman" w:cs="Times New Roman"/>
          <w:vertAlign w:val="subscript"/>
        </w:rPr>
        <w:t>inf</w:t>
      </w:r>
      <w:r w:rsidRPr="009C1E28">
        <w:rPr>
          <w:rFonts w:ascii="Times New Roman" w:hAnsi="Times New Roman" w:cs="Times New Roman"/>
        </w:rPr>
        <w:t xml:space="preserve">) bila je slična kod pacijenata s teškim oštećenjem jetre i kontrolnih pacijenata s normalnom funkcijom jetre. Analiza populacione </w:t>
      </w:r>
      <w:r w:rsidRPr="009C1E28">
        <w:rPr>
          <w:rFonts w:ascii="Times New Roman" w:hAnsi="Times New Roman" w:cs="Times New Roman"/>
        </w:rPr>
        <w:lastRenderedPageBreak/>
        <w:t>farmakokinetike kod pacijenata zaraženih HCV-om pokazala je da ciroza (uključujući dekompenzovanu cirozu) nije imala klinički važan uticaj na izloženost ledipasviru.</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Farmakokinetika sofosbuvira bila je ispitana nakon 7 dana doziranja korišćenjem 400 mg sofosbuvira kod pacijenata inficiranih HCV-om sa umjerenim i teškim oštećenjem jetre (CPT klase B i C). U odnosu na pacijente sa normalnom funkcijom jetre, AUC</w:t>
      </w:r>
      <w:r w:rsidRPr="009C1E28">
        <w:rPr>
          <w:rFonts w:ascii="Times New Roman" w:hAnsi="Times New Roman" w:cs="Times New Roman"/>
          <w:vertAlign w:val="subscript"/>
        </w:rPr>
        <w:t>0-24</w:t>
      </w:r>
      <w:r w:rsidRPr="009C1E28">
        <w:rPr>
          <w:rFonts w:ascii="Times New Roman" w:hAnsi="Times New Roman" w:cs="Times New Roman"/>
        </w:rPr>
        <w:t xml:space="preserve"> sofosbuvira bila je 126% odnosno 143% viša kod umjerenog i teškog oštećenja funkcije jetre, dok je AUC</w:t>
      </w:r>
      <w:r w:rsidRPr="009C1E28">
        <w:rPr>
          <w:rFonts w:ascii="Times New Roman" w:hAnsi="Times New Roman" w:cs="Times New Roman"/>
          <w:vertAlign w:val="subscript"/>
        </w:rPr>
        <w:t>0-24</w:t>
      </w:r>
      <w:r w:rsidRPr="009C1E28">
        <w:rPr>
          <w:rFonts w:ascii="Times New Roman" w:hAnsi="Times New Roman" w:cs="Times New Roman"/>
        </w:rPr>
        <w:t xml:space="preserve"> GS-331007 bila 18% odnosno 9% viša. Populacione farmakokinetičke analize kod pacijenata inficiranih HCV-om pokazale su da ciroza (uključujući dekompenzovanu cirozu) nije imala klinički važan uticaj na izloženost sofosbuviru i GS-331007.</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keepNext/>
        <w:keepLines/>
        <w:spacing w:after="0"/>
        <w:jc w:val="both"/>
        <w:rPr>
          <w:rFonts w:ascii="Times New Roman" w:hAnsi="Times New Roman" w:cs="Times New Roman"/>
          <w:b/>
          <w:i/>
        </w:rPr>
      </w:pPr>
      <w:r w:rsidRPr="009C1E28">
        <w:rPr>
          <w:rFonts w:ascii="Times New Roman" w:hAnsi="Times New Roman" w:cs="Times New Roman"/>
          <w:i/>
        </w:rPr>
        <w:t>Tjelesna težina</w:t>
      </w: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Tjelesna težina nije imala značajnog uticaja na izloženost sofosbuviru, prema populacionoj farmakokinetičkoj analizi. Izloženost ledipasviru smanjuje se sa povećanjem tjelesne težine, ali taj uticaj se ne smatra klinički značajnim.</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keepNext/>
        <w:keepLines/>
        <w:spacing w:after="0"/>
        <w:jc w:val="both"/>
        <w:rPr>
          <w:rFonts w:ascii="Times New Roman" w:hAnsi="Times New Roman" w:cs="Times New Roman"/>
          <w:b/>
          <w:i/>
        </w:rPr>
      </w:pPr>
      <w:r w:rsidRPr="009C1E28">
        <w:rPr>
          <w:rFonts w:ascii="Times New Roman" w:hAnsi="Times New Roman" w:cs="Times New Roman"/>
          <w:i/>
        </w:rPr>
        <w:t>Pedijatrijska populacija</w:t>
      </w: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bCs/>
        </w:rPr>
        <w:t>Izlaganje ledipasviru, sofosbuviru i GS-331007 kod adolescenata uzrasta od</w:t>
      </w:r>
      <w:r w:rsidRPr="009C1E28">
        <w:rPr>
          <w:rFonts w:ascii="Times New Roman" w:hAnsi="Times New Roman" w:cs="Times New Roman"/>
          <w:iCs/>
        </w:rPr>
        <w:t xml:space="preserve"> 12 do &lt; 18 godina bilo je slično onome kod odraslih iz studija faze</w:t>
      </w:r>
      <w:r w:rsidRPr="009C1E28">
        <w:rPr>
          <w:rFonts w:ascii="Times New Roman" w:hAnsi="Times New Roman" w:cs="Times New Roman"/>
          <w:bCs/>
        </w:rPr>
        <w:t xml:space="preserve"> II/III, prateći primjenu ledipasvira/sofosbuvira (90mg/400mg). </w:t>
      </w:r>
      <w:r w:rsidRPr="009C1E28">
        <w:rPr>
          <w:rFonts w:ascii="Times New Roman" w:hAnsi="Times New Roman" w:cs="Times New Roman"/>
        </w:rPr>
        <w:t>Farmakokinetika ledipasvira, sofosbuvira i GS-331007 kod pedijatrijskih pacijenata uzrasat manje od 12 godina nije ustanovljena (vidjeti odjeljak 4.2).</w:t>
      </w:r>
    </w:p>
    <w:p w:rsidR="009C1E28" w:rsidRPr="009C1E28" w:rsidRDefault="009C1E28" w:rsidP="009C1E28">
      <w:pPr>
        <w:spacing w:after="0"/>
        <w:jc w:val="both"/>
        <w:rPr>
          <w:rFonts w:ascii="Times New Roman" w:hAnsi="Times New Roman" w:cs="Times New Roman"/>
          <w:b/>
        </w:rPr>
      </w:pPr>
    </w:p>
    <w:p w:rsidR="009C1E28" w:rsidRPr="002C1852" w:rsidRDefault="009C1E28" w:rsidP="009C1E28">
      <w:pPr>
        <w:keepNext/>
        <w:keepLines/>
        <w:spacing w:after="0"/>
        <w:ind w:left="567" w:hanging="567"/>
        <w:jc w:val="both"/>
        <w:rPr>
          <w:rFonts w:ascii="Times New Roman" w:hAnsi="Times New Roman" w:cs="Times New Roman"/>
          <w:b/>
        </w:rPr>
      </w:pPr>
      <w:r w:rsidRPr="002C1852">
        <w:rPr>
          <w:rFonts w:ascii="Times New Roman" w:hAnsi="Times New Roman" w:cs="Times New Roman"/>
          <w:b/>
        </w:rPr>
        <w:t>5.3</w:t>
      </w:r>
      <w:r w:rsidRPr="002C1852">
        <w:rPr>
          <w:rFonts w:ascii="Times New Roman" w:hAnsi="Times New Roman" w:cs="Times New Roman"/>
          <w:b/>
        </w:rPr>
        <w:tab/>
        <w:t>Pretklinički podaci o bezbjednosti</w:t>
      </w:r>
    </w:p>
    <w:p w:rsidR="009C1E28" w:rsidRPr="009C1E28" w:rsidRDefault="009C1E28" w:rsidP="009C1E28">
      <w:pPr>
        <w:keepNext/>
        <w:keepLines/>
        <w:spacing w:after="0"/>
        <w:jc w:val="both"/>
        <w:rPr>
          <w:rFonts w:ascii="Times New Roman" w:hAnsi="Times New Roman" w:cs="Times New Roman"/>
          <w:b/>
        </w:rPr>
      </w:pPr>
    </w:p>
    <w:p w:rsidR="009C1E28" w:rsidRPr="009C1E28" w:rsidRDefault="009C1E28" w:rsidP="009C1E28">
      <w:pPr>
        <w:keepNext/>
        <w:keepLines/>
        <w:spacing w:after="0"/>
        <w:jc w:val="both"/>
        <w:rPr>
          <w:rFonts w:ascii="Times New Roman" w:hAnsi="Times New Roman" w:cs="Times New Roman"/>
          <w:b/>
          <w:u w:val="single"/>
        </w:rPr>
      </w:pPr>
      <w:r w:rsidRPr="009C1E28">
        <w:rPr>
          <w:rFonts w:ascii="Times New Roman" w:hAnsi="Times New Roman" w:cs="Times New Roman"/>
          <w:u w:val="single"/>
        </w:rPr>
        <w:t>Ledipasvir</w:t>
      </w: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U ispitivanjima na pacovima i psima nijesu utvrđeni ciljni organi toksičnog efekta ledipasvira pri AUC izloženosti približno 7 puta većoj od izloženosti ljudi pri preporučenoj kliničkoj dozi.</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 xml:space="preserve">Ledipasvir nije bio genotoksičan u bateriji testova </w:t>
      </w:r>
      <w:r w:rsidRPr="009C1E28">
        <w:rPr>
          <w:rFonts w:ascii="Times New Roman" w:hAnsi="Times New Roman" w:cs="Times New Roman"/>
          <w:i/>
        </w:rPr>
        <w:t>in vitro</w:t>
      </w:r>
      <w:r w:rsidRPr="009C1E28">
        <w:rPr>
          <w:rFonts w:ascii="Times New Roman" w:hAnsi="Times New Roman" w:cs="Times New Roman"/>
        </w:rPr>
        <w:t xml:space="preserve"> ili </w:t>
      </w:r>
      <w:r w:rsidRPr="009C1E28">
        <w:rPr>
          <w:rFonts w:ascii="Times New Roman" w:hAnsi="Times New Roman" w:cs="Times New Roman"/>
          <w:i/>
        </w:rPr>
        <w:t>in vivo</w:t>
      </w:r>
      <w:r w:rsidRPr="009C1E28">
        <w:rPr>
          <w:rFonts w:ascii="Times New Roman" w:hAnsi="Times New Roman" w:cs="Times New Roman"/>
        </w:rPr>
        <w:t xml:space="preserve">, uključujući test bakterijske mutagenosti, hromozomske aberacije na ljudskim limfocitima iz periferne krvi i </w:t>
      </w:r>
      <w:r w:rsidRPr="009C1E28">
        <w:rPr>
          <w:rFonts w:ascii="Times New Roman" w:hAnsi="Times New Roman" w:cs="Times New Roman"/>
          <w:i/>
        </w:rPr>
        <w:t>in vivo</w:t>
      </w:r>
      <w:r w:rsidRPr="009C1E28">
        <w:rPr>
          <w:rFonts w:ascii="Times New Roman" w:hAnsi="Times New Roman" w:cs="Times New Roman"/>
        </w:rPr>
        <w:t xml:space="preserve"> mikronukleusni test kod pacova.</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Ledipasvir nije bio kancerogen u šestomjesečnoj rasH2 transgenskoj studiji sa miševima pri ekspoziciji do 26 puta većoj nego što je ekspozicija ljudi. Ispitivanja kancerogenosti kod pacova su u toku.</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Ledipasvir nije imao neželjene efekte na parenje i plodnost. Kod ženki pacova, srednja vrijednost broja žutih tijela i mjesta implantacije bili su nešto sniženi kod 6 puta veće izloženosti majke od izloženosti ljudi pri preporučenoj kliničkoj dozi. Pri dozi bez vidljivog efekta, AUC izloženost ledipasviru bila je približno 7 puta veća kod mužjaka i 3 puta veća kod ženki od izloženosti ljudi pri preporučenoj kliničkoj dozi.</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Nijesu bili uočeni teratogeni efekti ledipasvira u ispitivanjima njegove razvojne toksičnosti na pacovima i kunićima.</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 xml:space="preserve">U perinatalnom i postnatalnom ispitivanju na pacovima, pri dozi toksičnoj za majku, potomstvo pacova je tokom razvoja pokazalo u prosjeku smanjenu tjelesnu težinu i smanjeno povećanje tjelesne težine kad je bilo </w:t>
      </w:r>
      <w:r w:rsidRPr="009C1E28">
        <w:rPr>
          <w:rFonts w:ascii="Times New Roman" w:hAnsi="Times New Roman" w:cs="Times New Roman"/>
        </w:rPr>
        <w:lastRenderedPageBreak/>
        <w:t xml:space="preserve">izloženo </w:t>
      </w:r>
      <w:r w:rsidRPr="009C1E28">
        <w:rPr>
          <w:rFonts w:ascii="Times New Roman" w:hAnsi="Times New Roman" w:cs="Times New Roman"/>
          <w:i/>
        </w:rPr>
        <w:t>in utero</w:t>
      </w:r>
      <w:r w:rsidRPr="009C1E28">
        <w:rPr>
          <w:rFonts w:ascii="Times New Roman" w:hAnsi="Times New Roman" w:cs="Times New Roman"/>
        </w:rPr>
        <w:t xml:space="preserve"> (putem primjene lijeka kod majke) i tokom laktacije (putem majčinog mlijeka) kod izloženosti majke 4 puta veće od izloženosti ljudi pri preporučenoj kliničkoj dozi. Nije bilo efekata na preživljavanje, fizički i bihevioralni razvoj i reproduktivne sposobnosti potomstva pri izloženosti majke sličnoj izloženosti ljudi pri preporučenoj kliničkoj dozi.</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Kad se primjenjivao kod ženki pacova tokom laktacije, ledipasvir je bio otkriven u plazmi dojenih pacova vjerovatno zbog izlučivanja ledipasvira u mlijeko.</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keepNext/>
        <w:keepLines/>
        <w:spacing w:after="0"/>
        <w:jc w:val="both"/>
        <w:rPr>
          <w:rFonts w:ascii="Times New Roman" w:hAnsi="Times New Roman" w:cs="Times New Roman"/>
          <w:b/>
          <w:u w:val="single"/>
        </w:rPr>
      </w:pPr>
      <w:r w:rsidRPr="009C1E28">
        <w:rPr>
          <w:rFonts w:ascii="Times New Roman" w:hAnsi="Times New Roman" w:cs="Times New Roman"/>
          <w:u w:val="single"/>
        </w:rPr>
        <w:t>Sofosbuvir</w:t>
      </w: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U ispitivanjima toksičnosti ponovljene doze kod pacova i pasa, visoke doze dijastereomerne smješe u odnosu 1:1 uzrokovale su neželjena dejstva na jetru (pas) i srce (pacov) i gastrointestinalne reakcije (pas). Izloženost sofosbuviru u ispitivanjima na glodarima nije se mogla otkriti, vjerovatno zbog jake aktivnosti esteraze; međutim, izloženost glavnom metabolitu GS-331007 u dozama koje uzrokuju neželjena dejstva bila je 16 puta (pacov) i 71 puta (pas) veća od kliničke izloženosti kod doze od 400 mg sofosbuvira. U ispitivanjima hronične toksičnosti nijesu viđeni nikakvi nalazi na jetri ili srcu kod izloženosti koja je 5 puta (pacov) i 16 puta (pas) veća od kliničke izloženosti. U ispitivanjima kancerogenosti u trajanju od 2 godine nijesu opaženi nikakvi nalazi na jetri ili srcu kod izloženosti koja je 17 puta (miš) i 9 puta (pacov) veća od kliničke izloženosti.</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 xml:space="preserve">Sofosbuvir nije bio genotoksičan u bateriji testova </w:t>
      </w:r>
      <w:r w:rsidRPr="009C1E28">
        <w:rPr>
          <w:rFonts w:ascii="Times New Roman" w:hAnsi="Times New Roman" w:cs="Times New Roman"/>
          <w:i/>
        </w:rPr>
        <w:t>in vitro</w:t>
      </w:r>
      <w:r w:rsidRPr="009C1E28">
        <w:rPr>
          <w:rFonts w:ascii="Times New Roman" w:hAnsi="Times New Roman" w:cs="Times New Roman"/>
        </w:rPr>
        <w:t xml:space="preserve"> ili </w:t>
      </w:r>
      <w:r w:rsidRPr="009C1E28">
        <w:rPr>
          <w:rFonts w:ascii="Times New Roman" w:hAnsi="Times New Roman" w:cs="Times New Roman"/>
          <w:i/>
        </w:rPr>
        <w:t>in vivo</w:t>
      </w:r>
      <w:r w:rsidRPr="009C1E28">
        <w:rPr>
          <w:rFonts w:ascii="Times New Roman" w:hAnsi="Times New Roman" w:cs="Times New Roman"/>
        </w:rPr>
        <w:t xml:space="preserve">, uključujući test bakterijske mutagenosti, hromozomske aberacije na ljudskim limfocitima iz periferne krvi i </w:t>
      </w:r>
      <w:r w:rsidRPr="009C1E28">
        <w:rPr>
          <w:rFonts w:ascii="Times New Roman" w:hAnsi="Times New Roman" w:cs="Times New Roman"/>
          <w:i/>
        </w:rPr>
        <w:t>in vivo</w:t>
      </w:r>
      <w:r w:rsidRPr="009C1E28">
        <w:rPr>
          <w:rFonts w:ascii="Times New Roman" w:hAnsi="Times New Roman" w:cs="Times New Roman"/>
        </w:rPr>
        <w:t xml:space="preserve"> mikronukleusni test.</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Ispitivanja kancerogenosti kod miševa i pacova ne pokazuju nikakvu kancerogenost sofosbuvira primijenjenog u dozama do 600 mg/kg na dan kod miševa i 750 mg/kg na dan kod pacova. Izloženost GS-331007 u ovim ispitivanjima bila je do 17 puta (miš) i 9 puta (pacov) veća od kliničke izloženosti kod doze od 400 mg sofosbuvira.</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Sofosbuvir nije imao efekata na embriofetalnu vijabilnost ili na plodnost kod pacova i nije bio teratogen u ispitivanjima razvojne toksičnosti kod pacova i kunića. Nijesu zabilježena neželjena dejstva na ponašanje, reprodukciju ili razvoj mladunaca pacova. U ispitivanjima na kunićima izloženost sofosbuviru bila je 6 puta veća od očekivane kliničke izloženosti. U ispitivanjima na pacovima, izloženost sofosbuviru nije se mogla odrediti, ali granice izloženosti na osnovu glavnog metabolita kod ljudi bile su približno 5 puta veće od kliničke izloženosti kod doze od 400 mg sofosbuvira.</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Materijal koji potiče od sofosbuvira prolazio je kroz placentu skotnih ženki pacova i u mlijeko ženki pacova tokom laktacije.</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spacing w:after="0"/>
        <w:jc w:val="both"/>
        <w:rPr>
          <w:rFonts w:ascii="Times New Roman" w:hAnsi="Times New Roman" w:cs="Times New Roman"/>
          <w:b/>
        </w:rPr>
      </w:pPr>
    </w:p>
    <w:p w:rsidR="009C1E28" w:rsidRPr="002C1852" w:rsidRDefault="009C1E28" w:rsidP="009C1E28">
      <w:pPr>
        <w:keepNext/>
        <w:keepLines/>
        <w:spacing w:after="0"/>
        <w:ind w:left="567" w:hanging="567"/>
        <w:jc w:val="both"/>
        <w:rPr>
          <w:rFonts w:ascii="Times New Roman" w:hAnsi="Times New Roman" w:cs="Times New Roman"/>
          <w:b/>
        </w:rPr>
      </w:pPr>
      <w:r w:rsidRPr="002C1852">
        <w:rPr>
          <w:rFonts w:ascii="Times New Roman" w:hAnsi="Times New Roman" w:cs="Times New Roman"/>
          <w:b/>
        </w:rPr>
        <w:lastRenderedPageBreak/>
        <w:t>6.</w:t>
      </w:r>
      <w:r w:rsidRPr="002C1852">
        <w:rPr>
          <w:rFonts w:ascii="Times New Roman" w:hAnsi="Times New Roman" w:cs="Times New Roman"/>
          <w:b/>
        </w:rPr>
        <w:tab/>
        <w:t>FARMACEUTSKI PODACI</w:t>
      </w:r>
    </w:p>
    <w:p w:rsidR="009C1E28" w:rsidRPr="002C1852" w:rsidRDefault="009C1E28" w:rsidP="009C1E28">
      <w:pPr>
        <w:keepNext/>
        <w:keepLines/>
        <w:spacing w:after="0"/>
        <w:jc w:val="both"/>
        <w:rPr>
          <w:rFonts w:ascii="Times New Roman" w:hAnsi="Times New Roman" w:cs="Times New Roman"/>
          <w:b/>
        </w:rPr>
      </w:pPr>
    </w:p>
    <w:p w:rsidR="009C1E28" w:rsidRPr="002C1852" w:rsidRDefault="009C1E28" w:rsidP="009C1E28">
      <w:pPr>
        <w:keepNext/>
        <w:keepLines/>
        <w:spacing w:after="0"/>
        <w:ind w:left="567" w:hanging="567"/>
        <w:jc w:val="both"/>
        <w:rPr>
          <w:rFonts w:ascii="Times New Roman" w:hAnsi="Times New Roman" w:cs="Times New Roman"/>
          <w:b/>
        </w:rPr>
      </w:pPr>
      <w:r w:rsidRPr="002C1852">
        <w:rPr>
          <w:rFonts w:ascii="Times New Roman" w:hAnsi="Times New Roman" w:cs="Times New Roman"/>
          <w:b/>
        </w:rPr>
        <w:t>6.1</w:t>
      </w:r>
      <w:r w:rsidRPr="002C1852">
        <w:rPr>
          <w:rFonts w:ascii="Times New Roman" w:hAnsi="Times New Roman" w:cs="Times New Roman"/>
          <w:b/>
        </w:rPr>
        <w:tab/>
        <w:t>Lista pomoćnih supstanci</w:t>
      </w:r>
    </w:p>
    <w:p w:rsidR="009C1E28" w:rsidRPr="009C1E28" w:rsidRDefault="009C1E28" w:rsidP="009C1E28">
      <w:pPr>
        <w:keepNext/>
        <w:keepLines/>
        <w:spacing w:after="0"/>
        <w:jc w:val="both"/>
        <w:rPr>
          <w:rFonts w:ascii="Times New Roman" w:hAnsi="Times New Roman" w:cs="Times New Roman"/>
          <w:b/>
        </w:rPr>
      </w:pPr>
    </w:p>
    <w:p w:rsidR="009C1E28" w:rsidRPr="009C1E28" w:rsidRDefault="009C1E28" w:rsidP="009C1E28">
      <w:pPr>
        <w:keepNext/>
        <w:keepLines/>
        <w:spacing w:after="0"/>
        <w:jc w:val="both"/>
        <w:rPr>
          <w:rFonts w:ascii="Times New Roman" w:hAnsi="Times New Roman" w:cs="Times New Roman"/>
          <w:b/>
          <w:u w:val="single"/>
        </w:rPr>
      </w:pPr>
      <w:r w:rsidRPr="009C1E28">
        <w:rPr>
          <w:rFonts w:ascii="Times New Roman" w:hAnsi="Times New Roman" w:cs="Times New Roman"/>
          <w:u w:val="single"/>
        </w:rPr>
        <w:t>Jezgro tablete</w:t>
      </w:r>
    </w:p>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Kopovidon</w:t>
      </w:r>
    </w:p>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Laktoza, monohidrat</w:t>
      </w:r>
    </w:p>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Celuloza, mikrokristalna</w:t>
      </w:r>
    </w:p>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Kroskarmeloza natrijum</w:t>
      </w:r>
    </w:p>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Silicijum dioksid, koloidni, bezvodni</w:t>
      </w: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Magnezijum stearat</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u w:val="single"/>
        </w:rPr>
        <w:t>Film</w:t>
      </w:r>
      <w:r w:rsidRPr="009C1E28">
        <w:rPr>
          <w:rFonts w:ascii="Times New Roman" w:hAnsi="Times New Roman" w:cs="Times New Roman"/>
          <w:u w:val="single"/>
        </w:rPr>
        <w:noBreakHyphen/>
        <w:t>omotač:</w:t>
      </w:r>
    </w:p>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Polivinil alkohol</w:t>
      </w:r>
    </w:p>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Titan dioksid</w:t>
      </w:r>
    </w:p>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Makrogol 3350</w:t>
      </w:r>
    </w:p>
    <w:p w:rsidR="009C1E28" w:rsidRPr="009C1E28" w:rsidRDefault="009C1E28" w:rsidP="009C1E28">
      <w:pPr>
        <w:keepNext/>
        <w:keepLines/>
        <w:spacing w:after="0"/>
        <w:jc w:val="both"/>
        <w:rPr>
          <w:rFonts w:ascii="Times New Roman" w:hAnsi="Times New Roman" w:cs="Times New Roman"/>
          <w:b/>
        </w:rPr>
      </w:pPr>
      <w:r w:rsidRPr="009C1E28">
        <w:rPr>
          <w:rFonts w:ascii="Times New Roman" w:hAnsi="Times New Roman" w:cs="Times New Roman"/>
        </w:rPr>
        <w:t>Talk</w:t>
      </w: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Boja sunset yellow FCF aluminium lake (E110)</w:t>
      </w:r>
    </w:p>
    <w:p w:rsidR="009C1E28" w:rsidRPr="009C1E28" w:rsidRDefault="009C1E28" w:rsidP="009C1E28">
      <w:pPr>
        <w:spacing w:after="0"/>
        <w:jc w:val="both"/>
        <w:rPr>
          <w:rFonts w:ascii="Times New Roman" w:hAnsi="Times New Roman" w:cs="Times New Roman"/>
          <w:b/>
        </w:rPr>
      </w:pPr>
    </w:p>
    <w:p w:rsidR="009C1E28" w:rsidRPr="002C1852" w:rsidRDefault="009C1E28" w:rsidP="009C1E28">
      <w:pPr>
        <w:keepNext/>
        <w:keepLines/>
        <w:spacing w:after="0"/>
        <w:jc w:val="both"/>
        <w:rPr>
          <w:rFonts w:ascii="Times New Roman" w:hAnsi="Times New Roman" w:cs="Times New Roman"/>
          <w:b/>
        </w:rPr>
      </w:pPr>
      <w:r w:rsidRPr="002C1852">
        <w:rPr>
          <w:rFonts w:ascii="Times New Roman" w:hAnsi="Times New Roman" w:cs="Times New Roman"/>
          <w:b/>
        </w:rPr>
        <w:t>6.2</w:t>
      </w:r>
      <w:r w:rsidRPr="002C1852">
        <w:rPr>
          <w:rFonts w:ascii="Times New Roman" w:hAnsi="Times New Roman" w:cs="Times New Roman"/>
          <w:b/>
        </w:rPr>
        <w:tab/>
        <w:t>Inkompatibilnosti</w:t>
      </w:r>
    </w:p>
    <w:p w:rsidR="009C1E28" w:rsidRPr="009C1E28" w:rsidRDefault="009C1E28" w:rsidP="009C1E28">
      <w:pPr>
        <w:keepNext/>
        <w:keepLines/>
        <w:spacing w:after="0"/>
        <w:jc w:val="both"/>
        <w:rPr>
          <w:rFonts w:ascii="Times New Roman" w:hAnsi="Times New Roman" w:cs="Times New Roman"/>
          <w:b/>
        </w:rPr>
      </w:pP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Nije primjenjivo.</w:t>
      </w:r>
    </w:p>
    <w:p w:rsidR="009C1E28" w:rsidRPr="009C1E28" w:rsidRDefault="009C1E28" w:rsidP="009C1E28">
      <w:pPr>
        <w:spacing w:after="0"/>
        <w:jc w:val="both"/>
        <w:rPr>
          <w:rFonts w:ascii="Times New Roman" w:hAnsi="Times New Roman" w:cs="Times New Roman"/>
          <w:b/>
        </w:rPr>
      </w:pPr>
    </w:p>
    <w:p w:rsidR="009C1E28" w:rsidRPr="002C1852" w:rsidRDefault="009C1E28" w:rsidP="009C1E28">
      <w:pPr>
        <w:keepNext/>
        <w:keepLines/>
        <w:spacing w:after="0"/>
        <w:ind w:left="567" w:hanging="567"/>
        <w:jc w:val="both"/>
        <w:rPr>
          <w:rFonts w:ascii="Times New Roman" w:hAnsi="Times New Roman" w:cs="Times New Roman"/>
          <w:b/>
        </w:rPr>
      </w:pPr>
      <w:r w:rsidRPr="002C1852">
        <w:rPr>
          <w:rFonts w:ascii="Times New Roman" w:hAnsi="Times New Roman" w:cs="Times New Roman"/>
          <w:b/>
        </w:rPr>
        <w:t>6.3</w:t>
      </w:r>
      <w:r w:rsidRPr="002C1852">
        <w:rPr>
          <w:rFonts w:ascii="Times New Roman" w:hAnsi="Times New Roman" w:cs="Times New Roman"/>
          <w:b/>
        </w:rPr>
        <w:tab/>
        <w:t>Rok upotrebe</w:t>
      </w:r>
    </w:p>
    <w:p w:rsidR="009C1E28" w:rsidRPr="009C1E28" w:rsidRDefault="009C1E28" w:rsidP="009C1E28">
      <w:pPr>
        <w:keepNext/>
        <w:keepLines/>
        <w:spacing w:after="0"/>
        <w:ind w:left="567" w:hanging="567"/>
        <w:jc w:val="both"/>
        <w:rPr>
          <w:rFonts w:ascii="Times New Roman" w:hAnsi="Times New Roman" w:cs="Times New Roman"/>
          <w:b/>
        </w:rPr>
      </w:pP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4 godine.</w:t>
      </w:r>
    </w:p>
    <w:p w:rsidR="009C1E28" w:rsidRPr="009C1E28" w:rsidRDefault="009C1E28" w:rsidP="009C1E28">
      <w:pPr>
        <w:spacing w:after="0"/>
        <w:jc w:val="both"/>
        <w:rPr>
          <w:rFonts w:ascii="Times New Roman" w:hAnsi="Times New Roman" w:cs="Times New Roman"/>
          <w:b/>
        </w:rPr>
      </w:pPr>
    </w:p>
    <w:p w:rsidR="009C1E28" w:rsidRPr="002C1852" w:rsidRDefault="009C1E28" w:rsidP="009C1E28">
      <w:pPr>
        <w:keepNext/>
        <w:keepLines/>
        <w:spacing w:after="0"/>
        <w:jc w:val="both"/>
        <w:rPr>
          <w:rFonts w:ascii="Times New Roman" w:hAnsi="Times New Roman" w:cs="Times New Roman"/>
          <w:b/>
        </w:rPr>
      </w:pPr>
      <w:r w:rsidRPr="002C1852">
        <w:rPr>
          <w:rFonts w:ascii="Times New Roman" w:hAnsi="Times New Roman" w:cs="Times New Roman"/>
          <w:b/>
        </w:rPr>
        <w:t>6.4</w:t>
      </w:r>
      <w:r w:rsidRPr="002C1852">
        <w:rPr>
          <w:rFonts w:ascii="Times New Roman" w:hAnsi="Times New Roman" w:cs="Times New Roman"/>
          <w:b/>
        </w:rPr>
        <w:tab/>
        <w:t>Posebne mjere upozorenja pri čuvanju lijeka</w:t>
      </w:r>
    </w:p>
    <w:p w:rsidR="009C1E28" w:rsidRPr="009C1E28" w:rsidRDefault="009C1E28" w:rsidP="009C1E28">
      <w:pPr>
        <w:keepNext/>
        <w:keepLines/>
        <w:spacing w:after="0"/>
        <w:jc w:val="both"/>
        <w:rPr>
          <w:rFonts w:ascii="Times New Roman" w:hAnsi="Times New Roman" w:cs="Times New Roman"/>
          <w:b/>
        </w:rPr>
      </w:pP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Čuvati na temperaturi do 30 °C.</w:t>
      </w:r>
    </w:p>
    <w:p w:rsidR="009C1E28" w:rsidRPr="009C1E28" w:rsidRDefault="009C1E28" w:rsidP="009C1E28">
      <w:pPr>
        <w:spacing w:after="0"/>
        <w:jc w:val="both"/>
        <w:rPr>
          <w:rFonts w:ascii="Times New Roman" w:hAnsi="Times New Roman" w:cs="Times New Roman"/>
          <w:b/>
        </w:rPr>
      </w:pPr>
    </w:p>
    <w:p w:rsidR="009C1E28" w:rsidRPr="002C1852" w:rsidRDefault="009C1E28" w:rsidP="009C1E28">
      <w:pPr>
        <w:keepNext/>
        <w:keepLines/>
        <w:spacing w:after="0"/>
        <w:ind w:left="567" w:hanging="567"/>
        <w:jc w:val="both"/>
        <w:rPr>
          <w:rFonts w:ascii="Times New Roman" w:hAnsi="Times New Roman" w:cs="Times New Roman"/>
          <w:b/>
        </w:rPr>
      </w:pPr>
      <w:r w:rsidRPr="002C1852">
        <w:rPr>
          <w:rFonts w:ascii="Times New Roman" w:hAnsi="Times New Roman" w:cs="Times New Roman"/>
          <w:b/>
        </w:rPr>
        <w:t>6.5</w:t>
      </w:r>
      <w:r w:rsidRPr="002C1852">
        <w:rPr>
          <w:rFonts w:ascii="Times New Roman" w:hAnsi="Times New Roman" w:cs="Times New Roman"/>
          <w:b/>
        </w:rPr>
        <w:tab/>
        <w:t>Vrsta i sadržaj pakovanja</w:t>
      </w:r>
    </w:p>
    <w:p w:rsidR="009C1E28" w:rsidRPr="009C1E28" w:rsidRDefault="009C1E28" w:rsidP="009C1E28">
      <w:pPr>
        <w:keepNext/>
        <w:keepLines/>
        <w:spacing w:after="0"/>
        <w:jc w:val="both"/>
        <w:rPr>
          <w:rFonts w:ascii="Times New Roman" w:hAnsi="Times New Roman" w:cs="Times New Roman"/>
          <w:b/>
        </w:rPr>
      </w:pP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Harvoni tablete isporučuju se u bočicama od polietilena visoke gustine (HDPE), sa polipropilenskim bezbjednosnim zatvaračem za djecu, koje sadrže 28 film tableta sa sredstvom za sušenje od silika gela i poliesterskom vaticom.</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Dostupna je sljedeća veličina pakovanja: kutija koja sadrži 1 bočicu sa 28 film tableta.</w:t>
      </w:r>
    </w:p>
    <w:p w:rsidR="009C1E28" w:rsidRPr="009C1E28" w:rsidRDefault="009C1E28" w:rsidP="009C1E28">
      <w:pPr>
        <w:spacing w:after="0"/>
        <w:jc w:val="both"/>
        <w:rPr>
          <w:rFonts w:ascii="Times New Roman" w:hAnsi="Times New Roman" w:cs="Times New Roman"/>
          <w:b/>
        </w:rPr>
      </w:pPr>
    </w:p>
    <w:p w:rsidR="009C1E28" w:rsidRPr="002C1852" w:rsidRDefault="009C1E28" w:rsidP="009C1E28">
      <w:pPr>
        <w:keepNext/>
        <w:keepLines/>
        <w:spacing w:after="0"/>
        <w:jc w:val="both"/>
        <w:rPr>
          <w:rFonts w:ascii="Times New Roman" w:hAnsi="Times New Roman" w:cs="Times New Roman"/>
          <w:b/>
        </w:rPr>
      </w:pPr>
      <w:r w:rsidRPr="002C1852">
        <w:rPr>
          <w:rFonts w:ascii="Times New Roman" w:hAnsi="Times New Roman" w:cs="Times New Roman"/>
          <w:b/>
        </w:rPr>
        <w:t>6.6</w:t>
      </w:r>
      <w:r w:rsidRPr="002C1852">
        <w:rPr>
          <w:rFonts w:ascii="Times New Roman" w:hAnsi="Times New Roman" w:cs="Times New Roman"/>
          <w:b/>
        </w:rPr>
        <w:tab/>
        <w:t>Posebne mjere opreza pri odlaganju materijala koji treba odbaciti nakon primjene lijeka</w:t>
      </w:r>
    </w:p>
    <w:p w:rsidR="009C1E28" w:rsidRPr="009C1E28" w:rsidRDefault="009C1E28" w:rsidP="009C1E28">
      <w:pPr>
        <w:keepNext/>
        <w:keepLines/>
        <w:spacing w:after="0"/>
        <w:jc w:val="both"/>
        <w:rPr>
          <w:rFonts w:ascii="Times New Roman" w:hAnsi="Times New Roman" w:cs="Times New Roman"/>
          <w:b/>
        </w:rPr>
      </w:pP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Svu neiskorišćenu količinu lijeka ili otpadni materijal nakon njegove upotrebe treba ukloniti u skladu sa važećim propisima.</w:t>
      </w:r>
    </w:p>
    <w:p w:rsidR="009C1E28" w:rsidRPr="002C1852" w:rsidRDefault="009C1E28" w:rsidP="009C1E28">
      <w:pPr>
        <w:spacing w:after="0"/>
        <w:jc w:val="both"/>
        <w:rPr>
          <w:rFonts w:ascii="Times New Roman" w:hAnsi="Times New Roman" w:cs="Times New Roman"/>
          <w:b/>
        </w:rPr>
      </w:pPr>
      <w:r w:rsidRPr="002C1852">
        <w:rPr>
          <w:rFonts w:ascii="Times New Roman" w:hAnsi="Times New Roman" w:cs="Times New Roman"/>
          <w:b/>
        </w:rPr>
        <w:lastRenderedPageBreak/>
        <w:t>6.7</w:t>
      </w:r>
      <w:r w:rsidRPr="002C1852">
        <w:rPr>
          <w:rFonts w:ascii="Times New Roman" w:hAnsi="Times New Roman" w:cs="Times New Roman"/>
          <w:b/>
        </w:rPr>
        <w:tab/>
        <w:t>Režim izdavanja lijeka</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numPr>
          <w:ilvl w:val="12"/>
          <w:numId w:val="0"/>
        </w:numPr>
        <w:spacing w:after="0"/>
        <w:ind w:right="-2"/>
        <w:jc w:val="both"/>
        <w:rPr>
          <w:rFonts w:ascii="Times New Roman" w:hAnsi="Times New Roman" w:cs="Times New Roman"/>
          <w:b/>
        </w:rPr>
      </w:pPr>
      <w:r w:rsidRPr="009C1E28">
        <w:rPr>
          <w:rFonts w:ascii="Times New Roman" w:hAnsi="Times New Roman" w:cs="Times New Roman"/>
        </w:rPr>
        <w:t>Ograničen recept.</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spacing w:after="0"/>
        <w:jc w:val="both"/>
        <w:rPr>
          <w:rFonts w:ascii="Times New Roman" w:hAnsi="Times New Roman" w:cs="Times New Roman"/>
          <w:b/>
        </w:rPr>
      </w:pPr>
    </w:p>
    <w:p w:rsidR="009C1E28" w:rsidRPr="002C1852" w:rsidRDefault="009C1E28" w:rsidP="009C1E28">
      <w:pPr>
        <w:keepNext/>
        <w:keepLines/>
        <w:spacing w:after="0"/>
        <w:ind w:left="567" w:hanging="567"/>
        <w:jc w:val="both"/>
        <w:rPr>
          <w:rFonts w:ascii="Times New Roman" w:hAnsi="Times New Roman" w:cs="Times New Roman"/>
          <w:b/>
        </w:rPr>
      </w:pPr>
      <w:r w:rsidRPr="002C1852">
        <w:rPr>
          <w:rFonts w:ascii="Times New Roman" w:hAnsi="Times New Roman" w:cs="Times New Roman"/>
          <w:b/>
        </w:rPr>
        <w:t>7.</w:t>
      </w:r>
      <w:r w:rsidRPr="002C1852">
        <w:rPr>
          <w:rFonts w:ascii="Times New Roman" w:hAnsi="Times New Roman" w:cs="Times New Roman"/>
          <w:b/>
        </w:rPr>
        <w:tab/>
        <w:t>NOSILAC DOZVOLE</w:t>
      </w:r>
    </w:p>
    <w:p w:rsidR="009C1E28" w:rsidRPr="009C1E28" w:rsidRDefault="009C1E28" w:rsidP="009C1E28">
      <w:pPr>
        <w:keepNext/>
        <w:keepLines/>
        <w:spacing w:after="0"/>
        <w:jc w:val="both"/>
        <w:rPr>
          <w:rFonts w:ascii="Times New Roman" w:hAnsi="Times New Roman" w:cs="Times New Roman"/>
          <w:b/>
        </w:rPr>
      </w:pP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Evropa Lek Pharma d.o.o. Podgorica</w:t>
      </w: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Kritskog odreda 4/1</w:t>
      </w: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81000 Podgorica</w:t>
      </w: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Crna Gora</w:t>
      </w:r>
    </w:p>
    <w:p w:rsidR="009C1E28" w:rsidRPr="009C1E28" w:rsidRDefault="009C1E28" w:rsidP="009C1E28">
      <w:pPr>
        <w:keepNext/>
        <w:keepLines/>
        <w:spacing w:after="0"/>
        <w:ind w:left="567" w:hanging="567"/>
        <w:jc w:val="both"/>
        <w:rPr>
          <w:rFonts w:ascii="Times New Roman" w:hAnsi="Times New Roman" w:cs="Times New Roman"/>
          <w:b/>
        </w:rPr>
      </w:pPr>
    </w:p>
    <w:p w:rsidR="009C1E28" w:rsidRPr="009C1E28" w:rsidRDefault="009C1E28" w:rsidP="009C1E28">
      <w:pPr>
        <w:keepNext/>
        <w:keepLines/>
        <w:spacing w:after="0"/>
        <w:ind w:left="567" w:hanging="567"/>
        <w:jc w:val="both"/>
        <w:rPr>
          <w:rFonts w:ascii="Times New Roman" w:hAnsi="Times New Roman" w:cs="Times New Roman"/>
          <w:b/>
        </w:rPr>
      </w:pPr>
    </w:p>
    <w:p w:rsidR="009C1E28" w:rsidRPr="002C1852" w:rsidRDefault="009C1E28" w:rsidP="009C1E28">
      <w:pPr>
        <w:keepNext/>
        <w:keepLines/>
        <w:spacing w:after="0"/>
        <w:ind w:left="567" w:hanging="567"/>
        <w:jc w:val="both"/>
        <w:rPr>
          <w:rFonts w:ascii="Times New Roman" w:hAnsi="Times New Roman" w:cs="Times New Roman"/>
          <w:b/>
        </w:rPr>
      </w:pPr>
      <w:r w:rsidRPr="002C1852">
        <w:rPr>
          <w:rFonts w:ascii="Times New Roman" w:hAnsi="Times New Roman" w:cs="Times New Roman"/>
          <w:b/>
        </w:rPr>
        <w:t>8.</w:t>
      </w:r>
      <w:r w:rsidRPr="002C1852">
        <w:rPr>
          <w:rFonts w:ascii="Times New Roman" w:hAnsi="Times New Roman" w:cs="Times New Roman"/>
          <w:b/>
        </w:rPr>
        <w:tab/>
        <w:t>BROJ PRVE DOZVOLE/ OBNOVE DOZVOLE</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Harvoni</w:t>
      </w:r>
      <w:r w:rsidRPr="009C1E28">
        <w:rPr>
          <w:rFonts w:ascii="Times New Roman" w:hAnsi="Times New Roman" w:cs="Times New Roman"/>
          <w:vertAlign w:val="superscript"/>
        </w:rPr>
        <w:t>®</w:t>
      </w:r>
      <w:r w:rsidRPr="009C1E28">
        <w:rPr>
          <w:rFonts w:ascii="Times New Roman" w:hAnsi="Times New Roman" w:cs="Times New Roman"/>
        </w:rPr>
        <w:t>, film tableta, 90 mg + 400 mg, bočica, plastična, 28 film tableta:</w:t>
      </w:r>
      <w:r w:rsidR="00A973CA">
        <w:rPr>
          <w:rFonts w:ascii="Times New Roman" w:hAnsi="Times New Roman" w:cs="Times New Roman"/>
        </w:rPr>
        <w:t xml:space="preserve"> </w:t>
      </w:r>
      <w:r w:rsidR="00A973CA" w:rsidRPr="00A973CA">
        <w:rPr>
          <w:rFonts w:ascii="Times New Roman" w:hAnsi="Times New Roman" w:cs="Times New Roman"/>
        </w:rPr>
        <w:t>2030/18/171 - 8827</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spacing w:after="0"/>
        <w:jc w:val="both"/>
        <w:rPr>
          <w:rFonts w:ascii="Times New Roman" w:hAnsi="Times New Roman" w:cs="Times New Roman"/>
          <w:b/>
        </w:rPr>
      </w:pPr>
    </w:p>
    <w:p w:rsidR="009C1E28" w:rsidRPr="002C1852" w:rsidRDefault="009C1E28" w:rsidP="009C1E28">
      <w:pPr>
        <w:keepNext/>
        <w:keepLines/>
        <w:spacing w:after="0"/>
        <w:ind w:left="567" w:hanging="567"/>
        <w:jc w:val="both"/>
        <w:rPr>
          <w:rFonts w:ascii="Times New Roman" w:hAnsi="Times New Roman" w:cs="Times New Roman"/>
          <w:b/>
        </w:rPr>
      </w:pPr>
      <w:r w:rsidRPr="002C1852">
        <w:rPr>
          <w:rFonts w:ascii="Times New Roman" w:hAnsi="Times New Roman" w:cs="Times New Roman"/>
          <w:b/>
        </w:rPr>
        <w:t>9.</w:t>
      </w:r>
      <w:r w:rsidRPr="002C1852">
        <w:rPr>
          <w:rFonts w:ascii="Times New Roman" w:hAnsi="Times New Roman" w:cs="Times New Roman"/>
          <w:b/>
        </w:rPr>
        <w:tab/>
        <w:t>DATUM PRVE DOZVOLE/ DATUM OBNOVE DOZVOLE</w:t>
      </w:r>
    </w:p>
    <w:p w:rsidR="009C1E28" w:rsidRPr="009C1E28" w:rsidRDefault="009C1E28" w:rsidP="009C1E28">
      <w:pPr>
        <w:keepNext/>
        <w:keepLines/>
        <w:spacing w:after="0"/>
        <w:jc w:val="both"/>
        <w:rPr>
          <w:rFonts w:ascii="Times New Roman" w:hAnsi="Times New Roman" w:cs="Times New Roman"/>
          <w:b/>
        </w:rPr>
      </w:pPr>
    </w:p>
    <w:p w:rsidR="009C1E28" w:rsidRPr="009C1E28" w:rsidRDefault="009C1E28" w:rsidP="009C1E28">
      <w:pPr>
        <w:spacing w:after="0"/>
        <w:jc w:val="both"/>
        <w:rPr>
          <w:rFonts w:ascii="Times New Roman" w:hAnsi="Times New Roman" w:cs="Times New Roman"/>
          <w:b/>
        </w:rPr>
      </w:pPr>
      <w:r w:rsidRPr="009C1E28">
        <w:rPr>
          <w:rFonts w:ascii="Times New Roman" w:hAnsi="Times New Roman" w:cs="Times New Roman"/>
        </w:rPr>
        <w:t>Harvoni</w:t>
      </w:r>
      <w:r w:rsidRPr="009C1E28">
        <w:rPr>
          <w:rFonts w:ascii="Times New Roman" w:hAnsi="Times New Roman" w:cs="Times New Roman"/>
          <w:vertAlign w:val="superscript"/>
        </w:rPr>
        <w:t>®</w:t>
      </w:r>
      <w:r w:rsidRPr="009C1E28">
        <w:rPr>
          <w:rFonts w:ascii="Times New Roman" w:hAnsi="Times New Roman" w:cs="Times New Roman"/>
        </w:rPr>
        <w:t>, film tableta, 90 mg + 400 mg, bočica, plastična, 28 film tableta:</w:t>
      </w:r>
      <w:r w:rsidR="00A973CA">
        <w:rPr>
          <w:rFonts w:ascii="Times New Roman" w:hAnsi="Times New Roman" w:cs="Times New Roman"/>
        </w:rPr>
        <w:t xml:space="preserve"> </w:t>
      </w:r>
      <w:r w:rsidR="00A973CA">
        <w:rPr>
          <w:rFonts w:ascii="TimesNewRoman" w:hAnsi="TimesNewRoman" w:cs="TimesNewRoman"/>
        </w:rPr>
        <w:t>01.03.2018. godine</w:t>
      </w:r>
    </w:p>
    <w:p w:rsidR="009C1E28" w:rsidRPr="009C1E28" w:rsidRDefault="009C1E28" w:rsidP="009C1E28">
      <w:pPr>
        <w:spacing w:after="0"/>
        <w:jc w:val="both"/>
        <w:rPr>
          <w:rFonts w:ascii="Times New Roman" w:hAnsi="Times New Roman" w:cs="Times New Roman"/>
          <w:b/>
        </w:rPr>
      </w:pPr>
    </w:p>
    <w:p w:rsidR="009C1E28" w:rsidRPr="009C1E28" w:rsidRDefault="009C1E28" w:rsidP="009C1E28">
      <w:pPr>
        <w:spacing w:after="0"/>
        <w:jc w:val="both"/>
        <w:rPr>
          <w:rFonts w:ascii="Times New Roman" w:hAnsi="Times New Roman" w:cs="Times New Roman"/>
          <w:b/>
        </w:rPr>
      </w:pPr>
    </w:p>
    <w:p w:rsidR="00F1527C" w:rsidRDefault="009C1E28" w:rsidP="002C1852">
      <w:pPr>
        <w:keepNext/>
        <w:keepLines/>
        <w:spacing w:after="0"/>
        <w:ind w:left="567" w:hanging="567"/>
        <w:jc w:val="both"/>
        <w:rPr>
          <w:rFonts w:ascii="Times New Roman" w:hAnsi="Times New Roman" w:cs="Times New Roman"/>
          <w:b/>
        </w:rPr>
      </w:pPr>
      <w:r w:rsidRPr="002C1852">
        <w:rPr>
          <w:rFonts w:ascii="Times New Roman" w:hAnsi="Times New Roman" w:cs="Times New Roman"/>
          <w:b/>
        </w:rPr>
        <w:t>10.</w:t>
      </w:r>
      <w:r w:rsidRPr="002C1852">
        <w:rPr>
          <w:rFonts w:ascii="Times New Roman" w:hAnsi="Times New Roman" w:cs="Times New Roman"/>
          <w:b/>
        </w:rPr>
        <w:tab/>
        <w:t>DATUM POSLJEDNJE</w:t>
      </w:r>
      <w:r w:rsidR="002C1852">
        <w:rPr>
          <w:rFonts w:ascii="Times New Roman" w:hAnsi="Times New Roman" w:cs="Times New Roman"/>
          <w:b/>
        </w:rPr>
        <w:t xml:space="preserve"> </w:t>
      </w:r>
      <w:r w:rsidRPr="002C1852">
        <w:rPr>
          <w:rFonts w:ascii="Times New Roman" w:hAnsi="Times New Roman" w:cs="Times New Roman"/>
          <w:b/>
        </w:rPr>
        <w:t>REVIZIJE TEKSTA SAŽETKA OSNOVNIH KARAKTERISTIKA LIJEKA</w:t>
      </w:r>
    </w:p>
    <w:p w:rsidR="00A973CA" w:rsidRDefault="00A973CA" w:rsidP="002C1852">
      <w:pPr>
        <w:keepNext/>
        <w:keepLines/>
        <w:spacing w:after="0"/>
        <w:ind w:left="567" w:hanging="567"/>
        <w:jc w:val="both"/>
        <w:rPr>
          <w:rFonts w:ascii="Times New Roman" w:hAnsi="Times New Roman" w:cs="Times New Roman"/>
          <w:b/>
        </w:rPr>
      </w:pPr>
    </w:p>
    <w:p w:rsidR="00A973CA" w:rsidRPr="00A973CA" w:rsidRDefault="00A973CA" w:rsidP="002C1852">
      <w:pPr>
        <w:keepNext/>
        <w:keepLines/>
        <w:spacing w:after="0"/>
        <w:ind w:left="567" w:hanging="567"/>
        <w:jc w:val="both"/>
        <w:rPr>
          <w:rFonts w:ascii="Times New Roman" w:hAnsi="Times New Roman" w:cs="Times New Roman"/>
        </w:rPr>
      </w:pPr>
      <w:r w:rsidRPr="00A973CA">
        <w:rPr>
          <w:rFonts w:ascii="Times New Roman" w:hAnsi="Times New Roman" w:cs="Times New Roman"/>
        </w:rPr>
        <w:t>Mart, 2018. godine</w:t>
      </w:r>
    </w:p>
    <w:p w:rsidR="00F1527C" w:rsidRPr="009C1E28" w:rsidRDefault="00F1527C" w:rsidP="009C1E28">
      <w:pPr>
        <w:spacing w:after="0"/>
        <w:jc w:val="both"/>
        <w:rPr>
          <w:rFonts w:ascii="Times New Roman" w:hAnsi="Times New Roman" w:cs="Times New Roman"/>
        </w:rPr>
      </w:pPr>
    </w:p>
    <w:p w:rsidR="00F1527C" w:rsidRPr="009C1E28" w:rsidRDefault="00F1527C" w:rsidP="009C1E28">
      <w:pPr>
        <w:spacing w:after="0"/>
        <w:jc w:val="both"/>
        <w:rPr>
          <w:rFonts w:ascii="Times New Roman" w:hAnsi="Times New Roman" w:cs="Times New Roman"/>
        </w:rPr>
      </w:pPr>
    </w:p>
    <w:p w:rsidR="00F1527C" w:rsidRPr="009C1E28" w:rsidRDefault="00F1527C" w:rsidP="009C1E28">
      <w:pPr>
        <w:spacing w:after="0"/>
        <w:jc w:val="both"/>
        <w:rPr>
          <w:rFonts w:ascii="Times New Roman" w:hAnsi="Times New Roman" w:cs="Times New Roman"/>
        </w:rPr>
      </w:pPr>
    </w:p>
    <w:p w:rsidR="00F1527C" w:rsidRPr="009C1E28" w:rsidRDefault="00F1527C" w:rsidP="009C1E28">
      <w:pPr>
        <w:spacing w:after="0"/>
        <w:jc w:val="both"/>
        <w:rPr>
          <w:rFonts w:ascii="Times New Roman" w:hAnsi="Times New Roman" w:cs="Times New Roman"/>
        </w:rPr>
      </w:pPr>
    </w:p>
    <w:p w:rsidR="00F1527C" w:rsidRPr="009C1E28" w:rsidRDefault="00F1527C" w:rsidP="009C1E28">
      <w:pPr>
        <w:spacing w:after="0"/>
        <w:jc w:val="both"/>
        <w:rPr>
          <w:rFonts w:ascii="Times New Roman" w:hAnsi="Times New Roman" w:cs="Times New Roman"/>
        </w:rPr>
      </w:pPr>
    </w:p>
    <w:p w:rsidR="00F1527C" w:rsidRPr="009C1E28" w:rsidRDefault="00F1527C" w:rsidP="009C1E28">
      <w:pPr>
        <w:spacing w:after="0"/>
        <w:jc w:val="both"/>
        <w:rPr>
          <w:rFonts w:ascii="Times New Roman" w:hAnsi="Times New Roman" w:cs="Times New Roman"/>
        </w:rPr>
      </w:pPr>
    </w:p>
    <w:p w:rsidR="00F1527C" w:rsidRPr="009C1E28" w:rsidRDefault="00F1527C" w:rsidP="009C1E28">
      <w:pPr>
        <w:spacing w:after="0"/>
        <w:jc w:val="both"/>
        <w:rPr>
          <w:rFonts w:ascii="Times New Roman" w:hAnsi="Times New Roman" w:cs="Times New Roman"/>
        </w:rPr>
      </w:pPr>
    </w:p>
    <w:p w:rsidR="00F1527C" w:rsidRPr="009C1E28" w:rsidRDefault="00F1527C" w:rsidP="009C1E28">
      <w:pPr>
        <w:spacing w:after="0"/>
        <w:jc w:val="both"/>
        <w:rPr>
          <w:rFonts w:ascii="Times New Roman" w:hAnsi="Times New Roman" w:cs="Times New Roman"/>
        </w:rPr>
      </w:pPr>
    </w:p>
    <w:p w:rsidR="00F1527C" w:rsidRPr="009C1E28" w:rsidRDefault="00F1527C" w:rsidP="009C1E28">
      <w:pPr>
        <w:tabs>
          <w:tab w:val="left" w:pos="2751"/>
        </w:tabs>
        <w:spacing w:after="0"/>
        <w:jc w:val="both"/>
        <w:rPr>
          <w:rFonts w:ascii="Times New Roman" w:hAnsi="Times New Roman" w:cs="Times New Roman"/>
        </w:rPr>
      </w:pPr>
    </w:p>
    <w:p w:rsidR="00F1527C" w:rsidRPr="009C1E28" w:rsidRDefault="00F1527C" w:rsidP="009C1E28">
      <w:pPr>
        <w:tabs>
          <w:tab w:val="left" w:pos="2751"/>
        </w:tabs>
        <w:spacing w:after="0"/>
        <w:jc w:val="both"/>
        <w:rPr>
          <w:rFonts w:ascii="Times New Roman" w:hAnsi="Times New Roman" w:cs="Times New Roman"/>
        </w:rPr>
      </w:pPr>
    </w:p>
    <w:p w:rsidR="00F1527C" w:rsidRPr="009C1E28" w:rsidRDefault="00F1527C" w:rsidP="009C1E28">
      <w:pPr>
        <w:tabs>
          <w:tab w:val="left" w:pos="2751"/>
        </w:tabs>
        <w:spacing w:after="0"/>
        <w:jc w:val="both"/>
        <w:rPr>
          <w:rFonts w:ascii="Times New Roman" w:hAnsi="Times New Roman" w:cs="Times New Roman"/>
        </w:rPr>
      </w:pPr>
    </w:p>
    <w:p w:rsidR="009318B4" w:rsidRPr="009C1E28" w:rsidRDefault="00F1527C" w:rsidP="009C1E28">
      <w:pPr>
        <w:tabs>
          <w:tab w:val="left" w:pos="2751"/>
        </w:tabs>
        <w:spacing w:after="0"/>
        <w:jc w:val="both"/>
        <w:rPr>
          <w:rFonts w:ascii="Times New Roman" w:hAnsi="Times New Roman" w:cs="Times New Roman"/>
        </w:rPr>
      </w:pPr>
      <w:r w:rsidRPr="009C1E28">
        <w:rPr>
          <w:rFonts w:ascii="Times New Roman" w:hAnsi="Times New Roman" w:cs="Times New Roman"/>
        </w:rPr>
        <w:tab/>
      </w:r>
    </w:p>
    <w:sectPr w:rsidR="009318B4" w:rsidRPr="009C1E28" w:rsidSect="00B34AF2">
      <w:headerReference w:type="default" r:id="rId11"/>
      <w:footerReference w:type="default" r:id="rId12"/>
      <w:headerReference w:type="first" r:id="rId13"/>
      <w:footerReference w:type="first" r:id="rId14"/>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3FBE" w:rsidRDefault="009F3FBE" w:rsidP="00FF2B5A">
      <w:pPr>
        <w:spacing w:after="0" w:line="240" w:lineRule="auto"/>
      </w:pPr>
      <w:r>
        <w:separator/>
      </w:r>
    </w:p>
  </w:endnote>
  <w:endnote w:type="continuationSeparator" w:id="0">
    <w:p w:rsidR="009F3FBE" w:rsidRDefault="009F3FBE"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7CE" w:rsidRPr="00F1527C" w:rsidRDefault="00DB57CE"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DB57CE" w:rsidRPr="00F1527C" w:rsidRDefault="00DB57CE"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DB57CE" w:rsidRPr="00F1527C" w:rsidRDefault="00DB57CE"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DB57CE" w:rsidRPr="00F1527C" w:rsidRDefault="00DB57CE"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DB57CE" w:rsidRPr="00F1527C" w:rsidRDefault="00DB57CE"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DB57CE" w:rsidRPr="009318B4" w:rsidRDefault="00DB57CE"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230CF3">
      <w:rPr>
        <w:rFonts w:ascii="Times New Roman" w:eastAsia="Times New Roman" w:hAnsi="Times New Roman" w:cs="Times New Roman"/>
        <w:noProof/>
        <w:sz w:val="20"/>
        <w:szCs w:val="20"/>
        <w:lang w:val="sr-Latn-ME"/>
      </w:rPr>
      <w:t>56</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230CF3">
      <w:rPr>
        <w:rFonts w:ascii="Times New Roman" w:eastAsia="Times New Roman" w:hAnsi="Times New Roman" w:cs="Times New Roman"/>
        <w:noProof/>
        <w:sz w:val="20"/>
        <w:szCs w:val="20"/>
        <w:lang w:val="sr-Latn-ME"/>
      </w:rPr>
      <w:t>56</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7CE" w:rsidRPr="00F1527C" w:rsidRDefault="00DB57CE"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DB57CE" w:rsidRPr="00F1527C" w:rsidRDefault="00DB57CE"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DB57CE" w:rsidRPr="00F1527C" w:rsidRDefault="00DB57CE"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DB57CE" w:rsidRPr="00F1527C" w:rsidRDefault="00DB57CE"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DB57CE" w:rsidRPr="00F1527C" w:rsidRDefault="00DB57CE"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DB57CE" w:rsidRPr="009318B4" w:rsidRDefault="00DB57CE"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3FBE" w:rsidRDefault="009F3FBE" w:rsidP="00FF2B5A">
      <w:pPr>
        <w:spacing w:after="0" w:line="240" w:lineRule="auto"/>
      </w:pPr>
      <w:r>
        <w:separator/>
      </w:r>
    </w:p>
  </w:footnote>
  <w:footnote w:type="continuationSeparator" w:id="0">
    <w:p w:rsidR="009F3FBE" w:rsidRDefault="009F3FBE"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7CE" w:rsidRDefault="00DB57CE" w:rsidP="009318B4">
    <w:pPr>
      <w:pStyle w:val="Header"/>
      <w:rPr>
        <w:sz w:val="16"/>
        <w:szCs w:val="16"/>
      </w:rPr>
    </w:pPr>
  </w:p>
  <w:p w:rsidR="00DB57CE" w:rsidRDefault="00DB57CE"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DB57CE" w:rsidRDefault="00DB57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7CE" w:rsidRDefault="00DB57CE" w:rsidP="009318B4">
    <w:pPr>
      <w:pStyle w:val="Header"/>
      <w:rPr>
        <w:sz w:val="16"/>
        <w:szCs w:val="16"/>
      </w:rPr>
    </w:pPr>
  </w:p>
  <w:p w:rsidR="00DB57CE" w:rsidRDefault="00DB57CE"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DB57CE" w:rsidRDefault="00DB57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108BA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0B2192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500821E"/>
    <w:lvl w:ilvl="0">
      <w:start w:val="1"/>
      <w:numFmt w:val="decimal"/>
      <w:pStyle w:val="ListNumber"/>
      <w:lvlText w:val="%1."/>
      <w:lvlJc w:val="left"/>
      <w:pPr>
        <w:tabs>
          <w:tab w:val="num" w:pos="926"/>
        </w:tabs>
        <w:ind w:left="926" w:hanging="360"/>
      </w:pPr>
      <w:rPr>
        <w:rFonts w:cs="Times New Roman"/>
      </w:rPr>
    </w:lvl>
  </w:abstractNum>
  <w:abstractNum w:abstractNumId="3" w15:restartNumberingAfterBreak="0">
    <w:nsid w:val="FFFFFF7F"/>
    <w:multiLevelType w:val="singleLevel"/>
    <w:tmpl w:val="606A49B6"/>
    <w:lvl w:ilvl="0">
      <w:start w:val="1"/>
      <w:numFmt w:val="decimal"/>
      <w:pStyle w:val="EMEAstyle2"/>
      <w:lvlText w:val="%1."/>
      <w:lvlJc w:val="left"/>
      <w:pPr>
        <w:tabs>
          <w:tab w:val="num" w:pos="643"/>
        </w:tabs>
        <w:ind w:left="643" w:hanging="360"/>
      </w:pPr>
      <w:rPr>
        <w:rFonts w:cs="Times New Roman"/>
      </w:rPr>
    </w:lvl>
  </w:abstractNum>
  <w:abstractNum w:abstractNumId="4" w15:restartNumberingAfterBreak="0">
    <w:nsid w:val="FFFFFF80"/>
    <w:multiLevelType w:val="singleLevel"/>
    <w:tmpl w:val="9D86CA3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02D8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C9C505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08913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77489DE"/>
    <w:lvl w:ilvl="0">
      <w:start w:val="1"/>
      <w:numFmt w:val="decimal"/>
      <w:pStyle w:val="ListNumber2"/>
      <w:lvlText w:val="%1."/>
      <w:lvlJc w:val="left"/>
      <w:pPr>
        <w:tabs>
          <w:tab w:val="num" w:pos="360"/>
        </w:tabs>
        <w:ind w:left="360" w:hanging="360"/>
      </w:pPr>
      <w:rPr>
        <w:rFonts w:cs="Times New Roman"/>
      </w:rPr>
    </w:lvl>
  </w:abstractNum>
  <w:abstractNum w:abstractNumId="9" w15:restartNumberingAfterBreak="0">
    <w:nsid w:val="FFFFFF89"/>
    <w:multiLevelType w:val="singleLevel"/>
    <w:tmpl w:val="90F811FA"/>
    <w:lvl w:ilvl="0">
      <w:start w:val="1"/>
      <w:numFmt w:val="bullet"/>
      <w:pStyle w:val="BodyTextIndent4"/>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4277AF3"/>
    <w:multiLevelType w:val="singleLevel"/>
    <w:tmpl w:val="FCACE244"/>
    <w:lvl w:ilvl="0">
      <w:start w:val="1"/>
      <w:numFmt w:val="upperLetter"/>
      <w:pStyle w:val="EMEAStyle20"/>
      <w:lvlText w:val="%1."/>
      <w:legacy w:legacy="1" w:legacySpace="0" w:legacyIndent="360"/>
      <w:lvlJc w:val="left"/>
      <w:pPr>
        <w:ind w:left="1495" w:hanging="360"/>
      </w:pPr>
      <w:rPr>
        <w:rFonts w:cs="Times New Roman"/>
      </w:rPr>
    </w:lvl>
  </w:abstractNum>
  <w:abstractNum w:abstractNumId="12" w15:restartNumberingAfterBreak="0">
    <w:nsid w:val="096639C1"/>
    <w:multiLevelType w:val="hybridMultilevel"/>
    <w:tmpl w:val="B4D25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FD92201"/>
    <w:multiLevelType w:val="hybridMultilevel"/>
    <w:tmpl w:val="3BEA0AF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2323D63"/>
    <w:multiLevelType w:val="hybridMultilevel"/>
    <w:tmpl w:val="FCEA1FDA"/>
    <w:lvl w:ilvl="0" w:tplc="08090001">
      <w:start w:val="1"/>
      <w:numFmt w:val="bullet"/>
      <w:lvlText w:val=""/>
      <w:lvlJc w:val="left"/>
      <w:pPr>
        <w:tabs>
          <w:tab w:val="num" w:pos="720"/>
        </w:tabs>
        <w:ind w:left="720" w:hanging="360"/>
      </w:pPr>
      <w:rPr>
        <w:rFonts w:ascii="Symbol" w:hAnsi="Symbol" w:hint="default"/>
      </w:rPr>
    </w:lvl>
    <w:lvl w:ilvl="1" w:tplc="FFFFFFFF">
      <w:start w:val="1"/>
      <w:numFmt w:val="bullet"/>
      <w:lvlText w:val="-"/>
      <w:legacy w:legacy="1" w:legacySpace="360" w:legacyIndent="360"/>
      <w:lvlJc w:val="left"/>
      <w:pPr>
        <w:ind w:left="1800" w:hanging="360"/>
      </w:pPr>
      <w:rPr>
        <w:rFont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12FB57EB"/>
    <w:multiLevelType w:val="hybridMultilevel"/>
    <w:tmpl w:val="8EB42714"/>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16" w15:restartNumberingAfterBreak="0">
    <w:nsid w:val="160C0CC8"/>
    <w:multiLevelType w:val="hybridMultilevel"/>
    <w:tmpl w:val="6B54D172"/>
    <w:lvl w:ilvl="0" w:tplc="C6E4B034">
      <w:start w:val="24"/>
      <w:numFmt w:val="bullet"/>
      <w:lvlText w:val="-"/>
      <w:lvlJc w:val="left"/>
      <w:pPr>
        <w:ind w:left="536" w:hanging="360"/>
      </w:pPr>
      <w:rPr>
        <w:rFonts w:ascii="Times New Roman" w:eastAsia="Times New Roman" w:hAnsi="Times New Roman" w:hint="default"/>
      </w:rPr>
    </w:lvl>
    <w:lvl w:ilvl="1" w:tplc="08090003" w:tentative="1">
      <w:start w:val="1"/>
      <w:numFmt w:val="bullet"/>
      <w:lvlText w:val="o"/>
      <w:lvlJc w:val="left"/>
      <w:pPr>
        <w:ind w:left="1256" w:hanging="360"/>
      </w:pPr>
      <w:rPr>
        <w:rFonts w:ascii="Courier New" w:hAnsi="Courier New" w:hint="default"/>
      </w:rPr>
    </w:lvl>
    <w:lvl w:ilvl="2" w:tplc="08090005" w:tentative="1">
      <w:start w:val="1"/>
      <w:numFmt w:val="bullet"/>
      <w:lvlText w:val=""/>
      <w:lvlJc w:val="left"/>
      <w:pPr>
        <w:ind w:left="1976" w:hanging="360"/>
      </w:pPr>
      <w:rPr>
        <w:rFonts w:ascii="Wingdings" w:hAnsi="Wingdings" w:hint="default"/>
      </w:rPr>
    </w:lvl>
    <w:lvl w:ilvl="3" w:tplc="08090001" w:tentative="1">
      <w:start w:val="1"/>
      <w:numFmt w:val="bullet"/>
      <w:lvlText w:val=""/>
      <w:lvlJc w:val="left"/>
      <w:pPr>
        <w:ind w:left="2696" w:hanging="360"/>
      </w:pPr>
      <w:rPr>
        <w:rFonts w:ascii="Symbol" w:hAnsi="Symbol" w:hint="default"/>
      </w:rPr>
    </w:lvl>
    <w:lvl w:ilvl="4" w:tplc="08090003" w:tentative="1">
      <w:start w:val="1"/>
      <w:numFmt w:val="bullet"/>
      <w:lvlText w:val="o"/>
      <w:lvlJc w:val="left"/>
      <w:pPr>
        <w:ind w:left="3416" w:hanging="360"/>
      </w:pPr>
      <w:rPr>
        <w:rFonts w:ascii="Courier New" w:hAnsi="Courier New" w:hint="default"/>
      </w:rPr>
    </w:lvl>
    <w:lvl w:ilvl="5" w:tplc="08090005" w:tentative="1">
      <w:start w:val="1"/>
      <w:numFmt w:val="bullet"/>
      <w:lvlText w:val=""/>
      <w:lvlJc w:val="left"/>
      <w:pPr>
        <w:ind w:left="4136" w:hanging="360"/>
      </w:pPr>
      <w:rPr>
        <w:rFonts w:ascii="Wingdings" w:hAnsi="Wingdings" w:hint="default"/>
      </w:rPr>
    </w:lvl>
    <w:lvl w:ilvl="6" w:tplc="08090001" w:tentative="1">
      <w:start w:val="1"/>
      <w:numFmt w:val="bullet"/>
      <w:lvlText w:val=""/>
      <w:lvlJc w:val="left"/>
      <w:pPr>
        <w:ind w:left="4856" w:hanging="360"/>
      </w:pPr>
      <w:rPr>
        <w:rFonts w:ascii="Symbol" w:hAnsi="Symbol" w:hint="default"/>
      </w:rPr>
    </w:lvl>
    <w:lvl w:ilvl="7" w:tplc="08090003" w:tentative="1">
      <w:start w:val="1"/>
      <w:numFmt w:val="bullet"/>
      <w:lvlText w:val="o"/>
      <w:lvlJc w:val="left"/>
      <w:pPr>
        <w:ind w:left="5576" w:hanging="360"/>
      </w:pPr>
      <w:rPr>
        <w:rFonts w:ascii="Courier New" w:hAnsi="Courier New" w:hint="default"/>
      </w:rPr>
    </w:lvl>
    <w:lvl w:ilvl="8" w:tplc="08090005" w:tentative="1">
      <w:start w:val="1"/>
      <w:numFmt w:val="bullet"/>
      <w:lvlText w:val=""/>
      <w:lvlJc w:val="left"/>
      <w:pPr>
        <w:ind w:left="6296" w:hanging="360"/>
      </w:pPr>
      <w:rPr>
        <w:rFonts w:ascii="Wingdings" w:hAnsi="Wingdings" w:hint="default"/>
      </w:rPr>
    </w:lvl>
  </w:abstractNum>
  <w:abstractNum w:abstractNumId="17" w15:restartNumberingAfterBreak="0">
    <w:nsid w:val="1E5C6F37"/>
    <w:multiLevelType w:val="hybridMultilevel"/>
    <w:tmpl w:val="300A5460"/>
    <w:lvl w:ilvl="0" w:tplc="08090001">
      <w:start w:val="1"/>
      <w:numFmt w:val="bullet"/>
      <w:pStyle w:val="ListNumber5"/>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3CE5384"/>
    <w:multiLevelType w:val="hybridMultilevel"/>
    <w:tmpl w:val="69F67448"/>
    <w:lvl w:ilvl="0" w:tplc="08090001">
      <w:start w:val="1"/>
      <w:numFmt w:val="bullet"/>
      <w:lvlText w:val=""/>
      <w:lvlJc w:val="left"/>
      <w:pPr>
        <w:tabs>
          <w:tab w:val="num" w:pos="720"/>
        </w:tabs>
        <w:ind w:left="720" w:hanging="360"/>
      </w:pPr>
      <w:rPr>
        <w:rFonts w:ascii="Symbol" w:hAnsi="Symbol" w:hint="default"/>
      </w:rPr>
    </w:lvl>
    <w:lvl w:ilvl="1" w:tplc="FFFFFFFF">
      <w:start w:val="1"/>
      <w:numFmt w:val="bullet"/>
      <w:lvlText w:val="-"/>
      <w:legacy w:legacy="1" w:legacySpace="360" w:legacyIndent="360"/>
      <w:lvlJc w:val="left"/>
      <w:pPr>
        <w:ind w:left="1800" w:hanging="360"/>
      </w:pPr>
      <w:rPr>
        <w:rFont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6397676"/>
    <w:multiLevelType w:val="hybridMultilevel"/>
    <w:tmpl w:val="5FDA8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7324BC"/>
    <w:multiLevelType w:val="hybridMultilevel"/>
    <w:tmpl w:val="BFE8A050"/>
    <w:lvl w:ilvl="0" w:tplc="04090001">
      <w:start w:val="10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74071E"/>
    <w:multiLevelType w:val="singleLevel"/>
    <w:tmpl w:val="06D2F918"/>
    <w:lvl w:ilvl="0">
      <w:start w:val="1"/>
      <w:numFmt w:val="decimal"/>
      <w:pStyle w:val="ListNumber3"/>
      <w:lvlText w:val="%1."/>
      <w:lvlJc w:val="left"/>
      <w:pPr>
        <w:tabs>
          <w:tab w:val="num" w:pos="1680"/>
        </w:tabs>
        <w:ind w:left="1680" w:hanging="560"/>
      </w:pPr>
      <w:rPr>
        <w:rFonts w:ascii="Times New Roman" w:hAnsi="Times New Roman" w:cs="Times New Roman"/>
        <w:b w:val="0"/>
        <w:i w:val="0"/>
        <w:caps w:val="0"/>
        <w:sz w:val="22"/>
        <w:u w:val="none"/>
        <w:vertAlign w:val="baseline"/>
      </w:rPr>
    </w:lvl>
  </w:abstractNum>
  <w:abstractNum w:abstractNumId="22" w15:restartNumberingAfterBreak="0">
    <w:nsid w:val="4ED74CDE"/>
    <w:multiLevelType w:val="hybridMultilevel"/>
    <w:tmpl w:val="5A666CE4"/>
    <w:lvl w:ilvl="0" w:tplc="08090001">
      <w:start w:val="1"/>
      <w:numFmt w:val="bullet"/>
      <w:pStyle w:val="Bulletstex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927FC3"/>
    <w:multiLevelType w:val="hybridMultilevel"/>
    <w:tmpl w:val="84B0B2FA"/>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C91FEE"/>
    <w:multiLevelType w:val="hybridMultilevel"/>
    <w:tmpl w:val="B016C176"/>
    <w:lvl w:ilvl="0" w:tplc="B86CB0C4">
      <w:start w:val="1"/>
      <w:numFmt w:val="bullet"/>
      <w:pStyle w:val="DocumentMap"/>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F758D0"/>
    <w:multiLevelType w:val="hybridMultilevel"/>
    <w:tmpl w:val="DAB607F0"/>
    <w:lvl w:ilvl="0" w:tplc="33E432D0">
      <w:start w:val="24"/>
      <w:numFmt w:val="bullet"/>
      <w:lvlText w:val="-"/>
      <w:lvlJc w:val="left"/>
      <w:pPr>
        <w:ind w:left="394" w:hanging="360"/>
      </w:pPr>
      <w:rPr>
        <w:rFonts w:ascii="Times New Roman" w:eastAsia="Times New Roman" w:hAnsi="Times New Roman" w:hint="default"/>
      </w:rPr>
    </w:lvl>
    <w:lvl w:ilvl="1" w:tplc="08090003" w:tentative="1">
      <w:start w:val="1"/>
      <w:numFmt w:val="bullet"/>
      <w:lvlText w:val="o"/>
      <w:lvlJc w:val="left"/>
      <w:pPr>
        <w:ind w:left="1114" w:hanging="360"/>
      </w:pPr>
      <w:rPr>
        <w:rFonts w:ascii="Courier New" w:hAnsi="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26" w15:restartNumberingAfterBreak="0">
    <w:nsid w:val="5BFD38A0"/>
    <w:multiLevelType w:val="singleLevel"/>
    <w:tmpl w:val="98E89D6A"/>
    <w:lvl w:ilvl="0">
      <w:start w:val="1"/>
      <w:numFmt w:val="lowerLetter"/>
      <w:pStyle w:val="ListLetter3"/>
      <w:lvlText w:val="%1."/>
      <w:lvlJc w:val="left"/>
      <w:pPr>
        <w:tabs>
          <w:tab w:val="num" w:pos="1680"/>
        </w:tabs>
        <w:ind w:left="1680" w:hanging="560"/>
      </w:pPr>
      <w:rPr>
        <w:rFonts w:ascii="Times New Roman" w:hAnsi="Times New Roman" w:cs="Times New Roman"/>
        <w:b w:val="0"/>
        <w:i w:val="0"/>
        <w:caps w:val="0"/>
        <w:sz w:val="24"/>
        <w:u w:val="none"/>
        <w:vertAlign w:val="baseline"/>
      </w:rPr>
    </w:lvl>
  </w:abstractNum>
  <w:abstractNum w:abstractNumId="27" w15:restartNumberingAfterBreak="0">
    <w:nsid w:val="5C823DEC"/>
    <w:multiLevelType w:val="singleLevel"/>
    <w:tmpl w:val="A7922E50"/>
    <w:lvl w:ilvl="0">
      <w:start w:val="1"/>
      <w:numFmt w:val="lowerLetter"/>
      <w:pStyle w:val="ListLetter2"/>
      <w:lvlText w:val="%1."/>
      <w:lvlJc w:val="left"/>
      <w:pPr>
        <w:tabs>
          <w:tab w:val="num" w:pos="1120"/>
        </w:tabs>
        <w:ind w:left="1120" w:hanging="560"/>
      </w:pPr>
      <w:rPr>
        <w:rFonts w:ascii="Times New Roman" w:hAnsi="Times New Roman" w:cs="Times New Roman"/>
        <w:b w:val="0"/>
        <w:i w:val="0"/>
        <w:caps w:val="0"/>
        <w:sz w:val="24"/>
        <w:u w:val="none"/>
        <w:vertAlign w:val="baseline"/>
      </w:rPr>
    </w:lvl>
  </w:abstractNum>
  <w:abstractNum w:abstractNumId="28" w15:restartNumberingAfterBreak="0">
    <w:nsid w:val="5FD23C8F"/>
    <w:multiLevelType w:val="hybridMultilevel"/>
    <w:tmpl w:val="0622AE7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2B6567"/>
    <w:multiLevelType w:val="hybridMultilevel"/>
    <w:tmpl w:val="1750AD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090B43"/>
    <w:multiLevelType w:val="singleLevel"/>
    <w:tmpl w:val="3B162898"/>
    <w:lvl w:ilvl="0">
      <w:start w:val="1"/>
      <w:numFmt w:val="lowerLetter"/>
      <w:pStyle w:val="TableFootnoteLetter"/>
      <w:lvlText w:val="%1"/>
      <w:lvlJc w:val="left"/>
      <w:pPr>
        <w:tabs>
          <w:tab w:val="num" w:pos="560"/>
        </w:tabs>
        <w:ind w:left="560" w:hanging="560"/>
      </w:pPr>
      <w:rPr>
        <w:rFonts w:ascii="Times New Roman" w:hAnsi="Times New Roman" w:cs="Times New Roman" w:hint="default"/>
        <w:b w:val="0"/>
        <w:i w:val="0"/>
        <w:caps w:val="0"/>
        <w:sz w:val="18"/>
        <w:szCs w:val="18"/>
        <w:u w:val="none"/>
        <w:vertAlign w:val="superscript"/>
      </w:rPr>
    </w:lvl>
  </w:abstractNum>
  <w:abstractNum w:abstractNumId="31" w15:restartNumberingAfterBreak="0">
    <w:nsid w:val="76AB5D1B"/>
    <w:multiLevelType w:val="hybridMultilevel"/>
    <w:tmpl w:val="8D5EB5C4"/>
    <w:lvl w:ilvl="0" w:tplc="E8606D32">
      <w:start w:val="1000"/>
      <w:numFmt w:val="bullet"/>
      <w:lvlText w:val=""/>
      <w:lvlJc w:val="left"/>
      <w:pPr>
        <w:ind w:left="720" w:hanging="360"/>
      </w:pPr>
      <w:rPr>
        <w:rFonts w:ascii="Symbol" w:eastAsia="Times New Roman" w:hAnsi="Symbol" w:cs="Times New Roman"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0928A7"/>
    <w:multiLevelType w:val="hybridMultilevel"/>
    <w:tmpl w:val="1BEEEC4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0E7ACF"/>
    <w:multiLevelType w:val="hybridMultilevel"/>
    <w:tmpl w:val="3DF40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2"/>
  </w:num>
  <w:num w:numId="4">
    <w:abstractNumId w:val="9"/>
  </w:num>
  <w:num w:numId="5">
    <w:abstractNumId w:val="7"/>
  </w:num>
  <w:num w:numId="6">
    <w:abstractNumId w:val="6"/>
  </w:num>
  <w:num w:numId="7">
    <w:abstractNumId w:val="5"/>
  </w:num>
  <w:num w:numId="8">
    <w:abstractNumId w:val="4"/>
  </w:num>
  <w:num w:numId="9">
    <w:abstractNumId w:val="1"/>
  </w:num>
  <w:num w:numId="10">
    <w:abstractNumId w:val="0"/>
  </w:num>
  <w:num w:numId="11">
    <w:abstractNumId w:val="11"/>
  </w:num>
  <w:num w:numId="12">
    <w:abstractNumId w:val="10"/>
    <w:lvlOverride w:ilvl="0">
      <w:lvl w:ilvl="0">
        <w:start w:val="1"/>
        <w:numFmt w:val="bullet"/>
        <w:lvlText w:val="-"/>
        <w:legacy w:legacy="1" w:legacySpace="0" w:legacyIndent="360"/>
        <w:lvlJc w:val="left"/>
        <w:pPr>
          <w:ind w:left="360" w:hanging="360"/>
        </w:pPr>
      </w:lvl>
    </w:lvlOverride>
  </w:num>
  <w:num w:numId="13">
    <w:abstractNumId w:val="24"/>
  </w:num>
  <w:num w:numId="14">
    <w:abstractNumId w:val="17"/>
  </w:num>
  <w:num w:numId="15">
    <w:abstractNumId w:val="23"/>
  </w:num>
  <w:num w:numId="16">
    <w:abstractNumId w:val="22"/>
  </w:num>
  <w:num w:numId="17">
    <w:abstractNumId w:val="30"/>
  </w:num>
  <w:num w:numId="18">
    <w:abstractNumId w:val="21"/>
  </w:num>
  <w:num w:numId="19">
    <w:abstractNumId w:val="27"/>
  </w:num>
  <w:num w:numId="20">
    <w:abstractNumId w:val="26"/>
  </w:num>
  <w:num w:numId="21">
    <w:abstractNumId w:val="32"/>
  </w:num>
  <w:num w:numId="22">
    <w:abstractNumId w:val="14"/>
  </w:num>
  <w:num w:numId="23">
    <w:abstractNumId w:val="18"/>
  </w:num>
  <w:num w:numId="24">
    <w:abstractNumId w:val="13"/>
  </w:num>
  <w:num w:numId="25">
    <w:abstractNumId w:val="28"/>
  </w:num>
  <w:num w:numId="26">
    <w:abstractNumId w:val="29"/>
  </w:num>
  <w:num w:numId="27">
    <w:abstractNumId w:val="15"/>
  </w:num>
  <w:num w:numId="28">
    <w:abstractNumId w:val="33"/>
  </w:num>
  <w:num w:numId="29">
    <w:abstractNumId w:val="16"/>
  </w:num>
  <w:num w:numId="30">
    <w:abstractNumId w:val="25"/>
  </w:num>
  <w:num w:numId="31">
    <w:abstractNumId w:val="19"/>
  </w:num>
  <w:num w:numId="32">
    <w:abstractNumId w:val="12"/>
  </w:num>
  <w:num w:numId="33">
    <w:abstractNumId w:val="20"/>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614BC"/>
    <w:rsid w:val="00116FE6"/>
    <w:rsid w:val="002045B8"/>
    <w:rsid w:val="00230CF3"/>
    <w:rsid w:val="00286571"/>
    <w:rsid w:val="002C1852"/>
    <w:rsid w:val="0040710A"/>
    <w:rsid w:val="00461135"/>
    <w:rsid w:val="004724E2"/>
    <w:rsid w:val="005003D8"/>
    <w:rsid w:val="005037F4"/>
    <w:rsid w:val="00594C0D"/>
    <w:rsid w:val="00747C4B"/>
    <w:rsid w:val="007A4028"/>
    <w:rsid w:val="00832433"/>
    <w:rsid w:val="00883AF2"/>
    <w:rsid w:val="009318B4"/>
    <w:rsid w:val="00934541"/>
    <w:rsid w:val="009C1E28"/>
    <w:rsid w:val="009F3FBE"/>
    <w:rsid w:val="00A06058"/>
    <w:rsid w:val="00A973CA"/>
    <w:rsid w:val="00AE75B3"/>
    <w:rsid w:val="00B234CE"/>
    <w:rsid w:val="00B34AF2"/>
    <w:rsid w:val="00C0224C"/>
    <w:rsid w:val="00C4240B"/>
    <w:rsid w:val="00C86693"/>
    <w:rsid w:val="00CD7765"/>
    <w:rsid w:val="00D45AFE"/>
    <w:rsid w:val="00D95AD4"/>
    <w:rsid w:val="00DB57CE"/>
    <w:rsid w:val="00DD26F2"/>
    <w:rsid w:val="00E0627A"/>
    <w:rsid w:val="00E627E3"/>
    <w:rsid w:val="00E80D8C"/>
    <w:rsid w:val="00E83608"/>
    <w:rsid w:val="00EB2A93"/>
    <w:rsid w:val="00F11E78"/>
    <w:rsid w:val="00F1527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C1E28"/>
    <w:pPr>
      <w:spacing w:before="240" w:after="120" w:line="240" w:lineRule="auto"/>
      <w:ind w:left="357" w:hanging="357"/>
      <w:outlineLvl w:val="0"/>
    </w:pPr>
    <w:rPr>
      <w:rFonts w:ascii="Cambria" w:eastAsia="MS Gothic" w:hAnsi="Cambria" w:cs="Times New Roman"/>
      <w:b/>
      <w:kern w:val="32"/>
      <w:sz w:val="32"/>
      <w:szCs w:val="20"/>
      <w:lang w:val="sr-Latn-CS" w:eastAsia="sr-Latn-CS" w:bidi="sr-Latn-CS"/>
    </w:rPr>
  </w:style>
  <w:style w:type="paragraph" w:styleId="Heading2">
    <w:name w:val="heading 2"/>
    <w:basedOn w:val="Normal"/>
    <w:next w:val="Normal"/>
    <w:link w:val="Heading2Char"/>
    <w:uiPriority w:val="9"/>
    <w:qFormat/>
    <w:rsid w:val="009C1E28"/>
    <w:pPr>
      <w:keepNext/>
      <w:spacing w:before="240" w:after="60" w:line="240" w:lineRule="auto"/>
      <w:outlineLvl w:val="1"/>
    </w:pPr>
    <w:rPr>
      <w:rFonts w:ascii="Cambria" w:eastAsia="MS Gothic" w:hAnsi="Cambria" w:cs="Times New Roman"/>
      <w:b/>
      <w:i/>
      <w:sz w:val="28"/>
      <w:szCs w:val="20"/>
      <w:lang w:val="sr-Latn-CS" w:eastAsia="sr-Latn-CS" w:bidi="sr-Latn-CS"/>
    </w:rPr>
  </w:style>
  <w:style w:type="paragraph" w:styleId="Heading3">
    <w:name w:val="heading 3"/>
    <w:basedOn w:val="Normal"/>
    <w:next w:val="Normal"/>
    <w:link w:val="Heading3Char"/>
    <w:uiPriority w:val="9"/>
    <w:qFormat/>
    <w:rsid w:val="009C1E28"/>
    <w:pPr>
      <w:keepNext/>
      <w:keepLines/>
      <w:spacing w:before="120" w:after="80" w:line="240" w:lineRule="auto"/>
      <w:outlineLvl w:val="2"/>
    </w:pPr>
    <w:rPr>
      <w:rFonts w:ascii="Cambria" w:eastAsia="MS Gothic" w:hAnsi="Cambria" w:cs="Times New Roman"/>
      <w:b/>
      <w:sz w:val="26"/>
      <w:szCs w:val="20"/>
      <w:lang w:val="sr-Latn-CS" w:eastAsia="sr-Latn-CS" w:bidi="sr-Latn-CS"/>
    </w:rPr>
  </w:style>
  <w:style w:type="paragraph" w:styleId="Heading4">
    <w:name w:val="heading 4"/>
    <w:basedOn w:val="Normal"/>
    <w:next w:val="Normal"/>
    <w:link w:val="Heading4Char"/>
    <w:uiPriority w:val="9"/>
    <w:qFormat/>
    <w:rsid w:val="009C1E28"/>
    <w:pPr>
      <w:keepNext/>
      <w:spacing w:after="0" w:line="240" w:lineRule="auto"/>
      <w:outlineLvl w:val="3"/>
    </w:pPr>
    <w:rPr>
      <w:rFonts w:ascii="Calibri" w:eastAsia="MS Mincho" w:hAnsi="Calibri" w:cs="Times New Roman"/>
      <w:b/>
      <w:sz w:val="28"/>
      <w:szCs w:val="20"/>
      <w:lang w:val="sr-Latn-CS" w:eastAsia="sr-Latn-CS" w:bidi="sr-Latn-CS"/>
    </w:rPr>
  </w:style>
  <w:style w:type="paragraph" w:styleId="Heading5">
    <w:name w:val="heading 5"/>
    <w:basedOn w:val="Normal"/>
    <w:next w:val="Normal"/>
    <w:link w:val="Heading5Char"/>
    <w:uiPriority w:val="9"/>
    <w:qFormat/>
    <w:rsid w:val="009C1E28"/>
    <w:pPr>
      <w:keepNext/>
      <w:tabs>
        <w:tab w:val="left" w:pos="4680"/>
      </w:tabs>
      <w:spacing w:after="0" w:line="240" w:lineRule="auto"/>
      <w:jc w:val="both"/>
      <w:outlineLvl w:val="4"/>
    </w:pPr>
    <w:rPr>
      <w:rFonts w:ascii="Calibri" w:eastAsia="MS Mincho" w:hAnsi="Calibri" w:cs="Times New Roman"/>
      <w:b/>
      <w:i/>
      <w:sz w:val="26"/>
      <w:szCs w:val="20"/>
      <w:lang w:val="sr-Latn-CS" w:eastAsia="sr-Latn-CS" w:bidi="sr-Latn-CS"/>
    </w:rPr>
  </w:style>
  <w:style w:type="paragraph" w:styleId="Heading6">
    <w:name w:val="heading 6"/>
    <w:basedOn w:val="Normal"/>
    <w:next w:val="Normal"/>
    <w:link w:val="Heading6Char"/>
    <w:uiPriority w:val="9"/>
    <w:qFormat/>
    <w:rsid w:val="009C1E28"/>
    <w:pPr>
      <w:spacing w:before="240" w:after="60" w:line="240" w:lineRule="auto"/>
      <w:outlineLvl w:val="5"/>
    </w:pPr>
    <w:rPr>
      <w:rFonts w:ascii="Calibri" w:eastAsia="MS Mincho" w:hAnsi="Calibri" w:cs="Times New Roman"/>
      <w:b/>
      <w:szCs w:val="20"/>
      <w:lang w:val="sr-Latn-CS" w:eastAsia="sr-Latn-CS" w:bidi="sr-Latn-CS"/>
    </w:rPr>
  </w:style>
  <w:style w:type="paragraph" w:styleId="Heading7">
    <w:name w:val="heading 7"/>
    <w:basedOn w:val="Normal"/>
    <w:next w:val="Normal"/>
    <w:link w:val="Heading7Char"/>
    <w:uiPriority w:val="9"/>
    <w:qFormat/>
    <w:rsid w:val="009C1E28"/>
    <w:pPr>
      <w:spacing w:before="240" w:after="60" w:line="240" w:lineRule="auto"/>
      <w:outlineLvl w:val="6"/>
    </w:pPr>
    <w:rPr>
      <w:rFonts w:ascii="Calibri" w:eastAsia="MS Mincho" w:hAnsi="Calibri" w:cs="Times New Roman"/>
      <w:sz w:val="24"/>
      <w:szCs w:val="20"/>
      <w:lang w:val="sr-Latn-CS" w:eastAsia="sr-Latn-CS" w:bidi="sr-Latn-CS"/>
    </w:rPr>
  </w:style>
  <w:style w:type="paragraph" w:styleId="Heading8">
    <w:name w:val="heading 8"/>
    <w:basedOn w:val="Normal"/>
    <w:next w:val="Normal"/>
    <w:link w:val="Heading8Char"/>
    <w:uiPriority w:val="9"/>
    <w:qFormat/>
    <w:rsid w:val="009C1E28"/>
    <w:pPr>
      <w:spacing w:before="240" w:after="60" w:line="240" w:lineRule="auto"/>
      <w:outlineLvl w:val="7"/>
    </w:pPr>
    <w:rPr>
      <w:rFonts w:ascii="Calibri" w:eastAsia="MS Mincho" w:hAnsi="Calibri" w:cs="Times New Roman"/>
      <w:i/>
      <w:sz w:val="24"/>
      <w:szCs w:val="20"/>
      <w:lang w:val="sr-Latn-CS" w:eastAsia="sr-Latn-CS" w:bidi="sr-Latn-CS"/>
    </w:rPr>
  </w:style>
  <w:style w:type="paragraph" w:styleId="Heading9">
    <w:name w:val="heading 9"/>
    <w:basedOn w:val="Normal"/>
    <w:next w:val="Normal"/>
    <w:link w:val="Heading9Char"/>
    <w:uiPriority w:val="9"/>
    <w:qFormat/>
    <w:rsid w:val="009C1E28"/>
    <w:pPr>
      <w:spacing w:before="240" w:after="60" w:line="240" w:lineRule="auto"/>
      <w:outlineLvl w:val="8"/>
    </w:pPr>
    <w:rPr>
      <w:rFonts w:ascii="Cambria" w:eastAsia="MS Gothic" w:hAnsi="Cambria" w:cs="Times New Roman"/>
      <w:szCs w:val="20"/>
      <w:lang w:val="sr-Latn-CS" w:eastAsia="sr-Latn-CS" w:bidi="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E28"/>
    <w:rPr>
      <w:rFonts w:ascii="Cambria" w:eastAsia="MS Gothic" w:hAnsi="Cambria" w:cs="Times New Roman"/>
      <w:b/>
      <w:kern w:val="32"/>
      <w:sz w:val="32"/>
      <w:szCs w:val="20"/>
      <w:lang w:val="sr-Latn-CS" w:eastAsia="sr-Latn-CS" w:bidi="sr-Latn-CS"/>
    </w:rPr>
  </w:style>
  <w:style w:type="character" w:customStyle="1" w:styleId="Heading2Char">
    <w:name w:val="Heading 2 Char"/>
    <w:basedOn w:val="DefaultParagraphFont"/>
    <w:link w:val="Heading2"/>
    <w:uiPriority w:val="9"/>
    <w:rsid w:val="009C1E28"/>
    <w:rPr>
      <w:rFonts w:ascii="Cambria" w:eastAsia="MS Gothic" w:hAnsi="Cambria" w:cs="Times New Roman"/>
      <w:b/>
      <w:i/>
      <w:sz w:val="28"/>
      <w:szCs w:val="20"/>
      <w:lang w:val="sr-Latn-CS" w:eastAsia="sr-Latn-CS" w:bidi="sr-Latn-CS"/>
    </w:rPr>
  </w:style>
  <w:style w:type="character" w:customStyle="1" w:styleId="Heading3Char">
    <w:name w:val="Heading 3 Char"/>
    <w:basedOn w:val="DefaultParagraphFont"/>
    <w:link w:val="Heading3"/>
    <w:uiPriority w:val="9"/>
    <w:rsid w:val="009C1E28"/>
    <w:rPr>
      <w:rFonts w:ascii="Cambria" w:eastAsia="MS Gothic" w:hAnsi="Cambria" w:cs="Times New Roman"/>
      <w:b/>
      <w:sz w:val="26"/>
      <w:szCs w:val="20"/>
      <w:lang w:val="sr-Latn-CS" w:eastAsia="sr-Latn-CS" w:bidi="sr-Latn-CS"/>
    </w:rPr>
  </w:style>
  <w:style w:type="character" w:customStyle="1" w:styleId="Heading4Char">
    <w:name w:val="Heading 4 Char"/>
    <w:basedOn w:val="DefaultParagraphFont"/>
    <w:link w:val="Heading4"/>
    <w:uiPriority w:val="9"/>
    <w:rsid w:val="009C1E28"/>
    <w:rPr>
      <w:rFonts w:ascii="Calibri" w:eastAsia="MS Mincho" w:hAnsi="Calibri" w:cs="Times New Roman"/>
      <w:b/>
      <w:sz w:val="28"/>
      <w:szCs w:val="20"/>
      <w:lang w:val="sr-Latn-CS" w:eastAsia="sr-Latn-CS" w:bidi="sr-Latn-CS"/>
    </w:rPr>
  </w:style>
  <w:style w:type="character" w:customStyle="1" w:styleId="Heading5Char">
    <w:name w:val="Heading 5 Char"/>
    <w:basedOn w:val="DefaultParagraphFont"/>
    <w:link w:val="Heading5"/>
    <w:uiPriority w:val="9"/>
    <w:rsid w:val="009C1E28"/>
    <w:rPr>
      <w:rFonts w:ascii="Calibri" w:eastAsia="MS Mincho" w:hAnsi="Calibri" w:cs="Times New Roman"/>
      <w:b/>
      <w:i/>
      <w:sz w:val="26"/>
      <w:szCs w:val="20"/>
      <w:lang w:val="sr-Latn-CS" w:eastAsia="sr-Latn-CS" w:bidi="sr-Latn-CS"/>
    </w:rPr>
  </w:style>
  <w:style w:type="character" w:customStyle="1" w:styleId="Heading6Char">
    <w:name w:val="Heading 6 Char"/>
    <w:basedOn w:val="DefaultParagraphFont"/>
    <w:link w:val="Heading6"/>
    <w:uiPriority w:val="9"/>
    <w:rsid w:val="009C1E28"/>
    <w:rPr>
      <w:rFonts w:ascii="Calibri" w:eastAsia="MS Mincho" w:hAnsi="Calibri" w:cs="Times New Roman"/>
      <w:b/>
      <w:szCs w:val="20"/>
      <w:lang w:val="sr-Latn-CS" w:eastAsia="sr-Latn-CS" w:bidi="sr-Latn-CS"/>
    </w:rPr>
  </w:style>
  <w:style w:type="character" w:customStyle="1" w:styleId="Heading7Char">
    <w:name w:val="Heading 7 Char"/>
    <w:basedOn w:val="DefaultParagraphFont"/>
    <w:link w:val="Heading7"/>
    <w:uiPriority w:val="9"/>
    <w:rsid w:val="009C1E28"/>
    <w:rPr>
      <w:rFonts w:ascii="Calibri" w:eastAsia="MS Mincho" w:hAnsi="Calibri" w:cs="Times New Roman"/>
      <w:sz w:val="24"/>
      <w:szCs w:val="20"/>
      <w:lang w:val="sr-Latn-CS" w:eastAsia="sr-Latn-CS" w:bidi="sr-Latn-CS"/>
    </w:rPr>
  </w:style>
  <w:style w:type="character" w:customStyle="1" w:styleId="Heading8Char">
    <w:name w:val="Heading 8 Char"/>
    <w:basedOn w:val="DefaultParagraphFont"/>
    <w:link w:val="Heading8"/>
    <w:uiPriority w:val="9"/>
    <w:rsid w:val="009C1E28"/>
    <w:rPr>
      <w:rFonts w:ascii="Calibri" w:eastAsia="MS Mincho" w:hAnsi="Calibri" w:cs="Times New Roman"/>
      <w:i/>
      <w:sz w:val="24"/>
      <w:szCs w:val="20"/>
      <w:lang w:val="sr-Latn-CS" w:eastAsia="sr-Latn-CS" w:bidi="sr-Latn-CS"/>
    </w:rPr>
  </w:style>
  <w:style w:type="character" w:customStyle="1" w:styleId="Heading9Char">
    <w:name w:val="Heading 9 Char"/>
    <w:basedOn w:val="DefaultParagraphFont"/>
    <w:link w:val="Heading9"/>
    <w:uiPriority w:val="9"/>
    <w:rsid w:val="009C1E28"/>
    <w:rPr>
      <w:rFonts w:ascii="Cambria" w:eastAsia="MS Gothic" w:hAnsi="Cambria" w:cs="Times New Roman"/>
      <w:szCs w:val="20"/>
      <w:lang w:val="sr-Latn-CS" w:eastAsia="sr-Latn-CS" w:bidi="sr-Latn-CS"/>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iPriority w:val="99"/>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paragraph" w:styleId="EndnoteText">
    <w:name w:val="endnote text"/>
    <w:basedOn w:val="Normal"/>
    <w:link w:val="EndnoteTextChar"/>
    <w:rsid w:val="009C1E28"/>
    <w:pPr>
      <w:spacing w:after="0" w:line="240" w:lineRule="auto"/>
    </w:pPr>
    <w:rPr>
      <w:rFonts w:ascii="Times New Roman" w:eastAsia="Times New Roman" w:hAnsi="Times New Roman" w:cs="Times New Roman"/>
      <w:sz w:val="20"/>
      <w:szCs w:val="20"/>
      <w:lang w:val="sr-Latn-CS" w:eastAsia="sr-Latn-CS" w:bidi="sr-Latn-CS"/>
    </w:rPr>
  </w:style>
  <w:style w:type="character" w:customStyle="1" w:styleId="EndnoteTextChar">
    <w:name w:val="Endnote Text Char"/>
    <w:basedOn w:val="DefaultParagraphFont"/>
    <w:link w:val="EndnoteText"/>
    <w:rsid w:val="009C1E28"/>
    <w:rPr>
      <w:rFonts w:ascii="Times New Roman" w:eastAsia="Times New Roman" w:hAnsi="Times New Roman" w:cs="Times New Roman"/>
      <w:sz w:val="20"/>
      <w:szCs w:val="20"/>
      <w:lang w:val="sr-Latn-CS" w:eastAsia="sr-Latn-CS" w:bidi="sr-Latn-CS"/>
    </w:rPr>
  </w:style>
  <w:style w:type="paragraph" w:styleId="BodyText">
    <w:name w:val="Body Text"/>
    <w:basedOn w:val="Normal"/>
    <w:link w:val="BodyTextChar"/>
    <w:uiPriority w:val="99"/>
    <w:rsid w:val="009C1E28"/>
    <w:pPr>
      <w:spacing w:after="0" w:line="240" w:lineRule="auto"/>
      <w:jc w:val="both"/>
    </w:pPr>
    <w:rPr>
      <w:rFonts w:ascii="Times New Roman" w:eastAsia="Times New Roman" w:hAnsi="Times New Roman" w:cs="Times New Roman"/>
      <w:szCs w:val="20"/>
      <w:lang w:val="sr-Latn-CS" w:eastAsia="sr-Latn-CS" w:bidi="sr-Latn-CS"/>
    </w:rPr>
  </w:style>
  <w:style w:type="character" w:customStyle="1" w:styleId="BodyTextChar">
    <w:name w:val="Body Text Char"/>
    <w:basedOn w:val="DefaultParagraphFont"/>
    <w:link w:val="BodyText"/>
    <w:uiPriority w:val="99"/>
    <w:rsid w:val="009C1E28"/>
    <w:rPr>
      <w:rFonts w:ascii="Times New Roman" w:eastAsia="Times New Roman" w:hAnsi="Times New Roman" w:cs="Times New Roman"/>
      <w:szCs w:val="20"/>
      <w:lang w:val="sr-Latn-CS" w:eastAsia="sr-Latn-CS" w:bidi="sr-Latn-CS"/>
    </w:rPr>
  </w:style>
  <w:style w:type="paragraph" w:styleId="CommentText">
    <w:name w:val="annotation text"/>
    <w:aliases w:val="Annotationtext"/>
    <w:basedOn w:val="Normal"/>
    <w:link w:val="CommentTextChar"/>
    <w:uiPriority w:val="99"/>
    <w:rsid w:val="009C1E28"/>
    <w:pPr>
      <w:spacing w:after="0" w:line="240" w:lineRule="auto"/>
    </w:pPr>
    <w:rPr>
      <w:rFonts w:ascii="Times New Roman" w:eastAsia="Times New Roman" w:hAnsi="Times New Roman" w:cs="Times New Roman"/>
      <w:sz w:val="20"/>
      <w:szCs w:val="20"/>
      <w:lang w:val="sr-Latn-CS" w:eastAsia="sr-Latn-CS" w:bidi="sr-Latn-CS"/>
    </w:rPr>
  </w:style>
  <w:style w:type="character" w:customStyle="1" w:styleId="CommentTextChar">
    <w:name w:val="Comment Text Char"/>
    <w:aliases w:val="Annotationtext Char"/>
    <w:basedOn w:val="DefaultParagraphFont"/>
    <w:link w:val="CommentText"/>
    <w:uiPriority w:val="99"/>
    <w:rsid w:val="009C1E28"/>
    <w:rPr>
      <w:rFonts w:ascii="Times New Roman" w:eastAsia="Times New Roman" w:hAnsi="Times New Roman" w:cs="Times New Roman"/>
      <w:sz w:val="20"/>
      <w:szCs w:val="20"/>
      <w:lang w:val="sr-Latn-CS" w:eastAsia="sr-Latn-CS" w:bidi="sr-Latn-CS"/>
    </w:rPr>
  </w:style>
  <w:style w:type="character" w:styleId="Hyperlink">
    <w:name w:val="Hyperlink"/>
    <w:uiPriority w:val="99"/>
    <w:rsid w:val="009C1E28"/>
    <w:rPr>
      <w:rFonts w:cs="Times New Roman"/>
      <w:color w:val="0000FF"/>
      <w:u w:val="single"/>
    </w:rPr>
  </w:style>
  <w:style w:type="character" w:customStyle="1" w:styleId="DocumentMapChar">
    <w:name w:val="Document Map Char"/>
    <w:basedOn w:val="DefaultParagraphFont"/>
    <w:link w:val="DocumentMap"/>
    <w:uiPriority w:val="99"/>
    <w:semiHidden/>
    <w:rsid w:val="009C1E28"/>
    <w:rPr>
      <w:rFonts w:ascii="Tahoma" w:eastAsia="Times New Roman" w:hAnsi="Tahoma" w:cs="Times New Roman"/>
      <w:szCs w:val="20"/>
      <w:shd w:val="clear" w:color="auto" w:fill="000080"/>
      <w:lang w:val="sr-Latn-CS" w:eastAsia="sr-Latn-CS" w:bidi="sr-Latn-CS"/>
    </w:rPr>
  </w:style>
  <w:style w:type="paragraph" w:styleId="DocumentMap">
    <w:name w:val="Document Map"/>
    <w:basedOn w:val="Normal"/>
    <w:link w:val="DocumentMapChar"/>
    <w:uiPriority w:val="99"/>
    <w:semiHidden/>
    <w:rsid w:val="009C1E28"/>
    <w:pPr>
      <w:numPr>
        <w:numId w:val="13"/>
      </w:numPr>
      <w:shd w:val="clear" w:color="auto" w:fill="000080"/>
      <w:tabs>
        <w:tab w:val="clear" w:pos="360"/>
        <w:tab w:val="left" w:pos="567"/>
      </w:tabs>
      <w:spacing w:after="0" w:line="240" w:lineRule="auto"/>
    </w:pPr>
    <w:rPr>
      <w:rFonts w:ascii="Tahoma" w:eastAsia="Times New Roman" w:hAnsi="Tahoma" w:cs="Times New Roman"/>
      <w:szCs w:val="20"/>
      <w:lang w:val="sr-Latn-CS" w:eastAsia="sr-Latn-CS" w:bidi="sr-Latn-CS"/>
    </w:rPr>
  </w:style>
  <w:style w:type="paragraph" w:styleId="BodyText3">
    <w:name w:val="Body Text 3"/>
    <w:basedOn w:val="Normal"/>
    <w:link w:val="BodyText3Char"/>
    <w:uiPriority w:val="99"/>
    <w:rsid w:val="009C1E28"/>
    <w:pPr>
      <w:tabs>
        <w:tab w:val="left" w:pos="567"/>
      </w:tabs>
      <w:spacing w:after="0" w:line="240" w:lineRule="auto"/>
      <w:jc w:val="both"/>
    </w:pPr>
    <w:rPr>
      <w:rFonts w:ascii="Times New Roman" w:eastAsia="Times New Roman" w:hAnsi="Times New Roman" w:cs="Times New Roman"/>
      <w:sz w:val="16"/>
      <w:szCs w:val="20"/>
      <w:lang w:val="sr-Latn-CS" w:eastAsia="sr-Latn-CS" w:bidi="sr-Latn-CS"/>
    </w:rPr>
  </w:style>
  <w:style w:type="character" w:customStyle="1" w:styleId="BodyText3Char">
    <w:name w:val="Body Text 3 Char"/>
    <w:basedOn w:val="DefaultParagraphFont"/>
    <w:link w:val="BodyText3"/>
    <w:uiPriority w:val="99"/>
    <w:rsid w:val="009C1E28"/>
    <w:rPr>
      <w:rFonts w:ascii="Times New Roman" w:eastAsia="Times New Roman" w:hAnsi="Times New Roman" w:cs="Times New Roman"/>
      <w:sz w:val="16"/>
      <w:szCs w:val="20"/>
      <w:lang w:val="sr-Latn-CS" w:eastAsia="sr-Latn-CS" w:bidi="sr-Latn-CS"/>
    </w:rPr>
  </w:style>
  <w:style w:type="paragraph" w:customStyle="1" w:styleId="TOCHeadings">
    <w:name w:val="TOC Headings"/>
    <w:basedOn w:val="Normal"/>
    <w:rsid w:val="009C1E28"/>
    <w:pPr>
      <w:widowControl w:val="0"/>
      <w:tabs>
        <w:tab w:val="center" w:pos="4672"/>
        <w:tab w:val="right" w:pos="9344"/>
      </w:tabs>
      <w:spacing w:before="397" w:after="227" w:line="240" w:lineRule="auto"/>
    </w:pPr>
    <w:rPr>
      <w:rFonts w:ascii="Arial" w:eastAsia="Times New Roman" w:hAnsi="Arial" w:cs="Times New Roman"/>
      <w:b/>
      <w:szCs w:val="20"/>
      <w:lang w:val="sr-Latn-CS" w:eastAsia="sr-Latn-CS" w:bidi="sr-Latn-CS"/>
    </w:rPr>
  </w:style>
  <w:style w:type="paragraph" w:customStyle="1" w:styleId="BodyTextIndent4">
    <w:name w:val="Body Text Indent 4"/>
    <w:basedOn w:val="Normal"/>
    <w:rsid w:val="009C1E28"/>
    <w:pPr>
      <w:numPr>
        <w:numId w:val="4"/>
      </w:numPr>
      <w:tabs>
        <w:tab w:val="clear" w:pos="360"/>
        <w:tab w:val="num" w:pos="1492"/>
      </w:tabs>
      <w:spacing w:after="0" w:line="240" w:lineRule="auto"/>
      <w:ind w:left="1492"/>
    </w:pPr>
    <w:rPr>
      <w:rFonts w:ascii="Times New Roman" w:eastAsia="Times New Roman" w:hAnsi="Times New Roman" w:cs="Times New Roman"/>
      <w:szCs w:val="20"/>
      <w:lang w:val="sr-Latn-CS" w:eastAsia="sr-Latn-CS" w:bidi="sr-Latn-CS"/>
    </w:rPr>
  </w:style>
  <w:style w:type="character" w:styleId="PageNumber">
    <w:name w:val="page number"/>
    <w:uiPriority w:val="99"/>
    <w:rsid w:val="009C1E28"/>
    <w:rPr>
      <w:rFonts w:cs="Times New Roman"/>
    </w:rPr>
  </w:style>
  <w:style w:type="character" w:customStyle="1" w:styleId="BalloonTextChar">
    <w:name w:val="Balloon Text Char"/>
    <w:basedOn w:val="DefaultParagraphFont"/>
    <w:link w:val="BalloonText"/>
    <w:uiPriority w:val="99"/>
    <w:semiHidden/>
    <w:rsid w:val="009C1E28"/>
    <w:rPr>
      <w:rFonts w:ascii="Tahoma" w:eastAsia="Times New Roman" w:hAnsi="Tahoma" w:cs="Times New Roman"/>
      <w:sz w:val="16"/>
      <w:szCs w:val="20"/>
      <w:lang w:val="sr-Latn-CS" w:eastAsia="sr-Latn-CS" w:bidi="sr-Latn-CS"/>
    </w:rPr>
  </w:style>
  <w:style w:type="paragraph" w:styleId="BalloonText">
    <w:name w:val="Balloon Text"/>
    <w:basedOn w:val="Normal"/>
    <w:link w:val="BalloonTextChar"/>
    <w:uiPriority w:val="99"/>
    <w:semiHidden/>
    <w:rsid w:val="009C1E28"/>
    <w:pPr>
      <w:spacing w:after="0" w:line="240" w:lineRule="auto"/>
    </w:pPr>
    <w:rPr>
      <w:rFonts w:ascii="Tahoma" w:eastAsia="Times New Roman" w:hAnsi="Tahoma" w:cs="Times New Roman"/>
      <w:sz w:val="16"/>
      <w:szCs w:val="20"/>
      <w:lang w:val="sr-Latn-CS" w:eastAsia="sr-Latn-CS" w:bidi="sr-Latn-CS"/>
    </w:rPr>
  </w:style>
  <w:style w:type="character" w:customStyle="1" w:styleId="CommentSubjectChar">
    <w:name w:val="Comment Subject Char"/>
    <w:basedOn w:val="CommentTextChar"/>
    <w:link w:val="CommentSubject"/>
    <w:uiPriority w:val="99"/>
    <w:semiHidden/>
    <w:rsid w:val="009C1E28"/>
    <w:rPr>
      <w:rFonts w:ascii="Times New Roman" w:eastAsia="Times New Roman" w:hAnsi="Times New Roman" w:cs="Times New Roman"/>
      <w:b/>
      <w:sz w:val="20"/>
      <w:szCs w:val="20"/>
      <w:lang w:val="sr-Latn-CS" w:eastAsia="sr-Latn-CS" w:bidi="sr-Latn-CS"/>
    </w:rPr>
  </w:style>
  <w:style w:type="paragraph" w:styleId="CommentSubject">
    <w:name w:val="annotation subject"/>
    <w:basedOn w:val="CommentText"/>
    <w:next w:val="CommentText"/>
    <w:link w:val="CommentSubjectChar"/>
    <w:uiPriority w:val="99"/>
    <w:semiHidden/>
    <w:rsid w:val="009C1E28"/>
    <w:rPr>
      <w:b/>
    </w:rPr>
  </w:style>
  <w:style w:type="paragraph" w:customStyle="1" w:styleId="Bulletstext">
    <w:name w:val="Bullets text"/>
    <w:basedOn w:val="Normal"/>
    <w:rsid w:val="009C1E28"/>
    <w:pPr>
      <w:numPr>
        <w:numId w:val="16"/>
      </w:numPr>
      <w:spacing w:after="240" w:line="240" w:lineRule="auto"/>
    </w:pPr>
    <w:rPr>
      <w:rFonts w:ascii="Times New Roman" w:eastAsia="Times New Roman" w:hAnsi="Times New Roman" w:cs="Times New Roman"/>
      <w:sz w:val="24"/>
      <w:szCs w:val="20"/>
      <w:lang w:val="sr-Latn-CS" w:eastAsia="sr-Latn-CS" w:bidi="sr-Latn-CS"/>
    </w:rPr>
  </w:style>
  <w:style w:type="paragraph" w:customStyle="1" w:styleId="Text1">
    <w:name w:val="Text 1"/>
    <w:basedOn w:val="Normal"/>
    <w:link w:val="Text1Char"/>
    <w:rsid w:val="009C1E28"/>
    <w:pPr>
      <w:spacing w:after="240" w:line="240" w:lineRule="auto"/>
    </w:pPr>
    <w:rPr>
      <w:rFonts w:ascii="Times New Roman" w:eastAsia="Times New Roman" w:hAnsi="Times New Roman" w:cs="Times New Roman"/>
      <w:sz w:val="24"/>
      <w:szCs w:val="20"/>
      <w:lang w:val="sr-Latn-CS" w:eastAsia="sr-Latn-CS" w:bidi="sr-Latn-CS"/>
    </w:rPr>
  </w:style>
  <w:style w:type="character" w:customStyle="1" w:styleId="Text1Char">
    <w:name w:val="Text 1 Char"/>
    <w:link w:val="Text1"/>
    <w:locked/>
    <w:rsid w:val="009C1E28"/>
    <w:rPr>
      <w:rFonts w:ascii="Times New Roman" w:eastAsia="Times New Roman" w:hAnsi="Times New Roman" w:cs="Times New Roman"/>
      <w:sz w:val="24"/>
      <w:szCs w:val="20"/>
      <w:lang w:val="sr-Latn-CS" w:eastAsia="sr-Latn-CS" w:bidi="sr-Latn-CS"/>
    </w:rPr>
  </w:style>
  <w:style w:type="paragraph" w:customStyle="1" w:styleId="TitleA">
    <w:name w:val="Title A"/>
    <w:basedOn w:val="Normal"/>
    <w:rsid w:val="009C1E28"/>
    <w:pPr>
      <w:spacing w:after="0" w:line="240" w:lineRule="auto"/>
      <w:jc w:val="center"/>
    </w:pPr>
    <w:rPr>
      <w:rFonts w:ascii="Times New Roman" w:eastAsia="Times New Roman" w:hAnsi="Times New Roman" w:cs="Times New Roman"/>
      <w:b/>
      <w:szCs w:val="20"/>
      <w:lang w:val="sr-Latn-CS" w:eastAsia="sr-Latn-CS" w:bidi="sr-Latn-CS"/>
    </w:rPr>
  </w:style>
  <w:style w:type="paragraph" w:customStyle="1" w:styleId="TitleB">
    <w:name w:val="Title B"/>
    <w:basedOn w:val="Normal"/>
    <w:rsid w:val="009C1E28"/>
    <w:pPr>
      <w:spacing w:after="0" w:line="240" w:lineRule="auto"/>
      <w:ind w:left="567" w:hanging="567"/>
    </w:pPr>
    <w:rPr>
      <w:rFonts w:ascii="Times New Roman" w:eastAsia="Times New Roman" w:hAnsi="Times New Roman" w:cs="Times New Roman"/>
      <w:b/>
      <w:szCs w:val="20"/>
      <w:lang w:val="sr-Latn-CS" w:eastAsia="sr-Latn-CS" w:bidi="sr-Latn-CS"/>
    </w:rPr>
  </w:style>
  <w:style w:type="table" w:styleId="TableGrid">
    <w:name w:val="Table Grid"/>
    <w:basedOn w:val="TableNormal"/>
    <w:uiPriority w:val="59"/>
    <w:rsid w:val="009C1E28"/>
    <w:pPr>
      <w:tabs>
        <w:tab w:val="left" w:pos="567"/>
      </w:tabs>
      <w:spacing w:after="0" w:line="260" w:lineRule="exact"/>
    </w:pPr>
    <w:rPr>
      <w:rFonts w:ascii="Times New Roman" w:eastAsia="SimSun" w:hAnsi="Times New Roman" w:cs="Times New Roman"/>
      <w:sz w:val="20"/>
      <w:szCs w:val="20"/>
      <w:lang w:val="sr-Latn-CS" w:eastAsia="sr-Latn-CS" w:bidi="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9C1E28"/>
    <w:rPr>
      <w:rFonts w:cs="Times New Roman"/>
      <w:b/>
    </w:rPr>
  </w:style>
  <w:style w:type="character" w:styleId="FollowedHyperlink">
    <w:name w:val="FollowedHyperlink"/>
    <w:uiPriority w:val="99"/>
    <w:rsid w:val="009C1E28"/>
    <w:rPr>
      <w:rFonts w:cs="Times New Roman"/>
      <w:color w:val="606420"/>
      <w:u w:val="single"/>
    </w:rPr>
  </w:style>
  <w:style w:type="paragraph" w:customStyle="1" w:styleId="TableCenter">
    <w:name w:val="Table Center"/>
    <w:autoRedefine/>
    <w:rsid w:val="009C1E28"/>
    <w:pPr>
      <w:spacing w:after="60" w:line="240" w:lineRule="auto"/>
      <w:jc w:val="center"/>
    </w:pPr>
    <w:rPr>
      <w:rFonts w:ascii="Times New Roman" w:eastAsia="Arial Unicode MS" w:hAnsi="Times New Roman" w:cs="Times New Roman"/>
      <w:sz w:val="20"/>
      <w:szCs w:val="24"/>
      <w:lang w:val="sr-Latn-CS" w:eastAsia="sr-Latn-CS" w:bidi="sr-Latn-CS"/>
    </w:rPr>
  </w:style>
  <w:style w:type="paragraph" w:customStyle="1" w:styleId="TableLeft">
    <w:name w:val="Table Left"/>
    <w:basedOn w:val="Normal"/>
    <w:autoRedefine/>
    <w:rsid w:val="009C1E28"/>
    <w:pPr>
      <w:tabs>
        <w:tab w:val="left" w:pos="567"/>
      </w:tabs>
      <w:spacing w:after="0" w:line="240" w:lineRule="auto"/>
    </w:pPr>
    <w:rPr>
      <w:rFonts w:ascii="Times New Roman" w:eastAsia="Arial Unicode MS" w:hAnsi="Times New Roman" w:cs="Times New Roman"/>
      <w:sz w:val="20"/>
      <w:szCs w:val="24"/>
      <w:lang w:val="sr-Latn-CS" w:eastAsia="sr-Latn-CS" w:bidi="sr-Latn-CS"/>
    </w:rPr>
  </w:style>
  <w:style w:type="paragraph" w:customStyle="1" w:styleId="TableFixedWidth">
    <w:name w:val="Table Fixed Width"/>
    <w:rsid w:val="009C1E28"/>
    <w:pPr>
      <w:spacing w:after="0" w:line="240" w:lineRule="auto"/>
    </w:pPr>
    <w:rPr>
      <w:rFonts w:ascii="Courier New" w:eastAsia="Times New Roman" w:hAnsi="Courier New" w:cs="Times New Roman"/>
      <w:sz w:val="20"/>
      <w:szCs w:val="20"/>
      <w:lang w:val="sr-Latn-CS" w:eastAsia="sr-Latn-CS" w:bidi="sr-Latn-CS"/>
    </w:rPr>
  </w:style>
  <w:style w:type="paragraph" w:customStyle="1" w:styleId="TableFootnoteSymbol">
    <w:name w:val="Table Footnote Symbol"/>
    <w:basedOn w:val="Normal"/>
    <w:rsid w:val="009C1E28"/>
    <w:pPr>
      <w:tabs>
        <w:tab w:val="left" w:pos="360"/>
      </w:tabs>
      <w:spacing w:after="60" w:line="240" w:lineRule="auto"/>
      <w:ind w:left="360" w:hanging="360"/>
    </w:pPr>
    <w:rPr>
      <w:rFonts w:ascii="Times New Roman" w:eastAsia="Arial Unicode MS" w:hAnsi="Times New Roman" w:cs="Times New Roman"/>
      <w:sz w:val="18"/>
      <w:szCs w:val="24"/>
      <w:lang w:val="sr-Latn-CS" w:eastAsia="sr-Latn-CS" w:bidi="sr-Latn-CS"/>
    </w:rPr>
  </w:style>
  <w:style w:type="paragraph" w:customStyle="1" w:styleId="TableFootnoteLetter">
    <w:name w:val="Table Footnote Letter"/>
    <w:basedOn w:val="Normal"/>
    <w:rsid w:val="009C1E28"/>
    <w:pPr>
      <w:numPr>
        <w:numId w:val="17"/>
      </w:numPr>
      <w:spacing w:after="60" w:line="240" w:lineRule="auto"/>
    </w:pPr>
    <w:rPr>
      <w:rFonts w:ascii="Times New Roman" w:eastAsia="Arial Unicode MS" w:hAnsi="Times New Roman" w:cs="Times New Roman"/>
      <w:sz w:val="18"/>
      <w:szCs w:val="24"/>
      <w:lang w:val="sr-Latn-CS" w:eastAsia="sr-Latn-CS" w:bidi="sr-Latn-CS"/>
    </w:rPr>
  </w:style>
  <w:style w:type="paragraph" w:customStyle="1" w:styleId="TableEndofTextTitle">
    <w:name w:val="Table End of Text Title"/>
    <w:next w:val="Normal"/>
    <w:rsid w:val="009C1E28"/>
    <w:pPr>
      <w:spacing w:after="0" w:line="240" w:lineRule="auto"/>
    </w:pPr>
    <w:rPr>
      <w:rFonts w:ascii="Times New Roman" w:eastAsia="Times New Roman" w:hAnsi="Times New Roman" w:cs="Times New Roman"/>
      <w:b/>
      <w:sz w:val="24"/>
      <w:szCs w:val="24"/>
      <w:lang w:val="sr-Latn-CS" w:eastAsia="sr-Latn-CS" w:bidi="sr-Latn-CS"/>
    </w:rPr>
  </w:style>
  <w:style w:type="paragraph" w:customStyle="1" w:styleId="TableTitleContinued">
    <w:name w:val="Table Title Continued"/>
    <w:basedOn w:val="Normal"/>
    <w:rsid w:val="009C1E28"/>
    <w:pPr>
      <w:keepNext/>
      <w:keepLines/>
      <w:spacing w:after="120" w:line="240" w:lineRule="auto"/>
    </w:pPr>
    <w:rPr>
      <w:rFonts w:ascii="Times New Roman" w:eastAsia="Arial Unicode MS" w:hAnsi="Times New Roman" w:cs="Times New Roman"/>
      <w:b/>
      <w:sz w:val="20"/>
      <w:szCs w:val="24"/>
      <w:lang w:val="sr-Latn-CS" w:eastAsia="sr-Latn-CS" w:bidi="sr-Latn-CS"/>
    </w:rPr>
  </w:style>
  <w:style w:type="paragraph" w:customStyle="1" w:styleId="FigureEndofTextTitle">
    <w:name w:val="Figure End of Text Title"/>
    <w:basedOn w:val="Normal"/>
    <w:next w:val="Normal"/>
    <w:rsid w:val="009C1E28"/>
    <w:pPr>
      <w:keepNext/>
      <w:keepLines/>
      <w:spacing w:after="240" w:line="240" w:lineRule="auto"/>
    </w:pPr>
    <w:rPr>
      <w:rFonts w:ascii="Times New Roman" w:eastAsia="Times New Roman" w:hAnsi="Times New Roman" w:cs="Times New Roman"/>
      <w:b/>
      <w:sz w:val="24"/>
      <w:szCs w:val="24"/>
      <w:lang w:val="sr-Latn-CS" w:eastAsia="sr-Latn-CS" w:bidi="sr-Latn-CS"/>
    </w:rPr>
  </w:style>
  <w:style w:type="paragraph" w:styleId="ListNumber2">
    <w:name w:val="List Number 2"/>
    <w:basedOn w:val="ListNumber"/>
    <w:uiPriority w:val="99"/>
    <w:rsid w:val="009C1E28"/>
    <w:pPr>
      <w:numPr>
        <w:numId w:val="2"/>
      </w:numPr>
      <w:tabs>
        <w:tab w:val="clear" w:pos="360"/>
        <w:tab w:val="num" w:pos="720"/>
      </w:tabs>
      <w:ind w:left="720"/>
    </w:pPr>
    <w:rPr>
      <w:rFonts w:eastAsia="Arial Unicode MS"/>
      <w:sz w:val="24"/>
      <w:szCs w:val="24"/>
    </w:rPr>
  </w:style>
  <w:style w:type="paragraph" w:styleId="ListNumber">
    <w:name w:val="List Number"/>
    <w:basedOn w:val="Normal"/>
    <w:uiPriority w:val="99"/>
    <w:rsid w:val="009C1E28"/>
    <w:pPr>
      <w:numPr>
        <w:numId w:val="3"/>
      </w:numPr>
      <w:tabs>
        <w:tab w:val="num" w:pos="1209"/>
      </w:tabs>
      <w:spacing w:after="0" w:line="240" w:lineRule="auto"/>
      <w:ind w:left="360"/>
    </w:pPr>
    <w:rPr>
      <w:rFonts w:ascii="Times New Roman" w:eastAsia="Times New Roman" w:hAnsi="Times New Roman" w:cs="Times New Roman"/>
      <w:szCs w:val="20"/>
      <w:lang w:val="sr-Latn-CS" w:eastAsia="sr-Latn-CS" w:bidi="sr-Latn-CS"/>
    </w:rPr>
  </w:style>
  <w:style w:type="paragraph" w:styleId="ListNumber3">
    <w:name w:val="List Number 3"/>
    <w:basedOn w:val="Normal"/>
    <w:uiPriority w:val="99"/>
    <w:rsid w:val="009C1E28"/>
    <w:pPr>
      <w:numPr>
        <w:numId w:val="18"/>
      </w:numPr>
      <w:spacing w:after="0" w:line="240" w:lineRule="auto"/>
    </w:pPr>
    <w:rPr>
      <w:rFonts w:ascii="Times New Roman" w:eastAsia="Times New Roman" w:hAnsi="Times New Roman" w:cs="Times New Roman"/>
      <w:szCs w:val="20"/>
      <w:lang w:val="sr-Latn-CS" w:eastAsia="sr-Latn-CS" w:bidi="sr-Latn-CS"/>
    </w:rPr>
  </w:style>
  <w:style w:type="paragraph" w:customStyle="1" w:styleId="ListLetter2">
    <w:name w:val="List Letter 2"/>
    <w:basedOn w:val="Normal"/>
    <w:rsid w:val="009C1E28"/>
    <w:pPr>
      <w:numPr>
        <w:numId w:val="19"/>
      </w:numPr>
      <w:spacing w:after="0" w:line="240" w:lineRule="auto"/>
    </w:pPr>
    <w:rPr>
      <w:rFonts w:ascii="Times New Roman" w:eastAsia="Arial Unicode MS" w:hAnsi="Times New Roman" w:cs="Times New Roman"/>
      <w:sz w:val="24"/>
      <w:szCs w:val="24"/>
      <w:lang w:val="sr-Latn-CS" w:eastAsia="sr-Latn-CS" w:bidi="sr-Latn-CS"/>
    </w:rPr>
  </w:style>
  <w:style w:type="paragraph" w:customStyle="1" w:styleId="ListLetter3">
    <w:name w:val="List Letter 3"/>
    <w:basedOn w:val="Normal"/>
    <w:rsid w:val="009C1E28"/>
    <w:pPr>
      <w:numPr>
        <w:numId w:val="20"/>
      </w:numPr>
      <w:spacing w:after="0" w:line="240" w:lineRule="auto"/>
    </w:pPr>
    <w:rPr>
      <w:rFonts w:ascii="Times New Roman" w:eastAsia="Arial Unicode MS" w:hAnsi="Times New Roman" w:cs="Times New Roman"/>
      <w:sz w:val="24"/>
      <w:szCs w:val="24"/>
      <w:lang w:val="sr-Latn-CS" w:eastAsia="sr-Latn-CS" w:bidi="sr-Latn-CS"/>
    </w:rPr>
  </w:style>
  <w:style w:type="paragraph" w:customStyle="1" w:styleId="EMEAstyle1">
    <w:name w:val="EMEA style 1"/>
    <w:basedOn w:val="Normal"/>
    <w:rsid w:val="009C1E28"/>
    <w:pPr>
      <w:spacing w:after="0" w:line="240" w:lineRule="auto"/>
      <w:jc w:val="center"/>
      <w:outlineLvl w:val="0"/>
    </w:pPr>
    <w:rPr>
      <w:rFonts w:ascii="Times New Roman" w:eastAsia="Times New Roman" w:hAnsi="Times New Roman" w:cs="Times New Roman"/>
      <w:b/>
      <w:szCs w:val="20"/>
      <w:lang w:val="sr-Latn-CS" w:eastAsia="sr-Latn-CS" w:bidi="sr-Latn-CS"/>
    </w:rPr>
  </w:style>
  <w:style w:type="paragraph" w:customStyle="1" w:styleId="EMEAstyle2">
    <w:name w:val="EMEA style 2"/>
    <w:basedOn w:val="Normal"/>
    <w:rsid w:val="009C1E28"/>
    <w:pPr>
      <w:numPr>
        <w:numId w:val="1"/>
      </w:numPr>
      <w:spacing w:after="0" w:line="240" w:lineRule="auto"/>
      <w:ind w:left="1701" w:right="1416" w:hanging="567"/>
    </w:pPr>
    <w:rPr>
      <w:rFonts w:ascii="Times New Roman" w:eastAsia="Times New Roman" w:hAnsi="Times New Roman" w:cs="Times New Roman"/>
      <w:b/>
      <w:szCs w:val="20"/>
      <w:lang w:val="sr-Latn-CS" w:eastAsia="sr-Latn-CS" w:bidi="sr-Latn-CS"/>
    </w:rPr>
  </w:style>
  <w:style w:type="paragraph" w:customStyle="1" w:styleId="EMEAStyle20">
    <w:name w:val="EMEA Style 2"/>
    <w:basedOn w:val="Normal"/>
    <w:rsid w:val="009C1E28"/>
    <w:pPr>
      <w:numPr>
        <w:numId w:val="11"/>
      </w:numPr>
      <w:spacing w:after="0" w:line="240" w:lineRule="auto"/>
      <w:ind w:left="1701" w:right="1416" w:hanging="567"/>
    </w:pPr>
    <w:rPr>
      <w:rFonts w:ascii="Times New Roman" w:eastAsia="Times New Roman" w:hAnsi="Times New Roman" w:cs="Times New Roman"/>
      <w:b/>
      <w:szCs w:val="20"/>
      <w:lang w:val="sr-Latn-CS" w:eastAsia="sr-Latn-CS" w:bidi="sr-Latn-CS"/>
    </w:rPr>
  </w:style>
  <w:style w:type="paragraph" w:styleId="BlockText">
    <w:name w:val="Block Text"/>
    <w:basedOn w:val="Normal"/>
    <w:uiPriority w:val="99"/>
    <w:rsid w:val="009C1E28"/>
    <w:pPr>
      <w:spacing w:after="120" w:line="240" w:lineRule="auto"/>
      <w:ind w:left="1440" w:right="1440"/>
    </w:pPr>
    <w:rPr>
      <w:rFonts w:ascii="Times New Roman" w:eastAsia="Times New Roman" w:hAnsi="Times New Roman" w:cs="Times New Roman"/>
      <w:szCs w:val="20"/>
      <w:lang w:val="sr-Latn-CS" w:eastAsia="sr-Latn-CS" w:bidi="sr-Latn-CS"/>
    </w:rPr>
  </w:style>
  <w:style w:type="paragraph" w:styleId="BodyText2">
    <w:name w:val="Body Text 2"/>
    <w:basedOn w:val="Normal"/>
    <w:link w:val="BodyText2Char"/>
    <w:uiPriority w:val="99"/>
    <w:rsid w:val="009C1E28"/>
    <w:pPr>
      <w:spacing w:after="120" w:line="480" w:lineRule="auto"/>
    </w:pPr>
    <w:rPr>
      <w:rFonts w:ascii="Times New Roman" w:eastAsia="Times New Roman" w:hAnsi="Times New Roman" w:cs="Times New Roman"/>
      <w:b/>
      <w:szCs w:val="20"/>
      <w:lang w:val="sr-Latn-CS" w:eastAsia="sr-Latn-CS" w:bidi="sr-Latn-CS"/>
    </w:rPr>
  </w:style>
  <w:style w:type="character" w:customStyle="1" w:styleId="BodyText2Char">
    <w:name w:val="Body Text 2 Char"/>
    <w:basedOn w:val="DefaultParagraphFont"/>
    <w:link w:val="BodyText2"/>
    <w:uiPriority w:val="99"/>
    <w:rsid w:val="009C1E28"/>
    <w:rPr>
      <w:rFonts w:ascii="Times New Roman" w:eastAsia="Times New Roman" w:hAnsi="Times New Roman" w:cs="Times New Roman"/>
      <w:b/>
      <w:szCs w:val="20"/>
      <w:lang w:val="sr-Latn-CS" w:eastAsia="sr-Latn-CS" w:bidi="sr-Latn-CS"/>
    </w:rPr>
  </w:style>
  <w:style w:type="paragraph" w:styleId="BodyTextFirstIndent">
    <w:name w:val="Body Text First Indent"/>
    <w:basedOn w:val="BodyText"/>
    <w:link w:val="BodyTextFirstIndentChar"/>
    <w:uiPriority w:val="99"/>
    <w:rsid w:val="009C1E28"/>
    <w:pPr>
      <w:spacing w:after="120"/>
      <w:ind w:firstLine="210"/>
      <w:jc w:val="left"/>
    </w:pPr>
    <w:rPr>
      <w:b/>
    </w:rPr>
  </w:style>
  <w:style w:type="character" w:customStyle="1" w:styleId="BodyTextFirstIndentChar">
    <w:name w:val="Body Text First Indent Char"/>
    <w:basedOn w:val="BodyTextChar"/>
    <w:link w:val="BodyTextFirstIndent"/>
    <w:uiPriority w:val="99"/>
    <w:rsid w:val="009C1E28"/>
    <w:rPr>
      <w:rFonts w:ascii="Times New Roman" w:eastAsia="Times New Roman" w:hAnsi="Times New Roman" w:cs="Times New Roman"/>
      <w:b/>
      <w:szCs w:val="20"/>
      <w:lang w:val="sr-Latn-CS" w:eastAsia="sr-Latn-CS" w:bidi="sr-Latn-CS"/>
    </w:rPr>
  </w:style>
  <w:style w:type="paragraph" w:styleId="BodyTextIndent">
    <w:name w:val="Body Text Indent"/>
    <w:basedOn w:val="Normal"/>
    <w:link w:val="BodyTextIndentChar"/>
    <w:uiPriority w:val="99"/>
    <w:rsid w:val="009C1E28"/>
    <w:pPr>
      <w:spacing w:after="120" w:line="240" w:lineRule="auto"/>
      <w:ind w:left="283"/>
    </w:pPr>
    <w:rPr>
      <w:rFonts w:ascii="Times New Roman" w:eastAsia="Times New Roman" w:hAnsi="Times New Roman" w:cs="Times New Roman"/>
      <w:b/>
      <w:szCs w:val="20"/>
      <w:lang w:val="sr-Latn-CS" w:eastAsia="sr-Latn-CS" w:bidi="sr-Latn-CS"/>
    </w:rPr>
  </w:style>
  <w:style w:type="character" w:customStyle="1" w:styleId="BodyTextIndentChar">
    <w:name w:val="Body Text Indent Char"/>
    <w:basedOn w:val="DefaultParagraphFont"/>
    <w:link w:val="BodyTextIndent"/>
    <w:uiPriority w:val="99"/>
    <w:rsid w:val="009C1E28"/>
    <w:rPr>
      <w:rFonts w:ascii="Times New Roman" w:eastAsia="Times New Roman" w:hAnsi="Times New Roman" w:cs="Times New Roman"/>
      <w:b/>
      <w:szCs w:val="20"/>
      <w:lang w:val="sr-Latn-CS" w:eastAsia="sr-Latn-CS" w:bidi="sr-Latn-CS"/>
    </w:rPr>
  </w:style>
  <w:style w:type="paragraph" w:styleId="BodyTextFirstIndent2">
    <w:name w:val="Body Text First Indent 2"/>
    <w:basedOn w:val="BodyTextIndent"/>
    <w:link w:val="BodyTextFirstIndent2Char"/>
    <w:uiPriority w:val="99"/>
    <w:rsid w:val="009C1E28"/>
    <w:pPr>
      <w:ind w:firstLine="210"/>
    </w:pPr>
    <w:rPr>
      <w:b w:val="0"/>
    </w:rPr>
  </w:style>
  <w:style w:type="character" w:customStyle="1" w:styleId="BodyTextFirstIndent2Char">
    <w:name w:val="Body Text First Indent 2 Char"/>
    <w:basedOn w:val="BodyTextIndentChar"/>
    <w:link w:val="BodyTextFirstIndent2"/>
    <w:uiPriority w:val="99"/>
    <w:rsid w:val="009C1E28"/>
    <w:rPr>
      <w:rFonts w:ascii="Times New Roman" w:eastAsia="Times New Roman" w:hAnsi="Times New Roman" w:cs="Times New Roman"/>
      <w:b w:val="0"/>
      <w:szCs w:val="20"/>
      <w:lang w:val="sr-Latn-CS" w:eastAsia="sr-Latn-CS" w:bidi="sr-Latn-CS"/>
    </w:rPr>
  </w:style>
  <w:style w:type="paragraph" w:styleId="BodyTextIndent2">
    <w:name w:val="Body Text Indent 2"/>
    <w:basedOn w:val="Normal"/>
    <w:link w:val="BodyTextIndent2Char"/>
    <w:uiPriority w:val="99"/>
    <w:rsid w:val="009C1E28"/>
    <w:pPr>
      <w:spacing w:after="120" w:line="480" w:lineRule="auto"/>
      <w:ind w:left="283"/>
    </w:pPr>
    <w:rPr>
      <w:rFonts w:ascii="Times New Roman" w:eastAsia="Times New Roman" w:hAnsi="Times New Roman" w:cs="Times New Roman"/>
      <w:b/>
      <w:szCs w:val="20"/>
      <w:lang w:val="sr-Latn-CS" w:eastAsia="sr-Latn-CS" w:bidi="sr-Latn-CS"/>
    </w:rPr>
  </w:style>
  <w:style w:type="character" w:customStyle="1" w:styleId="BodyTextIndent2Char">
    <w:name w:val="Body Text Indent 2 Char"/>
    <w:basedOn w:val="DefaultParagraphFont"/>
    <w:link w:val="BodyTextIndent2"/>
    <w:uiPriority w:val="99"/>
    <w:rsid w:val="009C1E28"/>
    <w:rPr>
      <w:rFonts w:ascii="Times New Roman" w:eastAsia="Times New Roman" w:hAnsi="Times New Roman" w:cs="Times New Roman"/>
      <w:b/>
      <w:szCs w:val="20"/>
      <w:lang w:val="sr-Latn-CS" w:eastAsia="sr-Latn-CS" w:bidi="sr-Latn-CS"/>
    </w:rPr>
  </w:style>
  <w:style w:type="paragraph" w:styleId="BodyTextIndent3">
    <w:name w:val="Body Text Indent 3"/>
    <w:basedOn w:val="Normal"/>
    <w:link w:val="BodyTextIndent3Char"/>
    <w:uiPriority w:val="99"/>
    <w:rsid w:val="009C1E28"/>
    <w:pPr>
      <w:spacing w:after="120" w:line="240" w:lineRule="auto"/>
      <w:ind w:left="283"/>
    </w:pPr>
    <w:rPr>
      <w:rFonts w:ascii="Times New Roman" w:eastAsia="Times New Roman" w:hAnsi="Times New Roman" w:cs="Times New Roman"/>
      <w:b/>
      <w:sz w:val="16"/>
      <w:szCs w:val="20"/>
      <w:lang w:val="sr-Latn-CS" w:eastAsia="sr-Latn-CS" w:bidi="sr-Latn-CS"/>
    </w:rPr>
  </w:style>
  <w:style w:type="character" w:customStyle="1" w:styleId="BodyTextIndent3Char">
    <w:name w:val="Body Text Indent 3 Char"/>
    <w:basedOn w:val="DefaultParagraphFont"/>
    <w:link w:val="BodyTextIndent3"/>
    <w:uiPriority w:val="99"/>
    <w:rsid w:val="009C1E28"/>
    <w:rPr>
      <w:rFonts w:ascii="Times New Roman" w:eastAsia="Times New Roman" w:hAnsi="Times New Roman" w:cs="Times New Roman"/>
      <w:b/>
      <w:sz w:val="16"/>
      <w:szCs w:val="20"/>
      <w:lang w:val="sr-Latn-CS" w:eastAsia="sr-Latn-CS" w:bidi="sr-Latn-CS"/>
    </w:rPr>
  </w:style>
  <w:style w:type="paragraph" w:styleId="Caption">
    <w:name w:val="caption"/>
    <w:basedOn w:val="Normal"/>
    <w:next w:val="Normal"/>
    <w:link w:val="CaptionChar"/>
    <w:qFormat/>
    <w:rsid w:val="009C1E28"/>
    <w:pPr>
      <w:keepNext/>
      <w:spacing w:after="0" w:line="240" w:lineRule="auto"/>
    </w:pPr>
    <w:rPr>
      <w:rFonts w:ascii="Times New Roman" w:eastAsia="Times New Roman" w:hAnsi="Times New Roman" w:cs="Times New Roman"/>
      <w:b/>
      <w:sz w:val="20"/>
      <w:szCs w:val="20"/>
      <w:lang w:val="sr-Latn-CS" w:eastAsia="sr-Latn-CS" w:bidi="sr-Latn-CS"/>
    </w:rPr>
  </w:style>
  <w:style w:type="character" w:customStyle="1" w:styleId="CaptionChar">
    <w:name w:val="Caption Char"/>
    <w:link w:val="Caption"/>
    <w:locked/>
    <w:rsid w:val="009C1E28"/>
    <w:rPr>
      <w:rFonts w:ascii="Times New Roman" w:eastAsia="Times New Roman" w:hAnsi="Times New Roman" w:cs="Times New Roman"/>
      <w:b/>
      <w:sz w:val="20"/>
      <w:szCs w:val="20"/>
      <w:lang w:val="sr-Latn-CS" w:eastAsia="sr-Latn-CS" w:bidi="sr-Latn-CS"/>
    </w:rPr>
  </w:style>
  <w:style w:type="paragraph" w:styleId="Closing">
    <w:name w:val="Closing"/>
    <w:basedOn w:val="Normal"/>
    <w:link w:val="ClosingChar"/>
    <w:uiPriority w:val="99"/>
    <w:rsid w:val="009C1E28"/>
    <w:pPr>
      <w:spacing w:after="0" w:line="240" w:lineRule="auto"/>
      <w:ind w:left="4252"/>
    </w:pPr>
    <w:rPr>
      <w:rFonts w:ascii="Times New Roman" w:eastAsia="Times New Roman" w:hAnsi="Times New Roman" w:cs="Times New Roman"/>
      <w:b/>
      <w:szCs w:val="20"/>
      <w:lang w:val="sr-Latn-CS" w:eastAsia="sr-Latn-CS" w:bidi="sr-Latn-CS"/>
    </w:rPr>
  </w:style>
  <w:style w:type="character" w:customStyle="1" w:styleId="ClosingChar">
    <w:name w:val="Closing Char"/>
    <w:basedOn w:val="DefaultParagraphFont"/>
    <w:link w:val="Closing"/>
    <w:uiPriority w:val="99"/>
    <w:rsid w:val="009C1E28"/>
    <w:rPr>
      <w:rFonts w:ascii="Times New Roman" w:eastAsia="Times New Roman" w:hAnsi="Times New Roman" w:cs="Times New Roman"/>
      <w:b/>
      <w:szCs w:val="20"/>
      <w:lang w:val="sr-Latn-CS" w:eastAsia="sr-Latn-CS" w:bidi="sr-Latn-CS"/>
    </w:rPr>
  </w:style>
  <w:style w:type="paragraph" w:styleId="Date">
    <w:name w:val="Date"/>
    <w:basedOn w:val="Normal"/>
    <w:next w:val="Normal"/>
    <w:link w:val="DateChar"/>
    <w:uiPriority w:val="99"/>
    <w:rsid w:val="009C1E28"/>
    <w:pPr>
      <w:spacing w:after="0" w:line="240" w:lineRule="auto"/>
    </w:pPr>
    <w:rPr>
      <w:rFonts w:ascii="Times New Roman" w:eastAsia="Times New Roman" w:hAnsi="Times New Roman" w:cs="Times New Roman"/>
      <w:b/>
      <w:szCs w:val="20"/>
      <w:lang w:val="sr-Latn-CS" w:eastAsia="sr-Latn-CS" w:bidi="sr-Latn-CS"/>
    </w:rPr>
  </w:style>
  <w:style w:type="character" w:customStyle="1" w:styleId="DateChar">
    <w:name w:val="Date Char"/>
    <w:basedOn w:val="DefaultParagraphFont"/>
    <w:link w:val="Date"/>
    <w:uiPriority w:val="99"/>
    <w:rsid w:val="009C1E28"/>
    <w:rPr>
      <w:rFonts w:ascii="Times New Roman" w:eastAsia="Times New Roman" w:hAnsi="Times New Roman" w:cs="Times New Roman"/>
      <w:b/>
      <w:szCs w:val="20"/>
      <w:lang w:val="sr-Latn-CS" w:eastAsia="sr-Latn-CS" w:bidi="sr-Latn-CS"/>
    </w:rPr>
  </w:style>
  <w:style w:type="paragraph" w:styleId="E-mailSignature">
    <w:name w:val="E-mail Signature"/>
    <w:basedOn w:val="Normal"/>
    <w:link w:val="E-mailSignatureChar"/>
    <w:uiPriority w:val="99"/>
    <w:rsid w:val="009C1E28"/>
    <w:pPr>
      <w:spacing w:after="0" w:line="240" w:lineRule="auto"/>
    </w:pPr>
    <w:rPr>
      <w:rFonts w:ascii="Times New Roman" w:eastAsia="Times New Roman" w:hAnsi="Times New Roman" w:cs="Times New Roman"/>
      <w:b/>
      <w:szCs w:val="20"/>
      <w:lang w:val="sr-Latn-CS" w:eastAsia="sr-Latn-CS" w:bidi="sr-Latn-CS"/>
    </w:rPr>
  </w:style>
  <w:style w:type="character" w:customStyle="1" w:styleId="E-mailSignatureChar">
    <w:name w:val="E-mail Signature Char"/>
    <w:basedOn w:val="DefaultParagraphFont"/>
    <w:link w:val="E-mailSignature"/>
    <w:uiPriority w:val="99"/>
    <w:rsid w:val="009C1E28"/>
    <w:rPr>
      <w:rFonts w:ascii="Times New Roman" w:eastAsia="Times New Roman" w:hAnsi="Times New Roman" w:cs="Times New Roman"/>
      <w:b/>
      <w:szCs w:val="20"/>
      <w:lang w:val="sr-Latn-CS" w:eastAsia="sr-Latn-CS" w:bidi="sr-Latn-CS"/>
    </w:rPr>
  </w:style>
  <w:style w:type="paragraph" w:styleId="EnvelopeAddress">
    <w:name w:val="envelope address"/>
    <w:basedOn w:val="Normal"/>
    <w:uiPriority w:val="99"/>
    <w:rsid w:val="009C1E28"/>
    <w:pPr>
      <w:framePr w:w="7920" w:h="1980" w:hRule="exact" w:hSpace="180" w:wrap="auto" w:hAnchor="page" w:xAlign="center" w:yAlign="bottom"/>
      <w:spacing w:after="0" w:line="240" w:lineRule="auto"/>
      <w:ind w:left="2880"/>
    </w:pPr>
    <w:rPr>
      <w:rFonts w:ascii="Arial" w:eastAsia="Times New Roman" w:hAnsi="Arial" w:cs="Arial"/>
      <w:sz w:val="24"/>
      <w:szCs w:val="24"/>
      <w:lang w:val="sr-Latn-CS" w:eastAsia="sr-Latn-CS" w:bidi="sr-Latn-CS"/>
    </w:rPr>
  </w:style>
  <w:style w:type="paragraph" w:styleId="EnvelopeReturn">
    <w:name w:val="envelope return"/>
    <w:basedOn w:val="Normal"/>
    <w:uiPriority w:val="99"/>
    <w:rsid w:val="009C1E28"/>
    <w:pPr>
      <w:spacing w:after="0" w:line="240" w:lineRule="auto"/>
    </w:pPr>
    <w:rPr>
      <w:rFonts w:ascii="Arial" w:eastAsia="Times New Roman" w:hAnsi="Arial" w:cs="Arial"/>
      <w:sz w:val="20"/>
      <w:szCs w:val="20"/>
      <w:lang w:val="sr-Latn-CS" w:eastAsia="sr-Latn-CS" w:bidi="sr-Latn-CS"/>
    </w:rPr>
  </w:style>
  <w:style w:type="character" w:customStyle="1" w:styleId="FootnoteTextChar">
    <w:name w:val="Footnote Text Char"/>
    <w:basedOn w:val="DefaultParagraphFont"/>
    <w:link w:val="FootnoteText"/>
    <w:uiPriority w:val="99"/>
    <w:semiHidden/>
    <w:rsid w:val="009C1E28"/>
    <w:rPr>
      <w:rFonts w:ascii="Times New Roman" w:eastAsia="Times New Roman" w:hAnsi="Times New Roman" w:cs="Times New Roman"/>
      <w:b/>
      <w:sz w:val="20"/>
      <w:szCs w:val="20"/>
      <w:lang w:val="sr-Latn-CS" w:eastAsia="sr-Latn-CS" w:bidi="sr-Latn-CS"/>
    </w:rPr>
  </w:style>
  <w:style w:type="paragraph" w:styleId="FootnoteText">
    <w:name w:val="footnote text"/>
    <w:basedOn w:val="Normal"/>
    <w:link w:val="FootnoteTextChar"/>
    <w:uiPriority w:val="99"/>
    <w:semiHidden/>
    <w:rsid w:val="009C1E28"/>
    <w:pPr>
      <w:spacing w:after="0" w:line="240" w:lineRule="auto"/>
    </w:pPr>
    <w:rPr>
      <w:rFonts w:ascii="Times New Roman" w:eastAsia="Times New Roman" w:hAnsi="Times New Roman" w:cs="Times New Roman"/>
      <w:b/>
      <w:sz w:val="20"/>
      <w:szCs w:val="20"/>
      <w:lang w:val="sr-Latn-CS" w:eastAsia="sr-Latn-CS" w:bidi="sr-Latn-CS"/>
    </w:rPr>
  </w:style>
  <w:style w:type="paragraph" w:styleId="HTMLAddress">
    <w:name w:val="HTML Address"/>
    <w:basedOn w:val="Normal"/>
    <w:link w:val="HTMLAddressChar"/>
    <w:uiPriority w:val="99"/>
    <w:rsid w:val="009C1E28"/>
    <w:pPr>
      <w:spacing w:after="0" w:line="240" w:lineRule="auto"/>
    </w:pPr>
    <w:rPr>
      <w:rFonts w:ascii="Times New Roman" w:eastAsia="Times New Roman" w:hAnsi="Times New Roman" w:cs="Times New Roman"/>
      <w:b/>
      <w:i/>
      <w:szCs w:val="20"/>
      <w:lang w:val="sr-Latn-CS" w:eastAsia="sr-Latn-CS" w:bidi="sr-Latn-CS"/>
    </w:rPr>
  </w:style>
  <w:style w:type="character" w:customStyle="1" w:styleId="HTMLAddressChar">
    <w:name w:val="HTML Address Char"/>
    <w:basedOn w:val="DefaultParagraphFont"/>
    <w:link w:val="HTMLAddress"/>
    <w:uiPriority w:val="99"/>
    <w:rsid w:val="009C1E28"/>
    <w:rPr>
      <w:rFonts w:ascii="Times New Roman" w:eastAsia="Times New Roman" w:hAnsi="Times New Roman" w:cs="Times New Roman"/>
      <w:b/>
      <w:i/>
      <w:szCs w:val="20"/>
      <w:lang w:val="sr-Latn-CS" w:eastAsia="sr-Latn-CS" w:bidi="sr-Latn-CS"/>
    </w:rPr>
  </w:style>
  <w:style w:type="paragraph" w:styleId="HTMLPreformatted">
    <w:name w:val="HTML Preformatted"/>
    <w:basedOn w:val="Normal"/>
    <w:link w:val="HTMLPreformattedChar"/>
    <w:uiPriority w:val="99"/>
    <w:rsid w:val="009C1E28"/>
    <w:pPr>
      <w:spacing w:after="0" w:line="240" w:lineRule="auto"/>
    </w:pPr>
    <w:rPr>
      <w:rFonts w:ascii="Courier New" w:eastAsia="Times New Roman" w:hAnsi="Courier New" w:cs="Times New Roman"/>
      <w:b/>
      <w:sz w:val="20"/>
      <w:szCs w:val="20"/>
      <w:lang w:val="sr-Latn-CS" w:eastAsia="sr-Latn-CS" w:bidi="sr-Latn-CS"/>
    </w:rPr>
  </w:style>
  <w:style w:type="character" w:customStyle="1" w:styleId="HTMLPreformattedChar">
    <w:name w:val="HTML Preformatted Char"/>
    <w:basedOn w:val="DefaultParagraphFont"/>
    <w:link w:val="HTMLPreformatted"/>
    <w:uiPriority w:val="99"/>
    <w:rsid w:val="009C1E28"/>
    <w:rPr>
      <w:rFonts w:ascii="Courier New" w:eastAsia="Times New Roman" w:hAnsi="Courier New" w:cs="Times New Roman"/>
      <w:b/>
      <w:sz w:val="20"/>
      <w:szCs w:val="20"/>
      <w:lang w:val="sr-Latn-CS" w:eastAsia="sr-Latn-CS" w:bidi="sr-Latn-CS"/>
    </w:rPr>
  </w:style>
  <w:style w:type="paragraph" w:styleId="Index1">
    <w:name w:val="index 1"/>
    <w:basedOn w:val="Normal"/>
    <w:next w:val="Normal"/>
    <w:autoRedefine/>
    <w:uiPriority w:val="99"/>
    <w:semiHidden/>
    <w:rsid w:val="009C1E28"/>
    <w:pPr>
      <w:spacing w:after="0" w:line="240" w:lineRule="auto"/>
      <w:ind w:left="220" w:hanging="220"/>
    </w:pPr>
    <w:rPr>
      <w:rFonts w:ascii="Times New Roman" w:eastAsia="Times New Roman" w:hAnsi="Times New Roman" w:cs="Times New Roman"/>
      <w:szCs w:val="20"/>
      <w:lang w:val="sr-Latn-CS" w:eastAsia="sr-Latn-CS" w:bidi="sr-Latn-CS"/>
    </w:rPr>
  </w:style>
  <w:style w:type="paragraph" w:styleId="List">
    <w:name w:val="List"/>
    <w:basedOn w:val="Normal"/>
    <w:uiPriority w:val="99"/>
    <w:rsid w:val="009C1E28"/>
    <w:pPr>
      <w:spacing w:after="0" w:line="240" w:lineRule="auto"/>
      <w:ind w:left="283" w:hanging="283"/>
    </w:pPr>
    <w:rPr>
      <w:rFonts w:ascii="Times New Roman" w:eastAsia="Times New Roman" w:hAnsi="Times New Roman" w:cs="Times New Roman"/>
      <w:szCs w:val="20"/>
      <w:lang w:val="sr-Latn-CS" w:eastAsia="sr-Latn-CS" w:bidi="sr-Latn-CS"/>
    </w:rPr>
  </w:style>
  <w:style w:type="paragraph" w:styleId="List2">
    <w:name w:val="List 2"/>
    <w:basedOn w:val="Normal"/>
    <w:uiPriority w:val="99"/>
    <w:rsid w:val="009C1E28"/>
    <w:pPr>
      <w:spacing w:after="0" w:line="240" w:lineRule="auto"/>
      <w:ind w:left="566" w:hanging="283"/>
    </w:pPr>
    <w:rPr>
      <w:rFonts w:ascii="Times New Roman" w:eastAsia="Times New Roman" w:hAnsi="Times New Roman" w:cs="Times New Roman"/>
      <w:szCs w:val="20"/>
      <w:lang w:val="sr-Latn-CS" w:eastAsia="sr-Latn-CS" w:bidi="sr-Latn-CS"/>
    </w:rPr>
  </w:style>
  <w:style w:type="paragraph" w:styleId="List3">
    <w:name w:val="List 3"/>
    <w:basedOn w:val="Normal"/>
    <w:uiPriority w:val="99"/>
    <w:rsid w:val="009C1E28"/>
    <w:pPr>
      <w:spacing w:after="0" w:line="240" w:lineRule="auto"/>
      <w:ind w:left="849" w:hanging="283"/>
    </w:pPr>
    <w:rPr>
      <w:rFonts w:ascii="Times New Roman" w:eastAsia="Times New Roman" w:hAnsi="Times New Roman" w:cs="Times New Roman"/>
      <w:szCs w:val="20"/>
      <w:lang w:val="sr-Latn-CS" w:eastAsia="sr-Latn-CS" w:bidi="sr-Latn-CS"/>
    </w:rPr>
  </w:style>
  <w:style w:type="paragraph" w:styleId="List4">
    <w:name w:val="List 4"/>
    <w:basedOn w:val="Normal"/>
    <w:uiPriority w:val="99"/>
    <w:rsid w:val="009C1E28"/>
    <w:pPr>
      <w:spacing w:after="0" w:line="240" w:lineRule="auto"/>
      <w:ind w:left="1132" w:hanging="283"/>
    </w:pPr>
    <w:rPr>
      <w:rFonts w:ascii="Times New Roman" w:eastAsia="Times New Roman" w:hAnsi="Times New Roman" w:cs="Times New Roman"/>
      <w:szCs w:val="20"/>
      <w:lang w:val="sr-Latn-CS" w:eastAsia="sr-Latn-CS" w:bidi="sr-Latn-CS"/>
    </w:rPr>
  </w:style>
  <w:style w:type="paragraph" w:styleId="List5">
    <w:name w:val="List 5"/>
    <w:basedOn w:val="Normal"/>
    <w:uiPriority w:val="99"/>
    <w:rsid w:val="009C1E28"/>
    <w:pPr>
      <w:spacing w:after="0" w:line="240" w:lineRule="auto"/>
      <w:ind w:left="1415" w:hanging="283"/>
    </w:pPr>
    <w:rPr>
      <w:rFonts w:ascii="Times New Roman" w:eastAsia="Times New Roman" w:hAnsi="Times New Roman" w:cs="Times New Roman"/>
      <w:szCs w:val="20"/>
      <w:lang w:val="sr-Latn-CS" w:eastAsia="sr-Latn-CS" w:bidi="sr-Latn-CS"/>
    </w:rPr>
  </w:style>
  <w:style w:type="paragraph" w:styleId="ListBullet">
    <w:name w:val="List Bullet"/>
    <w:basedOn w:val="Normal"/>
    <w:uiPriority w:val="99"/>
    <w:rsid w:val="009C1E28"/>
    <w:pPr>
      <w:tabs>
        <w:tab w:val="num" w:pos="720"/>
      </w:tabs>
      <w:spacing w:after="0" w:line="240" w:lineRule="auto"/>
      <w:ind w:left="360" w:hanging="360"/>
    </w:pPr>
    <w:rPr>
      <w:rFonts w:ascii="Times New Roman" w:eastAsia="Times New Roman" w:hAnsi="Times New Roman" w:cs="Times New Roman"/>
      <w:szCs w:val="20"/>
      <w:lang w:val="sr-Latn-CS" w:eastAsia="sr-Latn-CS" w:bidi="sr-Latn-CS"/>
    </w:rPr>
  </w:style>
  <w:style w:type="paragraph" w:styleId="ListBullet2">
    <w:name w:val="List Bullet 2"/>
    <w:basedOn w:val="Normal"/>
    <w:uiPriority w:val="99"/>
    <w:rsid w:val="009C1E28"/>
    <w:pPr>
      <w:numPr>
        <w:numId w:val="5"/>
      </w:numPr>
      <w:tabs>
        <w:tab w:val="num" w:pos="720"/>
      </w:tabs>
      <w:spacing w:after="0" w:line="240" w:lineRule="auto"/>
    </w:pPr>
    <w:rPr>
      <w:rFonts w:ascii="Times New Roman" w:eastAsia="Times New Roman" w:hAnsi="Times New Roman" w:cs="Times New Roman"/>
      <w:szCs w:val="20"/>
      <w:lang w:val="sr-Latn-CS" w:eastAsia="sr-Latn-CS" w:bidi="sr-Latn-CS"/>
    </w:rPr>
  </w:style>
  <w:style w:type="paragraph" w:styleId="ListBullet3">
    <w:name w:val="List Bullet 3"/>
    <w:basedOn w:val="Normal"/>
    <w:uiPriority w:val="99"/>
    <w:rsid w:val="009C1E28"/>
    <w:pPr>
      <w:numPr>
        <w:numId w:val="6"/>
      </w:numPr>
      <w:spacing w:after="0" w:line="240" w:lineRule="auto"/>
    </w:pPr>
    <w:rPr>
      <w:rFonts w:ascii="Times New Roman" w:eastAsia="Times New Roman" w:hAnsi="Times New Roman" w:cs="Times New Roman"/>
      <w:szCs w:val="20"/>
      <w:lang w:val="sr-Latn-CS" w:eastAsia="sr-Latn-CS" w:bidi="sr-Latn-CS"/>
    </w:rPr>
  </w:style>
  <w:style w:type="paragraph" w:styleId="ListBullet4">
    <w:name w:val="List Bullet 4"/>
    <w:basedOn w:val="Normal"/>
    <w:uiPriority w:val="99"/>
    <w:rsid w:val="009C1E28"/>
    <w:pPr>
      <w:tabs>
        <w:tab w:val="num" w:pos="1209"/>
      </w:tabs>
      <w:spacing w:after="0" w:line="240" w:lineRule="auto"/>
      <w:ind w:left="1209" w:hanging="360"/>
    </w:pPr>
    <w:rPr>
      <w:rFonts w:ascii="Times New Roman" w:eastAsia="Times New Roman" w:hAnsi="Times New Roman" w:cs="Times New Roman"/>
      <w:szCs w:val="20"/>
      <w:lang w:val="sr-Latn-CS" w:eastAsia="sr-Latn-CS" w:bidi="sr-Latn-CS"/>
    </w:rPr>
  </w:style>
  <w:style w:type="paragraph" w:styleId="ListBullet5">
    <w:name w:val="List Bullet 5"/>
    <w:basedOn w:val="Normal"/>
    <w:uiPriority w:val="99"/>
    <w:rsid w:val="009C1E28"/>
    <w:pPr>
      <w:numPr>
        <w:numId w:val="8"/>
      </w:numPr>
      <w:tabs>
        <w:tab w:val="num" w:pos="814"/>
      </w:tabs>
      <w:spacing w:after="0" w:line="240" w:lineRule="auto"/>
    </w:pPr>
    <w:rPr>
      <w:rFonts w:ascii="Times New Roman" w:eastAsia="Times New Roman" w:hAnsi="Times New Roman" w:cs="Times New Roman"/>
      <w:szCs w:val="20"/>
      <w:lang w:val="sr-Latn-CS" w:eastAsia="sr-Latn-CS" w:bidi="sr-Latn-CS"/>
    </w:rPr>
  </w:style>
  <w:style w:type="paragraph" w:styleId="ListContinue">
    <w:name w:val="List Continue"/>
    <w:basedOn w:val="Normal"/>
    <w:uiPriority w:val="99"/>
    <w:rsid w:val="009C1E28"/>
    <w:pPr>
      <w:spacing w:after="120" w:line="240" w:lineRule="auto"/>
      <w:ind w:left="283"/>
    </w:pPr>
    <w:rPr>
      <w:rFonts w:ascii="Times New Roman" w:eastAsia="Times New Roman" w:hAnsi="Times New Roman" w:cs="Times New Roman"/>
      <w:szCs w:val="20"/>
      <w:lang w:val="sr-Latn-CS" w:eastAsia="sr-Latn-CS" w:bidi="sr-Latn-CS"/>
    </w:rPr>
  </w:style>
  <w:style w:type="paragraph" w:styleId="ListContinue2">
    <w:name w:val="List Continue 2"/>
    <w:basedOn w:val="Normal"/>
    <w:uiPriority w:val="99"/>
    <w:rsid w:val="009C1E28"/>
    <w:pPr>
      <w:spacing w:after="120" w:line="240" w:lineRule="auto"/>
      <w:ind w:left="566"/>
    </w:pPr>
    <w:rPr>
      <w:rFonts w:ascii="Times New Roman" w:eastAsia="Times New Roman" w:hAnsi="Times New Roman" w:cs="Times New Roman"/>
      <w:szCs w:val="20"/>
      <w:lang w:val="sr-Latn-CS" w:eastAsia="sr-Latn-CS" w:bidi="sr-Latn-CS"/>
    </w:rPr>
  </w:style>
  <w:style w:type="paragraph" w:styleId="ListContinue3">
    <w:name w:val="List Continue 3"/>
    <w:basedOn w:val="Normal"/>
    <w:uiPriority w:val="99"/>
    <w:rsid w:val="009C1E28"/>
    <w:pPr>
      <w:spacing w:after="120" w:line="240" w:lineRule="auto"/>
      <w:ind w:left="849"/>
    </w:pPr>
    <w:rPr>
      <w:rFonts w:ascii="Times New Roman" w:eastAsia="Times New Roman" w:hAnsi="Times New Roman" w:cs="Times New Roman"/>
      <w:szCs w:val="20"/>
      <w:lang w:val="sr-Latn-CS" w:eastAsia="sr-Latn-CS" w:bidi="sr-Latn-CS"/>
    </w:rPr>
  </w:style>
  <w:style w:type="paragraph" w:styleId="ListContinue4">
    <w:name w:val="List Continue 4"/>
    <w:basedOn w:val="Normal"/>
    <w:uiPriority w:val="99"/>
    <w:rsid w:val="009C1E28"/>
    <w:pPr>
      <w:spacing w:after="120" w:line="240" w:lineRule="auto"/>
      <w:ind w:left="1132"/>
    </w:pPr>
    <w:rPr>
      <w:rFonts w:ascii="Times New Roman" w:eastAsia="Times New Roman" w:hAnsi="Times New Roman" w:cs="Times New Roman"/>
      <w:szCs w:val="20"/>
      <w:lang w:val="sr-Latn-CS" w:eastAsia="sr-Latn-CS" w:bidi="sr-Latn-CS"/>
    </w:rPr>
  </w:style>
  <w:style w:type="paragraph" w:styleId="ListContinue5">
    <w:name w:val="List Continue 5"/>
    <w:basedOn w:val="Normal"/>
    <w:uiPriority w:val="99"/>
    <w:rsid w:val="009C1E28"/>
    <w:pPr>
      <w:spacing w:after="120" w:line="240" w:lineRule="auto"/>
      <w:ind w:left="1415"/>
    </w:pPr>
    <w:rPr>
      <w:rFonts w:ascii="Times New Roman" w:eastAsia="Times New Roman" w:hAnsi="Times New Roman" w:cs="Times New Roman"/>
      <w:szCs w:val="20"/>
      <w:lang w:val="sr-Latn-CS" w:eastAsia="sr-Latn-CS" w:bidi="sr-Latn-CS"/>
    </w:rPr>
  </w:style>
  <w:style w:type="paragraph" w:styleId="ListNumber4">
    <w:name w:val="List Number 4"/>
    <w:basedOn w:val="Normal"/>
    <w:uiPriority w:val="99"/>
    <w:rsid w:val="009C1E28"/>
    <w:pPr>
      <w:numPr>
        <w:numId w:val="9"/>
      </w:numPr>
      <w:tabs>
        <w:tab w:val="num" w:pos="560"/>
      </w:tabs>
      <w:spacing w:after="0" w:line="240" w:lineRule="auto"/>
    </w:pPr>
    <w:rPr>
      <w:rFonts w:ascii="Times New Roman" w:eastAsia="Times New Roman" w:hAnsi="Times New Roman" w:cs="Times New Roman"/>
      <w:szCs w:val="20"/>
      <w:lang w:val="sr-Latn-CS" w:eastAsia="sr-Latn-CS" w:bidi="sr-Latn-CS"/>
    </w:rPr>
  </w:style>
  <w:style w:type="paragraph" w:styleId="ListNumber5">
    <w:name w:val="List Number 5"/>
    <w:basedOn w:val="Normal"/>
    <w:uiPriority w:val="99"/>
    <w:rsid w:val="009C1E28"/>
    <w:pPr>
      <w:numPr>
        <w:numId w:val="14"/>
      </w:numPr>
      <w:tabs>
        <w:tab w:val="clear" w:pos="720"/>
        <w:tab w:val="num" w:pos="1492"/>
      </w:tabs>
      <w:spacing w:after="0" w:line="240" w:lineRule="auto"/>
      <w:ind w:left="1492"/>
    </w:pPr>
    <w:rPr>
      <w:rFonts w:ascii="Times New Roman" w:eastAsia="Times New Roman" w:hAnsi="Times New Roman" w:cs="Times New Roman"/>
      <w:szCs w:val="20"/>
      <w:lang w:val="sr-Latn-CS" w:eastAsia="sr-Latn-CS" w:bidi="sr-Latn-CS"/>
    </w:rPr>
  </w:style>
  <w:style w:type="character" w:customStyle="1" w:styleId="MacroTextChar">
    <w:name w:val="Macro Text Char"/>
    <w:basedOn w:val="DefaultParagraphFont"/>
    <w:link w:val="MacroText"/>
    <w:uiPriority w:val="99"/>
    <w:semiHidden/>
    <w:rsid w:val="009C1E28"/>
    <w:rPr>
      <w:rFonts w:ascii="Courier New" w:eastAsia="Times New Roman" w:hAnsi="Courier New" w:cs="Times New Roman"/>
      <w:b/>
      <w:sz w:val="20"/>
      <w:szCs w:val="20"/>
      <w:lang w:val="sr-Latn-CS" w:eastAsia="sr-Latn-CS" w:bidi="sr-Latn-CS"/>
    </w:rPr>
  </w:style>
  <w:style w:type="paragraph" w:styleId="MacroText">
    <w:name w:val="macro"/>
    <w:link w:val="MacroTextChar"/>
    <w:uiPriority w:val="99"/>
    <w:semiHidden/>
    <w:rsid w:val="009C1E28"/>
    <w:pPr>
      <w:tabs>
        <w:tab w:val="left" w:pos="480"/>
        <w:tab w:val="left" w:pos="960"/>
        <w:tab w:val="left" w:pos="1440"/>
        <w:tab w:val="left" w:pos="1920"/>
        <w:tab w:val="left" w:pos="2400"/>
        <w:tab w:val="left" w:pos="2880"/>
        <w:tab w:val="left" w:pos="3360"/>
        <w:tab w:val="left" w:pos="3840"/>
        <w:tab w:val="left" w:pos="4320"/>
      </w:tabs>
      <w:spacing w:after="0" w:line="260" w:lineRule="exact"/>
    </w:pPr>
    <w:rPr>
      <w:rFonts w:ascii="Courier New" w:eastAsia="Times New Roman" w:hAnsi="Courier New" w:cs="Times New Roman"/>
      <w:b/>
      <w:sz w:val="20"/>
      <w:szCs w:val="20"/>
      <w:lang w:val="sr-Latn-CS" w:eastAsia="sr-Latn-CS" w:bidi="sr-Latn-CS"/>
    </w:rPr>
  </w:style>
  <w:style w:type="paragraph" w:styleId="MessageHeader">
    <w:name w:val="Message Header"/>
    <w:basedOn w:val="Normal"/>
    <w:link w:val="MessageHeaderChar"/>
    <w:uiPriority w:val="99"/>
    <w:rsid w:val="009C1E2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MS Gothic" w:hAnsi="Cambria" w:cs="Times New Roman"/>
      <w:b/>
      <w:sz w:val="24"/>
      <w:szCs w:val="20"/>
      <w:lang w:val="sr-Latn-CS" w:eastAsia="sr-Latn-CS" w:bidi="sr-Latn-CS"/>
    </w:rPr>
  </w:style>
  <w:style w:type="character" w:customStyle="1" w:styleId="MessageHeaderChar">
    <w:name w:val="Message Header Char"/>
    <w:basedOn w:val="DefaultParagraphFont"/>
    <w:link w:val="MessageHeader"/>
    <w:uiPriority w:val="99"/>
    <w:rsid w:val="009C1E28"/>
    <w:rPr>
      <w:rFonts w:ascii="Cambria" w:eastAsia="MS Gothic" w:hAnsi="Cambria" w:cs="Times New Roman"/>
      <w:b/>
      <w:sz w:val="24"/>
      <w:szCs w:val="20"/>
      <w:shd w:val="pct20" w:color="auto" w:fill="auto"/>
      <w:lang w:val="sr-Latn-CS" w:eastAsia="sr-Latn-CS" w:bidi="sr-Latn-CS"/>
    </w:rPr>
  </w:style>
  <w:style w:type="paragraph" w:styleId="NormalWeb">
    <w:name w:val="Normal (Web)"/>
    <w:basedOn w:val="Normal"/>
    <w:uiPriority w:val="99"/>
    <w:rsid w:val="009C1E28"/>
    <w:pPr>
      <w:spacing w:after="0" w:line="240" w:lineRule="auto"/>
    </w:pPr>
    <w:rPr>
      <w:rFonts w:ascii="Times New Roman" w:eastAsia="Times New Roman" w:hAnsi="Times New Roman" w:cs="Times New Roman"/>
      <w:sz w:val="24"/>
      <w:szCs w:val="24"/>
      <w:lang w:val="sr-Latn-CS" w:eastAsia="sr-Latn-CS" w:bidi="sr-Latn-CS"/>
    </w:rPr>
  </w:style>
  <w:style w:type="paragraph" w:styleId="NormalIndent">
    <w:name w:val="Normal Indent"/>
    <w:basedOn w:val="Normal"/>
    <w:uiPriority w:val="99"/>
    <w:rsid w:val="009C1E28"/>
    <w:pPr>
      <w:spacing w:after="0" w:line="240" w:lineRule="auto"/>
      <w:ind w:left="720"/>
    </w:pPr>
    <w:rPr>
      <w:rFonts w:ascii="Times New Roman" w:eastAsia="Times New Roman" w:hAnsi="Times New Roman" w:cs="Times New Roman"/>
      <w:szCs w:val="20"/>
      <w:lang w:val="sr-Latn-CS" w:eastAsia="sr-Latn-CS" w:bidi="sr-Latn-CS"/>
    </w:rPr>
  </w:style>
  <w:style w:type="paragraph" w:styleId="NoteHeading">
    <w:name w:val="Note Heading"/>
    <w:basedOn w:val="Normal"/>
    <w:next w:val="Normal"/>
    <w:link w:val="NoteHeadingChar"/>
    <w:uiPriority w:val="99"/>
    <w:rsid w:val="009C1E28"/>
    <w:pPr>
      <w:spacing w:after="0" w:line="240" w:lineRule="auto"/>
    </w:pPr>
    <w:rPr>
      <w:rFonts w:ascii="Times New Roman" w:eastAsia="Times New Roman" w:hAnsi="Times New Roman" w:cs="Times New Roman"/>
      <w:b/>
      <w:szCs w:val="20"/>
      <w:lang w:val="sr-Latn-CS" w:eastAsia="sr-Latn-CS" w:bidi="sr-Latn-CS"/>
    </w:rPr>
  </w:style>
  <w:style w:type="character" w:customStyle="1" w:styleId="NoteHeadingChar">
    <w:name w:val="Note Heading Char"/>
    <w:basedOn w:val="DefaultParagraphFont"/>
    <w:link w:val="NoteHeading"/>
    <w:uiPriority w:val="99"/>
    <w:rsid w:val="009C1E28"/>
    <w:rPr>
      <w:rFonts w:ascii="Times New Roman" w:eastAsia="Times New Roman" w:hAnsi="Times New Roman" w:cs="Times New Roman"/>
      <w:b/>
      <w:szCs w:val="20"/>
      <w:lang w:val="sr-Latn-CS" w:eastAsia="sr-Latn-CS" w:bidi="sr-Latn-CS"/>
    </w:rPr>
  </w:style>
  <w:style w:type="paragraph" w:styleId="PlainText">
    <w:name w:val="Plain Text"/>
    <w:basedOn w:val="Normal"/>
    <w:link w:val="PlainTextChar"/>
    <w:uiPriority w:val="99"/>
    <w:rsid w:val="009C1E28"/>
    <w:pPr>
      <w:spacing w:after="0" w:line="240" w:lineRule="auto"/>
    </w:pPr>
    <w:rPr>
      <w:rFonts w:ascii="Courier New" w:eastAsia="Times New Roman" w:hAnsi="Courier New" w:cs="Times New Roman"/>
      <w:b/>
      <w:sz w:val="20"/>
      <w:szCs w:val="20"/>
      <w:lang w:val="sr-Latn-CS" w:eastAsia="sr-Latn-CS" w:bidi="sr-Latn-CS"/>
    </w:rPr>
  </w:style>
  <w:style w:type="character" w:customStyle="1" w:styleId="PlainTextChar">
    <w:name w:val="Plain Text Char"/>
    <w:basedOn w:val="DefaultParagraphFont"/>
    <w:link w:val="PlainText"/>
    <w:uiPriority w:val="99"/>
    <w:rsid w:val="009C1E28"/>
    <w:rPr>
      <w:rFonts w:ascii="Courier New" w:eastAsia="Times New Roman" w:hAnsi="Courier New" w:cs="Times New Roman"/>
      <w:b/>
      <w:sz w:val="20"/>
      <w:szCs w:val="20"/>
      <w:lang w:val="sr-Latn-CS" w:eastAsia="sr-Latn-CS" w:bidi="sr-Latn-CS"/>
    </w:rPr>
  </w:style>
  <w:style w:type="paragraph" w:styleId="Salutation">
    <w:name w:val="Salutation"/>
    <w:basedOn w:val="Normal"/>
    <w:next w:val="Normal"/>
    <w:link w:val="SalutationChar"/>
    <w:uiPriority w:val="99"/>
    <w:rsid w:val="009C1E28"/>
    <w:pPr>
      <w:spacing w:after="0" w:line="240" w:lineRule="auto"/>
    </w:pPr>
    <w:rPr>
      <w:rFonts w:ascii="Times New Roman" w:eastAsia="Times New Roman" w:hAnsi="Times New Roman" w:cs="Times New Roman"/>
      <w:b/>
      <w:szCs w:val="20"/>
      <w:lang w:val="sr-Latn-CS" w:eastAsia="sr-Latn-CS" w:bidi="sr-Latn-CS"/>
    </w:rPr>
  </w:style>
  <w:style w:type="character" w:customStyle="1" w:styleId="SalutationChar">
    <w:name w:val="Salutation Char"/>
    <w:basedOn w:val="DefaultParagraphFont"/>
    <w:link w:val="Salutation"/>
    <w:uiPriority w:val="99"/>
    <w:rsid w:val="009C1E28"/>
    <w:rPr>
      <w:rFonts w:ascii="Times New Roman" w:eastAsia="Times New Roman" w:hAnsi="Times New Roman" w:cs="Times New Roman"/>
      <w:b/>
      <w:szCs w:val="20"/>
      <w:lang w:val="sr-Latn-CS" w:eastAsia="sr-Latn-CS" w:bidi="sr-Latn-CS"/>
    </w:rPr>
  </w:style>
  <w:style w:type="paragraph" w:styleId="Signature">
    <w:name w:val="Signature"/>
    <w:basedOn w:val="Normal"/>
    <w:link w:val="SignatureChar"/>
    <w:uiPriority w:val="99"/>
    <w:rsid w:val="009C1E28"/>
    <w:pPr>
      <w:spacing w:after="0" w:line="240" w:lineRule="auto"/>
      <w:ind w:left="4252"/>
    </w:pPr>
    <w:rPr>
      <w:rFonts w:ascii="Times New Roman" w:eastAsia="Times New Roman" w:hAnsi="Times New Roman" w:cs="Times New Roman"/>
      <w:b/>
      <w:szCs w:val="20"/>
      <w:lang w:val="sr-Latn-CS" w:eastAsia="sr-Latn-CS" w:bidi="sr-Latn-CS"/>
    </w:rPr>
  </w:style>
  <w:style w:type="character" w:customStyle="1" w:styleId="SignatureChar">
    <w:name w:val="Signature Char"/>
    <w:basedOn w:val="DefaultParagraphFont"/>
    <w:link w:val="Signature"/>
    <w:uiPriority w:val="99"/>
    <w:rsid w:val="009C1E28"/>
    <w:rPr>
      <w:rFonts w:ascii="Times New Roman" w:eastAsia="Times New Roman" w:hAnsi="Times New Roman" w:cs="Times New Roman"/>
      <w:b/>
      <w:szCs w:val="20"/>
      <w:lang w:val="sr-Latn-CS" w:eastAsia="sr-Latn-CS" w:bidi="sr-Latn-CS"/>
    </w:rPr>
  </w:style>
  <w:style w:type="paragraph" w:styleId="Subtitle">
    <w:name w:val="Subtitle"/>
    <w:basedOn w:val="Normal"/>
    <w:link w:val="SubtitleChar"/>
    <w:uiPriority w:val="11"/>
    <w:qFormat/>
    <w:rsid w:val="009C1E28"/>
    <w:pPr>
      <w:spacing w:after="60" w:line="240" w:lineRule="auto"/>
      <w:jc w:val="center"/>
      <w:outlineLvl w:val="1"/>
    </w:pPr>
    <w:rPr>
      <w:rFonts w:ascii="Cambria" w:eastAsia="MS Gothic" w:hAnsi="Cambria" w:cs="Times New Roman"/>
      <w:b/>
      <w:sz w:val="24"/>
      <w:szCs w:val="20"/>
      <w:lang w:val="sr-Latn-CS" w:eastAsia="sr-Latn-CS" w:bidi="sr-Latn-CS"/>
    </w:rPr>
  </w:style>
  <w:style w:type="character" w:customStyle="1" w:styleId="SubtitleChar">
    <w:name w:val="Subtitle Char"/>
    <w:basedOn w:val="DefaultParagraphFont"/>
    <w:link w:val="Subtitle"/>
    <w:uiPriority w:val="11"/>
    <w:rsid w:val="009C1E28"/>
    <w:rPr>
      <w:rFonts w:ascii="Cambria" w:eastAsia="MS Gothic" w:hAnsi="Cambria" w:cs="Times New Roman"/>
      <w:b/>
      <w:sz w:val="24"/>
      <w:szCs w:val="20"/>
      <w:lang w:val="sr-Latn-CS" w:eastAsia="sr-Latn-CS" w:bidi="sr-Latn-CS"/>
    </w:rPr>
  </w:style>
  <w:style w:type="paragraph" w:styleId="Title">
    <w:name w:val="Title"/>
    <w:basedOn w:val="Normal"/>
    <w:link w:val="TitleChar"/>
    <w:uiPriority w:val="10"/>
    <w:qFormat/>
    <w:rsid w:val="009C1E28"/>
    <w:pPr>
      <w:spacing w:before="240" w:after="60" w:line="240" w:lineRule="auto"/>
      <w:jc w:val="center"/>
      <w:outlineLvl w:val="0"/>
    </w:pPr>
    <w:rPr>
      <w:rFonts w:ascii="Cambria" w:eastAsia="MS Gothic" w:hAnsi="Cambria" w:cs="Times New Roman"/>
      <w:b/>
      <w:kern w:val="28"/>
      <w:sz w:val="32"/>
      <w:szCs w:val="20"/>
      <w:lang w:val="sr-Latn-CS" w:eastAsia="sr-Latn-CS" w:bidi="sr-Latn-CS"/>
    </w:rPr>
  </w:style>
  <w:style w:type="character" w:customStyle="1" w:styleId="TitleChar">
    <w:name w:val="Title Char"/>
    <w:basedOn w:val="DefaultParagraphFont"/>
    <w:link w:val="Title"/>
    <w:uiPriority w:val="10"/>
    <w:rsid w:val="009C1E28"/>
    <w:rPr>
      <w:rFonts w:ascii="Cambria" w:eastAsia="MS Gothic" w:hAnsi="Cambria" w:cs="Times New Roman"/>
      <w:b/>
      <w:kern w:val="28"/>
      <w:sz w:val="32"/>
      <w:szCs w:val="20"/>
      <w:lang w:val="sr-Latn-CS" w:eastAsia="sr-Latn-CS" w:bidi="sr-Latn-CS"/>
    </w:rPr>
  </w:style>
  <w:style w:type="paragraph" w:styleId="TOC1">
    <w:name w:val="toc 1"/>
    <w:basedOn w:val="Normal"/>
    <w:next w:val="Normal"/>
    <w:autoRedefine/>
    <w:uiPriority w:val="39"/>
    <w:semiHidden/>
    <w:rsid w:val="009C1E28"/>
    <w:pPr>
      <w:spacing w:after="0" w:line="240" w:lineRule="auto"/>
    </w:pPr>
    <w:rPr>
      <w:rFonts w:ascii="Times New Roman" w:eastAsia="Times New Roman" w:hAnsi="Times New Roman" w:cs="Times New Roman"/>
      <w:szCs w:val="20"/>
      <w:lang w:val="sr-Latn-CS" w:eastAsia="sr-Latn-CS" w:bidi="sr-Latn-CS"/>
    </w:rPr>
  </w:style>
  <w:style w:type="paragraph" w:customStyle="1" w:styleId="bodytextindent40">
    <w:name w:val="bodytextindent4"/>
    <w:basedOn w:val="Normal"/>
    <w:rsid w:val="009C1E28"/>
    <w:pPr>
      <w:spacing w:after="0" w:line="260" w:lineRule="atLeast"/>
      <w:ind w:left="360" w:hanging="360"/>
    </w:pPr>
    <w:rPr>
      <w:rFonts w:ascii="Times New Roman" w:eastAsia="Times New Roman" w:hAnsi="Times New Roman" w:cs="Times New Roman"/>
      <w:lang w:val="sr-Latn-CS" w:eastAsia="sr-Latn-CS" w:bidi="sr-Latn-CS"/>
    </w:rPr>
  </w:style>
  <w:style w:type="character" w:styleId="Emphasis">
    <w:name w:val="Emphasis"/>
    <w:uiPriority w:val="20"/>
    <w:qFormat/>
    <w:rsid w:val="009C1E28"/>
    <w:rPr>
      <w:rFonts w:cs="Times New Roman"/>
      <w:i/>
    </w:rPr>
  </w:style>
  <w:style w:type="paragraph" w:customStyle="1" w:styleId="Default">
    <w:name w:val="Default"/>
    <w:rsid w:val="009C1E28"/>
    <w:pPr>
      <w:autoSpaceDE w:val="0"/>
      <w:autoSpaceDN w:val="0"/>
      <w:adjustRightInd w:val="0"/>
      <w:spacing w:after="0" w:line="240" w:lineRule="auto"/>
    </w:pPr>
    <w:rPr>
      <w:rFonts w:ascii="Times New Roman" w:eastAsia="Times New Roman" w:hAnsi="Times New Roman" w:cs="Times New Roman"/>
      <w:color w:val="000000"/>
      <w:sz w:val="24"/>
      <w:szCs w:val="24"/>
      <w:lang w:val="sr-Latn-CS" w:eastAsia="sr-Latn-CS" w:bidi="sr-Latn-CS"/>
    </w:rPr>
  </w:style>
  <w:style w:type="paragraph" w:customStyle="1" w:styleId="TableHeading">
    <w:name w:val="Table Heading"/>
    <w:basedOn w:val="Normal"/>
    <w:rsid w:val="009C1E28"/>
    <w:pPr>
      <w:keepNext/>
      <w:keepLines/>
      <w:spacing w:before="60" w:after="60" w:line="240" w:lineRule="auto"/>
      <w:jc w:val="center"/>
    </w:pPr>
    <w:rPr>
      <w:rFonts w:ascii="Arial" w:eastAsia="Times New Roman" w:hAnsi="Arial" w:cs="Times New Roman"/>
      <w:b/>
      <w:sz w:val="20"/>
      <w:szCs w:val="20"/>
      <w:lang w:val="sr-Latn-CS" w:eastAsia="sr-Latn-CS" w:bidi="sr-Latn-CS"/>
    </w:rPr>
  </w:style>
  <w:style w:type="character" w:customStyle="1" w:styleId="EMEASubscript">
    <w:name w:val="EMEA Subscript"/>
    <w:rsid w:val="009C1E28"/>
    <w:rPr>
      <w:sz w:val="22"/>
      <w:vertAlign w:val="subscript"/>
    </w:rPr>
  </w:style>
  <w:style w:type="paragraph" w:customStyle="1" w:styleId="TableCentre">
    <w:name w:val="Table Centre"/>
    <w:basedOn w:val="TableLeft"/>
    <w:rsid w:val="009C1E28"/>
    <w:pPr>
      <w:keepNext/>
      <w:keepLines/>
      <w:jc w:val="center"/>
    </w:pPr>
    <w:rPr>
      <w:rFonts w:cs="Arial"/>
    </w:rPr>
  </w:style>
  <w:style w:type="paragraph" w:customStyle="1" w:styleId="Table-Text">
    <w:name w:val="Table-Text"/>
    <w:basedOn w:val="Normal"/>
    <w:link w:val="Table-TextChar"/>
    <w:rsid w:val="009C1E28"/>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line="240" w:lineRule="auto"/>
    </w:pPr>
    <w:rPr>
      <w:rFonts w:ascii="Arial" w:eastAsia="Times New Roman" w:hAnsi="Arial" w:cs="Times New Roman"/>
      <w:sz w:val="20"/>
      <w:szCs w:val="20"/>
      <w:lang w:val="sr-Latn-CS" w:eastAsia="sr-Latn-CS" w:bidi="sr-Latn-CS"/>
    </w:rPr>
  </w:style>
  <w:style w:type="character" w:customStyle="1" w:styleId="Table-TextChar">
    <w:name w:val="Table-Text Char"/>
    <w:link w:val="Table-Text"/>
    <w:locked/>
    <w:rsid w:val="009C1E28"/>
    <w:rPr>
      <w:rFonts w:ascii="Arial" w:eastAsia="Times New Roman" w:hAnsi="Arial" w:cs="Times New Roman"/>
      <w:sz w:val="20"/>
      <w:szCs w:val="20"/>
      <w:lang w:val="sr-Latn-CS" w:eastAsia="sr-Latn-CS" w:bidi="sr-Latn-CS"/>
    </w:rPr>
  </w:style>
  <w:style w:type="paragraph" w:customStyle="1" w:styleId="Table-Footer">
    <w:name w:val="Table-Footer"/>
    <w:basedOn w:val="Normal"/>
    <w:next w:val="Normal"/>
    <w:link w:val="Table-FooterChar"/>
    <w:rsid w:val="009C1E28"/>
    <w:pPr>
      <w:keepNext/>
      <w:keepLines/>
      <w:tabs>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pPr>
    <w:rPr>
      <w:rFonts w:ascii="Times New Roman" w:eastAsia="Times New Roman" w:hAnsi="Times New Roman" w:cs="Times New Roman"/>
      <w:sz w:val="18"/>
      <w:szCs w:val="20"/>
      <w:lang w:val="sr-Latn-CS" w:eastAsia="sr-Latn-CS" w:bidi="sr-Latn-CS"/>
    </w:rPr>
  </w:style>
  <w:style w:type="character" w:customStyle="1" w:styleId="Table-FooterChar">
    <w:name w:val="Table-Footer Char"/>
    <w:link w:val="Table-Footer"/>
    <w:locked/>
    <w:rsid w:val="009C1E28"/>
    <w:rPr>
      <w:rFonts w:ascii="Times New Roman" w:eastAsia="Times New Roman" w:hAnsi="Times New Roman" w:cs="Times New Roman"/>
      <w:sz w:val="18"/>
      <w:szCs w:val="20"/>
      <w:lang w:val="sr-Latn-CS" w:eastAsia="sr-Latn-CS" w:bidi="sr-Latn-CS"/>
    </w:rPr>
  </w:style>
  <w:style w:type="paragraph" w:customStyle="1" w:styleId="EMAStyle2">
    <w:name w:val="EMA Style 2"/>
    <w:basedOn w:val="EMEAstyle2"/>
    <w:rsid w:val="009C1E28"/>
    <w:rPr>
      <w:color w:val="000000"/>
    </w:rPr>
  </w:style>
  <w:style w:type="paragraph" w:customStyle="1" w:styleId="Tablecentredbold">
    <w:name w:val="Table centred bold"/>
    <w:basedOn w:val="TableLeft"/>
    <w:rsid w:val="009C1E28"/>
    <w:pPr>
      <w:keepNext/>
      <w:keepLines/>
      <w:jc w:val="center"/>
    </w:pPr>
    <w:rPr>
      <w:b/>
      <w:bCs/>
      <w:noProof/>
    </w:rPr>
  </w:style>
  <w:style w:type="paragraph" w:customStyle="1" w:styleId="TableleftCAPS">
    <w:name w:val="Table left CAPS"/>
    <w:basedOn w:val="TableLeft"/>
    <w:rsid w:val="009C1E28"/>
    <w:pPr>
      <w:keepNext/>
      <w:keepLines/>
    </w:pPr>
    <w:rPr>
      <w:rFonts w:ascii="Times New Roman Bold" w:hAnsi="Times New Roman Bold"/>
      <w:b/>
      <w:bCs/>
      <w:i/>
      <w:iCs/>
      <w:caps/>
      <w:noProof/>
    </w:rPr>
  </w:style>
  <w:style w:type="paragraph" w:customStyle="1" w:styleId="TableleftIT">
    <w:name w:val="Table left IT"/>
    <w:basedOn w:val="TableLeft"/>
    <w:rsid w:val="009C1E28"/>
    <w:pPr>
      <w:keepNext/>
      <w:keepLines/>
    </w:pPr>
    <w:rPr>
      <w:rFonts w:eastAsia="SimSun"/>
      <w:i/>
      <w:szCs w:val="22"/>
    </w:rPr>
  </w:style>
  <w:style w:type="paragraph" w:customStyle="1" w:styleId="BodytextAgency">
    <w:name w:val="Body text (Agency)"/>
    <w:basedOn w:val="Normal"/>
    <w:link w:val="BodytextAgencyChar"/>
    <w:rsid w:val="009C1E28"/>
    <w:pPr>
      <w:spacing w:after="140" w:line="280" w:lineRule="atLeast"/>
    </w:pPr>
    <w:rPr>
      <w:rFonts w:ascii="Verdana" w:eastAsia="Times New Roman" w:hAnsi="Verdana" w:cs="Times New Roman"/>
      <w:sz w:val="18"/>
      <w:szCs w:val="20"/>
      <w:lang w:val="sr-Latn-CS" w:eastAsia="sr-Latn-CS" w:bidi="sr-Latn-CS"/>
    </w:rPr>
  </w:style>
  <w:style w:type="character" w:customStyle="1" w:styleId="BodytextAgencyChar">
    <w:name w:val="Body text (Agency) Char"/>
    <w:link w:val="BodytextAgency"/>
    <w:locked/>
    <w:rsid w:val="009C1E28"/>
    <w:rPr>
      <w:rFonts w:ascii="Verdana" w:eastAsia="Times New Roman" w:hAnsi="Verdana" w:cs="Times New Roman"/>
      <w:sz w:val="18"/>
      <w:szCs w:val="20"/>
      <w:lang w:val="sr-Latn-CS" w:eastAsia="sr-Latn-CS" w:bidi="sr-Latn-CS"/>
    </w:rPr>
  </w:style>
  <w:style w:type="paragraph" w:customStyle="1" w:styleId="NormalAgency">
    <w:name w:val="Normal (Agency)"/>
    <w:link w:val="NormalAgencyChar"/>
    <w:rsid w:val="009C1E28"/>
    <w:pPr>
      <w:spacing w:after="0" w:line="240" w:lineRule="auto"/>
    </w:pPr>
    <w:rPr>
      <w:rFonts w:ascii="Verdana" w:eastAsia="Times New Roman" w:hAnsi="Verdana" w:cs="Times New Roman"/>
      <w:sz w:val="18"/>
      <w:szCs w:val="20"/>
      <w:lang w:val="sr-Latn-CS" w:eastAsia="sr-Latn-CS" w:bidi="sr-Latn-CS"/>
    </w:rPr>
  </w:style>
  <w:style w:type="character" w:customStyle="1" w:styleId="NormalAgencyChar">
    <w:name w:val="Normal (Agency) Char"/>
    <w:link w:val="NormalAgency"/>
    <w:locked/>
    <w:rsid w:val="009C1E28"/>
    <w:rPr>
      <w:rFonts w:ascii="Verdana" w:eastAsia="Times New Roman" w:hAnsi="Verdana" w:cs="Times New Roman"/>
      <w:sz w:val="18"/>
      <w:szCs w:val="20"/>
      <w:lang w:val="sr-Latn-CS" w:eastAsia="sr-Latn-CS" w:bidi="sr-Latn-CS"/>
    </w:rPr>
  </w:style>
  <w:style w:type="paragraph" w:customStyle="1" w:styleId="TabletextrowsAgency">
    <w:name w:val="Table text rows (Agency)"/>
    <w:basedOn w:val="Normal"/>
    <w:rsid w:val="009C1E28"/>
    <w:pPr>
      <w:spacing w:after="0" w:line="280" w:lineRule="exact"/>
    </w:pPr>
    <w:rPr>
      <w:rFonts w:ascii="Verdana" w:eastAsia="Times New Roman" w:hAnsi="Verdana" w:cs="Verdana"/>
      <w:sz w:val="18"/>
      <w:szCs w:val="18"/>
      <w:lang w:val="sr-Latn-CS" w:eastAsia="sr-Latn-CS" w:bidi="sr-Latn-CS"/>
    </w:rPr>
  </w:style>
  <w:style w:type="character" w:customStyle="1" w:styleId="CommentTextChar1">
    <w:name w:val="Comment Text Char1"/>
    <w:rsid w:val="009C1E28"/>
    <w:rPr>
      <w:lang w:val="sr-Latn-CS" w:eastAsia="sr-Latn-CS"/>
    </w:rPr>
  </w:style>
  <w:style w:type="character" w:customStyle="1" w:styleId="refgroup">
    <w:name w:val="ref_group"/>
    <w:rsid w:val="009C1E28"/>
  </w:style>
  <w:style w:type="character" w:customStyle="1" w:styleId="refreference">
    <w:name w:val="ref_reference"/>
    <w:rsid w:val="009C1E28"/>
  </w:style>
  <w:style w:type="character" w:customStyle="1" w:styleId="textbluebold">
    <w:name w:val="textbluebold"/>
    <w:rsid w:val="009C1E28"/>
  </w:style>
  <w:style w:type="paragraph" w:customStyle="1" w:styleId="TableHeaderCenter">
    <w:name w:val="Table Header Center"/>
    <w:basedOn w:val="Normal"/>
    <w:rsid w:val="009C1E28"/>
    <w:pPr>
      <w:spacing w:before="60" w:after="60" w:line="240" w:lineRule="auto"/>
      <w:jc w:val="center"/>
    </w:pPr>
    <w:rPr>
      <w:rFonts w:ascii="Times New Roman Bold" w:eastAsia="Arial Unicode MS" w:hAnsi="Times New Roman Bold" w:cs="Times New Roman"/>
      <w:b/>
      <w:color w:val="000000"/>
      <w:sz w:val="20"/>
      <w:szCs w:val="24"/>
      <w:lang w:val="sr-Latn-CS" w:eastAsia="sr-Latn-CS" w:bidi="sr-Latn-CS"/>
    </w:rPr>
  </w:style>
  <w:style w:type="paragraph" w:customStyle="1" w:styleId="TableCellCenter">
    <w:name w:val="Table Cell Center"/>
    <w:basedOn w:val="Normal"/>
    <w:rsid w:val="009C1E28"/>
    <w:pPr>
      <w:spacing w:before="60" w:after="60" w:line="240" w:lineRule="auto"/>
      <w:jc w:val="center"/>
    </w:pPr>
    <w:rPr>
      <w:rFonts w:ascii="Times New Roman" w:eastAsia="Arial Unicode MS" w:hAnsi="Times New Roman" w:cs="Times New Roman"/>
      <w:color w:val="000000"/>
      <w:sz w:val="20"/>
      <w:szCs w:val="24"/>
      <w:lang w:val="sr-Latn-CS" w:eastAsia="sr-Latn-CS" w:bidi="sr-Latn-CS"/>
    </w:rPr>
  </w:style>
  <w:style w:type="paragraph" w:styleId="ListParagraph">
    <w:name w:val="List Paragraph"/>
    <w:basedOn w:val="Normal"/>
    <w:uiPriority w:val="34"/>
    <w:qFormat/>
    <w:rsid w:val="009C1E28"/>
    <w:pPr>
      <w:spacing w:after="0" w:line="240" w:lineRule="auto"/>
      <w:ind w:left="720"/>
      <w:jc w:val="center"/>
      <w:outlineLvl w:val="0"/>
    </w:pPr>
    <w:rPr>
      <w:rFonts w:ascii="Times New Roman" w:eastAsia="Times New Roman" w:hAnsi="Times New Roman" w:cs="Times New Roman"/>
      <w:b/>
      <w:szCs w:val="20"/>
      <w:lang w:val="sr-Latn-CS" w:eastAsia="sr-Latn-CS" w:bidi="sr-Latn-CS"/>
    </w:rPr>
  </w:style>
  <w:style w:type="paragraph" w:customStyle="1" w:styleId="RefAgency">
    <w:name w:val="Ref. (Agency)"/>
    <w:basedOn w:val="Default"/>
    <w:next w:val="Default"/>
    <w:uiPriority w:val="99"/>
    <w:rsid w:val="009C1E28"/>
    <w:rPr>
      <w:rFonts w:ascii="Verdana" w:hAnsi="Verdana"/>
      <w:color w:val="auto"/>
    </w:rPr>
  </w:style>
  <w:style w:type="character" w:customStyle="1" w:styleId="PIHeading2Char">
    <w:name w:val="PI Heading 2 Char"/>
    <w:link w:val="PIHeading2"/>
    <w:locked/>
    <w:rsid w:val="009C1E28"/>
    <w:rPr>
      <w:rFonts w:ascii="Arial" w:hAnsi="Arial"/>
      <w:b/>
    </w:rPr>
  </w:style>
  <w:style w:type="paragraph" w:customStyle="1" w:styleId="PIHeading2">
    <w:name w:val="PI Heading 2"/>
    <w:basedOn w:val="Normal"/>
    <w:link w:val="PIHeading2Char"/>
    <w:rsid w:val="009C1E28"/>
    <w:pPr>
      <w:keepNext/>
      <w:spacing w:before="360" w:after="120" w:line="240" w:lineRule="auto"/>
    </w:pPr>
    <w:rPr>
      <w:rFonts w:ascii="Arial" w:hAnsi="Arial"/>
      <w:b/>
    </w:rPr>
  </w:style>
  <w:style w:type="paragraph" w:styleId="NoSpacing">
    <w:name w:val="No Spacing"/>
    <w:uiPriority w:val="1"/>
    <w:qFormat/>
    <w:rsid w:val="009C1E28"/>
    <w:pPr>
      <w:spacing w:after="0" w:line="240" w:lineRule="auto"/>
    </w:pPr>
    <w:rPr>
      <w:rFonts w:ascii="Times New Roman" w:eastAsia="Times New Roman" w:hAnsi="Times New Roman" w:cs="Times New Roman"/>
      <w:sz w:val="24"/>
      <w:szCs w:val="24"/>
      <w:lang w:val="sr-Latn-CS" w:eastAsia="sr-Latn-CS" w:bidi="sr-Latn-CS"/>
    </w:rPr>
  </w:style>
  <w:style w:type="paragraph" w:customStyle="1" w:styleId="TableHeaderleft">
    <w:name w:val="Table Header left"/>
    <w:basedOn w:val="Text1"/>
    <w:rsid w:val="009C1E28"/>
    <w:pPr>
      <w:spacing w:before="60" w:after="60"/>
    </w:pPr>
    <w:rPr>
      <w:b/>
      <w:color w:val="000000"/>
      <w:sz w:val="20"/>
      <w:lang w:val="en-US" w:eastAsia="en-US" w:bidi="ar-SA"/>
    </w:rPr>
  </w:style>
  <w:style w:type="paragraph" w:customStyle="1" w:styleId="TableFooter">
    <w:name w:val="Table Footer"/>
    <w:basedOn w:val="Text1"/>
    <w:rsid w:val="009C1E28"/>
    <w:pPr>
      <w:tabs>
        <w:tab w:val="left" w:pos="360"/>
      </w:tabs>
      <w:spacing w:before="60"/>
      <w:ind w:left="360" w:hanging="360"/>
      <w:contextualSpacing/>
    </w:pPr>
    <w:rPr>
      <w:color w:val="000000"/>
      <w:sz w:val="18"/>
      <w:lang w:val="en-US" w:eastAsia="en-US" w:bidi="ar-SA"/>
    </w:rPr>
  </w:style>
  <w:style w:type="character" w:styleId="EndnoteReference">
    <w:name w:val="endnote reference"/>
    <w:uiPriority w:val="99"/>
    <w:semiHidden/>
    <w:rsid w:val="00AE75B3"/>
    <w:rPr>
      <w:rFonts w:cs="Times New Roman"/>
      <w:vertAlign w:val="superscript"/>
    </w:rPr>
  </w:style>
  <w:style w:type="character" w:styleId="CommentReference">
    <w:name w:val="annotation reference"/>
    <w:uiPriority w:val="99"/>
    <w:semiHidden/>
    <w:rsid w:val="00AE75B3"/>
    <w:rPr>
      <w:rFonts w:cs="Times New Roman"/>
      <w:sz w:val="16"/>
    </w:rPr>
  </w:style>
  <w:style w:type="paragraph" w:styleId="Index2">
    <w:name w:val="index 2"/>
    <w:basedOn w:val="Normal"/>
    <w:next w:val="Normal"/>
    <w:autoRedefine/>
    <w:uiPriority w:val="99"/>
    <w:semiHidden/>
    <w:rsid w:val="00AE75B3"/>
    <w:pPr>
      <w:spacing w:after="0" w:line="240" w:lineRule="auto"/>
      <w:ind w:left="440" w:hanging="220"/>
    </w:pPr>
    <w:rPr>
      <w:rFonts w:ascii="Times New Roman" w:eastAsia="Times New Roman" w:hAnsi="Times New Roman" w:cs="Times New Roman"/>
      <w:szCs w:val="20"/>
      <w:lang w:val="sr-Latn-CS" w:eastAsia="sr-Latn-CS" w:bidi="sr-Latn-CS"/>
    </w:rPr>
  </w:style>
  <w:style w:type="paragraph" w:styleId="Index3">
    <w:name w:val="index 3"/>
    <w:basedOn w:val="Normal"/>
    <w:next w:val="Normal"/>
    <w:autoRedefine/>
    <w:uiPriority w:val="99"/>
    <w:semiHidden/>
    <w:rsid w:val="00AE75B3"/>
    <w:pPr>
      <w:spacing w:after="0" w:line="240" w:lineRule="auto"/>
      <w:ind w:left="660" w:hanging="220"/>
    </w:pPr>
    <w:rPr>
      <w:rFonts w:ascii="Times New Roman" w:eastAsia="Times New Roman" w:hAnsi="Times New Roman" w:cs="Times New Roman"/>
      <w:szCs w:val="20"/>
      <w:lang w:val="sr-Latn-CS" w:eastAsia="sr-Latn-CS" w:bidi="sr-Latn-CS"/>
    </w:rPr>
  </w:style>
  <w:style w:type="paragraph" w:styleId="Index4">
    <w:name w:val="index 4"/>
    <w:basedOn w:val="Normal"/>
    <w:next w:val="Normal"/>
    <w:autoRedefine/>
    <w:uiPriority w:val="99"/>
    <w:semiHidden/>
    <w:rsid w:val="00AE75B3"/>
    <w:pPr>
      <w:spacing w:after="0" w:line="240" w:lineRule="auto"/>
      <w:ind w:left="880" w:hanging="220"/>
    </w:pPr>
    <w:rPr>
      <w:rFonts w:ascii="Times New Roman" w:eastAsia="Times New Roman" w:hAnsi="Times New Roman" w:cs="Times New Roman"/>
      <w:szCs w:val="20"/>
      <w:lang w:val="sr-Latn-CS" w:eastAsia="sr-Latn-CS" w:bidi="sr-Latn-CS"/>
    </w:rPr>
  </w:style>
  <w:style w:type="paragraph" w:styleId="Index5">
    <w:name w:val="index 5"/>
    <w:basedOn w:val="Normal"/>
    <w:next w:val="Normal"/>
    <w:autoRedefine/>
    <w:uiPriority w:val="99"/>
    <w:semiHidden/>
    <w:rsid w:val="00AE75B3"/>
    <w:pPr>
      <w:spacing w:after="0" w:line="240" w:lineRule="auto"/>
      <w:ind w:left="1100" w:hanging="220"/>
    </w:pPr>
    <w:rPr>
      <w:rFonts w:ascii="Times New Roman" w:eastAsia="Times New Roman" w:hAnsi="Times New Roman" w:cs="Times New Roman"/>
      <w:szCs w:val="20"/>
      <w:lang w:val="sr-Latn-CS" w:eastAsia="sr-Latn-CS" w:bidi="sr-Latn-CS"/>
    </w:rPr>
  </w:style>
  <w:style w:type="paragraph" w:styleId="Index6">
    <w:name w:val="index 6"/>
    <w:basedOn w:val="Normal"/>
    <w:next w:val="Normal"/>
    <w:autoRedefine/>
    <w:uiPriority w:val="99"/>
    <w:semiHidden/>
    <w:rsid w:val="00AE75B3"/>
    <w:pPr>
      <w:spacing w:after="0" w:line="240" w:lineRule="auto"/>
      <w:ind w:left="1320" w:hanging="220"/>
    </w:pPr>
    <w:rPr>
      <w:rFonts w:ascii="Times New Roman" w:eastAsia="Times New Roman" w:hAnsi="Times New Roman" w:cs="Times New Roman"/>
      <w:szCs w:val="20"/>
      <w:lang w:val="sr-Latn-CS" w:eastAsia="sr-Latn-CS" w:bidi="sr-Latn-CS"/>
    </w:rPr>
  </w:style>
  <w:style w:type="paragraph" w:styleId="Index7">
    <w:name w:val="index 7"/>
    <w:basedOn w:val="Normal"/>
    <w:next w:val="Normal"/>
    <w:autoRedefine/>
    <w:uiPriority w:val="99"/>
    <w:semiHidden/>
    <w:rsid w:val="00AE75B3"/>
    <w:pPr>
      <w:spacing w:after="0" w:line="240" w:lineRule="auto"/>
      <w:ind w:left="1540" w:hanging="220"/>
    </w:pPr>
    <w:rPr>
      <w:rFonts w:ascii="Times New Roman" w:eastAsia="Times New Roman" w:hAnsi="Times New Roman" w:cs="Times New Roman"/>
      <w:szCs w:val="20"/>
      <w:lang w:val="sr-Latn-CS" w:eastAsia="sr-Latn-CS" w:bidi="sr-Latn-CS"/>
    </w:rPr>
  </w:style>
  <w:style w:type="paragraph" w:styleId="Index8">
    <w:name w:val="index 8"/>
    <w:basedOn w:val="Normal"/>
    <w:next w:val="Normal"/>
    <w:autoRedefine/>
    <w:uiPriority w:val="99"/>
    <w:semiHidden/>
    <w:rsid w:val="00AE75B3"/>
    <w:pPr>
      <w:spacing w:after="0" w:line="240" w:lineRule="auto"/>
      <w:ind w:left="1760" w:hanging="220"/>
    </w:pPr>
    <w:rPr>
      <w:rFonts w:ascii="Times New Roman" w:eastAsia="Times New Roman" w:hAnsi="Times New Roman" w:cs="Times New Roman"/>
      <w:szCs w:val="20"/>
      <w:lang w:val="sr-Latn-CS" w:eastAsia="sr-Latn-CS" w:bidi="sr-Latn-CS"/>
    </w:rPr>
  </w:style>
  <w:style w:type="paragraph" w:styleId="Index9">
    <w:name w:val="index 9"/>
    <w:basedOn w:val="Normal"/>
    <w:next w:val="Normal"/>
    <w:autoRedefine/>
    <w:uiPriority w:val="99"/>
    <w:semiHidden/>
    <w:rsid w:val="00AE75B3"/>
    <w:pPr>
      <w:spacing w:after="0" w:line="240" w:lineRule="auto"/>
      <w:ind w:left="1980" w:hanging="220"/>
    </w:pPr>
    <w:rPr>
      <w:rFonts w:ascii="Times New Roman" w:eastAsia="Times New Roman" w:hAnsi="Times New Roman" w:cs="Times New Roman"/>
      <w:szCs w:val="20"/>
      <w:lang w:val="sr-Latn-CS" w:eastAsia="sr-Latn-CS" w:bidi="sr-Latn-CS"/>
    </w:rPr>
  </w:style>
  <w:style w:type="paragraph" w:styleId="IndexHeading">
    <w:name w:val="index heading"/>
    <w:basedOn w:val="Normal"/>
    <w:next w:val="Index1"/>
    <w:uiPriority w:val="99"/>
    <w:semiHidden/>
    <w:rsid w:val="00AE75B3"/>
    <w:pPr>
      <w:spacing w:after="0" w:line="240" w:lineRule="auto"/>
    </w:pPr>
    <w:rPr>
      <w:rFonts w:ascii="Arial" w:eastAsia="Times New Roman" w:hAnsi="Arial" w:cs="Arial"/>
      <w:b/>
      <w:bCs/>
      <w:szCs w:val="20"/>
      <w:lang w:val="sr-Latn-CS" w:eastAsia="sr-Latn-CS" w:bidi="sr-Latn-CS"/>
    </w:rPr>
  </w:style>
  <w:style w:type="paragraph" w:styleId="TableofAuthorities">
    <w:name w:val="table of authorities"/>
    <w:basedOn w:val="Normal"/>
    <w:next w:val="Normal"/>
    <w:uiPriority w:val="99"/>
    <w:semiHidden/>
    <w:rsid w:val="00AE75B3"/>
    <w:pPr>
      <w:spacing w:after="0" w:line="240" w:lineRule="auto"/>
      <w:ind w:left="220" w:hanging="220"/>
    </w:pPr>
    <w:rPr>
      <w:rFonts w:ascii="Times New Roman" w:eastAsia="Times New Roman" w:hAnsi="Times New Roman" w:cs="Times New Roman"/>
      <w:szCs w:val="20"/>
      <w:lang w:val="sr-Latn-CS" w:eastAsia="sr-Latn-CS" w:bidi="sr-Latn-CS"/>
    </w:rPr>
  </w:style>
  <w:style w:type="paragraph" w:styleId="TableofFigures">
    <w:name w:val="table of figures"/>
    <w:basedOn w:val="Normal"/>
    <w:next w:val="Normal"/>
    <w:uiPriority w:val="99"/>
    <w:semiHidden/>
    <w:rsid w:val="00AE75B3"/>
    <w:pPr>
      <w:spacing w:after="0" w:line="240" w:lineRule="auto"/>
    </w:pPr>
    <w:rPr>
      <w:rFonts w:ascii="Times New Roman" w:eastAsia="Times New Roman" w:hAnsi="Times New Roman" w:cs="Times New Roman"/>
      <w:szCs w:val="20"/>
      <w:lang w:val="sr-Latn-CS" w:eastAsia="sr-Latn-CS" w:bidi="sr-Latn-CS"/>
    </w:rPr>
  </w:style>
  <w:style w:type="paragraph" w:styleId="TOAHeading">
    <w:name w:val="toa heading"/>
    <w:basedOn w:val="Normal"/>
    <w:next w:val="Normal"/>
    <w:uiPriority w:val="99"/>
    <w:semiHidden/>
    <w:rsid w:val="00AE75B3"/>
    <w:pPr>
      <w:spacing w:before="120" w:after="0" w:line="240" w:lineRule="auto"/>
    </w:pPr>
    <w:rPr>
      <w:rFonts w:ascii="Arial" w:eastAsia="Times New Roman" w:hAnsi="Arial" w:cs="Arial"/>
      <w:b/>
      <w:bCs/>
      <w:sz w:val="24"/>
      <w:szCs w:val="24"/>
      <w:lang w:val="sr-Latn-CS" w:eastAsia="sr-Latn-CS" w:bidi="sr-Latn-CS"/>
    </w:rPr>
  </w:style>
  <w:style w:type="paragraph" w:styleId="TOC2">
    <w:name w:val="toc 2"/>
    <w:basedOn w:val="Normal"/>
    <w:next w:val="Normal"/>
    <w:autoRedefine/>
    <w:uiPriority w:val="39"/>
    <w:semiHidden/>
    <w:rsid w:val="00AE75B3"/>
    <w:pPr>
      <w:spacing w:after="0" w:line="240" w:lineRule="auto"/>
      <w:ind w:left="220"/>
    </w:pPr>
    <w:rPr>
      <w:rFonts w:ascii="Times New Roman" w:eastAsia="Times New Roman" w:hAnsi="Times New Roman" w:cs="Times New Roman"/>
      <w:szCs w:val="20"/>
      <w:lang w:val="sr-Latn-CS" w:eastAsia="sr-Latn-CS" w:bidi="sr-Latn-CS"/>
    </w:rPr>
  </w:style>
  <w:style w:type="paragraph" w:styleId="TOC3">
    <w:name w:val="toc 3"/>
    <w:basedOn w:val="Normal"/>
    <w:next w:val="Normal"/>
    <w:autoRedefine/>
    <w:uiPriority w:val="39"/>
    <w:semiHidden/>
    <w:rsid w:val="00AE75B3"/>
    <w:pPr>
      <w:spacing w:after="0" w:line="240" w:lineRule="auto"/>
      <w:ind w:left="440"/>
    </w:pPr>
    <w:rPr>
      <w:rFonts w:ascii="Times New Roman" w:eastAsia="Times New Roman" w:hAnsi="Times New Roman" w:cs="Times New Roman"/>
      <w:szCs w:val="20"/>
      <w:lang w:val="sr-Latn-CS" w:eastAsia="sr-Latn-CS" w:bidi="sr-Latn-CS"/>
    </w:rPr>
  </w:style>
  <w:style w:type="paragraph" w:styleId="TOC4">
    <w:name w:val="toc 4"/>
    <w:basedOn w:val="Normal"/>
    <w:next w:val="Normal"/>
    <w:autoRedefine/>
    <w:uiPriority w:val="39"/>
    <w:semiHidden/>
    <w:rsid w:val="00AE75B3"/>
    <w:pPr>
      <w:spacing w:after="0" w:line="240" w:lineRule="auto"/>
      <w:ind w:left="660"/>
    </w:pPr>
    <w:rPr>
      <w:rFonts w:ascii="Times New Roman" w:eastAsia="Times New Roman" w:hAnsi="Times New Roman" w:cs="Times New Roman"/>
      <w:szCs w:val="20"/>
      <w:lang w:val="sr-Latn-CS" w:eastAsia="sr-Latn-CS" w:bidi="sr-Latn-CS"/>
    </w:rPr>
  </w:style>
  <w:style w:type="paragraph" w:styleId="TOC5">
    <w:name w:val="toc 5"/>
    <w:basedOn w:val="Normal"/>
    <w:next w:val="Normal"/>
    <w:autoRedefine/>
    <w:uiPriority w:val="39"/>
    <w:semiHidden/>
    <w:rsid w:val="00AE75B3"/>
    <w:pPr>
      <w:spacing w:after="0" w:line="240" w:lineRule="auto"/>
      <w:ind w:left="880"/>
    </w:pPr>
    <w:rPr>
      <w:rFonts w:ascii="Times New Roman" w:eastAsia="Times New Roman" w:hAnsi="Times New Roman" w:cs="Times New Roman"/>
      <w:szCs w:val="20"/>
      <w:lang w:val="sr-Latn-CS" w:eastAsia="sr-Latn-CS" w:bidi="sr-Latn-CS"/>
    </w:rPr>
  </w:style>
  <w:style w:type="paragraph" w:styleId="TOC6">
    <w:name w:val="toc 6"/>
    <w:basedOn w:val="Normal"/>
    <w:next w:val="Normal"/>
    <w:autoRedefine/>
    <w:uiPriority w:val="39"/>
    <w:semiHidden/>
    <w:rsid w:val="00AE75B3"/>
    <w:pPr>
      <w:spacing w:after="0" w:line="240" w:lineRule="auto"/>
      <w:ind w:left="1100"/>
    </w:pPr>
    <w:rPr>
      <w:rFonts w:ascii="Times New Roman" w:eastAsia="Times New Roman" w:hAnsi="Times New Roman" w:cs="Times New Roman"/>
      <w:szCs w:val="20"/>
      <w:lang w:val="sr-Latn-CS" w:eastAsia="sr-Latn-CS" w:bidi="sr-Latn-CS"/>
    </w:rPr>
  </w:style>
  <w:style w:type="paragraph" w:styleId="TOC7">
    <w:name w:val="toc 7"/>
    <w:basedOn w:val="Normal"/>
    <w:next w:val="Normal"/>
    <w:autoRedefine/>
    <w:uiPriority w:val="39"/>
    <w:semiHidden/>
    <w:rsid w:val="00AE75B3"/>
    <w:pPr>
      <w:spacing w:after="0" w:line="240" w:lineRule="auto"/>
      <w:ind w:left="1320"/>
    </w:pPr>
    <w:rPr>
      <w:rFonts w:ascii="Times New Roman" w:eastAsia="Times New Roman" w:hAnsi="Times New Roman" w:cs="Times New Roman"/>
      <w:szCs w:val="20"/>
      <w:lang w:val="sr-Latn-CS" w:eastAsia="sr-Latn-CS" w:bidi="sr-Latn-CS"/>
    </w:rPr>
  </w:style>
  <w:style w:type="paragraph" w:styleId="TOC8">
    <w:name w:val="toc 8"/>
    <w:basedOn w:val="Normal"/>
    <w:next w:val="Normal"/>
    <w:autoRedefine/>
    <w:uiPriority w:val="39"/>
    <w:semiHidden/>
    <w:rsid w:val="00AE75B3"/>
    <w:pPr>
      <w:spacing w:after="0" w:line="240" w:lineRule="auto"/>
      <w:ind w:left="1540"/>
    </w:pPr>
    <w:rPr>
      <w:rFonts w:ascii="Times New Roman" w:eastAsia="Times New Roman" w:hAnsi="Times New Roman" w:cs="Times New Roman"/>
      <w:szCs w:val="20"/>
      <w:lang w:val="sr-Latn-CS" w:eastAsia="sr-Latn-CS" w:bidi="sr-Latn-CS"/>
    </w:rPr>
  </w:style>
  <w:style w:type="paragraph" w:styleId="TOC9">
    <w:name w:val="toc 9"/>
    <w:basedOn w:val="Normal"/>
    <w:next w:val="Normal"/>
    <w:autoRedefine/>
    <w:uiPriority w:val="39"/>
    <w:semiHidden/>
    <w:rsid w:val="00AE75B3"/>
    <w:pPr>
      <w:spacing w:after="0" w:line="240" w:lineRule="auto"/>
      <w:ind w:left="1760"/>
    </w:pPr>
    <w:rPr>
      <w:rFonts w:ascii="Times New Roman" w:eastAsia="Times New Roman" w:hAnsi="Times New Roman" w:cs="Times New Roman"/>
      <w:szCs w:val="20"/>
      <w:lang w:val="sr-Latn-CS" w:eastAsia="sr-Latn-CS" w:bidi="sr-Latn-CS"/>
    </w:rPr>
  </w:style>
  <w:style w:type="character" w:customStyle="1" w:styleId="AnnotationtextCharChar">
    <w:name w:val="Annotationtext Char Char"/>
    <w:semiHidden/>
    <w:rsid w:val="00AE75B3"/>
    <w:rPr>
      <w:lang w:val="sr-Latn-CS" w:eastAsia="sr-Latn-CS"/>
    </w:rPr>
  </w:style>
  <w:style w:type="paragraph" w:styleId="Revision">
    <w:name w:val="Revision"/>
    <w:hidden/>
    <w:uiPriority w:val="99"/>
    <w:semiHidden/>
    <w:rsid w:val="00AE75B3"/>
    <w:pPr>
      <w:spacing w:after="0" w:line="240" w:lineRule="auto"/>
    </w:pPr>
    <w:rPr>
      <w:rFonts w:ascii="Times New Roman" w:eastAsia="Times New Roman" w:hAnsi="Times New Roman" w:cs="Times New Roman"/>
      <w:szCs w:val="20"/>
      <w:lang w:val="sr-Latn-CS" w:eastAsia="sr-Latn-CS" w:bidi="sr-Latn-CS"/>
    </w:rPr>
  </w:style>
  <w:style w:type="numbering" w:customStyle="1" w:styleId="NoList1">
    <w:name w:val="No List1"/>
    <w:next w:val="NoList"/>
    <w:uiPriority w:val="99"/>
    <w:semiHidden/>
    <w:unhideWhenUsed/>
    <w:rsid w:val="00AE75B3"/>
  </w:style>
  <w:style w:type="table" w:customStyle="1" w:styleId="TableGrid1">
    <w:name w:val="Table Grid1"/>
    <w:basedOn w:val="TableNormal"/>
    <w:next w:val="TableGrid"/>
    <w:uiPriority w:val="59"/>
    <w:rsid w:val="00AE75B3"/>
    <w:pPr>
      <w:tabs>
        <w:tab w:val="left" w:pos="567"/>
      </w:tabs>
      <w:spacing w:after="0" w:line="260" w:lineRule="exact"/>
    </w:pPr>
    <w:rPr>
      <w:rFonts w:ascii="Times New Roman" w:eastAsia="SimSun" w:hAnsi="Times New Roman" w:cs="Times New Roman"/>
      <w:sz w:val="20"/>
      <w:szCs w:val="20"/>
      <w:lang w:val="sr-Latn-CS" w:eastAsia="sr-Latn-CS" w:bidi="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ezeljenadejstva@calims.me" TargetMode="External"/><Relationship Id="rId4" Type="http://schemas.openxmlformats.org/officeDocument/2006/relationships/settings" Target="settings.xml"/><Relationship Id="rId9" Type="http://schemas.openxmlformats.org/officeDocument/2006/relationships/hyperlink" Target="http://www.calims.m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77F5D1-F6C8-4ED6-BA59-0B0BB144E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56</Pages>
  <Words>15282</Words>
  <Characters>87109</Characters>
  <Application>Microsoft Office Word</Application>
  <DocSecurity>0</DocSecurity>
  <Lines>725</Lines>
  <Paragraphs>204</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102187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Tijana Mićović</cp:lastModifiedBy>
  <cp:revision>21</cp:revision>
  <dcterms:created xsi:type="dcterms:W3CDTF">2017-06-23T08:04:00Z</dcterms:created>
  <dcterms:modified xsi:type="dcterms:W3CDTF">2018-05-28T05:59:00Z</dcterms:modified>
</cp:coreProperties>
</file>