
<file path=[Content_Types].xml><?xml version="1.0" encoding="utf-8"?>
<Types xmlns="http://schemas.openxmlformats.org/package/2006/content-types">
  <Default Extension="emf" ContentType="image/x-emf"/>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5DA1" w:rsidRPr="00E942A7" w:rsidRDefault="006F5DA1" w:rsidP="006F5DA1">
      <w:pPr>
        <w:tabs>
          <w:tab w:val="left" w:pos="360"/>
        </w:tabs>
        <w:rPr>
          <w:b/>
          <w:bCs/>
          <w:i/>
          <w:iCs/>
          <w:sz w:val="22"/>
          <w:szCs w:val="22"/>
          <w:u w:val="single"/>
          <w:lang w:val="en-US"/>
        </w:rPr>
      </w:pPr>
    </w:p>
    <w:p w:rsidR="006F5DA1" w:rsidRPr="00E942A7" w:rsidRDefault="006F5DA1" w:rsidP="006F5DA1">
      <w:pPr>
        <w:rPr>
          <w:b/>
          <w:bCs/>
          <w:i/>
          <w:iCs/>
          <w:sz w:val="22"/>
          <w:szCs w:val="22"/>
          <w:u w:val="single"/>
          <w:lang w:val="en-US"/>
        </w:rPr>
      </w:pPr>
    </w:p>
    <w:p w:rsidR="006F5DA1" w:rsidRPr="00E942A7" w:rsidRDefault="006F5DA1" w:rsidP="006F5DA1">
      <w:pPr>
        <w:rPr>
          <w:b/>
          <w:bCs/>
          <w:i/>
          <w:iCs/>
          <w:sz w:val="22"/>
          <w:szCs w:val="22"/>
          <w:u w:val="single"/>
          <w:lang w:val="en-US"/>
        </w:rPr>
      </w:pPr>
    </w:p>
    <w:p w:rsidR="006F5DA1" w:rsidRPr="00E942A7" w:rsidRDefault="006F5DA1" w:rsidP="006F5DA1">
      <w:pPr>
        <w:rPr>
          <w:b/>
          <w:bCs/>
          <w:i/>
          <w:iCs/>
          <w:sz w:val="22"/>
          <w:szCs w:val="22"/>
          <w:u w:val="single"/>
          <w:lang w:val="en-US"/>
        </w:rPr>
      </w:pPr>
    </w:p>
    <w:p w:rsidR="006F5DA1" w:rsidRPr="00E942A7" w:rsidRDefault="006F5DA1" w:rsidP="006F5DA1">
      <w:pPr>
        <w:rPr>
          <w:b/>
          <w:bCs/>
          <w:i/>
          <w:iCs/>
          <w:sz w:val="22"/>
          <w:szCs w:val="22"/>
          <w:u w:val="single"/>
          <w:lang w:val="en-US"/>
        </w:rPr>
      </w:pPr>
    </w:p>
    <w:p w:rsidR="006F5DA1" w:rsidRPr="00E942A7" w:rsidRDefault="006F5DA1" w:rsidP="006F5DA1">
      <w:pPr>
        <w:rPr>
          <w:b/>
          <w:bCs/>
          <w:i/>
          <w:iCs/>
          <w:sz w:val="22"/>
          <w:szCs w:val="22"/>
          <w:u w:val="single"/>
          <w:lang w:val="en-US"/>
        </w:rPr>
      </w:pPr>
    </w:p>
    <w:p w:rsidR="006F5DA1" w:rsidRPr="00E942A7" w:rsidRDefault="006F5DA1" w:rsidP="006F5DA1">
      <w:pPr>
        <w:rPr>
          <w:b/>
          <w:bCs/>
          <w:i/>
          <w:iCs/>
          <w:sz w:val="22"/>
          <w:szCs w:val="22"/>
          <w:u w:val="single"/>
          <w:lang w:val="en-US"/>
        </w:rPr>
      </w:pPr>
    </w:p>
    <w:p w:rsidR="006F5DA1" w:rsidRPr="00E942A7" w:rsidRDefault="006F5DA1" w:rsidP="006F5DA1">
      <w:pPr>
        <w:rPr>
          <w:b/>
          <w:bCs/>
          <w:i/>
          <w:iCs/>
          <w:sz w:val="22"/>
          <w:szCs w:val="22"/>
          <w:u w:val="single"/>
          <w:lang w:val="en-US"/>
        </w:rPr>
      </w:pPr>
    </w:p>
    <w:p w:rsidR="006F5DA1" w:rsidRPr="00E942A7" w:rsidRDefault="006F5DA1" w:rsidP="006F5DA1">
      <w:pPr>
        <w:rPr>
          <w:b/>
          <w:bCs/>
          <w:i/>
          <w:iCs/>
          <w:sz w:val="22"/>
          <w:szCs w:val="22"/>
          <w:u w:val="single"/>
          <w:lang w:val="en-US"/>
        </w:rPr>
      </w:pPr>
    </w:p>
    <w:p w:rsidR="006F5DA1" w:rsidRPr="00E942A7" w:rsidRDefault="006F5DA1" w:rsidP="006F5DA1">
      <w:pPr>
        <w:rPr>
          <w:b/>
          <w:bCs/>
          <w:i/>
          <w:iCs/>
          <w:sz w:val="22"/>
          <w:szCs w:val="22"/>
          <w:u w:val="single"/>
          <w:lang w:val="en-US"/>
        </w:rPr>
      </w:pPr>
    </w:p>
    <w:p w:rsidR="006F5DA1" w:rsidRPr="00E942A7" w:rsidRDefault="006F5DA1" w:rsidP="006F5DA1">
      <w:pPr>
        <w:rPr>
          <w:b/>
          <w:bCs/>
          <w:i/>
          <w:iCs/>
          <w:sz w:val="22"/>
          <w:szCs w:val="22"/>
          <w:u w:val="single"/>
          <w:lang w:val="en-US"/>
        </w:rPr>
      </w:pPr>
    </w:p>
    <w:tbl>
      <w:tblPr>
        <w:tblW w:w="9360" w:type="dxa"/>
        <w:jc w:val="center"/>
        <w:tblLayout w:type="fixed"/>
        <w:tblLook w:val="0000" w:firstRow="0" w:lastRow="0" w:firstColumn="0" w:lastColumn="0" w:noHBand="0" w:noVBand="0"/>
      </w:tblPr>
      <w:tblGrid>
        <w:gridCol w:w="2160"/>
        <w:gridCol w:w="7200"/>
      </w:tblGrid>
      <w:tr w:rsidR="006F5DA1" w:rsidRPr="00E942A7" w:rsidTr="001F5CB2">
        <w:trPr>
          <w:trHeight w:val="530"/>
          <w:jc w:val="center"/>
        </w:trPr>
        <w:tc>
          <w:tcPr>
            <w:tcW w:w="9360" w:type="dxa"/>
            <w:gridSpan w:val="2"/>
            <w:vAlign w:val="center"/>
          </w:tcPr>
          <w:p w:rsidR="006F5DA1" w:rsidRPr="00E942A7" w:rsidRDefault="006F5DA1" w:rsidP="006F5DA1">
            <w:pPr>
              <w:jc w:val="center"/>
              <w:rPr>
                <w:b/>
                <w:bCs/>
                <w:iCs/>
                <w:sz w:val="22"/>
                <w:szCs w:val="22"/>
                <w:u w:val="single"/>
                <w:lang w:val="en-US"/>
              </w:rPr>
            </w:pPr>
            <w:r w:rsidRPr="00E942A7">
              <w:rPr>
                <w:b/>
                <w:bCs/>
                <w:iCs/>
                <w:sz w:val="22"/>
                <w:szCs w:val="22"/>
                <w:u w:val="single"/>
                <w:lang w:val="en-US"/>
              </w:rPr>
              <w:t>SAŽETAK KARAKTERISTIKA LIJEKA</w:t>
            </w:r>
          </w:p>
        </w:tc>
      </w:tr>
      <w:tr w:rsidR="006F5DA1" w:rsidRPr="00E942A7" w:rsidTr="001F5CB2">
        <w:trPr>
          <w:trHeight w:val="1969"/>
          <w:jc w:val="center"/>
        </w:trPr>
        <w:tc>
          <w:tcPr>
            <w:tcW w:w="9360" w:type="dxa"/>
            <w:gridSpan w:val="2"/>
            <w:vAlign w:val="bottom"/>
          </w:tcPr>
          <w:p w:rsidR="006F5DA1" w:rsidRPr="00E942A7" w:rsidRDefault="006F5DA1" w:rsidP="006F5DA1">
            <w:pPr>
              <w:autoSpaceDE w:val="0"/>
              <w:autoSpaceDN w:val="0"/>
              <w:adjustRightInd w:val="0"/>
              <w:jc w:val="center"/>
              <w:rPr>
                <w:b/>
                <w:sz w:val="22"/>
                <w:szCs w:val="22"/>
                <w:lang w:val="pl-PL"/>
              </w:rPr>
            </w:pPr>
          </w:p>
          <w:p w:rsidR="006F5DA1" w:rsidRPr="00E942A7" w:rsidRDefault="006F5DA1" w:rsidP="006F5DA1">
            <w:pPr>
              <w:autoSpaceDE w:val="0"/>
              <w:autoSpaceDN w:val="0"/>
              <w:adjustRightInd w:val="0"/>
              <w:jc w:val="center"/>
              <w:rPr>
                <w:b/>
                <w:bCs/>
                <w:sz w:val="22"/>
                <w:szCs w:val="22"/>
                <w:lang w:val="pl-PL"/>
              </w:rPr>
            </w:pPr>
            <w:r w:rsidRPr="00E942A7">
              <w:rPr>
                <w:b/>
                <w:sz w:val="22"/>
                <w:szCs w:val="22"/>
                <w:lang w:val="pl-PL"/>
              </w:rPr>
              <w:t>ZOLEDRONIC ACID</w:t>
            </w:r>
            <w:r w:rsidRPr="00E942A7">
              <w:rPr>
                <w:b/>
                <w:bCs/>
                <w:sz w:val="22"/>
                <w:szCs w:val="22"/>
                <w:lang w:val="pl-PL"/>
              </w:rPr>
              <w:t xml:space="preserve"> HOSPIRA</w:t>
            </w:r>
            <w:r w:rsidRPr="00E942A7">
              <w:rPr>
                <w:b/>
                <w:bCs/>
                <w:sz w:val="22"/>
                <w:szCs w:val="22"/>
                <w:vertAlign w:val="superscript"/>
                <w:lang w:val="pl-PL"/>
              </w:rPr>
              <w:t>®</w:t>
            </w:r>
            <w:r w:rsidRPr="00E942A7">
              <w:rPr>
                <w:b/>
                <w:bCs/>
                <w:sz w:val="22"/>
                <w:szCs w:val="22"/>
                <w:lang w:val="pl-PL"/>
              </w:rPr>
              <w:t>,</w:t>
            </w:r>
            <w:r w:rsidRPr="00E942A7">
              <w:rPr>
                <w:b/>
                <w:i/>
                <w:sz w:val="22"/>
                <w:szCs w:val="22"/>
                <w:lang w:val="pl-PL"/>
              </w:rPr>
              <w:t xml:space="preserve"> </w:t>
            </w:r>
            <w:r w:rsidRPr="00E942A7">
              <w:rPr>
                <w:b/>
                <w:bCs/>
                <w:sz w:val="22"/>
                <w:szCs w:val="22"/>
                <w:lang w:val="pl-PL"/>
              </w:rPr>
              <w:t>koncentrat za rastvor za infuziju,</w:t>
            </w:r>
          </w:p>
          <w:p w:rsidR="006F5DA1" w:rsidRPr="00E942A7" w:rsidRDefault="006F5DA1" w:rsidP="006F5DA1">
            <w:pPr>
              <w:autoSpaceDE w:val="0"/>
              <w:autoSpaceDN w:val="0"/>
              <w:adjustRightInd w:val="0"/>
              <w:jc w:val="center"/>
              <w:rPr>
                <w:b/>
                <w:bCs/>
                <w:sz w:val="22"/>
                <w:szCs w:val="22"/>
                <w:lang w:val="en-US"/>
              </w:rPr>
            </w:pPr>
            <w:r w:rsidRPr="00E942A7">
              <w:rPr>
                <w:b/>
                <w:bCs/>
                <w:sz w:val="22"/>
                <w:szCs w:val="22"/>
                <w:lang w:val="en-US"/>
              </w:rPr>
              <w:t>4mg/5ml, bočica, 1x5ml</w:t>
            </w:r>
          </w:p>
          <w:p w:rsidR="006F5DA1" w:rsidRPr="00E942A7" w:rsidRDefault="006F5DA1" w:rsidP="006F5DA1">
            <w:pPr>
              <w:spacing w:after="40"/>
              <w:jc w:val="center"/>
              <w:rPr>
                <w:b/>
                <w:bCs/>
                <w:sz w:val="22"/>
                <w:szCs w:val="22"/>
                <w:lang w:val="en-US"/>
              </w:rPr>
            </w:pPr>
          </w:p>
          <w:p w:rsidR="006F5DA1" w:rsidRPr="00E942A7" w:rsidRDefault="006F5DA1" w:rsidP="006F5DA1">
            <w:pPr>
              <w:spacing w:after="40"/>
              <w:rPr>
                <w:b/>
                <w:bCs/>
                <w:sz w:val="22"/>
                <w:szCs w:val="22"/>
                <w:lang w:val="en-US"/>
              </w:rPr>
            </w:pPr>
          </w:p>
        </w:tc>
      </w:tr>
      <w:tr w:rsidR="006F5DA1" w:rsidRPr="00E942A7" w:rsidTr="001F5CB2">
        <w:trPr>
          <w:trHeight w:val="1225"/>
          <w:jc w:val="center"/>
        </w:trPr>
        <w:tc>
          <w:tcPr>
            <w:tcW w:w="9360" w:type="dxa"/>
            <w:gridSpan w:val="2"/>
          </w:tcPr>
          <w:p w:rsidR="006F5DA1" w:rsidRPr="00E942A7" w:rsidRDefault="006F5DA1" w:rsidP="006F5DA1">
            <w:pPr>
              <w:keepNext/>
              <w:tabs>
                <w:tab w:val="left" w:pos="284"/>
              </w:tabs>
              <w:jc w:val="center"/>
              <w:outlineLvl w:val="1"/>
              <w:rPr>
                <w:i/>
                <w:iCs/>
                <w:color w:val="808080"/>
                <w:sz w:val="22"/>
                <w:szCs w:val="22"/>
                <w:lang w:val="ru-RU"/>
              </w:rPr>
            </w:pPr>
          </w:p>
        </w:tc>
      </w:tr>
      <w:tr w:rsidR="006F5DA1" w:rsidRPr="00E942A7" w:rsidTr="001F5CB2">
        <w:trPr>
          <w:jc w:val="center"/>
        </w:trPr>
        <w:tc>
          <w:tcPr>
            <w:tcW w:w="2160" w:type="dxa"/>
            <w:vAlign w:val="bottom"/>
          </w:tcPr>
          <w:p w:rsidR="006F5DA1" w:rsidRPr="00E942A7" w:rsidRDefault="006F5DA1" w:rsidP="006F5DA1">
            <w:pPr>
              <w:spacing w:before="200"/>
              <w:jc w:val="right"/>
              <w:rPr>
                <w:sz w:val="22"/>
                <w:szCs w:val="22"/>
                <w:lang w:val="en-US"/>
              </w:rPr>
            </w:pPr>
            <w:r w:rsidRPr="00E942A7">
              <w:rPr>
                <w:sz w:val="22"/>
                <w:szCs w:val="22"/>
                <w:lang w:val="sr-Latn-CS"/>
              </w:rPr>
              <w:t>Proizvođač:</w:t>
            </w:r>
          </w:p>
        </w:tc>
        <w:tc>
          <w:tcPr>
            <w:tcW w:w="7200" w:type="dxa"/>
            <w:vAlign w:val="bottom"/>
          </w:tcPr>
          <w:p w:rsidR="006F5DA1" w:rsidRPr="00E942A7" w:rsidRDefault="006F5DA1" w:rsidP="006F5DA1">
            <w:pPr>
              <w:spacing w:before="200"/>
              <w:rPr>
                <w:b/>
                <w:bCs/>
                <w:sz w:val="22"/>
                <w:szCs w:val="22"/>
                <w:lang w:val="en-US"/>
              </w:rPr>
            </w:pPr>
            <w:r w:rsidRPr="00E942A7">
              <w:rPr>
                <w:b/>
                <w:bCs/>
                <w:sz w:val="22"/>
                <w:szCs w:val="22"/>
                <w:lang w:val="en-US"/>
              </w:rPr>
              <w:t>Hospira Enterprises B.V.</w:t>
            </w:r>
          </w:p>
        </w:tc>
      </w:tr>
      <w:tr w:rsidR="006F5DA1" w:rsidRPr="00E942A7" w:rsidTr="001F5CB2">
        <w:trPr>
          <w:jc w:val="center"/>
        </w:trPr>
        <w:tc>
          <w:tcPr>
            <w:tcW w:w="2160" w:type="dxa"/>
            <w:vAlign w:val="bottom"/>
          </w:tcPr>
          <w:p w:rsidR="006F5DA1" w:rsidRPr="00E942A7" w:rsidRDefault="006F5DA1" w:rsidP="006F5DA1">
            <w:pPr>
              <w:spacing w:before="200"/>
              <w:jc w:val="right"/>
              <w:rPr>
                <w:sz w:val="22"/>
                <w:szCs w:val="22"/>
                <w:lang w:val="en-US"/>
              </w:rPr>
            </w:pPr>
            <w:r w:rsidRPr="00E942A7">
              <w:rPr>
                <w:sz w:val="22"/>
                <w:szCs w:val="22"/>
                <w:lang w:val="en-US"/>
              </w:rPr>
              <w:t>Adresa:</w:t>
            </w:r>
          </w:p>
        </w:tc>
        <w:tc>
          <w:tcPr>
            <w:tcW w:w="7200" w:type="dxa"/>
            <w:vAlign w:val="bottom"/>
          </w:tcPr>
          <w:p w:rsidR="006F5DA1" w:rsidRPr="00E942A7" w:rsidRDefault="006F5DA1" w:rsidP="006F5DA1">
            <w:pPr>
              <w:spacing w:before="200"/>
              <w:rPr>
                <w:b/>
                <w:bCs/>
                <w:sz w:val="22"/>
                <w:szCs w:val="22"/>
                <w:lang w:val="en-US"/>
              </w:rPr>
            </w:pPr>
            <w:r w:rsidRPr="00E942A7">
              <w:rPr>
                <w:b/>
                <w:bCs/>
                <w:sz w:val="22"/>
                <w:szCs w:val="22"/>
                <w:lang w:val="en-US"/>
              </w:rPr>
              <w:t>Randstad 22-11, 1316 BN Almere, Holandija</w:t>
            </w:r>
          </w:p>
        </w:tc>
      </w:tr>
      <w:tr w:rsidR="006F5DA1" w:rsidRPr="00E942A7" w:rsidTr="001F5CB2">
        <w:trPr>
          <w:jc w:val="center"/>
        </w:trPr>
        <w:tc>
          <w:tcPr>
            <w:tcW w:w="2160" w:type="dxa"/>
            <w:vAlign w:val="bottom"/>
          </w:tcPr>
          <w:p w:rsidR="006F5DA1" w:rsidRPr="00E942A7" w:rsidRDefault="006F5DA1" w:rsidP="006F5DA1">
            <w:pPr>
              <w:spacing w:before="200"/>
              <w:jc w:val="right"/>
              <w:rPr>
                <w:sz w:val="22"/>
                <w:szCs w:val="22"/>
                <w:lang w:val="en-US"/>
              </w:rPr>
            </w:pPr>
            <w:r w:rsidRPr="00E942A7">
              <w:rPr>
                <w:sz w:val="22"/>
                <w:szCs w:val="22"/>
                <w:lang w:val="sr-Latn-CS"/>
              </w:rPr>
              <w:t>Podnosilac zahtjeva</w:t>
            </w:r>
            <w:r w:rsidRPr="00E942A7">
              <w:rPr>
                <w:sz w:val="22"/>
                <w:szCs w:val="22"/>
                <w:lang w:val="en-US"/>
              </w:rPr>
              <w:t>:</w:t>
            </w:r>
          </w:p>
        </w:tc>
        <w:tc>
          <w:tcPr>
            <w:tcW w:w="7200" w:type="dxa"/>
            <w:vAlign w:val="bottom"/>
          </w:tcPr>
          <w:p w:rsidR="006F5DA1" w:rsidRPr="00E942A7" w:rsidRDefault="0004754C" w:rsidP="006F5DA1">
            <w:pPr>
              <w:spacing w:before="200"/>
              <w:rPr>
                <w:b/>
                <w:bCs/>
                <w:sz w:val="22"/>
                <w:szCs w:val="22"/>
                <w:lang w:val="en-US"/>
              </w:rPr>
            </w:pPr>
            <w:r w:rsidRPr="0004754C">
              <w:rPr>
                <w:b/>
                <w:bCs/>
                <w:sz w:val="22"/>
                <w:szCs w:val="22"/>
                <w:lang w:val="en-US"/>
              </w:rPr>
              <w:t>Evropa Lek Pharma d.o.o. Podgorica</w:t>
            </w:r>
          </w:p>
        </w:tc>
      </w:tr>
      <w:tr w:rsidR="006F5DA1" w:rsidRPr="00E942A7" w:rsidTr="001F5CB2">
        <w:trPr>
          <w:jc w:val="center"/>
        </w:trPr>
        <w:tc>
          <w:tcPr>
            <w:tcW w:w="2160" w:type="dxa"/>
            <w:vAlign w:val="bottom"/>
          </w:tcPr>
          <w:p w:rsidR="006F5DA1" w:rsidRPr="00E942A7" w:rsidRDefault="006F5DA1" w:rsidP="006F5DA1">
            <w:pPr>
              <w:spacing w:before="200"/>
              <w:jc w:val="right"/>
              <w:rPr>
                <w:sz w:val="22"/>
                <w:szCs w:val="22"/>
                <w:lang w:val="en-US"/>
              </w:rPr>
            </w:pPr>
            <w:r w:rsidRPr="00E942A7">
              <w:rPr>
                <w:sz w:val="22"/>
                <w:szCs w:val="22"/>
                <w:lang w:val="sr-Latn-CS"/>
              </w:rPr>
              <w:t>Adresa:</w:t>
            </w:r>
          </w:p>
        </w:tc>
        <w:tc>
          <w:tcPr>
            <w:tcW w:w="7200" w:type="dxa"/>
            <w:vAlign w:val="bottom"/>
          </w:tcPr>
          <w:p w:rsidR="006F5DA1" w:rsidRPr="00E942A7" w:rsidRDefault="0004754C" w:rsidP="006F5DA1">
            <w:pPr>
              <w:spacing w:before="200"/>
              <w:rPr>
                <w:b/>
                <w:bCs/>
                <w:sz w:val="22"/>
                <w:szCs w:val="22"/>
                <w:lang w:val="pl-PL"/>
              </w:rPr>
            </w:pPr>
            <w:r w:rsidRPr="0004754C">
              <w:rPr>
                <w:b/>
                <w:bCs/>
                <w:sz w:val="22"/>
                <w:szCs w:val="22"/>
                <w:lang w:val="pl-PL"/>
              </w:rPr>
              <w:t>Kritskog odreda 4/1, 81000 Podgorica, Crna Gora</w:t>
            </w:r>
          </w:p>
        </w:tc>
      </w:tr>
    </w:tbl>
    <w:p w:rsidR="006F5DA1" w:rsidRPr="00E942A7" w:rsidRDefault="006F5DA1" w:rsidP="006F5DA1">
      <w:pPr>
        <w:rPr>
          <w:b/>
          <w:bCs/>
          <w:i/>
          <w:iCs/>
          <w:sz w:val="22"/>
          <w:szCs w:val="22"/>
          <w:u w:val="single"/>
          <w:lang w:val="pl-PL"/>
        </w:rPr>
      </w:pPr>
    </w:p>
    <w:p w:rsidR="006F5DA1" w:rsidRPr="00E942A7" w:rsidRDefault="006F5DA1" w:rsidP="006F5DA1">
      <w:pPr>
        <w:rPr>
          <w:b/>
          <w:bCs/>
          <w:i/>
          <w:iCs/>
          <w:sz w:val="22"/>
          <w:szCs w:val="22"/>
          <w:u w:val="single"/>
          <w:lang w:val="pl-PL"/>
        </w:rPr>
      </w:pPr>
    </w:p>
    <w:p w:rsidR="006F5DA1" w:rsidRPr="00E942A7" w:rsidRDefault="006F5DA1" w:rsidP="006F5DA1">
      <w:pPr>
        <w:rPr>
          <w:b/>
          <w:bCs/>
          <w:i/>
          <w:iCs/>
          <w:sz w:val="22"/>
          <w:szCs w:val="22"/>
          <w:u w:val="single"/>
          <w:lang w:val="pl-PL"/>
        </w:rPr>
      </w:pPr>
    </w:p>
    <w:p w:rsidR="006F5DA1" w:rsidRPr="00E942A7" w:rsidRDefault="006F5DA1" w:rsidP="006F5DA1">
      <w:pPr>
        <w:rPr>
          <w:b/>
          <w:bCs/>
          <w:i/>
          <w:iCs/>
          <w:sz w:val="22"/>
          <w:szCs w:val="22"/>
          <w:u w:val="single"/>
          <w:lang w:val="pl-PL"/>
        </w:rPr>
      </w:pPr>
    </w:p>
    <w:p w:rsidR="006F5DA1" w:rsidRPr="00E942A7" w:rsidRDefault="006F5DA1" w:rsidP="006F5DA1">
      <w:pPr>
        <w:rPr>
          <w:b/>
          <w:bCs/>
          <w:i/>
          <w:iCs/>
          <w:sz w:val="22"/>
          <w:szCs w:val="22"/>
          <w:u w:val="single"/>
          <w:lang w:val="pl-PL"/>
        </w:rPr>
      </w:pPr>
    </w:p>
    <w:p w:rsidR="006F5DA1" w:rsidRPr="00E942A7" w:rsidRDefault="006F5DA1" w:rsidP="006F5DA1">
      <w:pPr>
        <w:rPr>
          <w:color w:val="808080"/>
          <w:sz w:val="22"/>
          <w:szCs w:val="22"/>
          <w:lang w:val="sr-Latn-CS"/>
        </w:rPr>
      </w:pPr>
    </w:p>
    <w:p w:rsidR="006F5DA1" w:rsidRPr="00E942A7" w:rsidRDefault="006F5DA1" w:rsidP="006F5DA1">
      <w:pPr>
        <w:rPr>
          <w:i/>
          <w:color w:val="808080"/>
          <w:sz w:val="22"/>
          <w:szCs w:val="22"/>
          <w:lang w:val="sr-Latn-CS"/>
        </w:rPr>
      </w:pPr>
    </w:p>
    <w:p w:rsidR="006F5DA1" w:rsidRPr="00E942A7" w:rsidRDefault="006F5DA1" w:rsidP="006F5DA1">
      <w:pPr>
        <w:rPr>
          <w:i/>
          <w:color w:val="808080"/>
          <w:sz w:val="22"/>
          <w:szCs w:val="22"/>
          <w:lang w:val="sr-Latn-CS"/>
        </w:rPr>
      </w:pPr>
    </w:p>
    <w:p w:rsidR="006F5DA1" w:rsidRPr="00E942A7" w:rsidRDefault="006F5DA1" w:rsidP="006F5DA1">
      <w:pPr>
        <w:rPr>
          <w:i/>
          <w:color w:val="808080"/>
          <w:sz w:val="22"/>
          <w:szCs w:val="22"/>
          <w:lang w:val="sr-Latn-CS"/>
        </w:rPr>
      </w:pPr>
    </w:p>
    <w:p w:rsidR="006F5DA1" w:rsidRPr="00E942A7" w:rsidRDefault="006F5DA1" w:rsidP="006F5DA1">
      <w:pPr>
        <w:rPr>
          <w:i/>
          <w:color w:val="808080"/>
          <w:sz w:val="22"/>
          <w:szCs w:val="22"/>
          <w:lang w:val="sr-Latn-CS"/>
        </w:rPr>
      </w:pPr>
    </w:p>
    <w:p w:rsidR="006F5DA1" w:rsidRPr="00E942A7" w:rsidRDefault="006F5DA1" w:rsidP="006F5DA1">
      <w:pPr>
        <w:rPr>
          <w:i/>
          <w:color w:val="808080"/>
          <w:sz w:val="22"/>
          <w:szCs w:val="22"/>
          <w:lang w:val="sr-Latn-CS"/>
        </w:rPr>
      </w:pPr>
    </w:p>
    <w:p w:rsidR="006F5DA1" w:rsidRPr="00E942A7" w:rsidRDefault="006F5DA1" w:rsidP="006F5DA1">
      <w:pPr>
        <w:rPr>
          <w:i/>
          <w:color w:val="808080"/>
          <w:sz w:val="22"/>
          <w:szCs w:val="22"/>
          <w:lang w:val="sr-Latn-CS"/>
        </w:rPr>
      </w:pPr>
    </w:p>
    <w:p w:rsidR="006F5DA1" w:rsidRPr="00E942A7" w:rsidRDefault="006F5DA1" w:rsidP="006F5DA1">
      <w:pPr>
        <w:rPr>
          <w:color w:val="808080"/>
          <w:sz w:val="22"/>
          <w:szCs w:val="22"/>
          <w:lang w:val="sr-Latn-CS"/>
        </w:rPr>
      </w:pPr>
    </w:p>
    <w:p w:rsidR="006F5DA1" w:rsidRPr="00E942A7" w:rsidRDefault="006F5DA1" w:rsidP="006F5DA1">
      <w:pPr>
        <w:tabs>
          <w:tab w:val="left" w:pos="540"/>
          <w:tab w:val="left" w:pos="569"/>
        </w:tabs>
        <w:rPr>
          <w:b/>
          <w:bCs/>
          <w:sz w:val="22"/>
          <w:szCs w:val="22"/>
          <w:lang w:val="pl-PL"/>
        </w:rPr>
      </w:pPr>
    </w:p>
    <w:p w:rsidR="006F5DA1" w:rsidRPr="00E942A7" w:rsidRDefault="006F5DA1" w:rsidP="006F5DA1">
      <w:pPr>
        <w:tabs>
          <w:tab w:val="left" w:pos="540"/>
          <w:tab w:val="left" w:pos="569"/>
        </w:tabs>
        <w:jc w:val="both"/>
        <w:rPr>
          <w:b/>
          <w:bCs/>
          <w:sz w:val="22"/>
          <w:szCs w:val="22"/>
          <w:lang w:val="pl-PL"/>
        </w:rPr>
      </w:pPr>
      <w:r w:rsidRPr="00E942A7">
        <w:rPr>
          <w:b/>
          <w:bCs/>
          <w:sz w:val="22"/>
          <w:szCs w:val="22"/>
          <w:lang w:val="pl-PL"/>
        </w:rPr>
        <w:lastRenderedPageBreak/>
        <w:t>1.</w:t>
      </w:r>
      <w:r w:rsidRPr="00E942A7">
        <w:rPr>
          <w:b/>
          <w:bCs/>
          <w:sz w:val="22"/>
          <w:szCs w:val="22"/>
          <w:lang w:val="pl-PL"/>
        </w:rPr>
        <w:tab/>
        <w:t>NAZIV LIJEKA</w:t>
      </w:r>
    </w:p>
    <w:p w:rsidR="006F5DA1" w:rsidRPr="00E942A7" w:rsidRDefault="006F5DA1" w:rsidP="006F5DA1">
      <w:pPr>
        <w:jc w:val="both"/>
        <w:rPr>
          <w:sz w:val="22"/>
          <w:szCs w:val="22"/>
          <w:lang w:val="pl-PL"/>
        </w:rPr>
      </w:pPr>
    </w:p>
    <w:p w:rsidR="006F5DA1" w:rsidRPr="00E942A7" w:rsidRDefault="006F5DA1" w:rsidP="006F5DA1">
      <w:pPr>
        <w:jc w:val="both"/>
        <w:rPr>
          <w:sz w:val="22"/>
          <w:szCs w:val="22"/>
          <w:lang w:val="pl-PL"/>
        </w:rPr>
      </w:pPr>
      <w:r w:rsidRPr="00E942A7">
        <w:rPr>
          <w:sz w:val="22"/>
          <w:szCs w:val="22"/>
          <w:lang w:val="pl-PL"/>
        </w:rPr>
        <w:t>Zoledronic Acid Hospira</w:t>
      </w:r>
      <w:r w:rsidRPr="00E942A7">
        <w:rPr>
          <w:sz w:val="22"/>
          <w:szCs w:val="22"/>
          <w:vertAlign w:val="superscript"/>
          <w:lang w:val="pl-PL"/>
        </w:rPr>
        <w:t>®</w:t>
      </w:r>
      <w:r w:rsidRPr="00E942A7">
        <w:rPr>
          <w:sz w:val="22"/>
          <w:szCs w:val="22"/>
          <w:lang w:val="pl-PL"/>
        </w:rPr>
        <w:t>, 4mg/5ml, koncentrat za rastvor za infuziju</w:t>
      </w:r>
    </w:p>
    <w:p w:rsidR="006F5DA1" w:rsidRPr="00E942A7" w:rsidRDefault="006F5DA1" w:rsidP="006F5DA1">
      <w:pPr>
        <w:jc w:val="both"/>
        <w:rPr>
          <w:sz w:val="22"/>
          <w:szCs w:val="22"/>
          <w:lang w:val="sr-Latn-CS"/>
        </w:rPr>
      </w:pPr>
      <w:r w:rsidRPr="00E942A7">
        <w:rPr>
          <w:sz w:val="22"/>
          <w:szCs w:val="22"/>
          <w:lang w:val="sv-SE"/>
        </w:rPr>
        <w:t>INN:</w:t>
      </w:r>
      <w:r w:rsidRPr="00E942A7">
        <w:rPr>
          <w:sz w:val="22"/>
          <w:szCs w:val="22"/>
          <w:lang w:val="en-US"/>
        </w:rPr>
        <w:t xml:space="preserve"> zoledronska kiselina</w:t>
      </w:r>
    </w:p>
    <w:p w:rsidR="006F5DA1" w:rsidRPr="00E942A7" w:rsidRDefault="006F5DA1" w:rsidP="006F5DA1">
      <w:pPr>
        <w:jc w:val="both"/>
        <w:rPr>
          <w:bCs/>
          <w:sz w:val="22"/>
          <w:szCs w:val="22"/>
          <w:lang w:val="sv-SE"/>
        </w:rPr>
      </w:pPr>
    </w:p>
    <w:p w:rsidR="006F5DA1" w:rsidRPr="00E942A7" w:rsidRDefault="006F5DA1" w:rsidP="006F5DA1">
      <w:pPr>
        <w:tabs>
          <w:tab w:val="left" w:pos="540"/>
          <w:tab w:val="left" w:pos="569"/>
        </w:tabs>
        <w:jc w:val="both"/>
        <w:rPr>
          <w:b/>
          <w:bCs/>
          <w:sz w:val="22"/>
          <w:szCs w:val="22"/>
          <w:lang w:val="en-US"/>
        </w:rPr>
      </w:pPr>
      <w:r w:rsidRPr="00E942A7">
        <w:rPr>
          <w:b/>
          <w:bCs/>
          <w:sz w:val="22"/>
          <w:szCs w:val="22"/>
          <w:lang w:val="en-US"/>
        </w:rPr>
        <w:t xml:space="preserve">2. </w:t>
      </w:r>
      <w:r w:rsidRPr="00E942A7">
        <w:rPr>
          <w:b/>
          <w:bCs/>
          <w:sz w:val="22"/>
          <w:szCs w:val="22"/>
          <w:lang w:val="en-US"/>
        </w:rPr>
        <w:tab/>
        <w:t>KVALITATIVNI I KVANTITATIVNI SASTAV</w:t>
      </w:r>
    </w:p>
    <w:p w:rsidR="006F5DA1" w:rsidRPr="00E942A7" w:rsidRDefault="006F5DA1" w:rsidP="006F5DA1">
      <w:pPr>
        <w:tabs>
          <w:tab w:val="left" w:pos="540"/>
          <w:tab w:val="left" w:pos="569"/>
        </w:tabs>
        <w:jc w:val="both"/>
        <w:rPr>
          <w:b/>
          <w:bCs/>
          <w:sz w:val="22"/>
          <w:szCs w:val="22"/>
          <w:lang w:val="en-US"/>
        </w:rPr>
      </w:pPr>
    </w:p>
    <w:p w:rsidR="006F5DA1" w:rsidRPr="00E942A7" w:rsidRDefault="006F5DA1" w:rsidP="006F5DA1">
      <w:pPr>
        <w:jc w:val="both"/>
        <w:rPr>
          <w:sz w:val="22"/>
          <w:szCs w:val="22"/>
          <w:lang w:val="sr-Latn-CS"/>
        </w:rPr>
      </w:pPr>
      <w:r w:rsidRPr="00E942A7">
        <w:rPr>
          <w:sz w:val="22"/>
          <w:szCs w:val="22"/>
          <w:lang w:val="sr-Latn-CS"/>
        </w:rPr>
        <w:t>Jedna bočica sa 5 ml koncentrata sadrži 4 mg zoledronske kiseline (u obliku monohidrata).</w:t>
      </w:r>
    </w:p>
    <w:p w:rsidR="006F5DA1" w:rsidRPr="00E942A7" w:rsidRDefault="006F5DA1" w:rsidP="006F5DA1">
      <w:pPr>
        <w:jc w:val="both"/>
        <w:rPr>
          <w:sz w:val="22"/>
          <w:szCs w:val="22"/>
          <w:lang w:val="sr-Latn-CS"/>
        </w:rPr>
      </w:pPr>
      <w:r w:rsidRPr="00E942A7">
        <w:rPr>
          <w:sz w:val="22"/>
          <w:szCs w:val="22"/>
          <w:lang w:val="sr-Latn-CS"/>
        </w:rPr>
        <w:t>1 ml koncentrata sadrži 0,8 mg zoledronske kiseline (u obliku monohidrata).</w:t>
      </w:r>
    </w:p>
    <w:p w:rsidR="006F5DA1" w:rsidRPr="00E942A7" w:rsidRDefault="006F5DA1" w:rsidP="006F5DA1">
      <w:pPr>
        <w:jc w:val="both"/>
        <w:rPr>
          <w:sz w:val="22"/>
          <w:szCs w:val="22"/>
          <w:lang w:val="sr-Latn-CS"/>
        </w:rPr>
      </w:pPr>
      <w:r w:rsidRPr="00E942A7">
        <w:rPr>
          <w:sz w:val="22"/>
          <w:szCs w:val="22"/>
          <w:lang w:val="sr-Latn-CS"/>
        </w:rPr>
        <w:t>Listu pomoćnih supstanci pogledati u odjeljku 6.1.</w:t>
      </w:r>
    </w:p>
    <w:p w:rsidR="006F5DA1" w:rsidRPr="00E942A7" w:rsidRDefault="006F5DA1" w:rsidP="006F5DA1">
      <w:pPr>
        <w:jc w:val="both"/>
        <w:rPr>
          <w:sz w:val="22"/>
          <w:szCs w:val="22"/>
          <w:lang w:val="sr-Latn-CS"/>
        </w:rPr>
      </w:pPr>
    </w:p>
    <w:p w:rsidR="006F5DA1" w:rsidRPr="00E942A7" w:rsidRDefault="006F5DA1" w:rsidP="006F5DA1">
      <w:pPr>
        <w:tabs>
          <w:tab w:val="left" w:pos="540"/>
          <w:tab w:val="left" w:pos="569"/>
        </w:tabs>
        <w:jc w:val="both"/>
        <w:rPr>
          <w:b/>
          <w:bCs/>
          <w:sz w:val="22"/>
          <w:szCs w:val="22"/>
          <w:lang w:val="en-US"/>
        </w:rPr>
      </w:pPr>
      <w:r w:rsidRPr="00E942A7">
        <w:rPr>
          <w:b/>
          <w:bCs/>
          <w:sz w:val="22"/>
          <w:szCs w:val="22"/>
          <w:lang w:val="en-US"/>
        </w:rPr>
        <w:t xml:space="preserve">3. </w:t>
      </w:r>
      <w:r w:rsidRPr="00E942A7">
        <w:rPr>
          <w:b/>
          <w:bCs/>
          <w:sz w:val="22"/>
          <w:szCs w:val="22"/>
          <w:lang w:val="en-US"/>
        </w:rPr>
        <w:tab/>
        <w:t>FARMACEUTSKI OBLIK</w:t>
      </w:r>
    </w:p>
    <w:p w:rsidR="006F5DA1" w:rsidRPr="00E942A7" w:rsidRDefault="006F5DA1" w:rsidP="006F5DA1">
      <w:pPr>
        <w:tabs>
          <w:tab w:val="left" w:pos="284"/>
        </w:tabs>
        <w:jc w:val="both"/>
        <w:rPr>
          <w:sz w:val="22"/>
          <w:szCs w:val="22"/>
          <w:lang w:val="sr-Latn-CS"/>
        </w:rPr>
      </w:pPr>
    </w:p>
    <w:p w:rsidR="006F5DA1" w:rsidRPr="00E942A7" w:rsidRDefault="006F5DA1" w:rsidP="006F5DA1">
      <w:pPr>
        <w:tabs>
          <w:tab w:val="left" w:pos="284"/>
        </w:tabs>
        <w:jc w:val="both"/>
        <w:rPr>
          <w:sz w:val="22"/>
          <w:szCs w:val="22"/>
          <w:lang w:val="sr-Latn-CS"/>
        </w:rPr>
      </w:pPr>
      <w:r w:rsidRPr="00E942A7">
        <w:rPr>
          <w:sz w:val="22"/>
          <w:szCs w:val="22"/>
          <w:lang w:val="sr-Latn-CS"/>
        </w:rPr>
        <w:t>Koncentrat za rastvor za infuziju.</w:t>
      </w:r>
    </w:p>
    <w:p w:rsidR="006F5DA1" w:rsidRPr="00E942A7" w:rsidRDefault="006F5DA1" w:rsidP="006F5DA1">
      <w:pPr>
        <w:tabs>
          <w:tab w:val="left" w:pos="284"/>
        </w:tabs>
        <w:jc w:val="both"/>
        <w:rPr>
          <w:sz w:val="22"/>
          <w:szCs w:val="22"/>
          <w:lang w:val="sr-Latn-CS"/>
        </w:rPr>
      </w:pPr>
    </w:p>
    <w:p w:rsidR="006F5DA1" w:rsidRPr="00E942A7" w:rsidRDefault="006F5DA1" w:rsidP="006F5DA1">
      <w:pPr>
        <w:autoSpaceDE w:val="0"/>
        <w:autoSpaceDN w:val="0"/>
        <w:adjustRightInd w:val="0"/>
        <w:jc w:val="both"/>
        <w:rPr>
          <w:sz w:val="22"/>
          <w:szCs w:val="22"/>
          <w:lang w:val="pl-PL"/>
        </w:rPr>
      </w:pPr>
      <w:r w:rsidRPr="00E942A7">
        <w:rPr>
          <w:sz w:val="22"/>
          <w:szCs w:val="22"/>
          <w:lang w:val="sr-Latn-CS"/>
        </w:rPr>
        <w:t>Bistar i bezbojan rastvor.</w:t>
      </w:r>
    </w:p>
    <w:p w:rsidR="006F5DA1" w:rsidRPr="00E942A7" w:rsidRDefault="006F5DA1" w:rsidP="006F5DA1">
      <w:pPr>
        <w:jc w:val="both"/>
        <w:rPr>
          <w:bCs/>
          <w:sz w:val="22"/>
          <w:szCs w:val="22"/>
          <w:lang w:val="sr-Latn-CS"/>
        </w:rPr>
      </w:pPr>
    </w:p>
    <w:p w:rsidR="006F5DA1" w:rsidRPr="00E942A7" w:rsidRDefault="006F5DA1" w:rsidP="006F5DA1">
      <w:pPr>
        <w:tabs>
          <w:tab w:val="left" w:pos="540"/>
          <w:tab w:val="left" w:pos="569"/>
        </w:tabs>
        <w:jc w:val="both"/>
        <w:rPr>
          <w:b/>
          <w:bCs/>
          <w:sz w:val="22"/>
          <w:szCs w:val="22"/>
          <w:lang w:val="pl-PL"/>
        </w:rPr>
      </w:pPr>
      <w:r w:rsidRPr="00E942A7">
        <w:rPr>
          <w:b/>
          <w:bCs/>
          <w:sz w:val="22"/>
          <w:szCs w:val="22"/>
          <w:lang w:val="pl-PL"/>
        </w:rPr>
        <w:t xml:space="preserve">4. </w:t>
      </w:r>
      <w:r w:rsidRPr="00E942A7">
        <w:rPr>
          <w:b/>
          <w:bCs/>
          <w:sz w:val="22"/>
          <w:szCs w:val="22"/>
          <w:lang w:val="pl-PL"/>
        </w:rPr>
        <w:tab/>
        <w:t>KLINIČKI PODACI</w:t>
      </w:r>
    </w:p>
    <w:p w:rsidR="006F5DA1" w:rsidRPr="00E942A7" w:rsidRDefault="006F5DA1" w:rsidP="006F5DA1">
      <w:pPr>
        <w:tabs>
          <w:tab w:val="left" w:pos="540"/>
          <w:tab w:val="left" w:pos="569"/>
        </w:tabs>
        <w:jc w:val="both"/>
        <w:rPr>
          <w:bCs/>
          <w:sz w:val="22"/>
          <w:szCs w:val="22"/>
          <w:lang w:val="pl-PL"/>
        </w:rPr>
      </w:pPr>
    </w:p>
    <w:p w:rsidR="006F5DA1" w:rsidRPr="00E942A7" w:rsidRDefault="006F5DA1" w:rsidP="006F5DA1">
      <w:pPr>
        <w:tabs>
          <w:tab w:val="left" w:pos="540"/>
          <w:tab w:val="left" w:pos="569"/>
        </w:tabs>
        <w:jc w:val="both"/>
        <w:rPr>
          <w:b/>
          <w:bCs/>
          <w:sz w:val="22"/>
          <w:szCs w:val="22"/>
          <w:lang w:val="en-US"/>
        </w:rPr>
      </w:pPr>
      <w:r w:rsidRPr="00E942A7">
        <w:rPr>
          <w:b/>
          <w:bCs/>
          <w:sz w:val="22"/>
          <w:szCs w:val="22"/>
          <w:lang w:val="en-US"/>
        </w:rPr>
        <w:t xml:space="preserve">4.1. </w:t>
      </w:r>
      <w:r w:rsidRPr="00E942A7">
        <w:rPr>
          <w:b/>
          <w:bCs/>
          <w:sz w:val="22"/>
          <w:szCs w:val="22"/>
          <w:lang w:val="en-US"/>
        </w:rPr>
        <w:tab/>
        <w:t>Terapijske indikacije</w:t>
      </w:r>
    </w:p>
    <w:p w:rsidR="006F5DA1" w:rsidRPr="00E942A7" w:rsidRDefault="006F5DA1" w:rsidP="006F5DA1">
      <w:pPr>
        <w:tabs>
          <w:tab w:val="left" w:pos="540"/>
          <w:tab w:val="left" w:pos="569"/>
        </w:tabs>
        <w:jc w:val="both"/>
        <w:rPr>
          <w:b/>
          <w:bCs/>
          <w:sz w:val="22"/>
          <w:szCs w:val="22"/>
          <w:lang w:val="en-US"/>
        </w:rPr>
      </w:pPr>
    </w:p>
    <w:p w:rsidR="006F5DA1" w:rsidRPr="00E942A7" w:rsidRDefault="006F5DA1" w:rsidP="006F5DA1">
      <w:pPr>
        <w:widowControl w:val="0"/>
        <w:numPr>
          <w:ilvl w:val="0"/>
          <w:numId w:val="44"/>
        </w:numPr>
        <w:shd w:val="clear" w:color="auto" w:fill="FFFFFF"/>
        <w:autoSpaceDE w:val="0"/>
        <w:autoSpaceDN w:val="0"/>
        <w:adjustRightInd w:val="0"/>
        <w:spacing w:line="240" w:lineRule="exact"/>
        <w:ind w:left="425" w:hanging="425"/>
        <w:jc w:val="both"/>
        <w:rPr>
          <w:sz w:val="22"/>
          <w:szCs w:val="22"/>
          <w:lang w:val="sr-Latn-CS"/>
        </w:rPr>
      </w:pPr>
      <w:r w:rsidRPr="00E942A7">
        <w:rPr>
          <w:spacing w:val="2"/>
          <w:sz w:val="22"/>
          <w:szCs w:val="22"/>
          <w:lang w:val="sr-Latn-CS"/>
        </w:rPr>
        <w:t>Prevencija komplikacija na kostima (patološke frakture, kompresija kičme, zračenje ili operacija kostiju ili tumorom izazvana hiperkalcijemija) kod odraslih pacijenata sa uznapredovalim malignitetom koji zahvata i kosti.</w:t>
      </w:r>
    </w:p>
    <w:p w:rsidR="006F5DA1" w:rsidRPr="00E942A7" w:rsidRDefault="006F5DA1" w:rsidP="006F5DA1">
      <w:pPr>
        <w:widowControl w:val="0"/>
        <w:numPr>
          <w:ilvl w:val="0"/>
          <w:numId w:val="44"/>
        </w:numPr>
        <w:shd w:val="clear" w:color="auto" w:fill="FFFFFF"/>
        <w:autoSpaceDE w:val="0"/>
        <w:autoSpaceDN w:val="0"/>
        <w:adjustRightInd w:val="0"/>
        <w:spacing w:before="43" w:line="475" w:lineRule="exact"/>
        <w:ind w:left="426" w:hanging="426"/>
        <w:jc w:val="both"/>
        <w:rPr>
          <w:sz w:val="22"/>
          <w:szCs w:val="22"/>
          <w:lang w:val="sr-Latn-CS"/>
        </w:rPr>
      </w:pPr>
      <w:r w:rsidRPr="00E942A7">
        <w:rPr>
          <w:spacing w:val="3"/>
          <w:sz w:val="22"/>
          <w:szCs w:val="22"/>
          <w:lang w:val="sr-Latn-CS"/>
        </w:rPr>
        <w:t xml:space="preserve">Terapija odraslih pacijenata sa </w:t>
      </w:r>
      <w:r w:rsidRPr="00E942A7">
        <w:rPr>
          <w:spacing w:val="2"/>
          <w:sz w:val="22"/>
          <w:szCs w:val="22"/>
          <w:lang w:val="sr-Latn-CS"/>
        </w:rPr>
        <w:t>hiperkalcijemijom usljed malignih bolesti (TIH).</w:t>
      </w:r>
    </w:p>
    <w:p w:rsidR="006F5DA1" w:rsidRPr="00E942A7" w:rsidRDefault="006F5DA1" w:rsidP="006F5DA1">
      <w:pPr>
        <w:tabs>
          <w:tab w:val="left" w:pos="540"/>
          <w:tab w:val="left" w:pos="569"/>
        </w:tabs>
        <w:jc w:val="both"/>
        <w:rPr>
          <w:bCs/>
          <w:sz w:val="22"/>
          <w:szCs w:val="22"/>
          <w:lang w:val="sr-Latn-CS"/>
        </w:rPr>
      </w:pPr>
    </w:p>
    <w:p w:rsidR="006F5DA1" w:rsidRPr="00E942A7" w:rsidRDefault="006F5DA1" w:rsidP="006F5DA1">
      <w:pPr>
        <w:tabs>
          <w:tab w:val="left" w:pos="540"/>
          <w:tab w:val="left" w:pos="569"/>
        </w:tabs>
        <w:jc w:val="both"/>
        <w:rPr>
          <w:b/>
          <w:bCs/>
          <w:sz w:val="22"/>
          <w:szCs w:val="22"/>
          <w:lang w:val="en-US"/>
        </w:rPr>
      </w:pPr>
      <w:r w:rsidRPr="00E942A7">
        <w:rPr>
          <w:b/>
          <w:bCs/>
          <w:sz w:val="22"/>
          <w:szCs w:val="22"/>
          <w:lang w:val="en-US"/>
        </w:rPr>
        <w:t xml:space="preserve">4.2. </w:t>
      </w:r>
      <w:r w:rsidRPr="00E942A7">
        <w:rPr>
          <w:b/>
          <w:bCs/>
          <w:sz w:val="22"/>
          <w:szCs w:val="22"/>
          <w:lang w:val="en-US"/>
        </w:rPr>
        <w:tab/>
        <w:t>Doziranje i način primjene</w:t>
      </w:r>
    </w:p>
    <w:p w:rsidR="006F5DA1" w:rsidRPr="00E942A7" w:rsidRDefault="006F5DA1" w:rsidP="006F5DA1">
      <w:pPr>
        <w:shd w:val="clear" w:color="auto" w:fill="FFFFFF"/>
        <w:spacing w:line="475" w:lineRule="exact"/>
        <w:jc w:val="both"/>
        <w:rPr>
          <w:spacing w:val="3"/>
          <w:sz w:val="22"/>
          <w:szCs w:val="22"/>
          <w:lang w:val="sr-Latn-CS"/>
        </w:rPr>
      </w:pPr>
      <w:r w:rsidRPr="00E942A7">
        <w:rPr>
          <w:sz w:val="22"/>
          <w:szCs w:val="22"/>
          <w:lang w:val="hr-HR"/>
        </w:rPr>
        <w:t xml:space="preserve">Zoledronsku kiselinu </w:t>
      </w:r>
      <w:r w:rsidRPr="00E942A7">
        <w:rPr>
          <w:spacing w:val="3"/>
          <w:sz w:val="22"/>
          <w:szCs w:val="22"/>
          <w:lang w:val="sr-Latn-CS"/>
        </w:rPr>
        <w:t>može propisati i davati pacijentima samo ljekar sa iskustvom u primjeni intravenskih bisfosfonata.</w:t>
      </w:r>
    </w:p>
    <w:p w:rsidR="006F5DA1" w:rsidRPr="00E942A7" w:rsidRDefault="006F5DA1" w:rsidP="006F5DA1">
      <w:pPr>
        <w:jc w:val="both"/>
        <w:rPr>
          <w:b/>
          <w:sz w:val="22"/>
          <w:szCs w:val="22"/>
          <w:lang w:val="sr-Latn-CS"/>
        </w:rPr>
      </w:pPr>
    </w:p>
    <w:p w:rsidR="006F5DA1" w:rsidRPr="00E942A7" w:rsidRDefault="006F5DA1" w:rsidP="006F5DA1">
      <w:pPr>
        <w:jc w:val="both"/>
        <w:rPr>
          <w:b/>
          <w:sz w:val="22"/>
          <w:szCs w:val="22"/>
          <w:lang w:val="sr-Latn-CS"/>
        </w:rPr>
      </w:pPr>
      <w:r w:rsidRPr="00E942A7">
        <w:rPr>
          <w:b/>
          <w:sz w:val="22"/>
          <w:szCs w:val="22"/>
          <w:lang w:val="sr-Latn-CS"/>
        </w:rPr>
        <w:t xml:space="preserve">Primjena </w:t>
      </w:r>
    </w:p>
    <w:p w:rsidR="006F5DA1" w:rsidRPr="00E942A7" w:rsidRDefault="006F5DA1" w:rsidP="006F5DA1">
      <w:pPr>
        <w:jc w:val="both"/>
        <w:rPr>
          <w:sz w:val="22"/>
          <w:szCs w:val="22"/>
          <w:u w:val="single"/>
          <w:lang w:val="sr-Latn-CS"/>
        </w:rPr>
      </w:pPr>
    </w:p>
    <w:p w:rsidR="006F5DA1" w:rsidRPr="00E942A7" w:rsidRDefault="006F5DA1" w:rsidP="006F5DA1">
      <w:pPr>
        <w:jc w:val="both"/>
        <w:rPr>
          <w:b/>
          <w:sz w:val="22"/>
          <w:szCs w:val="22"/>
          <w:lang w:val="sr-Latn-CS"/>
        </w:rPr>
      </w:pPr>
      <w:r w:rsidRPr="00E942A7">
        <w:rPr>
          <w:b/>
          <w:sz w:val="22"/>
          <w:szCs w:val="22"/>
          <w:lang w:val="sr-Latn-CS"/>
        </w:rPr>
        <w:t>Prevencija komplikacija na kostima kod pacijenata sa uznapredovalim malignitetom koji zahvata i kosti</w:t>
      </w:r>
    </w:p>
    <w:p w:rsidR="006F5DA1" w:rsidRPr="00E942A7" w:rsidRDefault="006F5DA1" w:rsidP="006F5DA1">
      <w:pPr>
        <w:jc w:val="both"/>
        <w:rPr>
          <w:b/>
          <w:sz w:val="22"/>
          <w:szCs w:val="22"/>
          <w:lang w:val="sr-Latn-CS"/>
        </w:rPr>
      </w:pPr>
    </w:p>
    <w:p w:rsidR="006F5DA1" w:rsidRPr="00E942A7" w:rsidRDefault="006F5DA1" w:rsidP="006F5DA1">
      <w:pPr>
        <w:jc w:val="both"/>
        <w:rPr>
          <w:i/>
          <w:sz w:val="22"/>
          <w:szCs w:val="22"/>
          <w:lang w:val="sr-Latn-CS"/>
        </w:rPr>
      </w:pPr>
      <w:r w:rsidRPr="00E942A7">
        <w:rPr>
          <w:i/>
          <w:sz w:val="22"/>
          <w:szCs w:val="22"/>
          <w:lang w:val="sr-Latn-CS"/>
        </w:rPr>
        <w:t>Odrasli i stariji pacijenti</w:t>
      </w:r>
    </w:p>
    <w:p w:rsidR="006F5DA1" w:rsidRPr="00E942A7" w:rsidRDefault="006F5DA1" w:rsidP="006F5DA1">
      <w:pPr>
        <w:jc w:val="both"/>
        <w:rPr>
          <w:sz w:val="22"/>
          <w:szCs w:val="22"/>
          <w:lang w:val="sr-Latn-CS"/>
        </w:rPr>
      </w:pPr>
    </w:p>
    <w:p w:rsidR="006F5DA1" w:rsidRPr="00E942A7" w:rsidRDefault="006F5DA1" w:rsidP="006F5DA1">
      <w:pPr>
        <w:jc w:val="both"/>
        <w:rPr>
          <w:sz w:val="22"/>
          <w:szCs w:val="22"/>
          <w:lang w:val="sr-Latn-CS"/>
        </w:rPr>
      </w:pPr>
      <w:r w:rsidRPr="00E942A7">
        <w:rPr>
          <w:sz w:val="22"/>
          <w:szCs w:val="22"/>
          <w:lang w:val="sr-Latn-CS"/>
        </w:rPr>
        <w:t>Za prevenciju komplikacija na kostima kod pacijenata sa uznapredovalim malignitetom koji zahvata i kosti preporučuje se doza od 4 mg zoledronske kiseline svake 3 do 4 nedjelje.</w:t>
      </w:r>
    </w:p>
    <w:p w:rsidR="006F5DA1" w:rsidRPr="00E942A7" w:rsidRDefault="006F5DA1" w:rsidP="006F5DA1">
      <w:pPr>
        <w:jc w:val="both"/>
        <w:rPr>
          <w:sz w:val="22"/>
          <w:szCs w:val="22"/>
          <w:lang w:val="sr-Latn-CS"/>
        </w:rPr>
      </w:pPr>
    </w:p>
    <w:p w:rsidR="006F5DA1" w:rsidRPr="00E942A7" w:rsidRDefault="006F5DA1" w:rsidP="006F5DA1">
      <w:pPr>
        <w:jc w:val="both"/>
        <w:rPr>
          <w:b/>
          <w:sz w:val="22"/>
          <w:szCs w:val="22"/>
          <w:lang w:val="sr-Latn-CS"/>
        </w:rPr>
      </w:pPr>
      <w:r w:rsidRPr="00E942A7">
        <w:rPr>
          <w:sz w:val="22"/>
          <w:szCs w:val="22"/>
          <w:lang w:val="sr-Latn-CS"/>
        </w:rPr>
        <w:t>Pacijenti treba, takođe, svakodnevno da dobijaju oralno 500 mg suplemenata kalcijuma i 400 i.j. vitamina D.</w:t>
      </w:r>
    </w:p>
    <w:p w:rsidR="006F5DA1" w:rsidRPr="00E942A7" w:rsidRDefault="006F5DA1" w:rsidP="006F5DA1">
      <w:pPr>
        <w:shd w:val="clear" w:color="auto" w:fill="FFFFFF"/>
        <w:spacing w:before="240" w:line="235" w:lineRule="exact"/>
        <w:ind w:right="384"/>
        <w:jc w:val="both"/>
        <w:rPr>
          <w:sz w:val="22"/>
          <w:szCs w:val="22"/>
          <w:lang w:val="sr-Latn-CS"/>
        </w:rPr>
      </w:pPr>
      <w:r w:rsidRPr="00E942A7">
        <w:rPr>
          <w:spacing w:val="2"/>
          <w:sz w:val="22"/>
          <w:szCs w:val="22"/>
          <w:lang w:val="sr-Latn-CS"/>
        </w:rPr>
        <w:t>Prilikom odlučivanja o tome da li prevenciju komplikacija na kostima sprovoditi kod pacijenata sa metastazama na kostima, potrebno je imati u vidu da pojavu terapijskih efekata treba očekivati tek za 2-3 mjeseca.</w:t>
      </w:r>
    </w:p>
    <w:p w:rsidR="006F5DA1" w:rsidRPr="00E942A7" w:rsidRDefault="006F5DA1" w:rsidP="006F5DA1">
      <w:pPr>
        <w:shd w:val="clear" w:color="auto" w:fill="FFFFFF"/>
        <w:spacing w:before="250"/>
        <w:jc w:val="both"/>
        <w:rPr>
          <w:b/>
          <w:spacing w:val="2"/>
          <w:sz w:val="22"/>
          <w:szCs w:val="22"/>
          <w:lang w:val="sr-Latn-CS"/>
        </w:rPr>
      </w:pPr>
      <w:r w:rsidRPr="00E942A7">
        <w:rPr>
          <w:b/>
          <w:spacing w:val="2"/>
          <w:sz w:val="22"/>
          <w:szCs w:val="22"/>
          <w:lang w:val="sr-Latn-CS"/>
        </w:rPr>
        <w:lastRenderedPageBreak/>
        <w:t>Terapija hiperkalcijemije kod malignih bolesti</w:t>
      </w:r>
    </w:p>
    <w:p w:rsidR="006F5DA1" w:rsidRPr="00E942A7" w:rsidRDefault="006F5DA1" w:rsidP="006F5DA1">
      <w:pPr>
        <w:jc w:val="both"/>
        <w:rPr>
          <w:b/>
          <w:sz w:val="22"/>
          <w:szCs w:val="22"/>
          <w:lang w:val="sr-Latn-CS"/>
        </w:rPr>
      </w:pPr>
    </w:p>
    <w:p w:rsidR="006F5DA1" w:rsidRPr="00E942A7" w:rsidRDefault="006F5DA1" w:rsidP="006F5DA1">
      <w:pPr>
        <w:jc w:val="both"/>
        <w:rPr>
          <w:i/>
          <w:sz w:val="22"/>
          <w:szCs w:val="22"/>
          <w:lang w:val="sr-Latn-CS"/>
        </w:rPr>
      </w:pPr>
      <w:r w:rsidRPr="00E942A7">
        <w:rPr>
          <w:i/>
          <w:sz w:val="22"/>
          <w:szCs w:val="22"/>
          <w:lang w:val="sr-Latn-CS"/>
        </w:rPr>
        <w:t>Odrasli i stariji pacijenti</w:t>
      </w:r>
    </w:p>
    <w:p w:rsidR="006F5DA1" w:rsidRPr="00E942A7" w:rsidRDefault="006F5DA1" w:rsidP="006F5DA1">
      <w:pPr>
        <w:jc w:val="both"/>
        <w:rPr>
          <w:i/>
          <w:sz w:val="22"/>
          <w:szCs w:val="22"/>
          <w:lang w:val="sr-Latn-CS"/>
        </w:rPr>
      </w:pPr>
    </w:p>
    <w:p w:rsidR="006F5DA1" w:rsidRPr="00E942A7" w:rsidRDefault="006F5DA1" w:rsidP="006F5DA1">
      <w:pPr>
        <w:jc w:val="both"/>
        <w:rPr>
          <w:sz w:val="22"/>
          <w:szCs w:val="22"/>
          <w:lang w:val="sr-Latn-CS"/>
        </w:rPr>
      </w:pPr>
      <w:r w:rsidRPr="00E942A7">
        <w:rPr>
          <w:sz w:val="22"/>
          <w:szCs w:val="22"/>
          <w:lang w:val="sr-Latn-CS"/>
        </w:rPr>
        <w:t>Preporučena doza u hiperkalcijemiji (albuminom korigovan serumski kalcijum ≥ 12,0 mg/dl ili 3,0 mmol/l) je pojedinačna doza od 4 mg zoledronske kiseline.</w:t>
      </w:r>
    </w:p>
    <w:p w:rsidR="006F5DA1" w:rsidRPr="00E942A7" w:rsidRDefault="006F5DA1" w:rsidP="006F5DA1">
      <w:pPr>
        <w:jc w:val="both"/>
        <w:rPr>
          <w:i/>
          <w:sz w:val="22"/>
          <w:szCs w:val="22"/>
          <w:lang w:val="sr-Latn-CS"/>
        </w:rPr>
      </w:pPr>
    </w:p>
    <w:p w:rsidR="006F5DA1" w:rsidRPr="00E942A7" w:rsidRDefault="006F5DA1" w:rsidP="006F5DA1">
      <w:pPr>
        <w:jc w:val="both"/>
        <w:rPr>
          <w:i/>
          <w:sz w:val="22"/>
          <w:szCs w:val="22"/>
          <w:lang w:val="sr-Latn-CS"/>
        </w:rPr>
      </w:pPr>
      <w:r w:rsidRPr="00E942A7">
        <w:rPr>
          <w:i/>
          <w:sz w:val="22"/>
          <w:szCs w:val="22"/>
          <w:lang w:val="sr-Latn-CS"/>
        </w:rPr>
        <w:t>Pacijenti sa oštećenom funkcijom bubrega</w:t>
      </w:r>
    </w:p>
    <w:p w:rsidR="006F5DA1" w:rsidRPr="00E942A7" w:rsidRDefault="006F5DA1" w:rsidP="006F5DA1">
      <w:pPr>
        <w:jc w:val="both"/>
        <w:rPr>
          <w:b/>
          <w:sz w:val="22"/>
          <w:szCs w:val="22"/>
          <w:lang w:val="sr-Latn-CS"/>
        </w:rPr>
      </w:pPr>
    </w:p>
    <w:p w:rsidR="006F5DA1" w:rsidRPr="00E942A7" w:rsidRDefault="006F5DA1" w:rsidP="006F5DA1">
      <w:pPr>
        <w:shd w:val="clear" w:color="auto" w:fill="FFFFFF"/>
        <w:spacing w:line="235" w:lineRule="exact"/>
        <w:jc w:val="both"/>
        <w:rPr>
          <w:iCs/>
          <w:spacing w:val="-4"/>
          <w:sz w:val="22"/>
          <w:szCs w:val="22"/>
          <w:lang w:val="sr-Latn-CS"/>
        </w:rPr>
      </w:pPr>
      <w:r w:rsidRPr="00E942A7">
        <w:rPr>
          <w:iCs/>
          <w:spacing w:val="-4"/>
          <w:sz w:val="22"/>
          <w:szCs w:val="22"/>
          <w:lang w:val="sr-Latn-CS"/>
        </w:rPr>
        <w:t>Hiperkalcijemija usljed malignih oboljenja:</w:t>
      </w:r>
    </w:p>
    <w:p w:rsidR="006F5DA1" w:rsidRPr="00E942A7" w:rsidRDefault="006F5DA1" w:rsidP="006F5DA1">
      <w:pPr>
        <w:jc w:val="both"/>
        <w:rPr>
          <w:sz w:val="22"/>
          <w:szCs w:val="22"/>
          <w:lang w:val="sr-Latn-CS"/>
        </w:rPr>
      </w:pPr>
    </w:p>
    <w:p w:rsidR="006F5DA1" w:rsidRPr="00E942A7" w:rsidRDefault="006F5DA1" w:rsidP="006F5DA1">
      <w:pPr>
        <w:shd w:val="clear" w:color="auto" w:fill="FFFFFF"/>
        <w:spacing w:line="235" w:lineRule="exact"/>
        <w:jc w:val="both"/>
        <w:rPr>
          <w:sz w:val="22"/>
          <w:szCs w:val="22"/>
          <w:lang w:val="sr-Latn-CS"/>
        </w:rPr>
      </w:pPr>
      <w:r w:rsidRPr="00E942A7">
        <w:rPr>
          <w:sz w:val="22"/>
          <w:szCs w:val="22"/>
          <w:lang w:val="sr-Latn-CS"/>
        </w:rPr>
        <w:t>Kod pacijenata sa hiperkalcijemijom usljed malignih oboljenja, a koji imaju teško oštećenje funkcije bubrega, zoledronska kiselina</w:t>
      </w:r>
      <w:r w:rsidRPr="00E942A7">
        <w:rPr>
          <w:b/>
          <w:sz w:val="22"/>
          <w:szCs w:val="22"/>
          <w:lang w:val="sr-Latn-CS"/>
        </w:rPr>
        <w:t xml:space="preserve"> </w:t>
      </w:r>
      <w:r w:rsidRPr="00E942A7">
        <w:rPr>
          <w:sz w:val="22"/>
          <w:szCs w:val="22"/>
          <w:lang w:val="sr-Latn-CS"/>
        </w:rPr>
        <w:t xml:space="preserve">se može uvesti u terapiju tek poslije procjene odnosa koristi i rizika od terapije. U kliničkim ispitivanjima lijek nisu dobijali pacijenti sa koncentracijom kreatinina u serumu </w:t>
      </w:r>
      <w:r w:rsidRPr="00E942A7">
        <w:rPr>
          <w:sz w:val="22"/>
          <w:szCs w:val="22"/>
          <w:lang w:val="sr-Latn-CS"/>
        </w:rPr>
        <w:sym w:font="Symbol" w:char="F03E"/>
      </w:r>
      <w:r w:rsidRPr="00E942A7">
        <w:rPr>
          <w:sz w:val="22"/>
          <w:szCs w:val="22"/>
          <w:lang w:val="sr-Latn-CS"/>
        </w:rPr>
        <w:t xml:space="preserve">400 mikromol/l ili </w:t>
      </w:r>
      <w:r w:rsidRPr="00E942A7">
        <w:rPr>
          <w:sz w:val="22"/>
          <w:szCs w:val="22"/>
          <w:lang w:val="sr-Latn-CS"/>
        </w:rPr>
        <w:sym w:font="Symbol" w:char="F03E"/>
      </w:r>
      <w:r w:rsidRPr="00E942A7">
        <w:rPr>
          <w:sz w:val="22"/>
          <w:szCs w:val="22"/>
          <w:lang w:val="sr-Latn-CS"/>
        </w:rPr>
        <w:t xml:space="preserve">4,5 mg/dl. </w:t>
      </w:r>
      <w:r w:rsidRPr="00E942A7">
        <w:rPr>
          <w:spacing w:val="3"/>
          <w:sz w:val="22"/>
          <w:szCs w:val="22"/>
          <w:lang w:val="sr-Latn-CS"/>
        </w:rPr>
        <w:t>Kod pacijenata sa hiperkalcijemijom usljed malignih oboljenja i kod onih kod kojih je koncentracija kreatinina u serumu</w:t>
      </w:r>
      <w:r w:rsidRPr="00E942A7">
        <w:rPr>
          <w:spacing w:val="2"/>
          <w:sz w:val="22"/>
          <w:szCs w:val="22"/>
          <w:lang w:val="sr-Latn-CS"/>
        </w:rPr>
        <w:t xml:space="preserve"> &lt; 400 mikromol/1 ili &lt; 4,5 mg/dl, nije neophodno podešavanje doze (vidjeti odjeljak 4.4).</w:t>
      </w:r>
    </w:p>
    <w:p w:rsidR="006F5DA1" w:rsidRPr="00E942A7" w:rsidRDefault="006F5DA1" w:rsidP="006F5DA1">
      <w:pPr>
        <w:jc w:val="both"/>
        <w:rPr>
          <w:i/>
          <w:sz w:val="22"/>
          <w:szCs w:val="22"/>
          <w:lang w:val="sr-Latn-CS"/>
        </w:rPr>
      </w:pPr>
    </w:p>
    <w:p w:rsidR="006F5DA1" w:rsidRPr="00E942A7" w:rsidRDefault="006F5DA1" w:rsidP="006F5DA1">
      <w:pPr>
        <w:jc w:val="both"/>
        <w:rPr>
          <w:i/>
          <w:sz w:val="22"/>
          <w:szCs w:val="22"/>
          <w:lang w:val="sr-Latn-CS"/>
        </w:rPr>
      </w:pPr>
      <w:r w:rsidRPr="00E942A7">
        <w:rPr>
          <w:i/>
          <w:sz w:val="22"/>
          <w:szCs w:val="22"/>
          <w:lang w:val="sr-Latn-CS"/>
        </w:rPr>
        <w:t>Prevencija komplikacija na kostima kod pacijenata sa uznapredovalim malignitetom koji zahvata i kosti:</w:t>
      </w:r>
    </w:p>
    <w:p w:rsidR="006F5DA1" w:rsidRPr="00E942A7" w:rsidRDefault="006F5DA1" w:rsidP="006F5DA1">
      <w:pPr>
        <w:jc w:val="both"/>
        <w:rPr>
          <w:i/>
          <w:sz w:val="22"/>
          <w:szCs w:val="22"/>
          <w:lang w:val="sr-Latn-CS"/>
        </w:rPr>
      </w:pPr>
    </w:p>
    <w:p w:rsidR="006F5DA1" w:rsidRPr="00E942A7" w:rsidRDefault="006F5DA1" w:rsidP="006F5DA1">
      <w:pPr>
        <w:jc w:val="both"/>
        <w:rPr>
          <w:sz w:val="22"/>
          <w:szCs w:val="22"/>
          <w:lang w:val="sr-Latn-CS"/>
        </w:rPr>
      </w:pPr>
      <w:r w:rsidRPr="00E942A7">
        <w:rPr>
          <w:sz w:val="22"/>
          <w:szCs w:val="22"/>
          <w:lang w:val="sr-Latn-CS"/>
        </w:rPr>
        <w:t xml:space="preserve">Kada se zoledronska kiselina uvodi u terapiju kod pacijenata sa multiplim mijelomom ili metastatskim lezijama na kostima porijeklom od solidnih tumora, neophodno je odrediti nivoe kreatinina u serumu i klirens kreatinina (CLCr). CLCr se izračunava na osnovu nivoa kreatinina u serumu pomoću Cockcroft-Gault formule. Zoledronska kiselina se ne preporučuje pacijentima kod kojih je prije započinjanja terapije bilo prisutno teško oštećenje bubrega, definisano za ovu populaciju pacijenata kao CLCr </w:t>
      </w:r>
      <w:r w:rsidRPr="00E942A7">
        <w:rPr>
          <w:sz w:val="22"/>
          <w:szCs w:val="22"/>
          <w:lang w:val="sr-Latn-CS"/>
        </w:rPr>
        <w:sym w:font="Symbol" w:char="F03C"/>
      </w:r>
      <w:r w:rsidRPr="00E942A7">
        <w:rPr>
          <w:sz w:val="22"/>
          <w:szCs w:val="22"/>
          <w:lang w:val="sr-Latn-CS"/>
        </w:rPr>
        <w:t xml:space="preserve"> 30 ml/min. Iz kliničkih ispitivanja sa zoledronskom kiselinom bili su isključeni pacijenti sa serumskim kreatininom </w:t>
      </w:r>
      <w:r w:rsidRPr="00E942A7">
        <w:rPr>
          <w:sz w:val="22"/>
          <w:szCs w:val="22"/>
          <w:lang w:val="sr-Latn-CS"/>
        </w:rPr>
        <w:sym w:font="Symbol" w:char="F03E"/>
      </w:r>
      <w:r w:rsidRPr="00E942A7">
        <w:rPr>
          <w:sz w:val="22"/>
          <w:szCs w:val="22"/>
          <w:lang w:val="sr-Latn-CS"/>
        </w:rPr>
        <w:t xml:space="preserve">265 mikromol/l ili </w:t>
      </w:r>
      <w:r w:rsidRPr="00E942A7">
        <w:rPr>
          <w:sz w:val="22"/>
          <w:szCs w:val="22"/>
          <w:lang w:val="sr-Latn-CS"/>
        </w:rPr>
        <w:sym w:font="Symbol" w:char="F03E"/>
      </w:r>
      <w:r w:rsidRPr="00E942A7">
        <w:rPr>
          <w:sz w:val="22"/>
          <w:szCs w:val="22"/>
          <w:lang w:val="sr-Latn-CS"/>
        </w:rPr>
        <w:t>3,0 mg/dl.</w:t>
      </w:r>
    </w:p>
    <w:p w:rsidR="006F5DA1" w:rsidRPr="00E942A7" w:rsidRDefault="006F5DA1" w:rsidP="006F5DA1">
      <w:pPr>
        <w:jc w:val="both"/>
        <w:rPr>
          <w:sz w:val="22"/>
          <w:szCs w:val="22"/>
          <w:lang w:val="sr-Latn-CS"/>
        </w:rPr>
      </w:pPr>
    </w:p>
    <w:p w:rsidR="006F5DA1" w:rsidRPr="00E942A7" w:rsidRDefault="006F5DA1" w:rsidP="006F5DA1">
      <w:pPr>
        <w:jc w:val="both"/>
        <w:rPr>
          <w:sz w:val="22"/>
          <w:szCs w:val="22"/>
          <w:lang w:val="sr-Latn-CS"/>
        </w:rPr>
      </w:pPr>
      <w:r w:rsidRPr="00E942A7">
        <w:rPr>
          <w:sz w:val="22"/>
          <w:szCs w:val="22"/>
          <w:lang w:val="sr-Latn-CS"/>
        </w:rPr>
        <w:t>Kod pacijenata sa metastazama na kostima, kod kojih je prije započinjanja terapije utvrđeno blago do umjereno oštećenje bubrežne funkcije, definisano za ovu populaciju pacijenata kao CLCr 30-60 ml/min, preporučuju se sljedeće doze zoledronske kiseline (vidjeti takođe odjeljak 4.4):</w:t>
      </w:r>
    </w:p>
    <w:p w:rsidR="006F5DA1" w:rsidRPr="00E942A7" w:rsidRDefault="006F5DA1" w:rsidP="006F5DA1">
      <w:pPr>
        <w:jc w:val="both"/>
        <w:rPr>
          <w:sz w:val="22"/>
          <w:szCs w:val="22"/>
          <w:lang w:val="sr-Latn-CS"/>
        </w:rPr>
      </w:pPr>
    </w:p>
    <w:tbl>
      <w:tblPr>
        <w:tblW w:w="0" w:type="auto"/>
        <w:tblBorders>
          <w:top w:val="single" w:sz="12" w:space="0" w:color="000000"/>
          <w:bottom w:val="single" w:sz="12" w:space="0" w:color="000000"/>
          <w:insideH w:val="single" w:sz="6" w:space="0" w:color="000000"/>
        </w:tblBorders>
        <w:tblLayout w:type="fixed"/>
        <w:tblLook w:val="01E0" w:firstRow="1" w:lastRow="1" w:firstColumn="1" w:lastColumn="1" w:noHBand="0" w:noVBand="0"/>
      </w:tblPr>
      <w:tblGrid>
        <w:gridCol w:w="4962"/>
        <w:gridCol w:w="4237"/>
      </w:tblGrid>
      <w:tr w:rsidR="006F5DA1" w:rsidRPr="00E942A7" w:rsidTr="001F5CB2">
        <w:trPr>
          <w:trHeight w:val="236"/>
        </w:trPr>
        <w:tc>
          <w:tcPr>
            <w:tcW w:w="4962" w:type="dxa"/>
            <w:tcBorders>
              <w:bottom w:val="single" w:sz="12" w:space="0" w:color="000000"/>
            </w:tcBorders>
            <w:shd w:val="clear" w:color="auto" w:fill="auto"/>
          </w:tcPr>
          <w:p w:rsidR="006F5DA1" w:rsidRPr="00E942A7" w:rsidRDefault="006F5DA1" w:rsidP="006F5DA1">
            <w:pPr>
              <w:rPr>
                <w:b/>
                <w:bCs/>
                <w:sz w:val="22"/>
                <w:szCs w:val="22"/>
                <w:lang w:val="sr-Latn-CS"/>
              </w:rPr>
            </w:pPr>
            <w:r w:rsidRPr="00E942A7">
              <w:rPr>
                <w:b/>
                <w:bCs/>
                <w:sz w:val="22"/>
                <w:szCs w:val="22"/>
                <w:lang w:val="sr-Latn-CS"/>
              </w:rPr>
              <w:t>Početne vrijednosti klirensa kreatinina (ml/min)</w:t>
            </w:r>
          </w:p>
        </w:tc>
        <w:tc>
          <w:tcPr>
            <w:tcW w:w="4237" w:type="dxa"/>
            <w:tcBorders>
              <w:bottom w:val="single" w:sz="12" w:space="0" w:color="000000"/>
            </w:tcBorders>
            <w:shd w:val="clear" w:color="auto" w:fill="auto"/>
          </w:tcPr>
          <w:p w:rsidR="006F5DA1" w:rsidRPr="00E942A7" w:rsidRDefault="006F5DA1" w:rsidP="006F5DA1">
            <w:pPr>
              <w:rPr>
                <w:b/>
                <w:bCs/>
                <w:sz w:val="22"/>
                <w:szCs w:val="22"/>
                <w:lang w:val="sr-Latn-CS"/>
              </w:rPr>
            </w:pPr>
            <w:r w:rsidRPr="00E942A7">
              <w:rPr>
                <w:b/>
                <w:bCs/>
                <w:sz w:val="22"/>
                <w:szCs w:val="22"/>
                <w:lang w:val="sr-Latn-CS"/>
              </w:rPr>
              <w:t>Preporučene doze zoledronske kiseline</w:t>
            </w:r>
          </w:p>
        </w:tc>
      </w:tr>
      <w:tr w:rsidR="006F5DA1" w:rsidRPr="00E942A7" w:rsidTr="001F5CB2">
        <w:trPr>
          <w:trHeight w:val="236"/>
        </w:trPr>
        <w:tc>
          <w:tcPr>
            <w:tcW w:w="4962" w:type="dxa"/>
            <w:tcBorders>
              <w:top w:val="single" w:sz="12" w:space="0" w:color="000000"/>
            </w:tcBorders>
            <w:shd w:val="clear" w:color="auto" w:fill="auto"/>
          </w:tcPr>
          <w:p w:rsidR="006F5DA1" w:rsidRPr="00E942A7" w:rsidRDefault="006F5DA1" w:rsidP="006F5DA1">
            <w:pPr>
              <w:rPr>
                <w:sz w:val="22"/>
                <w:szCs w:val="22"/>
                <w:lang w:val="sr-Latn-CS"/>
              </w:rPr>
            </w:pPr>
            <w:r w:rsidRPr="00E942A7">
              <w:rPr>
                <w:sz w:val="22"/>
                <w:szCs w:val="22"/>
                <w:lang w:val="sr-Latn-CS"/>
              </w:rPr>
              <w:sym w:font="Symbol" w:char="F03E"/>
            </w:r>
            <w:r w:rsidRPr="00E942A7">
              <w:rPr>
                <w:sz w:val="22"/>
                <w:szCs w:val="22"/>
                <w:lang w:val="sr-Latn-CS"/>
              </w:rPr>
              <w:t xml:space="preserve"> 60</w:t>
            </w:r>
          </w:p>
          <w:p w:rsidR="006F5DA1" w:rsidRPr="00E942A7" w:rsidRDefault="006F5DA1" w:rsidP="006F5DA1">
            <w:pPr>
              <w:rPr>
                <w:sz w:val="22"/>
                <w:szCs w:val="22"/>
                <w:lang w:val="sr-Latn-CS"/>
              </w:rPr>
            </w:pPr>
            <w:r w:rsidRPr="00E942A7">
              <w:rPr>
                <w:sz w:val="22"/>
                <w:szCs w:val="22"/>
                <w:lang w:val="sr-Latn-CS"/>
              </w:rPr>
              <w:t>50-60</w:t>
            </w:r>
          </w:p>
          <w:p w:rsidR="006F5DA1" w:rsidRPr="00E942A7" w:rsidRDefault="006F5DA1" w:rsidP="006F5DA1">
            <w:pPr>
              <w:rPr>
                <w:sz w:val="22"/>
                <w:szCs w:val="22"/>
                <w:lang w:val="sr-Latn-CS"/>
              </w:rPr>
            </w:pPr>
            <w:r w:rsidRPr="00E942A7">
              <w:rPr>
                <w:sz w:val="22"/>
                <w:szCs w:val="22"/>
                <w:lang w:val="sr-Latn-CS"/>
              </w:rPr>
              <w:t>40-49</w:t>
            </w:r>
          </w:p>
          <w:p w:rsidR="006F5DA1" w:rsidRPr="00E942A7" w:rsidRDefault="006F5DA1" w:rsidP="006F5DA1">
            <w:pPr>
              <w:rPr>
                <w:i/>
                <w:sz w:val="22"/>
                <w:szCs w:val="22"/>
                <w:lang w:val="sr-Latn-CS"/>
              </w:rPr>
            </w:pPr>
            <w:r w:rsidRPr="00E942A7">
              <w:rPr>
                <w:sz w:val="22"/>
                <w:szCs w:val="22"/>
                <w:lang w:val="sr-Latn-CS"/>
              </w:rPr>
              <w:t>30-39</w:t>
            </w:r>
          </w:p>
        </w:tc>
        <w:tc>
          <w:tcPr>
            <w:tcW w:w="4237" w:type="dxa"/>
            <w:tcBorders>
              <w:top w:val="single" w:sz="12" w:space="0" w:color="000000"/>
            </w:tcBorders>
            <w:shd w:val="clear" w:color="auto" w:fill="auto"/>
          </w:tcPr>
          <w:p w:rsidR="006F5DA1" w:rsidRPr="00E942A7" w:rsidRDefault="006F5DA1" w:rsidP="006F5DA1">
            <w:pPr>
              <w:rPr>
                <w:sz w:val="22"/>
                <w:szCs w:val="22"/>
                <w:lang w:val="sr-Latn-CS"/>
              </w:rPr>
            </w:pPr>
            <w:r w:rsidRPr="00E942A7">
              <w:rPr>
                <w:sz w:val="22"/>
                <w:szCs w:val="22"/>
                <w:lang w:val="sr-Latn-CS"/>
              </w:rPr>
              <w:t>4,0 mg zoledronske kiseline</w:t>
            </w:r>
          </w:p>
          <w:p w:rsidR="006F5DA1" w:rsidRPr="00E942A7" w:rsidRDefault="006F5DA1" w:rsidP="006F5DA1">
            <w:pPr>
              <w:rPr>
                <w:sz w:val="22"/>
                <w:szCs w:val="22"/>
                <w:lang w:val="sr-Latn-CS"/>
              </w:rPr>
            </w:pPr>
            <w:r w:rsidRPr="00E942A7">
              <w:rPr>
                <w:sz w:val="22"/>
                <w:szCs w:val="22"/>
                <w:lang w:val="sr-Latn-CS"/>
              </w:rPr>
              <w:t>3,5 mg</w:t>
            </w:r>
            <w:r w:rsidRPr="00E942A7">
              <w:rPr>
                <w:sz w:val="22"/>
                <w:szCs w:val="22"/>
                <w:vertAlign w:val="superscript"/>
                <w:lang w:val="sr-Latn-CS"/>
              </w:rPr>
              <w:sym w:font="Symbol" w:char="F02A"/>
            </w:r>
            <w:r w:rsidRPr="00E942A7">
              <w:rPr>
                <w:sz w:val="22"/>
                <w:szCs w:val="22"/>
                <w:lang w:val="sr-Latn-CS"/>
              </w:rPr>
              <w:t xml:space="preserve"> zoledronske kiseline</w:t>
            </w:r>
          </w:p>
          <w:p w:rsidR="006F5DA1" w:rsidRPr="00E942A7" w:rsidRDefault="006F5DA1" w:rsidP="006F5DA1">
            <w:pPr>
              <w:rPr>
                <w:sz w:val="22"/>
                <w:szCs w:val="22"/>
                <w:vertAlign w:val="superscript"/>
                <w:lang w:val="sr-Latn-CS"/>
              </w:rPr>
            </w:pPr>
            <w:r w:rsidRPr="00E942A7">
              <w:rPr>
                <w:sz w:val="22"/>
                <w:szCs w:val="22"/>
                <w:lang w:val="sr-Latn-CS"/>
              </w:rPr>
              <w:t>3,3 mg</w:t>
            </w:r>
            <w:r w:rsidRPr="00E942A7">
              <w:rPr>
                <w:sz w:val="22"/>
                <w:szCs w:val="22"/>
                <w:vertAlign w:val="superscript"/>
                <w:lang w:val="sr-Latn-CS"/>
              </w:rPr>
              <w:sym w:font="Symbol" w:char="F02A"/>
            </w:r>
            <w:r w:rsidRPr="00E942A7">
              <w:rPr>
                <w:sz w:val="22"/>
                <w:szCs w:val="22"/>
                <w:lang w:val="sr-Latn-CS"/>
              </w:rPr>
              <w:t xml:space="preserve"> zoledronske kiseline</w:t>
            </w:r>
          </w:p>
          <w:p w:rsidR="006F5DA1" w:rsidRPr="00E942A7" w:rsidRDefault="006F5DA1" w:rsidP="006F5DA1">
            <w:pPr>
              <w:rPr>
                <w:sz w:val="22"/>
                <w:szCs w:val="22"/>
                <w:lang w:val="sr-Latn-CS"/>
              </w:rPr>
            </w:pPr>
            <w:r w:rsidRPr="00E942A7">
              <w:rPr>
                <w:sz w:val="22"/>
                <w:szCs w:val="22"/>
                <w:lang w:val="sr-Latn-CS"/>
              </w:rPr>
              <w:t>3,0 mg</w:t>
            </w:r>
            <w:r w:rsidRPr="00E942A7">
              <w:rPr>
                <w:sz w:val="22"/>
                <w:szCs w:val="22"/>
                <w:vertAlign w:val="superscript"/>
                <w:lang w:val="sr-Latn-CS"/>
              </w:rPr>
              <w:sym w:font="Symbol" w:char="F02A"/>
            </w:r>
            <w:r w:rsidRPr="00E942A7">
              <w:rPr>
                <w:sz w:val="22"/>
                <w:szCs w:val="22"/>
                <w:lang w:val="sr-Latn-CS"/>
              </w:rPr>
              <w:t xml:space="preserve"> zoledronske kiseline</w:t>
            </w:r>
          </w:p>
        </w:tc>
      </w:tr>
    </w:tbl>
    <w:p w:rsidR="006F5DA1" w:rsidRPr="00E942A7" w:rsidRDefault="006F5DA1" w:rsidP="006F5DA1">
      <w:pPr>
        <w:shd w:val="clear" w:color="auto" w:fill="FFFFFF"/>
        <w:spacing w:before="5" w:line="235" w:lineRule="exact"/>
        <w:ind w:right="543"/>
        <w:jc w:val="both"/>
        <w:rPr>
          <w:spacing w:val="-1"/>
          <w:w w:val="103"/>
          <w:sz w:val="22"/>
          <w:szCs w:val="22"/>
          <w:lang w:val="sr-Latn-CS"/>
        </w:rPr>
      </w:pPr>
      <w:r w:rsidRPr="00E942A7">
        <w:rPr>
          <w:spacing w:val="-1"/>
          <w:w w:val="103"/>
          <w:sz w:val="22"/>
          <w:szCs w:val="22"/>
          <w:lang w:val="sr-Latn-CS"/>
        </w:rPr>
        <w:t xml:space="preserve">*Doze se računaju u odnosu na ciljne vrijednosti </w:t>
      </w:r>
      <w:smartTag w:uri="urn:schemas-microsoft-com:office:smarttags" w:element="stockticker">
        <w:r w:rsidRPr="00E942A7">
          <w:rPr>
            <w:spacing w:val="-1"/>
            <w:w w:val="103"/>
            <w:sz w:val="22"/>
            <w:szCs w:val="22"/>
            <w:lang w:val="sr-Latn-CS"/>
          </w:rPr>
          <w:t>PIK</w:t>
        </w:r>
      </w:smartTag>
      <w:r w:rsidRPr="00E942A7">
        <w:rPr>
          <w:spacing w:val="-1"/>
          <w:w w:val="103"/>
          <w:sz w:val="22"/>
          <w:szCs w:val="22"/>
          <w:lang w:val="sr-Latn-CS"/>
        </w:rPr>
        <w:t xml:space="preserve"> od 0,66 (mg•h/l) (CLCr = 75 ml/min). Očekuje se da će redukovane doze lijeka kod </w:t>
      </w:r>
      <w:r w:rsidRPr="00E942A7">
        <w:rPr>
          <w:w w:val="103"/>
          <w:sz w:val="22"/>
          <w:szCs w:val="22"/>
          <w:lang w:val="sr-Latn-CS"/>
        </w:rPr>
        <w:t xml:space="preserve">pacijenata sa oštećenjem bubrega postići isti </w:t>
      </w:r>
      <w:smartTag w:uri="urn:schemas-microsoft-com:office:smarttags" w:element="stockticker">
        <w:r w:rsidRPr="00E942A7">
          <w:rPr>
            <w:w w:val="103"/>
            <w:sz w:val="22"/>
            <w:szCs w:val="22"/>
            <w:lang w:val="sr-Latn-CS"/>
          </w:rPr>
          <w:t>PIK</w:t>
        </w:r>
      </w:smartTag>
      <w:r w:rsidRPr="00E942A7">
        <w:rPr>
          <w:w w:val="103"/>
          <w:sz w:val="22"/>
          <w:szCs w:val="22"/>
          <w:lang w:val="sr-Latn-CS"/>
        </w:rPr>
        <w:t xml:space="preserve"> kao kod pacijenata sa</w:t>
      </w:r>
      <w:r w:rsidRPr="00E942A7">
        <w:rPr>
          <w:spacing w:val="-1"/>
          <w:w w:val="103"/>
          <w:sz w:val="22"/>
          <w:szCs w:val="22"/>
          <w:lang w:val="sr-Latn-CS"/>
        </w:rPr>
        <w:t xml:space="preserve"> klirensom</w:t>
      </w:r>
      <w:r w:rsidRPr="00E942A7">
        <w:rPr>
          <w:w w:val="103"/>
          <w:sz w:val="22"/>
          <w:szCs w:val="22"/>
          <w:lang w:val="sr-Latn-CS"/>
        </w:rPr>
        <w:t xml:space="preserve"> </w:t>
      </w:r>
      <w:r w:rsidRPr="00E942A7">
        <w:rPr>
          <w:spacing w:val="-1"/>
          <w:w w:val="103"/>
          <w:sz w:val="22"/>
          <w:szCs w:val="22"/>
          <w:lang w:val="sr-Latn-CS"/>
        </w:rPr>
        <w:t>kreatinina od 75 ml/min.</w:t>
      </w:r>
    </w:p>
    <w:p w:rsidR="006F5DA1" w:rsidRPr="00E942A7" w:rsidRDefault="006F5DA1" w:rsidP="006F5DA1">
      <w:pPr>
        <w:jc w:val="both"/>
        <w:rPr>
          <w:sz w:val="22"/>
          <w:szCs w:val="22"/>
          <w:lang w:val="sr-Latn-CS"/>
        </w:rPr>
      </w:pPr>
    </w:p>
    <w:p w:rsidR="006F5DA1" w:rsidRPr="00E942A7" w:rsidRDefault="006F5DA1" w:rsidP="006F5DA1">
      <w:pPr>
        <w:jc w:val="both"/>
        <w:rPr>
          <w:sz w:val="22"/>
          <w:szCs w:val="22"/>
          <w:lang w:val="sr-Latn-CS"/>
        </w:rPr>
      </w:pPr>
      <w:r w:rsidRPr="00E942A7">
        <w:rPr>
          <w:sz w:val="22"/>
          <w:szCs w:val="22"/>
          <w:lang w:val="sr-Latn-CS"/>
        </w:rPr>
        <w:t>Nakon započinjanja terapije, kreatinin u serumu treba da se određuje prije svake doze zoledronske kiseline i liječenje treba obustaviti ako se bubrežna funkcija pogorša. U kliničkim ispitivanjima, pogoršanje bubrežne funkcije je  definisano na sljedeći način:</w:t>
      </w:r>
    </w:p>
    <w:p w:rsidR="006F5DA1" w:rsidRPr="00E942A7" w:rsidRDefault="006F5DA1" w:rsidP="006F5DA1">
      <w:pPr>
        <w:numPr>
          <w:ilvl w:val="0"/>
          <w:numId w:val="45"/>
        </w:numPr>
        <w:jc w:val="both"/>
        <w:rPr>
          <w:sz w:val="22"/>
          <w:szCs w:val="22"/>
          <w:lang w:val="sr-Latn-CS"/>
        </w:rPr>
      </w:pPr>
      <w:r w:rsidRPr="00E942A7">
        <w:rPr>
          <w:sz w:val="22"/>
          <w:szCs w:val="22"/>
          <w:lang w:val="sr-Latn-CS"/>
        </w:rPr>
        <w:t>za pacijente sa normalnim početnim koncentracijama kreatinina u serumu (</w:t>
      </w:r>
      <w:r w:rsidRPr="00E942A7">
        <w:rPr>
          <w:sz w:val="22"/>
          <w:szCs w:val="22"/>
          <w:lang w:val="sr-Latn-CS"/>
        </w:rPr>
        <w:sym w:font="Symbol" w:char="F03C"/>
      </w:r>
      <w:r w:rsidRPr="00E942A7">
        <w:rPr>
          <w:sz w:val="22"/>
          <w:szCs w:val="22"/>
          <w:lang w:val="sr-Latn-CS"/>
        </w:rPr>
        <w:t xml:space="preserve">1,4 mg/dl </w:t>
      </w:r>
      <w:r w:rsidRPr="00E942A7">
        <w:rPr>
          <w:w w:val="103"/>
          <w:sz w:val="22"/>
          <w:szCs w:val="22"/>
          <w:lang w:val="sr-Latn-CS"/>
        </w:rPr>
        <w:t>ili &lt; 124 mikromol/1)</w:t>
      </w:r>
      <w:r w:rsidRPr="00E942A7">
        <w:rPr>
          <w:sz w:val="22"/>
          <w:szCs w:val="22"/>
          <w:lang w:val="sr-Latn-CS"/>
        </w:rPr>
        <w:t>, porast od 0,5 mg/dl  ili</w:t>
      </w:r>
      <w:r w:rsidRPr="00E942A7">
        <w:rPr>
          <w:spacing w:val="-2"/>
          <w:w w:val="103"/>
          <w:sz w:val="22"/>
          <w:szCs w:val="22"/>
          <w:lang w:val="sr-Latn-CS"/>
        </w:rPr>
        <w:t xml:space="preserve"> 44 mikromol/1</w:t>
      </w:r>
      <w:r w:rsidRPr="00E942A7">
        <w:rPr>
          <w:sz w:val="22"/>
          <w:szCs w:val="22"/>
          <w:lang w:val="sr-Latn-CS"/>
        </w:rPr>
        <w:t>;</w:t>
      </w:r>
    </w:p>
    <w:p w:rsidR="006F5DA1" w:rsidRPr="00E942A7" w:rsidRDefault="006F5DA1" w:rsidP="006F5DA1">
      <w:pPr>
        <w:numPr>
          <w:ilvl w:val="0"/>
          <w:numId w:val="45"/>
        </w:numPr>
        <w:jc w:val="both"/>
        <w:rPr>
          <w:sz w:val="22"/>
          <w:szCs w:val="22"/>
          <w:lang w:val="sr-Latn-CS"/>
        </w:rPr>
      </w:pPr>
      <w:r w:rsidRPr="00E942A7">
        <w:rPr>
          <w:sz w:val="22"/>
          <w:szCs w:val="22"/>
          <w:lang w:val="sr-Latn-CS"/>
        </w:rPr>
        <w:t>za pacijente sa abnormalnom početnom koncentracijom kreatinina u serumu (</w:t>
      </w:r>
      <w:r w:rsidRPr="00E942A7">
        <w:rPr>
          <w:sz w:val="22"/>
          <w:szCs w:val="22"/>
          <w:lang w:val="sr-Latn-CS"/>
        </w:rPr>
        <w:sym w:font="Symbol" w:char="F03E"/>
      </w:r>
      <w:r w:rsidRPr="00E942A7">
        <w:rPr>
          <w:sz w:val="22"/>
          <w:szCs w:val="22"/>
          <w:lang w:val="sr-Latn-CS"/>
        </w:rPr>
        <w:t>1,4 mg/dl ili</w:t>
      </w:r>
      <w:r w:rsidRPr="00E942A7">
        <w:rPr>
          <w:w w:val="103"/>
          <w:sz w:val="22"/>
          <w:szCs w:val="22"/>
          <w:lang w:val="sr-Latn-CS"/>
        </w:rPr>
        <w:t xml:space="preserve"> &gt; 124 mikromol/1</w:t>
      </w:r>
      <w:r w:rsidRPr="00E942A7">
        <w:rPr>
          <w:sz w:val="22"/>
          <w:szCs w:val="22"/>
          <w:lang w:val="sr-Latn-CS"/>
        </w:rPr>
        <w:t>), porast od 1,0 mg/dl ili</w:t>
      </w:r>
      <w:r w:rsidRPr="00E942A7">
        <w:rPr>
          <w:spacing w:val="-3"/>
          <w:w w:val="103"/>
          <w:sz w:val="22"/>
          <w:szCs w:val="22"/>
          <w:lang w:val="sr-Latn-CS"/>
        </w:rPr>
        <w:t xml:space="preserve"> 88 mikromol/1.</w:t>
      </w:r>
    </w:p>
    <w:p w:rsidR="006F5DA1" w:rsidRPr="00E942A7" w:rsidRDefault="006F5DA1" w:rsidP="006F5DA1">
      <w:pPr>
        <w:jc w:val="both"/>
        <w:rPr>
          <w:sz w:val="22"/>
          <w:szCs w:val="22"/>
          <w:lang w:val="sr-Latn-CS"/>
        </w:rPr>
      </w:pPr>
    </w:p>
    <w:p w:rsidR="006F5DA1" w:rsidRPr="00E942A7" w:rsidRDefault="006F5DA1" w:rsidP="006F5DA1">
      <w:pPr>
        <w:jc w:val="both"/>
        <w:rPr>
          <w:sz w:val="22"/>
          <w:szCs w:val="22"/>
          <w:lang w:val="sr-Latn-CS"/>
        </w:rPr>
      </w:pPr>
      <w:r w:rsidRPr="00E942A7">
        <w:rPr>
          <w:sz w:val="22"/>
          <w:szCs w:val="22"/>
          <w:lang w:val="sr-Latn-CS"/>
        </w:rPr>
        <w:t xml:space="preserve">U kliničkim studijama, liječenje zoledronskom kiselinom je bilo nastavljeno samo kada su se vrijednosti kreatinina </w:t>
      </w:r>
      <w:r w:rsidRPr="00E942A7">
        <w:rPr>
          <w:spacing w:val="3"/>
          <w:sz w:val="22"/>
          <w:szCs w:val="22"/>
          <w:lang w:val="sr-Latn-CS"/>
        </w:rPr>
        <w:t>vratile unutar 10% od njegove početne vrijednosti</w:t>
      </w:r>
      <w:r w:rsidRPr="00E942A7">
        <w:rPr>
          <w:sz w:val="22"/>
          <w:szCs w:val="22"/>
          <w:lang w:val="sr-Latn-CS"/>
        </w:rPr>
        <w:t xml:space="preserve"> (vidjeti odjeljak 4.4 ). Liječenje zoledronskom kiselinom</w:t>
      </w:r>
      <w:r w:rsidRPr="00E942A7">
        <w:rPr>
          <w:b/>
          <w:sz w:val="22"/>
          <w:szCs w:val="22"/>
          <w:lang w:val="sr-Latn-CS"/>
        </w:rPr>
        <w:t xml:space="preserve"> </w:t>
      </w:r>
      <w:r w:rsidRPr="00E942A7">
        <w:rPr>
          <w:sz w:val="22"/>
          <w:szCs w:val="22"/>
          <w:lang w:val="sr-Latn-CS"/>
        </w:rPr>
        <w:t>treba nastaviti sa istom dozom s kojom je i prekinuto.</w:t>
      </w:r>
    </w:p>
    <w:p w:rsidR="006F5DA1" w:rsidRPr="00E942A7" w:rsidRDefault="006F5DA1" w:rsidP="006F5DA1">
      <w:pPr>
        <w:tabs>
          <w:tab w:val="left" w:pos="540"/>
          <w:tab w:val="left" w:pos="569"/>
        </w:tabs>
        <w:jc w:val="both"/>
        <w:rPr>
          <w:bCs/>
          <w:sz w:val="22"/>
          <w:szCs w:val="22"/>
          <w:lang w:val="pl-PL"/>
        </w:rPr>
      </w:pPr>
    </w:p>
    <w:p w:rsidR="006F5DA1" w:rsidRPr="00E942A7" w:rsidRDefault="006F5DA1" w:rsidP="006F5DA1">
      <w:pPr>
        <w:tabs>
          <w:tab w:val="left" w:pos="540"/>
          <w:tab w:val="left" w:pos="569"/>
        </w:tabs>
        <w:jc w:val="both"/>
        <w:rPr>
          <w:bCs/>
          <w:i/>
          <w:sz w:val="22"/>
          <w:szCs w:val="22"/>
          <w:lang w:val="pl-PL"/>
        </w:rPr>
      </w:pPr>
      <w:r w:rsidRPr="00E942A7">
        <w:rPr>
          <w:bCs/>
          <w:i/>
          <w:sz w:val="22"/>
          <w:szCs w:val="22"/>
          <w:lang w:val="pl-PL"/>
        </w:rPr>
        <w:t>Pedijatrijska populacija</w:t>
      </w:r>
    </w:p>
    <w:p w:rsidR="006F5DA1" w:rsidRPr="00E942A7" w:rsidRDefault="006F5DA1" w:rsidP="006F5DA1">
      <w:pPr>
        <w:tabs>
          <w:tab w:val="left" w:pos="540"/>
          <w:tab w:val="left" w:pos="569"/>
        </w:tabs>
        <w:jc w:val="both"/>
        <w:rPr>
          <w:bCs/>
          <w:sz w:val="22"/>
          <w:szCs w:val="22"/>
          <w:lang w:val="pl-PL"/>
        </w:rPr>
      </w:pPr>
    </w:p>
    <w:p w:rsidR="006F5DA1" w:rsidRPr="00E942A7" w:rsidRDefault="006F5DA1" w:rsidP="006F5DA1">
      <w:pPr>
        <w:tabs>
          <w:tab w:val="left" w:pos="540"/>
          <w:tab w:val="left" w:pos="569"/>
        </w:tabs>
        <w:jc w:val="both"/>
        <w:rPr>
          <w:bCs/>
          <w:sz w:val="22"/>
          <w:szCs w:val="22"/>
          <w:lang w:val="pl-PL"/>
        </w:rPr>
      </w:pPr>
      <w:r w:rsidRPr="00E942A7">
        <w:rPr>
          <w:bCs/>
          <w:sz w:val="22"/>
          <w:szCs w:val="22"/>
          <w:lang w:val="pl-PL"/>
        </w:rPr>
        <w:t>Bezbjednost i efikasnost primjene zoledronske kiseline kod djece uzrasta od 1 do 17 godina nisu utvrđene.</w:t>
      </w:r>
    </w:p>
    <w:p w:rsidR="006F5DA1" w:rsidRPr="00E942A7" w:rsidRDefault="006F5DA1" w:rsidP="006F5DA1">
      <w:pPr>
        <w:tabs>
          <w:tab w:val="left" w:pos="540"/>
          <w:tab w:val="left" w:pos="569"/>
        </w:tabs>
        <w:jc w:val="both"/>
        <w:rPr>
          <w:bCs/>
          <w:sz w:val="22"/>
          <w:szCs w:val="22"/>
          <w:lang w:val="pl-PL"/>
        </w:rPr>
      </w:pPr>
      <w:r w:rsidRPr="00E942A7">
        <w:rPr>
          <w:bCs/>
          <w:sz w:val="22"/>
          <w:szCs w:val="22"/>
          <w:lang w:val="pl-PL"/>
        </w:rPr>
        <w:t>Trenutno raspoloživi podaci o primjeni lijeka u pedijatrijskoj populaciji su opisani u odjeljku 5.1, ali se na osnovu njih ne mogu dati preporuke o doziranju lijeka u ovoj populaciji.</w:t>
      </w:r>
    </w:p>
    <w:p w:rsidR="006F5DA1" w:rsidRPr="00E942A7" w:rsidRDefault="006F5DA1" w:rsidP="006F5DA1">
      <w:pPr>
        <w:jc w:val="both"/>
        <w:rPr>
          <w:sz w:val="22"/>
          <w:szCs w:val="22"/>
          <w:u w:val="single"/>
          <w:lang w:val="sr-Latn-CS"/>
        </w:rPr>
      </w:pPr>
    </w:p>
    <w:p w:rsidR="006F5DA1" w:rsidRPr="00E942A7" w:rsidRDefault="006F5DA1" w:rsidP="006F5DA1">
      <w:pPr>
        <w:jc w:val="both"/>
        <w:rPr>
          <w:sz w:val="22"/>
          <w:szCs w:val="22"/>
          <w:u w:val="single"/>
          <w:lang w:val="sr-Latn-CS"/>
        </w:rPr>
      </w:pPr>
      <w:r w:rsidRPr="00E942A7">
        <w:rPr>
          <w:sz w:val="22"/>
          <w:szCs w:val="22"/>
          <w:u w:val="single"/>
          <w:lang w:val="sr-Latn-CS"/>
        </w:rPr>
        <w:t>Način primjene</w:t>
      </w:r>
    </w:p>
    <w:p w:rsidR="006F5DA1" w:rsidRPr="00E942A7" w:rsidRDefault="006F5DA1" w:rsidP="006F5DA1">
      <w:pPr>
        <w:jc w:val="both"/>
        <w:rPr>
          <w:sz w:val="22"/>
          <w:szCs w:val="22"/>
          <w:lang w:val="sr-Latn-CS"/>
        </w:rPr>
      </w:pPr>
    </w:p>
    <w:p w:rsidR="006F5DA1" w:rsidRPr="00E942A7" w:rsidRDefault="006F5DA1" w:rsidP="006F5DA1">
      <w:pPr>
        <w:jc w:val="both"/>
        <w:rPr>
          <w:sz w:val="22"/>
          <w:szCs w:val="22"/>
          <w:lang w:val="sr-Latn-CS"/>
        </w:rPr>
      </w:pPr>
      <w:r w:rsidRPr="00E942A7">
        <w:rPr>
          <w:sz w:val="22"/>
          <w:szCs w:val="22"/>
          <w:lang w:val="sr-Latn-CS"/>
        </w:rPr>
        <w:t>Intravenska upotreba.</w:t>
      </w:r>
    </w:p>
    <w:p w:rsidR="006F5DA1" w:rsidRPr="00E942A7" w:rsidRDefault="006F5DA1" w:rsidP="006F5DA1">
      <w:pPr>
        <w:jc w:val="both"/>
        <w:rPr>
          <w:sz w:val="22"/>
          <w:szCs w:val="22"/>
          <w:lang w:val="sr-Latn-CS"/>
        </w:rPr>
      </w:pPr>
    </w:p>
    <w:p w:rsidR="006F5DA1" w:rsidRPr="00E942A7" w:rsidRDefault="006F5DA1" w:rsidP="006F5DA1">
      <w:pPr>
        <w:jc w:val="both"/>
        <w:rPr>
          <w:sz w:val="22"/>
          <w:szCs w:val="22"/>
          <w:lang w:val="sr-Latn-CS"/>
        </w:rPr>
      </w:pPr>
      <w:r w:rsidRPr="00E942A7">
        <w:rPr>
          <w:sz w:val="22"/>
          <w:szCs w:val="22"/>
          <w:lang w:val="sr-Latn-CS"/>
        </w:rPr>
        <w:t xml:space="preserve">Koncentrat za rastvor za infuziju zoledronske kiseline od 4 mg, dalje se razblažuje sa 100 ml (vidjeti odjeljak 6.6), i daje kao jednokratna intravenska infuzija u trajanju od najmanje 15 minuta. </w:t>
      </w:r>
    </w:p>
    <w:p w:rsidR="006F5DA1" w:rsidRPr="00E942A7" w:rsidRDefault="006F5DA1" w:rsidP="006F5DA1">
      <w:pPr>
        <w:jc w:val="both"/>
        <w:rPr>
          <w:sz w:val="22"/>
          <w:szCs w:val="22"/>
          <w:lang w:val="sr-Latn-CS"/>
        </w:rPr>
      </w:pPr>
    </w:p>
    <w:p w:rsidR="006F5DA1" w:rsidRPr="00E942A7" w:rsidRDefault="006F5DA1" w:rsidP="006F5DA1">
      <w:pPr>
        <w:jc w:val="both"/>
        <w:rPr>
          <w:sz w:val="22"/>
          <w:szCs w:val="22"/>
          <w:lang w:val="sr-Latn-CS"/>
        </w:rPr>
      </w:pPr>
      <w:r w:rsidRPr="00E942A7">
        <w:rPr>
          <w:sz w:val="22"/>
          <w:szCs w:val="22"/>
          <w:lang w:val="sr-Latn-CS"/>
        </w:rPr>
        <w:t>Kod pacijenata sa blagim do umjerenim oštećenjem bubrežne funkcije, preporučuju se redukovane doze zoledronske kiseline (vidjeti dio ″Primjena″ i odjeljak 4.4).</w:t>
      </w:r>
    </w:p>
    <w:p w:rsidR="006F5DA1" w:rsidRPr="00E942A7" w:rsidRDefault="006F5DA1" w:rsidP="006F5DA1">
      <w:pPr>
        <w:jc w:val="both"/>
        <w:rPr>
          <w:sz w:val="22"/>
          <w:szCs w:val="22"/>
          <w:lang w:val="sr-Latn-CS"/>
        </w:rPr>
      </w:pPr>
    </w:p>
    <w:p w:rsidR="006F5DA1" w:rsidRPr="00E942A7" w:rsidRDefault="006F5DA1" w:rsidP="006F5DA1">
      <w:pPr>
        <w:jc w:val="both"/>
        <w:rPr>
          <w:b/>
          <w:sz w:val="22"/>
          <w:szCs w:val="22"/>
          <w:u w:val="single"/>
          <w:lang w:val="sr-Latn-CS"/>
        </w:rPr>
      </w:pPr>
      <w:r w:rsidRPr="00E942A7">
        <w:rPr>
          <w:sz w:val="22"/>
          <w:szCs w:val="22"/>
          <w:u w:val="single"/>
          <w:lang w:val="sr-Latn-CS"/>
        </w:rPr>
        <w:t>Uputstva za pripremanje redukovanih doza zoledronske kiseline</w:t>
      </w:r>
    </w:p>
    <w:p w:rsidR="006F5DA1" w:rsidRPr="00E942A7" w:rsidRDefault="006F5DA1" w:rsidP="006F5DA1">
      <w:pPr>
        <w:jc w:val="both"/>
        <w:rPr>
          <w:b/>
          <w:sz w:val="22"/>
          <w:szCs w:val="22"/>
          <w:lang w:val="sr-Latn-CS"/>
        </w:rPr>
      </w:pPr>
    </w:p>
    <w:p w:rsidR="006F5DA1" w:rsidRPr="00E942A7" w:rsidRDefault="006F5DA1" w:rsidP="006F5DA1">
      <w:pPr>
        <w:jc w:val="both"/>
        <w:rPr>
          <w:sz w:val="22"/>
          <w:szCs w:val="22"/>
          <w:lang w:val="sr-Latn-CS"/>
        </w:rPr>
      </w:pPr>
      <w:r w:rsidRPr="00E942A7">
        <w:rPr>
          <w:sz w:val="22"/>
          <w:szCs w:val="22"/>
          <w:lang w:val="sr-Latn-CS"/>
        </w:rPr>
        <w:t>Izvucite potrebnu količinu koncentrata, na sljedeći način:</w:t>
      </w:r>
    </w:p>
    <w:p w:rsidR="006F5DA1" w:rsidRPr="00E942A7" w:rsidRDefault="006F5DA1" w:rsidP="006F5DA1">
      <w:pPr>
        <w:jc w:val="both"/>
        <w:rPr>
          <w:sz w:val="22"/>
          <w:szCs w:val="22"/>
          <w:lang w:val="sr-Latn-CS"/>
        </w:rPr>
      </w:pPr>
    </w:p>
    <w:p w:rsidR="006F5DA1" w:rsidRPr="00E942A7" w:rsidRDefault="006F5DA1" w:rsidP="006F5DA1">
      <w:pPr>
        <w:spacing w:line="360" w:lineRule="auto"/>
        <w:jc w:val="both"/>
        <w:rPr>
          <w:sz w:val="22"/>
          <w:szCs w:val="22"/>
          <w:lang w:val="sr-Latn-CS"/>
        </w:rPr>
      </w:pPr>
      <w:r w:rsidRPr="00E942A7">
        <w:rPr>
          <w:sz w:val="22"/>
          <w:szCs w:val="22"/>
          <w:lang w:val="sr-Latn-CS"/>
        </w:rPr>
        <w:t>4,4 ml za dozu od 3,5 mg</w:t>
      </w:r>
    </w:p>
    <w:p w:rsidR="006F5DA1" w:rsidRPr="00E942A7" w:rsidRDefault="006F5DA1" w:rsidP="006F5DA1">
      <w:pPr>
        <w:spacing w:line="360" w:lineRule="auto"/>
        <w:jc w:val="both"/>
        <w:rPr>
          <w:sz w:val="22"/>
          <w:szCs w:val="22"/>
          <w:lang w:val="sr-Latn-CS"/>
        </w:rPr>
      </w:pPr>
      <w:r w:rsidRPr="00E942A7">
        <w:rPr>
          <w:sz w:val="22"/>
          <w:szCs w:val="22"/>
          <w:lang w:val="sr-Latn-CS"/>
        </w:rPr>
        <w:t>4,1 ml za dozu od 3,3 mg</w:t>
      </w:r>
    </w:p>
    <w:p w:rsidR="006F5DA1" w:rsidRPr="00E942A7" w:rsidRDefault="006F5DA1" w:rsidP="006F5DA1">
      <w:pPr>
        <w:spacing w:line="360" w:lineRule="auto"/>
        <w:jc w:val="both"/>
        <w:rPr>
          <w:sz w:val="22"/>
          <w:szCs w:val="22"/>
          <w:lang w:val="sr-Latn-CS"/>
        </w:rPr>
      </w:pPr>
      <w:r w:rsidRPr="00E942A7">
        <w:rPr>
          <w:sz w:val="22"/>
          <w:szCs w:val="22"/>
          <w:lang w:val="sr-Latn-CS"/>
        </w:rPr>
        <w:t>3,8 ml za dozu od 3,0 mg</w:t>
      </w:r>
    </w:p>
    <w:p w:rsidR="006F5DA1" w:rsidRPr="00E942A7" w:rsidRDefault="006F5DA1" w:rsidP="006F5DA1">
      <w:pPr>
        <w:jc w:val="both"/>
        <w:rPr>
          <w:sz w:val="22"/>
          <w:szCs w:val="22"/>
          <w:lang w:val="sr-Latn-CS"/>
        </w:rPr>
      </w:pPr>
      <w:r w:rsidRPr="00E942A7">
        <w:rPr>
          <w:sz w:val="22"/>
          <w:szCs w:val="22"/>
          <w:lang w:val="sr-Latn-CS"/>
        </w:rPr>
        <w:t>Izvučenu količinu koncentrata treba dalje razblažiti sa 100 ml sterilnog rastvora 0,9% NaCl ili s istom količinom 5% rastvora glukoze. Ovako pripremljenu dozu lijeka treba primijeniti odjednom, u intravenskoj infuziji koja ne smije trajati manje od 15 minuta.</w:t>
      </w:r>
    </w:p>
    <w:p w:rsidR="006F5DA1" w:rsidRPr="00E942A7" w:rsidRDefault="006F5DA1" w:rsidP="006F5DA1">
      <w:pPr>
        <w:jc w:val="both"/>
        <w:rPr>
          <w:sz w:val="22"/>
          <w:szCs w:val="22"/>
          <w:lang w:val="sr-Latn-CS"/>
        </w:rPr>
      </w:pPr>
    </w:p>
    <w:p w:rsidR="006F5DA1" w:rsidRPr="00E942A7" w:rsidRDefault="006F5DA1" w:rsidP="006F5DA1">
      <w:pPr>
        <w:jc w:val="both"/>
        <w:rPr>
          <w:noProof/>
          <w:sz w:val="22"/>
          <w:szCs w:val="22"/>
          <w:lang w:val="sr-Latn-CS"/>
        </w:rPr>
      </w:pPr>
      <w:r w:rsidRPr="00E942A7">
        <w:rPr>
          <w:noProof/>
          <w:sz w:val="22"/>
          <w:szCs w:val="22"/>
          <w:lang w:val="sr-Latn-CS"/>
        </w:rPr>
        <w:t>Koncentrat zoledronske kiseline se ne smije miješati sa infuzionim rastvorima koji sadrže kalcijum ili druge dvovalentne katjone kao što je laktatni Ringerov rastvor, i treba da se daje kao jednokratna intravenska infuzija u posebnoj infuzionoj liniji.</w:t>
      </w:r>
    </w:p>
    <w:p w:rsidR="006F5DA1" w:rsidRPr="00E942A7" w:rsidRDefault="006F5DA1" w:rsidP="006F5DA1">
      <w:pPr>
        <w:jc w:val="both"/>
        <w:rPr>
          <w:noProof/>
          <w:sz w:val="22"/>
          <w:szCs w:val="22"/>
          <w:lang w:val="sr-Latn-CS"/>
        </w:rPr>
      </w:pPr>
    </w:p>
    <w:p w:rsidR="006F5DA1" w:rsidRPr="00E942A7" w:rsidRDefault="006F5DA1" w:rsidP="006F5DA1">
      <w:pPr>
        <w:tabs>
          <w:tab w:val="left" w:pos="540"/>
          <w:tab w:val="left" w:pos="569"/>
        </w:tabs>
        <w:jc w:val="both"/>
        <w:rPr>
          <w:sz w:val="22"/>
          <w:szCs w:val="22"/>
          <w:lang w:val="sr-Latn-CS"/>
        </w:rPr>
      </w:pPr>
      <w:r w:rsidRPr="00E942A7">
        <w:rPr>
          <w:sz w:val="22"/>
          <w:szCs w:val="22"/>
          <w:lang w:val="sr-Latn-CS"/>
        </w:rPr>
        <w:t>Pacijenti moraju biti dobro hidrirani prije i nakon primjene zoledronske kiseline.</w:t>
      </w:r>
    </w:p>
    <w:p w:rsidR="006F5DA1" w:rsidRPr="00E942A7" w:rsidRDefault="006F5DA1" w:rsidP="006F5DA1">
      <w:pPr>
        <w:tabs>
          <w:tab w:val="left" w:pos="540"/>
          <w:tab w:val="left" w:pos="569"/>
        </w:tabs>
        <w:jc w:val="both"/>
        <w:rPr>
          <w:bCs/>
          <w:sz w:val="22"/>
          <w:szCs w:val="22"/>
          <w:lang w:val="sr-Latn-CS"/>
        </w:rPr>
      </w:pPr>
    </w:p>
    <w:p w:rsidR="006F5DA1" w:rsidRPr="00E942A7" w:rsidRDefault="006F5DA1" w:rsidP="006F5DA1">
      <w:pPr>
        <w:tabs>
          <w:tab w:val="left" w:pos="540"/>
          <w:tab w:val="left" w:pos="569"/>
        </w:tabs>
        <w:jc w:val="both"/>
        <w:rPr>
          <w:b/>
          <w:bCs/>
          <w:sz w:val="22"/>
          <w:szCs w:val="22"/>
          <w:lang w:val="en-US"/>
        </w:rPr>
      </w:pPr>
      <w:r w:rsidRPr="00E942A7">
        <w:rPr>
          <w:b/>
          <w:bCs/>
          <w:sz w:val="22"/>
          <w:szCs w:val="22"/>
          <w:lang w:val="en-US"/>
        </w:rPr>
        <w:t xml:space="preserve">4.3. </w:t>
      </w:r>
      <w:r w:rsidRPr="00E942A7">
        <w:rPr>
          <w:b/>
          <w:bCs/>
          <w:sz w:val="22"/>
          <w:szCs w:val="22"/>
          <w:lang w:val="en-US"/>
        </w:rPr>
        <w:tab/>
        <w:t>Kontraindikacije</w:t>
      </w:r>
    </w:p>
    <w:p w:rsidR="006F5DA1" w:rsidRPr="00E942A7" w:rsidRDefault="006F5DA1" w:rsidP="006F5DA1">
      <w:pPr>
        <w:tabs>
          <w:tab w:val="left" w:pos="540"/>
          <w:tab w:val="left" w:pos="569"/>
        </w:tabs>
        <w:jc w:val="both"/>
        <w:rPr>
          <w:bCs/>
          <w:sz w:val="22"/>
          <w:szCs w:val="22"/>
          <w:lang w:val="en-US"/>
        </w:rPr>
      </w:pPr>
    </w:p>
    <w:p w:rsidR="006F5DA1" w:rsidRPr="00E942A7" w:rsidRDefault="006F5DA1" w:rsidP="006F5DA1">
      <w:pPr>
        <w:tabs>
          <w:tab w:val="left" w:pos="540"/>
          <w:tab w:val="left" w:pos="569"/>
        </w:tabs>
        <w:jc w:val="both"/>
        <w:rPr>
          <w:bCs/>
          <w:sz w:val="22"/>
          <w:szCs w:val="22"/>
          <w:lang w:val="en-US"/>
        </w:rPr>
      </w:pPr>
      <w:r w:rsidRPr="00E942A7">
        <w:rPr>
          <w:bCs/>
          <w:sz w:val="22"/>
          <w:szCs w:val="22"/>
          <w:lang w:val="en-US"/>
        </w:rPr>
        <w:t>•</w:t>
      </w:r>
      <w:r w:rsidRPr="00E942A7">
        <w:rPr>
          <w:bCs/>
          <w:sz w:val="22"/>
          <w:szCs w:val="22"/>
          <w:lang w:val="en-US"/>
        </w:rPr>
        <w:tab/>
        <w:t>Preosjetljivost na aktivnu supstancu, na druge bisfosfonate ili na bilo koju pomoćnu supstancu lijeka Zoledronic Acid Hospira (vidjeti listu pomoćnih supstanci u odjeljku 6.1).</w:t>
      </w:r>
    </w:p>
    <w:p w:rsidR="006F5DA1" w:rsidRPr="00E942A7" w:rsidRDefault="006F5DA1" w:rsidP="006F5DA1">
      <w:pPr>
        <w:tabs>
          <w:tab w:val="left" w:pos="540"/>
          <w:tab w:val="left" w:pos="569"/>
        </w:tabs>
        <w:jc w:val="both"/>
        <w:rPr>
          <w:bCs/>
          <w:sz w:val="22"/>
          <w:szCs w:val="22"/>
          <w:lang w:val="en-US"/>
        </w:rPr>
      </w:pPr>
      <w:r w:rsidRPr="00E942A7">
        <w:rPr>
          <w:bCs/>
          <w:sz w:val="22"/>
          <w:szCs w:val="22"/>
          <w:lang w:val="en-US"/>
        </w:rPr>
        <w:t>•</w:t>
      </w:r>
      <w:r w:rsidRPr="00E942A7">
        <w:rPr>
          <w:bCs/>
          <w:sz w:val="22"/>
          <w:szCs w:val="22"/>
          <w:lang w:val="en-US"/>
        </w:rPr>
        <w:tab/>
        <w:t>Dojenje (vidjeti odjeljak 4.6.)</w:t>
      </w:r>
    </w:p>
    <w:p w:rsidR="006F5DA1" w:rsidRPr="00E942A7" w:rsidRDefault="006F5DA1" w:rsidP="006F5DA1">
      <w:pPr>
        <w:tabs>
          <w:tab w:val="left" w:pos="540"/>
          <w:tab w:val="left" w:pos="569"/>
        </w:tabs>
        <w:jc w:val="both"/>
        <w:rPr>
          <w:bCs/>
          <w:sz w:val="22"/>
          <w:szCs w:val="22"/>
          <w:lang w:val="en-US"/>
        </w:rPr>
      </w:pPr>
    </w:p>
    <w:p w:rsidR="006F5DA1" w:rsidRPr="00E942A7" w:rsidRDefault="006F5DA1" w:rsidP="006F5DA1">
      <w:pPr>
        <w:tabs>
          <w:tab w:val="left" w:pos="540"/>
          <w:tab w:val="left" w:pos="569"/>
        </w:tabs>
        <w:jc w:val="both"/>
        <w:rPr>
          <w:b/>
          <w:bCs/>
          <w:sz w:val="22"/>
          <w:szCs w:val="22"/>
          <w:lang w:val="en-US"/>
        </w:rPr>
      </w:pPr>
      <w:r w:rsidRPr="00E942A7">
        <w:rPr>
          <w:b/>
          <w:bCs/>
          <w:sz w:val="22"/>
          <w:szCs w:val="22"/>
          <w:lang w:val="en-US"/>
        </w:rPr>
        <w:t xml:space="preserve">4.4. </w:t>
      </w:r>
      <w:r w:rsidRPr="00E942A7">
        <w:rPr>
          <w:b/>
          <w:bCs/>
          <w:sz w:val="22"/>
          <w:szCs w:val="22"/>
          <w:lang w:val="en-US"/>
        </w:rPr>
        <w:tab/>
        <w:t>Posebna upozorenja i mjere opreza pri upotrebi lijeka</w:t>
      </w:r>
    </w:p>
    <w:p w:rsidR="006F5DA1" w:rsidRPr="00E942A7" w:rsidRDefault="006F5DA1" w:rsidP="006F5DA1">
      <w:pPr>
        <w:shd w:val="clear" w:color="auto" w:fill="FFFFFF"/>
        <w:spacing w:before="240"/>
        <w:jc w:val="both"/>
        <w:rPr>
          <w:spacing w:val="-2"/>
          <w:w w:val="103"/>
          <w:sz w:val="22"/>
          <w:szCs w:val="22"/>
          <w:u w:val="single"/>
          <w:lang w:val="sr-Latn-CS"/>
        </w:rPr>
      </w:pPr>
      <w:r w:rsidRPr="00E942A7">
        <w:rPr>
          <w:spacing w:val="-2"/>
          <w:w w:val="103"/>
          <w:sz w:val="22"/>
          <w:szCs w:val="22"/>
          <w:u w:val="single"/>
          <w:lang w:val="sr-Latn-CS"/>
        </w:rPr>
        <w:lastRenderedPageBreak/>
        <w:t>Opšta</w:t>
      </w:r>
    </w:p>
    <w:p w:rsidR="006F5DA1" w:rsidRPr="00E942A7" w:rsidRDefault="006F5DA1" w:rsidP="006F5DA1">
      <w:pPr>
        <w:shd w:val="clear" w:color="auto" w:fill="FFFFFF"/>
        <w:spacing w:before="240"/>
        <w:jc w:val="both"/>
        <w:rPr>
          <w:spacing w:val="-1"/>
          <w:w w:val="103"/>
          <w:sz w:val="22"/>
          <w:szCs w:val="22"/>
          <w:lang w:val="sr-Latn-CS"/>
        </w:rPr>
      </w:pPr>
      <w:r w:rsidRPr="00E942A7">
        <w:rPr>
          <w:spacing w:val="-1"/>
          <w:w w:val="103"/>
          <w:sz w:val="22"/>
          <w:szCs w:val="22"/>
          <w:lang w:val="sr-Latn-CS"/>
        </w:rPr>
        <w:t>Prije primjene zoledronske kiseline pacijente treba procijeniti kako bi se utvrdilo da li su odgovarajuće hidrirani.</w:t>
      </w:r>
    </w:p>
    <w:p w:rsidR="006F5DA1" w:rsidRPr="00E942A7" w:rsidRDefault="006F5DA1" w:rsidP="006F5DA1">
      <w:pPr>
        <w:tabs>
          <w:tab w:val="left" w:pos="284"/>
        </w:tabs>
        <w:jc w:val="both"/>
        <w:rPr>
          <w:spacing w:val="-1"/>
          <w:w w:val="103"/>
          <w:sz w:val="22"/>
          <w:szCs w:val="22"/>
          <w:lang w:val="sr-Latn-CS"/>
        </w:rPr>
      </w:pPr>
    </w:p>
    <w:p w:rsidR="006F5DA1" w:rsidRPr="00E942A7" w:rsidRDefault="006F5DA1" w:rsidP="006F5DA1">
      <w:pPr>
        <w:tabs>
          <w:tab w:val="left" w:pos="284"/>
        </w:tabs>
        <w:jc w:val="both"/>
        <w:rPr>
          <w:spacing w:val="-1"/>
          <w:w w:val="103"/>
          <w:sz w:val="22"/>
          <w:szCs w:val="22"/>
          <w:lang w:val="sr-Latn-CS"/>
        </w:rPr>
      </w:pPr>
      <w:r w:rsidRPr="00E942A7">
        <w:rPr>
          <w:spacing w:val="-1"/>
          <w:w w:val="103"/>
          <w:sz w:val="22"/>
          <w:szCs w:val="22"/>
          <w:lang w:val="sr-Latn-CS"/>
        </w:rPr>
        <w:t>Treba izbjegavati preveliki unos tečnosti kod pacijenata kod kojih postoji rizik od srčane insuficijencije.</w:t>
      </w:r>
    </w:p>
    <w:p w:rsidR="006F5DA1" w:rsidRPr="00E942A7" w:rsidRDefault="006F5DA1" w:rsidP="006F5DA1">
      <w:pPr>
        <w:shd w:val="clear" w:color="auto" w:fill="FFFFFF"/>
        <w:spacing w:before="230" w:line="235" w:lineRule="exact"/>
        <w:jc w:val="both"/>
        <w:rPr>
          <w:spacing w:val="-1"/>
          <w:w w:val="103"/>
          <w:sz w:val="22"/>
          <w:szCs w:val="22"/>
          <w:lang w:val="sr-Latn-CS"/>
        </w:rPr>
      </w:pPr>
      <w:r w:rsidRPr="00E942A7">
        <w:rPr>
          <w:spacing w:val="-1"/>
          <w:w w:val="103"/>
          <w:sz w:val="22"/>
          <w:szCs w:val="22"/>
          <w:lang w:val="sr-Latn-CS"/>
        </w:rPr>
        <w:t xml:space="preserve">Nakon započinjanja terapije </w:t>
      </w:r>
      <w:r w:rsidRPr="00E942A7">
        <w:rPr>
          <w:spacing w:val="3"/>
          <w:sz w:val="22"/>
          <w:szCs w:val="22"/>
          <w:lang w:val="sr-Latn-CS"/>
        </w:rPr>
        <w:t xml:space="preserve">zoledronskom kiselinom </w:t>
      </w:r>
      <w:r w:rsidRPr="00E942A7">
        <w:rPr>
          <w:spacing w:val="-1"/>
          <w:w w:val="103"/>
          <w:sz w:val="22"/>
          <w:szCs w:val="22"/>
          <w:lang w:val="sr-Latn-CS"/>
        </w:rPr>
        <w:t>treba pažljivo kontrolisati standardne metaboličke parametre povezane sa hiperkalcijemijom, kao što su: nivoi kalcijuma, fosfata i magnezijuma u serumu. Ako se pojave hipokalcijemija, hipofosfatemija ili hipomagnezijemija, može biti neophodna kratkotrajna terapija nadoknade (suplementna terapija). Pacijenti sa neliječenom hiperkalcijemijom generalno imaju izvjestan stepen poremećaja bubrežne funkcije, zbog čega je neophodno pažljivo kontrolisati funkciju bubrega.</w:t>
      </w:r>
    </w:p>
    <w:p w:rsidR="006F5DA1" w:rsidRPr="00E942A7" w:rsidRDefault="006F5DA1" w:rsidP="006F5DA1">
      <w:pPr>
        <w:shd w:val="clear" w:color="auto" w:fill="FFFFFF"/>
        <w:spacing w:before="230" w:line="235" w:lineRule="exact"/>
        <w:jc w:val="both"/>
        <w:rPr>
          <w:spacing w:val="-1"/>
          <w:w w:val="103"/>
          <w:sz w:val="22"/>
          <w:szCs w:val="22"/>
          <w:lang w:val="sr-Latn-CS"/>
        </w:rPr>
      </w:pPr>
      <w:r w:rsidRPr="00E942A7">
        <w:rPr>
          <w:spacing w:val="3"/>
          <w:sz w:val="22"/>
          <w:szCs w:val="22"/>
          <w:lang w:val="sr-Latn-CS"/>
        </w:rPr>
        <w:t>Pacijenti koji koriste zoledronsku kiselinu</w:t>
      </w:r>
      <w:r w:rsidRPr="00E942A7">
        <w:rPr>
          <w:spacing w:val="2"/>
          <w:sz w:val="22"/>
          <w:szCs w:val="22"/>
          <w:lang w:val="sr-Latn-CS"/>
        </w:rPr>
        <w:t xml:space="preserve"> ne treba istovremeno da dobijaju ljekove čija je aktivna supstanca zoledronska kiselina ili drugi bisfosfonati, s obzirom da su kombinovani efekti ovih ljekova nepoznati</w:t>
      </w:r>
      <w:r w:rsidRPr="00E942A7">
        <w:rPr>
          <w:spacing w:val="3"/>
          <w:sz w:val="22"/>
          <w:szCs w:val="22"/>
          <w:lang w:val="sr-Latn-CS"/>
        </w:rPr>
        <w:t>.</w:t>
      </w:r>
    </w:p>
    <w:p w:rsidR="006F5DA1" w:rsidRPr="00E942A7" w:rsidRDefault="006F5DA1" w:rsidP="006F5DA1">
      <w:pPr>
        <w:shd w:val="clear" w:color="auto" w:fill="FFFFFF"/>
        <w:spacing w:before="235" w:line="235" w:lineRule="exact"/>
        <w:jc w:val="both"/>
        <w:rPr>
          <w:spacing w:val="2"/>
          <w:sz w:val="22"/>
          <w:szCs w:val="22"/>
          <w:u w:val="single"/>
          <w:lang w:val="sr-Latn-CS"/>
        </w:rPr>
      </w:pPr>
      <w:r w:rsidRPr="00E942A7">
        <w:rPr>
          <w:spacing w:val="2"/>
          <w:sz w:val="22"/>
          <w:szCs w:val="22"/>
          <w:u w:val="single"/>
          <w:lang w:val="sr-Latn-CS"/>
        </w:rPr>
        <w:t>Bubrežna insuficijencija</w:t>
      </w:r>
    </w:p>
    <w:p w:rsidR="006F5DA1" w:rsidRPr="00E942A7" w:rsidRDefault="006F5DA1" w:rsidP="006F5DA1">
      <w:pPr>
        <w:shd w:val="clear" w:color="auto" w:fill="FFFFFF"/>
        <w:spacing w:line="235" w:lineRule="exact"/>
        <w:jc w:val="both"/>
        <w:rPr>
          <w:spacing w:val="3"/>
          <w:sz w:val="22"/>
          <w:szCs w:val="22"/>
          <w:lang w:val="sr-Latn-CS"/>
        </w:rPr>
      </w:pPr>
    </w:p>
    <w:p w:rsidR="006F5DA1" w:rsidRPr="00E942A7" w:rsidRDefault="006F5DA1" w:rsidP="006F5DA1">
      <w:pPr>
        <w:shd w:val="clear" w:color="auto" w:fill="FFFFFF"/>
        <w:spacing w:line="235" w:lineRule="exact"/>
        <w:jc w:val="both"/>
        <w:rPr>
          <w:sz w:val="22"/>
          <w:szCs w:val="22"/>
          <w:lang w:val="sr-Latn-CS"/>
        </w:rPr>
      </w:pPr>
      <w:r w:rsidRPr="00E942A7">
        <w:rPr>
          <w:spacing w:val="3"/>
          <w:sz w:val="22"/>
          <w:szCs w:val="22"/>
          <w:lang w:val="sr-Latn-CS"/>
        </w:rPr>
        <w:t xml:space="preserve">Kod pacijenata sa hiperkalcijemijom usljed malignih oboljenja i dokazanim pogoršanjem funkcije bubrega, neophodno je na odgovarajući način procijeniti da li </w:t>
      </w:r>
      <w:r w:rsidRPr="00E942A7">
        <w:rPr>
          <w:spacing w:val="2"/>
          <w:sz w:val="22"/>
          <w:szCs w:val="22"/>
          <w:lang w:val="sr-Latn-CS"/>
        </w:rPr>
        <w:t xml:space="preserve">potencijalna korist od terapije </w:t>
      </w:r>
      <w:r w:rsidRPr="00E942A7">
        <w:rPr>
          <w:spacing w:val="3"/>
          <w:sz w:val="22"/>
          <w:szCs w:val="22"/>
          <w:lang w:val="sr-Latn-CS"/>
        </w:rPr>
        <w:t>zoledronskom kiselinom</w:t>
      </w:r>
      <w:r w:rsidRPr="00E942A7">
        <w:rPr>
          <w:spacing w:val="2"/>
          <w:sz w:val="22"/>
          <w:szCs w:val="22"/>
          <w:lang w:val="sr-Latn-CS"/>
        </w:rPr>
        <w:t xml:space="preserve"> nadmašuje mogući rizik.</w:t>
      </w:r>
    </w:p>
    <w:p w:rsidR="006F5DA1" w:rsidRPr="00E942A7" w:rsidRDefault="006F5DA1" w:rsidP="006F5DA1">
      <w:pPr>
        <w:shd w:val="clear" w:color="auto" w:fill="FFFFFF"/>
        <w:tabs>
          <w:tab w:val="left" w:pos="9900"/>
        </w:tabs>
        <w:spacing w:before="240" w:line="235" w:lineRule="exact"/>
        <w:jc w:val="both"/>
        <w:rPr>
          <w:spacing w:val="2"/>
          <w:sz w:val="22"/>
          <w:szCs w:val="22"/>
          <w:lang w:val="sr-Latn-CS"/>
        </w:rPr>
      </w:pPr>
      <w:r w:rsidRPr="00E942A7">
        <w:rPr>
          <w:spacing w:val="2"/>
          <w:sz w:val="22"/>
          <w:szCs w:val="22"/>
          <w:lang w:val="sr-Latn-CS"/>
        </w:rPr>
        <w:t>Prilikom odlučivanja o tome da li prevenciju komplikacija na kostima sprovoditi kod pacijenata sa metastazama na kostima, potrebno je imati u vidu da pojavu terapijskih efekata treba očekivati tek za 2-3 mjeseca.</w:t>
      </w:r>
    </w:p>
    <w:p w:rsidR="006F5DA1" w:rsidRPr="00E942A7" w:rsidRDefault="006F5DA1" w:rsidP="006F5DA1">
      <w:pPr>
        <w:shd w:val="clear" w:color="auto" w:fill="FFFFFF"/>
        <w:spacing w:before="235" w:line="235" w:lineRule="exact"/>
        <w:jc w:val="both"/>
        <w:rPr>
          <w:spacing w:val="3"/>
          <w:sz w:val="22"/>
          <w:szCs w:val="22"/>
          <w:lang w:val="sr-Latn-CS"/>
        </w:rPr>
      </w:pPr>
      <w:r w:rsidRPr="00E942A7">
        <w:rPr>
          <w:spacing w:val="3"/>
          <w:sz w:val="22"/>
          <w:szCs w:val="22"/>
          <w:lang w:val="sr-Latn-CS"/>
        </w:rPr>
        <w:t>Primjena zoledronske kiseline je povezana sa slučajevima bubrežne disfunkcije. Faktori kao što su dehidratacija, već postojeće oštećenje bubrega,</w:t>
      </w:r>
      <w:r w:rsidRPr="00E942A7">
        <w:rPr>
          <w:spacing w:val="2"/>
          <w:sz w:val="22"/>
          <w:szCs w:val="22"/>
          <w:lang w:val="sr-Latn-CS"/>
        </w:rPr>
        <w:t xml:space="preserve"> višestruki ciklusi primjene zoledronske kiseline ili drugih bisfosfonata, kao i upotreba drugih nefrotoksičnih ljekova, mogu još više pogoršati funkciju bubrega. Iako je tada rizik manji, do pogoršanja funkcije bubrega može doći i kada se zoledronska kiselina</w:t>
      </w:r>
      <w:r w:rsidRPr="00E942A7">
        <w:rPr>
          <w:spacing w:val="3"/>
          <w:sz w:val="22"/>
          <w:szCs w:val="22"/>
          <w:lang w:val="sr-Latn-CS"/>
        </w:rPr>
        <w:t xml:space="preserve"> daje u vremenskom periodu ne kraćem od 15 minuta. </w:t>
      </w:r>
      <w:r w:rsidRPr="00E942A7">
        <w:rPr>
          <w:spacing w:val="2"/>
          <w:sz w:val="22"/>
          <w:szCs w:val="22"/>
          <w:lang w:val="sr-Latn-CS"/>
        </w:rPr>
        <w:t>Poslije početne ili jednokratne doze od 4 mg zoledronske kiseline</w:t>
      </w:r>
      <w:r w:rsidRPr="00E942A7">
        <w:rPr>
          <w:spacing w:val="3"/>
          <w:sz w:val="22"/>
          <w:szCs w:val="22"/>
          <w:lang w:val="sr-Latn-CS"/>
        </w:rPr>
        <w:t xml:space="preserve"> zabilježeni su slučajevi pogoršanja bubrežne funkcije, progresije do bubrežne insuficijencije i dijalize. Rjeđe se može javiti porast kreatinina u serumu kod nekih pacijenata kod kojih se zoledronska kiselina hronično primjenjuje u preporučenim dozama za prevenciju komplikacija na kostima.</w:t>
      </w:r>
    </w:p>
    <w:p w:rsidR="006F5DA1" w:rsidRPr="00E942A7" w:rsidRDefault="006F5DA1" w:rsidP="006F5DA1">
      <w:pPr>
        <w:shd w:val="clear" w:color="auto" w:fill="FFFFFF"/>
        <w:spacing w:before="235" w:line="235" w:lineRule="exact"/>
        <w:jc w:val="both"/>
        <w:rPr>
          <w:sz w:val="22"/>
          <w:szCs w:val="22"/>
          <w:lang w:val="sr-Latn-CS"/>
        </w:rPr>
      </w:pPr>
      <w:r w:rsidRPr="00E942A7">
        <w:rPr>
          <w:spacing w:val="3"/>
          <w:sz w:val="22"/>
          <w:szCs w:val="22"/>
          <w:lang w:val="sr-Latn-CS"/>
        </w:rPr>
        <w:t xml:space="preserve">Nivo kreatinina u serumu potrebno je određivati prije svake doze zoledronske kiseline. Kod pacijenata sa </w:t>
      </w:r>
      <w:r w:rsidRPr="00E942A7">
        <w:rPr>
          <w:spacing w:val="2"/>
          <w:sz w:val="22"/>
          <w:szCs w:val="22"/>
          <w:lang w:val="sr-Latn-CS"/>
        </w:rPr>
        <w:t>metastazama na kostima, koji imaju blago do umjereno oštećenje bubrega, preporučuje se započeti liječenje nižim dozama zoledronske kiseline. Kod pacijenata koji pokazuju znakove pogoršanja bubrežne funkcije tokom liječenja, terapiju zoledronskom kiselinom treba prekinuti</w:t>
      </w:r>
      <w:r w:rsidRPr="00E942A7">
        <w:rPr>
          <w:spacing w:val="3"/>
          <w:sz w:val="22"/>
          <w:szCs w:val="22"/>
          <w:lang w:val="sr-Latn-CS"/>
        </w:rPr>
        <w:t>. Terapija zoledronskom kiselinom smije biti nastavljena tek kada se nivo kreatinina u serumu vrati unutar 10% od njegovih početnih vrijednosti</w:t>
      </w:r>
      <w:r w:rsidRPr="00E942A7">
        <w:rPr>
          <w:sz w:val="22"/>
          <w:szCs w:val="22"/>
          <w:lang w:val="sr-Latn-CS"/>
        </w:rPr>
        <w:t>. Liječenje zoledronskom kiselinom</w:t>
      </w:r>
      <w:r w:rsidRPr="00E942A7">
        <w:rPr>
          <w:b/>
          <w:sz w:val="22"/>
          <w:szCs w:val="22"/>
          <w:lang w:val="sr-Latn-CS"/>
        </w:rPr>
        <w:t xml:space="preserve"> </w:t>
      </w:r>
      <w:r w:rsidRPr="00E942A7">
        <w:rPr>
          <w:sz w:val="22"/>
          <w:szCs w:val="22"/>
          <w:lang w:val="sr-Latn-CS"/>
        </w:rPr>
        <w:t>treba nastaviti sa istom dozom s kojom je i prekinuto.</w:t>
      </w:r>
    </w:p>
    <w:p w:rsidR="006F5DA1" w:rsidRPr="00E942A7" w:rsidRDefault="006F5DA1" w:rsidP="006F5DA1">
      <w:pPr>
        <w:shd w:val="clear" w:color="auto" w:fill="FFFFFF"/>
        <w:spacing w:before="240" w:line="235" w:lineRule="exact"/>
        <w:jc w:val="both"/>
        <w:rPr>
          <w:spacing w:val="2"/>
          <w:sz w:val="22"/>
          <w:szCs w:val="22"/>
          <w:lang w:val="sr-Latn-CS"/>
        </w:rPr>
      </w:pPr>
      <w:r w:rsidRPr="00E942A7">
        <w:rPr>
          <w:spacing w:val="2"/>
          <w:sz w:val="22"/>
          <w:szCs w:val="22"/>
          <w:lang w:val="sr-Latn-CS"/>
        </w:rPr>
        <w:t xml:space="preserve">Uzimajući u obzir potencijalni uticaj zoledronske kiseline na bubrežnu funkciju, manjak kliničkih </w:t>
      </w:r>
      <w:r w:rsidRPr="00E942A7">
        <w:rPr>
          <w:spacing w:val="3"/>
          <w:sz w:val="22"/>
          <w:szCs w:val="22"/>
          <w:lang w:val="sr-Latn-CS"/>
        </w:rPr>
        <w:t xml:space="preserve">podataka o bezbjednosti primjene lijeka kod pacijenata sa teškim oštećenjem bubrega (u kliničkim ispitivanjima to su pacijenti sa hiperkalcijemijom izazvanom tumorom </w:t>
      </w:r>
      <w:r w:rsidRPr="00E942A7">
        <w:rPr>
          <w:spacing w:val="2"/>
          <w:sz w:val="22"/>
          <w:szCs w:val="22"/>
          <w:lang w:val="sr-Latn-CS"/>
        </w:rPr>
        <w:t>čiji je nivo kreatinina u serumu ≥400 mikromol/1 ili ≥ 4,5 mg/dl kao i pacijenti sa karcinomom i metastazama na kostima, čiji je nivo kreatinina u serumu ≥ 265 mikromol/1 ili ≥ 3,0 mg/dl) na početku  liječenja i uzimajući u obzir samo ograničene farmakokinetičke podatke kod pacijenata sa</w:t>
      </w:r>
      <w:r w:rsidRPr="00E942A7">
        <w:rPr>
          <w:spacing w:val="3"/>
          <w:sz w:val="22"/>
          <w:szCs w:val="22"/>
          <w:lang w:val="sr-Latn-CS"/>
        </w:rPr>
        <w:t xml:space="preserve"> teškim oštećenjem bubrega na početku liječenja (klirens kreatinina &lt; 30 ml/min), primjena zoledronske kiseline se ne preporučuje kod pacijenata</w:t>
      </w:r>
      <w:r w:rsidRPr="00E942A7">
        <w:rPr>
          <w:spacing w:val="2"/>
          <w:sz w:val="22"/>
          <w:szCs w:val="22"/>
          <w:lang w:val="sr-Latn-CS"/>
        </w:rPr>
        <w:t xml:space="preserve"> sa teškim oštećenjem bubrega.</w:t>
      </w:r>
    </w:p>
    <w:p w:rsidR="006F5DA1" w:rsidRPr="00E942A7" w:rsidRDefault="006F5DA1" w:rsidP="006F5DA1">
      <w:pPr>
        <w:shd w:val="clear" w:color="auto" w:fill="FFFFFF"/>
        <w:spacing w:before="235" w:line="240" w:lineRule="exact"/>
        <w:jc w:val="both"/>
        <w:rPr>
          <w:spacing w:val="2"/>
          <w:sz w:val="22"/>
          <w:szCs w:val="22"/>
          <w:u w:val="single"/>
          <w:lang w:val="sr-Latn-CS"/>
        </w:rPr>
      </w:pPr>
      <w:r w:rsidRPr="00E942A7">
        <w:rPr>
          <w:spacing w:val="2"/>
          <w:sz w:val="22"/>
          <w:szCs w:val="22"/>
          <w:u w:val="single"/>
          <w:lang w:val="sr-Latn-CS"/>
        </w:rPr>
        <w:lastRenderedPageBreak/>
        <w:t>Insuficijencija jetre</w:t>
      </w:r>
    </w:p>
    <w:p w:rsidR="006F5DA1" w:rsidRPr="00E942A7" w:rsidRDefault="006F5DA1" w:rsidP="006F5DA1">
      <w:pPr>
        <w:shd w:val="clear" w:color="auto" w:fill="FFFFFF"/>
        <w:spacing w:line="240" w:lineRule="exact"/>
        <w:jc w:val="both"/>
        <w:rPr>
          <w:spacing w:val="3"/>
          <w:sz w:val="22"/>
          <w:szCs w:val="22"/>
          <w:lang w:val="sr-Latn-CS"/>
        </w:rPr>
      </w:pPr>
    </w:p>
    <w:p w:rsidR="006F5DA1" w:rsidRPr="00E942A7" w:rsidRDefault="006F5DA1" w:rsidP="006F5DA1">
      <w:pPr>
        <w:shd w:val="clear" w:color="auto" w:fill="FFFFFF"/>
        <w:spacing w:line="240" w:lineRule="exact"/>
        <w:jc w:val="both"/>
        <w:rPr>
          <w:sz w:val="22"/>
          <w:szCs w:val="22"/>
          <w:lang w:val="sr-Latn-CS"/>
        </w:rPr>
      </w:pPr>
      <w:r w:rsidRPr="00E942A7">
        <w:rPr>
          <w:spacing w:val="3"/>
          <w:sz w:val="22"/>
          <w:szCs w:val="22"/>
          <w:lang w:val="sr-Latn-CS"/>
        </w:rPr>
        <w:t>Budući da su dostupni samo ograničeni klinički podaci o pacijentima sa teškom insuficijencijom jetre, nema specifičnih preporuka za ovu populaciju pacijenata.</w:t>
      </w:r>
    </w:p>
    <w:p w:rsidR="006F5DA1" w:rsidRPr="00E942A7" w:rsidRDefault="006F5DA1" w:rsidP="006F5DA1">
      <w:pPr>
        <w:shd w:val="clear" w:color="auto" w:fill="FFFFFF"/>
        <w:spacing w:before="245"/>
        <w:jc w:val="both"/>
        <w:rPr>
          <w:spacing w:val="3"/>
          <w:sz w:val="22"/>
          <w:szCs w:val="22"/>
          <w:u w:val="single"/>
          <w:lang w:val="sr-Latn-CS"/>
        </w:rPr>
      </w:pPr>
      <w:r w:rsidRPr="00E942A7">
        <w:rPr>
          <w:spacing w:val="3"/>
          <w:sz w:val="22"/>
          <w:szCs w:val="22"/>
          <w:u w:val="single"/>
          <w:lang w:val="sr-Latn-CS"/>
        </w:rPr>
        <w:t>Osteonekroza vilice</w:t>
      </w:r>
    </w:p>
    <w:p w:rsidR="006F5DA1" w:rsidRPr="00E942A7" w:rsidRDefault="006F5DA1" w:rsidP="006F5DA1">
      <w:pPr>
        <w:shd w:val="clear" w:color="auto" w:fill="FFFFFF"/>
        <w:spacing w:line="235" w:lineRule="exact"/>
        <w:jc w:val="both"/>
        <w:rPr>
          <w:spacing w:val="2"/>
          <w:sz w:val="22"/>
          <w:szCs w:val="22"/>
          <w:lang w:val="sr-Latn-CS"/>
        </w:rPr>
      </w:pPr>
    </w:p>
    <w:p w:rsidR="006F5DA1" w:rsidRPr="00E942A7" w:rsidRDefault="006F5DA1" w:rsidP="006F5DA1">
      <w:pPr>
        <w:shd w:val="clear" w:color="auto" w:fill="FFFFFF"/>
        <w:spacing w:line="235" w:lineRule="exact"/>
        <w:jc w:val="both"/>
        <w:rPr>
          <w:spacing w:val="2"/>
          <w:sz w:val="22"/>
          <w:szCs w:val="22"/>
          <w:lang w:val="sr-Latn-CS"/>
        </w:rPr>
      </w:pPr>
      <w:r w:rsidRPr="00E942A7">
        <w:rPr>
          <w:spacing w:val="2"/>
          <w:sz w:val="22"/>
          <w:szCs w:val="22"/>
          <w:lang w:val="sr-Latn-CS"/>
        </w:rPr>
        <w:t>Osteonekroza vilice zabilježena je prvenstveno kod pacijenata sa karcinomom koji su bili na terapiji</w:t>
      </w:r>
      <w:r w:rsidRPr="00E942A7">
        <w:rPr>
          <w:spacing w:val="3"/>
          <w:sz w:val="22"/>
          <w:szCs w:val="22"/>
          <w:lang w:val="sr-Latn-CS"/>
        </w:rPr>
        <w:t xml:space="preserve"> ljekovima koji inhibiraju resorpciju kostiju, kao što je zoledronska kiselina. Mnogi od ovih pacijenata su, takođe, primali hemoterapiju i kortikosteroide. Većina opisanih slučajeva bila je povezana sa stomatološkim procedurama poput </w:t>
      </w:r>
      <w:r w:rsidRPr="00E942A7">
        <w:rPr>
          <w:spacing w:val="2"/>
          <w:sz w:val="22"/>
          <w:szCs w:val="22"/>
          <w:lang w:val="sr-Latn-CS"/>
        </w:rPr>
        <w:t>vađenja zuba. Mnogi su imali znakove lokalne infekcije uključujući osteomijelitis.</w:t>
      </w:r>
    </w:p>
    <w:p w:rsidR="006F5DA1" w:rsidRPr="00E942A7" w:rsidRDefault="006F5DA1" w:rsidP="006F5DA1">
      <w:pPr>
        <w:shd w:val="clear" w:color="auto" w:fill="FFFFFF"/>
        <w:spacing w:line="235" w:lineRule="exact"/>
        <w:jc w:val="both"/>
        <w:rPr>
          <w:spacing w:val="2"/>
          <w:sz w:val="22"/>
          <w:szCs w:val="22"/>
          <w:lang w:val="sr-Latn-CS"/>
        </w:rPr>
      </w:pPr>
    </w:p>
    <w:p w:rsidR="006F5DA1" w:rsidRPr="00E942A7" w:rsidRDefault="006F5DA1" w:rsidP="006F5DA1">
      <w:pPr>
        <w:shd w:val="clear" w:color="auto" w:fill="FFFFFF"/>
        <w:spacing w:line="235" w:lineRule="exact"/>
        <w:jc w:val="both"/>
        <w:rPr>
          <w:spacing w:val="2"/>
          <w:sz w:val="22"/>
          <w:szCs w:val="22"/>
          <w:lang w:val="sr-Latn-CS"/>
        </w:rPr>
      </w:pPr>
      <w:r w:rsidRPr="00E942A7">
        <w:rPr>
          <w:spacing w:val="2"/>
          <w:sz w:val="22"/>
          <w:szCs w:val="22"/>
          <w:lang w:val="sr-Latn-CS"/>
        </w:rPr>
        <w:t>Pri procjeni svakog pacijenta ponaosob za razvoj osteonekroze vilice, neophodno je uzeti u razmatranje sljedeće faktore rizika:</w:t>
      </w:r>
    </w:p>
    <w:p w:rsidR="006F5DA1" w:rsidRPr="00E942A7" w:rsidRDefault="006F5DA1" w:rsidP="006F5DA1">
      <w:pPr>
        <w:numPr>
          <w:ilvl w:val="0"/>
          <w:numId w:val="46"/>
        </w:numPr>
        <w:shd w:val="clear" w:color="auto" w:fill="FFFFFF"/>
        <w:tabs>
          <w:tab w:val="left" w:pos="284"/>
        </w:tabs>
        <w:spacing w:line="235" w:lineRule="exact"/>
        <w:jc w:val="both"/>
        <w:rPr>
          <w:spacing w:val="2"/>
          <w:sz w:val="22"/>
          <w:szCs w:val="22"/>
          <w:lang w:val="sr-Latn-CS"/>
        </w:rPr>
      </w:pPr>
      <w:r w:rsidRPr="00E942A7">
        <w:rPr>
          <w:spacing w:val="2"/>
          <w:sz w:val="22"/>
          <w:szCs w:val="22"/>
          <w:lang w:val="sr-Latn-CS"/>
        </w:rPr>
        <w:t>Potentnost bisfosfonata (veći rizik nose potentniji bisfosfonati), način primjene (veći je rizik kod parenteralne primjene) i kumulativna doza</w:t>
      </w:r>
    </w:p>
    <w:p w:rsidR="006F5DA1" w:rsidRPr="00E942A7" w:rsidRDefault="006F5DA1" w:rsidP="006F5DA1">
      <w:pPr>
        <w:numPr>
          <w:ilvl w:val="0"/>
          <w:numId w:val="46"/>
        </w:numPr>
        <w:shd w:val="clear" w:color="auto" w:fill="FFFFFF"/>
        <w:tabs>
          <w:tab w:val="left" w:pos="284"/>
        </w:tabs>
        <w:spacing w:line="235" w:lineRule="exact"/>
        <w:jc w:val="both"/>
        <w:rPr>
          <w:spacing w:val="2"/>
          <w:sz w:val="22"/>
          <w:szCs w:val="22"/>
          <w:lang w:val="sr-Latn-CS"/>
        </w:rPr>
      </w:pPr>
      <w:r w:rsidRPr="00E942A7">
        <w:rPr>
          <w:spacing w:val="2"/>
          <w:sz w:val="22"/>
          <w:szCs w:val="22"/>
          <w:lang w:val="sr-Latn-CS"/>
        </w:rPr>
        <w:t>Karcinom, hemoterapija (vidjeti odjeljak 4.5), radioterapija, kortikosteroidi, pušenje</w:t>
      </w:r>
    </w:p>
    <w:p w:rsidR="006F5DA1" w:rsidRPr="00E942A7" w:rsidRDefault="006F5DA1" w:rsidP="006F5DA1">
      <w:pPr>
        <w:numPr>
          <w:ilvl w:val="0"/>
          <w:numId w:val="46"/>
        </w:numPr>
        <w:shd w:val="clear" w:color="auto" w:fill="FFFFFF"/>
        <w:tabs>
          <w:tab w:val="left" w:pos="284"/>
        </w:tabs>
        <w:spacing w:line="235" w:lineRule="exact"/>
        <w:jc w:val="both"/>
        <w:rPr>
          <w:spacing w:val="2"/>
          <w:sz w:val="22"/>
          <w:szCs w:val="22"/>
          <w:lang w:val="sr-Latn-CS"/>
        </w:rPr>
      </w:pPr>
      <w:r w:rsidRPr="00E942A7">
        <w:rPr>
          <w:spacing w:val="2"/>
          <w:sz w:val="22"/>
          <w:szCs w:val="22"/>
          <w:lang w:val="sr-Latn-CS"/>
        </w:rPr>
        <w:t>Stomatološke bolesti u anamnezi, loša oralna higijena, parodontopatija, invazivne stomatološke procedure, loše prijanjajuće proteze.</w:t>
      </w:r>
    </w:p>
    <w:p w:rsidR="006F5DA1" w:rsidRPr="00E942A7" w:rsidRDefault="006F5DA1" w:rsidP="006F5DA1">
      <w:pPr>
        <w:shd w:val="clear" w:color="auto" w:fill="FFFFFF"/>
        <w:spacing w:before="240" w:line="235" w:lineRule="exact"/>
        <w:jc w:val="both"/>
        <w:rPr>
          <w:sz w:val="22"/>
          <w:szCs w:val="22"/>
          <w:lang w:val="sr-Latn-CS"/>
        </w:rPr>
      </w:pPr>
      <w:r w:rsidRPr="00E942A7">
        <w:rPr>
          <w:spacing w:val="3"/>
          <w:sz w:val="22"/>
          <w:szCs w:val="22"/>
          <w:lang w:val="sr-Latn-CS"/>
        </w:rPr>
        <w:t xml:space="preserve">Prije početka terapije </w:t>
      </w:r>
      <w:r w:rsidRPr="00E942A7">
        <w:rPr>
          <w:spacing w:val="2"/>
          <w:sz w:val="22"/>
          <w:szCs w:val="22"/>
          <w:lang w:val="sr-Latn-CS"/>
        </w:rPr>
        <w:t>bisfosfonatima kod pacijenata sa propratnim faktorima rizika</w:t>
      </w:r>
      <w:r w:rsidRPr="00E942A7">
        <w:rPr>
          <w:spacing w:val="1"/>
          <w:sz w:val="22"/>
          <w:szCs w:val="22"/>
          <w:lang w:val="sr-Latn-CS"/>
        </w:rPr>
        <w:t xml:space="preserve">, </w:t>
      </w:r>
      <w:r w:rsidRPr="00E942A7">
        <w:rPr>
          <w:spacing w:val="2"/>
          <w:sz w:val="22"/>
          <w:szCs w:val="22"/>
          <w:lang w:val="sr-Latn-CS"/>
        </w:rPr>
        <w:t xml:space="preserve">treba razmotriti potrebu za stomatološkim pregledom uz obavljanje preventivnih stomatoloških zahvata. </w:t>
      </w:r>
    </w:p>
    <w:p w:rsidR="006F5DA1" w:rsidRPr="00E942A7" w:rsidRDefault="006F5DA1" w:rsidP="006F5DA1">
      <w:pPr>
        <w:shd w:val="clear" w:color="auto" w:fill="FFFFFF"/>
        <w:spacing w:before="235" w:after="120" w:line="235" w:lineRule="exact"/>
        <w:jc w:val="both"/>
        <w:rPr>
          <w:spacing w:val="1"/>
          <w:sz w:val="22"/>
          <w:szCs w:val="22"/>
          <w:lang w:val="sr-Latn-CS"/>
        </w:rPr>
      </w:pPr>
      <w:r w:rsidRPr="00E942A7">
        <w:rPr>
          <w:spacing w:val="3"/>
          <w:sz w:val="22"/>
          <w:szCs w:val="22"/>
          <w:lang w:val="sr-Latn-CS"/>
        </w:rPr>
        <w:t>Ukoliko je moguće, dok su na terapiji, ovi pacijenti treba da izbjegavaju invazivne stomatološke procedure. Kod pacijenata kod kojih se razvije osteonekroza vilice dok su na terapiji bisfosfonatima, stomatološka operacija bi mogla da pogorša stanje. Nema raspoloživih podataka koji bi ukazivali na to da prestanak terapije bisfosfonatima smanjuje rizik od osteonekroze vilice kod pacijenata kojima je neophodan stomatološki zahvat.</w:t>
      </w:r>
      <w:r w:rsidRPr="00E942A7">
        <w:rPr>
          <w:spacing w:val="2"/>
          <w:sz w:val="22"/>
          <w:szCs w:val="22"/>
          <w:lang w:val="sr-Latn-CS"/>
        </w:rPr>
        <w:t xml:space="preserve"> Procjena ljekara treba biti zasnovana na kliničkom statusu svakog pacijenta ponaosob, kao i na procjeni rizika u odnosu na potencijalnu korist.</w:t>
      </w:r>
    </w:p>
    <w:p w:rsidR="006F5DA1" w:rsidRPr="00E942A7" w:rsidRDefault="006F5DA1" w:rsidP="006F5DA1">
      <w:pPr>
        <w:shd w:val="clear" w:color="auto" w:fill="FFFFFF"/>
        <w:spacing w:before="120"/>
        <w:jc w:val="both"/>
        <w:rPr>
          <w:spacing w:val="3"/>
          <w:sz w:val="22"/>
          <w:szCs w:val="22"/>
          <w:u w:val="single"/>
          <w:lang w:val="sr-Latn-CS"/>
        </w:rPr>
      </w:pPr>
      <w:r w:rsidRPr="00E942A7">
        <w:rPr>
          <w:spacing w:val="3"/>
          <w:sz w:val="22"/>
          <w:szCs w:val="22"/>
          <w:u w:val="single"/>
          <w:lang w:val="sr-Latn-CS"/>
        </w:rPr>
        <w:t>Mišićno-skeletni bol</w:t>
      </w:r>
    </w:p>
    <w:p w:rsidR="006F5DA1" w:rsidRPr="00E942A7" w:rsidRDefault="006F5DA1" w:rsidP="006F5DA1">
      <w:pPr>
        <w:shd w:val="clear" w:color="auto" w:fill="FFFFFF"/>
        <w:spacing w:line="235" w:lineRule="exact"/>
        <w:jc w:val="both"/>
        <w:rPr>
          <w:spacing w:val="3"/>
          <w:sz w:val="22"/>
          <w:szCs w:val="22"/>
          <w:lang w:val="sr-Latn-CS"/>
        </w:rPr>
      </w:pPr>
    </w:p>
    <w:p w:rsidR="006F5DA1" w:rsidRPr="00E942A7" w:rsidRDefault="006F5DA1" w:rsidP="006F5DA1">
      <w:pPr>
        <w:shd w:val="clear" w:color="auto" w:fill="FFFFFF"/>
        <w:spacing w:line="235" w:lineRule="exact"/>
        <w:jc w:val="both"/>
        <w:rPr>
          <w:spacing w:val="2"/>
          <w:sz w:val="22"/>
          <w:szCs w:val="22"/>
          <w:lang w:val="sr-Latn-CS"/>
        </w:rPr>
      </w:pPr>
      <w:r w:rsidRPr="00E942A7">
        <w:rPr>
          <w:spacing w:val="3"/>
          <w:sz w:val="22"/>
          <w:szCs w:val="22"/>
          <w:lang w:val="sr-Latn-CS"/>
        </w:rPr>
        <w:t>U postmarketinškom iskustvu, opisivani su slučajevi teškog i povremeno onesposobljavajućeg bola u kostima, zglobovima, i/ili mišićima kod</w:t>
      </w:r>
      <w:r w:rsidRPr="00E942A7">
        <w:rPr>
          <w:spacing w:val="2"/>
          <w:sz w:val="22"/>
          <w:szCs w:val="22"/>
          <w:lang w:val="sr-Latn-CS"/>
        </w:rPr>
        <w:t xml:space="preserve"> pacijenata koji su na terapiji zoledronskom kiselinom. Ipak, ovakvi izvještaji su bili rijetki. </w:t>
      </w:r>
      <w:r w:rsidRPr="00E942A7">
        <w:rPr>
          <w:spacing w:val="3"/>
          <w:sz w:val="22"/>
          <w:szCs w:val="22"/>
          <w:lang w:val="sr-Latn-CS"/>
        </w:rPr>
        <w:t>Vrijeme do pojave simptoma je variralo od jednog dana do nekoliko mjeseci od početka liječenja</w:t>
      </w:r>
      <w:r w:rsidRPr="00E942A7">
        <w:rPr>
          <w:spacing w:val="2"/>
          <w:sz w:val="22"/>
          <w:szCs w:val="22"/>
          <w:lang w:val="sr-Latn-CS"/>
        </w:rPr>
        <w:t>. Većina pacijenata je imala olakšanje ovih simptoma poslije prekida liječenja. Kod manje grupe pacijenata simptomi su se ponovo pojavili kada je zoledronska kiselina ili drugi bisfosfonat ponovo uveden u terapiju.</w:t>
      </w:r>
    </w:p>
    <w:p w:rsidR="006F5DA1" w:rsidRPr="00E942A7" w:rsidRDefault="006F5DA1" w:rsidP="006F5DA1">
      <w:pPr>
        <w:shd w:val="clear" w:color="auto" w:fill="FFFFFF"/>
        <w:spacing w:line="235" w:lineRule="exact"/>
        <w:jc w:val="both"/>
        <w:rPr>
          <w:spacing w:val="2"/>
          <w:sz w:val="22"/>
          <w:szCs w:val="22"/>
          <w:u w:val="single"/>
          <w:lang w:val="sr-Latn-CS"/>
        </w:rPr>
      </w:pPr>
      <w:r w:rsidRPr="00E942A7">
        <w:rPr>
          <w:spacing w:val="2"/>
          <w:sz w:val="22"/>
          <w:szCs w:val="22"/>
          <w:u w:val="single"/>
          <w:lang w:val="sr-Latn-CS"/>
        </w:rPr>
        <w:t>Atipične frakture femura</w:t>
      </w:r>
    </w:p>
    <w:p w:rsidR="006F5DA1" w:rsidRPr="00E942A7" w:rsidRDefault="006F5DA1" w:rsidP="006F5DA1">
      <w:pPr>
        <w:shd w:val="clear" w:color="auto" w:fill="FFFFFF"/>
        <w:spacing w:line="235" w:lineRule="exact"/>
        <w:jc w:val="both"/>
        <w:rPr>
          <w:spacing w:val="2"/>
          <w:sz w:val="22"/>
          <w:szCs w:val="22"/>
          <w:u w:val="single"/>
          <w:lang w:val="sr-Latn-CS"/>
        </w:rPr>
      </w:pPr>
    </w:p>
    <w:p w:rsidR="006F5DA1" w:rsidRPr="00E942A7" w:rsidRDefault="006F5DA1" w:rsidP="006F5DA1">
      <w:pPr>
        <w:shd w:val="clear" w:color="auto" w:fill="FFFFFF"/>
        <w:spacing w:line="235" w:lineRule="exact"/>
        <w:jc w:val="both"/>
        <w:rPr>
          <w:spacing w:val="2"/>
          <w:sz w:val="22"/>
          <w:szCs w:val="22"/>
          <w:lang w:val="sr-Latn-CS"/>
        </w:rPr>
      </w:pPr>
      <w:r w:rsidRPr="00E942A7">
        <w:rPr>
          <w:spacing w:val="2"/>
          <w:sz w:val="22"/>
          <w:szCs w:val="22"/>
          <w:lang w:val="sr-Latn-CS"/>
        </w:rPr>
        <w:t>Prilikom terapije bisfosfonatima prijavljivane su atipične subtrohanterične i dijafizalne frakture femura, prvenstveno kod pacijenata koji primaju dugotrajnu terapiju za osteoporozu. Ove transverzalne ili kratke dijagonalne frakture se mogu pojaviti bilo gdje na femuru odmah ispod malog trohantera do odmah iznad suprakondilarnog dijela. Ove frakture se javljaju ili u slučaju kada nema traume ili kod minimalne traume i neki pacijenti osećaju bol u butini ili preponi, koji je često povezan sa radiološkim nalazom stres fraktura, nedjeljama do mjesecima prije nego što se ispolji kompletna fraktura femura. Frakture su obično obostrane, tako da se mora pregledati i femur druge noge kod pacijenata koji su na terapiji bisfosofonatima i koji su imali frakturu vrata femura. Često je prijavljivano sporo zarastanje ovih fraktura. Prekid terapije bisfosofonatima kod pacijenata za koje se sumnja da imaju atipičnu frakturu femura treba razmotriti na osnovu procjene pacijenta, zasnovane na individualnom odnosu korist/rizik.</w:t>
      </w:r>
    </w:p>
    <w:p w:rsidR="006F5DA1" w:rsidRPr="00E942A7" w:rsidRDefault="006F5DA1" w:rsidP="006F5DA1">
      <w:pPr>
        <w:shd w:val="clear" w:color="auto" w:fill="FFFFFF"/>
        <w:spacing w:line="235" w:lineRule="exact"/>
        <w:jc w:val="both"/>
        <w:rPr>
          <w:spacing w:val="2"/>
          <w:sz w:val="22"/>
          <w:szCs w:val="22"/>
          <w:lang w:val="sr-Latn-CS"/>
        </w:rPr>
      </w:pPr>
    </w:p>
    <w:p w:rsidR="006F5DA1" w:rsidRPr="00E942A7" w:rsidRDefault="006F5DA1" w:rsidP="006F5DA1">
      <w:pPr>
        <w:shd w:val="clear" w:color="auto" w:fill="FFFFFF"/>
        <w:spacing w:line="235" w:lineRule="exact"/>
        <w:jc w:val="both"/>
        <w:rPr>
          <w:spacing w:val="2"/>
          <w:sz w:val="22"/>
          <w:szCs w:val="22"/>
          <w:lang w:val="sr-Latn-CS"/>
        </w:rPr>
      </w:pPr>
      <w:r w:rsidRPr="00E942A7">
        <w:rPr>
          <w:spacing w:val="2"/>
          <w:sz w:val="22"/>
          <w:szCs w:val="22"/>
          <w:lang w:val="sr-Latn-CS"/>
        </w:rPr>
        <w:t>Tokom terapije bisfosfonatima pacijente treba savjetovati da prijave bilo kakav bol u butini, kuku ili preponi i svaki pacijent kod koga se jave ovi simptomi se mora pregledati zbog nekompletne frakture femura.</w:t>
      </w:r>
    </w:p>
    <w:p w:rsidR="006F5DA1" w:rsidRPr="00E942A7" w:rsidRDefault="006F5DA1" w:rsidP="006F5DA1">
      <w:pPr>
        <w:rPr>
          <w:bCs/>
          <w:sz w:val="22"/>
          <w:szCs w:val="22"/>
          <w:lang w:val="sr-Latn-CS"/>
        </w:rPr>
      </w:pPr>
    </w:p>
    <w:p w:rsidR="006F5DA1" w:rsidRPr="00E942A7" w:rsidRDefault="006F5DA1" w:rsidP="006F5DA1">
      <w:pPr>
        <w:tabs>
          <w:tab w:val="left" w:pos="284"/>
        </w:tabs>
        <w:jc w:val="both"/>
        <w:rPr>
          <w:sz w:val="22"/>
          <w:szCs w:val="22"/>
          <w:u w:val="single"/>
          <w:lang w:val="sr-Latn-CS"/>
        </w:rPr>
      </w:pPr>
      <w:r w:rsidRPr="00E942A7">
        <w:rPr>
          <w:sz w:val="22"/>
          <w:szCs w:val="22"/>
          <w:u w:val="single"/>
          <w:lang w:val="sr-Latn-CS"/>
        </w:rPr>
        <w:t>Hipokalcijemija</w:t>
      </w:r>
    </w:p>
    <w:p w:rsidR="006F5DA1" w:rsidRPr="00E942A7" w:rsidRDefault="006F5DA1" w:rsidP="006F5DA1">
      <w:pPr>
        <w:tabs>
          <w:tab w:val="left" w:pos="284"/>
        </w:tabs>
        <w:jc w:val="both"/>
        <w:rPr>
          <w:sz w:val="22"/>
          <w:szCs w:val="22"/>
          <w:u w:val="single"/>
          <w:lang w:val="sr-Latn-CS"/>
        </w:rPr>
      </w:pPr>
    </w:p>
    <w:p w:rsidR="006F5DA1" w:rsidRPr="00E942A7" w:rsidRDefault="006F5DA1" w:rsidP="006F5DA1">
      <w:pPr>
        <w:jc w:val="both"/>
        <w:rPr>
          <w:color w:val="000000"/>
          <w:sz w:val="22"/>
          <w:szCs w:val="22"/>
          <w:lang w:val="sr-Latn-RS" w:eastAsia="sr-Latn-RS"/>
        </w:rPr>
      </w:pPr>
      <w:r w:rsidRPr="00E942A7">
        <w:rPr>
          <w:sz w:val="22"/>
          <w:szCs w:val="22"/>
          <w:lang w:val="sr-Latn-CS"/>
        </w:rPr>
        <w:t xml:space="preserve">Hipokalcijemija je prijavljena kod pacijenata liječenih lijekom Zoledronic Acid Hospira. Srčana aritmija kao i neurološki neželjeni događaji (uključujući napade, ukočenost i tetaniju) su prijavljeni kod slučajeva umjerene do teške hipokalcijemije. Prijavljeni su i slučajevi teške hipokalcijemije koja nekad zahtijeva hospitalizaciju i može biti životno ugrožavajuća (vidjeti odjeljak 4.8). Savjetuje se oprez prilikom korišćenja lijeka Zoledronic Acid Hospira sa ljekovima koji mogu uzrokovati hipokalcijemiju, jer može imati sinergistički efekat i dovesti do ozbiljne hipokalcijemije (vidjeti odjeljak 4.5.). </w:t>
      </w:r>
      <w:r w:rsidRPr="00E942A7">
        <w:rPr>
          <w:color w:val="000000"/>
          <w:sz w:val="22"/>
          <w:szCs w:val="22"/>
          <w:lang w:val="sr-Latn-RS" w:eastAsia="sr-Latn-RS"/>
        </w:rPr>
        <w:t xml:space="preserve">Prije započinjanja terapije lijekom Zoledronat </w:t>
      </w:r>
      <w:r w:rsidR="0004754C" w:rsidRPr="00E942A7">
        <w:rPr>
          <w:sz w:val="22"/>
          <w:szCs w:val="22"/>
          <w:lang w:val="sr-Latn-CS"/>
        </w:rPr>
        <w:t>Acid Hospira</w:t>
      </w:r>
      <w:bookmarkStart w:id="0" w:name="_GoBack"/>
      <w:bookmarkEnd w:id="0"/>
      <w:r w:rsidRPr="00E942A7">
        <w:rPr>
          <w:color w:val="000000"/>
          <w:sz w:val="22"/>
          <w:szCs w:val="22"/>
          <w:lang w:val="sr-Latn-RS" w:eastAsia="sr-Latn-RS"/>
        </w:rPr>
        <w:t xml:space="preserve"> potrebno je izmjeriti koncentraciju kalcijuma u serumu i iskorigovati hipokalcijemiju ukoliko je prisutna. Kod pacijenata je potrebno adekvatno nadoknaditi kalcijum i vitamin D.</w:t>
      </w:r>
    </w:p>
    <w:p w:rsidR="006F5DA1" w:rsidRPr="00E942A7" w:rsidRDefault="006F5DA1" w:rsidP="006F5DA1">
      <w:pPr>
        <w:jc w:val="both"/>
        <w:rPr>
          <w:color w:val="000000"/>
          <w:sz w:val="22"/>
          <w:szCs w:val="22"/>
          <w:lang w:val="sr-Latn-RS" w:eastAsia="sr-Latn-RS"/>
        </w:rPr>
      </w:pPr>
    </w:p>
    <w:p w:rsidR="006F5DA1" w:rsidRPr="00E942A7" w:rsidRDefault="006F5DA1" w:rsidP="006F5DA1">
      <w:pPr>
        <w:jc w:val="both"/>
        <w:rPr>
          <w:bCs/>
          <w:sz w:val="22"/>
          <w:szCs w:val="22"/>
          <w:lang w:val="sr-Latn-CS"/>
        </w:rPr>
      </w:pPr>
      <w:r w:rsidRPr="00E942A7">
        <w:rPr>
          <w:spacing w:val="2"/>
          <w:sz w:val="22"/>
          <w:szCs w:val="22"/>
          <w:lang w:val="sr-Latn-CS"/>
        </w:rPr>
        <w:t xml:space="preserve">Ovaj lijek sadrži manje od 1 mmol natrijuma (23 mg) po dozi, </w:t>
      </w:r>
      <w:r w:rsidRPr="00E942A7">
        <w:rPr>
          <w:bCs/>
          <w:sz w:val="22"/>
          <w:szCs w:val="22"/>
          <w:lang w:val="sr-Latn-CS"/>
        </w:rPr>
        <w:t>što znači da praktično ne sadrži natrijum.</w:t>
      </w:r>
    </w:p>
    <w:p w:rsidR="006F5DA1" w:rsidRPr="00E942A7" w:rsidRDefault="006F5DA1" w:rsidP="006F5DA1">
      <w:pPr>
        <w:tabs>
          <w:tab w:val="left" w:pos="3105"/>
        </w:tabs>
        <w:jc w:val="both"/>
        <w:rPr>
          <w:bCs/>
          <w:sz w:val="22"/>
          <w:szCs w:val="22"/>
          <w:lang w:val="sr-Latn-RS"/>
        </w:rPr>
      </w:pPr>
    </w:p>
    <w:p w:rsidR="006F5DA1" w:rsidRPr="00E942A7" w:rsidRDefault="006F5DA1" w:rsidP="006F5DA1">
      <w:pPr>
        <w:tabs>
          <w:tab w:val="left" w:pos="540"/>
          <w:tab w:val="left" w:pos="569"/>
        </w:tabs>
        <w:jc w:val="both"/>
        <w:rPr>
          <w:b/>
          <w:bCs/>
          <w:sz w:val="22"/>
          <w:szCs w:val="22"/>
          <w:lang w:val="pl-PL"/>
        </w:rPr>
      </w:pPr>
      <w:r w:rsidRPr="00E942A7">
        <w:rPr>
          <w:b/>
          <w:bCs/>
          <w:sz w:val="22"/>
          <w:szCs w:val="22"/>
          <w:lang w:val="pl-PL"/>
        </w:rPr>
        <w:t xml:space="preserve">4.5. </w:t>
      </w:r>
      <w:r w:rsidRPr="00E942A7">
        <w:rPr>
          <w:b/>
          <w:bCs/>
          <w:sz w:val="22"/>
          <w:szCs w:val="22"/>
          <w:lang w:val="pl-PL"/>
        </w:rPr>
        <w:tab/>
        <w:t>Interakcije sa drugim ljekovima i druge vrste interakcija</w:t>
      </w:r>
    </w:p>
    <w:p w:rsidR="006F5DA1" w:rsidRPr="00E942A7" w:rsidRDefault="006F5DA1" w:rsidP="006F5DA1">
      <w:pPr>
        <w:tabs>
          <w:tab w:val="left" w:pos="540"/>
          <w:tab w:val="left" w:pos="569"/>
        </w:tabs>
        <w:jc w:val="both"/>
        <w:rPr>
          <w:b/>
          <w:bCs/>
          <w:sz w:val="22"/>
          <w:szCs w:val="22"/>
          <w:lang w:val="pl-PL"/>
        </w:rPr>
      </w:pPr>
    </w:p>
    <w:p w:rsidR="006F5DA1" w:rsidRPr="00E942A7" w:rsidRDefault="006F5DA1" w:rsidP="006F5DA1">
      <w:pPr>
        <w:tabs>
          <w:tab w:val="left" w:pos="540"/>
          <w:tab w:val="left" w:pos="569"/>
        </w:tabs>
        <w:jc w:val="both"/>
        <w:rPr>
          <w:bCs/>
          <w:sz w:val="22"/>
          <w:szCs w:val="22"/>
          <w:lang w:val="en-US"/>
        </w:rPr>
      </w:pPr>
      <w:r w:rsidRPr="00E942A7">
        <w:rPr>
          <w:bCs/>
          <w:sz w:val="22"/>
          <w:szCs w:val="22"/>
          <w:lang w:val="en-US"/>
        </w:rPr>
        <w:t xml:space="preserve">U kliničkim ispitivanjima, zoledronska kiselina je primjenjivana istovremeno sa često korišćenim antikancerskim ljekovima, diureticima, antibioticima i analgeticima bez pojave klinički značajnih interakcija. Zoledronska kiselina pokazuje slabo vezivanje za proteine plazme i </w:t>
      </w:r>
      <w:r w:rsidRPr="00E942A7">
        <w:rPr>
          <w:bCs/>
          <w:i/>
          <w:sz w:val="22"/>
          <w:szCs w:val="22"/>
          <w:lang w:val="en-US"/>
        </w:rPr>
        <w:t>in vitro</w:t>
      </w:r>
      <w:r w:rsidRPr="00E942A7">
        <w:rPr>
          <w:bCs/>
          <w:sz w:val="22"/>
          <w:szCs w:val="22"/>
          <w:lang w:val="en-US"/>
        </w:rPr>
        <w:t xml:space="preserve"> ne inhibira humane enzime P450 (vidjeti odjeljak 5.2), međutim, sa ovim lijekom nisu sprovedena formalna klinička ispitivanja interakcija. </w:t>
      </w:r>
    </w:p>
    <w:p w:rsidR="006F5DA1" w:rsidRPr="00E942A7" w:rsidRDefault="006F5DA1" w:rsidP="006F5DA1">
      <w:pPr>
        <w:tabs>
          <w:tab w:val="left" w:pos="540"/>
          <w:tab w:val="left" w:pos="569"/>
        </w:tabs>
        <w:jc w:val="both"/>
        <w:rPr>
          <w:bCs/>
          <w:sz w:val="22"/>
          <w:szCs w:val="22"/>
          <w:lang w:val="en-US"/>
        </w:rPr>
      </w:pPr>
    </w:p>
    <w:p w:rsidR="006F5DA1" w:rsidRPr="00E942A7" w:rsidRDefault="006F5DA1" w:rsidP="006F5DA1">
      <w:pPr>
        <w:tabs>
          <w:tab w:val="left" w:pos="540"/>
          <w:tab w:val="left" w:pos="569"/>
        </w:tabs>
        <w:jc w:val="both"/>
        <w:rPr>
          <w:bCs/>
          <w:sz w:val="22"/>
          <w:szCs w:val="22"/>
          <w:lang w:val="en-US"/>
        </w:rPr>
      </w:pPr>
      <w:r w:rsidRPr="00E942A7">
        <w:rPr>
          <w:bCs/>
          <w:sz w:val="22"/>
          <w:szCs w:val="22"/>
          <w:lang w:val="en-US"/>
        </w:rPr>
        <w:t>Savjetuje se opreznost kad se bisfosfonati primjenjuju sa aminoglikozidima,</w:t>
      </w:r>
      <w:r w:rsidRPr="00E942A7">
        <w:rPr>
          <w:bCs/>
          <w:sz w:val="22"/>
          <w:szCs w:val="22"/>
        </w:rPr>
        <w:t xml:space="preserve"> kalcitoninom ili diureticima Henleove petlje</w:t>
      </w:r>
      <w:r w:rsidRPr="00E942A7">
        <w:rPr>
          <w:bCs/>
          <w:sz w:val="22"/>
          <w:szCs w:val="22"/>
          <w:lang w:val="en-US"/>
        </w:rPr>
        <w:t xml:space="preserve"> jer istovremena primjena ovih ljekova rezultuje dodatnim snižavanjem koncentracije serumskog kalcijuma tokom dužeg vremenskog perioda </w:t>
      </w:r>
      <w:r w:rsidRPr="00E942A7">
        <w:rPr>
          <w:bCs/>
          <w:sz w:val="22"/>
          <w:szCs w:val="22"/>
        </w:rPr>
        <w:t>(vidjeti odeljak 4.4).</w:t>
      </w:r>
    </w:p>
    <w:p w:rsidR="006F5DA1" w:rsidRPr="00E942A7" w:rsidRDefault="006F5DA1" w:rsidP="006F5DA1">
      <w:pPr>
        <w:tabs>
          <w:tab w:val="left" w:pos="540"/>
          <w:tab w:val="left" w:pos="569"/>
        </w:tabs>
        <w:jc w:val="both"/>
        <w:rPr>
          <w:bCs/>
          <w:sz w:val="22"/>
          <w:szCs w:val="22"/>
          <w:lang w:val="en-US"/>
        </w:rPr>
      </w:pPr>
    </w:p>
    <w:p w:rsidR="006F5DA1" w:rsidRPr="00E942A7" w:rsidRDefault="006F5DA1" w:rsidP="006F5DA1">
      <w:pPr>
        <w:tabs>
          <w:tab w:val="left" w:pos="540"/>
          <w:tab w:val="left" w:pos="569"/>
        </w:tabs>
        <w:jc w:val="both"/>
        <w:rPr>
          <w:bCs/>
          <w:sz w:val="22"/>
          <w:szCs w:val="22"/>
          <w:lang w:val="pl-PL"/>
        </w:rPr>
      </w:pPr>
      <w:r w:rsidRPr="00E942A7">
        <w:rPr>
          <w:bCs/>
          <w:sz w:val="22"/>
          <w:szCs w:val="22"/>
          <w:lang w:val="pl-PL"/>
        </w:rPr>
        <w:t>Treba biti oprezan kad se zoledronska kiselina koristi sa drugim potencijalno nefrotoksičnim ljekovima. Takođe treba obratiti pažnju na mogućnost da se tokom liječenja razvije hipomagnezijemija.</w:t>
      </w:r>
    </w:p>
    <w:p w:rsidR="006F5DA1" w:rsidRPr="00E942A7" w:rsidRDefault="006F5DA1" w:rsidP="006F5DA1">
      <w:pPr>
        <w:tabs>
          <w:tab w:val="left" w:pos="540"/>
          <w:tab w:val="left" w:pos="569"/>
        </w:tabs>
        <w:jc w:val="both"/>
        <w:rPr>
          <w:bCs/>
          <w:sz w:val="22"/>
          <w:szCs w:val="22"/>
          <w:lang w:val="pl-PL"/>
        </w:rPr>
      </w:pPr>
      <w:r w:rsidRPr="00E942A7">
        <w:rPr>
          <w:bCs/>
          <w:sz w:val="22"/>
          <w:szCs w:val="22"/>
          <w:lang w:val="pl-PL"/>
        </w:rPr>
        <w:t>Kod pacijenata sa multiplim mijelomom, može se povećati rizik od bubrežne disfunkcije kada se zoledronska kiselina koristi u kombinaciji sa talidomidom.</w:t>
      </w:r>
    </w:p>
    <w:p w:rsidR="006F5DA1" w:rsidRPr="00E942A7" w:rsidRDefault="006F5DA1" w:rsidP="006F5DA1">
      <w:pPr>
        <w:tabs>
          <w:tab w:val="left" w:pos="540"/>
          <w:tab w:val="left" w:pos="569"/>
        </w:tabs>
        <w:jc w:val="both"/>
        <w:rPr>
          <w:bCs/>
          <w:sz w:val="22"/>
          <w:szCs w:val="22"/>
          <w:lang w:val="pl-PL"/>
        </w:rPr>
      </w:pPr>
    </w:p>
    <w:p w:rsidR="006F5DA1" w:rsidRPr="00E942A7" w:rsidRDefault="006F5DA1" w:rsidP="006F5DA1">
      <w:pPr>
        <w:tabs>
          <w:tab w:val="left" w:pos="540"/>
          <w:tab w:val="left" w:pos="569"/>
        </w:tabs>
        <w:jc w:val="both"/>
        <w:rPr>
          <w:bCs/>
          <w:sz w:val="22"/>
          <w:szCs w:val="22"/>
          <w:lang w:val="pl-PL"/>
        </w:rPr>
      </w:pPr>
      <w:r w:rsidRPr="00E942A7">
        <w:rPr>
          <w:bCs/>
          <w:sz w:val="22"/>
          <w:szCs w:val="22"/>
          <w:lang w:val="pl-PL"/>
        </w:rPr>
        <w:t>Porast incidence osteonekroze vilice primijećen je kod pacijenata koji su istovremeno liječeni zoledronskom kiselinom i antiangiogenim ljekovima pa se stoga savjetuje oprez kod ovih pacijenata.</w:t>
      </w:r>
    </w:p>
    <w:p w:rsidR="006F5DA1" w:rsidRPr="00E942A7" w:rsidRDefault="006F5DA1" w:rsidP="006F5DA1">
      <w:pPr>
        <w:tabs>
          <w:tab w:val="left" w:pos="540"/>
          <w:tab w:val="left" w:pos="569"/>
        </w:tabs>
        <w:jc w:val="both"/>
        <w:rPr>
          <w:bCs/>
          <w:sz w:val="22"/>
          <w:szCs w:val="22"/>
          <w:lang w:val="pl-PL"/>
        </w:rPr>
      </w:pPr>
    </w:p>
    <w:p w:rsidR="006F5DA1" w:rsidRPr="00E942A7" w:rsidRDefault="006F5DA1" w:rsidP="006F5DA1">
      <w:pPr>
        <w:tabs>
          <w:tab w:val="left" w:pos="540"/>
          <w:tab w:val="left" w:pos="569"/>
        </w:tabs>
        <w:jc w:val="both"/>
        <w:rPr>
          <w:b/>
          <w:bCs/>
          <w:sz w:val="22"/>
          <w:szCs w:val="22"/>
          <w:lang w:val="pl-PL"/>
        </w:rPr>
      </w:pPr>
      <w:r w:rsidRPr="00E942A7">
        <w:rPr>
          <w:b/>
          <w:bCs/>
          <w:sz w:val="22"/>
          <w:szCs w:val="22"/>
          <w:lang w:val="pl-PL"/>
        </w:rPr>
        <w:t xml:space="preserve">4.6. </w:t>
      </w:r>
      <w:r w:rsidRPr="00E942A7">
        <w:rPr>
          <w:b/>
          <w:bCs/>
          <w:sz w:val="22"/>
          <w:szCs w:val="22"/>
          <w:lang w:val="pl-PL"/>
        </w:rPr>
        <w:tab/>
        <w:t>Primjena u periodu trudnoće i dojenja</w:t>
      </w:r>
    </w:p>
    <w:p w:rsidR="006F5DA1" w:rsidRPr="00E942A7" w:rsidRDefault="006F5DA1" w:rsidP="006F5DA1">
      <w:pPr>
        <w:tabs>
          <w:tab w:val="left" w:pos="284"/>
        </w:tabs>
        <w:jc w:val="both"/>
        <w:rPr>
          <w:bCs/>
          <w:sz w:val="22"/>
          <w:szCs w:val="22"/>
          <w:u w:val="single"/>
          <w:lang w:val="pl-PL"/>
        </w:rPr>
      </w:pPr>
    </w:p>
    <w:p w:rsidR="006F5DA1" w:rsidRPr="00E942A7" w:rsidRDefault="006F5DA1" w:rsidP="006F5DA1">
      <w:pPr>
        <w:tabs>
          <w:tab w:val="left" w:pos="284"/>
        </w:tabs>
        <w:jc w:val="both"/>
        <w:rPr>
          <w:bCs/>
          <w:sz w:val="22"/>
          <w:szCs w:val="22"/>
          <w:u w:val="single"/>
          <w:lang w:val="pl-PL"/>
        </w:rPr>
      </w:pPr>
      <w:r w:rsidRPr="00E942A7">
        <w:rPr>
          <w:bCs/>
          <w:sz w:val="22"/>
          <w:szCs w:val="22"/>
          <w:u w:val="single"/>
          <w:lang w:val="pl-PL"/>
        </w:rPr>
        <w:t>Trudnoća</w:t>
      </w:r>
    </w:p>
    <w:p w:rsidR="006F5DA1" w:rsidRPr="00E942A7" w:rsidRDefault="006F5DA1" w:rsidP="006F5DA1">
      <w:pPr>
        <w:tabs>
          <w:tab w:val="left" w:pos="284"/>
        </w:tabs>
        <w:jc w:val="both"/>
        <w:rPr>
          <w:bCs/>
          <w:sz w:val="22"/>
          <w:szCs w:val="22"/>
          <w:u w:val="single"/>
          <w:lang w:val="pl-PL"/>
        </w:rPr>
      </w:pPr>
    </w:p>
    <w:p w:rsidR="006F5DA1" w:rsidRPr="00E942A7" w:rsidRDefault="006F5DA1" w:rsidP="006F5DA1">
      <w:pPr>
        <w:jc w:val="both"/>
        <w:rPr>
          <w:spacing w:val="2"/>
          <w:sz w:val="22"/>
          <w:szCs w:val="22"/>
          <w:lang w:val="sr-Latn-CS"/>
        </w:rPr>
      </w:pPr>
      <w:r w:rsidRPr="00E942A7">
        <w:rPr>
          <w:spacing w:val="3"/>
          <w:sz w:val="22"/>
          <w:szCs w:val="22"/>
          <w:lang w:val="sr-Latn-CS"/>
        </w:rPr>
        <w:t>Ne postoje adekvatni podaci o primjeni zoledronske kiseline u trudnoći. Reproduktivne studije na životinjama sa</w:t>
      </w:r>
      <w:r w:rsidRPr="00E942A7">
        <w:rPr>
          <w:spacing w:val="2"/>
          <w:sz w:val="22"/>
          <w:szCs w:val="22"/>
          <w:lang w:val="sr-Latn-CS"/>
        </w:rPr>
        <w:t xml:space="preserve"> zoledronskom </w:t>
      </w:r>
      <w:r w:rsidRPr="00E942A7">
        <w:rPr>
          <w:spacing w:val="3"/>
          <w:sz w:val="22"/>
          <w:szCs w:val="22"/>
          <w:lang w:val="sr-Latn-CS"/>
        </w:rPr>
        <w:t xml:space="preserve">kiselinom pokazale su </w:t>
      </w:r>
      <w:r w:rsidRPr="00E942A7">
        <w:rPr>
          <w:spacing w:val="2"/>
          <w:sz w:val="22"/>
          <w:szCs w:val="22"/>
          <w:lang w:val="sr-Latn-CS"/>
        </w:rPr>
        <w:t xml:space="preserve">reproduktivnu toksičnost (vidjeti odjeljak 5.3). Nije poznat potencijalni rizik primjene kod ljudi. </w:t>
      </w:r>
      <w:r w:rsidRPr="00E942A7">
        <w:rPr>
          <w:spacing w:val="3"/>
          <w:sz w:val="22"/>
          <w:szCs w:val="22"/>
          <w:lang w:val="sr-Latn-CS"/>
        </w:rPr>
        <w:t>Zoledronsku kiselinu</w:t>
      </w:r>
      <w:r w:rsidRPr="00E942A7">
        <w:rPr>
          <w:spacing w:val="2"/>
          <w:sz w:val="22"/>
          <w:szCs w:val="22"/>
          <w:lang w:val="sr-Latn-CS"/>
        </w:rPr>
        <w:t xml:space="preserve"> ne treba koristiti u toku trudnoće.</w:t>
      </w:r>
      <w:r w:rsidRPr="00E942A7">
        <w:rPr>
          <w:sz w:val="22"/>
          <w:szCs w:val="22"/>
          <w:lang w:val="sr-Latn-CS" w:eastAsia="sr-Latn-CS"/>
        </w:rPr>
        <w:t xml:space="preserve"> Žene u reproduktivnom periodu treba savjetovati da ne planiraju trudnoću.</w:t>
      </w:r>
    </w:p>
    <w:p w:rsidR="006F5DA1" w:rsidRPr="00E942A7" w:rsidRDefault="006F5DA1" w:rsidP="006F5DA1">
      <w:pPr>
        <w:jc w:val="both"/>
        <w:rPr>
          <w:spacing w:val="2"/>
          <w:sz w:val="22"/>
          <w:szCs w:val="22"/>
          <w:lang w:val="sr-Latn-CS"/>
        </w:rPr>
      </w:pPr>
    </w:p>
    <w:p w:rsidR="006F5DA1" w:rsidRPr="00E942A7" w:rsidRDefault="006F5DA1" w:rsidP="006F5DA1">
      <w:pPr>
        <w:jc w:val="both"/>
        <w:rPr>
          <w:spacing w:val="2"/>
          <w:sz w:val="22"/>
          <w:szCs w:val="22"/>
          <w:u w:val="single"/>
          <w:lang w:val="sr-Latn-CS"/>
        </w:rPr>
      </w:pPr>
      <w:r w:rsidRPr="00E942A7">
        <w:rPr>
          <w:spacing w:val="2"/>
          <w:sz w:val="22"/>
          <w:szCs w:val="22"/>
          <w:u w:val="single"/>
          <w:lang w:val="sr-Latn-CS"/>
        </w:rPr>
        <w:t>Dojenje</w:t>
      </w:r>
    </w:p>
    <w:p w:rsidR="006F5DA1" w:rsidRPr="00E942A7" w:rsidRDefault="006F5DA1" w:rsidP="006F5DA1">
      <w:pPr>
        <w:jc w:val="both"/>
        <w:rPr>
          <w:spacing w:val="2"/>
          <w:sz w:val="22"/>
          <w:szCs w:val="22"/>
          <w:u w:val="single"/>
          <w:lang w:val="sr-Latn-CS"/>
        </w:rPr>
      </w:pPr>
    </w:p>
    <w:p w:rsidR="006F5DA1" w:rsidRPr="00E942A7" w:rsidRDefault="006F5DA1" w:rsidP="006F5DA1">
      <w:pPr>
        <w:shd w:val="clear" w:color="auto" w:fill="FFFFFF"/>
        <w:jc w:val="both"/>
        <w:rPr>
          <w:spacing w:val="2"/>
          <w:sz w:val="22"/>
          <w:szCs w:val="22"/>
          <w:lang w:val="sr-Latn-CS"/>
        </w:rPr>
      </w:pPr>
      <w:r w:rsidRPr="00E942A7">
        <w:rPr>
          <w:spacing w:val="2"/>
          <w:sz w:val="22"/>
          <w:szCs w:val="22"/>
          <w:lang w:val="sr-Latn-CS"/>
        </w:rPr>
        <w:lastRenderedPageBreak/>
        <w:t xml:space="preserve">Nije poznato da li se zoledronska kiselina izlučuje u humano mlijeko. </w:t>
      </w:r>
      <w:r w:rsidRPr="00E942A7">
        <w:rPr>
          <w:spacing w:val="3"/>
          <w:sz w:val="22"/>
          <w:szCs w:val="22"/>
          <w:lang w:val="sr-Latn-CS"/>
        </w:rPr>
        <w:t>Zoledronska kiselina je kontraindikovana</w:t>
      </w:r>
      <w:r w:rsidRPr="00E942A7">
        <w:rPr>
          <w:spacing w:val="2"/>
          <w:sz w:val="22"/>
          <w:szCs w:val="22"/>
          <w:lang w:val="sr-Latn-CS"/>
        </w:rPr>
        <w:t xml:space="preserve"> kod žena koje doje (vidjeti odjeljak 4.3).</w:t>
      </w:r>
    </w:p>
    <w:p w:rsidR="006F5DA1" w:rsidRPr="00E942A7" w:rsidRDefault="006F5DA1" w:rsidP="006F5DA1">
      <w:pPr>
        <w:shd w:val="clear" w:color="auto" w:fill="FFFFFF"/>
        <w:jc w:val="both"/>
        <w:rPr>
          <w:spacing w:val="2"/>
          <w:sz w:val="22"/>
          <w:szCs w:val="22"/>
          <w:lang w:val="sr-Latn-CS"/>
        </w:rPr>
      </w:pPr>
    </w:p>
    <w:p w:rsidR="006F5DA1" w:rsidRPr="00E942A7" w:rsidRDefault="006F5DA1" w:rsidP="006F5DA1">
      <w:pPr>
        <w:shd w:val="clear" w:color="auto" w:fill="FFFFFF"/>
        <w:jc w:val="both"/>
        <w:rPr>
          <w:spacing w:val="2"/>
          <w:sz w:val="22"/>
          <w:szCs w:val="22"/>
          <w:u w:val="single"/>
          <w:lang w:val="sr-Latn-CS"/>
        </w:rPr>
      </w:pPr>
      <w:r w:rsidRPr="00E942A7">
        <w:rPr>
          <w:spacing w:val="2"/>
          <w:sz w:val="22"/>
          <w:szCs w:val="22"/>
          <w:u w:val="single"/>
          <w:lang w:val="sr-Latn-CS"/>
        </w:rPr>
        <w:t>Fertilitet</w:t>
      </w:r>
    </w:p>
    <w:p w:rsidR="006F5DA1" w:rsidRPr="00E942A7" w:rsidRDefault="006F5DA1" w:rsidP="006F5DA1">
      <w:pPr>
        <w:shd w:val="clear" w:color="auto" w:fill="FFFFFF"/>
        <w:jc w:val="both"/>
        <w:rPr>
          <w:spacing w:val="2"/>
          <w:sz w:val="22"/>
          <w:szCs w:val="22"/>
          <w:u w:val="single"/>
          <w:lang w:val="sr-Latn-CS"/>
        </w:rPr>
      </w:pPr>
    </w:p>
    <w:p w:rsidR="006F5DA1" w:rsidRPr="00E942A7" w:rsidRDefault="006F5DA1" w:rsidP="006F5DA1">
      <w:pPr>
        <w:tabs>
          <w:tab w:val="left" w:pos="284"/>
        </w:tabs>
        <w:jc w:val="both"/>
        <w:rPr>
          <w:sz w:val="22"/>
          <w:szCs w:val="22"/>
          <w:lang w:val="sr-Latn-CS"/>
        </w:rPr>
      </w:pPr>
      <w:r w:rsidRPr="00E942A7">
        <w:rPr>
          <w:sz w:val="22"/>
          <w:szCs w:val="22"/>
          <w:lang w:val="sr-Latn-CS"/>
        </w:rPr>
        <w:t>Potencijalni neželjeni efekti zoledronske kiseline su procjenjivani na pacovima na roditeljskoj i F1 generaciji. Došlo je do pretjeranog farmakološkog efekta za koji se smatra da je povezan sa inhibicijom metabolizma kalcijuma u kostima od strane jedinjenja, i dovodi do hipokalcijemije u periodu okota, kao klasni efekat bisfosofonata, distocije i ranog završavanja studije. Dodatno su ovi podaci odredili definitivno dejstvo zoledronske kiseline na fertilitet ljudi.</w:t>
      </w:r>
    </w:p>
    <w:p w:rsidR="006F5DA1" w:rsidRPr="00E942A7" w:rsidRDefault="006F5DA1" w:rsidP="006F5DA1">
      <w:pPr>
        <w:jc w:val="both"/>
        <w:rPr>
          <w:sz w:val="22"/>
          <w:szCs w:val="22"/>
          <w:lang w:val="sr-Latn-CS"/>
        </w:rPr>
      </w:pPr>
    </w:p>
    <w:p w:rsidR="006F5DA1" w:rsidRPr="00E942A7" w:rsidRDefault="006F5DA1" w:rsidP="006F5DA1">
      <w:pPr>
        <w:tabs>
          <w:tab w:val="left" w:pos="540"/>
          <w:tab w:val="left" w:pos="569"/>
        </w:tabs>
        <w:jc w:val="both"/>
        <w:rPr>
          <w:b/>
          <w:bCs/>
          <w:sz w:val="22"/>
          <w:szCs w:val="22"/>
          <w:lang w:val="sr-Latn-CS"/>
        </w:rPr>
      </w:pPr>
      <w:r w:rsidRPr="00E942A7">
        <w:rPr>
          <w:b/>
          <w:bCs/>
          <w:sz w:val="22"/>
          <w:szCs w:val="22"/>
          <w:lang w:val="sr-Latn-CS"/>
        </w:rPr>
        <w:t xml:space="preserve">4.7. </w:t>
      </w:r>
      <w:r w:rsidRPr="00E942A7">
        <w:rPr>
          <w:b/>
          <w:bCs/>
          <w:sz w:val="22"/>
          <w:szCs w:val="22"/>
          <w:lang w:val="sr-Latn-CS"/>
        </w:rPr>
        <w:tab/>
      </w:r>
      <w:r w:rsidRPr="00E942A7">
        <w:rPr>
          <w:b/>
          <w:bCs/>
          <w:sz w:val="22"/>
          <w:szCs w:val="22"/>
          <w:lang w:val="en-US"/>
        </w:rPr>
        <w:t>Uticaj</w:t>
      </w:r>
      <w:r w:rsidRPr="00E942A7">
        <w:rPr>
          <w:b/>
          <w:bCs/>
          <w:sz w:val="22"/>
          <w:szCs w:val="22"/>
          <w:lang w:val="sr-Latn-CS"/>
        </w:rPr>
        <w:t xml:space="preserve"> </w:t>
      </w:r>
      <w:r w:rsidRPr="00E942A7">
        <w:rPr>
          <w:b/>
          <w:bCs/>
          <w:sz w:val="22"/>
          <w:szCs w:val="22"/>
          <w:lang w:val="en-US"/>
        </w:rPr>
        <w:t>na</w:t>
      </w:r>
      <w:r w:rsidRPr="00E942A7">
        <w:rPr>
          <w:b/>
          <w:bCs/>
          <w:sz w:val="22"/>
          <w:szCs w:val="22"/>
          <w:lang w:val="sr-Latn-CS"/>
        </w:rPr>
        <w:t xml:space="preserve"> </w:t>
      </w:r>
      <w:r w:rsidRPr="00E942A7">
        <w:rPr>
          <w:b/>
          <w:bCs/>
          <w:sz w:val="22"/>
          <w:szCs w:val="22"/>
          <w:lang w:val="en-US"/>
        </w:rPr>
        <w:t>psihofizi</w:t>
      </w:r>
      <w:r w:rsidRPr="00E942A7">
        <w:rPr>
          <w:b/>
          <w:bCs/>
          <w:sz w:val="22"/>
          <w:szCs w:val="22"/>
          <w:lang w:val="sr-Latn-CS"/>
        </w:rPr>
        <w:t>č</w:t>
      </w:r>
      <w:r w:rsidRPr="00E942A7">
        <w:rPr>
          <w:b/>
          <w:bCs/>
          <w:sz w:val="22"/>
          <w:szCs w:val="22"/>
          <w:lang w:val="en-US"/>
        </w:rPr>
        <w:t>ke</w:t>
      </w:r>
      <w:r w:rsidRPr="00E942A7">
        <w:rPr>
          <w:b/>
          <w:bCs/>
          <w:sz w:val="22"/>
          <w:szCs w:val="22"/>
          <w:lang w:val="sr-Latn-CS"/>
        </w:rPr>
        <w:t xml:space="preserve"> </w:t>
      </w:r>
      <w:r w:rsidRPr="00E942A7">
        <w:rPr>
          <w:b/>
          <w:bCs/>
          <w:sz w:val="22"/>
          <w:szCs w:val="22"/>
          <w:lang w:val="en-US"/>
        </w:rPr>
        <w:t>sposobnosti</w:t>
      </w:r>
      <w:r w:rsidRPr="00E942A7">
        <w:rPr>
          <w:b/>
          <w:bCs/>
          <w:sz w:val="22"/>
          <w:szCs w:val="22"/>
          <w:lang w:val="sr-Latn-CS"/>
        </w:rPr>
        <w:t xml:space="preserve"> </w:t>
      </w:r>
      <w:r w:rsidRPr="00E942A7">
        <w:rPr>
          <w:b/>
          <w:bCs/>
          <w:sz w:val="22"/>
          <w:szCs w:val="22"/>
          <w:lang w:val="en-US"/>
        </w:rPr>
        <w:t>prilikom</w:t>
      </w:r>
      <w:r w:rsidRPr="00E942A7">
        <w:rPr>
          <w:b/>
          <w:bCs/>
          <w:sz w:val="22"/>
          <w:szCs w:val="22"/>
          <w:lang w:val="sr-Latn-CS"/>
        </w:rPr>
        <w:t xml:space="preserve"> </w:t>
      </w:r>
      <w:r w:rsidRPr="00E942A7">
        <w:rPr>
          <w:b/>
          <w:bCs/>
          <w:sz w:val="22"/>
          <w:szCs w:val="22"/>
          <w:lang w:val="en-US"/>
        </w:rPr>
        <w:t>upravljanja</w:t>
      </w:r>
      <w:r w:rsidRPr="00E942A7">
        <w:rPr>
          <w:b/>
          <w:bCs/>
          <w:sz w:val="22"/>
          <w:szCs w:val="22"/>
          <w:lang w:val="sr-Latn-CS"/>
        </w:rPr>
        <w:t xml:space="preserve"> </w:t>
      </w:r>
      <w:r w:rsidRPr="00E942A7">
        <w:rPr>
          <w:b/>
          <w:bCs/>
          <w:sz w:val="22"/>
          <w:szCs w:val="22"/>
          <w:lang w:val="en-US"/>
        </w:rPr>
        <w:t>motornim</w:t>
      </w:r>
      <w:r w:rsidRPr="00E942A7">
        <w:rPr>
          <w:b/>
          <w:bCs/>
          <w:sz w:val="22"/>
          <w:szCs w:val="22"/>
          <w:lang w:val="sr-Latn-CS"/>
        </w:rPr>
        <w:t xml:space="preserve"> </w:t>
      </w:r>
      <w:r w:rsidRPr="00E942A7">
        <w:rPr>
          <w:b/>
          <w:bCs/>
          <w:sz w:val="22"/>
          <w:szCs w:val="22"/>
          <w:lang w:val="en-US"/>
        </w:rPr>
        <w:t>vozilima</w:t>
      </w:r>
      <w:r w:rsidRPr="00E942A7">
        <w:rPr>
          <w:b/>
          <w:bCs/>
          <w:sz w:val="22"/>
          <w:szCs w:val="22"/>
          <w:lang w:val="sr-Latn-CS"/>
        </w:rPr>
        <w:t xml:space="preserve"> </w:t>
      </w:r>
      <w:r w:rsidRPr="00E942A7">
        <w:rPr>
          <w:b/>
          <w:bCs/>
          <w:sz w:val="22"/>
          <w:szCs w:val="22"/>
          <w:lang w:val="en-US"/>
        </w:rPr>
        <w:t>i</w:t>
      </w:r>
      <w:r w:rsidRPr="00E942A7">
        <w:rPr>
          <w:b/>
          <w:bCs/>
          <w:sz w:val="22"/>
          <w:szCs w:val="22"/>
          <w:lang w:val="sr-Latn-CS"/>
        </w:rPr>
        <w:t xml:space="preserve"> </w:t>
      </w:r>
      <w:r w:rsidRPr="00E942A7">
        <w:rPr>
          <w:b/>
          <w:bCs/>
          <w:sz w:val="22"/>
          <w:szCs w:val="22"/>
          <w:lang w:val="en-US"/>
        </w:rPr>
        <w:t>rukovanja</w:t>
      </w:r>
      <w:r w:rsidRPr="00E942A7">
        <w:rPr>
          <w:b/>
          <w:bCs/>
          <w:sz w:val="22"/>
          <w:szCs w:val="22"/>
          <w:lang w:val="sr-Latn-CS"/>
        </w:rPr>
        <w:t xml:space="preserve"> </w:t>
      </w:r>
      <w:r w:rsidRPr="00E942A7">
        <w:rPr>
          <w:b/>
          <w:bCs/>
          <w:sz w:val="22"/>
          <w:szCs w:val="22"/>
          <w:lang w:val="en-US"/>
        </w:rPr>
        <w:t>ma</w:t>
      </w:r>
      <w:r w:rsidRPr="00E942A7">
        <w:rPr>
          <w:b/>
          <w:bCs/>
          <w:sz w:val="22"/>
          <w:szCs w:val="22"/>
          <w:lang w:val="sr-Latn-CS"/>
        </w:rPr>
        <w:t>š</w:t>
      </w:r>
      <w:r w:rsidRPr="00E942A7">
        <w:rPr>
          <w:b/>
          <w:bCs/>
          <w:sz w:val="22"/>
          <w:szCs w:val="22"/>
          <w:lang w:val="en-US"/>
        </w:rPr>
        <w:t>inama</w:t>
      </w:r>
    </w:p>
    <w:p w:rsidR="006F5DA1" w:rsidRPr="00E942A7" w:rsidRDefault="006F5DA1" w:rsidP="006F5DA1">
      <w:pPr>
        <w:tabs>
          <w:tab w:val="left" w:pos="540"/>
          <w:tab w:val="left" w:pos="569"/>
        </w:tabs>
        <w:jc w:val="both"/>
        <w:rPr>
          <w:b/>
          <w:bCs/>
          <w:sz w:val="22"/>
          <w:szCs w:val="22"/>
          <w:lang w:val="sr-Latn-CS"/>
        </w:rPr>
      </w:pPr>
    </w:p>
    <w:p w:rsidR="006F5DA1" w:rsidRPr="00E942A7" w:rsidRDefault="006F5DA1" w:rsidP="006F5DA1">
      <w:pPr>
        <w:jc w:val="both"/>
        <w:rPr>
          <w:sz w:val="22"/>
          <w:szCs w:val="22"/>
          <w:lang w:val="sr-Latn-CS"/>
        </w:rPr>
      </w:pPr>
      <w:r w:rsidRPr="00E942A7">
        <w:rPr>
          <w:noProof/>
          <w:sz w:val="22"/>
          <w:szCs w:val="22"/>
          <w:lang w:val="sr-Latn-CS"/>
        </w:rPr>
        <w:t xml:space="preserve">Neželjene reakcije kao što su vrtoglavica i pospanost, mogu imati uticaj na sposobnost upravljanja motornim vozilom ili korišćenja mašina. Zbog toga je neophodno biti oprezan kada se </w:t>
      </w:r>
      <w:r w:rsidRPr="00E942A7">
        <w:rPr>
          <w:spacing w:val="3"/>
          <w:sz w:val="22"/>
          <w:szCs w:val="22"/>
          <w:lang w:val="sr-Latn-CS"/>
        </w:rPr>
        <w:t>zoledronska kiselina</w:t>
      </w:r>
      <w:r w:rsidRPr="00E942A7">
        <w:rPr>
          <w:spacing w:val="2"/>
          <w:sz w:val="22"/>
          <w:szCs w:val="22"/>
          <w:lang w:val="sr-Latn-CS"/>
        </w:rPr>
        <w:t xml:space="preserve"> </w:t>
      </w:r>
      <w:r w:rsidRPr="00E942A7">
        <w:rPr>
          <w:noProof/>
          <w:sz w:val="22"/>
          <w:szCs w:val="22"/>
          <w:lang w:val="sr-Latn-CS"/>
        </w:rPr>
        <w:t>koristi u isto vrijeme tokom upravljanja motornim vozilom i rukovanja mašinama.</w:t>
      </w:r>
    </w:p>
    <w:p w:rsidR="006F5DA1" w:rsidRPr="00E942A7" w:rsidRDefault="006F5DA1" w:rsidP="006F5DA1">
      <w:pPr>
        <w:tabs>
          <w:tab w:val="left" w:pos="540"/>
          <w:tab w:val="left" w:pos="569"/>
        </w:tabs>
        <w:rPr>
          <w:b/>
          <w:bCs/>
          <w:sz w:val="22"/>
          <w:szCs w:val="22"/>
          <w:lang w:val="sr-Latn-CS"/>
        </w:rPr>
      </w:pPr>
    </w:p>
    <w:p w:rsidR="006F5DA1" w:rsidRPr="00E942A7" w:rsidRDefault="006F5DA1" w:rsidP="006F5DA1">
      <w:pPr>
        <w:tabs>
          <w:tab w:val="left" w:pos="540"/>
          <w:tab w:val="left" w:pos="569"/>
        </w:tabs>
        <w:jc w:val="both"/>
        <w:rPr>
          <w:b/>
          <w:bCs/>
          <w:sz w:val="22"/>
          <w:szCs w:val="22"/>
          <w:lang w:val="en-US"/>
        </w:rPr>
      </w:pPr>
      <w:r w:rsidRPr="00E942A7">
        <w:rPr>
          <w:b/>
          <w:bCs/>
          <w:sz w:val="22"/>
          <w:szCs w:val="22"/>
          <w:lang w:val="en-US"/>
        </w:rPr>
        <w:t xml:space="preserve">4.8. </w:t>
      </w:r>
      <w:r w:rsidRPr="00E942A7">
        <w:rPr>
          <w:b/>
          <w:bCs/>
          <w:sz w:val="22"/>
          <w:szCs w:val="22"/>
          <w:lang w:val="en-US"/>
        </w:rPr>
        <w:tab/>
        <w:t>Neželjena dejstva</w:t>
      </w:r>
    </w:p>
    <w:p w:rsidR="006F5DA1" w:rsidRPr="00E942A7" w:rsidRDefault="006F5DA1" w:rsidP="006F5DA1">
      <w:pPr>
        <w:tabs>
          <w:tab w:val="left" w:pos="540"/>
          <w:tab w:val="left" w:pos="569"/>
        </w:tabs>
        <w:jc w:val="both"/>
        <w:rPr>
          <w:b/>
          <w:bCs/>
          <w:sz w:val="22"/>
          <w:szCs w:val="22"/>
          <w:lang w:val="en-US"/>
        </w:rPr>
      </w:pPr>
    </w:p>
    <w:p w:rsidR="006F5DA1" w:rsidRPr="00E942A7" w:rsidRDefault="006F5DA1" w:rsidP="006F5DA1">
      <w:pPr>
        <w:shd w:val="clear" w:color="auto" w:fill="FFFFFF"/>
        <w:jc w:val="both"/>
        <w:rPr>
          <w:spacing w:val="3"/>
          <w:sz w:val="22"/>
          <w:szCs w:val="22"/>
          <w:u w:val="single"/>
          <w:lang w:val="sr-Latn-CS"/>
        </w:rPr>
      </w:pPr>
      <w:r w:rsidRPr="00E942A7">
        <w:rPr>
          <w:spacing w:val="3"/>
          <w:sz w:val="22"/>
          <w:szCs w:val="22"/>
          <w:u w:val="single"/>
          <w:lang w:val="sr-Latn-CS"/>
        </w:rPr>
        <w:t>Sažetak bezbjednosnog profila</w:t>
      </w:r>
    </w:p>
    <w:p w:rsidR="006F5DA1" w:rsidRPr="00E942A7" w:rsidRDefault="006F5DA1" w:rsidP="006F5DA1">
      <w:pPr>
        <w:shd w:val="clear" w:color="auto" w:fill="FFFFFF"/>
        <w:jc w:val="both"/>
        <w:rPr>
          <w:spacing w:val="3"/>
          <w:sz w:val="22"/>
          <w:szCs w:val="22"/>
          <w:u w:val="single"/>
          <w:lang w:val="sr-Latn-CS"/>
        </w:rPr>
      </w:pPr>
    </w:p>
    <w:p w:rsidR="006F5DA1" w:rsidRPr="00E942A7" w:rsidRDefault="006F5DA1" w:rsidP="006F5DA1">
      <w:pPr>
        <w:shd w:val="clear" w:color="auto" w:fill="FFFFFF"/>
        <w:jc w:val="both"/>
        <w:rPr>
          <w:spacing w:val="3"/>
          <w:sz w:val="22"/>
          <w:szCs w:val="22"/>
          <w:lang w:val="sr-Latn-CS"/>
        </w:rPr>
      </w:pPr>
      <w:r w:rsidRPr="00E942A7">
        <w:rPr>
          <w:spacing w:val="3"/>
          <w:sz w:val="22"/>
          <w:szCs w:val="22"/>
          <w:lang w:val="sr-Latn-CS"/>
        </w:rPr>
        <w:t>U okviru tri dana od primjene zoledronske kiseline, često je prijavljivana reakcija akutne faze, sa simptomima koji uključuju bol u kostima, groznicu, zamor, artralgiju, mialgiju, ukočenosti i artritis sa posljedičnim otokom zglobova; ovi simptomi obično nestaju tokom narednih nekoliko dana (vidjeti opis izabranih neželjenih reakcija).</w:t>
      </w:r>
    </w:p>
    <w:p w:rsidR="006F5DA1" w:rsidRPr="00E942A7" w:rsidRDefault="006F5DA1" w:rsidP="006F5DA1">
      <w:pPr>
        <w:shd w:val="clear" w:color="auto" w:fill="FFFFFF"/>
        <w:jc w:val="both"/>
        <w:rPr>
          <w:spacing w:val="3"/>
          <w:sz w:val="22"/>
          <w:szCs w:val="22"/>
          <w:lang w:val="sr-Latn-CS"/>
        </w:rPr>
      </w:pPr>
    </w:p>
    <w:p w:rsidR="006F5DA1" w:rsidRPr="00E942A7" w:rsidRDefault="006F5DA1" w:rsidP="006F5DA1">
      <w:pPr>
        <w:shd w:val="clear" w:color="auto" w:fill="FFFFFF"/>
        <w:jc w:val="both"/>
        <w:rPr>
          <w:spacing w:val="3"/>
          <w:sz w:val="22"/>
          <w:szCs w:val="22"/>
          <w:lang w:val="sr-Latn-CS"/>
        </w:rPr>
      </w:pPr>
      <w:r w:rsidRPr="00E942A7">
        <w:rPr>
          <w:spacing w:val="3"/>
          <w:sz w:val="22"/>
          <w:szCs w:val="22"/>
          <w:lang w:val="sr-Latn-CS"/>
        </w:rPr>
        <w:t>Navedeni su važni identifikovani rizici pri primjeni zoledronske kiseline</w:t>
      </w:r>
      <w:r w:rsidRPr="00E942A7">
        <w:rPr>
          <w:spacing w:val="2"/>
          <w:sz w:val="22"/>
          <w:szCs w:val="22"/>
          <w:lang w:val="sr-Latn-CS"/>
        </w:rPr>
        <w:t xml:space="preserve"> </w:t>
      </w:r>
      <w:r w:rsidRPr="00E942A7">
        <w:rPr>
          <w:spacing w:val="3"/>
          <w:sz w:val="22"/>
          <w:szCs w:val="22"/>
          <w:lang w:val="sr-Latn-CS"/>
        </w:rPr>
        <w:t xml:space="preserve">u odobrenim indikacijama: </w:t>
      </w:r>
    </w:p>
    <w:p w:rsidR="006F5DA1" w:rsidRPr="00E942A7" w:rsidRDefault="006F5DA1" w:rsidP="006F5DA1">
      <w:pPr>
        <w:shd w:val="clear" w:color="auto" w:fill="FFFFFF"/>
        <w:jc w:val="both"/>
        <w:rPr>
          <w:spacing w:val="3"/>
          <w:sz w:val="22"/>
          <w:szCs w:val="22"/>
          <w:lang w:val="sr-Latn-CS"/>
        </w:rPr>
      </w:pPr>
      <w:r w:rsidRPr="00E942A7">
        <w:rPr>
          <w:spacing w:val="3"/>
          <w:sz w:val="22"/>
          <w:szCs w:val="22"/>
          <w:lang w:val="sr-Latn-CS"/>
        </w:rPr>
        <w:t>oštećenje bubrežne funkcije, osteonekroza vilice, reakcija akutne faze, hipokalcijemija, atrijalna fibrilacija, anafilaksa, intersticijalna bolest pluća. Učestalost za svaki određeni rizik je prikazana u Tabeli 1.</w:t>
      </w:r>
    </w:p>
    <w:p w:rsidR="006F5DA1" w:rsidRPr="00E942A7" w:rsidRDefault="006F5DA1" w:rsidP="006F5DA1">
      <w:pPr>
        <w:tabs>
          <w:tab w:val="left" w:pos="284"/>
        </w:tabs>
        <w:spacing w:before="80" w:after="80"/>
        <w:jc w:val="both"/>
        <w:rPr>
          <w:spacing w:val="3"/>
          <w:sz w:val="22"/>
          <w:szCs w:val="22"/>
          <w:u w:val="single"/>
          <w:lang w:val="sr-Latn-CS"/>
        </w:rPr>
      </w:pPr>
      <w:r w:rsidRPr="00E942A7">
        <w:rPr>
          <w:spacing w:val="3"/>
          <w:sz w:val="22"/>
          <w:szCs w:val="22"/>
          <w:u w:val="single"/>
          <w:lang w:val="sr-Latn-CS"/>
        </w:rPr>
        <w:t>Tabelarni prikaz neželjenih reakcija</w:t>
      </w:r>
    </w:p>
    <w:p w:rsidR="006F5DA1" w:rsidRPr="00E942A7" w:rsidRDefault="006F5DA1" w:rsidP="006F5DA1">
      <w:pPr>
        <w:tabs>
          <w:tab w:val="left" w:pos="284"/>
        </w:tabs>
        <w:spacing w:before="80" w:after="80"/>
        <w:jc w:val="both"/>
        <w:rPr>
          <w:spacing w:val="3"/>
          <w:sz w:val="22"/>
          <w:szCs w:val="22"/>
          <w:lang w:val="sr-Latn-CS"/>
        </w:rPr>
      </w:pPr>
      <w:r w:rsidRPr="00E942A7">
        <w:rPr>
          <w:spacing w:val="3"/>
          <w:sz w:val="22"/>
          <w:szCs w:val="22"/>
          <w:lang w:val="sr-Latn-CS"/>
        </w:rPr>
        <w:t xml:space="preserve">Sljedeće neželjene reakcije, navedene u </w:t>
      </w:r>
      <w:r w:rsidRPr="00E942A7">
        <w:rPr>
          <w:b/>
          <w:spacing w:val="3"/>
          <w:sz w:val="22"/>
          <w:szCs w:val="22"/>
          <w:lang w:val="sr-Latn-CS"/>
        </w:rPr>
        <w:t>Tabeli 1</w:t>
      </w:r>
      <w:r w:rsidRPr="00E942A7">
        <w:rPr>
          <w:spacing w:val="3"/>
          <w:sz w:val="22"/>
          <w:szCs w:val="22"/>
          <w:lang w:val="sr-Latn-CS"/>
        </w:rPr>
        <w:t>, prikupljene su iz kliničkih studija i postmarketinških izveštaja, i prate uglavnom hroničnu terapiju zoledronskom kiselinom u dozi od 4 mg:</w:t>
      </w:r>
    </w:p>
    <w:p w:rsidR="006F5DA1" w:rsidRPr="00E942A7" w:rsidRDefault="006F5DA1" w:rsidP="006F5DA1">
      <w:pPr>
        <w:shd w:val="clear" w:color="auto" w:fill="FFFFFF"/>
        <w:spacing w:before="245"/>
        <w:jc w:val="both"/>
        <w:rPr>
          <w:sz w:val="22"/>
          <w:szCs w:val="22"/>
          <w:lang w:val="sr-Latn-CS"/>
        </w:rPr>
      </w:pPr>
      <w:r w:rsidRPr="00E942A7">
        <w:rPr>
          <w:b/>
          <w:bCs/>
          <w:spacing w:val="-1"/>
          <w:sz w:val="22"/>
          <w:szCs w:val="22"/>
          <w:lang w:val="sr-Latn-CS"/>
        </w:rPr>
        <w:t>Tabela 1</w:t>
      </w:r>
    </w:p>
    <w:p w:rsidR="006F5DA1" w:rsidRPr="00E942A7" w:rsidRDefault="006F5DA1" w:rsidP="006F5DA1">
      <w:pPr>
        <w:shd w:val="clear" w:color="auto" w:fill="FFFFFF"/>
        <w:spacing w:line="250" w:lineRule="exact"/>
        <w:ind w:right="403"/>
        <w:jc w:val="both"/>
        <w:rPr>
          <w:spacing w:val="5"/>
          <w:sz w:val="22"/>
          <w:szCs w:val="22"/>
          <w:lang w:val="sr-Latn-CS"/>
        </w:rPr>
      </w:pPr>
      <w:r w:rsidRPr="00E942A7">
        <w:rPr>
          <w:spacing w:val="2"/>
          <w:sz w:val="22"/>
          <w:szCs w:val="22"/>
          <w:lang w:val="sr-Latn-CS"/>
        </w:rPr>
        <w:t>Neželjene reakcije su rangirane prema učestalosti, počevši od najčešćih, koristeći sljedeću k</w:t>
      </w:r>
      <w:r w:rsidRPr="00E942A7">
        <w:rPr>
          <w:spacing w:val="5"/>
          <w:sz w:val="22"/>
          <w:szCs w:val="22"/>
          <w:lang w:val="sr-Latn-CS"/>
        </w:rPr>
        <w:t xml:space="preserve">onvenciju: </w:t>
      </w:r>
    </w:p>
    <w:p w:rsidR="006F5DA1" w:rsidRPr="00E942A7" w:rsidRDefault="006F5DA1" w:rsidP="006F5DA1">
      <w:pPr>
        <w:tabs>
          <w:tab w:val="left" w:pos="284"/>
        </w:tabs>
        <w:jc w:val="both"/>
        <w:rPr>
          <w:spacing w:val="3"/>
          <w:sz w:val="22"/>
          <w:szCs w:val="22"/>
          <w:lang w:val="sr-Latn-CS"/>
        </w:rPr>
      </w:pPr>
      <w:r w:rsidRPr="00E942A7">
        <w:rPr>
          <w:spacing w:val="5"/>
          <w:sz w:val="22"/>
          <w:szCs w:val="22"/>
          <w:lang w:val="sr-Latn-CS"/>
        </w:rPr>
        <w:t xml:space="preserve">veoma česte (≥l/10), česte (≥l/100, &lt;1/10), povremene (≥l/l000, &lt;1/100), rijetke </w:t>
      </w:r>
      <w:r w:rsidRPr="00E942A7">
        <w:rPr>
          <w:spacing w:val="3"/>
          <w:sz w:val="22"/>
          <w:szCs w:val="22"/>
          <w:lang w:val="sr-Latn-CS"/>
        </w:rPr>
        <w:t>(≥l/10000, &lt;1/1000), veoma rijetke (&lt;1/10000), nepoznata (ne može se procijeniti na osnovu dostupnih podataka).</w:t>
      </w:r>
    </w:p>
    <w:p w:rsidR="006F5DA1" w:rsidRPr="00E942A7" w:rsidRDefault="006F5DA1" w:rsidP="006F5DA1">
      <w:pPr>
        <w:tabs>
          <w:tab w:val="left" w:pos="284"/>
        </w:tabs>
        <w:jc w:val="both"/>
        <w:rPr>
          <w:spacing w:val="3"/>
          <w:sz w:val="22"/>
          <w:szCs w:val="22"/>
          <w:lang w:val="sr-Latn-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9"/>
        <w:gridCol w:w="4645"/>
      </w:tblGrid>
      <w:tr w:rsidR="006F5DA1" w:rsidRPr="00E942A7" w:rsidTr="001F5CB2">
        <w:tc>
          <w:tcPr>
            <w:tcW w:w="9294" w:type="dxa"/>
            <w:gridSpan w:val="2"/>
          </w:tcPr>
          <w:p w:rsidR="006F5DA1" w:rsidRPr="00E942A7" w:rsidRDefault="006F5DA1" w:rsidP="006F5DA1">
            <w:pPr>
              <w:jc w:val="both"/>
              <w:rPr>
                <w:rFonts w:eastAsia="Calibri"/>
                <w:sz w:val="22"/>
                <w:szCs w:val="22"/>
                <w:lang w:val="pl-PL"/>
              </w:rPr>
            </w:pPr>
            <w:r w:rsidRPr="00E942A7">
              <w:rPr>
                <w:rFonts w:eastAsia="Calibri"/>
                <w:b/>
                <w:i/>
                <w:iCs/>
                <w:spacing w:val="4"/>
                <w:sz w:val="22"/>
                <w:szCs w:val="22"/>
                <w:lang w:val="sr-Latn-CS"/>
              </w:rPr>
              <w:t>Poremećaji na nivou krvi i  limfnog sistema</w:t>
            </w:r>
          </w:p>
        </w:tc>
      </w:tr>
      <w:tr w:rsidR="006F5DA1" w:rsidRPr="00E942A7" w:rsidTr="001F5CB2">
        <w:tc>
          <w:tcPr>
            <w:tcW w:w="4649" w:type="dxa"/>
          </w:tcPr>
          <w:p w:rsidR="006F5DA1" w:rsidRPr="00E942A7" w:rsidRDefault="006F5DA1" w:rsidP="006F5DA1">
            <w:pPr>
              <w:shd w:val="clear" w:color="auto" w:fill="FFFFFF"/>
              <w:jc w:val="both"/>
              <w:rPr>
                <w:rFonts w:eastAsia="Calibri"/>
                <w:sz w:val="22"/>
                <w:szCs w:val="22"/>
                <w:lang w:val="sr-Latn-CS"/>
              </w:rPr>
            </w:pPr>
            <w:r w:rsidRPr="00E942A7">
              <w:rPr>
                <w:rFonts w:eastAsia="Calibri"/>
                <w:spacing w:val="-2"/>
                <w:sz w:val="22"/>
                <w:szCs w:val="22"/>
                <w:lang w:val="sr-Latn-CS"/>
              </w:rPr>
              <w:t>Česte:</w:t>
            </w:r>
          </w:p>
        </w:tc>
        <w:tc>
          <w:tcPr>
            <w:tcW w:w="4645" w:type="dxa"/>
          </w:tcPr>
          <w:p w:rsidR="006F5DA1" w:rsidRPr="00E942A7" w:rsidRDefault="006F5DA1" w:rsidP="006F5DA1">
            <w:pPr>
              <w:shd w:val="clear" w:color="auto" w:fill="FFFFFF"/>
              <w:jc w:val="both"/>
              <w:rPr>
                <w:rFonts w:eastAsia="Calibri"/>
                <w:sz w:val="22"/>
                <w:szCs w:val="22"/>
                <w:lang w:val="sr-Latn-CS"/>
              </w:rPr>
            </w:pPr>
            <w:r w:rsidRPr="00E942A7">
              <w:rPr>
                <w:rFonts w:eastAsia="Calibri"/>
                <w:spacing w:val="1"/>
                <w:sz w:val="22"/>
                <w:szCs w:val="22"/>
                <w:lang w:val="sr-Latn-CS"/>
              </w:rPr>
              <w:t>anemija</w:t>
            </w:r>
          </w:p>
        </w:tc>
      </w:tr>
      <w:tr w:rsidR="006F5DA1" w:rsidRPr="00E942A7" w:rsidTr="001F5CB2">
        <w:tc>
          <w:tcPr>
            <w:tcW w:w="4649" w:type="dxa"/>
          </w:tcPr>
          <w:p w:rsidR="006F5DA1" w:rsidRPr="00E942A7" w:rsidRDefault="006F5DA1" w:rsidP="006F5DA1">
            <w:pPr>
              <w:shd w:val="clear" w:color="auto" w:fill="FFFFFF"/>
              <w:jc w:val="both"/>
              <w:rPr>
                <w:rFonts w:eastAsia="Calibri"/>
                <w:sz w:val="22"/>
                <w:szCs w:val="22"/>
                <w:lang w:val="sr-Latn-CS"/>
              </w:rPr>
            </w:pPr>
            <w:r w:rsidRPr="00E942A7">
              <w:rPr>
                <w:rFonts w:eastAsia="Calibri"/>
                <w:spacing w:val="-1"/>
                <w:sz w:val="22"/>
                <w:szCs w:val="22"/>
                <w:lang w:val="sr-Latn-CS"/>
              </w:rPr>
              <w:t>Povremene:</w:t>
            </w:r>
          </w:p>
        </w:tc>
        <w:tc>
          <w:tcPr>
            <w:tcW w:w="4645" w:type="dxa"/>
          </w:tcPr>
          <w:p w:rsidR="006F5DA1" w:rsidRPr="00E942A7" w:rsidRDefault="006F5DA1" w:rsidP="006F5DA1">
            <w:pPr>
              <w:shd w:val="clear" w:color="auto" w:fill="FFFFFF"/>
              <w:jc w:val="both"/>
              <w:rPr>
                <w:rFonts w:eastAsia="Calibri"/>
                <w:sz w:val="22"/>
                <w:szCs w:val="22"/>
                <w:lang w:val="sr-Latn-CS"/>
              </w:rPr>
            </w:pPr>
            <w:r w:rsidRPr="00E942A7">
              <w:rPr>
                <w:rFonts w:eastAsia="Calibri"/>
                <w:spacing w:val="2"/>
                <w:sz w:val="22"/>
                <w:szCs w:val="22"/>
                <w:lang w:val="sr-Latn-CS"/>
              </w:rPr>
              <w:t>trombocitopenija, leukopenija</w:t>
            </w:r>
          </w:p>
        </w:tc>
      </w:tr>
      <w:tr w:rsidR="006F5DA1" w:rsidRPr="00E942A7" w:rsidTr="001F5CB2">
        <w:tc>
          <w:tcPr>
            <w:tcW w:w="4649" w:type="dxa"/>
          </w:tcPr>
          <w:p w:rsidR="006F5DA1" w:rsidRPr="00E942A7" w:rsidRDefault="006F5DA1" w:rsidP="006F5DA1">
            <w:pPr>
              <w:shd w:val="clear" w:color="auto" w:fill="FFFFFF"/>
              <w:jc w:val="both"/>
              <w:rPr>
                <w:rFonts w:eastAsia="Calibri"/>
                <w:sz w:val="22"/>
                <w:szCs w:val="22"/>
                <w:lang w:val="sr-Latn-CS"/>
              </w:rPr>
            </w:pPr>
            <w:r w:rsidRPr="00E942A7">
              <w:rPr>
                <w:rFonts w:eastAsia="Calibri"/>
                <w:spacing w:val="-3"/>
                <w:sz w:val="22"/>
                <w:szCs w:val="22"/>
                <w:lang w:val="sr-Latn-CS"/>
              </w:rPr>
              <w:t>Rijetke:</w:t>
            </w:r>
          </w:p>
        </w:tc>
        <w:tc>
          <w:tcPr>
            <w:tcW w:w="4645" w:type="dxa"/>
          </w:tcPr>
          <w:p w:rsidR="006F5DA1" w:rsidRPr="00E942A7" w:rsidRDefault="006F5DA1" w:rsidP="006F5DA1">
            <w:pPr>
              <w:shd w:val="clear" w:color="auto" w:fill="FFFFFF"/>
              <w:jc w:val="both"/>
              <w:rPr>
                <w:rFonts w:eastAsia="Calibri"/>
                <w:sz w:val="22"/>
                <w:szCs w:val="22"/>
                <w:lang w:val="sr-Latn-CS"/>
              </w:rPr>
            </w:pPr>
            <w:r w:rsidRPr="00E942A7">
              <w:rPr>
                <w:rFonts w:eastAsia="Calibri"/>
                <w:spacing w:val="2"/>
                <w:sz w:val="22"/>
                <w:szCs w:val="22"/>
                <w:lang w:val="sr-Latn-CS"/>
              </w:rPr>
              <w:t>pancitopenija</w:t>
            </w:r>
          </w:p>
        </w:tc>
      </w:tr>
      <w:tr w:rsidR="006F5DA1" w:rsidRPr="00E942A7" w:rsidTr="001F5CB2">
        <w:tc>
          <w:tcPr>
            <w:tcW w:w="9294" w:type="dxa"/>
            <w:gridSpan w:val="2"/>
          </w:tcPr>
          <w:p w:rsidR="006F5DA1" w:rsidRPr="00E942A7" w:rsidRDefault="006F5DA1" w:rsidP="006F5DA1">
            <w:pPr>
              <w:jc w:val="both"/>
              <w:rPr>
                <w:rFonts w:eastAsia="Calibri"/>
                <w:sz w:val="22"/>
                <w:szCs w:val="22"/>
                <w:lang w:val="sr-Latn-CS"/>
              </w:rPr>
            </w:pPr>
            <w:r w:rsidRPr="00E942A7">
              <w:rPr>
                <w:b/>
                <w:i/>
                <w:iCs/>
                <w:spacing w:val="5"/>
                <w:sz w:val="22"/>
                <w:szCs w:val="22"/>
                <w:lang w:val="sr-Latn-CS"/>
              </w:rPr>
              <w:t>Imunološki poremećaji</w:t>
            </w:r>
          </w:p>
        </w:tc>
      </w:tr>
      <w:tr w:rsidR="006F5DA1" w:rsidRPr="00E942A7" w:rsidTr="001F5CB2">
        <w:tc>
          <w:tcPr>
            <w:tcW w:w="4649" w:type="dxa"/>
          </w:tcPr>
          <w:p w:rsidR="006F5DA1" w:rsidRPr="00E942A7" w:rsidRDefault="006F5DA1" w:rsidP="006F5DA1">
            <w:pPr>
              <w:shd w:val="clear" w:color="auto" w:fill="FFFFFF"/>
              <w:jc w:val="both"/>
              <w:rPr>
                <w:sz w:val="22"/>
                <w:szCs w:val="22"/>
                <w:lang w:val="sr-Latn-CS"/>
              </w:rPr>
            </w:pPr>
            <w:r w:rsidRPr="00E942A7">
              <w:rPr>
                <w:spacing w:val="-1"/>
                <w:sz w:val="22"/>
                <w:szCs w:val="22"/>
                <w:lang w:val="sr-Latn-CS"/>
              </w:rPr>
              <w:t>Povremene</w:t>
            </w:r>
            <w:r w:rsidRPr="00E942A7">
              <w:rPr>
                <w:sz w:val="22"/>
                <w:szCs w:val="22"/>
                <w:lang w:val="sr-Latn-CS"/>
              </w:rPr>
              <w:t>:</w:t>
            </w:r>
          </w:p>
        </w:tc>
        <w:tc>
          <w:tcPr>
            <w:tcW w:w="4645" w:type="dxa"/>
          </w:tcPr>
          <w:p w:rsidR="006F5DA1" w:rsidRPr="00E942A7" w:rsidRDefault="006F5DA1" w:rsidP="006F5DA1">
            <w:pPr>
              <w:shd w:val="clear" w:color="auto" w:fill="FFFFFF"/>
              <w:jc w:val="both"/>
              <w:rPr>
                <w:sz w:val="22"/>
                <w:szCs w:val="22"/>
                <w:lang w:val="sr-Latn-CS"/>
              </w:rPr>
            </w:pPr>
            <w:r w:rsidRPr="00E942A7">
              <w:rPr>
                <w:spacing w:val="1"/>
                <w:sz w:val="22"/>
                <w:szCs w:val="22"/>
                <w:lang w:val="sr-Latn-CS"/>
              </w:rPr>
              <w:t xml:space="preserve">reakcija preosjetljivosti </w:t>
            </w:r>
          </w:p>
        </w:tc>
      </w:tr>
      <w:tr w:rsidR="006F5DA1" w:rsidRPr="00E942A7" w:rsidTr="001F5CB2">
        <w:tc>
          <w:tcPr>
            <w:tcW w:w="4649" w:type="dxa"/>
          </w:tcPr>
          <w:p w:rsidR="006F5DA1" w:rsidRPr="00E942A7" w:rsidRDefault="006F5DA1" w:rsidP="006F5DA1">
            <w:pPr>
              <w:shd w:val="clear" w:color="auto" w:fill="FFFFFF"/>
              <w:jc w:val="both"/>
              <w:rPr>
                <w:sz w:val="22"/>
                <w:szCs w:val="22"/>
                <w:lang w:val="sr-Latn-CS"/>
              </w:rPr>
            </w:pPr>
            <w:r w:rsidRPr="00E942A7">
              <w:rPr>
                <w:spacing w:val="-3"/>
                <w:sz w:val="22"/>
                <w:szCs w:val="22"/>
                <w:lang w:val="sr-Latn-CS"/>
              </w:rPr>
              <w:t>Rijetke:</w:t>
            </w:r>
          </w:p>
        </w:tc>
        <w:tc>
          <w:tcPr>
            <w:tcW w:w="4645" w:type="dxa"/>
          </w:tcPr>
          <w:p w:rsidR="006F5DA1" w:rsidRPr="00E942A7" w:rsidRDefault="006F5DA1" w:rsidP="006F5DA1">
            <w:pPr>
              <w:shd w:val="clear" w:color="auto" w:fill="FFFFFF"/>
              <w:jc w:val="both"/>
              <w:rPr>
                <w:sz w:val="22"/>
                <w:szCs w:val="22"/>
                <w:lang w:val="sr-Latn-CS"/>
              </w:rPr>
            </w:pPr>
            <w:r w:rsidRPr="00E942A7">
              <w:rPr>
                <w:spacing w:val="2"/>
                <w:sz w:val="22"/>
                <w:szCs w:val="22"/>
                <w:lang w:val="sr-Latn-CS"/>
              </w:rPr>
              <w:t>angioneurotski edem</w:t>
            </w:r>
          </w:p>
        </w:tc>
      </w:tr>
      <w:tr w:rsidR="006F5DA1" w:rsidRPr="00E942A7" w:rsidTr="001F5CB2">
        <w:tc>
          <w:tcPr>
            <w:tcW w:w="9294" w:type="dxa"/>
            <w:gridSpan w:val="2"/>
          </w:tcPr>
          <w:p w:rsidR="006F5DA1" w:rsidRPr="00E942A7" w:rsidRDefault="006F5DA1" w:rsidP="006F5DA1">
            <w:pPr>
              <w:jc w:val="both"/>
              <w:rPr>
                <w:rFonts w:eastAsia="Calibri"/>
                <w:sz w:val="22"/>
                <w:szCs w:val="22"/>
                <w:lang w:val="en-US"/>
              </w:rPr>
            </w:pPr>
            <w:r w:rsidRPr="00E942A7">
              <w:rPr>
                <w:b/>
                <w:i/>
                <w:iCs/>
                <w:spacing w:val="2"/>
                <w:sz w:val="22"/>
                <w:szCs w:val="22"/>
                <w:lang w:val="sr-Latn-CS"/>
              </w:rPr>
              <w:t>Psihijatrijski poremećaji</w:t>
            </w:r>
          </w:p>
        </w:tc>
      </w:tr>
      <w:tr w:rsidR="006F5DA1" w:rsidRPr="00E942A7" w:rsidTr="001F5CB2">
        <w:tc>
          <w:tcPr>
            <w:tcW w:w="4649" w:type="dxa"/>
          </w:tcPr>
          <w:p w:rsidR="006F5DA1" w:rsidRPr="00E942A7" w:rsidRDefault="006F5DA1" w:rsidP="006F5DA1">
            <w:pPr>
              <w:shd w:val="clear" w:color="auto" w:fill="FFFFFF"/>
              <w:jc w:val="both"/>
              <w:rPr>
                <w:sz w:val="22"/>
                <w:szCs w:val="22"/>
                <w:lang w:val="sr-Latn-CS"/>
              </w:rPr>
            </w:pPr>
            <w:r w:rsidRPr="00E942A7">
              <w:rPr>
                <w:spacing w:val="-1"/>
                <w:sz w:val="22"/>
                <w:szCs w:val="22"/>
                <w:lang w:val="sr-Latn-CS"/>
              </w:rPr>
              <w:lastRenderedPageBreak/>
              <w:t>Povremene:</w:t>
            </w:r>
          </w:p>
        </w:tc>
        <w:tc>
          <w:tcPr>
            <w:tcW w:w="4645" w:type="dxa"/>
          </w:tcPr>
          <w:p w:rsidR="006F5DA1" w:rsidRPr="00E942A7" w:rsidRDefault="006F5DA1" w:rsidP="006F5DA1">
            <w:pPr>
              <w:shd w:val="clear" w:color="auto" w:fill="FFFFFF"/>
              <w:jc w:val="both"/>
              <w:rPr>
                <w:sz w:val="22"/>
                <w:szCs w:val="22"/>
                <w:lang w:val="sr-Latn-CS"/>
              </w:rPr>
            </w:pPr>
            <w:r w:rsidRPr="00E942A7">
              <w:rPr>
                <w:spacing w:val="1"/>
                <w:sz w:val="22"/>
                <w:szCs w:val="22"/>
                <w:lang w:val="sr-Latn-CS"/>
              </w:rPr>
              <w:t>anksioznost, poremećaj spavanja</w:t>
            </w:r>
          </w:p>
        </w:tc>
      </w:tr>
      <w:tr w:rsidR="006F5DA1" w:rsidRPr="00E942A7" w:rsidTr="001F5CB2">
        <w:tc>
          <w:tcPr>
            <w:tcW w:w="4649" w:type="dxa"/>
          </w:tcPr>
          <w:p w:rsidR="006F5DA1" w:rsidRPr="00E942A7" w:rsidRDefault="006F5DA1" w:rsidP="006F5DA1">
            <w:pPr>
              <w:shd w:val="clear" w:color="auto" w:fill="FFFFFF"/>
              <w:jc w:val="both"/>
              <w:rPr>
                <w:sz w:val="22"/>
                <w:szCs w:val="22"/>
                <w:lang w:val="sr-Latn-CS"/>
              </w:rPr>
            </w:pPr>
            <w:r w:rsidRPr="00E942A7">
              <w:rPr>
                <w:spacing w:val="-3"/>
                <w:sz w:val="22"/>
                <w:szCs w:val="22"/>
                <w:lang w:val="sr-Latn-CS"/>
              </w:rPr>
              <w:t>Rijetke:</w:t>
            </w:r>
          </w:p>
        </w:tc>
        <w:tc>
          <w:tcPr>
            <w:tcW w:w="4645" w:type="dxa"/>
          </w:tcPr>
          <w:p w:rsidR="006F5DA1" w:rsidRPr="00E942A7" w:rsidRDefault="006F5DA1" w:rsidP="006F5DA1">
            <w:pPr>
              <w:shd w:val="clear" w:color="auto" w:fill="FFFFFF"/>
              <w:jc w:val="both"/>
              <w:rPr>
                <w:sz w:val="22"/>
                <w:szCs w:val="22"/>
                <w:lang w:val="sr-Latn-CS"/>
              </w:rPr>
            </w:pPr>
            <w:r w:rsidRPr="00E942A7">
              <w:rPr>
                <w:spacing w:val="1"/>
                <w:sz w:val="22"/>
                <w:szCs w:val="22"/>
                <w:lang w:val="sr-Latn-CS"/>
              </w:rPr>
              <w:t>konfuzija</w:t>
            </w:r>
          </w:p>
        </w:tc>
      </w:tr>
      <w:tr w:rsidR="006F5DA1" w:rsidRPr="00E942A7" w:rsidTr="001F5CB2">
        <w:tc>
          <w:tcPr>
            <w:tcW w:w="9294" w:type="dxa"/>
            <w:gridSpan w:val="2"/>
          </w:tcPr>
          <w:p w:rsidR="006F5DA1" w:rsidRPr="00E942A7" w:rsidRDefault="006F5DA1" w:rsidP="006F5DA1">
            <w:pPr>
              <w:jc w:val="both"/>
              <w:rPr>
                <w:rFonts w:eastAsia="Calibri"/>
                <w:sz w:val="22"/>
                <w:szCs w:val="22"/>
                <w:lang w:val="en-US"/>
              </w:rPr>
            </w:pPr>
            <w:r w:rsidRPr="00E942A7">
              <w:rPr>
                <w:b/>
                <w:i/>
                <w:iCs/>
                <w:spacing w:val="3"/>
                <w:sz w:val="22"/>
                <w:szCs w:val="22"/>
                <w:lang w:val="sr-Latn-CS"/>
              </w:rPr>
              <w:t>Poremećaji nervnog sistema</w:t>
            </w:r>
          </w:p>
        </w:tc>
      </w:tr>
      <w:tr w:rsidR="006F5DA1" w:rsidRPr="00E942A7" w:rsidTr="001F5CB2">
        <w:trPr>
          <w:trHeight w:val="231"/>
        </w:trPr>
        <w:tc>
          <w:tcPr>
            <w:tcW w:w="4649" w:type="dxa"/>
          </w:tcPr>
          <w:p w:rsidR="006F5DA1" w:rsidRPr="00E942A7" w:rsidRDefault="006F5DA1" w:rsidP="006F5DA1">
            <w:pPr>
              <w:shd w:val="clear" w:color="auto" w:fill="FFFFFF"/>
              <w:jc w:val="both"/>
              <w:rPr>
                <w:sz w:val="22"/>
                <w:szCs w:val="22"/>
                <w:lang w:val="sr-Latn-CS"/>
              </w:rPr>
            </w:pPr>
            <w:r w:rsidRPr="00E942A7">
              <w:rPr>
                <w:spacing w:val="-2"/>
                <w:sz w:val="22"/>
                <w:szCs w:val="22"/>
                <w:lang w:val="sr-Latn-CS"/>
              </w:rPr>
              <w:t>Česte:</w:t>
            </w:r>
          </w:p>
        </w:tc>
        <w:tc>
          <w:tcPr>
            <w:tcW w:w="4645" w:type="dxa"/>
          </w:tcPr>
          <w:p w:rsidR="006F5DA1" w:rsidRPr="00E942A7" w:rsidRDefault="006F5DA1" w:rsidP="006F5DA1">
            <w:pPr>
              <w:jc w:val="both"/>
              <w:rPr>
                <w:rFonts w:eastAsia="Calibri"/>
                <w:sz w:val="22"/>
                <w:szCs w:val="22"/>
                <w:lang w:val="en-US"/>
              </w:rPr>
            </w:pPr>
            <w:r w:rsidRPr="00E942A7">
              <w:rPr>
                <w:sz w:val="22"/>
                <w:szCs w:val="22"/>
                <w:lang w:val="sr-Latn-CS"/>
              </w:rPr>
              <w:t>glavobolja</w:t>
            </w:r>
          </w:p>
        </w:tc>
      </w:tr>
      <w:tr w:rsidR="006F5DA1" w:rsidRPr="00E942A7" w:rsidTr="001F5CB2">
        <w:trPr>
          <w:trHeight w:val="601"/>
        </w:trPr>
        <w:tc>
          <w:tcPr>
            <w:tcW w:w="4649" w:type="dxa"/>
          </w:tcPr>
          <w:p w:rsidR="006F5DA1" w:rsidRPr="00E942A7" w:rsidRDefault="006F5DA1" w:rsidP="006F5DA1">
            <w:pPr>
              <w:shd w:val="clear" w:color="auto" w:fill="FFFFFF"/>
              <w:jc w:val="both"/>
              <w:rPr>
                <w:sz w:val="22"/>
                <w:szCs w:val="22"/>
                <w:lang w:val="sr-Latn-CS"/>
              </w:rPr>
            </w:pPr>
            <w:r w:rsidRPr="00E942A7">
              <w:rPr>
                <w:spacing w:val="-1"/>
                <w:sz w:val="22"/>
                <w:szCs w:val="22"/>
                <w:lang w:val="sr-Latn-CS"/>
              </w:rPr>
              <w:t>Povremene:</w:t>
            </w:r>
          </w:p>
        </w:tc>
        <w:tc>
          <w:tcPr>
            <w:tcW w:w="4645" w:type="dxa"/>
          </w:tcPr>
          <w:p w:rsidR="006F5DA1" w:rsidRPr="00E942A7" w:rsidRDefault="006F5DA1" w:rsidP="006F5DA1">
            <w:pPr>
              <w:jc w:val="both"/>
              <w:rPr>
                <w:spacing w:val="1"/>
                <w:sz w:val="22"/>
                <w:szCs w:val="22"/>
                <w:lang w:val="sr-Latn-CS"/>
              </w:rPr>
            </w:pPr>
            <w:r w:rsidRPr="00E942A7">
              <w:rPr>
                <w:spacing w:val="1"/>
                <w:sz w:val="22"/>
                <w:szCs w:val="22"/>
                <w:lang w:val="sr-Latn-CS"/>
              </w:rPr>
              <w:t xml:space="preserve">vrtoglavica, parestezija, poremećaj ukusa, </w:t>
            </w:r>
            <w:r w:rsidRPr="00E942A7">
              <w:rPr>
                <w:spacing w:val="2"/>
                <w:sz w:val="22"/>
                <w:szCs w:val="22"/>
                <w:lang w:val="sr-Latn-CS"/>
              </w:rPr>
              <w:t>hipoestezija, hiperestezija, tremor, somnolencija</w:t>
            </w:r>
          </w:p>
        </w:tc>
      </w:tr>
      <w:tr w:rsidR="006F5DA1" w:rsidRPr="00E942A7" w:rsidTr="001F5CB2">
        <w:trPr>
          <w:trHeight w:val="195"/>
        </w:trPr>
        <w:tc>
          <w:tcPr>
            <w:tcW w:w="4649" w:type="dxa"/>
          </w:tcPr>
          <w:p w:rsidR="006F5DA1" w:rsidRPr="00E942A7" w:rsidRDefault="006F5DA1" w:rsidP="006F5DA1">
            <w:pPr>
              <w:shd w:val="clear" w:color="auto" w:fill="FFFFFF"/>
              <w:jc w:val="both"/>
              <w:rPr>
                <w:spacing w:val="-1"/>
                <w:sz w:val="22"/>
                <w:szCs w:val="22"/>
                <w:lang w:val="sr-Latn-CS"/>
              </w:rPr>
            </w:pPr>
            <w:r w:rsidRPr="00E942A7">
              <w:rPr>
                <w:spacing w:val="-1"/>
                <w:sz w:val="22"/>
                <w:szCs w:val="22"/>
                <w:lang w:val="sr-Latn-CS"/>
              </w:rPr>
              <w:t>Veoma rijetke:</w:t>
            </w:r>
          </w:p>
        </w:tc>
        <w:tc>
          <w:tcPr>
            <w:tcW w:w="4645" w:type="dxa"/>
          </w:tcPr>
          <w:p w:rsidR="006F5DA1" w:rsidRPr="00E942A7" w:rsidRDefault="006F5DA1" w:rsidP="006F5DA1">
            <w:pPr>
              <w:jc w:val="both"/>
              <w:rPr>
                <w:spacing w:val="1"/>
                <w:sz w:val="22"/>
                <w:szCs w:val="22"/>
                <w:lang w:val="sr-Latn-CS"/>
              </w:rPr>
            </w:pPr>
            <w:r w:rsidRPr="00E942A7">
              <w:rPr>
                <w:spacing w:val="1"/>
                <w:sz w:val="22"/>
                <w:szCs w:val="22"/>
                <w:lang w:val="sr-Latn-CS"/>
              </w:rPr>
              <w:t>konvulzije, hipoestezija i tetanija (posljedica hipokalcijemije)</w:t>
            </w:r>
          </w:p>
        </w:tc>
      </w:tr>
      <w:tr w:rsidR="006F5DA1" w:rsidRPr="00E942A7" w:rsidTr="001F5CB2">
        <w:tc>
          <w:tcPr>
            <w:tcW w:w="9294" w:type="dxa"/>
            <w:gridSpan w:val="2"/>
          </w:tcPr>
          <w:p w:rsidR="006F5DA1" w:rsidRPr="00E942A7" w:rsidRDefault="006F5DA1" w:rsidP="006F5DA1">
            <w:pPr>
              <w:jc w:val="both"/>
              <w:rPr>
                <w:rFonts w:eastAsia="Calibri"/>
                <w:sz w:val="22"/>
                <w:szCs w:val="22"/>
                <w:lang w:val="en-US"/>
              </w:rPr>
            </w:pPr>
            <w:r w:rsidRPr="00E942A7">
              <w:rPr>
                <w:b/>
                <w:i/>
                <w:iCs/>
                <w:spacing w:val="3"/>
                <w:sz w:val="22"/>
                <w:szCs w:val="22"/>
                <w:lang w:val="sr-Latn-CS"/>
              </w:rPr>
              <w:t>Poremećaji na nivou oka</w:t>
            </w:r>
          </w:p>
        </w:tc>
      </w:tr>
      <w:tr w:rsidR="006F5DA1" w:rsidRPr="00E942A7" w:rsidTr="001F5CB2">
        <w:tc>
          <w:tcPr>
            <w:tcW w:w="4649" w:type="dxa"/>
          </w:tcPr>
          <w:p w:rsidR="006F5DA1" w:rsidRPr="00E942A7" w:rsidRDefault="006F5DA1" w:rsidP="006F5DA1">
            <w:pPr>
              <w:shd w:val="clear" w:color="auto" w:fill="FFFFFF"/>
              <w:jc w:val="both"/>
              <w:rPr>
                <w:sz w:val="22"/>
                <w:szCs w:val="22"/>
                <w:lang w:val="sr-Latn-CS"/>
              </w:rPr>
            </w:pPr>
            <w:r w:rsidRPr="00E942A7">
              <w:rPr>
                <w:spacing w:val="-2"/>
                <w:sz w:val="22"/>
                <w:szCs w:val="22"/>
                <w:lang w:val="sr-Latn-CS"/>
              </w:rPr>
              <w:t>Česte:</w:t>
            </w:r>
          </w:p>
        </w:tc>
        <w:tc>
          <w:tcPr>
            <w:tcW w:w="4645" w:type="dxa"/>
          </w:tcPr>
          <w:p w:rsidR="006F5DA1" w:rsidRPr="00E942A7" w:rsidRDefault="006F5DA1" w:rsidP="006F5DA1">
            <w:pPr>
              <w:shd w:val="clear" w:color="auto" w:fill="FFFFFF"/>
              <w:jc w:val="both"/>
              <w:rPr>
                <w:sz w:val="22"/>
                <w:szCs w:val="22"/>
                <w:lang w:val="sr-Latn-CS"/>
              </w:rPr>
            </w:pPr>
            <w:r w:rsidRPr="00E942A7">
              <w:rPr>
                <w:spacing w:val="1"/>
                <w:sz w:val="22"/>
                <w:szCs w:val="22"/>
                <w:lang w:val="sr-Latn-CS"/>
              </w:rPr>
              <w:t>konjunktivitis</w:t>
            </w:r>
          </w:p>
        </w:tc>
      </w:tr>
      <w:tr w:rsidR="006F5DA1" w:rsidRPr="00E942A7" w:rsidTr="001F5CB2">
        <w:tc>
          <w:tcPr>
            <w:tcW w:w="4649" w:type="dxa"/>
          </w:tcPr>
          <w:p w:rsidR="006F5DA1" w:rsidRPr="00E942A7" w:rsidRDefault="006F5DA1" w:rsidP="006F5DA1">
            <w:pPr>
              <w:shd w:val="clear" w:color="auto" w:fill="FFFFFF"/>
              <w:jc w:val="both"/>
              <w:rPr>
                <w:sz w:val="22"/>
                <w:szCs w:val="22"/>
                <w:lang w:val="sr-Latn-CS"/>
              </w:rPr>
            </w:pPr>
            <w:r w:rsidRPr="00E942A7">
              <w:rPr>
                <w:spacing w:val="-1"/>
                <w:sz w:val="22"/>
                <w:szCs w:val="22"/>
                <w:lang w:val="sr-Latn-CS"/>
              </w:rPr>
              <w:t>Povremene:</w:t>
            </w:r>
          </w:p>
        </w:tc>
        <w:tc>
          <w:tcPr>
            <w:tcW w:w="4645" w:type="dxa"/>
          </w:tcPr>
          <w:p w:rsidR="006F5DA1" w:rsidRPr="00E942A7" w:rsidRDefault="006F5DA1" w:rsidP="006F5DA1">
            <w:pPr>
              <w:shd w:val="clear" w:color="auto" w:fill="FFFFFF"/>
              <w:jc w:val="both"/>
              <w:rPr>
                <w:sz w:val="22"/>
                <w:szCs w:val="22"/>
                <w:lang w:val="sr-Latn-CS"/>
              </w:rPr>
            </w:pPr>
            <w:r w:rsidRPr="00E942A7">
              <w:rPr>
                <w:spacing w:val="1"/>
                <w:sz w:val="22"/>
                <w:szCs w:val="22"/>
                <w:lang w:val="sr-Latn-CS"/>
              </w:rPr>
              <w:t>zamagljen vid, skleritis i orbitalna inflamacija</w:t>
            </w:r>
          </w:p>
        </w:tc>
      </w:tr>
      <w:tr w:rsidR="006F5DA1" w:rsidRPr="00E942A7" w:rsidTr="001F5CB2">
        <w:trPr>
          <w:trHeight w:val="237"/>
        </w:trPr>
        <w:tc>
          <w:tcPr>
            <w:tcW w:w="4649" w:type="dxa"/>
          </w:tcPr>
          <w:p w:rsidR="006F5DA1" w:rsidRPr="00E942A7" w:rsidRDefault="006F5DA1" w:rsidP="006F5DA1">
            <w:pPr>
              <w:jc w:val="both"/>
              <w:rPr>
                <w:rFonts w:eastAsia="Calibri"/>
                <w:sz w:val="22"/>
                <w:szCs w:val="22"/>
                <w:lang w:val="en-US"/>
              </w:rPr>
            </w:pPr>
            <w:r w:rsidRPr="00E942A7">
              <w:rPr>
                <w:spacing w:val="-1"/>
                <w:sz w:val="22"/>
                <w:szCs w:val="22"/>
                <w:lang w:val="sr-Latn-CS"/>
              </w:rPr>
              <w:t xml:space="preserve">                             Rijetke:</w:t>
            </w:r>
          </w:p>
        </w:tc>
        <w:tc>
          <w:tcPr>
            <w:tcW w:w="4645" w:type="dxa"/>
          </w:tcPr>
          <w:p w:rsidR="006F5DA1" w:rsidRPr="00E942A7" w:rsidRDefault="006F5DA1" w:rsidP="006F5DA1">
            <w:pPr>
              <w:jc w:val="both"/>
              <w:rPr>
                <w:rFonts w:eastAsia="Calibri"/>
                <w:sz w:val="22"/>
                <w:szCs w:val="22"/>
                <w:lang w:val="en-US"/>
              </w:rPr>
            </w:pPr>
            <w:r w:rsidRPr="00E942A7">
              <w:rPr>
                <w:spacing w:val="1"/>
                <w:sz w:val="22"/>
                <w:szCs w:val="22"/>
                <w:lang w:val="sr-Latn-CS"/>
              </w:rPr>
              <w:t>uveitis</w:t>
            </w:r>
          </w:p>
        </w:tc>
      </w:tr>
      <w:tr w:rsidR="006F5DA1" w:rsidRPr="00E942A7" w:rsidTr="001F5CB2">
        <w:trPr>
          <w:trHeight w:val="203"/>
        </w:trPr>
        <w:tc>
          <w:tcPr>
            <w:tcW w:w="4649" w:type="dxa"/>
          </w:tcPr>
          <w:p w:rsidR="006F5DA1" w:rsidRPr="00E942A7" w:rsidRDefault="006F5DA1" w:rsidP="006F5DA1">
            <w:pPr>
              <w:tabs>
                <w:tab w:val="left" w:pos="1579"/>
              </w:tabs>
              <w:jc w:val="both"/>
              <w:rPr>
                <w:spacing w:val="-1"/>
                <w:sz w:val="22"/>
                <w:szCs w:val="22"/>
                <w:lang w:val="sr-Latn-CS"/>
              </w:rPr>
            </w:pPr>
            <w:r w:rsidRPr="00E942A7">
              <w:rPr>
                <w:spacing w:val="-1"/>
                <w:sz w:val="22"/>
                <w:szCs w:val="22"/>
                <w:lang w:val="sr-Latn-CS"/>
              </w:rPr>
              <w:t xml:space="preserve">                             Veoma rijetke:</w:t>
            </w:r>
          </w:p>
        </w:tc>
        <w:tc>
          <w:tcPr>
            <w:tcW w:w="4645" w:type="dxa"/>
          </w:tcPr>
          <w:p w:rsidR="006F5DA1" w:rsidRPr="00E942A7" w:rsidRDefault="006F5DA1" w:rsidP="006F5DA1">
            <w:pPr>
              <w:jc w:val="both"/>
              <w:rPr>
                <w:spacing w:val="1"/>
                <w:sz w:val="22"/>
                <w:szCs w:val="22"/>
                <w:lang w:val="sr-Latn-CS"/>
              </w:rPr>
            </w:pPr>
            <w:r w:rsidRPr="00E942A7">
              <w:rPr>
                <w:spacing w:val="1"/>
                <w:sz w:val="22"/>
                <w:szCs w:val="22"/>
                <w:lang w:val="sr-Latn-CS"/>
              </w:rPr>
              <w:t>episkleritis</w:t>
            </w:r>
          </w:p>
        </w:tc>
      </w:tr>
      <w:tr w:rsidR="006F5DA1" w:rsidRPr="00E942A7" w:rsidTr="001F5CB2">
        <w:tc>
          <w:tcPr>
            <w:tcW w:w="9294" w:type="dxa"/>
            <w:gridSpan w:val="2"/>
          </w:tcPr>
          <w:p w:rsidR="006F5DA1" w:rsidRPr="00E942A7" w:rsidRDefault="006F5DA1" w:rsidP="006F5DA1">
            <w:pPr>
              <w:jc w:val="both"/>
              <w:rPr>
                <w:rFonts w:eastAsia="Calibri"/>
                <w:sz w:val="22"/>
                <w:szCs w:val="22"/>
                <w:lang w:val="en-US"/>
              </w:rPr>
            </w:pPr>
            <w:r w:rsidRPr="00E942A7">
              <w:rPr>
                <w:b/>
                <w:i/>
                <w:iCs/>
                <w:spacing w:val="2"/>
                <w:sz w:val="22"/>
                <w:szCs w:val="22"/>
                <w:lang w:val="sr-Latn-CS"/>
              </w:rPr>
              <w:t>Srčani poremećaji</w:t>
            </w:r>
          </w:p>
        </w:tc>
      </w:tr>
      <w:tr w:rsidR="006F5DA1" w:rsidRPr="00E942A7" w:rsidTr="001F5CB2">
        <w:tc>
          <w:tcPr>
            <w:tcW w:w="4649" w:type="dxa"/>
          </w:tcPr>
          <w:p w:rsidR="006F5DA1" w:rsidRPr="00E942A7" w:rsidRDefault="006F5DA1" w:rsidP="006F5DA1">
            <w:pPr>
              <w:shd w:val="clear" w:color="auto" w:fill="FFFFFF"/>
              <w:jc w:val="both"/>
              <w:rPr>
                <w:sz w:val="22"/>
                <w:szCs w:val="22"/>
                <w:lang w:val="sr-Latn-CS"/>
              </w:rPr>
            </w:pPr>
            <w:r w:rsidRPr="00E942A7">
              <w:rPr>
                <w:spacing w:val="-1"/>
                <w:sz w:val="22"/>
                <w:szCs w:val="22"/>
                <w:lang w:val="sr-Latn-CS"/>
              </w:rPr>
              <w:t>Povremene:</w:t>
            </w:r>
          </w:p>
        </w:tc>
        <w:tc>
          <w:tcPr>
            <w:tcW w:w="4645" w:type="dxa"/>
          </w:tcPr>
          <w:p w:rsidR="006F5DA1" w:rsidRPr="00E942A7" w:rsidRDefault="006F5DA1" w:rsidP="006F5DA1">
            <w:pPr>
              <w:jc w:val="both"/>
              <w:rPr>
                <w:rFonts w:eastAsia="Calibri"/>
                <w:sz w:val="22"/>
                <w:szCs w:val="22"/>
                <w:lang w:val="sr-Latn-CS"/>
              </w:rPr>
            </w:pPr>
            <w:r w:rsidRPr="00E942A7">
              <w:rPr>
                <w:spacing w:val="2"/>
                <w:sz w:val="22"/>
                <w:szCs w:val="22"/>
                <w:lang w:val="sr-Latn-CS"/>
              </w:rPr>
              <w:t>hipertenzija, hipotenzija, atrijalna fibrilacija, hipotenzija koja vodi u sinkopu ili cirkulatorni kolaps</w:t>
            </w:r>
          </w:p>
        </w:tc>
      </w:tr>
      <w:tr w:rsidR="006F5DA1" w:rsidRPr="00E942A7" w:rsidTr="001F5CB2">
        <w:tc>
          <w:tcPr>
            <w:tcW w:w="4649" w:type="dxa"/>
          </w:tcPr>
          <w:p w:rsidR="006F5DA1" w:rsidRPr="00E942A7" w:rsidRDefault="006F5DA1" w:rsidP="006F5DA1">
            <w:pPr>
              <w:shd w:val="clear" w:color="auto" w:fill="FFFFFF"/>
              <w:jc w:val="both"/>
              <w:rPr>
                <w:sz w:val="22"/>
                <w:szCs w:val="22"/>
                <w:lang w:val="sr-Latn-CS"/>
              </w:rPr>
            </w:pPr>
            <w:r w:rsidRPr="00E942A7">
              <w:rPr>
                <w:spacing w:val="-3"/>
                <w:sz w:val="22"/>
                <w:szCs w:val="22"/>
                <w:lang w:val="sr-Latn-CS"/>
              </w:rPr>
              <w:t>Rijetke:</w:t>
            </w:r>
          </w:p>
        </w:tc>
        <w:tc>
          <w:tcPr>
            <w:tcW w:w="4645" w:type="dxa"/>
          </w:tcPr>
          <w:p w:rsidR="006F5DA1" w:rsidRPr="00E942A7" w:rsidRDefault="006F5DA1" w:rsidP="006F5DA1">
            <w:pPr>
              <w:jc w:val="both"/>
              <w:rPr>
                <w:rFonts w:eastAsia="Calibri"/>
                <w:sz w:val="22"/>
                <w:szCs w:val="22"/>
                <w:lang w:val="pl-PL"/>
              </w:rPr>
            </w:pPr>
            <w:r w:rsidRPr="00E942A7">
              <w:rPr>
                <w:spacing w:val="-3"/>
                <w:sz w:val="22"/>
                <w:szCs w:val="22"/>
                <w:lang w:val="sr-Latn-CS"/>
              </w:rPr>
              <w:t>bradikardija, srčana aritmija (posljedica hipokalcijemije)</w:t>
            </w:r>
          </w:p>
        </w:tc>
      </w:tr>
      <w:tr w:rsidR="006F5DA1" w:rsidRPr="00E942A7" w:rsidTr="001F5CB2">
        <w:tc>
          <w:tcPr>
            <w:tcW w:w="9294" w:type="dxa"/>
            <w:gridSpan w:val="2"/>
          </w:tcPr>
          <w:p w:rsidR="006F5DA1" w:rsidRPr="00E942A7" w:rsidRDefault="006F5DA1" w:rsidP="006F5DA1">
            <w:pPr>
              <w:jc w:val="both"/>
              <w:rPr>
                <w:rFonts w:eastAsia="Calibri"/>
                <w:sz w:val="22"/>
                <w:szCs w:val="22"/>
                <w:lang w:val="pl-PL"/>
              </w:rPr>
            </w:pPr>
            <w:r w:rsidRPr="00E942A7">
              <w:rPr>
                <w:b/>
                <w:i/>
                <w:iCs/>
                <w:spacing w:val="3"/>
                <w:sz w:val="22"/>
                <w:szCs w:val="22"/>
                <w:lang w:val="sr-Latn-CS"/>
              </w:rPr>
              <w:t>Respiratorni, torakalni i medijastinalni poremećaji</w:t>
            </w:r>
          </w:p>
        </w:tc>
      </w:tr>
      <w:tr w:rsidR="006F5DA1" w:rsidRPr="00E942A7" w:rsidTr="001F5CB2">
        <w:tc>
          <w:tcPr>
            <w:tcW w:w="4649" w:type="dxa"/>
          </w:tcPr>
          <w:p w:rsidR="006F5DA1" w:rsidRPr="00E942A7" w:rsidRDefault="006F5DA1" w:rsidP="006F5DA1">
            <w:pPr>
              <w:tabs>
                <w:tab w:val="left" w:pos="1579"/>
              </w:tabs>
              <w:jc w:val="both"/>
              <w:rPr>
                <w:spacing w:val="-1"/>
                <w:sz w:val="22"/>
                <w:szCs w:val="22"/>
                <w:lang w:val="sr-Latn-CS"/>
              </w:rPr>
            </w:pPr>
            <w:r w:rsidRPr="00E942A7">
              <w:rPr>
                <w:spacing w:val="-1"/>
                <w:sz w:val="22"/>
                <w:szCs w:val="22"/>
                <w:lang w:val="sr-Latn-CS"/>
              </w:rPr>
              <w:t xml:space="preserve">                             Povremene:</w:t>
            </w:r>
          </w:p>
        </w:tc>
        <w:tc>
          <w:tcPr>
            <w:tcW w:w="4645" w:type="dxa"/>
          </w:tcPr>
          <w:p w:rsidR="006F5DA1" w:rsidRPr="00E942A7" w:rsidRDefault="006F5DA1" w:rsidP="006F5DA1">
            <w:pPr>
              <w:jc w:val="both"/>
              <w:rPr>
                <w:spacing w:val="2"/>
                <w:sz w:val="22"/>
                <w:szCs w:val="22"/>
                <w:lang w:val="sr-Latn-CS"/>
              </w:rPr>
            </w:pPr>
            <w:r w:rsidRPr="00E942A7">
              <w:rPr>
                <w:spacing w:val="2"/>
                <w:sz w:val="22"/>
                <w:szCs w:val="22"/>
                <w:lang w:val="sr-Latn-CS"/>
              </w:rPr>
              <w:t>dispnea, kašalj, bronhokonstrikcija</w:t>
            </w:r>
          </w:p>
        </w:tc>
      </w:tr>
      <w:tr w:rsidR="006F5DA1" w:rsidRPr="00E942A7" w:rsidTr="001F5CB2">
        <w:tc>
          <w:tcPr>
            <w:tcW w:w="4649" w:type="dxa"/>
          </w:tcPr>
          <w:p w:rsidR="006F5DA1" w:rsidRPr="00E942A7" w:rsidRDefault="006F5DA1" w:rsidP="006F5DA1">
            <w:pPr>
              <w:tabs>
                <w:tab w:val="left" w:pos="1558"/>
              </w:tabs>
              <w:jc w:val="both"/>
              <w:rPr>
                <w:rFonts w:eastAsia="Calibri"/>
                <w:sz w:val="22"/>
                <w:szCs w:val="22"/>
                <w:lang w:val="en-US"/>
              </w:rPr>
            </w:pPr>
            <w:r w:rsidRPr="00E942A7">
              <w:rPr>
                <w:sz w:val="22"/>
                <w:szCs w:val="22"/>
                <w:lang w:val="sr-Latn-CS"/>
              </w:rPr>
              <w:t xml:space="preserve">                             Rijetke:</w:t>
            </w:r>
          </w:p>
        </w:tc>
        <w:tc>
          <w:tcPr>
            <w:tcW w:w="4645" w:type="dxa"/>
          </w:tcPr>
          <w:p w:rsidR="006F5DA1" w:rsidRPr="00E942A7" w:rsidRDefault="006F5DA1" w:rsidP="006F5DA1">
            <w:pPr>
              <w:jc w:val="both"/>
              <w:rPr>
                <w:spacing w:val="2"/>
                <w:sz w:val="22"/>
                <w:szCs w:val="22"/>
                <w:lang w:val="sr-Latn-CS"/>
              </w:rPr>
            </w:pPr>
            <w:r w:rsidRPr="00E942A7">
              <w:rPr>
                <w:spacing w:val="2"/>
                <w:sz w:val="22"/>
                <w:szCs w:val="22"/>
                <w:lang w:val="sr-Latn-CS"/>
              </w:rPr>
              <w:t>intersticijalna bolest pluća</w:t>
            </w:r>
          </w:p>
        </w:tc>
      </w:tr>
      <w:tr w:rsidR="006F5DA1" w:rsidRPr="00E942A7" w:rsidTr="001F5CB2">
        <w:tc>
          <w:tcPr>
            <w:tcW w:w="9294" w:type="dxa"/>
            <w:gridSpan w:val="2"/>
          </w:tcPr>
          <w:p w:rsidR="006F5DA1" w:rsidRPr="00E942A7" w:rsidRDefault="006F5DA1" w:rsidP="006F5DA1">
            <w:pPr>
              <w:jc w:val="both"/>
              <w:rPr>
                <w:rFonts w:eastAsia="Calibri"/>
                <w:sz w:val="22"/>
                <w:szCs w:val="22"/>
                <w:lang w:val="en-US"/>
              </w:rPr>
            </w:pPr>
            <w:r w:rsidRPr="00E942A7">
              <w:rPr>
                <w:b/>
                <w:i/>
                <w:iCs/>
                <w:spacing w:val="2"/>
                <w:sz w:val="22"/>
                <w:szCs w:val="22"/>
                <w:lang w:val="sr-Latn-CS"/>
              </w:rPr>
              <w:t>Gastrointestinalni poremećaji</w:t>
            </w:r>
          </w:p>
        </w:tc>
      </w:tr>
      <w:tr w:rsidR="006F5DA1" w:rsidRPr="00E942A7" w:rsidTr="001F5CB2">
        <w:tc>
          <w:tcPr>
            <w:tcW w:w="4649" w:type="dxa"/>
          </w:tcPr>
          <w:p w:rsidR="006F5DA1" w:rsidRPr="00E942A7" w:rsidRDefault="006F5DA1" w:rsidP="006F5DA1">
            <w:pPr>
              <w:shd w:val="clear" w:color="auto" w:fill="FFFFFF"/>
              <w:jc w:val="both"/>
              <w:rPr>
                <w:sz w:val="22"/>
                <w:szCs w:val="22"/>
                <w:lang w:val="sr-Latn-CS"/>
              </w:rPr>
            </w:pPr>
            <w:r w:rsidRPr="00E942A7">
              <w:rPr>
                <w:spacing w:val="-2"/>
                <w:sz w:val="22"/>
                <w:szCs w:val="22"/>
                <w:lang w:val="sr-Latn-CS"/>
              </w:rPr>
              <w:t>Česte:</w:t>
            </w:r>
          </w:p>
        </w:tc>
        <w:tc>
          <w:tcPr>
            <w:tcW w:w="4645" w:type="dxa"/>
          </w:tcPr>
          <w:p w:rsidR="006F5DA1" w:rsidRPr="00E942A7" w:rsidRDefault="006F5DA1" w:rsidP="006F5DA1">
            <w:pPr>
              <w:shd w:val="clear" w:color="auto" w:fill="FFFFFF"/>
              <w:jc w:val="both"/>
              <w:rPr>
                <w:sz w:val="22"/>
                <w:szCs w:val="22"/>
                <w:lang w:val="sr-Latn-CS"/>
              </w:rPr>
            </w:pPr>
            <w:r w:rsidRPr="00E942A7">
              <w:rPr>
                <w:spacing w:val="2"/>
                <w:sz w:val="22"/>
                <w:szCs w:val="22"/>
                <w:lang w:val="sr-Latn-CS"/>
              </w:rPr>
              <w:t>mučnina, povraćanje, smanjen apetit</w:t>
            </w:r>
          </w:p>
        </w:tc>
      </w:tr>
      <w:tr w:rsidR="006F5DA1" w:rsidRPr="00E942A7" w:rsidTr="001F5CB2">
        <w:tc>
          <w:tcPr>
            <w:tcW w:w="4649" w:type="dxa"/>
          </w:tcPr>
          <w:p w:rsidR="006F5DA1" w:rsidRPr="00E942A7" w:rsidRDefault="006F5DA1" w:rsidP="006F5DA1">
            <w:pPr>
              <w:shd w:val="clear" w:color="auto" w:fill="FFFFFF"/>
              <w:jc w:val="both"/>
              <w:rPr>
                <w:sz w:val="22"/>
                <w:szCs w:val="22"/>
                <w:lang w:val="sr-Latn-CS"/>
              </w:rPr>
            </w:pPr>
            <w:r w:rsidRPr="00E942A7">
              <w:rPr>
                <w:spacing w:val="-1"/>
                <w:sz w:val="22"/>
                <w:szCs w:val="22"/>
                <w:lang w:val="sr-Latn-CS"/>
              </w:rPr>
              <w:t>Povremene:</w:t>
            </w:r>
          </w:p>
        </w:tc>
        <w:tc>
          <w:tcPr>
            <w:tcW w:w="4645" w:type="dxa"/>
          </w:tcPr>
          <w:p w:rsidR="006F5DA1" w:rsidRPr="00E942A7" w:rsidRDefault="006F5DA1" w:rsidP="006F5DA1">
            <w:pPr>
              <w:shd w:val="clear" w:color="auto" w:fill="FFFFFF"/>
              <w:jc w:val="both"/>
              <w:rPr>
                <w:spacing w:val="1"/>
                <w:sz w:val="22"/>
                <w:szCs w:val="22"/>
                <w:lang w:val="sr-Latn-CS"/>
              </w:rPr>
            </w:pPr>
            <w:r w:rsidRPr="00E942A7">
              <w:rPr>
                <w:spacing w:val="1"/>
                <w:sz w:val="22"/>
                <w:szCs w:val="22"/>
                <w:lang w:val="sr-Latn-CS"/>
              </w:rPr>
              <w:t xml:space="preserve">dijareja, konstipacija, abdominalni bol, </w:t>
            </w:r>
            <w:r w:rsidRPr="00E942A7">
              <w:rPr>
                <w:spacing w:val="2"/>
                <w:sz w:val="22"/>
                <w:szCs w:val="22"/>
                <w:lang w:val="sr-Latn-CS"/>
              </w:rPr>
              <w:t>dispepsija, stomatitis, suvoća usta</w:t>
            </w:r>
          </w:p>
        </w:tc>
      </w:tr>
      <w:tr w:rsidR="006F5DA1" w:rsidRPr="00E942A7" w:rsidTr="001F5CB2">
        <w:tc>
          <w:tcPr>
            <w:tcW w:w="9294" w:type="dxa"/>
            <w:gridSpan w:val="2"/>
          </w:tcPr>
          <w:p w:rsidR="006F5DA1" w:rsidRPr="00E942A7" w:rsidRDefault="006F5DA1" w:rsidP="006F5DA1">
            <w:pPr>
              <w:jc w:val="both"/>
              <w:rPr>
                <w:rFonts w:eastAsia="Calibri"/>
                <w:sz w:val="22"/>
                <w:szCs w:val="22"/>
                <w:lang w:val="pl-PL"/>
              </w:rPr>
            </w:pPr>
            <w:r w:rsidRPr="00E942A7">
              <w:rPr>
                <w:b/>
                <w:i/>
                <w:iCs/>
                <w:spacing w:val="4"/>
                <w:sz w:val="22"/>
                <w:szCs w:val="22"/>
                <w:lang w:val="sr-Latn-CS"/>
              </w:rPr>
              <w:t>Poremećaji na nivou kože i potkožnog tkiva</w:t>
            </w:r>
          </w:p>
        </w:tc>
      </w:tr>
      <w:tr w:rsidR="006F5DA1" w:rsidRPr="00E942A7" w:rsidTr="001F5CB2">
        <w:tc>
          <w:tcPr>
            <w:tcW w:w="4649" w:type="dxa"/>
          </w:tcPr>
          <w:p w:rsidR="006F5DA1" w:rsidRPr="00E942A7" w:rsidRDefault="006F5DA1" w:rsidP="006F5DA1">
            <w:pPr>
              <w:tabs>
                <w:tab w:val="left" w:pos="1558"/>
              </w:tabs>
              <w:jc w:val="both"/>
              <w:rPr>
                <w:rFonts w:eastAsia="Calibri"/>
                <w:sz w:val="22"/>
                <w:szCs w:val="22"/>
                <w:lang w:val="en-US"/>
              </w:rPr>
            </w:pPr>
            <w:r w:rsidRPr="00E942A7">
              <w:rPr>
                <w:spacing w:val="-1"/>
                <w:sz w:val="22"/>
                <w:szCs w:val="22"/>
                <w:lang w:val="sr-Latn-CS"/>
              </w:rPr>
              <w:t xml:space="preserve">                             Povremene:</w:t>
            </w:r>
          </w:p>
        </w:tc>
        <w:tc>
          <w:tcPr>
            <w:tcW w:w="4645" w:type="dxa"/>
          </w:tcPr>
          <w:p w:rsidR="006F5DA1" w:rsidRPr="00E942A7" w:rsidRDefault="006F5DA1" w:rsidP="006F5DA1">
            <w:pPr>
              <w:jc w:val="both"/>
              <w:rPr>
                <w:spacing w:val="2"/>
                <w:sz w:val="22"/>
                <w:szCs w:val="22"/>
                <w:lang w:val="sr-Latn-CS"/>
              </w:rPr>
            </w:pPr>
            <w:r w:rsidRPr="00E942A7">
              <w:rPr>
                <w:spacing w:val="2"/>
                <w:sz w:val="22"/>
                <w:szCs w:val="22"/>
                <w:lang w:val="sr-Latn-CS"/>
              </w:rPr>
              <w:t>svrab, osip (uključujući eritematozni i makulozni osip), pojačano znojenje</w:t>
            </w:r>
          </w:p>
        </w:tc>
      </w:tr>
      <w:tr w:rsidR="006F5DA1" w:rsidRPr="00E942A7" w:rsidTr="001F5CB2">
        <w:tc>
          <w:tcPr>
            <w:tcW w:w="9294" w:type="dxa"/>
            <w:gridSpan w:val="2"/>
          </w:tcPr>
          <w:p w:rsidR="006F5DA1" w:rsidRPr="00E942A7" w:rsidRDefault="006F5DA1" w:rsidP="006F5DA1">
            <w:pPr>
              <w:jc w:val="both"/>
              <w:rPr>
                <w:rFonts w:eastAsia="Calibri"/>
                <w:sz w:val="22"/>
                <w:szCs w:val="22"/>
                <w:lang w:val="en-US"/>
              </w:rPr>
            </w:pPr>
            <w:r w:rsidRPr="00E942A7">
              <w:rPr>
                <w:b/>
                <w:i/>
                <w:iCs/>
                <w:spacing w:val="4"/>
                <w:sz w:val="22"/>
                <w:szCs w:val="22"/>
                <w:lang w:val="sr-Latn-CS"/>
              </w:rPr>
              <w:t>Poremećaji mišićno-skeletnog i vezivnog  tkiva</w:t>
            </w:r>
          </w:p>
        </w:tc>
      </w:tr>
      <w:tr w:rsidR="006F5DA1" w:rsidRPr="00E942A7" w:rsidTr="001F5CB2">
        <w:tc>
          <w:tcPr>
            <w:tcW w:w="4649" w:type="dxa"/>
          </w:tcPr>
          <w:p w:rsidR="006F5DA1" w:rsidRPr="00E942A7" w:rsidRDefault="006F5DA1" w:rsidP="006F5DA1">
            <w:pPr>
              <w:shd w:val="clear" w:color="auto" w:fill="FFFFFF"/>
              <w:jc w:val="both"/>
              <w:rPr>
                <w:sz w:val="22"/>
                <w:szCs w:val="22"/>
                <w:lang w:val="sr-Latn-CS"/>
              </w:rPr>
            </w:pPr>
            <w:r w:rsidRPr="00E942A7">
              <w:rPr>
                <w:spacing w:val="-2"/>
                <w:sz w:val="22"/>
                <w:szCs w:val="22"/>
                <w:lang w:val="sr-Latn-CS"/>
              </w:rPr>
              <w:t>Česte:</w:t>
            </w:r>
          </w:p>
        </w:tc>
        <w:tc>
          <w:tcPr>
            <w:tcW w:w="4645" w:type="dxa"/>
          </w:tcPr>
          <w:p w:rsidR="006F5DA1" w:rsidRPr="00E942A7" w:rsidRDefault="006F5DA1" w:rsidP="006F5DA1">
            <w:pPr>
              <w:jc w:val="both"/>
              <w:rPr>
                <w:rFonts w:eastAsia="Calibri"/>
                <w:sz w:val="22"/>
                <w:szCs w:val="22"/>
                <w:lang w:val="pl-PL"/>
              </w:rPr>
            </w:pPr>
            <w:r w:rsidRPr="00E942A7">
              <w:rPr>
                <w:spacing w:val="2"/>
                <w:sz w:val="22"/>
                <w:szCs w:val="22"/>
                <w:lang w:val="sr-Latn-CS"/>
              </w:rPr>
              <w:t>bol u kostima, mialgija, artralgija, opšti bol</w:t>
            </w:r>
          </w:p>
        </w:tc>
      </w:tr>
      <w:tr w:rsidR="006F5DA1" w:rsidRPr="00E942A7" w:rsidTr="001F5CB2">
        <w:tc>
          <w:tcPr>
            <w:tcW w:w="4649" w:type="dxa"/>
          </w:tcPr>
          <w:p w:rsidR="006F5DA1" w:rsidRPr="00E942A7" w:rsidRDefault="006F5DA1" w:rsidP="006F5DA1">
            <w:pPr>
              <w:shd w:val="clear" w:color="auto" w:fill="FFFFFF"/>
              <w:jc w:val="both"/>
              <w:rPr>
                <w:sz w:val="22"/>
                <w:szCs w:val="22"/>
                <w:lang w:val="sr-Latn-CS"/>
              </w:rPr>
            </w:pPr>
            <w:r w:rsidRPr="00E942A7">
              <w:rPr>
                <w:spacing w:val="-1"/>
                <w:sz w:val="22"/>
                <w:szCs w:val="22"/>
                <w:lang w:val="sr-Latn-CS"/>
              </w:rPr>
              <w:t>Povremene:</w:t>
            </w:r>
          </w:p>
        </w:tc>
        <w:tc>
          <w:tcPr>
            <w:tcW w:w="4645" w:type="dxa"/>
          </w:tcPr>
          <w:p w:rsidR="006F5DA1" w:rsidRPr="00E942A7" w:rsidRDefault="006F5DA1" w:rsidP="006F5DA1">
            <w:pPr>
              <w:jc w:val="both"/>
              <w:rPr>
                <w:rFonts w:eastAsia="Calibri"/>
                <w:sz w:val="22"/>
                <w:szCs w:val="22"/>
                <w:lang w:val="sr-Latn-CS"/>
              </w:rPr>
            </w:pPr>
            <w:r w:rsidRPr="00E942A7">
              <w:rPr>
                <w:spacing w:val="1"/>
                <w:sz w:val="22"/>
                <w:szCs w:val="22"/>
                <w:lang w:val="sr-Latn-CS"/>
              </w:rPr>
              <w:t>grčevi u mišićima, osteonekroza vilice</w:t>
            </w:r>
          </w:p>
        </w:tc>
      </w:tr>
      <w:tr w:rsidR="006F5DA1" w:rsidRPr="00E942A7" w:rsidTr="001F5CB2">
        <w:tc>
          <w:tcPr>
            <w:tcW w:w="9294" w:type="dxa"/>
            <w:gridSpan w:val="2"/>
          </w:tcPr>
          <w:p w:rsidR="006F5DA1" w:rsidRPr="00E942A7" w:rsidRDefault="006F5DA1" w:rsidP="006F5DA1">
            <w:pPr>
              <w:jc w:val="both"/>
              <w:rPr>
                <w:rFonts w:eastAsia="Calibri"/>
                <w:sz w:val="22"/>
                <w:szCs w:val="22"/>
                <w:lang w:val="pl-PL"/>
              </w:rPr>
            </w:pPr>
            <w:r w:rsidRPr="00E942A7">
              <w:rPr>
                <w:b/>
                <w:i/>
                <w:iCs/>
                <w:spacing w:val="4"/>
                <w:sz w:val="22"/>
                <w:szCs w:val="22"/>
                <w:lang w:val="sr-Latn-CS"/>
              </w:rPr>
              <w:t>Poremećaji na nivou bubrega i urinarnog sistema</w:t>
            </w:r>
          </w:p>
        </w:tc>
      </w:tr>
      <w:tr w:rsidR="006F5DA1" w:rsidRPr="00E942A7" w:rsidTr="001F5CB2">
        <w:tc>
          <w:tcPr>
            <w:tcW w:w="4649" w:type="dxa"/>
          </w:tcPr>
          <w:p w:rsidR="006F5DA1" w:rsidRPr="00E942A7" w:rsidRDefault="006F5DA1" w:rsidP="006F5DA1">
            <w:pPr>
              <w:shd w:val="clear" w:color="auto" w:fill="FFFFFF"/>
              <w:jc w:val="both"/>
              <w:rPr>
                <w:sz w:val="22"/>
                <w:szCs w:val="22"/>
                <w:lang w:val="sr-Latn-CS"/>
              </w:rPr>
            </w:pPr>
            <w:r w:rsidRPr="00E942A7">
              <w:rPr>
                <w:spacing w:val="-2"/>
                <w:sz w:val="22"/>
                <w:szCs w:val="22"/>
                <w:lang w:val="sr-Latn-CS"/>
              </w:rPr>
              <w:t>Česte:</w:t>
            </w:r>
          </w:p>
        </w:tc>
        <w:tc>
          <w:tcPr>
            <w:tcW w:w="4645" w:type="dxa"/>
          </w:tcPr>
          <w:p w:rsidR="006F5DA1" w:rsidRPr="00E942A7" w:rsidRDefault="006F5DA1" w:rsidP="006F5DA1">
            <w:pPr>
              <w:jc w:val="both"/>
              <w:rPr>
                <w:rFonts w:eastAsia="Calibri"/>
                <w:sz w:val="22"/>
                <w:szCs w:val="22"/>
                <w:lang w:val="en-US"/>
              </w:rPr>
            </w:pPr>
            <w:r w:rsidRPr="00E942A7">
              <w:rPr>
                <w:spacing w:val="2"/>
                <w:sz w:val="22"/>
                <w:szCs w:val="22"/>
                <w:lang w:val="sr-Latn-CS"/>
              </w:rPr>
              <w:t>poremećaj funkcije bubrega</w:t>
            </w:r>
          </w:p>
        </w:tc>
      </w:tr>
      <w:tr w:rsidR="006F5DA1" w:rsidRPr="00E942A7" w:rsidTr="001F5CB2">
        <w:tc>
          <w:tcPr>
            <w:tcW w:w="4649" w:type="dxa"/>
          </w:tcPr>
          <w:p w:rsidR="006F5DA1" w:rsidRPr="00E942A7" w:rsidRDefault="006F5DA1" w:rsidP="006F5DA1">
            <w:pPr>
              <w:shd w:val="clear" w:color="auto" w:fill="FFFFFF"/>
              <w:jc w:val="both"/>
              <w:rPr>
                <w:sz w:val="22"/>
                <w:szCs w:val="22"/>
                <w:lang w:val="sr-Latn-CS"/>
              </w:rPr>
            </w:pPr>
            <w:r w:rsidRPr="00E942A7">
              <w:rPr>
                <w:spacing w:val="-1"/>
                <w:sz w:val="22"/>
                <w:szCs w:val="22"/>
                <w:lang w:val="sr-Latn-CS"/>
              </w:rPr>
              <w:t>Povremene:</w:t>
            </w:r>
          </w:p>
        </w:tc>
        <w:tc>
          <w:tcPr>
            <w:tcW w:w="4645" w:type="dxa"/>
          </w:tcPr>
          <w:p w:rsidR="006F5DA1" w:rsidRPr="00E942A7" w:rsidRDefault="006F5DA1" w:rsidP="006F5DA1">
            <w:pPr>
              <w:jc w:val="both"/>
              <w:rPr>
                <w:rFonts w:eastAsia="Calibri"/>
                <w:sz w:val="22"/>
                <w:szCs w:val="22"/>
                <w:lang w:val="sr-Latn-CS"/>
              </w:rPr>
            </w:pPr>
            <w:r w:rsidRPr="00E942A7">
              <w:rPr>
                <w:spacing w:val="2"/>
                <w:sz w:val="22"/>
                <w:szCs w:val="22"/>
                <w:lang w:val="sr-Latn-CS"/>
              </w:rPr>
              <w:t>akutna bubrežna insuficijencija, hematurija, proteinurija</w:t>
            </w:r>
          </w:p>
        </w:tc>
      </w:tr>
      <w:tr w:rsidR="006F5DA1" w:rsidRPr="00E942A7" w:rsidTr="001F5CB2">
        <w:tc>
          <w:tcPr>
            <w:tcW w:w="9294" w:type="dxa"/>
            <w:gridSpan w:val="2"/>
          </w:tcPr>
          <w:p w:rsidR="006F5DA1" w:rsidRPr="00E942A7" w:rsidRDefault="006F5DA1" w:rsidP="006F5DA1">
            <w:pPr>
              <w:jc w:val="both"/>
              <w:rPr>
                <w:rFonts w:eastAsia="Calibri"/>
                <w:sz w:val="22"/>
                <w:szCs w:val="22"/>
                <w:lang w:val="sr-Latn-CS"/>
              </w:rPr>
            </w:pPr>
            <w:r w:rsidRPr="00E942A7">
              <w:rPr>
                <w:b/>
                <w:i/>
                <w:iCs/>
                <w:spacing w:val="5"/>
                <w:sz w:val="22"/>
                <w:szCs w:val="22"/>
                <w:lang w:val="sr-Latn-CS"/>
              </w:rPr>
              <w:t>Opšti poremećaji i reakcije na mjestu primjene</w:t>
            </w:r>
          </w:p>
        </w:tc>
      </w:tr>
      <w:tr w:rsidR="006F5DA1" w:rsidRPr="00E942A7" w:rsidTr="001F5CB2">
        <w:tc>
          <w:tcPr>
            <w:tcW w:w="4649" w:type="dxa"/>
          </w:tcPr>
          <w:p w:rsidR="006F5DA1" w:rsidRPr="00E942A7" w:rsidRDefault="006F5DA1" w:rsidP="006F5DA1">
            <w:pPr>
              <w:shd w:val="clear" w:color="auto" w:fill="FFFFFF"/>
              <w:jc w:val="both"/>
              <w:rPr>
                <w:sz w:val="22"/>
                <w:szCs w:val="22"/>
                <w:lang w:val="sr-Latn-CS"/>
              </w:rPr>
            </w:pPr>
            <w:r w:rsidRPr="00E942A7">
              <w:rPr>
                <w:spacing w:val="-2"/>
                <w:sz w:val="22"/>
                <w:szCs w:val="22"/>
                <w:lang w:val="sr-Latn-CS"/>
              </w:rPr>
              <w:t>Česte:</w:t>
            </w:r>
          </w:p>
        </w:tc>
        <w:tc>
          <w:tcPr>
            <w:tcW w:w="4645" w:type="dxa"/>
          </w:tcPr>
          <w:p w:rsidR="006F5DA1" w:rsidRPr="00E942A7" w:rsidRDefault="006F5DA1" w:rsidP="006F5DA1">
            <w:pPr>
              <w:jc w:val="both"/>
              <w:rPr>
                <w:rFonts w:eastAsia="Calibri"/>
                <w:sz w:val="22"/>
                <w:szCs w:val="22"/>
                <w:lang w:val="sr-Latn-CS"/>
              </w:rPr>
            </w:pPr>
            <w:r w:rsidRPr="00E942A7">
              <w:rPr>
                <w:spacing w:val="1"/>
                <w:sz w:val="22"/>
                <w:szCs w:val="22"/>
                <w:lang w:val="sr-Latn-CS"/>
              </w:rPr>
              <w:t>groznica, sindrom sličan gripu (uključujući zamor, ukočenost, slabost i nalete vrućine)</w:t>
            </w:r>
          </w:p>
        </w:tc>
      </w:tr>
      <w:tr w:rsidR="006F5DA1" w:rsidRPr="00E942A7" w:rsidTr="001F5CB2">
        <w:trPr>
          <w:trHeight w:val="1014"/>
        </w:trPr>
        <w:tc>
          <w:tcPr>
            <w:tcW w:w="4649" w:type="dxa"/>
          </w:tcPr>
          <w:p w:rsidR="006F5DA1" w:rsidRPr="00E942A7" w:rsidRDefault="006F5DA1" w:rsidP="006F5DA1">
            <w:pPr>
              <w:shd w:val="clear" w:color="auto" w:fill="FFFFFF"/>
              <w:jc w:val="both"/>
              <w:rPr>
                <w:sz w:val="22"/>
                <w:szCs w:val="22"/>
                <w:lang w:val="sr-Latn-CS"/>
              </w:rPr>
            </w:pPr>
            <w:r w:rsidRPr="00E942A7">
              <w:rPr>
                <w:spacing w:val="-1"/>
                <w:sz w:val="22"/>
                <w:szCs w:val="22"/>
                <w:lang w:val="sr-Latn-CS"/>
              </w:rPr>
              <w:t>Povremene:</w:t>
            </w:r>
          </w:p>
        </w:tc>
        <w:tc>
          <w:tcPr>
            <w:tcW w:w="4645" w:type="dxa"/>
          </w:tcPr>
          <w:p w:rsidR="006F5DA1" w:rsidRPr="00E942A7" w:rsidRDefault="006F5DA1" w:rsidP="006F5DA1">
            <w:pPr>
              <w:jc w:val="both"/>
              <w:rPr>
                <w:spacing w:val="1"/>
                <w:sz w:val="22"/>
                <w:szCs w:val="22"/>
                <w:lang w:val="sr-Latn-CS"/>
              </w:rPr>
            </w:pPr>
            <w:r w:rsidRPr="00E942A7">
              <w:rPr>
                <w:spacing w:val="1"/>
                <w:sz w:val="22"/>
                <w:szCs w:val="22"/>
                <w:lang w:val="sr-Latn-CS"/>
              </w:rPr>
              <w:t>astenija, periferni edem, reakcije na mjestu ubrizgavanja (uključujući bol, iritaciju, otok, induraciju), bol u grudima, porast tjelesne mase, anafilaktička reakcija/šok, urtikarija</w:t>
            </w:r>
          </w:p>
        </w:tc>
      </w:tr>
      <w:tr w:rsidR="006F5DA1" w:rsidRPr="00E942A7" w:rsidTr="001F5CB2">
        <w:trPr>
          <w:trHeight w:val="201"/>
        </w:trPr>
        <w:tc>
          <w:tcPr>
            <w:tcW w:w="4649" w:type="dxa"/>
          </w:tcPr>
          <w:p w:rsidR="006F5DA1" w:rsidRPr="00E942A7" w:rsidRDefault="006F5DA1" w:rsidP="006F5DA1">
            <w:pPr>
              <w:shd w:val="clear" w:color="auto" w:fill="FFFFFF"/>
              <w:jc w:val="both"/>
              <w:rPr>
                <w:spacing w:val="-1"/>
                <w:sz w:val="22"/>
                <w:szCs w:val="22"/>
                <w:lang w:val="sr-Latn-CS"/>
              </w:rPr>
            </w:pPr>
            <w:r w:rsidRPr="00E942A7">
              <w:rPr>
                <w:spacing w:val="-1"/>
                <w:sz w:val="22"/>
                <w:szCs w:val="22"/>
                <w:lang w:val="sr-Latn-CS"/>
              </w:rPr>
              <w:t>Rijetke:</w:t>
            </w:r>
          </w:p>
        </w:tc>
        <w:tc>
          <w:tcPr>
            <w:tcW w:w="4645" w:type="dxa"/>
          </w:tcPr>
          <w:p w:rsidR="006F5DA1" w:rsidRPr="00E942A7" w:rsidRDefault="006F5DA1" w:rsidP="006F5DA1">
            <w:pPr>
              <w:jc w:val="both"/>
              <w:rPr>
                <w:spacing w:val="1"/>
                <w:sz w:val="22"/>
                <w:szCs w:val="22"/>
                <w:lang w:val="sr-Latn-CS"/>
              </w:rPr>
            </w:pPr>
            <w:r w:rsidRPr="00E942A7">
              <w:rPr>
                <w:spacing w:val="1"/>
                <w:sz w:val="22"/>
                <w:szCs w:val="22"/>
                <w:lang w:val="sr-Latn-CS"/>
              </w:rPr>
              <w:t>artritis i otok zglobova kao simptom reakcije akutne faze</w:t>
            </w:r>
          </w:p>
        </w:tc>
      </w:tr>
      <w:tr w:rsidR="006F5DA1" w:rsidRPr="00E942A7" w:rsidTr="001F5CB2">
        <w:tc>
          <w:tcPr>
            <w:tcW w:w="9294" w:type="dxa"/>
            <w:gridSpan w:val="2"/>
          </w:tcPr>
          <w:p w:rsidR="006F5DA1" w:rsidRPr="00E942A7" w:rsidRDefault="006F5DA1" w:rsidP="006F5DA1">
            <w:pPr>
              <w:jc w:val="both"/>
              <w:rPr>
                <w:spacing w:val="1"/>
                <w:sz w:val="22"/>
                <w:szCs w:val="22"/>
                <w:lang w:val="sr-Latn-CS"/>
              </w:rPr>
            </w:pPr>
            <w:r w:rsidRPr="00E942A7">
              <w:rPr>
                <w:b/>
                <w:i/>
                <w:iCs/>
                <w:spacing w:val="3"/>
                <w:sz w:val="22"/>
                <w:szCs w:val="22"/>
                <w:lang w:val="sr-Latn-CS"/>
              </w:rPr>
              <w:lastRenderedPageBreak/>
              <w:t>Ispitivanja</w:t>
            </w:r>
          </w:p>
        </w:tc>
      </w:tr>
      <w:tr w:rsidR="006F5DA1" w:rsidRPr="00E942A7" w:rsidTr="001F5CB2">
        <w:tc>
          <w:tcPr>
            <w:tcW w:w="4649" w:type="dxa"/>
          </w:tcPr>
          <w:p w:rsidR="006F5DA1" w:rsidRPr="00E942A7" w:rsidRDefault="006F5DA1" w:rsidP="006F5DA1">
            <w:pPr>
              <w:shd w:val="clear" w:color="auto" w:fill="FFFFFF"/>
              <w:jc w:val="both"/>
              <w:rPr>
                <w:spacing w:val="-1"/>
                <w:sz w:val="22"/>
                <w:szCs w:val="22"/>
                <w:lang w:val="sr-Latn-CS"/>
              </w:rPr>
            </w:pPr>
            <w:r w:rsidRPr="00E942A7">
              <w:rPr>
                <w:spacing w:val="-1"/>
                <w:sz w:val="22"/>
                <w:szCs w:val="22"/>
                <w:lang w:val="sr-Latn-CS"/>
              </w:rPr>
              <w:t>Veoma česte:</w:t>
            </w:r>
          </w:p>
        </w:tc>
        <w:tc>
          <w:tcPr>
            <w:tcW w:w="4645" w:type="dxa"/>
          </w:tcPr>
          <w:p w:rsidR="006F5DA1" w:rsidRPr="00E942A7" w:rsidRDefault="006F5DA1" w:rsidP="006F5DA1">
            <w:pPr>
              <w:shd w:val="clear" w:color="auto" w:fill="FFFFFF"/>
              <w:jc w:val="both"/>
              <w:rPr>
                <w:spacing w:val="1"/>
                <w:sz w:val="22"/>
                <w:szCs w:val="22"/>
                <w:lang w:val="sr-Latn-CS"/>
              </w:rPr>
            </w:pPr>
            <w:r w:rsidRPr="00E942A7">
              <w:rPr>
                <w:spacing w:val="1"/>
                <w:sz w:val="22"/>
                <w:szCs w:val="22"/>
                <w:lang w:val="sr-Latn-CS"/>
              </w:rPr>
              <w:t>hipofosfatemija</w:t>
            </w:r>
          </w:p>
        </w:tc>
      </w:tr>
      <w:tr w:rsidR="006F5DA1" w:rsidRPr="00E942A7" w:rsidTr="001F5CB2">
        <w:tc>
          <w:tcPr>
            <w:tcW w:w="4649" w:type="dxa"/>
          </w:tcPr>
          <w:p w:rsidR="006F5DA1" w:rsidRPr="00E942A7" w:rsidRDefault="006F5DA1" w:rsidP="006F5DA1">
            <w:pPr>
              <w:shd w:val="clear" w:color="auto" w:fill="FFFFFF"/>
              <w:jc w:val="both"/>
              <w:rPr>
                <w:spacing w:val="-1"/>
                <w:sz w:val="22"/>
                <w:szCs w:val="22"/>
                <w:lang w:val="sr-Latn-CS"/>
              </w:rPr>
            </w:pPr>
            <w:r w:rsidRPr="00E942A7">
              <w:rPr>
                <w:spacing w:val="-1"/>
                <w:sz w:val="22"/>
                <w:szCs w:val="22"/>
                <w:lang w:val="sr-Latn-CS"/>
              </w:rPr>
              <w:t>Česte:</w:t>
            </w:r>
          </w:p>
        </w:tc>
        <w:tc>
          <w:tcPr>
            <w:tcW w:w="4645" w:type="dxa"/>
          </w:tcPr>
          <w:p w:rsidR="006F5DA1" w:rsidRPr="00E942A7" w:rsidRDefault="006F5DA1" w:rsidP="006F5DA1">
            <w:pPr>
              <w:shd w:val="clear" w:color="auto" w:fill="FFFFFF"/>
              <w:jc w:val="both"/>
              <w:rPr>
                <w:spacing w:val="1"/>
                <w:sz w:val="22"/>
                <w:szCs w:val="22"/>
                <w:lang w:val="sr-Latn-CS"/>
              </w:rPr>
            </w:pPr>
            <w:r w:rsidRPr="00E942A7">
              <w:rPr>
                <w:spacing w:val="1"/>
                <w:sz w:val="22"/>
                <w:szCs w:val="22"/>
                <w:lang w:val="sr-Latn-CS"/>
              </w:rPr>
              <w:t>porast nivoa kreatinina i ureje u krvi, hipokalcijemija</w:t>
            </w:r>
          </w:p>
        </w:tc>
      </w:tr>
      <w:tr w:rsidR="006F5DA1" w:rsidRPr="00E942A7" w:rsidTr="001F5CB2">
        <w:tc>
          <w:tcPr>
            <w:tcW w:w="4649" w:type="dxa"/>
          </w:tcPr>
          <w:p w:rsidR="006F5DA1" w:rsidRPr="00E942A7" w:rsidRDefault="006F5DA1" w:rsidP="006F5DA1">
            <w:pPr>
              <w:shd w:val="clear" w:color="auto" w:fill="FFFFFF"/>
              <w:jc w:val="both"/>
              <w:rPr>
                <w:spacing w:val="-1"/>
                <w:sz w:val="22"/>
                <w:szCs w:val="22"/>
                <w:lang w:val="sr-Latn-CS"/>
              </w:rPr>
            </w:pPr>
            <w:r w:rsidRPr="00E942A7">
              <w:rPr>
                <w:spacing w:val="-1"/>
                <w:sz w:val="22"/>
                <w:szCs w:val="22"/>
                <w:lang w:val="sr-Latn-CS"/>
              </w:rPr>
              <w:t>Povremene:</w:t>
            </w:r>
          </w:p>
        </w:tc>
        <w:tc>
          <w:tcPr>
            <w:tcW w:w="4645" w:type="dxa"/>
          </w:tcPr>
          <w:p w:rsidR="006F5DA1" w:rsidRPr="00E942A7" w:rsidRDefault="006F5DA1" w:rsidP="006F5DA1">
            <w:pPr>
              <w:shd w:val="clear" w:color="auto" w:fill="FFFFFF"/>
              <w:jc w:val="both"/>
              <w:rPr>
                <w:spacing w:val="1"/>
                <w:sz w:val="22"/>
                <w:szCs w:val="22"/>
                <w:lang w:val="sr-Latn-CS"/>
              </w:rPr>
            </w:pPr>
            <w:r w:rsidRPr="00E942A7">
              <w:rPr>
                <w:spacing w:val="1"/>
                <w:sz w:val="22"/>
                <w:szCs w:val="22"/>
                <w:lang w:val="sr-Latn-CS"/>
              </w:rPr>
              <w:t>hipomagnezijemija, hipokalijemija</w:t>
            </w:r>
          </w:p>
        </w:tc>
      </w:tr>
      <w:tr w:rsidR="006F5DA1" w:rsidRPr="00E942A7" w:rsidTr="001F5CB2">
        <w:tc>
          <w:tcPr>
            <w:tcW w:w="4649" w:type="dxa"/>
          </w:tcPr>
          <w:p w:rsidR="006F5DA1" w:rsidRPr="00E942A7" w:rsidRDefault="006F5DA1" w:rsidP="006F5DA1">
            <w:pPr>
              <w:shd w:val="clear" w:color="auto" w:fill="FFFFFF"/>
              <w:jc w:val="both"/>
              <w:rPr>
                <w:spacing w:val="-1"/>
                <w:sz w:val="22"/>
                <w:szCs w:val="22"/>
                <w:lang w:val="sr-Latn-CS"/>
              </w:rPr>
            </w:pPr>
            <w:r w:rsidRPr="00E942A7">
              <w:rPr>
                <w:spacing w:val="-1"/>
                <w:sz w:val="22"/>
                <w:szCs w:val="22"/>
                <w:lang w:val="sr-Latn-CS"/>
              </w:rPr>
              <w:t>Rijetke:</w:t>
            </w:r>
          </w:p>
        </w:tc>
        <w:tc>
          <w:tcPr>
            <w:tcW w:w="4645" w:type="dxa"/>
          </w:tcPr>
          <w:p w:rsidR="006F5DA1" w:rsidRPr="00E942A7" w:rsidRDefault="006F5DA1" w:rsidP="006F5DA1">
            <w:pPr>
              <w:shd w:val="clear" w:color="auto" w:fill="FFFFFF"/>
              <w:jc w:val="both"/>
              <w:rPr>
                <w:spacing w:val="1"/>
                <w:sz w:val="22"/>
                <w:szCs w:val="22"/>
                <w:lang w:val="sr-Latn-CS"/>
              </w:rPr>
            </w:pPr>
            <w:r w:rsidRPr="00E942A7">
              <w:rPr>
                <w:spacing w:val="1"/>
                <w:sz w:val="22"/>
                <w:szCs w:val="22"/>
                <w:lang w:val="sr-Latn-CS"/>
              </w:rPr>
              <w:t>hiperkalijemija, hipernatrijemija</w:t>
            </w:r>
          </w:p>
        </w:tc>
      </w:tr>
    </w:tbl>
    <w:p w:rsidR="006F5DA1" w:rsidRPr="00E942A7" w:rsidRDefault="006F5DA1" w:rsidP="006F5DA1">
      <w:pPr>
        <w:shd w:val="clear" w:color="auto" w:fill="FFFFFF"/>
        <w:tabs>
          <w:tab w:val="left" w:pos="2268"/>
        </w:tabs>
        <w:spacing w:before="226" w:line="235" w:lineRule="exact"/>
        <w:jc w:val="both"/>
        <w:rPr>
          <w:spacing w:val="2"/>
          <w:sz w:val="22"/>
          <w:szCs w:val="22"/>
          <w:u w:val="single"/>
          <w:lang w:val="sr-Latn-CS"/>
        </w:rPr>
      </w:pPr>
      <w:r w:rsidRPr="00E942A7">
        <w:rPr>
          <w:spacing w:val="2"/>
          <w:sz w:val="22"/>
          <w:szCs w:val="22"/>
          <w:u w:val="single"/>
          <w:lang w:val="sr-Latn-CS"/>
        </w:rPr>
        <w:t>Opis izabranih neželjenih reakcija</w:t>
      </w:r>
    </w:p>
    <w:p w:rsidR="006F5DA1" w:rsidRPr="00E942A7" w:rsidRDefault="006F5DA1" w:rsidP="006F5DA1">
      <w:pPr>
        <w:shd w:val="clear" w:color="auto" w:fill="FFFFFF"/>
        <w:tabs>
          <w:tab w:val="left" w:pos="2268"/>
        </w:tabs>
        <w:spacing w:line="235" w:lineRule="exact"/>
        <w:jc w:val="both"/>
        <w:rPr>
          <w:i/>
          <w:spacing w:val="2"/>
          <w:sz w:val="22"/>
          <w:szCs w:val="22"/>
          <w:u w:val="single"/>
          <w:lang w:val="sr-Latn-CS"/>
        </w:rPr>
      </w:pPr>
    </w:p>
    <w:p w:rsidR="006F5DA1" w:rsidRPr="00E942A7" w:rsidRDefault="006F5DA1" w:rsidP="006F5DA1">
      <w:pPr>
        <w:shd w:val="clear" w:color="auto" w:fill="FFFFFF"/>
        <w:tabs>
          <w:tab w:val="left" w:pos="2268"/>
        </w:tabs>
        <w:jc w:val="both"/>
        <w:rPr>
          <w:i/>
          <w:spacing w:val="2"/>
          <w:sz w:val="22"/>
          <w:szCs w:val="22"/>
          <w:u w:val="single"/>
          <w:lang w:val="sr-Latn-CS"/>
        </w:rPr>
      </w:pPr>
      <w:r w:rsidRPr="00E942A7">
        <w:rPr>
          <w:i/>
          <w:spacing w:val="2"/>
          <w:sz w:val="22"/>
          <w:szCs w:val="22"/>
          <w:u w:val="single"/>
          <w:lang w:val="sr-Latn-CS"/>
        </w:rPr>
        <w:t>Poremećaj bubrežne funkcije</w:t>
      </w:r>
    </w:p>
    <w:p w:rsidR="006F5DA1" w:rsidRPr="00E942A7" w:rsidRDefault="006F5DA1" w:rsidP="006F5DA1">
      <w:pPr>
        <w:shd w:val="clear" w:color="auto" w:fill="FFFFFF"/>
        <w:tabs>
          <w:tab w:val="left" w:pos="2268"/>
        </w:tabs>
        <w:jc w:val="both"/>
        <w:rPr>
          <w:i/>
          <w:spacing w:val="2"/>
          <w:sz w:val="22"/>
          <w:szCs w:val="22"/>
          <w:u w:val="single"/>
          <w:lang w:val="sr-Latn-CS"/>
        </w:rPr>
      </w:pPr>
    </w:p>
    <w:p w:rsidR="006F5DA1" w:rsidRPr="00E942A7" w:rsidRDefault="006F5DA1" w:rsidP="006F5DA1">
      <w:pPr>
        <w:shd w:val="clear" w:color="auto" w:fill="FFFFFF"/>
        <w:tabs>
          <w:tab w:val="left" w:pos="2268"/>
        </w:tabs>
        <w:jc w:val="both"/>
        <w:rPr>
          <w:spacing w:val="2"/>
          <w:sz w:val="22"/>
          <w:szCs w:val="22"/>
          <w:lang w:val="sr-Latn-CS"/>
        </w:rPr>
      </w:pPr>
      <w:r w:rsidRPr="00E942A7">
        <w:rPr>
          <w:spacing w:val="2"/>
          <w:sz w:val="22"/>
          <w:szCs w:val="22"/>
          <w:lang w:val="sr-Latn-CS"/>
        </w:rPr>
        <w:t>Zoledronska kiselina je povezana sa prijavama bubrežne disfunkcije. Pri analizi bezbjednosnih podataka porijeklom iz ispitivanja primjene zoledronske kiseline u prevenciji komplikacija na kostima kod pacijenata sa uznapredovalim malignitetom koji zahvata i kosti, može se zaključiti da je učestalost oštećenja renalne funkcije, neželjene reakcije za koju se sumnja da je povezana sa primjenom zoledronske kiseline, bila kao što slijedi: kod multiplog mijeloma (3,2%), kod karcinoma prostate (3,1%), kod karcinoma dojke (4,3%), kod tumora pluća i drugih solidnih tumora (3,2%).</w:t>
      </w:r>
    </w:p>
    <w:p w:rsidR="006F5DA1" w:rsidRPr="00E942A7" w:rsidRDefault="006F5DA1" w:rsidP="006F5DA1">
      <w:pPr>
        <w:shd w:val="clear" w:color="auto" w:fill="FFFFFF"/>
        <w:tabs>
          <w:tab w:val="left" w:pos="2268"/>
        </w:tabs>
        <w:jc w:val="both"/>
        <w:rPr>
          <w:spacing w:val="2"/>
          <w:sz w:val="22"/>
          <w:szCs w:val="22"/>
          <w:lang w:val="sr-Latn-CS"/>
        </w:rPr>
      </w:pPr>
    </w:p>
    <w:p w:rsidR="006F5DA1" w:rsidRPr="00E942A7" w:rsidRDefault="006F5DA1" w:rsidP="006F5DA1">
      <w:pPr>
        <w:shd w:val="clear" w:color="auto" w:fill="FFFFFF"/>
        <w:tabs>
          <w:tab w:val="left" w:pos="2268"/>
        </w:tabs>
        <w:jc w:val="both"/>
        <w:rPr>
          <w:spacing w:val="2"/>
          <w:sz w:val="22"/>
          <w:szCs w:val="22"/>
          <w:lang w:val="sr-Latn-CS"/>
        </w:rPr>
      </w:pPr>
      <w:r w:rsidRPr="00E942A7">
        <w:rPr>
          <w:spacing w:val="2"/>
          <w:sz w:val="22"/>
          <w:szCs w:val="22"/>
          <w:lang w:val="sr-Latn-CS"/>
        </w:rPr>
        <w:t xml:space="preserve">Faktori koji mogu da povećaju potencijalno pogoršanje bubrežne funkcije uključuju: dehidrataciju, prethodno postojeće bubrežno oštećenje, višestruku terapiju </w:t>
      </w:r>
      <w:r w:rsidRPr="00E942A7">
        <w:rPr>
          <w:spacing w:val="3"/>
          <w:sz w:val="22"/>
          <w:szCs w:val="22"/>
          <w:lang w:val="sr-Latn-CS"/>
        </w:rPr>
        <w:t>zoledronskom kiselinom</w:t>
      </w:r>
      <w:r w:rsidRPr="00E942A7">
        <w:rPr>
          <w:spacing w:val="2"/>
          <w:sz w:val="22"/>
          <w:szCs w:val="22"/>
          <w:lang w:val="sr-Latn-CS"/>
        </w:rPr>
        <w:t xml:space="preserve"> ili drugim bisfosfonatima, kao i istovremenu primjenu nefrotoksičnih ljekova ili davanje lijeka kroz infuziju u kraćem vremenskom periodu nego što je preporučeno. Pogoršanje bubrežne funkcije, progresija do bubrežne insuficijencije i dijalize su prijavljeni kod pacijenata poslije početne doze ili jednokratne doze od 4 mg zoledronske kiseline (vidjeti odjeljak 4.4).</w:t>
      </w:r>
    </w:p>
    <w:p w:rsidR="006F5DA1" w:rsidRPr="00E942A7" w:rsidRDefault="006F5DA1" w:rsidP="006F5DA1">
      <w:pPr>
        <w:shd w:val="clear" w:color="auto" w:fill="FFFFFF"/>
        <w:tabs>
          <w:tab w:val="left" w:pos="2268"/>
        </w:tabs>
        <w:jc w:val="both"/>
        <w:rPr>
          <w:spacing w:val="2"/>
          <w:sz w:val="22"/>
          <w:szCs w:val="22"/>
          <w:lang w:val="sr-Latn-CS"/>
        </w:rPr>
      </w:pPr>
    </w:p>
    <w:p w:rsidR="006F5DA1" w:rsidRPr="00E942A7" w:rsidRDefault="006F5DA1" w:rsidP="006F5DA1">
      <w:pPr>
        <w:shd w:val="clear" w:color="auto" w:fill="FFFFFF"/>
        <w:tabs>
          <w:tab w:val="left" w:pos="2268"/>
        </w:tabs>
        <w:jc w:val="both"/>
        <w:rPr>
          <w:i/>
          <w:spacing w:val="2"/>
          <w:sz w:val="22"/>
          <w:szCs w:val="22"/>
          <w:u w:val="single"/>
          <w:lang w:val="sr-Latn-CS"/>
        </w:rPr>
      </w:pPr>
      <w:r w:rsidRPr="00E942A7">
        <w:rPr>
          <w:i/>
          <w:spacing w:val="2"/>
          <w:sz w:val="22"/>
          <w:szCs w:val="22"/>
          <w:u w:val="single"/>
          <w:lang w:val="sr-Latn-CS"/>
        </w:rPr>
        <w:t>Osteonekroza vilice</w:t>
      </w:r>
    </w:p>
    <w:p w:rsidR="006F5DA1" w:rsidRPr="00E942A7" w:rsidRDefault="006F5DA1" w:rsidP="006F5DA1">
      <w:pPr>
        <w:shd w:val="clear" w:color="auto" w:fill="FFFFFF"/>
        <w:tabs>
          <w:tab w:val="left" w:pos="2268"/>
        </w:tabs>
        <w:jc w:val="both"/>
        <w:rPr>
          <w:i/>
          <w:spacing w:val="2"/>
          <w:sz w:val="22"/>
          <w:szCs w:val="22"/>
          <w:u w:val="single"/>
          <w:lang w:val="sr-Latn-CS"/>
        </w:rPr>
      </w:pPr>
    </w:p>
    <w:p w:rsidR="006F5DA1" w:rsidRPr="00E942A7" w:rsidRDefault="006F5DA1" w:rsidP="006F5DA1">
      <w:pPr>
        <w:shd w:val="clear" w:color="auto" w:fill="FFFFFF"/>
        <w:tabs>
          <w:tab w:val="left" w:pos="2268"/>
        </w:tabs>
        <w:jc w:val="both"/>
        <w:rPr>
          <w:spacing w:val="2"/>
          <w:sz w:val="22"/>
          <w:szCs w:val="22"/>
          <w:lang w:val="sr-Latn-CS"/>
        </w:rPr>
      </w:pPr>
      <w:r w:rsidRPr="00E942A7">
        <w:rPr>
          <w:spacing w:val="2"/>
          <w:sz w:val="22"/>
          <w:szCs w:val="22"/>
          <w:lang w:val="sr-Latn-CS"/>
        </w:rPr>
        <w:t xml:space="preserve">Slučajevi osteonekroze (primarno vilice) prijavljeni su, prije svega kod pacijenata sa karcinomom koji su liječeni ljekovima koji inhibiraju resorpciju kostiju, kao što je </w:t>
      </w:r>
      <w:r w:rsidRPr="00E942A7">
        <w:rPr>
          <w:spacing w:val="3"/>
          <w:sz w:val="22"/>
          <w:szCs w:val="22"/>
          <w:lang w:val="sr-Latn-CS"/>
        </w:rPr>
        <w:t>zoledronska kiselina</w:t>
      </w:r>
      <w:r w:rsidRPr="00E942A7">
        <w:rPr>
          <w:spacing w:val="2"/>
          <w:sz w:val="22"/>
          <w:szCs w:val="22"/>
          <w:lang w:val="sr-Latn-CS"/>
        </w:rPr>
        <w:t xml:space="preserve">. Mnogi od ovih pacijenata imali su znakove lokalne </w:t>
      </w:r>
      <w:r w:rsidRPr="00E942A7">
        <w:rPr>
          <w:spacing w:val="3"/>
          <w:sz w:val="22"/>
          <w:szCs w:val="22"/>
          <w:lang w:val="sr-Latn-CS"/>
        </w:rPr>
        <w:t xml:space="preserve">infekcije uključujući osteomijelitis, a većina prijava se odnosi na pacijente sa karcinomom nakon vađenja zuba ili druge oralne hirurgije. Osteonekroza vilice ima višestruke dokumentovane faktore rizika </w:t>
      </w:r>
      <w:r w:rsidRPr="00E942A7">
        <w:rPr>
          <w:spacing w:val="2"/>
          <w:sz w:val="22"/>
          <w:szCs w:val="22"/>
          <w:lang w:val="sr-Latn-CS"/>
        </w:rPr>
        <w:t>uključujući dijagnozu karcinoma, terapiju koja se primjenjuje istovremeno (npr. hemoterapiju, radioterapiju, kortikosteroide) i komorbiditetna stanja (npr. anemija, koagulopatije, infekcije, postojeće bolesti usta). Iako nije utvrđena uzročna veza, preporuka je da se izbjegava oralna hirurgija pošto oporavak može biti produžen (vidjeti odjeljak 4.4).</w:t>
      </w:r>
    </w:p>
    <w:p w:rsidR="006F5DA1" w:rsidRPr="00E942A7" w:rsidRDefault="006F5DA1" w:rsidP="006F5DA1">
      <w:pPr>
        <w:shd w:val="clear" w:color="auto" w:fill="FFFFFF"/>
        <w:tabs>
          <w:tab w:val="left" w:pos="2268"/>
        </w:tabs>
        <w:jc w:val="both"/>
        <w:rPr>
          <w:spacing w:val="2"/>
          <w:sz w:val="22"/>
          <w:szCs w:val="22"/>
          <w:lang w:val="sr-Latn-CS"/>
        </w:rPr>
      </w:pPr>
    </w:p>
    <w:p w:rsidR="006F5DA1" w:rsidRPr="00E942A7" w:rsidRDefault="006F5DA1" w:rsidP="006F5DA1">
      <w:pPr>
        <w:shd w:val="clear" w:color="auto" w:fill="FFFFFF"/>
        <w:tabs>
          <w:tab w:val="left" w:pos="2268"/>
        </w:tabs>
        <w:jc w:val="both"/>
        <w:rPr>
          <w:i/>
          <w:spacing w:val="2"/>
          <w:sz w:val="22"/>
          <w:szCs w:val="22"/>
          <w:u w:val="single"/>
          <w:lang w:val="sr-Latn-CS"/>
        </w:rPr>
      </w:pPr>
      <w:r w:rsidRPr="00E942A7">
        <w:rPr>
          <w:i/>
          <w:spacing w:val="2"/>
          <w:sz w:val="22"/>
          <w:szCs w:val="22"/>
          <w:u w:val="single"/>
          <w:lang w:val="sr-Latn-CS"/>
        </w:rPr>
        <w:t>Atrijalna fibrilacija</w:t>
      </w:r>
    </w:p>
    <w:p w:rsidR="006F5DA1" w:rsidRPr="00E942A7" w:rsidRDefault="006F5DA1" w:rsidP="006F5DA1">
      <w:pPr>
        <w:shd w:val="clear" w:color="auto" w:fill="FFFFFF"/>
        <w:tabs>
          <w:tab w:val="left" w:pos="2268"/>
        </w:tabs>
        <w:jc w:val="both"/>
        <w:rPr>
          <w:i/>
          <w:spacing w:val="2"/>
          <w:sz w:val="22"/>
          <w:szCs w:val="22"/>
          <w:u w:val="single"/>
          <w:lang w:val="sr-Latn-CS"/>
        </w:rPr>
      </w:pPr>
    </w:p>
    <w:p w:rsidR="006F5DA1" w:rsidRPr="00E942A7" w:rsidRDefault="006F5DA1" w:rsidP="006F5DA1">
      <w:pPr>
        <w:shd w:val="clear" w:color="auto" w:fill="FFFFFF"/>
        <w:tabs>
          <w:tab w:val="left" w:pos="2268"/>
        </w:tabs>
        <w:jc w:val="both"/>
        <w:rPr>
          <w:spacing w:val="2"/>
          <w:sz w:val="22"/>
          <w:szCs w:val="22"/>
          <w:lang w:val="sr-Latn-CS"/>
        </w:rPr>
      </w:pPr>
      <w:r w:rsidRPr="00E942A7">
        <w:rPr>
          <w:spacing w:val="2"/>
          <w:sz w:val="22"/>
          <w:szCs w:val="22"/>
          <w:lang w:val="sr-Latn-CS"/>
        </w:rPr>
        <w:t xml:space="preserve">U jednoj 3-godišnjoj, randomizovanoj, dvostruko-slijepoj kontrolisanoj studiji kojom je procijenjena efikasnost i bezbjednost primjene 5 mg zoledronske kiseline primjenjivane </w:t>
      </w:r>
      <w:r w:rsidRPr="00E942A7">
        <w:rPr>
          <w:spacing w:val="3"/>
          <w:sz w:val="22"/>
          <w:szCs w:val="22"/>
          <w:lang w:val="sr-Latn-CS"/>
        </w:rPr>
        <w:t xml:space="preserve">jednom godišnje nasuprot placebu u terapiji postmenopauzalne osteoporoze (PMO), ukupna incidenca atrijalne fibrilacije bila je 2,5% (96 od 3862) kod pacijenata koji su primali 5 mg zoledronske kiseline i 1,9% (75 od 3852) kod pacijenata koji su primali placebo. Stopa teških atrijalnih fibrilacija bila je </w:t>
      </w:r>
      <w:r w:rsidRPr="00E942A7">
        <w:rPr>
          <w:spacing w:val="2"/>
          <w:sz w:val="22"/>
          <w:szCs w:val="22"/>
          <w:lang w:val="sr-Latn-CS"/>
        </w:rPr>
        <w:t xml:space="preserve">1,3% (51 od 3862) kod pacijenata koji su primali 5 mg zoledronske kiseline i 0,6% (22 od 3852) kod pacijenata koji </w:t>
      </w:r>
      <w:r w:rsidRPr="00E942A7">
        <w:rPr>
          <w:spacing w:val="3"/>
          <w:sz w:val="22"/>
          <w:szCs w:val="22"/>
          <w:lang w:val="sr-Latn-CS"/>
        </w:rPr>
        <w:t>su primali placebo</w:t>
      </w:r>
      <w:r w:rsidRPr="00E942A7">
        <w:rPr>
          <w:spacing w:val="2"/>
          <w:sz w:val="22"/>
          <w:szCs w:val="22"/>
          <w:lang w:val="sr-Latn-CS"/>
        </w:rPr>
        <w:t xml:space="preserve">. Nesrazmjera uočena u ovom ispitivanju nije bila uočena u drugim kliničkim ispitivanjima sa zoledronskom </w:t>
      </w:r>
      <w:r w:rsidRPr="00E942A7">
        <w:rPr>
          <w:spacing w:val="3"/>
          <w:sz w:val="22"/>
          <w:szCs w:val="22"/>
          <w:lang w:val="sr-Latn-CS"/>
        </w:rPr>
        <w:t>kiselinom</w:t>
      </w:r>
      <w:r w:rsidRPr="00E942A7">
        <w:rPr>
          <w:spacing w:val="2"/>
          <w:sz w:val="22"/>
          <w:szCs w:val="22"/>
          <w:lang w:val="sr-Latn-CS"/>
        </w:rPr>
        <w:t xml:space="preserve">, uključujući ona u kojima je kod onkoloških pacijenata  primjenjivano 4 mg zoledronske kiseline svake 3-4 </w:t>
      </w:r>
      <w:r w:rsidRPr="00E942A7">
        <w:rPr>
          <w:spacing w:val="2"/>
          <w:sz w:val="22"/>
          <w:szCs w:val="22"/>
          <w:lang w:val="sr-Latn-CS"/>
        </w:rPr>
        <w:lastRenderedPageBreak/>
        <w:t>nedjelje. Mehanizam koji stoji u pozadini povećane incidence atrijalnih fibrilacija u ovom pojedinačnom kliničkom ispitivanju nije poznat.</w:t>
      </w:r>
    </w:p>
    <w:p w:rsidR="006F5DA1" w:rsidRPr="00E942A7" w:rsidRDefault="006F5DA1" w:rsidP="006F5DA1">
      <w:pPr>
        <w:shd w:val="clear" w:color="auto" w:fill="FFFFFF"/>
        <w:tabs>
          <w:tab w:val="left" w:pos="2268"/>
        </w:tabs>
        <w:jc w:val="both"/>
        <w:rPr>
          <w:spacing w:val="3"/>
          <w:sz w:val="22"/>
          <w:szCs w:val="22"/>
          <w:lang w:val="sr-Latn-CS"/>
        </w:rPr>
      </w:pPr>
    </w:p>
    <w:p w:rsidR="006F5DA1" w:rsidRPr="00E942A7" w:rsidRDefault="006F5DA1" w:rsidP="006F5DA1">
      <w:pPr>
        <w:shd w:val="clear" w:color="auto" w:fill="FFFFFF"/>
        <w:tabs>
          <w:tab w:val="left" w:pos="2268"/>
        </w:tabs>
        <w:jc w:val="both"/>
        <w:rPr>
          <w:i/>
          <w:spacing w:val="2"/>
          <w:sz w:val="22"/>
          <w:szCs w:val="22"/>
          <w:u w:val="single"/>
          <w:lang w:val="sr-Latn-CS"/>
        </w:rPr>
      </w:pPr>
      <w:r w:rsidRPr="00E942A7">
        <w:rPr>
          <w:i/>
          <w:spacing w:val="2"/>
          <w:sz w:val="22"/>
          <w:szCs w:val="22"/>
          <w:u w:val="single"/>
          <w:lang w:val="sr-Latn-CS"/>
        </w:rPr>
        <w:t>Reakcija akutne faze</w:t>
      </w:r>
    </w:p>
    <w:p w:rsidR="006F5DA1" w:rsidRPr="00E942A7" w:rsidRDefault="006F5DA1" w:rsidP="006F5DA1">
      <w:pPr>
        <w:shd w:val="clear" w:color="auto" w:fill="FFFFFF"/>
        <w:tabs>
          <w:tab w:val="left" w:pos="2268"/>
        </w:tabs>
        <w:jc w:val="both"/>
        <w:rPr>
          <w:i/>
          <w:spacing w:val="2"/>
          <w:sz w:val="22"/>
          <w:szCs w:val="22"/>
          <w:u w:val="single"/>
          <w:lang w:val="sr-Latn-CS"/>
        </w:rPr>
      </w:pPr>
    </w:p>
    <w:p w:rsidR="006F5DA1" w:rsidRPr="00E942A7" w:rsidRDefault="006F5DA1" w:rsidP="006F5DA1">
      <w:pPr>
        <w:shd w:val="clear" w:color="auto" w:fill="FFFFFF"/>
        <w:tabs>
          <w:tab w:val="left" w:pos="2268"/>
        </w:tabs>
        <w:jc w:val="both"/>
        <w:rPr>
          <w:spacing w:val="2"/>
          <w:sz w:val="22"/>
          <w:szCs w:val="22"/>
          <w:lang w:val="sr-Latn-CS"/>
        </w:rPr>
      </w:pPr>
      <w:r w:rsidRPr="00E942A7">
        <w:rPr>
          <w:spacing w:val="2"/>
          <w:sz w:val="22"/>
          <w:szCs w:val="22"/>
          <w:lang w:val="sr-Latn-CS"/>
        </w:rPr>
        <w:t>Ova neželjena reakcija na lijek sastoji se od grupe simptoma koji uključuju groznicu, mialgiju, glavobolju, bol u ekstremitetima, mučninu, povraćanje, dijareju, artralgiju i artritis sa posljedičnim otokom zglobova. Vrijeme početka je ≤3 dana poslije infuzije zoledronske kiseline, i ova reakcija se takođe opisuje kao simptomi ’’slični gripu’’ ili simptomi ’’poslije doze’’.</w:t>
      </w:r>
    </w:p>
    <w:p w:rsidR="006F5DA1" w:rsidRPr="00E942A7" w:rsidRDefault="006F5DA1" w:rsidP="006F5DA1">
      <w:pPr>
        <w:shd w:val="clear" w:color="auto" w:fill="FFFFFF"/>
        <w:tabs>
          <w:tab w:val="left" w:pos="2268"/>
        </w:tabs>
        <w:jc w:val="both"/>
        <w:rPr>
          <w:spacing w:val="2"/>
          <w:sz w:val="22"/>
          <w:szCs w:val="22"/>
          <w:lang w:val="sr-Latn-CS"/>
        </w:rPr>
      </w:pPr>
    </w:p>
    <w:p w:rsidR="006F5DA1" w:rsidRPr="00E942A7" w:rsidRDefault="006F5DA1" w:rsidP="006F5DA1">
      <w:pPr>
        <w:shd w:val="clear" w:color="auto" w:fill="FFFFFF"/>
        <w:tabs>
          <w:tab w:val="left" w:pos="2268"/>
        </w:tabs>
        <w:jc w:val="both"/>
        <w:rPr>
          <w:i/>
          <w:spacing w:val="2"/>
          <w:sz w:val="22"/>
          <w:szCs w:val="22"/>
          <w:u w:val="single"/>
          <w:lang w:val="sr-Latn-CS"/>
        </w:rPr>
      </w:pPr>
      <w:r w:rsidRPr="00E942A7">
        <w:rPr>
          <w:i/>
          <w:spacing w:val="2"/>
          <w:sz w:val="22"/>
          <w:szCs w:val="22"/>
          <w:u w:val="single"/>
          <w:lang w:val="sr-Latn-CS"/>
        </w:rPr>
        <w:t>Atipični prelomi butne kosti</w:t>
      </w:r>
    </w:p>
    <w:p w:rsidR="006F5DA1" w:rsidRPr="00E942A7" w:rsidRDefault="006F5DA1" w:rsidP="006F5DA1">
      <w:pPr>
        <w:shd w:val="clear" w:color="auto" w:fill="FFFFFF"/>
        <w:tabs>
          <w:tab w:val="left" w:pos="2268"/>
        </w:tabs>
        <w:jc w:val="both"/>
        <w:rPr>
          <w:i/>
          <w:spacing w:val="2"/>
          <w:sz w:val="22"/>
          <w:szCs w:val="22"/>
          <w:u w:val="single"/>
          <w:lang w:val="sr-Latn-CS"/>
        </w:rPr>
      </w:pPr>
    </w:p>
    <w:p w:rsidR="006F5DA1" w:rsidRPr="00E942A7" w:rsidRDefault="006F5DA1" w:rsidP="006F5DA1">
      <w:pPr>
        <w:jc w:val="both"/>
        <w:rPr>
          <w:sz w:val="22"/>
          <w:szCs w:val="22"/>
          <w:lang w:val="it-IT"/>
        </w:rPr>
      </w:pPr>
      <w:r w:rsidRPr="00E942A7">
        <w:rPr>
          <w:spacing w:val="2"/>
          <w:sz w:val="22"/>
          <w:szCs w:val="22"/>
          <w:lang w:val="sr-Latn-CS"/>
        </w:rPr>
        <w:t>Tokom postmarketinškog perioda prijavljene su sljedeće neželjene reakcije (učestalost rijetka): atipični subtrohanterični i dijafizalni prelomi butne kosti (klasna neželjena reakcija bisfosfonata).</w:t>
      </w:r>
    </w:p>
    <w:p w:rsidR="006F5DA1" w:rsidRPr="00E942A7" w:rsidRDefault="006F5DA1" w:rsidP="006F5DA1">
      <w:pPr>
        <w:jc w:val="both"/>
        <w:rPr>
          <w:sz w:val="22"/>
          <w:szCs w:val="22"/>
          <w:lang w:val="it-IT"/>
        </w:rPr>
      </w:pPr>
    </w:p>
    <w:p w:rsidR="006F5DA1" w:rsidRPr="00E942A7" w:rsidRDefault="006F5DA1" w:rsidP="006F5DA1">
      <w:pPr>
        <w:jc w:val="both"/>
        <w:rPr>
          <w:i/>
          <w:sz w:val="22"/>
          <w:szCs w:val="22"/>
          <w:u w:val="single"/>
          <w:lang w:val="it-IT"/>
        </w:rPr>
      </w:pPr>
      <w:r w:rsidRPr="00E942A7">
        <w:rPr>
          <w:i/>
          <w:sz w:val="22"/>
          <w:szCs w:val="22"/>
          <w:u w:val="single"/>
          <w:lang w:val="it-IT"/>
        </w:rPr>
        <w:t>Neželjene reakcije povezane sa hipokalcijemijom</w:t>
      </w:r>
    </w:p>
    <w:p w:rsidR="006F5DA1" w:rsidRPr="00E942A7" w:rsidRDefault="006F5DA1" w:rsidP="006F5DA1">
      <w:pPr>
        <w:jc w:val="both"/>
        <w:rPr>
          <w:sz w:val="22"/>
          <w:szCs w:val="22"/>
          <w:u w:val="single"/>
          <w:lang w:val="it-IT"/>
        </w:rPr>
      </w:pPr>
    </w:p>
    <w:p w:rsidR="006F5DA1" w:rsidRPr="00E942A7" w:rsidRDefault="006F5DA1" w:rsidP="006F5DA1">
      <w:pPr>
        <w:jc w:val="both"/>
        <w:rPr>
          <w:b/>
          <w:bCs/>
          <w:sz w:val="22"/>
          <w:szCs w:val="22"/>
          <w:lang w:val="it-IT"/>
        </w:rPr>
      </w:pPr>
      <w:r w:rsidRPr="00E942A7">
        <w:rPr>
          <w:sz w:val="22"/>
          <w:szCs w:val="22"/>
          <w:lang w:val="it-IT"/>
        </w:rPr>
        <w:t>Hipokalcijemija je važan identifikovani rizik kod primjene zoledronske kiseline u odobrenim indikacijama. Na osnovu pregleda kliničkih ispitivanja i prijavljenih post-marketinških slučajeva, postoji dovoljno dokaza koji potvrđuju vezu između terapije zoledronskom kiselinom, hipokalcijemije, i sekundarnog razvoja srčanih aritmija. Osim toga, postoje dokazi o povezanosti hipokalcijemije i sekundarnih neuroloških događaja prijavljenih u ovim slučajevima, uključujući: konvulzije, hipoesteziju i tetaniju (vidjeti odjeljak 4.4).</w:t>
      </w:r>
    </w:p>
    <w:p w:rsidR="006F5DA1" w:rsidRPr="00E942A7" w:rsidRDefault="006F5DA1" w:rsidP="006F5DA1">
      <w:pPr>
        <w:spacing w:line="276" w:lineRule="auto"/>
        <w:jc w:val="both"/>
        <w:rPr>
          <w:rFonts w:eastAsia="Calibri"/>
          <w:sz w:val="22"/>
          <w:szCs w:val="22"/>
          <w:u w:val="single"/>
          <w:lang w:val="sr-Latn-RS"/>
        </w:rPr>
      </w:pPr>
    </w:p>
    <w:p w:rsidR="006F5DA1" w:rsidRPr="00E942A7" w:rsidRDefault="006F5DA1" w:rsidP="006F5DA1">
      <w:pPr>
        <w:spacing w:line="276" w:lineRule="auto"/>
        <w:jc w:val="both"/>
        <w:rPr>
          <w:rFonts w:eastAsia="Calibri"/>
          <w:sz w:val="22"/>
          <w:szCs w:val="22"/>
          <w:u w:val="single"/>
          <w:lang w:val="sr-Latn-RS"/>
        </w:rPr>
      </w:pPr>
      <w:r w:rsidRPr="00E942A7">
        <w:rPr>
          <w:rFonts w:eastAsia="Calibri"/>
          <w:sz w:val="22"/>
          <w:szCs w:val="22"/>
          <w:u w:val="single"/>
          <w:lang w:val="sr-Latn-RS"/>
        </w:rPr>
        <w:t>Prijavljivanje sumnji na neželjena dejstva</w:t>
      </w:r>
    </w:p>
    <w:p w:rsidR="006F5DA1" w:rsidRPr="00E942A7" w:rsidRDefault="006F5DA1" w:rsidP="006F5DA1">
      <w:pPr>
        <w:spacing w:after="200" w:line="276" w:lineRule="auto"/>
        <w:jc w:val="both"/>
        <w:rPr>
          <w:rFonts w:eastAsia="Calibri"/>
          <w:sz w:val="22"/>
          <w:szCs w:val="22"/>
          <w:u w:val="single"/>
          <w:lang w:val="sr-Latn-RS"/>
        </w:rPr>
      </w:pPr>
      <w:r w:rsidRPr="00E942A7">
        <w:rPr>
          <w:rFonts w:eastAsia="Calibri"/>
          <w:sz w:val="22"/>
          <w:szCs w:val="22"/>
          <w:lang w:val="sr-Latn-RS"/>
        </w:rPr>
        <w:t>Prijavljivanje neželjenih dejstava nakon dobijanja dozvole je od velikog značaja jer obezbjeđuje kontinuirano praćenje odnosa korist/rizik primjene lijeka. Zdravstveni radnici treba da prijave svaku sumnju na neželjeno dejstvo ovog lijeka Agenciji za ljekove i medicinska sredstva Crne Gore (CALIMS):</w:t>
      </w:r>
    </w:p>
    <w:p w:rsidR="006F5DA1" w:rsidRPr="00E942A7" w:rsidRDefault="006F5DA1" w:rsidP="006F5DA1">
      <w:pPr>
        <w:jc w:val="both"/>
        <w:rPr>
          <w:rFonts w:eastAsia="Calibri"/>
          <w:sz w:val="22"/>
          <w:szCs w:val="22"/>
          <w:lang w:val="sr-Latn-RS"/>
        </w:rPr>
      </w:pPr>
    </w:p>
    <w:p w:rsidR="006F5DA1" w:rsidRPr="00E942A7" w:rsidRDefault="006F5DA1" w:rsidP="006F5DA1">
      <w:pPr>
        <w:jc w:val="both"/>
        <w:rPr>
          <w:rFonts w:eastAsia="Calibri"/>
          <w:sz w:val="22"/>
          <w:szCs w:val="22"/>
          <w:lang w:val="sr-Latn-RS"/>
        </w:rPr>
      </w:pPr>
      <w:r w:rsidRPr="00E942A7">
        <w:rPr>
          <w:rFonts w:eastAsia="Calibri"/>
          <w:sz w:val="22"/>
          <w:szCs w:val="22"/>
          <w:lang w:val="sr-Latn-RS"/>
        </w:rPr>
        <w:t>Agencija za ljekove i medicinska sredstva Crne Gore</w:t>
      </w:r>
    </w:p>
    <w:p w:rsidR="006F5DA1" w:rsidRPr="00E942A7" w:rsidRDefault="006F5DA1" w:rsidP="006F5DA1">
      <w:pPr>
        <w:jc w:val="both"/>
        <w:rPr>
          <w:rFonts w:eastAsia="Calibri"/>
          <w:sz w:val="22"/>
          <w:szCs w:val="22"/>
          <w:lang w:val="sr-Latn-RS"/>
        </w:rPr>
      </w:pPr>
      <w:r w:rsidRPr="00E942A7">
        <w:rPr>
          <w:rFonts w:eastAsia="Calibri"/>
          <w:sz w:val="22"/>
          <w:szCs w:val="22"/>
          <w:lang w:val="sr-Latn-RS"/>
        </w:rPr>
        <w:t>Odjeljenje za farmakovigilancu</w:t>
      </w:r>
    </w:p>
    <w:p w:rsidR="006F5DA1" w:rsidRPr="00E942A7" w:rsidRDefault="006F5DA1" w:rsidP="006F5DA1">
      <w:pPr>
        <w:jc w:val="both"/>
        <w:rPr>
          <w:rFonts w:eastAsia="Calibri"/>
          <w:sz w:val="22"/>
          <w:szCs w:val="22"/>
          <w:lang w:val="sr-Latn-RS"/>
        </w:rPr>
      </w:pPr>
      <w:r w:rsidRPr="00E942A7">
        <w:rPr>
          <w:rFonts w:eastAsia="Calibri"/>
          <w:sz w:val="22"/>
          <w:szCs w:val="22"/>
          <w:lang w:val="sr-Latn-RS"/>
        </w:rPr>
        <w:t>Bulevar Ivana Crnojevića 64a, 81000 Podgorica</w:t>
      </w:r>
    </w:p>
    <w:p w:rsidR="006F5DA1" w:rsidRPr="00E942A7" w:rsidRDefault="006F5DA1" w:rsidP="006F5DA1">
      <w:pPr>
        <w:jc w:val="both"/>
        <w:rPr>
          <w:rFonts w:eastAsia="Calibri"/>
          <w:sz w:val="22"/>
          <w:szCs w:val="22"/>
          <w:lang w:val="sr-Latn-RS"/>
        </w:rPr>
      </w:pPr>
    </w:p>
    <w:p w:rsidR="006F5DA1" w:rsidRPr="00E942A7" w:rsidRDefault="006F5DA1" w:rsidP="006F5DA1">
      <w:pPr>
        <w:jc w:val="both"/>
        <w:rPr>
          <w:rFonts w:eastAsia="Calibri"/>
          <w:sz w:val="22"/>
          <w:szCs w:val="22"/>
          <w:lang w:val="sr-Latn-RS"/>
        </w:rPr>
      </w:pPr>
      <w:r w:rsidRPr="00E942A7">
        <w:rPr>
          <w:rFonts w:eastAsia="Calibri"/>
          <w:sz w:val="22"/>
          <w:szCs w:val="22"/>
          <w:lang w:val="sr-Latn-RS"/>
        </w:rPr>
        <w:t>tel: +382 (0) 20 310 280</w:t>
      </w:r>
    </w:p>
    <w:p w:rsidR="006F5DA1" w:rsidRPr="00E942A7" w:rsidRDefault="006F5DA1" w:rsidP="006F5DA1">
      <w:pPr>
        <w:jc w:val="both"/>
        <w:rPr>
          <w:rFonts w:eastAsia="Calibri"/>
          <w:sz w:val="22"/>
          <w:szCs w:val="22"/>
          <w:lang w:val="sr-Latn-RS"/>
        </w:rPr>
      </w:pPr>
      <w:r w:rsidRPr="00E942A7">
        <w:rPr>
          <w:rFonts w:eastAsia="Calibri"/>
          <w:sz w:val="22"/>
          <w:szCs w:val="22"/>
          <w:lang w:val="sr-Latn-RS"/>
        </w:rPr>
        <w:t>fax: +382 (0) 20 310 581</w:t>
      </w:r>
    </w:p>
    <w:p w:rsidR="006F5DA1" w:rsidRPr="00E942A7" w:rsidRDefault="009D601A" w:rsidP="006F5DA1">
      <w:pPr>
        <w:jc w:val="both"/>
        <w:rPr>
          <w:rFonts w:eastAsia="Calibri"/>
          <w:sz w:val="22"/>
          <w:szCs w:val="22"/>
          <w:lang w:val="sr-Latn-RS"/>
        </w:rPr>
      </w:pPr>
      <w:hyperlink r:id="rId7" w:history="1">
        <w:r w:rsidR="006F5DA1" w:rsidRPr="00E942A7">
          <w:rPr>
            <w:rFonts w:eastAsia="Calibri"/>
            <w:color w:val="0000FF"/>
            <w:sz w:val="22"/>
            <w:szCs w:val="22"/>
            <w:u w:val="single"/>
            <w:lang w:val="sr-Latn-RS"/>
          </w:rPr>
          <w:t>www.calims.me</w:t>
        </w:r>
      </w:hyperlink>
    </w:p>
    <w:p w:rsidR="006F5DA1" w:rsidRPr="00E942A7" w:rsidRDefault="009D601A" w:rsidP="006F5DA1">
      <w:pPr>
        <w:jc w:val="both"/>
        <w:rPr>
          <w:rFonts w:eastAsia="Calibri"/>
          <w:color w:val="0000FF"/>
          <w:sz w:val="22"/>
          <w:szCs w:val="22"/>
          <w:u w:val="single"/>
          <w:lang w:val="sr-Latn-RS"/>
        </w:rPr>
      </w:pPr>
      <w:hyperlink r:id="rId8" w:history="1">
        <w:r w:rsidR="006F5DA1" w:rsidRPr="00E942A7">
          <w:rPr>
            <w:rFonts w:eastAsia="Calibri"/>
            <w:color w:val="0000FF"/>
            <w:sz w:val="22"/>
            <w:szCs w:val="22"/>
            <w:u w:val="single"/>
            <w:lang w:val="sr-Latn-RS"/>
          </w:rPr>
          <w:t>nezeljenadejstva@calims.me</w:t>
        </w:r>
      </w:hyperlink>
    </w:p>
    <w:p w:rsidR="006F5DA1" w:rsidRPr="00E942A7" w:rsidRDefault="006F5DA1" w:rsidP="006F5DA1">
      <w:pPr>
        <w:jc w:val="both"/>
        <w:rPr>
          <w:rFonts w:eastAsia="Calibri"/>
          <w:sz w:val="22"/>
          <w:szCs w:val="22"/>
          <w:lang w:val="sr-Latn-RS"/>
        </w:rPr>
      </w:pPr>
      <w:r w:rsidRPr="00E942A7">
        <w:rPr>
          <w:rFonts w:eastAsia="Calibri"/>
          <w:sz w:val="22"/>
          <w:szCs w:val="22"/>
          <w:lang w:val="sr-Latn-RS"/>
        </w:rPr>
        <w:t>putem IS zdravstvene zaštite</w:t>
      </w:r>
    </w:p>
    <w:p w:rsidR="006F5DA1" w:rsidRPr="00E942A7" w:rsidRDefault="006F5DA1" w:rsidP="006F5DA1">
      <w:pPr>
        <w:jc w:val="both"/>
        <w:rPr>
          <w:rFonts w:eastAsia="Calibri"/>
          <w:sz w:val="22"/>
          <w:szCs w:val="22"/>
          <w:lang w:val="sr-Latn-RS"/>
        </w:rPr>
      </w:pPr>
    </w:p>
    <w:p w:rsidR="006F5DA1" w:rsidRPr="00E942A7" w:rsidRDefault="006F5DA1" w:rsidP="006F5DA1">
      <w:pPr>
        <w:tabs>
          <w:tab w:val="left" w:pos="540"/>
          <w:tab w:val="left" w:pos="569"/>
        </w:tabs>
        <w:jc w:val="both"/>
        <w:rPr>
          <w:b/>
          <w:bCs/>
          <w:sz w:val="22"/>
          <w:szCs w:val="22"/>
          <w:lang w:val="pl-PL"/>
        </w:rPr>
      </w:pPr>
      <w:r w:rsidRPr="00E942A7">
        <w:rPr>
          <w:b/>
          <w:bCs/>
          <w:sz w:val="22"/>
          <w:szCs w:val="22"/>
          <w:lang w:val="pl-PL"/>
        </w:rPr>
        <w:t xml:space="preserve">4.9. </w:t>
      </w:r>
      <w:r w:rsidRPr="00E942A7">
        <w:rPr>
          <w:b/>
          <w:bCs/>
          <w:sz w:val="22"/>
          <w:szCs w:val="22"/>
          <w:lang w:val="pl-PL"/>
        </w:rPr>
        <w:tab/>
        <w:t>Predoziranje i mjere koje je potrebno preduzeti</w:t>
      </w:r>
    </w:p>
    <w:p w:rsidR="006F5DA1" w:rsidRPr="00E942A7" w:rsidRDefault="006F5DA1" w:rsidP="006F5DA1">
      <w:pPr>
        <w:shd w:val="clear" w:color="auto" w:fill="FFFFFF"/>
        <w:spacing w:before="235" w:line="235" w:lineRule="exact"/>
        <w:jc w:val="both"/>
        <w:rPr>
          <w:sz w:val="22"/>
          <w:szCs w:val="22"/>
          <w:lang w:val="sr-Latn-CS"/>
        </w:rPr>
      </w:pPr>
      <w:r w:rsidRPr="00E942A7">
        <w:rPr>
          <w:spacing w:val="3"/>
          <w:sz w:val="22"/>
          <w:szCs w:val="22"/>
          <w:lang w:val="sr-Latn-CS"/>
        </w:rPr>
        <w:t>Kliničko iskustvo sa akutnim predoziranjem zoledronskom kiselinom je ograničeno. Prijavljena je greškom data doza od 48 mg zoledronske kiseline. Pacijente koji su primili doze više od</w:t>
      </w:r>
      <w:r w:rsidRPr="00E942A7">
        <w:rPr>
          <w:spacing w:val="2"/>
          <w:sz w:val="22"/>
          <w:szCs w:val="22"/>
          <w:lang w:val="sr-Latn-CS"/>
        </w:rPr>
        <w:t xml:space="preserve"> preporučenih (vidjeti odjeljak 4.2), treba pažljivo kontrolisati pošto su uočeni poremećaji bubrežne funkcije (uključujući bubrežnu insuficijenciju) i poremećaji koncentracije serumskih elektrolita (uključujući kalcijum, fosfor i magnezijum). U slučaju</w:t>
      </w:r>
      <w:r w:rsidRPr="00E942A7">
        <w:rPr>
          <w:spacing w:val="3"/>
          <w:sz w:val="22"/>
          <w:szCs w:val="22"/>
          <w:lang w:val="sr-Latn-CS"/>
        </w:rPr>
        <w:t xml:space="preserve"> hipokalcijemije, treba primijeniti infuziju kalcijum glukonata kada je klinički indikovano.</w:t>
      </w:r>
    </w:p>
    <w:p w:rsidR="006F5DA1" w:rsidRPr="00E942A7" w:rsidRDefault="006F5DA1" w:rsidP="006F5DA1">
      <w:pPr>
        <w:tabs>
          <w:tab w:val="left" w:pos="540"/>
          <w:tab w:val="left" w:pos="569"/>
        </w:tabs>
        <w:jc w:val="both"/>
        <w:rPr>
          <w:b/>
          <w:bCs/>
          <w:sz w:val="22"/>
          <w:szCs w:val="22"/>
          <w:lang w:val="pl-PL"/>
        </w:rPr>
      </w:pPr>
    </w:p>
    <w:p w:rsidR="006F5DA1" w:rsidRPr="00E942A7" w:rsidRDefault="006F5DA1" w:rsidP="006F5DA1">
      <w:pPr>
        <w:tabs>
          <w:tab w:val="left" w:pos="540"/>
          <w:tab w:val="left" w:pos="569"/>
        </w:tabs>
        <w:jc w:val="both"/>
        <w:rPr>
          <w:b/>
          <w:bCs/>
          <w:sz w:val="22"/>
          <w:szCs w:val="22"/>
          <w:lang w:val="en-US"/>
        </w:rPr>
      </w:pPr>
      <w:r w:rsidRPr="00E942A7">
        <w:rPr>
          <w:b/>
          <w:bCs/>
          <w:sz w:val="22"/>
          <w:szCs w:val="22"/>
          <w:lang w:val="en-US"/>
        </w:rPr>
        <w:t xml:space="preserve">5. </w:t>
      </w:r>
      <w:r w:rsidRPr="00E942A7">
        <w:rPr>
          <w:b/>
          <w:bCs/>
          <w:sz w:val="22"/>
          <w:szCs w:val="22"/>
          <w:lang w:val="en-US"/>
        </w:rPr>
        <w:tab/>
        <w:t>FARMAKOLOŠKI PODACI</w:t>
      </w:r>
    </w:p>
    <w:p w:rsidR="006F5DA1" w:rsidRPr="00E942A7" w:rsidRDefault="006F5DA1" w:rsidP="006F5DA1">
      <w:pPr>
        <w:tabs>
          <w:tab w:val="left" w:pos="540"/>
          <w:tab w:val="left" w:pos="569"/>
        </w:tabs>
        <w:jc w:val="both"/>
        <w:rPr>
          <w:b/>
          <w:bCs/>
          <w:sz w:val="22"/>
          <w:szCs w:val="22"/>
          <w:lang w:val="en-US"/>
        </w:rPr>
      </w:pPr>
    </w:p>
    <w:p w:rsidR="006F5DA1" w:rsidRPr="00E942A7" w:rsidRDefault="006F5DA1" w:rsidP="006F5DA1">
      <w:pPr>
        <w:tabs>
          <w:tab w:val="left" w:pos="540"/>
          <w:tab w:val="left" w:pos="569"/>
        </w:tabs>
        <w:jc w:val="both"/>
        <w:rPr>
          <w:b/>
          <w:bCs/>
          <w:sz w:val="22"/>
          <w:szCs w:val="22"/>
          <w:lang w:val="en-US"/>
        </w:rPr>
      </w:pPr>
      <w:r w:rsidRPr="00E942A7">
        <w:rPr>
          <w:b/>
          <w:bCs/>
          <w:sz w:val="22"/>
          <w:szCs w:val="22"/>
          <w:lang w:val="en-US"/>
        </w:rPr>
        <w:t xml:space="preserve">5.1. </w:t>
      </w:r>
      <w:r w:rsidRPr="00E942A7">
        <w:rPr>
          <w:b/>
          <w:bCs/>
          <w:sz w:val="22"/>
          <w:szCs w:val="22"/>
          <w:lang w:val="en-US"/>
        </w:rPr>
        <w:tab/>
        <w:t>Farmakodinamski podaci</w:t>
      </w:r>
    </w:p>
    <w:p w:rsidR="006F5DA1" w:rsidRPr="00E942A7" w:rsidRDefault="006F5DA1" w:rsidP="006F5DA1">
      <w:pPr>
        <w:tabs>
          <w:tab w:val="left" w:pos="540"/>
          <w:tab w:val="left" w:pos="569"/>
        </w:tabs>
        <w:jc w:val="both"/>
        <w:rPr>
          <w:b/>
          <w:bCs/>
          <w:sz w:val="22"/>
          <w:szCs w:val="22"/>
          <w:lang w:val="en-US"/>
        </w:rPr>
      </w:pPr>
    </w:p>
    <w:p w:rsidR="006F5DA1" w:rsidRPr="00E942A7" w:rsidRDefault="006F5DA1" w:rsidP="006F5DA1">
      <w:pPr>
        <w:tabs>
          <w:tab w:val="left" w:pos="540"/>
          <w:tab w:val="left" w:pos="569"/>
        </w:tabs>
        <w:jc w:val="both"/>
        <w:rPr>
          <w:bCs/>
          <w:sz w:val="22"/>
          <w:szCs w:val="22"/>
          <w:lang w:val="pl-PL"/>
        </w:rPr>
      </w:pPr>
      <w:r w:rsidRPr="00E942A7">
        <w:rPr>
          <w:bCs/>
          <w:sz w:val="22"/>
          <w:szCs w:val="22"/>
          <w:lang w:val="pl-PL"/>
        </w:rPr>
        <w:t>Farmakoterapijska grupa:</w:t>
      </w:r>
      <w:r w:rsidRPr="00E942A7">
        <w:rPr>
          <w:sz w:val="22"/>
          <w:szCs w:val="22"/>
          <w:lang w:val="pl-PL"/>
        </w:rPr>
        <w:t xml:space="preserve"> </w:t>
      </w:r>
      <w:r w:rsidRPr="00E942A7">
        <w:rPr>
          <w:bCs/>
          <w:sz w:val="22"/>
          <w:szCs w:val="22"/>
          <w:lang w:val="pl-PL"/>
        </w:rPr>
        <w:t>Ljekovi u terapiji bolesti kostiju, bisfosofonati</w:t>
      </w:r>
    </w:p>
    <w:p w:rsidR="006F5DA1" w:rsidRPr="00E942A7" w:rsidRDefault="006F5DA1" w:rsidP="006F5DA1">
      <w:pPr>
        <w:tabs>
          <w:tab w:val="left" w:pos="540"/>
          <w:tab w:val="left" w:pos="569"/>
        </w:tabs>
        <w:jc w:val="both"/>
        <w:rPr>
          <w:bCs/>
          <w:sz w:val="22"/>
          <w:szCs w:val="22"/>
          <w:lang w:val="pl-PL"/>
        </w:rPr>
      </w:pPr>
    </w:p>
    <w:p w:rsidR="006F5DA1" w:rsidRPr="00E942A7" w:rsidRDefault="006F5DA1" w:rsidP="006F5DA1">
      <w:pPr>
        <w:tabs>
          <w:tab w:val="left" w:pos="540"/>
          <w:tab w:val="left" w:pos="569"/>
        </w:tabs>
        <w:jc w:val="both"/>
        <w:rPr>
          <w:bCs/>
          <w:sz w:val="22"/>
          <w:szCs w:val="22"/>
          <w:lang w:val="pl-PL"/>
        </w:rPr>
      </w:pPr>
      <w:r w:rsidRPr="00E942A7">
        <w:rPr>
          <w:bCs/>
          <w:sz w:val="22"/>
          <w:szCs w:val="22"/>
          <w:lang w:val="pl-PL"/>
        </w:rPr>
        <w:t>ATC kod:</w:t>
      </w:r>
      <w:r w:rsidRPr="00E942A7">
        <w:rPr>
          <w:sz w:val="22"/>
          <w:szCs w:val="22"/>
          <w:lang w:val="pl-PL"/>
        </w:rPr>
        <w:t xml:space="preserve"> </w:t>
      </w:r>
      <w:r w:rsidRPr="00E942A7">
        <w:rPr>
          <w:bCs/>
          <w:sz w:val="22"/>
          <w:szCs w:val="22"/>
          <w:lang w:val="pl-PL"/>
        </w:rPr>
        <w:t>M05BA08</w:t>
      </w:r>
    </w:p>
    <w:p w:rsidR="006F5DA1" w:rsidRPr="00E942A7" w:rsidRDefault="006F5DA1" w:rsidP="006F5DA1">
      <w:pPr>
        <w:shd w:val="clear" w:color="auto" w:fill="FFFFFF"/>
        <w:jc w:val="both"/>
        <w:rPr>
          <w:bCs/>
          <w:sz w:val="22"/>
          <w:szCs w:val="22"/>
          <w:lang w:val="pl-PL"/>
        </w:rPr>
      </w:pPr>
    </w:p>
    <w:p w:rsidR="006F5DA1" w:rsidRPr="00E942A7" w:rsidRDefault="006F5DA1" w:rsidP="006F5DA1">
      <w:pPr>
        <w:shd w:val="clear" w:color="auto" w:fill="FFFFFF"/>
        <w:jc w:val="both"/>
        <w:rPr>
          <w:spacing w:val="2"/>
          <w:sz w:val="22"/>
          <w:szCs w:val="22"/>
          <w:lang w:val="sr-Latn-CS"/>
        </w:rPr>
      </w:pPr>
      <w:r w:rsidRPr="00E942A7">
        <w:rPr>
          <w:spacing w:val="2"/>
          <w:sz w:val="22"/>
          <w:szCs w:val="22"/>
          <w:lang w:val="sr-Latn-CS"/>
        </w:rPr>
        <w:t>Zoledronska kiselina pripada klasi bisfosfonata i djeluje prvenstveno na kosti. Ona je inhibitor osteoklastne resorpcije kostiju.</w:t>
      </w:r>
    </w:p>
    <w:p w:rsidR="006F5DA1" w:rsidRPr="00E942A7" w:rsidRDefault="006F5DA1" w:rsidP="006F5DA1">
      <w:pPr>
        <w:shd w:val="clear" w:color="auto" w:fill="FFFFFF"/>
        <w:spacing w:before="240" w:line="235" w:lineRule="exact"/>
        <w:jc w:val="both"/>
        <w:rPr>
          <w:sz w:val="22"/>
          <w:szCs w:val="22"/>
          <w:lang w:val="sr-Latn-CS"/>
        </w:rPr>
      </w:pPr>
      <w:r w:rsidRPr="00E942A7">
        <w:rPr>
          <w:spacing w:val="2"/>
          <w:sz w:val="22"/>
          <w:szCs w:val="22"/>
          <w:lang w:val="sr-Latn-CS"/>
        </w:rPr>
        <w:t>Selektivno dejstvo bisfosfonata na kost se zasniva na njihovom visokom afinitetu za mineralizovanu kost, ali tačan</w:t>
      </w:r>
      <w:r w:rsidRPr="00E942A7">
        <w:rPr>
          <w:spacing w:val="3"/>
          <w:sz w:val="22"/>
          <w:szCs w:val="22"/>
          <w:lang w:val="sr-Latn-CS"/>
        </w:rPr>
        <w:t xml:space="preserve"> molekularni mehanizam koji dovodi do inhibicije osteoklastne aktivnosti još uvijek je nejasan. U dugotrajnim ispitivanjima sprovedenim na životinjama, zoledronska kiselina inhibira resorpciju kostiju bez neželjenih dejstava na oblik, </w:t>
      </w:r>
      <w:r w:rsidRPr="00E942A7">
        <w:rPr>
          <w:spacing w:val="2"/>
          <w:sz w:val="22"/>
          <w:szCs w:val="22"/>
          <w:lang w:val="sr-Latn-CS"/>
        </w:rPr>
        <w:t>mineralizaciju ili mehanička svojstva kostiju.</w:t>
      </w:r>
    </w:p>
    <w:p w:rsidR="006F5DA1" w:rsidRPr="00E942A7" w:rsidRDefault="006F5DA1" w:rsidP="006F5DA1">
      <w:pPr>
        <w:shd w:val="clear" w:color="auto" w:fill="FFFFFF"/>
        <w:spacing w:before="235" w:line="235" w:lineRule="exact"/>
        <w:jc w:val="both"/>
        <w:rPr>
          <w:spacing w:val="2"/>
          <w:sz w:val="22"/>
          <w:szCs w:val="22"/>
          <w:lang w:val="sr-Latn-CS"/>
        </w:rPr>
      </w:pPr>
      <w:r w:rsidRPr="00E942A7">
        <w:rPr>
          <w:spacing w:val="2"/>
          <w:sz w:val="22"/>
          <w:szCs w:val="22"/>
          <w:lang w:val="sr-Latn-CS"/>
        </w:rPr>
        <w:t xml:space="preserve">Osim što je moćan inhibitor resorpcije kostiju, zoledronska kiselina takođe posjeduje nekoliko antitumorskih </w:t>
      </w:r>
      <w:r w:rsidRPr="00E942A7">
        <w:rPr>
          <w:spacing w:val="3"/>
          <w:sz w:val="22"/>
          <w:szCs w:val="22"/>
          <w:lang w:val="sr-Latn-CS"/>
        </w:rPr>
        <w:t>svojstava koja mogu da doprinesu njenoj opštoj efikasnosti u liječenju metastatskih bolesti kostiju. U</w:t>
      </w:r>
      <w:r w:rsidRPr="00E942A7">
        <w:rPr>
          <w:spacing w:val="2"/>
          <w:sz w:val="22"/>
          <w:szCs w:val="22"/>
          <w:lang w:val="sr-Latn-CS"/>
        </w:rPr>
        <w:t xml:space="preserve"> pretkliničkim ispitivanjima</w:t>
      </w:r>
      <w:r w:rsidRPr="00E942A7">
        <w:rPr>
          <w:spacing w:val="3"/>
          <w:sz w:val="22"/>
          <w:szCs w:val="22"/>
          <w:lang w:val="sr-Latn-CS"/>
        </w:rPr>
        <w:t xml:space="preserve"> pokazana su sljedeća</w:t>
      </w:r>
      <w:r w:rsidRPr="00E942A7">
        <w:rPr>
          <w:spacing w:val="2"/>
          <w:sz w:val="22"/>
          <w:szCs w:val="22"/>
          <w:lang w:val="sr-Latn-CS"/>
        </w:rPr>
        <w:t xml:space="preserve"> svojstva:</w:t>
      </w:r>
    </w:p>
    <w:p w:rsidR="006F5DA1" w:rsidRPr="00E942A7" w:rsidRDefault="006F5DA1" w:rsidP="006F5DA1">
      <w:pPr>
        <w:widowControl w:val="0"/>
        <w:numPr>
          <w:ilvl w:val="0"/>
          <w:numId w:val="47"/>
        </w:numPr>
        <w:shd w:val="clear" w:color="auto" w:fill="FFFFFF"/>
        <w:autoSpaceDE w:val="0"/>
        <w:autoSpaceDN w:val="0"/>
        <w:adjustRightInd w:val="0"/>
        <w:spacing w:after="120" w:line="235" w:lineRule="exact"/>
        <w:ind w:left="567" w:hanging="425"/>
        <w:jc w:val="both"/>
        <w:rPr>
          <w:sz w:val="22"/>
          <w:szCs w:val="22"/>
          <w:lang w:val="sr-Latn-CS"/>
        </w:rPr>
      </w:pPr>
      <w:r w:rsidRPr="00E942A7">
        <w:rPr>
          <w:i/>
          <w:iCs/>
          <w:spacing w:val="2"/>
          <w:sz w:val="22"/>
          <w:szCs w:val="22"/>
          <w:lang w:val="sr-Latn-CS"/>
        </w:rPr>
        <w:t xml:space="preserve">In vivo: </w:t>
      </w:r>
      <w:r w:rsidRPr="00E942A7">
        <w:rPr>
          <w:spacing w:val="2"/>
          <w:sz w:val="22"/>
          <w:szCs w:val="22"/>
          <w:lang w:val="sr-Latn-CS"/>
        </w:rPr>
        <w:t>Inhibicija osteoklastne resorpcije kostiju, koja mijenja mikrookruženje kostne srži, čineći je manje pogodnom za rast</w:t>
      </w:r>
      <w:r w:rsidRPr="00E942A7">
        <w:rPr>
          <w:spacing w:val="3"/>
          <w:sz w:val="22"/>
          <w:szCs w:val="22"/>
          <w:lang w:val="sr-Latn-CS"/>
        </w:rPr>
        <w:t xml:space="preserve"> tumorskih ćelija, antiangiogenu aktivnost i analgetsku aktivnost.</w:t>
      </w:r>
    </w:p>
    <w:p w:rsidR="006F5DA1" w:rsidRPr="00E942A7" w:rsidRDefault="006F5DA1" w:rsidP="006F5DA1">
      <w:pPr>
        <w:widowControl w:val="0"/>
        <w:numPr>
          <w:ilvl w:val="0"/>
          <w:numId w:val="47"/>
        </w:numPr>
        <w:shd w:val="clear" w:color="auto" w:fill="FFFFFF"/>
        <w:autoSpaceDE w:val="0"/>
        <w:autoSpaceDN w:val="0"/>
        <w:adjustRightInd w:val="0"/>
        <w:spacing w:line="235" w:lineRule="exact"/>
        <w:ind w:left="567" w:hanging="425"/>
        <w:jc w:val="both"/>
        <w:rPr>
          <w:sz w:val="22"/>
          <w:szCs w:val="22"/>
          <w:lang w:val="sr-Latn-CS"/>
        </w:rPr>
      </w:pPr>
      <w:r w:rsidRPr="00E942A7">
        <w:rPr>
          <w:i/>
          <w:spacing w:val="3"/>
          <w:sz w:val="22"/>
          <w:szCs w:val="22"/>
          <w:lang w:val="sr-Latn-CS"/>
        </w:rPr>
        <w:t>I</w:t>
      </w:r>
      <w:r w:rsidRPr="00E942A7">
        <w:rPr>
          <w:i/>
          <w:iCs/>
          <w:spacing w:val="2"/>
          <w:sz w:val="22"/>
          <w:szCs w:val="22"/>
          <w:lang w:val="sr-Latn-CS"/>
        </w:rPr>
        <w:t xml:space="preserve">n vitro: </w:t>
      </w:r>
      <w:r w:rsidRPr="00E942A7">
        <w:rPr>
          <w:spacing w:val="2"/>
          <w:sz w:val="22"/>
          <w:szCs w:val="22"/>
          <w:lang w:val="sr-Latn-CS"/>
        </w:rPr>
        <w:t>Inhibicija osteoblastne proliferacije, direktna citostatska i pro-apoptozna aktivnost na tumorske ćelije, sinergistički citostatski efekat sa drugim antikancerskim ljekovima, antiadheziona/invazivna aktivnost.</w:t>
      </w:r>
    </w:p>
    <w:p w:rsidR="006F5DA1" w:rsidRPr="00E942A7" w:rsidRDefault="006F5DA1" w:rsidP="006F5DA1">
      <w:pPr>
        <w:shd w:val="clear" w:color="auto" w:fill="FFFFFF"/>
        <w:spacing w:before="235" w:line="235" w:lineRule="exact"/>
        <w:ind w:right="384"/>
        <w:jc w:val="both"/>
        <w:rPr>
          <w:sz w:val="22"/>
          <w:szCs w:val="22"/>
          <w:lang w:val="sr-Latn-CS"/>
        </w:rPr>
      </w:pPr>
      <w:r w:rsidRPr="00E942A7">
        <w:rPr>
          <w:spacing w:val="2"/>
          <w:sz w:val="22"/>
          <w:szCs w:val="22"/>
          <w:u w:val="single"/>
          <w:lang w:val="sr-Latn-CS"/>
        </w:rPr>
        <w:t>Rezultati kliničkih ispitivanja u prevenciji komplikacija na kostima kod pacijenata sa uznapredovalim malignitetima koji zahvataju kosti</w:t>
      </w:r>
    </w:p>
    <w:p w:rsidR="006F5DA1" w:rsidRPr="00E942A7" w:rsidRDefault="006F5DA1" w:rsidP="006F5DA1">
      <w:pPr>
        <w:shd w:val="clear" w:color="auto" w:fill="FFFFFF"/>
        <w:spacing w:line="235" w:lineRule="exact"/>
        <w:jc w:val="both"/>
        <w:rPr>
          <w:spacing w:val="2"/>
          <w:sz w:val="22"/>
          <w:szCs w:val="22"/>
          <w:lang w:val="sr-Latn-CS"/>
        </w:rPr>
      </w:pPr>
    </w:p>
    <w:p w:rsidR="006F5DA1" w:rsidRPr="00E942A7" w:rsidRDefault="006F5DA1" w:rsidP="006F5DA1">
      <w:pPr>
        <w:shd w:val="clear" w:color="auto" w:fill="FFFFFF"/>
        <w:spacing w:line="235" w:lineRule="exact"/>
        <w:jc w:val="both"/>
        <w:rPr>
          <w:b/>
          <w:spacing w:val="2"/>
          <w:sz w:val="22"/>
          <w:szCs w:val="22"/>
          <w:lang w:val="sr-Latn-CS"/>
        </w:rPr>
      </w:pPr>
      <w:r w:rsidRPr="00E942A7">
        <w:rPr>
          <w:spacing w:val="2"/>
          <w:sz w:val="22"/>
          <w:szCs w:val="22"/>
          <w:lang w:val="sr-Latn-CS"/>
        </w:rPr>
        <w:t xml:space="preserve">Prva randomizovana, dvostruko-slijepa, placebo-kontrolisana studija poredila je 4 mg zoledronske kiseline sa placebom u prevenciji komplikacija vezanih za kosti </w:t>
      </w:r>
      <w:r w:rsidRPr="00E942A7">
        <w:rPr>
          <w:spacing w:val="3"/>
          <w:sz w:val="22"/>
          <w:szCs w:val="22"/>
          <w:lang w:val="sr-Latn-CS"/>
        </w:rPr>
        <w:t>kod pacijenata sa karcinomom prostate. Zoledronska kiselina u dozi od 4 mg značajno je smanjila procenat</w:t>
      </w:r>
      <w:r w:rsidRPr="00E942A7">
        <w:rPr>
          <w:spacing w:val="2"/>
          <w:sz w:val="22"/>
          <w:szCs w:val="22"/>
          <w:lang w:val="sr-Latn-CS"/>
        </w:rPr>
        <w:t xml:space="preserve"> pacijenata koji su imali najmanje jednu komplikaciju vezanu za kosti, produžila je srednje vrijeme do prve komplikacije vezane za kosti</w:t>
      </w:r>
      <w:r w:rsidRPr="00E942A7">
        <w:rPr>
          <w:spacing w:val="3"/>
          <w:sz w:val="22"/>
          <w:szCs w:val="22"/>
          <w:lang w:val="sr-Latn-CS"/>
        </w:rPr>
        <w:t xml:space="preserve"> za &gt; 5 mjeseci, i smanjila godišnju incidencu događaja po pacijentu – stopa skeletnog morbiditeta. Analiza višestrukih događaja pokazala je 36% smanjenja rizika od razvoja komplikacija vezanih za kosti u grupi koja je primala 4 mg zoledronske kiseline u poređenju sa placebom. Pacijenti koji su primali 4 mg zoledronske kiseline prijavili su manji porast intenziteta bola od onih na placebu, a razlike su postale značajne u 3., 9., 21. i 24. mjesecu. Manji broj pacijenata, koji su dobijali 4 mg zoledronske kiseline,</w:t>
      </w:r>
      <w:r w:rsidRPr="00E942A7">
        <w:rPr>
          <w:spacing w:val="2"/>
          <w:sz w:val="22"/>
          <w:szCs w:val="22"/>
          <w:vertAlign w:val="superscript"/>
          <w:lang w:val="sr-Latn-CS"/>
        </w:rPr>
        <w:t xml:space="preserve"> </w:t>
      </w:r>
      <w:r w:rsidRPr="00E942A7">
        <w:rPr>
          <w:spacing w:val="2"/>
          <w:sz w:val="22"/>
          <w:szCs w:val="22"/>
          <w:lang w:val="sr-Latn-CS"/>
        </w:rPr>
        <w:t xml:space="preserve">imalo je </w:t>
      </w:r>
      <w:r w:rsidRPr="00E942A7">
        <w:rPr>
          <w:spacing w:val="3"/>
          <w:sz w:val="22"/>
          <w:szCs w:val="22"/>
          <w:lang w:val="sr-Latn-CS"/>
        </w:rPr>
        <w:t>patološke frakture. Efekti terapije bili su manje izraženi kod pacijenata sa blastnim lezijama. Rezultati efikasnosti dati su u</w:t>
      </w:r>
      <w:r w:rsidRPr="00E942A7">
        <w:rPr>
          <w:spacing w:val="2"/>
          <w:sz w:val="22"/>
          <w:szCs w:val="22"/>
          <w:lang w:val="sr-Latn-CS"/>
        </w:rPr>
        <w:t xml:space="preserve"> </w:t>
      </w:r>
      <w:r w:rsidRPr="00E942A7">
        <w:rPr>
          <w:b/>
          <w:spacing w:val="2"/>
          <w:sz w:val="22"/>
          <w:szCs w:val="22"/>
          <w:lang w:val="sr-Latn-CS"/>
        </w:rPr>
        <w:t>Tabeli 2.</w:t>
      </w:r>
    </w:p>
    <w:p w:rsidR="006F5DA1" w:rsidRPr="00E942A7" w:rsidRDefault="006F5DA1" w:rsidP="006F5DA1">
      <w:pPr>
        <w:shd w:val="clear" w:color="auto" w:fill="FFFFFF"/>
        <w:spacing w:line="235" w:lineRule="exact"/>
        <w:jc w:val="both"/>
        <w:rPr>
          <w:b/>
          <w:spacing w:val="2"/>
          <w:sz w:val="22"/>
          <w:szCs w:val="22"/>
          <w:lang w:val="sr-Latn-CS"/>
        </w:rPr>
      </w:pPr>
    </w:p>
    <w:p w:rsidR="006F5DA1" w:rsidRPr="00E942A7" w:rsidRDefault="006F5DA1" w:rsidP="006F5DA1">
      <w:pPr>
        <w:tabs>
          <w:tab w:val="left" w:pos="540"/>
          <w:tab w:val="left" w:pos="569"/>
        </w:tabs>
        <w:jc w:val="both"/>
        <w:rPr>
          <w:b/>
          <w:spacing w:val="3"/>
          <w:sz w:val="22"/>
          <w:szCs w:val="22"/>
          <w:lang w:val="sr-Latn-CS"/>
        </w:rPr>
      </w:pPr>
      <w:r w:rsidRPr="00E942A7">
        <w:rPr>
          <w:spacing w:val="2"/>
          <w:sz w:val="22"/>
          <w:szCs w:val="22"/>
          <w:lang w:val="sr-Latn-CS"/>
        </w:rPr>
        <w:t>U drugoj studiji koja je uključivala solidne tumore, ali bez karcinoma dojke i prostate,  zoledronska kiselina je u dozi od 4 mg značajno smanjila procenat pacijenata sa komplikacijama na kostima, odložila prosječno vrijeme do prve komplikacije na kostima za &gt; 2 mjeseca i smanjila</w:t>
      </w:r>
      <w:r w:rsidRPr="00E942A7">
        <w:rPr>
          <w:spacing w:val="3"/>
          <w:sz w:val="22"/>
          <w:szCs w:val="22"/>
          <w:lang w:val="sr-Latn-CS"/>
        </w:rPr>
        <w:t xml:space="preserve"> skeletnu stopu morbiditeta. Analiza višestrukih događaja pokazala je 30,7% smanjenja rizika od razvoja komplikacija na kostima u grupi sa zoledronskom kiselinom u poređenju sa placebom. Rezultati efikasnosti dati su u</w:t>
      </w:r>
      <w:r w:rsidRPr="00E942A7">
        <w:rPr>
          <w:spacing w:val="2"/>
          <w:sz w:val="22"/>
          <w:szCs w:val="22"/>
          <w:lang w:val="sr-Latn-CS"/>
        </w:rPr>
        <w:t xml:space="preserve"> </w:t>
      </w:r>
      <w:r w:rsidRPr="00E942A7">
        <w:rPr>
          <w:b/>
          <w:spacing w:val="3"/>
          <w:sz w:val="22"/>
          <w:szCs w:val="22"/>
          <w:lang w:val="sr-Latn-CS"/>
        </w:rPr>
        <w:t>Tabeli 3.</w:t>
      </w:r>
    </w:p>
    <w:p w:rsidR="006F5DA1" w:rsidRPr="00E942A7" w:rsidRDefault="006F5DA1" w:rsidP="006F5DA1">
      <w:pPr>
        <w:shd w:val="clear" w:color="auto" w:fill="FFFFFF"/>
        <w:spacing w:before="120"/>
        <w:jc w:val="both"/>
        <w:rPr>
          <w:spacing w:val="3"/>
          <w:sz w:val="22"/>
          <w:szCs w:val="22"/>
          <w:lang w:val="sr-Latn-CS"/>
        </w:rPr>
      </w:pPr>
      <w:r w:rsidRPr="00E942A7">
        <w:rPr>
          <w:b/>
          <w:bCs/>
          <w:spacing w:val="3"/>
          <w:sz w:val="22"/>
          <w:szCs w:val="22"/>
          <w:lang w:val="sr-Latn-CS"/>
        </w:rPr>
        <w:t xml:space="preserve">Tabela 2: </w:t>
      </w:r>
      <w:r w:rsidRPr="00E942A7">
        <w:rPr>
          <w:spacing w:val="3"/>
          <w:sz w:val="22"/>
          <w:szCs w:val="22"/>
          <w:lang w:val="sr-Latn-CS"/>
        </w:rPr>
        <w:t>Rezultati efikasnosti (pacijenti sa karcinomom prostate koji primaju hormonsku terapiju)</w:t>
      </w:r>
    </w:p>
    <w:p w:rsidR="006F5DA1" w:rsidRPr="00E942A7" w:rsidRDefault="006F5DA1" w:rsidP="006F5DA1">
      <w:pPr>
        <w:shd w:val="clear" w:color="auto" w:fill="FFFFFF"/>
        <w:spacing w:before="120"/>
        <w:jc w:val="both"/>
        <w:rPr>
          <w:sz w:val="22"/>
          <w:szCs w:val="22"/>
          <w:lang w:val="sr-Latn-CS"/>
        </w:rPr>
      </w:pPr>
    </w:p>
    <w:tbl>
      <w:tblPr>
        <w:tblW w:w="0" w:type="auto"/>
        <w:jc w:val="center"/>
        <w:tblLayout w:type="fixed"/>
        <w:tblCellMar>
          <w:left w:w="40" w:type="dxa"/>
          <w:right w:w="40" w:type="dxa"/>
        </w:tblCellMar>
        <w:tblLook w:val="0000" w:firstRow="0" w:lastRow="0" w:firstColumn="0" w:lastColumn="0" w:noHBand="0" w:noVBand="0"/>
      </w:tblPr>
      <w:tblGrid>
        <w:gridCol w:w="2045"/>
        <w:gridCol w:w="1332"/>
        <w:gridCol w:w="1065"/>
        <w:gridCol w:w="1199"/>
        <w:gridCol w:w="929"/>
        <w:gridCol w:w="1065"/>
        <w:gridCol w:w="949"/>
      </w:tblGrid>
      <w:tr w:rsidR="006F5DA1" w:rsidRPr="00E942A7" w:rsidTr="001F5CB2">
        <w:trPr>
          <w:trHeight w:val="810"/>
          <w:jc w:val="center"/>
        </w:trPr>
        <w:tc>
          <w:tcPr>
            <w:tcW w:w="2045" w:type="dxa"/>
            <w:tcBorders>
              <w:top w:val="single" w:sz="6" w:space="0" w:color="auto"/>
              <w:left w:val="single" w:sz="6" w:space="0" w:color="auto"/>
              <w:bottom w:val="nil"/>
              <w:right w:val="single" w:sz="6" w:space="0" w:color="auto"/>
            </w:tcBorders>
            <w:shd w:val="clear" w:color="auto" w:fill="FFFFFF"/>
          </w:tcPr>
          <w:p w:rsidR="006F5DA1" w:rsidRPr="00E942A7" w:rsidRDefault="006F5DA1" w:rsidP="006F5DA1">
            <w:pPr>
              <w:rPr>
                <w:sz w:val="22"/>
                <w:szCs w:val="22"/>
                <w:lang w:val="sr-Latn-CS"/>
              </w:rPr>
            </w:pPr>
          </w:p>
        </w:tc>
        <w:tc>
          <w:tcPr>
            <w:tcW w:w="2396" w:type="dxa"/>
            <w:gridSpan w:val="2"/>
            <w:tcBorders>
              <w:top w:val="single" w:sz="6" w:space="0" w:color="auto"/>
              <w:left w:val="single" w:sz="6" w:space="0" w:color="auto"/>
              <w:right w:val="single" w:sz="6" w:space="0" w:color="auto"/>
            </w:tcBorders>
            <w:shd w:val="clear" w:color="auto" w:fill="FFFFFF"/>
          </w:tcPr>
          <w:p w:rsidR="006F5DA1" w:rsidRPr="00E942A7" w:rsidRDefault="006F5DA1" w:rsidP="006F5DA1">
            <w:pPr>
              <w:rPr>
                <w:sz w:val="22"/>
                <w:szCs w:val="22"/>
                <w:lang w:val="sr-Latn-CS"/>
              </w:rPr>
            </w:pPr>
            <w:r w:rsidRPr="00E942A7">
              <w:rPr>
                <w:sz w:val="22"/>
                <w:szCs w:val="22"/>
                <w:lang w:val="sr-Latn-CS"/>
              </w:rPr>
              <w:t>Bilo koja komplikacija na kostima (+TIH)</w:t>
            </w:r>
          </w:p>
        </w:tc>
        <w:tc>
          <w:tcPr>
            <w:tcW w:w="2128" w:type="dxa"/>
            <w:gridSpan w:val="2"/>
            <w:tcBorders>
              <w:top w:val="single" w:sz="6" w:space="0" w:color="auto"/>
              <w:left w:val="single" w:sz="6" w:space="0" w:color="auto"/>
              <w:right w:val="single" w:sz="6" w:space="0" w:color="auto"/>
            </w:tcBorders>
            <w:shd w:val="clear" w:color="auto" w:fill="FFFFFF"/>
          </w:tcPr>
          <w:p w:rsidR="006F5DA1" w:rsidRPr="00E942A7" w:rsidRDefault="006F5DA1" w:rsidP="006F5DA1">
            <w:pPr>
              <w:rPr>
                <w:sz w:val="22"/>
                <w:szCs w:val="22"/>
                <w:lang w:val="sr-Latn-CS"/>
              </w:rPr>
            </w:pPr>
            <w:r w:rsidRPr="00E942A7">
              <w:rPr>
                <w:sz w:val="22"/>
                <w:szCs w:val="22"/>
                <w:lang w:val="sr-Latn-CS"/>
              </w:rPr>
              <w:t>Frakture*</w:t>
            </w:r>
          </w:p>
        </w:tc>
        <w:tc>
          <w:tcPr>
            <w:tcW w:w="2014" w:type="dxa"/>
            <w:gridSpan w:val="2"/>
            <w:tcBorders>
              <w:top w:val="single" w:sz="6" w:space="0" w:color="auto"/>
              <w:left w:val="single" w:sz="6" w:space="0" w:color="auto"/>
              <w:right w:val="single" w:sz="6" w:space="0" w:color="auto"/>
            </w:tcBorders>
            <w:shd w:val="clear" w:color="auto" w:fill="FFFFFF"/>
          </w:tcPr>
          <w:p w:rsidR="006F5DA1" w:rsidRPr="00E942A7" w:rsidRDefault="006F5DA1" w:rsidP="006F5DA1">
            <w:pPr>
              <w:rPr>
                <w:sz w:val="22"/>
                <w:szCs w:val="22"/>
                <w:lang w:val="sr-Latn-CS"/>
              </w:rPr>
            </w:pPr>
            <w:r w:rsidRPr="00E942A7">
              <w:rPr>
                <w:spacing w:val="1"/>
                <w:sz w:val="22"/>
                <w:szCs w:val="22"/>
                <w:lang w:val="sr-Latn-CS"/>
              </w:rPr>
              <w:t>Radijaciona terapija</w:t>
            </w:r>
          </w:p>
          <w:p w:rsidR="006F5DA1" w:rsidRPr="00E942A7" w:rsidRDefault="006F5DA1" w:rsidP="006F5DA1">
            <w:pPr>
              <w:rPr>
                <w:sz w:val="22"/>
                <w:szCs w:val="22"/>
                <w:lang w:val="sr-Latn-CS"/>
              </w:rPr>
            </w:pPr>
            <w:r w:rsidRPr="00E942A7">
              <w:rPr>
                <w:sz w:val="22"/>
                <w:szCs w:val="22"/>
                <w:lang w:val="sr-Latn-CS"/>
              </w:rPr>
              <w:t>kosti</w:t>
            </w:r>
          </w:p>
        </w:tc>
      </w:tr>
      <w:tr w:rsidR="006F5DA1" w:rsidRPr="00E942A7" w:rsidTr="001F5CB2">
        <w:trPr>
          <w:trHeight w:hRule="exact" w:val="817"/>
          <w:jc w:val="center"/>
        </w:trPr>
        <w:tc>
          <w:tcPr>
            <w:tcW w:w="2045" w:type="dxa"/>
            <w:tcBorders>
              <w:top w:val="single" w:sz="6" w:space="0" w:color="auto"/>
              <w:left w:val="single" w:sz="6" w:space="0" w:color="auto"/>
              <w:bottom w:val="single" w:sz="6" w:space="0" w:color="auto"/>
              <w:right w:val="single" w:sz="6" w:space="0" w:color="auto"/>
            </w:tcBorders>
            <w:shd w:val="clear" w:color="auto" w:fill="FFFFFF"/>
          </w:tcPr>
          <w:p w:rsidR="006F5DA1" w:rsidRPr="00E942A7" w:rsidRDefault="006F5DA1" w:rsidP="006F5DA1">
            <w:pPr>
              <w:rPr>
                <w:sz w:val="22"/>
                <w:szCs w:val="22"/>
                <w:lang w:val="sr-Latn-CS"/>
              </w:rPr>
            </w:pPr>
          </w:p>
        </w:tc>
        <w:tc>
          <w:tcPr>
            <w:tcW w:w="1332" w:type="dxa"/>
            <w:tcBorders>
              <w:top w:val="single" w:sz="6" w:space="0" w:color="auto"/>
              <w:left w:val="single" w:sz="6" w:space="0" w:color="auto"/>
              <w:bottom w:val="single" w:sz="6" w:space="0" w:color="auto"/>
              <w:right w:val="single" w:sz="6" w:space="0" w:color="auto"/>
            </w:tcBorders>
            <w:shd w:val="clear" w:color="auto" w:fill="FFFFFF"/>
          </w:tcPr>
          <w:p w:rsidR="006F5DA1" w:rsidRPr="00E942A7" w:rsidRDefault="006F5DA1" w:rsidP="006F5DA1">
            <w:pPr>
              <w:rPr>
                <w:sz w:val="22"/>
                <w:szCs w:val="22"/>
                <w:lang w:val="sr-Latn-CS"/>
              </w:rPr>
            </w:pPr>
            <w:r w:rsidRPr="00E942A7">
              <w:rPr>
                <w:spacing w:val="2"/>
                <w:sz w:val="22"/>
                <w:szCs w:val="22"/>
                <w:lang w:val="sr-Latn-CS"/>
              </w:rPr>
              <w:t xml:space="preserve"> 4mg zoledronske kiseline </w:t>
            </w:r>
          </w:p>
        </w:tc>
        <w:tc>
          <w:tcPr>
            <w:tcW w:w="1065" w:type="dxa"/>
            <w:tcBorders>
              <w:top w:val="single" w:sz="6" w:space="0" w:color="auto"/>
              <w:left w:val="single" w:sz="6" w:space="0" w:color="auto"/>
              <w:bottom w:val="single" w:sz="6" w:space="0" w:color="auto"/>
              <w:right w:val="single" w:sz="6" w:space="0" w:color="auto"/>
            </w:tcBorders>
            <w:shd w:val="clear" w:color="auto" w:fill="FFFFFF"/>
          </w:tcPr>
          <w:p w:rsidR="006F5DA1" w:rsidRPr="00E942A7" w:rsidRDefault="006F5DA1" w:rsidP="006F5DA1">
            <w:pPr>
              <w:rPr>
                <w:sz w:val="22"/>
                <w:szCs w:val="22"/>
                <w:lang w:val="sr-Latn-CS"/>
              </w:rPr>
            </w:pPr>
            <w:r w:rsidRPr="00E942A7">
              <w:rPr>
                <w:sz w:val="22"/>
                <w:szCs w:val="22"/>
                <w:lang w:val="sr-Latn-CS"/>
              </w:rPr>
              <w:t>Placebo</w:t>
            </w:r>
          </w:p>
        </w:tc>
        <w:tc>
          <w:tcPr>
            <w:tcW w:w="1199" w:type="dxa"/>
            <w:tcBorders>
              <w:top w:val="single" w:sz="6" w:space="0" w:color="auto"/>
              <w:left w:val="single" w:sz="6" w:space="0" w:color="auto"/>
              <w:bottom w:val="single" w:sz="6" w:space="0" w:color="auto"/>
              <w:right w:val="single" w:sz="6" w:space="0" w:color="auto"/>
            </w:tcBorders>
            <w:shd w:val="clear" w:color="auto" w:fill="FFFFFF"/>
          </w:tcPr>
          <w:p w:rsidR="006F5DA1" w:rsidRPr="00E942A7" w:rsidRDefault="006F5DA1" w:rsidP="006F5DA1">
            <w:pPr>
              <w:rPr>
                <w:sz w:val="22"/>
                <w:szCs w:val="22"/>
                <w:lang w:val="sr-Latn-CS"/>
              </w:rPr>
            </w:pPr>
            <w:r w:rsidRPr="00E942A7">
              <w:rPr>
                <w:spacing w:val="2"/>
                <w:sz w:val="22"/>
                <w:szCs w:val="22"/>
                <w:lang w:val="sr-Latn-CS"/>
              </w:rPr>
              <w:t xml:space="preserve"> 4mg zoledronske kiseline</w:t>
            </w:r>
          </w:p>
        </w:tc>
        <w:tc>
          <w:tcPr>
            <w:tcW w:w="929" w:type="dxa"/>
            <w:tcBorders>
              <w:top w:val="single" w:sz="6" w:space="0" w:color="auto"/>
              <w:left w:val="single" w:sz="6" w:space="0" w:color="auto"/>
              <w:bottom w:val="single" w:sz="6" w:space="0" w:color="auto"/>
              <w:right w:val="single" w:sz="6" w:space="0" w:color="auto"/>
            </w:tcBorders>
            <w:shd w:val="clear" w:color="auto" w:fill="FFFFFF"/>
          </w:tcPr>
          <w:p w:rsidR="006F5DA1" w:rsidRPr="00E942A7" w:rsidRDefault="006F5DA1" w:rsidP="006F5DA1">
            <w:pPr>
              <w:rPr>
                <w:sz w:val="22"/>
                <w:szCs w:val="22"/>
                <w:lang w:val="sr-Latn-CS"/>
              </w:rPr>
            </w:pPr>
            <w:r w:rsidRPr="00E942A7">
              <w:rPr>
                <w:sz w:val="22"/>
                <w:szCs w:val="22"/>
                <w:lang w:val="sr-Latn-CS"/>
              </w:rPr>
              <w:t>Placebo</w:t>
            </w:r>
          </w:p>
        </w:tc>
        <w:tc>
          <w:tcPr>
            <w:tcW w:w="1065" w:type="dxa"/>
            <w:tcBorders>
              <w:top w:val="single" w:sz="6" w:space="0" w:color="auto"/>
              <w:left w:val="single" w:sz="6" w:space="0" w:color="auto"/>
              <w:bottom w:val="single" w:sz="6" w:space="0" w:color="auto"/>
              <w:right w:val="single" w:sz="6" w:space="0" w:color="auto"/>
            </w:tcBorders>
            <w:shd w:val="clear" w:color="auto" w:fill="FFFFFF"/>
          </w:tcPr>
          <w:p w:rsidR="006F5DA1" w:rsidRPr="00E942A7" w:rsidRDefault="006F5DA1" w:rsidP="006F5DA1">
            <w:pPr>
              <w:rPr>
                <w:sz w:val="22"/>
                <w:szCs w:val="22"/>
                <w:lang w:val="sr-Latn-CS"/>
              </w:rPr>
            </w:pPr>
            <w:r w:rsidRPr="00E942A7">
              <w:rPr>
                <w:spacing w:val="1"/>
                <w:sz w:val="22"/>
                <w:szCs w:val="22"/>
                <w:lang w:val="sr-Latn-CS"/>
              </w:rPr>
              <w:t xml:space="preserve"> </w:t>
            </w:r>
            <w:r w:rsidRPr="00E942A7">
              <w:rPr>
                <w:spacing w:val="2"/>
                <w:sz w:val="22"/>
                <w:szCs w:val="22"/>
                <w:lang w:val="sr-Latn-CS"/>
              </w:rPr>
              <w:t>4mg zoledronske kiseline</w:t>
            </w:r>
          </w:p>
        </w:tc>
        <w:tc>
          <w:tcPr>
            <w:tcW w:w="949" w:type="dxa"/>
            <w:tcBorders>
              <w:top w:val="single" w:sz="6" w:space="0" w:color="auto"/>
              <w:left w:val="single" w:sz="6" w:space="0" w:color="auto"/>
              <w:bottom w:val="single" w:sz="6" w:space="0" w:color="auto"/>
              <w:right w:val="single" w:sz="6" w:space="0" w:color="auto"/>
            </w:tcBorders>
            <w:shd w:val="clear" w:color="auto" w:fill="FFFFFF"/>
          </w:tcPr>
          <w:p w:rsidR="006F5DA1" w:rsidRPr="00E942A7" w:rsidRDefault="006F5DA1" w:rsidP="006F5DA1">
            <w:pPr>
              <w:rPr>
                <w:sz w:val="22"/>
                <w:szCs w:val="22"/>
                <w:lang w:val="sr-Latn-CS"/>
              </w:rPr>
            </w:pPr>
            <w:r w:rsidRPr="00E942A7">
              <w:rPr>
                <w:sz w:val="22"/>
                <w:szCs w:val="22"/>
                <w:lang w:val="sr-Latn-CS"/>
              </w:rPr>
              <w:t>Placebo</w:t>
            </w:r>
          </w:p>
        </w:tc>
      </w:tr>
      <w:tr w:rsidR="006F5DA1" w:rsidRPr="00E942A7" w:rsidTr="001F5CB2">
        <w:trPr>
          <w:trHeight w:hRule="exact" w:val="409"/>
          <w:jc w:val="center"/>
        </w:trPr>
        <w:tc>
          <w:tcPr>
            <w:tcW w:w="2045" w:type="dxa"/>
            <w:tcBorders>
              <w:top w:val="single" w:sz="6" w:space="0" w:color="auto"/>
              <w:left w:val="single" w:sz="6" w:space="0" w:color="auto"/>
              <w:bottom w:val="single" w:sz="6" w:space="0" w:color="auto"/>
              <w:right w:val="single" w:sz="6" w:space="0" w:color="auto"/>
            </w:tcBorders>
            <w:shd w:val="clear" w:color="auto" w:fill="FFFFFF"/>
          </w:tcPr>
          <w:p w:rsidR="006F5DA1" w:rsidRPr="00E942A7" w:rsidRDefault="006F5DA1" w:rsidP="006F5DA1">
            <w:pPr>
              <w:rPr>
                <w:sz w:val="22"/>
                <w:szCs w:val="22"/>
                <w:lang w:val="sr-Latn-CS"/>
              </w:rPr>
            </w:pPr>
            <w:r w:rsidRPr="00E942A7">
              <w:rPr>
                <w:sz w:val="22"/>
                <w:szCs w:val="22"/>
                <w:lang w:val="sr-Latn-CS"/>
              </w:rPr>
              <w:t>N</w:t>
            </w:r>
          </w:p>
        </w:tc>
        <w:tc>
          <w:tcPr>
            <w:tcW w:w="1332" w:type="dxa"/>
            <w:tcBorders>
              <w:top w:val="single" w:sz="6" w:space="0" w:color="auto"/>
              <w:left w:val="single" w:sz="6" w:space="0" w:color="auto"/>
              <w:bottom w:val="single" w:sz="6" w:space="0" w:color="auto"/>
              <w:right w:val="single" w:sz="6" w:space="0" w:color="auto"/>
            </w:tcBorders>
            <w:shd w:val="clear" w:color="auto" w:fill="FFFFFF"/>
          </w:tcPr>
          <w:p w:rsidR="006F5DA1" w:rsidRPr="00E942A7" w:rsidRDefault="006F5DA1" w:rsidP="006F5DA1">
            <w:pPr>
              <w:rPr>
                <w:sz w:val="22"/>
                <w:szCs w:val="22"/>
                <w:lang w:val="sr-Latn-CS"/>
              </w:rPr>
            </w:pPr>
            <w:r w:rsidRPr="00E942A7">
              <w:rPr>
                <w:sz w:val="22"/>
                <w:szCs w:val="22"/>
                <w:lang w:val="sr-Latn-CS"/>
              </w:rPr>
              <w:t>214</w:t>
            </w:r>
          </w:p>
        </w:tc>
        <w:tc>
          <w:tcPr>
            <w:tcW w:w="1065" w:type="dxa"/>
            <w:tcBorders>
              <w:top w:val="single" w:sz="6" w:space="0" w:color="auto"/>
              <w:left w:val="single" w:sz="6" w:space="0" w:color="auto"/>
              <w:bottom w:val="single" w:sz="6" w:space="0" w:color="auto"/>
              <w:right w:val="single" w:sz="6" w:space="0" w:color="auto"/>
            </w:tcBorders>
            <w:shd w:val="clear" w:color="auto" w:fill="FFFFFF"/>
          </w:tcPr>
          <w:p w:rsidR="006F5DA1" w:rsidRPr="00E942A7" w:rsidRDefault="006F5DA1" w:rsidP="006F5DA1">
            <w:pPr>
              <w:rPr>
                <w:sz w:val="22"/>
                <w:szCs w:val="22"/>
                <w:lang w:val="sr-Latn-CS"/>
              </w:rPr>
            </w:pPr>
            <w:r w:rsidRPr="00E942A7">
              <w:rPr>
                <w:sz w:val="22"/>
                <w:szCs w:val="22"/>
                <w:lang w:val="sr-Latn-CS"/>
              </w:rPr>
              <w:t>208</w:t>
            </w:r>
          </w:p>
        </w:tc>
        <w:tc>
          <w:tcPr>
            <w:tcW w:w="1199" w:type="dxa"/>
            <w:tcBorders>
              <w:top w:val="single" w:sz="6" w:space="0" w:color="auto"/>
              <w:left w:val="single" w:sz="6" w:space="0" w:color="auto"/>
              <w:bottom w:val="single" w:sz="6" w:space="0" w:color="auto"/>
              <w:right w:val="single" w:sz="6" w:space="0" w:color="auto"/>
            </w:tcBorders>
            <w:shd w:val="clear" w:color="auto" w:fill="FFFFFF"/>
          </w:tcPr>
          <w:p w:rsidR="006F5DA1" w:rsidRPr="00E942A7" w:rsidRDefault="006F5DA1" w:rsidP="006F5DA1">
            <w:pPr>
              <w:rPr>
                <w:sz w:val="22"/>
                <w:szCs w:val="22"/>
                <w:lang w:val="sr-Latn-CS"/>
              </w:rPr>
            </w:pPr>
            <w:r w:rsidRPr="00E942A7">
              <w:rPr>
                <w:sz w:val="22"/>
                <w:szCs w:val="22"/>
                <w:lang w:val="sr-Latn-CS"/>
              </w:rPr>
              <w:t>214</w:t>
            </w:r>
          </w:p>
        </w:tc>
        <w:tc>
          <w:tcPr>
            <w:tcW w:w="929" w:type="dxa"/>
            <w:tcBorders>
              <w:top w:val="single" w:sz="6" w:space="0" w:color="auto"/>
              <w:left w:val="single" w:sz="6" w:space="0" w:color="auto"/>
              <w:bottom w:val="single" w:sz="6" w:space="0" w:color="auto"/>
              <w:right w:val="single" w:sz="6" w:space="0" w:color="auto"/>
            </w:tcBorders>
            <w:shd w:val="clear" w:color="auto" w:fill="FFFFFF"/>
          </w:tcPr>
          <w:p w:rsidR="006F5DA1" w:rsidRPr="00E942A7" w:rsidRDefault="006F5DA1" w:rsidP="006F5DA1">
            <w:pPr>
              <w:rPr>
                <w:sz w:val="22"/>
                <w:szCs w:val="22"/>
                <w:lang w:val="sr-Latn-CS"/>
              </w:rPr>
            </w:pPr>
            <w:r w:rsidRPr="00E942A7">
              <w:rPr>
                <w:sz w:val="22"/>
                <w:szCs w:val="22"/>
                <w:lang w:val="sr-Latn-CS"/>
              </w:rPr>
              <w:t>208</w:t>
            </w:r>
          </w:p>
        </w:tc>
        <w:tc>
          <w:tcPr>
            <w:tcW w:w="1065" w:type="dxa"/>
            <w:tcBorders>
              <w:top w:val="single" w:sz="6" w:space="0" w:color="auto"/>
              <w:left w:val="single" w:sz="6" w:space="0" w:color="auto"/>
              <w:bottom w:val="single" w:sz="6" w:space="0" w:color="auto"/>
              <w:right w:val="single" w:sz="6" w:space="0" w:color="auto"/>
            </w:tcBorders>
            <w:shd w:val="clear" w:color="auto" w:fill="FFFFFF"/>
          </w:tcPr>
          <w:p w:rsidR="006F5DA1" w:rsidRPr="00E942A7" w:rsidRDefault="006F5DA1" w:rsidP="006F5DA1">
            <w:pPr>
              <w:rPr>
                <w:sz w:val="22"/>
                <w:szCs w:val="22"/>
                <w:lang w:val="sr-Latn-CS"/>
              </w:rPr>
            </w:pPr>
            <w:r w:rsidRPr="00E942A7">
              <w:rPr>
                <w:sz w:val="22"/>
                <w:szCs w:val="22"/>
                <w:lang w:val="sr-Latn-CS"/>
              </w:rPr>
              <w:t>214</w:t>
            </w:r>
          </w:p>
        </w:tc>
        <w:tc>
          <w:tcPr>
            <w:tcW w:w="949" w:type="dxa"/>
            <w:tcBorders>
              <w:top w:val="single" w:sz="6" w:space="0" w:color="auto"/>
              <w:left w:val="single" w:sz="6" w:space="0" w:color="auto"/>
              <w:bottom w:val="single" w:sz="6" w:space="0" w:color="auto"/>
              <w:right w:val="single" w:sz="6" w:space="0" w:color="auto"/>
            </w:tcBorders>
            <w:shd w:val="clear" w:color="auto" w:fill="FFFFFF"/>
          </w:tcPr>
          <w:p w:rsidR="006F5DA1" w:rsidRPr="00E942A7" w:rsidRDefault="006F5DA1" w:rsidP="006F5DA1">
            <w:pPr>
              <w:rPr>
                <w:sz w:val="22"/>
                <w:szCs w:val="22"/>
                <w:lang w:val="sr-Latn-CS"/>
              </w:rPr>
            </w:pPr>
            <w:r w:rsidRPr="00E942A7">
              <w:rPr>
                <w:sz w:val="22"/>
                <w:szCs w:val="22"/>
                <w:lang w:val="sr-Latn-CS"/>
              </w:rPr>
              <w:t>208</w:t>
            </w:r>
          </w:p>
        </w:tc>
      </w:tr>
      <w:tr w:rsidR="006F5DA1" w:rsidRPr="00E942A7" w:rsidTr="001F5CB2">
        <w:trPr>
          <w:trHeight w:hRule="exact" w:val="1145"/>
          <w:jc w:val="center"/>
        </w:trPr>
        <w:tc>
          <w:tcPr>
            <w:tcW w:w="2045" w:type="dxa"/>
            <w:tcBorders>
              <w:top w:val="single" w:sz="6" w:space="0" w:color="auto"/>
              <w:left w:val="single" w:sz="6" w:space="0" w:color="auto"/>
              <w:bottom w:val="single" w:sz="6" w:space="0" w:color="auto"/>
              <w:right w:val="single" w:sz="6" w:space="0" w:color="auto"/>
            </w:tcBorders>
            <w:shd w:val="clear" w:color="auto" w:fill="FFFFFF"/>
          </w:tcPr>
          <w:p w:rsidR="006F5DA1" w:rsidRPr="00E942A7" w:rsidRDefault="006F5DA1" w:rsidP="006F5DA1">
            <w:pPr>
              <w:rPr>
                <w:sz w:val="22"/>
                <w:szCs w:val="22"/>
                <w:lang w:val="sr-Latn-CS"/>
              </w:rPr>
            </w:pPr>
            <w:r w:rsidRPr="00E942A7">
              <w:rPr>
                <w:spacing w:val="1"/>
                <w:sz w:val="22"/>
                <w:szCs w:val="22"/>
                <w:lang w:val="sr-Latn-CS"/>
              </w:rPr>
              <w:t>Proporcija pacijenata sa komplikacijama na kostima (%)</w:t>
            </w:r>
          </w:p>
        </w:tc>
        <w:tc>
          <w:tcPr>
            <w:tcW w:w="1332" w:type="dxa"/>
            <w:tcBorders>
              <w:top w:val="single" w:sz="6" w:space="0" w:color="auto"/>
              <w:left w:val="single" w:sz="6" w:space="0" w:color="auto"/>
              <w:bottom w:val="single" w:sz="6" w:space="0" w:color="auto"/>
              <w:right w:val="single" w:sz="6" w:space="0" w:color="auto"/>
            </w:tcBorders>
            <w:shd w:val="clear" w:color="auto" w:fill="FFFFFF"/>
          </w:tcPr>
          <w:p w:rsidR="006F5DA1" w:rsidRPr="00E942A7" w:rsidRDefault="006F5DA1" w:rsidP="006F5DA1">
            <w:pPr>
              <w:rPr>
                <w:sz w:val="22"/>
                <w:szCs w:val="22"/>
                <w:lang w:val="sr-Latn-CS"/>
              </w:rPr>
            </w:pPr>
            <w:r w:rsidRPr="00E942A7">
              <w:rPr>
                <w:sz w:val="22"/>
                <w:szCs w:val="22"/>
                <w:lang w:val="sr-Latn-CS"/>
              </w:rPr>
              <w:t>38</w:t>
            </w:r>
          </w:p>
        </w:tc>
        <w:tc>
          <w:tcPr>
            <w:tcW w:w="1065" w:type="dxa"/>
            <w:tcBorders>
              <w:top w:val="single" w:sz="6" w:space="0" w:color="auto"/>
              <w:left w:val="single" w:sz="6" w:space="0" w:color="auto"/>
              <w:bottom w:val="single" w:sz="6" w:space="0" w:color="auto"/>
              <w:right w:val="single" w:sz="6" w:space="0" w:color="auto"/>
            </w:tcBorders>
            <w:shd w:val="clear" w:color="auto" w:fill="FFFFFF"/>
          </w:tcPr>
          <w:p w:rsidR="006F5DA1" w:rsidRPr="00E942A7" w:rsidRDefault="006F5DA1" w:rsidP="006F5DA1">
            <w:pPr>
              <w:rPr>
                <w:sz w:val="22"/>
                <w:szCs w:val="22"/>
                <w:lang w:val="sr-Latn-CS"/>
              </w:rPr>
            </w:pPr>
            <w:r w:rsidRPr="00E942A7">
              <w:rPr>
                <w:sz w:val="22"/>
                <w:szCs w:val="22"/>
                <w:lang w:val="sr-Latn-CS"/>
              </w:rPr>
              <w:t>49</w:t>
            </w:r>
          </w:p>
        </w:tc>
        <w:tc>
          <w:tcPr>
            <w:tcW w:w="1199" w:type="dxa"/>
            <w:tcBorders>
              <w:top w:val="single" w:sz="6" w:space="0" w:color="auto"/>
              <w:left w:val="single" w:sz="6" w:space="0" w:color="auto"/>
              <w:bottom w:val="single" w:sz="6" w:space="0" w:color="auto"/>
              <w:right w:val="single" w:sz="6" w:space="0" w:color="auto"/>
            </w:tcBorders>
            <w:shd w:val="clear" w:color="auto" w:fill="FFFFFF"/>
          </w:tcPr>
          <w:p w:rsidR="006F5DA1" w:rsidRPr="00E942A7" w:rsidRDefault="006F5DA1" w:rsidP="006F5DA1">
            <w:pPr>
              <w:rPr>
                <w:sz w:val="22"/>
                <w:szCs w:val="22"/>
                <w:lang w:val="sr-Latn-CS"/>
              </w:rPr>
            </w:pPr>
            <w:r w:rsidRPr="00E942A7">
              <w:rPr>
                <w:sz w:val="22"/>
                <w:szCs w:val="22"/>
                <w:lang w:val="sr-Latn-CS"/>
              </w:rPr>
              <w:t>17</w:t>
            </w:r>
          </w:p>
        </w:tc>
        <w:tc>
          <w:tcPr>
            <w:tcW w:w="929" w:type="dxa"/>
            <w:tcBorders>
              <w:top w:val="single" w:sz="6" w:space="0" w:color="auto"/>
              <w:left w:val="single" w:sz="6" w:space="0" w:color="auto"/>
              <w:bottom w:val="single" w:sz="6" w:space="0" w:color="auto"/>
              <w:right w:val="single" w:sz="6" w:space="0" w:color="auto"/>
            </w:tcBorders>
            <w:shd w:val="clear" w:color="auto" w:fill="FFFFFF"/>
          </w:tcPr>
          <w:p w:rsidR="006F5DA1" w:rsidRPr="00E942A7" w:rsidRDefault="006F5DA1" w:rsidP="006F5DA1">
            <w:pPr>
              <w:rPr>
                <w:sz w:val="22"/>
                <w:szCs w:val="22"/>
                <w:lang w:val="sr-Latn-CS"/>
              </w:rPr>
            </w:pPr>
            <w:r w:rsidRPr="00E942A7">
              <w:rPr>
                <w:sz w:val="22"/>
                <w:szCs w:val="22"/>
                <w:lang w:val="sr-Latn-CS"/>
              </w:rPr>
              <w:t>25</w:t>
            </w:r>
          </w:p>
        </w:tc>
        <w:tc>
          <w:tcPr>
            <w:tcW w:w="1065" w:type="dxa"/>
            <w:tcBorders>
              <w:top w:val="single" w:sz="6" w:space="0" w:color="auto"/>
              <w:left w:val="single" w:sz="6" w:space="0" w:color="auto"/>
              <w:bottom w:val="single" w:sz="6" w:space="0" w:color="auto"/>
              <w:right w:val="single" w:sz="6" w:space="0" w:color="auto"/>
            </w:tcBorders>
            <w:shd w:val="clear" w:color="auto" w:fill="FFFFFF"/>
          </w:tcPr>
          <w:p w:rsidR="006F5DA1" w:rsidRPr="00E942A7" w:rsidRDefault="006F5DA1" w:rsidP="006F5DA1">
            <w:pPr>
              <w:rPr>
                <w:sz w:val="22"/>
                <w:szCs w:val="22"/>
                <w:lang w:val="sr-Latn-CS"/>
              </w:rPr>
            </w:pPr>
            <w:r w:rsidRPr="00E942A7">
              <w:rPr>
                <w:sz w:val="22"/>
                <w:szCs w:val="22"/>
                <w:lang w:val="sr-Latn-CS"/>
              </w:rPr>
              <w:t>26</w:t>
            </w:r>
          </w:p>
        </w:tc>
        <w:tc>
          <w:tcPr>
            <w:tcW w:w="949" w:type="dxa"/>
            <w:tcBorders>
              <w:top w:val="single" w:sz="6" w:space="0" w:color="auto"/>
              <w:left w:val="single" w:sz="6" w:space="0" w:color="auto"/>
              <w:bottom w:val="single" w:sz="6" w:space="0" w:color="auto"/>
              <w:right w:val="single" w:sz="6" w:space="0" w:color="auto"/>
            </w:tcBorders>
            <w:shd w:val="clear" w:color="auto" w:fill="FFFFFF"/>
          </w:tcPr>
          <w:p w:rsidR="006F5DA1" w:rsidRPr="00E942A7" w:rsidRDefault="006F5DA1" w:rsidP="006F5DA1">
            <w:pPr>
              <w:rPr>
                <w:sz w:val="22"/>
                <w:szCs w:val="22"/>
                <w:lang w:val="sr-Latn-CS"/>
              </w:rPr>
            </w:pPr>
            <w:r w:rsidRPr="00E942A7">
              <w:rPr>
                <w:sz w:val="22"/>
                <w:szCs w:val="22"/>
                <w:lang w:val="sr-Latn-CS"/>
              </w:rPr>
              <w:t>33</w:t>
            </w:r>
          </w:p>
        </w:tc>
      </w:tr>
      <w:tr w:rsidR="006F5DA1" w:rsidRPr="00E942A7" w:rsidTr="001F5CB2">
        <w:trPr>
          <w:trHeight w:hRule="exact" w:val="409"/>
          <w:jc w:val="center"/>
        </w:trPr>
        <w:tc>
          <w:tcPr>
            <w:tcW w:w="2045" w:type="dxa"/>
            <w:tcBorders>
              <w:top w:val="single" w:sz="6" w:space="0" w:color="auto"/>
              <w:left w:val="single" w:sz="6" w:space="0" w:color="auto"/>
              <w:bottom w:val="single" w:sz="6" w:space="0" w:color="auto"/>
              <w:right w:val="single" w:sz="6" w:space="0" w:color="auto"/>
            </w:tcBorders>
            <w:shd w:val="clear" w:color="auto" w:fill="FFFFFF"/>
          </w:tcPr>
          <w:p w:rsidR="006F5DA1" w:rsidRPr="00E942A7" w:rsidRDefault="006F5DA1" w:rsidP="006F5DA1">
            <w:pPr>
              <w:rPr>
                <w:sz w:val="22"/>
                <w:szCs w:val="22"/>
                <w:lang w:val="sr-Latn-CS"/>
              </w:rPr>
            </w:pPr>
            <w:r w:rsidRPr="00E942A7">
              <w:rPr>
                <w:sz w:val="22"/>
                <w:szCs w:val="22"/>
                <w:lang w:val="sr-Latn-CS"/>
              </w:rPr>
              <w:t>p-vrijednost</w:t>
            </w:r>
          </w:p>
        </w:tc>
        <w:tc>
          <w:tcPr>
            <w:tcW w:w="2396" w:type="dxa"/>
            <w:gridSpan w:val="2"/>
            <w:tcBorders>
              <w:top w:val="single" w:sz="6" w:space="0" w:color="auto"/>
              <w:left w:val="single" w:sz="6" w:space="0" w:color="auto"/>
              <w:bottom w:val="single" w:sz="6" w:space="0" w:color="auto"/>
              <w:right w:val="single" w:sz="6" w:space="0" w:color="auto"/>
            </w:tcBorders>
            <w:shd w:val="clear" w:color="auto" w:fill="FFFFFF"/>
          </w:tcPr>
          <w:p w:rsidR="006F5DA1" w:rsidRPr="00E942A7" w:rsidRDefault="006F5DA1" w:rsidP="006F5DA1">
            <w:pPr>
              <w:rPr>
                <w:sz w:val="22"/>
                <w:szCs w:val="22"/>
                <w:lang w:val="sr-Latn-CS"/>
              </w:rPr>
            </w:pPr>
            <w:r w:rsidRPr="00E942A7">
              <w:rPr>
                <w:spacing w:val="-2"/>
                <w:sz w:val="22"/>
                <w:szCs w:val="22"/>
                <w:lang w:val="sr-Latn-CS"/>
              </w:rPr>
              <w:t>0,028</w:t>
            </w:r>
          </w:p>
        </w:tc>
        <w:tc>
          <w:tcPr>
            <w:tcW w:w="2128" w:type="dxa"/>
            <w:gridSpan w:val="2"/>
            <w:tcBorders>
              <w:top w:val="single" w:sz="6" w:space="0" w:color="auto"/>
              <w:left w:val="single" w:sz="6" w:space="0" w:color="auto"/>
              <w:bottom w:val="single" w:sz="6" w:space="0" w:color="auto"/>
              <w:right w:val="single" w:sz="6" w:space="0" w:color="auto"/>
            </w:tcBorders>
            <w:shd w:val="clear" w:color="auto" w:fill="FFFFFF"/>
          </w:tcPr>
          <w:p w:rsidR="006F5DA1" w:rsidRPr="00E942A7" w:rsidRDefault="006F5DA1" w:rsidP="006F5DA1">
            <w:pPr>
              <w:rPr>
                <w:sz w:val="22"/>
                <w:szCs w:val="22"/>
                <w:lang w:val="sr-Latn-CS"/>
              </w:rPr>
            </w:pPr>
            <w:r w:rsidRPr="00E942A7">
              <w:rPr>
                <w:spacing w:val="-2"/>
                <w:sz w:val="22"/>
                <w:szCs w:val="22"/>
                <w:lang w:val="sr-Latn-CS"/>
              </w:rPr>
              <w:t>0,052</w:t>
            </w:r>
          </w:p>
        </w:tc>
        <w:tc>
          <w:tcPr>
            <w:tcW w:w="2014" w:type="dxa"/>
            <w:gridSpan w:val="2"/>
            <w:tcBorders>
              <w:top w:val="single" w:sz="6" w:space="0" w:color="auto"/>
              <w:left w:val="single" w:sz="6" w:space="0" w:color="auto"/>
              <w:bottom w:val="single" w:sz="6" w:space="0" w:color="auto"/>
              <w:right w:val="single" w:sz="6" w:space="0" w:color="auto"/>
            </w:tcBorders>
            <w:shd w:val="clear" w:color="auto" w:fill="FFFFFF"/>
          </w:tcPr>
          <w:p w:rsidR="006F5DA1" w:rsidRPr="00E942A7" w:rsidRDefault="006F5DA1" w:rsidP="006F5DA1">
            <w:pPr>
              <w:rPr>
                <w:sz w:val="22"/>
                <w:szCs w:val="22"/>
                <w:lang w:val="sr-Latn-CS"/>
              </w:rPr>
            </w:pPr>
            <w:r w:rsidRPr="00E942A7">
              <w:rPr>
                <w:spacing w:val="-2"/>
                <w:sz w:val="22"/>
                <w:szCs w:val="22"/>
                <w:lang w:val="sr-Latn-CS"/>
              </w:rPr>
              <w:t>0,119</w:t>
            </w:r>
          </w:p>
        </w:tc>
      </w:tr>
      <w:tr w:rsidR="006F5DA1" w:rsidRPr="00E942A7" w:rsidTr="001F5CB2">
        <w:trPr>
          <w:trHeight w:hRule="exact" w:val="1060"/>
          <w:jc w:val="center"/>
        </w:trPr>
        <w:tc>
          <w:tcPr>
            <w:tcW w:w="2045" w:type="dxa"/>
            <w:tcBorders>
              <w:top w:val="single" w:sz="6" w:space="0" w:color="auto"/>
              <w:left w:val="single" w:sz="6" w:space="0" w:color="auto"/>
              <w:bottom w:val="single" w:sz="6" w:space="0" w:color="auto"/>
              <w:right w:val="single" w:sz="6" w:space="0" w:color="auto"/>
            </w:tcBorders>
            <w:shd w:val="clear" w:color="auto" w:fill="FFFFFF"/>
          </w:tcPr>
          <w:p w:rsidR="006F5DA1" w:rsidRPr="00E942A7" w:rsidRDefault="006F5DA1" w:rsidP="006F5DA1">
            <w:pPr>
              <w:rPr>
                <w:sz w:val="22"/>
                <w:szCs w:val="22"/>
                <w:lang w:val="sr-Latn-CS"/>
              </w:rPr>
            </w:pPr>
            <w:r w:rsidRPr="00E942A7">
              <w:rPr>
                <w:spacing w:val="1"/>
                <w:sz w:val="22"/>
                <w:szCs w:val="22"/>
                <w:lang w:val="sr-Latn-CS"/>
              </w:rPr>
              <w:t xml:space="preserve">Medijana vremena do pojave komplikacija na kostima </w:t>
            </w:r>
            <w:r w:rsidRPr="00E942A7">
              <w:rPr>
                <w:spacing w:val="-1"/>
                <w:sz w:val="22"/>
                <w:szCs w:val="22"/>
                <w:lang w:val="sr-Latn-CS"/>
              </w:rPr>
              <w:t>(dani)</w:t>
            </w:r>
          </w:p>
        </w:tc>
        <w:tc>
          <w:tcPr>
            <w:tcW w:w="1332" w:type="dxa"/>
            <w:tcBorders>
              <w:top w:val="single" w:sz="6" w:space="0" w:color="auto"/>
              <w:left w:val="single" w:sz="6" w:space="0" w:color="auto"/>
              <w:bottom w:val="single" w:sz="6" w:space="0" w:color="auto"/>
              <w:right w:val="single" w:sz="6" w:space="0" w:color="auto"/>
            </w:tcBorders>
            <w:shd w:val="clear" w:color="auto" w:fill="FFFFFF"/>
          </w:tcPr>
          <w:p w:rsidR="006F5DA1" w:rsidRPr="00E942A7" w:rsidRDefault="006F5DA1" w:rsidP="006F5DA1">
            <w:pPr>
              <w:rPr>
                <w:sz w:val="22"/>
                <w:szCs w:val="22"/>
                <w:lang w:val="sr-Latn-CS"/>
              </w:rPr>
            </w:pPr>
            <w:r w:rsidRPr="00E942A7">
              <w:rPr>
                <w:sz w:val="22"/>
                <w:szCs w:val="22"/>
                <w:lang w:val="sr-Latn-CS"/>
              </w:rPr>
              <w:t>488</w:t>
            </w:r>
          </w:p>
        </w:tc>
        <w:tc>
          <w:tcPr>
            <w:tcW w:w="1065" w:type="dxa"/>
            <w:tcBorders>
              <w:top w:val="single" w:sz="6" w:space="0" w:color="auto"/>
              <w:left w:val="single" w:sz="6" w:space="0" w:color="auto"/>
              <w:bottom w:val="single" w:sz="6" w:space="0" w:color="auto"/>
              <w:right w:val="single" w:sz="6" w:space="0" w:color="auto"/>
            </w:tcBorders>
            <w:shd w:val="clear" w:color="auto" w:fill="FFFFFF"/>
          </w:tcPr>
          <w:p w:rsidR="006F5DA1" w:rsidRPr="00E942A7" w:rsidRDefault="006F5DA1" w:rsidP="006F5DA1">
            <w:pPr>
              <w:rPr>
                <w:sz w:val="22"/>
                <w:szCs w:val="22"/>
                <w:lang w:val="sr-Latn-CS"/>
              </w:rPr>
            </w:pPr>
            <w:r w:rsidRPr="00E942A7">
              <w:rPr>
                <w:sz w:val="22"/>
                <w:szCs w:val="22"/>
                <w:lang w:val="sr-Latn-CS"/>
              </w:rPr>
              <w:t>321</w:t>
            </w:r>
          </w:p>
        </w:tc>
        <w:tc>
          <w:tcPr>
            <w:tcW w:w="1199" w:type="dxa"/>
            <w:tcBorders>
              <w:top w:val="single" w:sz="6" w:space="0" w:color="auto"/>
              <w:left w:val="single" w:sz="6" w:space="0" w:color="auto"/>
              <w:bottom w:val="single" w:sz="6" w:space="0" w:color="auto"/>
              <w:right w:val="single" w:sz="6" w:space="0" w:color="auto"/>
            </w:tcBorders>
            <w:shd w:val="clear" w:color="auto" w:fill="FFFFFF"/>
          </w:tcPr>
          <w:p w:rsidR="006F5DA1" w:rsidRPr="00E942A7" w:rsidRDefault="006F5DA1" w:rsidP="006F5DA1">
            <w:pPr>
              <w:rPr>
                <w:sz w:val="22"/>
                <w:szCs w:val="22"/>
                <w:lang w:val="sr-Latn-CS"/>
              </w:rPr>
            </w:pPr>
            <w:r w:rsidRPr="00E942A7">
              <w:rPr>
                <w:sz w:val="22"/>
                <w:szCs w:val="22"/>
                <w:lang w:val="sr-Latn-CS"/>
              </w:rPr>
              <w:t>ND</w:t>
            </w:r>
          </w:p>
        </w:tc>
        <w:tc>
          <w:tcPr>
            <w:tcW w:w="929" w:type="dxa"/>
            <w:tcBorders>
              <w:top w:val="single" w:sz="6" w:space="0" w:color="auto"/>
              <w:left w:val="single" w:sz="6" w:space="0" w:color="auto"/>
              <w:bottom w:val="single" w:sz="6" w:space="0" w:color="auto"/>
              <w:right w:val="single" w:sz="6" w:space="0" w:color="auto"/>
            </w:tcBorders>
            <w:shd w:val="clear" w:color="auto" w:fill="FFFFFF"/>
          </w:tcPr>
          <w:p w:rsidR="006F5DA1" w:rsidRPr="00E942A7" w:rsidRDefault="006F5DA1" w:rsidP="006F5DA1">
            <w:pPr>
              <w:rPr>
                <w:sz w:val="22"/>
                <w:szCs w:val="22"/>
                <w:lang w:val="sr-Latn-CS"/>
              </w:rPr>
            </w:pPr>
            <w:r w:rsidRPr="00E942A7">
              <w:rPr>
                <w:sz w:val="22"/>
                <w:szCs w:val="22"/>
                <w:lang w:val="sr-Latn-CS"/>
              </w:rPr>
              <w:t>ND</w:t>
            </w:r>
          </w:p>
        </w:tc>
        <w:tc>
          <w:tcPr>
            <w:tcW w:w="1065" w:type="dxa"/>
            <w:tcBorders>
              <w:top w:val="single" w:sz="6" w:space="0" w:color="auto"/>
              <w:left w:val="single" w:sz="6" w:space="0" w:color="auto"/>
              <w:bottom w:val="single" w:sz="6" w:space="0" w:color="auto"/>
              <w:right w:val="single" w:sz="6" w:space="0" w:color="auto"/>
            </w:tcBorders>
            <w:shd w:val="clear" w:color="auto" w:fill="FFFFFF"/>
          </w:tcPr>
          <w:p w:rsidR="006F5DA1" w:rsidRPr="00E942A7" w:rsidRDefault="006F5DA1" w:rsidP="006F5DA1">
            <w:pPr>
              <w:rPr>
                <w:sz w:val="22"/>
                <w:szCs w:val="22"/>
                <w:lang w:val="sr-Latn-CS"/>
              </w:rPr>
            </w:pPr>
            <w:r w:rsidRPr="00E942A7">
              <w:rPr>
                <w:sz w:val="22"/>
                <w:szCs w:val="22"/>
                <w:lang w:val="sr-Latn-CS"/>
              </w:rPr>
              <w:t>ND</w:t>
            </w:r>
          </w:p>
        </w:tc>
        <w:tc>
          <w:tcPr>
            <w:tcW w:w="949" w:type="dxa"/>
            <w:tcBorders>
              <w:top w:val="single" w:sz="6" w:space="0" w:color="auto"/>
              <w:left w:val="single" w:sz="6" w:space="0" w:color="auto"/>
              <w:bottom w:val="single" w:sz="6" w:space="0" w:color="auto"/>
              <w:right w:val="single" w:sz="6" w:space="0" w:color="auto"/>
            </w:tcBorders>
            <w:shd w:val="clear" w:color="auto" w:fill="FFFFFF"/>
          </w:tcPr>
          <w:p w:rsidR="006F5DA1" w:rsidRPr="00E942A7" w:rsidRDefault="006F5DA1" w:rsidP="006F5DA1">
            <w:pPr>
              <w:rPr>
                <w:sz w:val="22"/>
                <w:szCs w:val="22"/>
                <w:lang w:val="sr-Latn-CS"/>
              </w:rPr>
            </w:pPr>
            <w:r w:rsidRPr="00E942A7">
              <w:rPr>
                <w:sz w:val="22"/>
                <w:szCs w:val="22"/>
                <w:lang w:val="sr-Latn-CS"/>
              </w:rPr>
              <w:t>640</w:t>
            </w:r>
          </w:p>
        </w:tc>
      </w:tr>
      <w:tr w:rsidR="006F5DA1" w:rsidRPr="00E942A7" w:rsidTr="001F5CB2">
        <w:trPr>
          <w:trHeight w:hRule="exact" w:val="409"/>
          <w:jc w:val="center"/>
        </w:trPr>
        <w:tc>
          <w:tcPr>
            <w:tcW w:w="2045" w:type="dxa"/>
            <w:tcBorders>
              <w:top w:val="single" w:sz="6" w:space="0" w:color="auto"/>
              <w:left w:val="single" w:sz="6" w:space="0" w:color="auto"/>
              <w:bottom w:val="single" w:sz="6" w:space="0" w:color="auto"/>
              <w:right w:val="single" w:sz="6" w:space="0" w:color="auto"/>
            </w:tcBorders>
            <w:shd w:val="clear" w:color="auto" w:fill="FFFFFF"/>
          </w:tcPr>
          <w:p w:rsidR="006F5DA1" w:rsidRPr="00E942A7" w:rsidRDefault="006F5DA1" w:rsidP="006F5DA1">
            <w:pPr>
              <w:rPr>
                <w:sz w:val="22"/>
                <w:szCs w:val="22"/>
                <w:lang w:val="sr-Latn-CS"/>
              </w:rPr>
            </w:pPr>
            <w:r w:rsidRPr="00E942A7">
              <w:rPr>
                <w:sz w:val="22"/>
                <w:szCs w:val="22"/>
                <w:lang w:val="sr-Latn-CS"/>
              </w:rPr>
              <w:t>p-vrijednost</w:t>
            </w:r>
          </w:p>
        </w:tc>
        <w:tc>
          <w:tcPr>
            <w:tcW w:w="2396" w:type="dxa"/>
            <w:gridSpan w:val="2"/>
            <w:tcBorders>
              <w:top w:val="single" w:sz="6" w:space="0" w:color="auto"/>
              <w:left w:val="single" w:sz="6" w:space="0" w:color="auto"/>
              <w:bottom w:val="single" w:sz="6" w:space="0" w:color="auto"/>
              <w:right w:val="single" w:sz="6" w:space="0" w:color="auto"/>
            </w:tcBorders>
            <w:shd w:val="clear" w:color="auto" w:fill="FFFFFF"/>
          </w:tcPr>
          <w:p w:rsidR="006F5DA1" w:rsidRPr="00E942A7" w:rsidRDefault="006F5DA1" w:rsidP="006F5DA1">
            <w:pPr>
              <w:rPr>
                <w:sz w:val="22"/>
                <w:szCs w:val="22"/>
                <w:lang w:val="sr-Latn-CS"/>
              </w:rPr>
            </w:pPr>
            <w:r w:rsidRPr="00E942A7">
              <w:rPr>
                <w:spacing w:val="-2"/>
                <w:sz w:val="22"/>
                <w:szCs w:val="22"/>
                <w:lang w:val="sr-Latn-CS"/>
              </w:rPr>
              <w:t>0,009</w:t>
            </w:r>
          </w:p>
        </w:tc>
        <w:tc>
          <w:tcPr>
            <w:tcW w:w="2128" w:type="dxa"/>
            <w:gridSpan w:val="2"/>
            <w:tcBorders>
              <w:top w:val="single" w:sz="6" w:space="0" w:color="auto"/>
              <w:left w:val="single" w:sz="6" w:space="0" w:color="auto"/>
              <w:bottom w:val="single" w:sz="6" w:space="0" w:color="auto"/>
              <w:right w:val="single" w:sz="6" w:space="0" w:color="auto"/>
            </w:tcBorders>
            <w:shd w:val="clear" w:color="auto" w:fill="FFFFFF"/>
          </w:tcPr>
          <w:p w:rsidR="006F5DA1" w:rsidRPr="00E942A7" w:rsidRDefault="006F5DA1" w:rsidP="006F5DA1">
            <w:pPr>
              <w:rPr>
                <w:sz w:val="22"/>
                <w:szCs w:val="22"/>
                <w:lang w:val="sr-Latn-CS"/>
              </w:rPr>
            </w:pPr>
            <w:r w:rsidRPr="00E942A7">
              <w:rPr>
                <w:spacing w:val="-2"/>
                <w:sz w:val="22"/>
                <w:szCs w:val="22"/>
                <w:lang w:val="sr-Latn-CS"/>
              </w:rPr>
              <w:t>0,020</w:t>
            </w:r>
          </w:p>
        </w:tc>
        <w:tc>
          <w:tcPr>
            <w:tcW w:w="2014" w:type="dxa"/>
            <w:gridSpan w:val="2"/>
            <w:tcBorders>
              <w:top w:val="single" w:sz="6" w:space="0" w:color="auto"/>
              <w:left w:val="single" w:sz="6" w:space="0" w:color="auto"/>
              <w:bottom w:val="single" w:sz="6" w:space="0" w:color="auto"/>
              <w:right w:val="single" w:sz="6" w:space="0" w:color="auto"/>
            </w:tcBorders>
            <w:shd w:val="clear" w:color="auto" w:fill="FFFFFF"/>
          </w:tcPr>
          <w:p w:rsidR="006F5DA1" w:rsidRPr="00E942A7" w:rsidRDefault="006F5DA1" w:rsidP="006F5DA1">
            <w:pPr>
              <w:rPr>
                <w:sz w:val="22"/>
                <w:szCs w:val="22"/>
                <w:lang w:val="sr-Latn-CS"/>
              </w:rPr>
            </w:pPr>
            <w:r w:rsidRPr="00E942A7">
              <w:rPr>
                <w:spacing w:val="-4"/>
                <w:sz w:val="22"/>
                <w:szCs w:val="22"/>
                <w:lang w:val="sr-Latn-CS"/>
              </w:rPr>
              <w:t>0,055</w:t>
            </w:r>
          </w:p>
        </w:tc>
      </w:tr>
      <w:tr w:rsidR="006F5DA1" w:rsidRPr="00E942A7" w:rsidTr="001F5CB2">
        <w:trPr>
          <w:trHeight w:hRule="exact" w:val="786"/>
          <w:jc w:val="center"/>
        </w:trPr>
        <w:tc>
          <w:tcPr>
            <w:tcW w:w="2045" w:type="dxa"/>
            <w:tcBorders>
              <w:top w:val="single" w:sz="6" w:space="0" w:color="auto"/>
              <w:left w:val="single" w:sz="6" w:space="0" w:color="auto"/>
              <w:bottom w:val="single" w:sz="6" w:space="0" w:color="auto"/>
              <w:right w:val="single" w:sz="6" w:space="0" w:color="auto"/>
            </w:tcBorders>
            <w:shd w:val="clear" w:color="auto" w:fill="FFFFFF"/>
          </w:tcPr>
          <w:p w:rsidR="006F5DA1" w:rsidRPr="00E942A7" w:rsidRDefault="006F5DA1" w:rsidP="006F5DA1">
            <w:pPr>
              <w:rPr>
                <w:sz w:val="22"/>
                <w:szCs w:val="22"/>
                <w:lang w:val="sr-Latn-CS"/>
              </w:rPr>
            </w:pPr>
            <w:r w:rsidRPr="00E942A7">
              <w:rPr>
                <w:sz w:val="22"/>
                <w:szCs w:val="22"/>
                <w:lang w:val="sr-Latn-CS"/>
              </w:rPr>
              <w:t>Stopa skeletnog morbidi</w:t>
            </w:r>
            <w:r w:rsidRPr="00E942A7">
              <w:rPr>
                <w:spacing w:val="-1"/>
                <w:sz w:val="22"/>
                <w:szCs w:val="22"/>
                <w:lang w:val="sr-Latn-CS"/>
              </w:rPr>
              <w:t>teta</w:t>
            </w:r>
          </w:p>
        </w:tc>
        <w:tc>
          <w:tcPr>
            <w:tcW w:w="1332" w:type="dxa"/>
            <w:tcBorders>
              <w:top w:val="single" w:sz="6" w:space="0" w:color="auto"/>
              <w:left w:val="single" w:sz="6" w:space="0" w:color="auto"/>
              <w:bottom w:val="single" w:sz="6" w:space="0" w:color="auto"/>
              <w:right w:val="single" w:sz="6" w:space="0" w:color="auto"/>
            </w:tcBorders>
            <w:shd w:val="clear" w:color="auto" w:fill="FFFFFF"/>
          </w:tcPr>
          <w:p w:rsidR="006F5DA1" w:rsidRPr="00E942A7" w:rsidRDefault="006F5DA1" w:rsidP="006F5DA1">
            <w:pPr>
              <w:rPr>
                <w:sz w:val="22"/>
                <w:szCs w:val="22"/>
                <w:lang w:val="sr-Latn-CS"/>
              </w:rPr>
            </w:pPr>
            <w:r w:rsidRPr="00E942A7">
              <w:rPr>
                <w:spacing w:val="-2"/>
                <w:sz w:val="22"/>
                <w:szCs w:val="22"/>
                <w:lang w:val="sr-Latn-CS"/>
              </w:rPr>
              <w:t>0,77</w:t>
            </w:r>
          </w:p>
        </w:tc>
        <w:tc>
          <w:tcPr>
            <w:tcW w:w="1065" w:type="dxa"/>
            <w:tcBorders>
              <w:top w:val="single" w:sz="6" w:space="0" w:color="auto"/>
              <w:left w:val="single" w:sz="6" w:space="0" w:color="auto"/>
              <w:bottom w:val="single" w:sz="6" w:space="0" w:color="auto"/>
              <w:right w:val="single" w:sz="6" w:space="0" w:color="auto"/>
            </w:tcBorders>
            <w:shd w:val="clear" w:color="auto" w:fill="FFFFFF"/>
          </w:tcPr>
          <w:p w:rsidR="006F5DA1" w:rsidRPr="00E942A7" w:rsidRDefault="006F5DA1" w:rsidP="006F5DA1">
            <w:pPr>
              <w:rPr>
                <w:sz w:val="22"/>
                <w:szCs w:val="22"/>
                <w:lang w:val="sr-Latn-CS"/>
              </w:rPr>
            </w:pPr>
            <w:r w:rsidRPr="00E942A7">
              <w:rPr>
                <w:spacing w:val="-4"/>
                <w:sz w:val="22"/>
                <w:szCs w:val="22"/>
                <w:lang w:val="sr-Latn-CS"/>
              </w:rPr>
              <w:t>1,47</w:t>
            </w:r>
          </w:p>
        </w:tc>
        <w:tc>
          <w:tcPr>
            <w:tcW w:w="1199" w:type="dxa"/>
            <w:tcBorders>
              <w:top w:val="single" w:sz="6" w:space="0" w:color="auto"/>
              <w:left w:val="single" w:sz="6" w:space="0" w:color="auto"/>
              <w:bottom w:val="single" w:sz="6" w:space="0" w:color="auto"/>
              <w:right w:val="single" w:sz="6" w:space="0" w:color="auto"/>
            </w:tcBorders>
            <w:shd w:val="clear" w:color="auto" w:fill="FFFFFF"/>
          </w:tcPr>
          <w:p w:rsidR="006F5DA1" w:rsidRPr="00E942A7" w:rsidRDefault="006F5DA1" w:rsidP="006F5DA1">
            <w:pPr>
              <w:rPr>
                <w:sz w:val="22"/>
                <w:szCs w:val="22"/>
                <w:lang w:val="sr-Latn-CS"/>
              </w:rPr>
            </w:pPr>
            <w:r w:rsidRPr="00E942A7">
              <w:rPr>
                <w:spacing w:val="-2"/>
                <w:sz w:val="22"/>
                <w:szCs w:val="22"/>
                <w:lang w:val="sr-Latn-CS"/>
              </w:rPr>
              <w:t>0,20</w:t>
            </w:r>
          </w:p>
        </w:tc>
        <w:tc>
          <w:tcPr>
            <w:tcW w:w="929" w:type="dxa"/>
            <w:tcBorders>
              <w:top w:val="single" w:sz="6" w:space="0" w:color="auto"/>
              <w:left w:val="single" w:sz="6" w:space="0" w:color="auto"/>
              <w:bottom w:val="single" w:sz="6" w:space="0" w:color="auto"/>
              <w:right w:val="single" w:sz="6" w:space="0" w:color="auto"/>
            </w:tcBorders>
            <w:shd w:val="clear" w:color="auto" w:fill="FFFFFF"/>
          </w:tcPr>
          <w:p w:rsidR="006F5DA1" w:rsidRPr="00E942A7" w:rsidRDefault="006F5DA1" w:rsidP="006F5DA1">
            <w:pPr>
              <w:rPr>
                <w:sz w:val="22"/>
                <w:szCs w:val="22"/>
                <w:lang w:val="sr-Latn-CS"/>
              </w:rPr>
            </w:pPr>
            <w:r w:rsidRPr="00E942A7">
              <w:rPr>
                <w:spacing w:val="-6"/>
                <w:sz w:val="22"/>
                <w:szCs w:val="22"/>
                <w:lang w:val="sr-Latn-CS"/>
              </w:rPr>
              <w:t>0,45</w:t>
            </w:r>
          </w:p>
        </w:tc>
        <w:tc>
          <w:tcPr>
            <w:tcW w:w="1065" w:type="dxa"/>
            <w:tcBorders>
              <w:top w:val="single" w:sz="6" w:space="0" w:color="auto"/>
              <w:left w:val="single" w:sz="6" w:space="0" w:color="auto"/>
              <w:bottom w:val="single" w:sz="6" w:space="0" w:color="auto"/>
              <w:right w:val="single" w:sz="6" w:space="0" w:color="auto"/>
            </w:tcBorders>
            <w:shd w:val="clear" w:color="auto" w:fill="FFFFFF"/>
          </w:tcPr>
          <w:p w:rsidR="006F5DA1" w:rsidRPr="00E942A7" w:rsidRDefault="006F5DA1" w:rsidP="006F5DA1">
            <w:pPr>
              <w:rPr>
                <w:sz w:val="22"/>
                <w:szCs w:val="22"/>
                <w:lang w:val="sr-Latn-CS"/>
              </w:rPr>
            </w:pPr>
            <w:r w:rsidRPr="00E942A7">
              <w:rPr>
                <w:spacing w:val="-2"/>
                <w:sz w:val="22"/>
                <w:szCs w:val="22"/>
                <w:lang w:val="sr-Latn-CS"/>
              </w:rPr>
              <w:t>0,42</w:t>
            </w:r>
          </w:p>
        </w:tc>
        <w:tc>
          <w:tcPr>
            <w:tcW w:w="949" w:type="dxa"/>
            <w:tcBorders>
              <w:top w:val="single" w:sz="6" w:space="0" w:color="auto"/>
              <w:left w:val="single" w:sz="6" w:space="0" w:color="auto"/>
              <w:bottom w:val="single" w:sz="6" w:space="0" w:color="auto"/>
              <w:right w:val="single" w:sz="6" w:space="0" w:color="auto"/>
            </w:tcBorders>
            <w:shd w:val="clear" w:color="auto" w:fill="FFFFFF"/>
          </w:tcPr>
          <w:p w:rsidR="006F5DA1" w:rsidRPr="00E942A7" w:rsidRDefault="006F5DA1" w:rsidP="006F5DA1">
            <w:pPr>
              <w:rPr>
                <w:sz w:val="22"/>
                <w:szCs w:val="22"/>
                <w:lang w:val="sr-Latn-CS"/>
              </w:rPr>
            </w:pPr>
            <w:r w:rsidRPr="00E942A7">
              <w:rPr>
                <w:spacing w:val="-2"/>
                <w:sz w:val="22"/>
                <w:szCs w:val="22"/>
                <w:lang w:val="sr-Latn-CS"/>
              </w:rPr>
              <w:t>0,89</w:t>
            </w:r>
          </w:p>
        </w:tc>
      </w:tr>
      <w:tr w:rsidR="006F5DA1" w:rsidRPr="00E942A7" w:rsidTr="001F5CB2">
        <w:trPr>
          <w:trHeight w:hRule="exact" w:val="409"/>
          <w:jc w:val="center"/>
        </w:trPr>
        <w:tc>
          <w:tcPr>
            <w:tcW w:w="2045" w:type="dxa"/>
            <w:tcBorders>
              <w:top w:val="single" w:sz="6" w:space="0" w:color="auto"/>
              <w:left w:val="single" w:sz="6" w:space="0" w:color="auto"/>
              <w:bottom w:val="single" w:sz="6" w:space="0" w:color="auto"/>
              <w:right w:val="single" w:sz="6" w:space="0" w:color="auto"/>
            </w:tcBorders>
            <w:shd w:val="clear" w:color="auto" w:fill="FFFFFF"/>
          </w:tcPr>
          <w:p w:rsidR="006F5DA1" w:rsidRPr="00E942A7" w:rsidRDefault="006F5DA1" w:rsidP="006F5DA1">
            <w:pPr>
              <w:rPr>
                <w:sz w:val="22"/>
                <w:szCs w:val="22"/>
                <w:lang w:val="sr-Latn-CS"/>
              </w:rPr>
            </w:pPr>
            <w:r w:rsidRPr="00E942A7">
              <w:rPr>
                <w:sz w:val="22"/>
                <w:szCs w:val="22"/>
                <w:lang w:val="sr-Latn-CS"/>
              </w:rPr>
              <w:t>p-vrijednost</w:t>
            </w:r>
          </w:p>
        </w:tc>
        <w:tc>
          <w:tcPr>
            <w:tcW w:w="2396" w:type="dxa"/>
            <w:gridSpan w:val="2"/>
            <w:tcBorders>
              <w:top w:val="single" w:sz="6" w:space="0" w:color="auto"/>
              <w:left w:val="single" w:sz="6" w:space="0" w:color="auto"/>
              <w:bottom w:val="single" w:sz="6" w:space="0" w:color="auto"/>
              <w:right w:val="single" w:sz="6" w:space="0" w:color="auto"/>
            </w:tcBorders>
            <w:shd w:val="clear" w:color="auto" w:fill="FFFFFF"/>
          </w:tcPr>
          <w:p w:rsidR="006F5DA1" w:rsidRPr="00E942A7" w:rsidRDefault="006F5DA1" w:rsidP="006F5DA1">
            <w:pPr>
              <w:rPr>
                <w:sz w:val="22"/>
                <w:szCs w:val="22"/>
                <w:lang w:val="sr-Latn-CS"/>
              </w:rPr>
            </w:pPr>
            <w:r w:rsidRPr="00E942A7">
              <w:rPr>
                <w:spacing w:val="-4"/>
                <w:sz w:val="22"/>
                <w:szCs w:val="22"/>
                <w:lang w:val="sr-Latn-CS"/>
              </w:rPr>
              <w:t>0,005</w:t>
            </w:r>
          </w:p>
        </w:tc>
        <w:tc>
          <w:tcPr>
            <w:tcW w:w="2128" w:type="dxa"/>
            <w:gridSpan w:val="2"/>
            <w:tcBorders>
              <w:top w:val="single" w:sz="6" w:space="0" w:color="auto"/>
              <w:left w:val="single" w:sz="6" w:space="0" w:color="auto"/>
              <w:bottom w:val="single" w:sz="6" w:space="0" w:color="auto"/>
              <w:right w:val="single" w:sz="6" w:space="0" w:color="auto"/>
            </w:tcBorders>
            <w:shd w:val="clear" w:color="auto" w:fill="FFFFFF"/>
          </w:tcPr>
          <w:p w:rsidR="006F5DA1" w:rsidRPr="00E942A7" w:rsidRDefault="006F5DA1" w:rsidP="006F5DA1">
            <w:pPr>
              <w:rPr>
                <w:sz w:val="22"/>
                <w:szCs w:val="22"/>
                <w:lang w:val="sr-Latn-CS"/>
              </w:rPr>
            </w:pPr>
            <w:r w:rsidRPr="00E942A7">
              <w:rPr>
                <w:spacing w:val="-4"/>
                <w:sz w:val="22"/>
                <w:szCs w:val="22"/>
                <w:lang w:val="sr-Latn-CS"/>
              </w:rPr>
              <w:t>0,023</w:t>
            </w:r>
          </w:p>
        </w:tc>
        <w:tc>
          <w:tcPr>
            <w:tcW w:w="2014" w:type="dxa"/>
            <w:gridSpan w:val="2"/>
            <w:tcBorders>
              <w:top w:val="single" w:sz="6" w:space="0" w:color="auto"/>
              <w:left w:val="single" w:sz="6" w:space="0" w:color="auto"/>
              <w:bottom w:val="single" w:sz="6" w:space="0" w:color="auto"/>
              <w:right w:val="single" w:sz="6" w:space="0" w:color="auto"/>
            </w:tcBorders>
            <w:shd w:val="clear" w:color="auto" w:fill="FFFFFF"/>
          </w:tcPr>
          <w:p w:rsidR="006F5DA1" w:rsidRPr="00E942A7" w:rsidRDefault="006F5DA1" w:rsidP="006F5DA1">
            <w:pPr>
              <w:rPr>
                <w:sz w:val="22"/>
                <w:szCs w:val="22"/>
                <w:lang w:val="sr-Latn-CS"/>
              </w:rPr>
            </w:pPr>
            <w:r w:rsidRPr="00E942A7">
              <w:rPr>
                <w:spacing w:val="-2"/>
                <w:sz w:val="22"/>
                <w:szCs w:val="22"/>
                <w:lang w:val="sr-Latn-CS"/>
              </w:rPr>
              <w:t>0,060</w:t>
            </w:r>
          </w:p>
        </w:tc>
      </w:tr>
      <w:tr w:rsidR="006F5DA1" w:rsidRPr="00E942A7" w:rsidTr="001F5CB2">
        <w:trPr>
          <w:trHeight w:hRule="exact" w:val="1195"/>
          <w:jc w:val="center"/>
        </w:trPr>
        <w:tc>
          <w:tcPr>
            <w:tcW w:w="2045" w:type="dxa"/>
            <w:tcBorders>
              <w:top w:val="single" w:sz="6" w:space="0" w:color="auto"/>
              <w:left w:val="single" w:sz="6" w:space="0" w:color="auto"/>
              <w:bottom w:val="single" w:sz="6" w:space="0" w:color="auto"/>
              <w:right w:val="single" w:sz="6" w:space="0" w:color="auto"/>
            </w:tcBorders>
            <w:shd w:val="clear" w:color="auto" w:fill="FFFFFF"/>
          </w:tcPr>
          <w:p w:rsidR="006F5DA1" w:rsidRPr="00E942A7" w:rsidRDefault="006F5DA1" w:rsidP="006F5DA1">
            <w:pPr>
              <w:shd w:val="clear" w:color="auto" w:fill="FFFFFF"/>
              <w:spacing w:line="240" w:lineRule="exact"/>
              <w:ind w:right="62"/>
              <w:rPr>
                <w:sz w:val="22"/>
                <w:szCs w:val="22"/>
                <w:lang w:val="sr-Latn-CS"/>
              </w:rPr>
            </w:pPr>
            <w:r w:rsidRPr="00E942A7">
              <w:rPr>
                <w:spacing w:val="3"/>
                <w:sz w:val="22"/>
                <w:szCs w:val="22"/>
                <w:lang w:val="sr-Latn-CS"/>
              </w:rPr>
              <w:t>Smanjenje rizika od izlaganja</w:t>
            </w:r>
            <w:r w:rsidRPr="00E942A7">
              <w:rPr>
                <w:spacing w:val="1"/>
                <w:sz w:val="22"/>
                <w:szCs w:val="22"/>
                <w:lang w:val="sr-Latn-CS"/>
              </w:rPr>
              <w:t xml:space="preserve"> višestrukim događajima** (%)</w:t>
            </w:r>
          </w:p>
        </w:tc>
        <w:tc>
          <w:tcPr>
            <w:tcW w:w="1332" w:type="dxa"/>
            <w:tcBorders>
              <w:top w:val="single" w:sz="6" w:space="0" w:color="auto"/>
              <w:left w:val="single" w:sz="6" w:space="0" w:color="auto"/>
              <w:bottom w:val="single" w:sz="6" w:space="0" w:color="auto"/>
              <w:right w:val="single" w:sz="6" w:space="0" w:color="auto"/>
            </w:tcBorders>
            <w:shd w:val="clear" w:color="auto" w:fill="FFFFFF"/>
          </w:tcPr>
          <w:p w:rsidR="006F5DA1" w:rsidRPr="00E942A7" w:rsidRDefault="006F5DA1" w:rsidP="006F5DA1">
            <w:pPr>
              <w:shd w:val="clear" w:color="auto" w:fill="FFFFFF"/>
              <w:rPr>
                <w:sz w:val="22"/>
                <w:szCs w:val="22"/>
                <w:lang w:val="sr-Latn-CS"/>
              </w:rPr>
            </w:pPr>
            <w:r w:rsidRPr="00E942A7">
              <w:rPr>
                <w:sz w:val="22"/>
                <w:szCs w:val="22"/>
                <w:lang w:val="sr-Latn-CS"/>
              </w:rPr>
              <w:t>36</w:t>
            </w:r>
          </w:p>
        </w:tc>
        <w:tc>
          <w:tcPr>
            <w:tcW w:w="1065" w:type="dxa"/>
            <w:tcBorders>
              <w:top w:val="single" w:sz="6" w:space="0" w:color="auto"/>
              <w:left w:val="single" w:sz="6" w:space="0" w:color="auto"/>
              <w:bottom w:val="single" w:sz="6" w:space="0" w:color="auto"/>
              <w:right w:val="single" w:sz="6" w:space="0" w:color="auto"/>
            </w:tcBorders>
            <w:shd w:val="clear" w:color="auto" w:fill="FFFFFF"/>
          </w:tcPr>
          <w:p w:rsidR="006F5DA1" w:rsidRPr="00E942A7" w:rsidRDefault="006F5DA1" w:rsidP="006F5DA1">
            <w:pPr>
              <w:shd w:val="clear" w:color="auto" w:fill="FFFFFF"/>
              <w:rPr>
                <w:sz w:val="22"/>
                <w:szCs w:val="22"/>
                <w:lang w:val="sr-Latn-CS"/>
              </w:rPr>
            </w:pPr>
            <w:r w:rsidRPr="00E942A7">
              <w:rPr>
                <w:sz w:val="22"/>
                <w:szCs w:val="22"/>
                <w:lang w:val="sr-Latn-CS"/>
              </w:rPr>
              <w:t>–</w:t>
            </w:r>
          </w:p>
        </w:tc>
        <w:tc>
          <w:tcPr>
            <w:tcW w:w="1199" w:type="dxa"/>
            <w:tcBorders>
              <w:top w:val="single" w:sz="6" w:space="0" w:color="auto"/>
              <w:left w:val="single" w:sz="6" w:space="0" w:color="auto"/>
              <w:bottom w:val="single" w:sz="6" w:space="0" w:color="auto"/>
              <w:right w:val="single" w:sz="6" w:space="0" w:color="auto"/>
            </w:tcBorders>
            <w:shd w:val="clear" w:color="auto" w:fill="FFFFFF"/>
          </w:tcPr>
          <w:p w:rsidR="006F5DA1" w:rsidRPr="00E942A7" w:rsidRDefault="006F5DA1" w:rsidP="006F5DA1">
            <w:pPr>
              <w:shd w:val="clear" w:color="auto" w:fill="FFFFFF"/>
              <w:rPr>
                <w:sz w:val="22"/>
                <w:szCs w:val="22"/>
                <w:lang w:val="sr-Latn-CS"/>
              </w:rPr>
            </w:pPr>
            <w:r w:rsidRPr="00E942A7">
              <w:rPr>
                <w:sz w:val="22"/>
                <w:szCs w:val="22"/>
                <w:lang w:val="sr-Latn-CS"/>
              </w:rPr>
              <w:t>NP</w:t>
            </w:r>
          </w:p>
        </w:tc>
        <w:tc>
          <w:tcPr>
            <w:tcW w:w="929" w:type="dxa"/>
            <w:tcBorders>
              <w:top w:val="single" w:sz="6" w:space="0" w:color="auto"/>
              <w:left w:val="single" w:sz="6" w:space="0" w:color="auto"/>
              <w:bottom w:val="single" w:sz="6" w:space="0" w:color="auto"/>
              <w:right w:val="single" w:sz="6" w:space="0" w:color="auto"/>
            </w:tcBorders>
            <w:shd w:val="clear" w:color="auto" w:fill="FFFFFF"/>
          </w:tcPr>
          <w:p w:rsidR="006F5DA1" w:rsidRPr="00E942A7" w:rsidRDefault="006F5DA1" w:rsidP="006F5DA1">
            <w:pPr>
              <w:shd w:val="clear" w:color="auto" w:fill="FFFFFF"/>
              <w:rPr>
                <w:sz w:val="22"/>
                <w:szCs w:val="22"/>
                <w:lang w:val="sr-Latn-CS"/>
              </w:rPr>
            </w:pPr>
            <w:r w:rsidRPr="00E942A7">
              <w:rPr>
                <w:sz w:val="22"/>
                <w:szCs w:val="22"/>
                <w:lang w:val="sr-Latn-CS"/>
              </w:rPr>
              <w:t>NP</w:t>
            </w:r>
          </w:p>
        </w:tc>
        <w:tc>
          <w:tcPr>
            <w:tcW w:w="1065" w:type="dxa"/>
            <w:tcBorders>
              <w:top w:val="single" w:sz="6" w:space="0" w:color="auto"/>
              <w:left w:val="single" w:sz="6" w:space="0" w:color="auto"/>
              <w:bottom w:val="single" w:sz="6" w:space="0" w:color="auto"/>
              <w:right w:val="single" w:sz="6" w:space="0" w:color="auto"/>
            </w:tcBorders>
            <w:shd w:val="clear" w:color="auto" w:fill="FFFFFF"/>
          </w:tcPr>
          <w:p w:rsidR="006F5DA1" w:rsidRPr="00E942A7" w:rsidRDefault="006F5DA1" w:rsidP="006F5DA1">
            <w:pPr>
              <w:shd w:val="clear" w:color="auto" w:fill="FFFFFF"/>
              <w:rPr>
                <w:sz w:val="22"/>
                <w:szCs w:val="22"/>
                <w:lang w:val="sr-Latn-CS"/>
              </w:rPr>
            </w:pPr>
            <w:r w:rsidRPr="00E942A7">
              <w:rPr>
                <w:sz w:val="22"/>
                <w:szCs w:val="22"/>
                <w:lang w:val="sr-Latn-CS"/>
              </w:rPr>
              <w:t>NP</w:t>
            </w:r>
          </w:p>
        </w:tc>
        <w:tc>
          <w:tcPr>
            <w:tcW w:w="949" w:type="dxa"/>
            <w:tcBorders>
              <w:top w:val="single" w:sz="6" w:space="0" w:color="auto"/>
              <w:left w:val="single" w:sz="6" w:space="0" w:color="auto"/>
              <w:bottom w:val="single" w:sz="6" w:space="0" w:color="auto"/>
              <w:right w:val="single" w:sz="6" w:space="0" w:color="auto"/>
            </w:tcBorders>
            <w:shd w:val="clear" w:color="auto" w:fill="FFFFFF"/>
          </w:tcPr>
          <w:p w:rsidR="006F5DA1" w:rsidRPr="00E942A7" w:rsidRDefault="006F5DA1" w:rsidP="006F5DA1">
            <w:pPr>
              <w:shd w:val="clear" w:color="auto" w:fill="FFFFFF"/>
              <w:rPr>
                <w:sz w:val="22"/>
                <w:szCs w:val="22"/>
                <w:lang w:val="sr-Latn-CS"/>
              </w:rPr>
            </w:pPr>
            <w:r w:rsidRPr="00E942A7">
              <w:rPr>
                <w:sz w:val="22"/>
                <w:szCs w:val="22"/>
                <w:lang w:val="sr-Latn-CS"/>
              </w:rPr>
              <w:t>NP</w:t>
            </w:r>
          </w:p>
        </w:tc>
      </w:tr>
      <w:tr w:rsidR="006F5DA1" w:rsidRPr="00E942A7" w:rsidTr="001F5CB2">
        <w:trPr>
          <w:trHeight w:hRule="exact" w:val="424"/>
          <w:jc w:val="center"/>
        </w:trPr>
        <w:tc>
          <w:tcPr>
            <w:tcW w:w="2045" w:type="dxa"/>
            <w:tcBorders>
              <w:top w:val="single" w:sz="6" w:space="0" w:color="auto"/>
              <w:left w:val="single" w:sz="6" w:space="0" w:color="auto"/>
              <w:bottom w:val="single" w:sz="6" w:space="0" w:color="auto"/>
              <w:right w:val="single" w:sz="6" w:space="0" w:color="auto"/>
            </w:tcBorders>
            <w:shd w:val="clear" w:color="auto" w:fill="FFFFFF"/>
          </w:tcPr>
          <w:p w:rsidR="006F5DA1" w:rsidRPr="00E942A7" w:rsidRDefault="006F5DA1" w:rsidP="006F5DA1">
            <w:pPr>
              <w:shd w:val="clear" w:color="auto" w:fill="FFFFFF"/>
              <w:rPr>
                <w:sz w:val="22"/>
                <w:szCs w:val="22"/>
                <w:lang w:val="sr-Latn-CS"/>
              </w:rPr>
            </w:pPr>
            <w:r w:rsidRPr="00E942A7">
              <w:rPr>
                <w:sz w:val="22"/>
                <w:szCs w:val="22"/>
                <w:lang w:val="sr-Latn-CS"/>
              </w:rPr>
              <w:t>p-vrijednost</w:t>
            </w:r>
          </w:p>
        </w:tc>
        <w:tc>
          <w:tcPr>
            <w:tcW w:w="2396" w:type="dxa"/>
            <w:gridSpan w:val="2"/>
            <w:tcBorders>
              <w:top w:val="single" w:sz="6" w:space="0" w:color="auto"/>
              <w:left w:val="single" w:sz="6" w:space="0" w:color="auto"/>
              <w:bottom w:val="single" w:sz="6" w:space="0" w:color="auto"/>
              <w:right w:val="single" w:sz="6" w:space="0" w:color="auto"/>
            </w:tcBorders>
            <w:shd w:val="clear" w:color="auto" w:fill="FFFFFF"/>
          </w:tcPr>
          <w:p w:rsidR="006F5DA1" w:rsidRPr="00E942A7" w:rsidRDefault="006F5DA1" w:rsidP="006F5DA1">
            <w:pPr>
              <w:shd w:val="clear" w:color="auto" w:fill="FFFFFF"/>
              <w:rPr>
                <w:sz w:val="22"/>
                <w:szCs w:val="22"/>
                <w:lang w:val="sr-Latn-CS"/>
              </w:rPr>
            </w:pPr>
            <w:r w:rsidRPr="00E942A7">
              <w:rPr>
                <w:spacing w:val="-2"/>
                <w:sz w:val="22"/>
                <w:szCs w:val="22"/>
                <w:lang w:val="sr-Latn-CS"/>
              </w:rPr>
              <w:t>0,002</w:t>
            </w:r>
          </w:p>
        </w:tc>
        <w:tc>
          <w:tcPr>
            <w:tcW w:w="2128" w:type="dxa"/>
            <w:gridSpan w:val="2"/>
            <w:tcBorders>
              <w:top w:val="single" w:sz="6" w:space="0" w:color="auto"/>
              <w:left w:val="single" w:sz="6" w:space="0" w:color="auto"/>
              <w:bottom w:val="single" w:sz="6" w:space="0" w:color="auto"/>
              <w:right w:val="single" w:sz="6" w:space="0" w:color="auto"/>
            </w:tcBorders>
            <w:shd w:val="clear" w:color="auto" w:fill="FFFFFF"/>
          </w:tcPr>
          <w:p w:rsidR="006F5DA1" w:rsidRPr="00E942A7" w:rsidRDefault="006F5DA1" w:rsidP="006F5DA1">
            <w:pPr>
              <w:shd w:val="clear" w:color="auto" w:fill="FFFFFF"/>
              <w:rPr>
                <w:sz w:val="22"/>
                <w:szCs w:val="22"/>
                <w:lang w:val="sr-Latn-CS"/>
              </w:rPr>
            </w:pPr>
            <w:r w:rsidRPr="00E942A7">
              <w:rPr>
                <w:sz w:val="22"/>
                <w:szCs w:val="22"/>
                <w:lang w:val="sr-Latn-CS"/>
              </w:rPr>
              <w:t>NP</w:t>
            </w:r>
          </w:p>
        </w:tc>
        <w:tc>
          <w:tcPr>
            <w:tcW w:w="2014" w:type="dxa"/>
            <w:gridSpan w:val="2"/>
            <w:tcBorders>
              <w:top w:val="single" w:sz="6" w:space="0" w:color="auto"/>
              <w:left w:val="single" w:sz="6" w:space="0" w:color="auto"/>
              <w:bottom w:val="single" w:sz="6" w:space="0" w:color="auto"/>
              <w:right w:val="single" w:sz="6" w:space="0" w:color="auto"/>
            </w:tcBorders>
            <w:shd w:val="clear" w:color="auto" w:fill="FFFFFF"/>
          </w:tcPr>
          <w:p w:rsidR="006F5DA1" w:rsidRPr="00E942A7" w:rsidRDefault="006F5DA1" w:rsidP="006F5DA1">
            <w:pPr>
              <w:shd w:val="clear" w:color="auto" w:fill="FFFFFF"/>
              <w:rPr>
                <w:sz w:val="22"/>
                <w:szCs w:val="22"/>
                <w:lang w:val="sr-Latn-CS"/>
              </w:rPr>
            </w:pPr>
            <w:r w:rsidRPr="00E942A7">
              <w:rPr>
                <w:sz w:val="22"/>
                <w:szCs w:val="22"/>
                <w:lang w:val="sr-Latn-CS"/>
              </w:rPr>
              <w:t>NP</w:t>
            </w:r>
          </w:p>
        </w:tc>
      </w:tr>
    </w:tbl>
    <w:p w:rsidR="006F5DA1" w:rsidRPr="00E942A7" w:rsidRDefault="006F5DA1" w:rsidP="006F5DA1">
      <w:pPr>
        <w:tabs>
          <w:tab w:val="left" w:pos="284"/>
        </w:tabs>
        <w:jc w:val="both"/>
        <w:rPr>
          <w:sz w:val="22"/>
          <w:szCs w:val="22"/>
          <w:lang w:val="sr-Latn-CS"/>
        </w:rPr>
      </w:pPr>
    </w:p>
    <w:p w:rsidR="006F5DA1" w:rsidRPr="00E942A7" w:rsidRDefault="006F5DA1" w:rsidP="006F5DA1">
      <w:pPr>
        <w:shd w:val="clear" w:color="auto" w:fill="FFFFFF"/>
        <w:tabs>
          <w:tab w:val="left" w:pos="605"/>
        </w:tabs>
        <w:spacing w:line="235" w:lineRule="exact"/>
        <w:jc w:val="both"/>
        <w:rPr>
          <w:sz w:val="22"/>
          <w:szCs w:val="22"/>
          <w:lang w:val="sr-Latn-CS"/>
        </w:rPr>
      </w:pPr>
      <w:r w:rsidRPr="00E942A7">
        <w:rPr>
          <w:sz w:val="22"/>
          <w:szCs w:val="22"/>
          <w:lang w:val="sr-Latn-CS"/>
        </w:rPr>
        <w:t>*</w:t>
      </w:r>
      <w:r w:rsidRPr="00E942A7">
        <w:rPr>
          <w:sz w:val="22"/>
          <w:szCs w:val="22"/>
          <w:lang w:val="sr-Latn-CS"/>
        </w:rPr>
        <w:tab/>
      </w:r>
      <w:r w:rsidRPr="00E942A7">
        <w:rPr>
          <w:spacing w:val="2"/>
          <w:sz w:val="22"/>
          <w:szCs w:val="22"/>
          <w:lang w:val="sr-Latn-CS"/>
        </w:rPr>
        <w:t>Uključuje vertebralne i nevertebralne frakture</w:t>
      </w:r>
    </w:p>
    <w:p w:rsidR="006F5DA1" w:rsidRPr="00E942A7" w:rsidRDefault="006F5DA1" w:rsidP="006F5DA1">
      <w:pPr>
        <w:shd w:val="clear" w:color="auto" w:fill="FFFFFF"/>
        <w:tabs>
          <w:tab w:val="left" w:pos="605"/>
        </w:tabs>
        <w:spacing w:line="235" w:lineRule="exact"/>
        <w:jc w:val="both"/>
        <w:rPr>
          <w:sz w:val="22"/>
          <w:szCs w:val="22"/>
          <w:lang w:val="sr-Latn-CS"/>
        </w:rPr>
      </w:pPr>
      <w:r w:rsidRPr="00E942A7">
        <w:rPr>
          <w:spacing w:val="-15"/>
          <w:sz w:val="22"/>
          <w:szCs w:val="22"/>
          <w:lang w:val="sr-Latn-CS"/>
        </w:rPr>
        <w:t>**</w:t>
      </w:r>
      <w:r w:rsidRPr="00E942A7">
        <w:rPr>
          <w:sz w:val="22"/>
          <w:szCs w:val="22"/>
          <w:lang w:val="sr-Latn-CS"/>
        </w:rPr>
        <w:tab/>
      </w:r>
      <w:r w:rsidRPr="00E942A7">
        <w:rPr>
          <w:spacing w:val="2"/>
          <w:sz w:val="22"/>
          <w:szCs w:val="22"/>
          <w:lang w:val="sr-Latn-CS"/>
        </w:rPr>
        <w:t>Odnosi se na sve komplikacije na kostima, ukupan broj kao i vrijeme do pojave svake komplikacije na kostima tokom ispitivanja</w:t>
      </w:r>
    </w:p>
    <w:p w:rsidR="006F5DA1" w:rsidRPr="00E942A7" w:rsidRDefault="006F5DA1" w:rsidP="006F5DA1">
      <w:pPr>
        <w:shd w:val="clear" w:color="auto" w:fill="FFFFFF"/>
        <w:tabs>
          <w:tab w:val="left" w:pos="605"/>
        </w:tabs>
        <w:spacing w:line="235" w:lineRule="exact"/>
        <w:jc w:val="both"/>
        <w:rPr>
          <w:sz w:val="22"/>
          <w:szCs w:val="22"/>
          <w:lang w:val="sr-Latn-CS"/>
        </w:rPr>
      </w:pPr>
      <w:r w:rsidRPr="00E942A7">
        <w:rPr>
          <w:spacing w:val="8"/>
          <w:sz w:val="22"/>
          <w:szCs w:val="22"/>
          <w:lang w:val="sr-Latn-CS"/>
        </w:rPr>
        <w:t>ND</w:t>
      </w:r>
      <w:r w:rsidRPr="00E942A7">
        <w:rPr>
          <w:sz w:val="22"/>
          <w:szCs w:val="22"/>
          <w:lang w:val="sr-Latn-CS"/>
        </w:rPr>
        <w:t xml:space="preserve"> </w:t>
      </w:r>
      <w:r w:rsidRPr="00E942A7">
        <w:rPr>
          <w:spacing w:val="3"/>
          <w:sz w:val="22"/>
          <w:szCs w:val="22"/>
          <w:lang w:val="sr-Latn-CS"/>
        </w:rPr>
        <w:t>Nije dostignuto</w:t>
      </w:r>
    </w:p>
    <w:p w:rsidR="006F5DA1" w:rsidRPr="00E942A7" w:rsidRDefault="006F5DA1" w:rsidP="006F5DA1">
      <w:pPr>
        <w:shd w:val="clear" w:color="auto" w:fill="FFFFFF"/>
        <w:tabs>
          <w:tab w:val="left" w:pos="605"/>
        </w:tabs>
        <w:spacing w:line="235" w:lineRule="exact"/>
        <w:jc w:val="both"/>
        <w:rPr>
          <w:spacing w:val="2"/>
          <w:sz w:val="22"/>
          <w:szCs w:val="22"/>
          <w:lang w:val="sr-Latn-CS"/>
        </w:rPr>
      </w:pPr>
      <w:r w:rsidRPr="00E942A7">
        <w:rPr>
          <w:spacing w:val="7"/>
          <w:sz w:val="22"/>
          <w:szCs w:val="22"/>
          <w:lang w:val="sr-Latn-CS"/>
        </w:rPr>
        <w:t>NP</w:t>
      </w:r>
      <w:r w:rsidRPr="00E942A7">
        <w:rPr>
          <w:sz w:val="22"/>
          <w:szCs w:val="22"/>
          <w:lang w:val="sr-Latn-CS"/>
        </w:rPr>
        <w:t xml:space="preserve"> </w:t>
      </w:r>
      <w:r w:rsidRPr="00E942A7">
        <w:rPr>
          <w:spacing w:val="2"/>
          <w:sz w:val="22"/>
          <w:szCs w:val="22"/>
          <w:lang w:val="sr-Latn-CS"/>
        </w:rPr>
        <w:t>Nije primjenjljivo</w:t>
      </w:r>
    </w:p>
    <w:p w:rsidR="006F5DA1" w:rsidRPr="00E942A7" w:rsidRDefault="006F5DA1" w:rsidP="006F5DA1">
      <w:pPr>
        <w:shd w:val="clear" w:color="auto" w:fill="FFFFFF"/>
        <w:tabs>
          <w:tab w:val="left" w:pos="605"/>
        </w:tabs>
        <w:spacing w:line="235" w:lineRule="exact"/>
        <w:jc w:val="both"/>
        <w:rPr>
          <w:spacing w:val="2"/>
          <w:sz w:val="22"/>
          <w:szCs w:val="22"/>
          <w:lang w:val="sr-Latn-CS"/>
        </w:rPr>
      </w:pPr>
      <w:r w:rsidRPr="00E942A7">
        <w:rPr>
          <w:spacing w:val="2"/>
          <w:sz w:val="22"/>
          <w:szCs w:val="22"/>
          <w:lang w:val="sr-Latn-CS"/>
        </w:rPr>
        <w:t>TIH (Tumor-induced hypercalcaemia) – hiperkalcijemija izazvana tumorom</w:t>
      </w:r>
    </w:p>
    <w:p w:rsidR="006F5DA1" w:rsidRPr="00E942A7" w:rsidRDefault="006F5DA1" w:rsidP="006F5DA1">
      <w:pPr>
        <w:shd w:val="clear" w:color="auto" w:fill="FFFFFF"/>
        <w:tabs>
          <w:tab w:val="left" w:pos="605"/>
        </w:tabs>
        <w:spacing w:line="235" w:lineRule="exact"/>
        <w:jc w:val="both"/>
        <w:rPr>
          <w:b/>
          <w:bCs/>
          <w:sz w:val="22"/>
          <w:szCs w:val="22"/>
          <w:lang w:val="sr-Latn-CS"/>
        </w:rPr>
      </w:pPr>
    </w:p>
    <w:p w:rsidR="006F5DA1" w:rsidRPr="00E942A7" w:rsidRDefault="006F5DA1" w:rsidP="006F5DA1">
      <w:pPr>
        <w:shd w:val="clear" w:color="auto" w:fill="FFFFFF"/>
        <w:tabs>
          <w:tab w:val="left" w:pos="605"/>
        </w:tabs>
        <w:spacing w:line="235" w:lineRule="exact"/>
        <w:jc w:val="both"/>
        <w:rPr>
          <w:sz w:val="22"/>
          <w:szCs w:val="22"/>
          <w:lang w:val="sr-Latn-CS"/>
        </w:rPr>
      </w:pPr>
      <w:r w:rsidRPr="00E942A7">
        <w:rPr>
          <w:b/>
          <w:bCs/>
          <w:sz w:val="22"/>
          <w:szCs w:val="22"/>
          <w:lang w:val="sr-Latn-CS"/>
        </w:rPr>
        <w:t xml:space="preserve">Tabela 3: </w:t>
      </w:r>
      <w:r w:rsidRPr="00E942A7">
        <w:rPr>
          <w:spacing w:val="3"/>
          <w:sz w:val="22"/>
          <w:szCs w:val="22"/>
          <w:lang w:val="sr-Latn-CS"/>
        </w:rPr>
        <w:t>Rezultati efikasnosti</w:t>
      </w:r>
      <w:r w:rsidRPr="00E942A7">
        <w:rPr>
          <w:sz w:val="22"/>
          <w:szCs w:val="22"/>
          <w:lang w:val="sr-Latn-CS"/>
        </w:rPr>
        <w:t xml:space="preserve"> (solidni tumori osim karcinoma dojke ili prostate)</w:t>
      </w:r>
    </w:p>
    <w:tbl>
      <w:tblPr>
        <w:tblW w:w="0" w:type="auto"/>
        <w:jc w:val="center"/>
        <w:tblLayout w:type="fixed"/>
        <w:tblCellMar>
          <w:left w:w="40" w:type="dxa"/>
          <w:right w:w="40" w:type="dxa"/>
        </w:tblCellMar>
        <w:tblLook w:val="0000" w:firstRow="0" w:lastRow="0" w:firstColumn="0" w:lastColumn="0" w:noHBand="0" w:noVBand="0"/>
      </w:tblPr>
      <w:tblGrid>
        <w:gridCol w:w="2045"/>
        <w:gridCol w:w="1332"/>
        <w:gridCol w:w="1065"/>
        <w:gridCol w:w="1199"/>
        <w:gridCol w:w="929"/>
        <w:gridCol w:w="1065"/>
        <w:gridCol w:w="949"/>
      </w:tblGrid>
      <w:tr w:rsidR="006F5DA1" w:rsidRPr="00E942A7" w:rsidTr="001F5CB2">
        <w:trPr>
          <w:trHeight w:val="810"/>
          <w:jc w:val="center"/>
        </w:trPr>
        <w:tc>
          <w:tcPr>
            <w:tcW w:w="2045" w:type="dxa"/>
            <w:tcBorders>
              <w:top w:val="single" w:sz="6" w:space="0" w:color="auto"/>
              <w:left w:val="single" w:sz="6" w:space="0" w:color="auto"/>
              <w:bottom w:val="nil"/>
              <w:right w:val="single" w:sz="6" w:space="0" w:color="auto"/>
            </w:tcBorders>
            <w:shd w:val="clear" w:color="auto" w:fill="FFFFFF"/>
          </w:tcPr>
          <w:p w:rsidR="006F5DA1" w:rsidRPr="00E942A7" w:rsidRDefault="006F5DA1" w:rsidP="006F5DA1">
            <w:pPr>
              <w:rPr>
                <w:sz w:val="22"/>
                <w:szCs w:val="22"/>
                <w:lang w:val="sr-Latn-CS"/>
              </w:rPr>
            </w:pPr>
          </w:p>
        </w:tc>
        <w:tc>
          <w:tcPr>
            <w:tcW w:w="2396" w:type="dxa"/>
            <w:gridSpan w:val="2"/>
            <w:tcBorders>
              <w:top w:val="single" w:sz="6" w:space="0" w:color="auto"/>
              <w:left w:val="single" w:sz="6" w:space="0" w:color="auto"/>
              <w:right w:val="single" w:sz="6" w:space="0" w:color="auto"/>
            </w:tcBorders>
            <w:shd w:val="clear" w:color="auto" w:fill="FFFFFF"/>
          </w:tcPr>
          <w:p w:rsidR="006F5DA1" w:rsidRPr="00E942A7" w:rsidRDefault="006F5DA1" w:rsidP="006F5DA1">
            <w:pPr>
              <w:rPr>
                <w:sz w:val="22"/>
                <w:szCs w:val="22"/>
                <w:lang w:val="sr-Latn-CS"/>
              </w:rPr>
            </w:pPr>
            <w:r w:rsidRPr="00E942A7">
              <w:rPr>
                <w:sz w:val="22"/>
                <w:szCs w:val="22"/>
                <w:lang w:val="sr-Latn-CS"/>
              </w:rPr>
              <w:t>Bilo koja komplikacija na kostima (+TIH)</w:t>
            </w:r>
          </w:p>
        </w:tc>
        <w:tc>
          <w:tcPr>
            <w:tcW w:w="2128" w:type="dxa"/>
            <w:gridSpan w:val="2"/>
            <w:tcBorders>
              <w:top w:val="single" w:sz="6" w:space="0" w:color="auto"/>
              <w:left w:val="single" w:sz="6" w:space="0" w:color="auto"/>
              <w:right w:val="single" w:sz="6" w:space="0" w:color="auto"/>
            </w:tcBorders>
            <w:shd w:val="clear" w:color="auto" w:fill="FFFFFF"/>
          </w:tcPr>
          <w:p w:rsidR="006F5DA1" w:rsidRPr="00E942A7" w:rsidRDefault="006F5DA1" w:rsidP="006F5DA1">
            <w:pPr>
              <w:rPr>
                <w:sz w:val="22"/>
                <w:szCs w:val="22"/>
                <w:lang w:val="sr-Latn-CS"/>
              </w:rPr>
            </w:pPr>
            <w:r w:rsidRPr="00E942A7">
              <w:rPr>
                <w:sz w:val="22"/>
                <w:szCs w:val="22"/>
                <w:lang w:val="sr-Latn-CS"/>
              </w:rPr>
              <w:t>Frakture*</w:t>
            </w:r>
          </w:p>
        </w:tc>
        <w:tc>
          <w:tcPr>
            <w:tcW w:w="2014" w:type="dxa"/>
            <w:gridSpan w:val="2"/>
            <w:tcBorders>
              <w:top w:val="single" w:sz="6" w:space="0" w:color="auto"/>
              <w:left w:val="single" w:sz="6" w:space="0" w:color="auto"/>
              <w:right w:val="single" w:sz="6" w:space="0" w:color="auto"/>
            </w:tcBorders>
            <w:shd w:val="clear" w:color="auto" w:fill="FFFFFF"/>
          </w:tcPr>
          <w:p w:rsidR="006F5DA1" w:rsidRPr="00E942A7" w:rsidRDefault="006F5DA1" w:rsidP="006F5DA1">
            <w:pPr>
              <w:rPr>
                <w:sz w:val="22"/>
                <w:szCs w:val="22"/>
                <w:lang w:val="sr-Latn-CS"/>
              </w:rPr>
            </w:pPr>
            <w:r w:rsidRPr="00E942A7">
              <w:rPr>
                <w:spacing w:val="1"/>
                <w:sz w:val="22"/>
                <w:szCs w:val="22"/>
                <w:lang w:val="sr-Latn-CS"/>
              </w:rPr>
              <w:t>Radijaciona terapija</w:t>
            </w:r>
          </w:p>
          <w:p w:rsidR="006F5DA1" w:rsidRPr="00E942A7" w:rsidRDefault="006F5DA1" w:rsidP="006F5DA1">
            <w:pPr>
              <w:rPr>
                <w:sz w:val="22"/>
                <w:szCs w:val="22"/>
                <w:lang w:val="sr-Latn-CS"/>
              </w:rPr>
            </w:pPr>
            <w:r w:rsidRPr="00E942A7">
              <w:rPr>
                <w:sz w:val="22"/>
                <w:szCs w:val="22"/>
                <w:lang w:val="sr-Latn-CS"/>
              </w:rPr>
              <w:t>kosti</w:t>
            </w:r>
          </w:p>
        </w:tc>
      </w:tr>
      <w:tr w:rsidR="006F5DA1" w:rsidRPr="00E942A7" w:rsidTr="001F5CB2">
        <w:trPr>
          <w:trHeight w:hRule="exact" w:val="817"/>
          <w:jc w:val="center"/>
        </w:trPr>
        <w:tc>
          <w:tcPr>
            <w:tcW w:w="2045" w:type="dxa"/>
            <w:tcBorders>
              <w:top w:val="single" w:sz="6" w:space="0" w:color="auto"/>
              <w:left w:val="single" w:sz="6" w:space="0" w:color="auto"/>
              <w:bottom w:val="single" w:sz="6" w:space="0" w:color="auto"/>
              <w:right w:val="single" w:sz="6" w:space="0" w:color="auto"/>
            </w:tcBorders>
            <w:shd w:val="clear" w:color="auto" w:fill="FFFFFF"/>
          </w:tcPr>
          <w:p w:rsidR="006F5DA1" w:rsidRPr="00E942A7" w:rsidRDefault="006F5DA1" w:rsidP="006F5DA1">
            <w:pPr>
              <w:rPr>
                <w:sz w:val="22"/>
                <w:szCs w:val="22"/>
                <w:lang w:val="sr-Latn-CS"/>
              </w:rPr>
            </w:pPr>
          </w:p>
        </w:tc>
        <w:tc>
          <w:tcPr>
            <w:tcW w:w="1332" w:type="dxa"/>
            <w:tcBorders>
              <w:top w:val="single" w:sz="6" w:space="0" w:color="auto"/>
              <w:left w:val="single" w:sz="6" w:space="0" w:color="auto"/>
              <w:bottom w:val="single" w:sz="6" w:space="0" w:color="auto"/>
              <w:right w:val="single" w:sz="6" w:space="0" w:color="auto"/>
            </w:tcBorders>
            <w:shd w:val="clear" w:color="auto" w:fill="FFFFFF"/>
          </w:tcPr>
          <w:p w:rsidR="006F5DA1" w:rsidRPr="00E942A7" w:rsidRDefault="006F5DA1" w:rsidP="006F5DA1">
            <w:pPr>
              <w:rPr>
                <w:sz w:val="22"/>
                <w:szCs w:val="22"/>
                <w:lang w:val="sr-Latn-CS"/>
              </w:rPr>
            </w:pPr>
            <w:r w:rsidRPr="00E942A7">
              <w:rPr>
                <w:spacing w:val="2"/>
                <w:sz w:val="22"/>
                <w:szCs w:val="22"/>
                <w:lang w:val="sr-Latn-CS"/>
              </w:rPr>
              <w:t xml:space="preserve"> 4mg zoledronske kiseline</w:t>
            </w:r>
          </w:p>
        </w:tc>
        <w:tc>
          <w:tcPr>
            <w:tcW w:w="1065" w:type="dxa"/>
            <w:tcBorders>
              <w:top w:val="single" w:sz="6" w:space="0" w:color="auto"/>
              <w:left w:val="single" w:sz="6" w:space="0" w:color="auto"/>
              <w:bottom w:val="single" w:sz="6" w:space="0" w:color="auto"/>
              <w:right w:val="single" w:sz="6" w:space="0" w:color="auto"/>
            </w:tcBorders>
            <w:shd w:val="clear" w:color="auto" w:fill="FFFFFF"/>
          </w:tcPr>
          <w:p w:rsidR="006F5DA1" w:rsidRPr="00E942A7" w:rsidRDefault="006F5DA1" w:rsidP="006F5DA1">
            <w:pPr>
              <w:rPr>
                <w:sz w:val="22"/>
                <w:szCs w:val="22"/>
                <w:lang w:val="sr-Latn-CS"/>
              </w:rPr>
            </w:pPr>
            <w:r w:rsidRPr="00E942A7">
              <w:rPr>
                <w:sz w:val="22"/>
                <w:szCs w:val="22"/>
                <w:lang w:val="sr-Latn-CS"/>
              </w:rPr>
              <w:t>Placebo</w:t>
            </w:r>
          </w:p>
        </w:tc>
        <w:tc>
          <w:tcPr>
            <w:tcW w:w="1199" w:type="dxa"/>
            <w:tcBorders>
              <w:top w:val="single" w:sz="6" w:space="0" w:color="auto"/>
              <w:left w:val="single" w:sz="6" w:space="0" w:color="auto"/>
              <w:bottom w:val="single" w:sz="6" w:space="0" w:color="auto"/>
              <w:right w:val="single" w:sz="6" w:space="0" w:color="auto"/>
            </w:tcBorders>
            <w:shd w:val="clear" w:color="auto" w:fill="FFFFFF"/>
          </w:tcPr>
          <w:p w:rsidR="006F5DA1" w:rsidRPr="00E942A7" w:rsidRDefault="006F5DA1" w:rsidP="006F5DA1">
            <w:pPr>
              <w:rPr>
                <w:sz w:val="22"/>
                <w:szCs w:val="22"/>
                <w:lang w:val="sr-Latn-CS"/>
              </w:rPr>
            </w:pPr>
            <w:r w:rsidRPr="00E942A7">
              <w:rPr>
                <w:spacing w:val="2"/>
                <w:sz w:val="22"/>
                <w:szCs w:val="22"/>
                <w:lang w:val="sr-Latn-CS"/>
              </w:rPr>
              <w:t xml:space="preserve"> 4mg zoledronske kiseline</w:t>
            </w:r>
          </w:p>
        </w:tc>
        <w:tc>
          <w:tcPr>
            <w:tcW w:w="929" w:type="dxa"/>
            <w:tcBorders>
              <w:top w:val="single" w:sz="6" w:space="0" w:color="auto"/>
              <w:left w:val="single" w:sz="6" w:space="0" w:color="auto"/>
              <w:bottom w:val="single" w:sz="6" w:space="0" w:color="auto"/>
              <w:right w:val="single" w:sz="6" w:space="0" w:color="auto"/>
            </w:tcBorders>
            <w:shd w:val="clear" w:color="auto" w:fill="FFFFFF"/>
          </w:tcPr>
          <w:p w:rsidR="006F5DA1" w:rsidRPr="00E942A7" w:rsidRDefault="006F5DA1" w:rsidP="006F5DA1">
            <w:pPr>
              <w:rPr>
                <w:sz w:val="22"/>
                <w:szCs w:val="22"/>
                <w:lang w:val="sr-Latn-CS"/>
              </w:rPr>
            </w:pPr>
            <w:r w:rsidRPr="00E942A7">
              <w:rPr>
                <w:sz w:val="22"/>
                <w:szCs w:val="22"/>
                <w:lang w:val="sr-Latn-CS"/>
              </w:rPr>
              <w:t>Placebo</w:t>
            </w:r>
          </w:p>
        </w:tc>
        <w:tc>
          <w:tcPr>
            <w:tcW w:w="1065" w:type="dxa"/>
            <w:tcBorders>
              <w:top w:val="single" w:sz="6" w:space="0" w:color="auto"/>
              <w:left w:val="single" w:sz="6" w:space="0" w:color="auto"/>
              <w:bottom w:val="single" w:sz="6" w:space="0" w:color="auto"/>
              <w:right w:val="single" w:sz="6" w:space="0" w:color="auto"/>
            </w:tcBorders>
            <w:shd w:val="clear" w:color="auto" w:fill="FFFFFF"/>
          </w:tcPr>
          <w:p w:rsidR="006F5DA1" w:rsidRPr="00E942A7" w:rsidRDefault="006F5DA1" w:rsidP="006F5DA1">
            <w:pPr>
              <w:rPr>
                <w:sz w:val="22"/>
                <w:szCs w:val="22"/>
                <w:lang w:val="sr-Latn-CS"/>
              </w:rPr>
            </w:pPr>
            <w:r w:rsidRPr="00E942A7">
              <w:rPr>
                <w:spacing w:val="1"/>
                <w:sz w:val="22"/>
                <w:szCs w:val="22"/>
                <w:lang w:val="sr-Latn-CS"/>
              </w:rPr>
              <w:t xml:space="preserve"> </w:t>
            </w:r>
            <w:r w:rsidRPr="00E942A7">
              <w:rPr>
                <w:spacing w:val="2"/>
                <w:sz w:val="22"/>
                <w:szCs w:val="22"/>
                <w:lang w:val="sr-Latn-CS"/>
              </w:rPr>
              <w:t>4mg zoledronske kiseline</w:t>
            </w:r>
          </w:p>
        </w:tc>
        <w:tc>
          <w:tcPr>
            <w:tcW w:w="949" w:type="dxa"/>
            <w:tcBorders>
              <w:top w:val="single" w:sz="6" w:space="0" w:color="auto"/>
              <w:left w:val="single" w:sz="6" w:space="0" w:color="auto"/>
              <w:bottom w:val="single" w:sz="6" w:space="0" w:color="auto"/>
              <w:right w:val="single" w:sz="6" w:space="0" w:color="auto"/>
            </w:tcBorders>
            <w:shd w:val="clear" w:color="auto" w:fill="FFFFFF"/>
          </w:tcPr>
          <w:p w:rsidR="006F5DA1" w:rsidRPr="00E942A7" w:rsidRDefault="006F5DA1" w:rsidP="006F5DA1">
            <w:pPr>
              <w:rPr>
                <w:sz w:val="22"/>
                <w:szCs w:val="22"/>
                <w:lang w:val="sr-Latn-CS"/>
              </w:rPr>
            </w:pPr>
            <w:r w:rsidRPr="00E942A7">
              <w:rPr>
                <w:sz w:val="22"/>
                <w:szCs w:val="22"/>
                <w:lang w:val="sr-Latn-CS"/>
              </w:rPr>
              <w:t>Placebo</w:t>
            </w:r>
          </w:p>
        </w:tc>
      </w:tr>
      <w:tr w:rsidR="006F5DA1" w:rsidRPr="00E942A7" w:rsidTr="001F5CB2">
        <w:trPr>
          <w:trHeight w:hRule="exact" w:val="409"/>
          <w:jc w:val="center"/>
        </w:trPr>
        <w:tc>
          <w:tcPr>
            <w:tcW w:w="2045" w:type="dxa"/>
            <w:tcBorders>
              <w:top w:val="single" w:sz="6" w:space="0" w:color="auto"/>
              <w:left w:val="single" w:sz="6" w:space="0" w:color="auto"/>
              <w:bottom w:val="single" w:sz="6" w:space="0" w:color="auto"/>
              <w:right w:val="single" w:sz="6" w:space="0" w:color="auto"/>
            </w:tcBorders>
            <w:shd w:val="clear" w:color="auto" w:fill="FFFFFF"/>
          </w:tcPr>
          <w:p w:rsidR="006F5DA1" w:rsidRPr="00E942A7" w:rsidRDefault="006F5DA1" w:rsidP="006F5DA1">
            <w:pPr>
              <w:rPr>
                <w:sz w:val="22"/>
                <w:szCs w:val="22"/>
                <w:lang w:val="sr-Latn-CS"/>
              </w:rPr>
            </w:pPr>
            <w:r w:rsidRPr="00E942A7">
              <w:rPr>
                <w:sz w:val="22"/>
                <w:szCs w:val="22"/>
                <w:lang w:val="sr-Latn-CS"/>
              </w:rPr>
              <w:lastRenderedPageBreak/>
              <w:t>N</w:t>
            </w:r>
          </w:p>
        </w:tc>
        <w:tc>
          <w:tcPr>
            <w:tcW w:w="1332" w:type="dxa"/>
            <w:tcBorders>
              <w:top w:val="single" w:sz="6" w:space="0" w:color="auto"/>
              <w:left w:val="single" w:sz="6" w:space="0" w:color="auto"/>
              <w:bottom w:val="single" w:sz="6" w:space="0" w:color="auto"/>
              <w:right w:val="single" w:sz="6" w:space="0" w:color="auto"/>
            </w:tcBorders>
            <w:shd w:val="clear" w:color="auto" w:fill="FFFFFF"/>
          </w:tcPr>
          <w:p w:rsidR="006F5DA1" w:rsidRPr="00E942A7" w:rsidRDefault="006F5DA1" w:rsidP="006F5DA1">
            <w:pPr>
              <w:shd w:val="clear" w:color="auto" w:fill="FFFFFF"/>
              <w:rPr>
                <w:sz w:val="22"/>
                <w:szCs w:val="22"/>
                <w:lang w:val="sr-Latn-CS"/>
              </w:rPr>
            </w:pPr>
            <w:r w:rsidRPr="00E942A7">
              <w:rPr>
                <w:sz w:val="22"/>
                <w:szCs w:val="22"/>
                <w:lang w:val="sr-Latn-CS"/>
              </w:rPr>
              <w:t>257</w:t>
            </w:r>
          </w:p>
        </w:tc>
        <w:tc>
          <w:tcPr>
            <w:tcW w:w="1065" w:type="dxa"/>
            <w:tcBorders>
              <w:top w:val="single" w:sz="6" w:space="0" w:color="auto"/>
              <w:left w:val="single" w:sz="6" w:space="0" w:color="auto"/>
              <w:bottom w:val="single" w:sz="6" w:space="0" w:color="auto"/>
              <w:right w:val="single" w:sz="6" w:space="0" w:color="auto"/>
            </w:tcBorders>
            <w:shd w:val="clear" w:color="auto" w:fill="FFFFFF"/>
          </w:tcPr>
          <w:p w:rsidR="006F5DA1" w:rsidRPr="00E942A7" w:rsidRDefault="006F5DA1" w:rsidP="006F5DA1">
            <w:pPr>
              <w:shd w:val="clear" w:color="auto" w:fill="FFFFFF"/>
              <w:rPr>
                <w:sz w:val="22"/>
                <w:szCs w:val="22"/>
                <w:lang w:val="sr-Latn-CS"/>
              </w:rPr>
            </w:pPr>
            <w:r w:rsidRPr="00E942A7">
              <w:rPr>
                <w:sz w:val="22"/>
                <w:szCs w:val="22"/>
                <w:lang w:val="sr-Latn-CS"/>
              </w:rPr>
              <w:t>250</w:t>
            </w:r>
          </w:p>
        </w:tc>
        <w:tc>
          <w:tcPr>
            <w:tcW w:w="1199" w:type="dxa"/>
            <w:tcBorders>
              <w:top w:val="single" w:sz="6" w:space="0" w:color="auto"/>
              <w:left w:val="single" w:sz="6" w:space="0" w:color="auto"/>
              <w:bottom w:val="single" w:sz="6" w:space="0" w:color="auto"/>
              <w:right w:val="single" w:sz="6" w:space="0" w:color="auto"/>
            </w:tcBorders>
            <w:shd w:val="clear" w:color="auto" w:fill="FFFFFF"/>
          </w:tcPr>
          <w:p w:rsidR="006F5DA1" w:rsidRPr="00E942A7" w:rsidRDefault="006F5DA1" w:rsidP="006F5DA1">
            <w:pPr>
              <w:shd w:val="clear" w:color="auto" w:fill="FFFFFF"/>
              <w:rPr>
                <w:sz w:val="22"/>
                <w:szCs w:val="22"/>
                <w:lang w:val="sr-Latn-CS"/>
              </w:rPr>
            </w:pPr>
            <w:r w:rsidRPr="00E942A7">
              <w:rPr>
                <w:sz w:val="22"/>
                <w:szCs w:val="22"/>
                <w:lang w:val="sr-Latn-CS"/>
              </w:rPr>
              <w:t>257</w:t>
            </w:r>
          </w:p>
        </w:tc>
        <w:tc>
          <w:tcPr>
            <w:tcW w:w="929" w:type="dxa"/>
            <w:tcBorders>
              <w:top w:val="single" w:sz="6" w:space="0" w:color="auto"/>
              <w:left w:val="single" w:sz="6" w:space="0" w:color="auto"/>
              <w:bottom w:val="single" w:sz="6" w:space="0" w:color="auto"/>
              <w:right w:val="single" w:sz="6" w:space="0" w:color="auto"/>
            </w:tcBorders>
            <w:shd w:val="clear" w:color="auto" w:fill="FFFFFF"/>
          </w:tcPr>
          <w:p w:rsidR="006F5DA1" w:rsidRPr="00E942A7" w:rsidRDefault="006F5DA1" w:rsidP="006F5DA1">
            <w:pPr>
              <w:shd w:val="clear" w:color="auto" w:fill="FFFFFF"/>
              <w:rPr>
                <w:sz w:val="22"/>
                <w:szCs w:val="22"/>
                <w:lang w:val="sr-Latn-CS"/>
              </w:rPr>
            </w:pPr>
            <w:r w:rsidRPr="00E942A7">
              <w:rPr>
                <w:sz w:val="22"/>
                <w:szCs w:val="22"/>
                <w:lang w:val="sr-Latn-CS"/>
              </w:rPr>
              <w:t>250</w:t>
            </w:r>
          </w:p>
        </w:tc>
        <w:tc>
          <w:tcPr>
            <w:tcW w:w="1065" w:type="dxa"/>
            <w:tcBorders>
              <w:top w:val="single" w:sz="6" w:space="0" w:color="auto"/>
              <w:left w:val="single" w:sz="6" w:space="0" w:color="auto"/>
              <w:bottom w:val="single" w:sz="6" w:space="0" w:color="auto"/>
              <w:right w:val="single" w:sz="6" w:space="0" w:color="auto"/>
            </w:tcBorders>
            <w:shd w:val="clear" w:color="auto" w:fill="FFFFFF"/>
          </w:tcPr>
          <w:p w:rsidR="006F5DA1" w:rsidRPr="00E942A7" w:rsidRDefault="006F5DA1" w:rsidP="006F5DA1">
            <w:pPr>
              <w:shd w:val="clear" w:color="auto" w:fill="FFFFFF"/>
              <w:rPr>
                <w:sz w:val="22"/>
                <w:szCs w:val="22"/>
                <w:lang w:val="sr-Latn-CS"/>
              </w:rPr>
            </w:pPr>
            <w:r w:rsidRPr="00E942A7">
              <w:rPr>
                <w:sz w:val="22"/>
                <w:szCs w:val="22"/>
                <w:lang w:val="sr-Latn-CS"/>
              </w:rPr>
              <w:t>257</w:t>
            </w:r>
          </w:p>
        </w:tc>
        <w:tc>
          <w:tcPr>
            <w:tcW w:w="949" w:type="dxa"/>
            <w:tcBorders>
              <w:top w:val="single" w:sz="6" w:space="0" w:color="auto"/>
              <w:left w:val="single" w:sz="6" w:space="0" w:color="auto"/>
              <w:bottom w:val="single" w:sz="6" w:space="0" w:color="auto"/>
              <w:right w:val="single" w:sz="6" w:space="0" w:color="auto"/>
            </w:tcBorders>
            <w:shd w:val="clear" w:color="auto" w:fill="FFFFFF"/>
          </w:tcPr>
          <w:p w:rsidR="006F5DA1" w:rsidRPr="00E942A7" w:rsidRDefault="006F5DA1" w:rsidP="006F5DA1">
            <w:pPr>
              <w:shd w:val="clear" w:color="auto" w:fill="FFFFFF"/>
              <w:rPr>
                <w:sz w:val="22"/>
                <w:szCs w:val="22"/>
                <w:lang w:val="sr-Latn-CS"/>
              </w:rPr>
            </w:pPr>
            <w:r w:rsidRPr="00E942A7">
              <w:rPr>
                <w:sz w:val="22"/>
                <w:szCs w:val="22"/>
                <w:lang w:val="sr-Latn-CS"/>
              </w:rPr>
              <w:t>250</w:t>
            </w:r>
          </w:p>
        </w:tc>
      </w:tr>
      <w:tr w:rsidR="006F5DA1" w:rsidRPr="00E942A7" w:rsidTr="001F5CB2">
        <w:trPr>
          <w:trHeight w:hRule="exact" w:val="1145"/>
          <w:jc w:val="center"/>
        </w:trPr>
        <w:tc>
          <w:tcPr>
            <w:tcW w:w="2045" w:type="dxa"/>
            <w:tcBorders>
              <w:top w:val="single" w:sz="6" w:space="0" w:color="auto"/>
              <w:left w:val="single" w:sz="6" w:space="0" w:color="auto"/>
              <w:bottom w:val="single" w:sz="6" w:space="0" w:color="auto"/>
              <w:right w:val="single" w:sz="6" w:space="0" w:color="auto"/>
            </w:tcBorders>
            <w:shd w:val="clear" w:color="auto" w:fill="FFFFFF"/>
          </w:tcPr>
          <w:p w:rsidR="006F5DA1" w:rsidRPr="00E942A7" w:rsidRDefault="006F5DA1" w:rsidP="006F5DA1">
            <w:pPr>
              <w:rPr>
                <w:sz w:val="22"/>
                <w:szCs w:val="22"/>
                <w:lang w:val="sr-Latn-CS"/>
              </w:rPr>
            </w:pPr>
            <w:r w:rsidRPr="00E942A7">
              <w:rPr>
                <w:spacing w:val="1"/>
                <w:sz w:val="22"/>
                <w:szCs w:val="22"/>
                <w:lang w:val="sr-Latn-CS"/>
              </w:rPr>
              <w:t>Proporcija pacijenata sa komplikacijama na kostima (%)</w:t>
            </w:r>
          </w:p>
        </w:tc>
        <w:tc>
          <w:tcPr>
            <w:tcW w:w="1332" w:type="dxa"/>
            <w:tcBorders>
              <w:top w:val="single" w:sz="6" w:space="0" w:color="auto"/>
              <w:left w:val="single" w:sz="6" w:space="0" w:color="auto"/>
              <w:bottom w:val="single" w:sz="6" w:space="0" w:color="auto"/>
              <w:right w:val="single" w:sz="6" w:space="0" w:color="auto"/>
            </w:tcBorders>
            <w:shd w:val="clear" w:color="auto" w:fill="FFFFFF"/>
          </w:tcPr>
          <w:p w:rsidR="006F5DA1" w:rsidRPr="00E942A7" w:rsidRDefault="006F5DA1" w:rsidP="006F5DA1">
            <w:pPr>
              <w:shd w:val="clear" w:color="auto" w:fill="FFFFFF"/>
              <w:rPr>
                <w:sz w:val="22"/>
                <w:szCs w:val="22"/>
                <w:lang w:val="sr-Latn-CS"/>
              </w:rPr>
            </w:pPr>
            <w:r w:rsidRPr="00E942A7">
              <w:rPr>
                <w:sz w:val="22"/>
                <w:szCs w:val="22"/>
                <w:lang w:val="sr-Latn-CS"/>
              </w:rPr>
              <w:t>39</w:t>
            </w:r>
          </w:p>
        </w:tc>
        <w:tc>
          <w:tcPr>
            <w:tcW w:w="1065" w:type="dxa"/>
            <w:tcBorders>
              <w:top w:val="single" w:sz="6" w:space="0" w:color="auto"/>
              <w:left w:val="single" w:sz="6" w:space="0" w:color="auto"/>
              <w:bottom w:val="single" w:sz="6" w:space="0" w:color="auto"/>
              <w:right w:val="single" w:sz="6" w:space="0" w:color="auto"/>
            </w:tcBorders>
            <w:shd w:val="clear" w:color="auto" w:fill="FFFFFF"/>
          </w:tcPr>
          <w:p w:rsidR="006F5DA1" w:rsidRPr="00E942A7" w:rsidRDefault="006F5DA1" w:rsidP="006F5DA1">
            <w:pPr>
              <w:shd w:val="clear" w:color="auto" w:fill="FFFFFF"/>
              <w:rPr>
                <w:sz w:val="22"/>
                <w:szCs w:val="22"/>
                <w:lang w:val="sr-Latn-CS"/>
              </w:rPr>
            </w:pPr>
            <w:r w:rsidRPr="00E942A7">
              <w:rPr>
                <w:sz w:val="22"/>
                <w:szCs w:val="22"/>
                <w:lang w:val="sr-Latn-CS"/>
              </w:rPr>
              <w:t>48</w:t>
            </w:r>
          </w:p>
        </w:tc>
        <w:tc>
          <w:tcPr>
            <w:tcW w:w="1199" w:type="dxa"/>
            <w:tcBorders>
              <w:top w:val="single" w:sz="6" w:space="0" w:color="auto"/>
              <w:left w:val="single" w:sz="6" w:space="0" w:color="auto"/>
              <w:bottom w:val="single" w:sz="6" w:space="0" w:color="auto"/>
              <w:right w:val="single" w:sz="6" w:space="0" w:color="auto"/>
            </w:tcBorders>
            <w:shd w:val="clear" w:color="auto" w:fill="FFFFFF"/>
          </w:tcPr>
          <w:p w:rsidR="006F5DA1" w:rsidRPr="00E942A7" w:rsidRDefault="006F5DA1" w:rsidP="006F5DA1">
            <w:pPr>
              <w:shd w:val="clear" w:color="auto" w:fill="FFFFFF"/>
              <w:rPr>
                <w:sz w:val="22"/>
                <w:szCs w:val="22"/>
                <w:lang w:val="sr-Latn-CS"/>
              </w:rPr>
            </w:pPr>
            <w:r w:rsidRPr="00E942A7">
              <w:rPr>
                <w:sz w:val="22"/>
                <w:szCs w:val="22"/>
                <w:lang w:val="sr-Latn-CS"/>
              </w:rPr>
              <w:t>16</w:t>
            </w:r>
          </w:p>
        </w:tc>
        <w:tc>
          <w:tcPr>
            <w:tcW w:w="929" w:type="dxa"/>
            <w:tcBorders>
              <w:top w:val="single" w:sz="6" w:space="0" w:color="auto"/>
              <w:left w:val="single" w:sz="6" w:space="0" w:color="auto"/>
              <w:bottom w:val="single" w:sz="6" w:space="0" w:color="auto"/>
              <w:right w:val="single" w:sz="6" w:space="0" w:color="auto"/>
            </w:tcBorders>
            <w:shd w:val="clear" w:color="auto" w:fill="FFFFFF"/>
          </w:tcPr>
          <w:p w:rsidR="006F5DA1" w:rsidRPr="00E942A7" w:rsidRDefault="006F5DA1" w:rsidP="006F5DA1">
            <w:pPr>
              <w:shd w:val="clear" w:color="auto" w:fill="FFFFFF"/>
              <w:rPr>
                <w:sz w:val="22"/>
                <w:szCs w:val="22"/>
                <w:lang w:val="sr-Latn-CS"/>
              </w:rPr>
            </w:pPr>
            <w:r w:rsidRPr="00E942A7">
              <w:rPr>
                <w:sz w:val="22"/>
                <w:szCs w:val="22"/>
                <w:lang w:val="sr-Latn-CS"/>
              </w:rPr>
              <w:t>22</w:t>
            </w:r>
          </w:p>
        </w:tc>
        <w:tc>
          <w:tcPr>
            <w:tcW w:w="1065" w:type="dxa"/>
            <w:tcBorders>
              <w:top w:val="single" w:sz="6" w:space="0" w:color="auto"/>
              <w:left w:val="single" w:sz="6" w:space="0" w:color="auto"/>
              <w:bottom w:val="single" w:sz="6" w:space="0" w:color="auto"/>
              <w:right w:val="single" w:sz="6" w:space="0" w:color="auto"/>
            </w:tcBorders>
            <w:shd w:val="clear" w:color="auto" w:fill="FFFFFF"/>
          </w:tcPr>
          <w:p w:rsidR="006F5DA1" w:rsidRPr="00E942A7" w:rsidRDefault="006F5DA1" w:rsidP="006F5DA1">
            <w:pPr>
              <w:shd w:val="clear" w:color="auto" w:fill="FFFFFF"/>
              <w:rPr>
                <w:sz w:val="22"/>
                <w:szCs w:val="22"/>
                <w:lang w:val="sr-Latn-CS"/>
              </w:rPr>
            </w:pPr>
            <w:r w:rsidRPr="00E942A7">
              <w:rPr>
                <w:sz w:val="22"/>
                <w:szCs w:val="22"/>
                <w:lang w:val="sr-Latn-CS"/>
              </w:rPr>
              <w:t>29</w:t>
            </w:r>
          </w:p>
        </w:tc>
        <w:tc>
          <w:tcPr>
            <w:tcW w:w="949" w:type="dxa"/>
            <w:tcBorders>
              <w:top w:val="single" w:sz="6" w:space="0" w:color="auto"/>
              <w:left w:val="single" w:sz="6" w:space="0" w:color="auto"/>
              <w:bottom w:val="single" w:sz="6" w:space="0" w:color="auto"/>
              <w:right w:val="single" w:sz="6" w:space="0" w:color="auto"/>
            </w:tcBorders>
            <w:shd w:val="clear" w:color="auto" w:fill="FFFFFF"/>
          </w:tcPr>
          <w:p w:rsidR="006F5DA1" w:rsidRPr="00E942A7" w:rsidRDefault="006F5DA1" w:rsidP="006F5DA1">
            <w:pPr>
              <w:shd w:val="clear" w:color="auto" w:fill="FFFFFF"/>
              <w:rPr>
                <w:sz w:val="22"/>
                <w:szCs w:val="22"/>
                <w:lang w:val="sr-Latn-CS"/>
              </w:rPr>
            </w:pPr>
            <w:r w:rsidRPr="00E942A7">
              <w:rPr>
                <w:sz w:val="22"/>
                <w:szCs w:val="22"/>
                <w:lang w:val="sr-Latn-CS"/>
              </w:rPr>
              <w:t>34</w:t>
            </w:r>
          </w:p>
        </w:tc>
      </w:tr>
      <w:tr w:rsidR="006F5DA1" w:rsidRPr="00E942A7" w:rsidTr="001F5CB2">
        <w:trPr>
          <w:trHeight w:hRule="exact" w:val="409"/>
          <w:jc w:val="center"/>
        </w:trPr>
        <w:tc>
          <w:tcPr>
            <w:tcW w:w="2045" w:type="dxa"/>
            <w:tcBorders>
              <w:top w:val="single" w:sz="6" w:space="0" w:color="auto"/>
              <w:left w:val="single" w:sz="6" w:space="0" w:color="auto"/>
              <w:bottom w:val="single" w:sz="6" w:space="0" w:color="auto"/>
              <w:right w:val="single" w:sz="6" w:space="0" w:color="auto"/>
            </w:tcBorders>
            <w:shd w:val="clear" w:color="auto" w:fill="FFFFFF"/>
          </w:tcPr>
          <w:p w:rsidR="006F5DA1" w:rsidRPr="00E942A7" w:rsidRDefault="006F5DA1" w:rsidP="006F5DA1">
            <w:pPr>
              <w:rPr>
                <w:sz w:val="22"/>
                <w:szCs w:val="22"/>
                <w:lang w:val="sr-Latn-CS"/>
              </w:rPr>
            </w:pPr>
            <w:r w:rsidRPr="00E942A7">
              <w:rPr>
                <w:sz w:val="22"/>
                <w:szCs w:val="22"/>
                <w:lang w:val="sr-Latn-CS"/>
              </w:rPr>
              <w:t>p-vrijednost</w:t>
            </w:r>
          </w:p>
        </w:tc>
        <w:tc>
          <w:tcPr>
            <w:tcW w:w="2396" w:type="dxa"/>
            <w:gridSpan w:val="2"/>
            <w:tcBorders>
              <w:top w:val="single" w:sz="6" w:space="0" w:color="auto"/>
              <w:left w:val="single" w:sz="6" w:space="0" w:color="auto"/>
              <w:bottom w:val="single" w:sz="6" w:space="0" w:color="auto"/>
              <w:right w:val="single" w:sz="6" w:space="0" w:color="auto"/>
            </w:tcBorders>
            <w:shd w:val="clear" w:color="auto" w:fill="FFFFFF"/>
          </w:tcPr>
          <w:p w:rsidR="006F5DA1" w:rsidRPr="00E942A7" w:rsidRDefault="006F5DA1" w:rsidP="006F5DA1">
            <w:pPr>
              <w:shd w:val="clear" w:color="auto" w:fill="FFFFFF"/>
              <w:rPr>
                <w:sz w:val="22"/>
                <w:szCs w:val="22"/>
                <w:lang w:val="sr-Latn-CS"/>
              </w:rPr>
            </w:pPr>
            <w:r w:rsidRPr="00E942A7">
              <w:rPr>
                <w:spacing w:val="-2"/>
                <w:sz w:val="22"/>
                <w:szCs w:val="22"/>
                <w:lang w:val="sr-Latn-CS"/>
              </w:rPr>
              <w:t>0,039</w:t>
            </w:r>
          </w:p>
        </w:tc>
        <w:tc>
          <w:tcPr>
            <w:tcW w:w="2128" w:type="dxa"/>
            <w:gridSpan w:val="2"/>
            <w:tcBorders>
              <w:top w:val="single" w:sz="6" w:space="0" w:color="auto"/>
              <w:left w:val="single" w:sz="6" w:space="0" w:color="auto"/>
              <w:bottom w:val="single" w:sz="6" w:space="0" w:color="auto"/>
              <w:right w:val="single" w:sz="6" w:space="0" w:color="auto"/>
            </w:tcBorders>
            <w:shd w:val="clear" w:color="auto" w:fill="FFFFFF"/>
          </w:tcPr>
          <w:p w:rsidR="006F5DA1" w:rsidRPr="00E942A7" w:rsidRDefault="006F5DA1" w:rsidP="006F5DA1">
            <w:pPr>
              <w:shd w:val="clear" w:color="auto" w:fill="FFFFFF"/>
              <w:rPr>
                <w:sz w:val="22"/>
                <w:szCs w:val="22"/>
                <w:lang w:val="sr-Latn-CS"/>
              </w:rPr>
            </w:pPr>
            <w:r w:rsidRPr="00E942A7">
              <w:rPr>
                <w:spacing w:val="-1"/>
                <w:sz w:val="22"/>
                <w:szCs w:val="22"/>
                <w:lang w:val="sr-Latn-CS"/>
              </w:rPr>
              <w:t>0,064</w:t>
            </w:r>
          </w:p>
        </w:tc>
        <w:tc>
          <w:tcPr>
            <w:tcW w:w="2014" w:type="dxa"/>
            <w:gridSpan w:val="2"/>
            <w:tcBorders>
              <w:top w:val="single" w:sz="6" w:space="0" w:color="auto"/>
              <w:left w:val="single" w:sz="6" w:space="0" w:color="auto"/>
              <w:bottom w:val="single" w:sz="6" w:space="0" w:color="auto"/>
              <w:right w:val="single" w:sz="6" w:space="0" w:color="auto"/>
            </w:tcBorders>
            <w:shd w:val="clear" w:color="auto" w:fill="FFFFFF"/>
          </w:tcPr>
          <w:p w:rsidR="006F5DA1" w:rsidRPr="00E942A7" w:rsidRDefault="006F5DA1" w:rsidP="006F5DA1">
            <w:pPr>
              <w:shd w:val="clear" w:color="auto" w:fill="FFFFFF"/>
              <w:rPr>
                <w:sz w:val="22"/>
                <w:szCs w:val="22"/>
                <w:lang w:val="sr-Latn-CS"/>
              </w:rPr>
            </w:pPr>
            <w:r w:rsidRPr="00E942A7">
              <w:rPr>
                <w:spacing w:val="-4"/>
                <w:sz w:val="22"/>
                <w:szCs w:val="22"/>
                <w:lang w:val="sr-Latn-CS"/>
              </w:rPr>
              <w:t>0,173</w:t>
            </w:r>
          </w:p>
        </w:tc>
      </w:tr>
      <w:tr w:rsidR="006F5DA1" w:rsidRPr="00E942A7" w:rsidTr="001F5CB2">
        <w:trPr>
          <w:trHeight w:hRule="exact" w:val="1060"/>
          <w:jc w:val="center"/>
        </w:trPr>
        <w:tc>
          <w:tcPr>
            <w:tcW w:w="2045" w:type="dxa"/>
            <w:tcBorders>
              <w:top w:val="single" w:sz="6" w:space="0" w:color="auto"/>
              <w:left w:val="single" w:sz="6" w:space="0" w:color="auto"/>
              <w:bottom w:val="single" w:sz="6" w:space="0" w:color="auto"/>
              <w:right w:val="single" w:sz="6" w:space="0" w:color="auto"/>
            </w:tcBorders>
            <w:shd w:val="clear" w:color="auto" w:fill="FFFFFF"/>
          </w:tcPr>
          <w:p w:rsidR="006F5DA1" w:rsidRPr="00E942A7" w:rsidRDefault="006F5DA1" w:rsidP="006F5DA1">
            <w:pPr>
              <w:rPr>
                <w:sz w:val="22"/>
                <w:szCs w:val="22"/>
                <w:lang w:val="sr-Latn-CS"/>
              </w:rPr>
            </w:pPr>
            <w:r w:rsidRPr="00E942A7">
              <w:rPr>
                <w:spacing w:val="1"/>
                <w:sz w:val="22"/>
                <w:szCs w:val="22"/>
                <w:lang w:val="sr-Latn-CS"/>
              </w:rPr>
              <w:t xml:space="preserve">Medijana vremena do pojave komplikacija na kostima </w:t>
            </w:r>
            <w:r w:rsidRPr="00E942A7">
              <w:rPr>
                <w:spacing w:val="-1"/>
                <w:sz w:val="22"/>
                <w:szCs w:val="22"/>
                <w:lang w:val="sr-Latn-CS"/>
              </w:rPr>
              <w:t>(dani)</w:t>
            </w:r>
          </w:p>
        </w:tc>
        <w:tc>
          <w:tcPr>
            <w:tcW w:w="1332" w:type="dxa"/>
            <w:tcBorders>
              <w:top w:val="single" w:sz="6" w:space="0" w:color="auto"/>
              <w:left w:val="single" w:sz="6" w:space="0" w:color="auto"/>
              <w:bottom w:val="single" w:sz="6" w:space="0" w:color="auto"/>
              <w:right w:val="single" w:sz="6" w:space="0" w:color="auto"/>
            </w:tcBorders>
            <w:shd w:val="clear" w:color="auto" w:fill="FFFFFF"/>
          </w:tcPr>
          <w:p w:rsidR="006F5DA1" w:rsidRPr="00E942A7" w:rsidRDefault="006F5DA1" w:rsidP="006F5DA1">
            <w:pPr>
              <w:shd w:val="clear" w:color="auto" w:fill="FFFFFF"/>
              <w:rPr>
                <w:sz w:val="22"/>
                <w:szCs w:val="22"/>
                <w:lang w:val="sr-Latn-CS"/>
              </w:rPr>
            </w:pPr>
            <w:r w:rsidRPr="00E942A7">
              <w:rPr>
                <w:sz w:val="22"/>
                <w:szCs w:val="22"/>
                <w:lang w:val="sr-Latn-CS"/>
              </w:rPr>
              <w:t>236</w:t>
            </w:r>
          </w:p>
        </w:tc>
        <w:tc>
          <w:tcPr>
            <w:tcW w:w="1065" w:type="dxa"/>
            <w:tcBorders>
              <w:top w:val="single" w:sz="6" w:space="0" w:color="auto"/>
              <w:left w:val="single" w:sz="6" w:space="0" w:color="auto"/>
              <w:bottom w:val="single" w:sz="6" w:space="0" w:color="auto"/>
              <w:right w:val="single" w:sz="6" w:space="0" w:color="auto"/>
            </w:tcBorders>
            <w:shd w:val="clear" w:color="auto" w:fill="FFFFFF"/>
          </w:tcPr>
          <w:p w:rsidR="006F5DA1" w:rsidRPr="00E942A7" w:rsidRDefault="006F5DA1" w:rsidP="006F5DA1">
            <w:pPr>
              <w:shd w:val="clear" w:color="auto" w:fill="FFFFFF"/>
              <w:rPr>
                <w:sz w:val="22"/>
                <w:szCs w:val="22"/>
                <w:lang w:val="sr-Latn-CS"/>
              </w:rPr>
            </w:pPr>
            <w:r w:rsidRPr="00E942A7">
              <w:rPr>
                <w:sz w:val="22"/>
                <w:szCs w:val="22"/>
                <w:lang w:val="sr-Latn-CS"/>
              </w:rPr>
              <w:t>155</w:t>
            </w:r>
          </w:p>
        </w:tc>
        <w:tc>
          <w:tcPr>
            <w:tcW w:w="1199" w:type="dxa"/>
            <w:tcBorders>
              <w:top w:val="single" w:sz="6" w:space="0" w:color="auto"/>
              <w:left w:val="single" w:sz="6" w:space="0" w:color="auto"/>
              <w:bottom w:val="single" w:sz="6" w:space="0" w:color="auto"/>
              <w:right w:val="single" w:sz="6" w:space="0" w:color="auto"/>
            </w:tcBorders>
            <w:shd w:val="clear" w:color="auto" w:fill="FFFFFF"/>
          </w:tcPr>
          <w:p w:rsidR="006F5DA1" w:rsidRPr="00E942A7" w:rsidRDefault="006F5DA1" w:rsidP="006F5DA1">
            <w:pPr>
              <w:shd w:val="clear" w:color="auto" w:fill="FFFFFF"/>
              <w:rPr>
                <w:sz w:val="22"/>
                <w:szCs w:val="22"/>
                <w:lang w:val="sr-Latn-CS"/>
              </w:rPr>
            </w:pPr>
            <w:r w:rsidRPr="00E942A7">
              <w:rPr>
                <w:sz w:val="22"/>
                <w:szCs w:val="22"/>
                <w:lang w:val="sr-Latn-CS"/>
              </w:rPr>
              <w:t>ND</w:t>
            </w:r>
          </w:p>
        </w:tc>
        <w:tc>
          <w:tcPr>
            <w:tcW w:w="929" w:type="dxa"/>
            <w:tcBorders>
              <w:top w:val="single" w:sz="6" w:space="0" w:color="auto"/>
              <w:left w:val="single" w:sz="6" w:space="0" w:color="auto"/>
              <w:bottom w:val="single" w:sz="6" w:space="0" w:color="auto"/>
              <w:right w:val="single" w:sz="6" w:space="0" w:color="auto"/>
            </w:tcBorders>
            <w:shd w:val="clear" w:color="auto" w:fill="FFFFFF"/>
          </w:tcPr>
          <w:p w:rsidR="006F5DA1" w:rsidRPr="00E942A7" w:rsidRDefault="006F5DA1" w:rsidP="006F5DA1">
            <w:pPr>
              <w:shd w:val="clear" w:color="auto" w:fill="FFFFFF"/>
              <w:rPr>
                <w:sz w:val="22"/>
                <w:szCs w:val="22"/>
                <w:lang w:val="sr-Latn-CS"/>
              </w:rPr>
            </w:pPr>
            <w:r w:rsidRPr="00E942A7">
              <w:rPr>
                <w:sz w:val="22"/>
                <w:szCs w:val="22"/>
                <w:lang w:val="sr-Latn-CS"/>
              </w:rPr>
              <w:t>ND</w:t>
            </w:r>
          </w:p>
        </w:tc>
        <w:tc>
          <w:tcPr>
            <w:tcW w:w="1065" w:type="dxa"/>
            <w:tcBorders>
              <w:top w:val="single" w:sz="6" w:space="0" w:color="auto"/>
              <w:left w:val="single" w:sz="6" w:space="0" w:color="auto"/>
              <w:bottom w:val="single" w:sz="6" w:space="0" w:color="auto"/>
              <w:right w:val="single" w:sz="6" w:space="0" w:color="auto"/>
            </w:tcBorders>
            <w:shd w:val="clear" w:color="auto" w:fill="FFFFFF"/>
          </w:tcPr>
          <w:p w:rsidR="006F5DA1" w:rsidRPr="00E942A7" w:rsidRDefault="006F5DA1" w:rsidP="006F5DA1">
            <w:pPr>
              <w:shd w:val="clear" w:color="auto" w:fill="FFFFFF"/>
              <w:rPr>
                <w:sz w:val="22"/>
                <w:szCs w:val="22"/>
                <w:lang w:val="sr-Latn-CS"/>
              </w:rPr>
            </w:pPr>
            <w:r w:rsidRPr="00E942A7">
              <w:rPr>
                <w:sz w:val="22"/>
                <w:szCs w:val="22"/>
                <w:lang w:val="sr-Latn-CS"/>
              </w:rPr>
              <w:t>424</w:t>
            </w:r>
          </w:p>
        </w:tc>
        <w:tc>
          <w:tcPr>
            <w:tcW w:w="949" w:type="dxa"/>
            <w:tcBorders>
              <w:top w:val="single" w:sz="6" w:space="0" w:color="auto"/>
              <w:left w:val="single" w:sz="6" w:space="0" w:color="auto"/>
              <w:bottom w:val="single" w:sz="6" w:space="0" w:color="auto"/>
              <w:right w:val="single" w:sz="6" w:space="0" w:color="auto"/>
            </w:tcBorders>
            <w:shd w:val="clear" w:color="auto" w:fill="FFFFFF"/>
          </w:tcPr>
          <w:p w:rsidR="006F5DA1" w:rsidRPr="00E942A7" w:rsidRDefault="006F5DA1" w:rsidP="006F5DA1">
            <w:pPr>
              <w:shd w:val="clear" w:color="auto" w:fill="FFFFFF"/>
              <w:rPr>
                <w:sz w:val="22"/>
                <w:szCs w:val="22"/>
                <w:lang w:val="sr-Latn-CS"/>
              </w:rPr>
            </w:pPr>
            <w:r w:rsidRPr="00E942A7">
              <w:rPr>
                <w:sz w:val="22"/>
                <w:szCs w:val="22"/>
                <w:lang w:val="sr-Latn-CS"/>
              </w:rPr>
              <w:t>307</w:t>
            </w:r>
          </w:p>
        </w:tc>
      </w:tr>
      <w:tr w:rsidR="006F5DA1" w:rsidRPr="00E942A7" w:rsidTr="001F5CB2">
        <w:trPr>
          <w:trHeight w:hRule="exact" w:val="409"/>
          <w:jc w:val="center"/>
        </w:trPr>
        <w:tc>
          <w:tcPr>
            <w:tcW w:w="2045" w:type="dxa"/>
            <w:tcBorders>
              <w:top w:val="single" w:sz="6" w:space="0" w:color="auto"/>
              <w:left w:val="single" w:sz="6" w:space="0" w:color="auto"/>
              <w:bottom w:val="single" w:sz="6" w:space="0" w:color="auto"/>
              <w:right w:val="single" w:sz="6" w:space="0" w:color="auto"/>
            </w:tcBorders>
            <w:shd w:val="clear" w:color="auto" w:fill="FFFFFF"/>
          </w:tcPr>
          <w:p w:rsidR="006F5DA1" w:rsidRPr="00E942A7" w:rsidRDefault="006F5DA1" w:rsidP="006F5DA1">
            <w:pPr>
              <w:rPr>
                <w:sz w:val="22"/>
                <w:szCs w:val="22"/>
                <w:lang w:val="sr-Latn-CS"/>
              </w:rPr>
            </w:pPr>
            <w:r w:rsidRPr="00E942A7">
              <w:rPr>
                <w:sz w:val="22"/>
                <w:szCs w:val="22"/>
                <w:lang w:val="sr-Latn-CS"/>
              </w:rPr>
              <w:t>p-vrijednost</w:t>
            </w:r>
          </w:p>
        </w:tc>
        <w:tc>
          <w:tcPr>
            <w:tcW w:w="2396" w:type="dxa"/>
            <w:gridSpan w:val="2"/>
            <w:tcBorders>
              <w:top w:val="single" w:sz="6" w:space="0" w:color="auto"/>
              <w:left w:val="single" w:sz="6" w:space="0" w:color="auto"/>
              <w:bottom w:val="single" w:sz="6" w:space="0" w:color="auto"/>
              <w:right w:val="single" w:sz="6" w:space="0" w:color="auto"/>
            </w:tcBorders>
            <w:shd w:val="clear" w:color="auto" w:fill="FFFFFF"/>
          </w:tcPr>
          <w:p w:rsidR="006F5DA1" w:rsidRPr="00E942A7" w:rsidRDefault="006F5DA1" w:rsidP="006F5DA1">
            <w:pPr>
              <w:shd w:val="clear" w:color="auto" w:fill="FFFFFF"/>
              <w:rPr>
                <w:sz w:val="22"/>
                <w:szCs w:val="22"/>
                <w:lang w:val="sr-Latn-CS"/>
              </w:rPr>
            </w:pPr>
            <w:r w:rsidRPr="00E942A7">
              <w:rPr>
                <w:spacing w:val="-2"/>
                <w:sz w:val="22"/>
                <w:szCs w:val="22"/>
                <w:lang w:val="sr-Latn-CS"/>
              </w:rPr>
              <w:t>0,009</w:t>
            </w:r>
          </w:p>
        </w:tc>
        <w:tc>
          <w:tcPr>
            <w:tcW w:w="2128" w:type="dxa"/>
            <w:gridSpan w:val="2"/>
            <w:tcBorders>
              <w:top w:val="single" w:sz="6" w:space="0" w:color="auto"/>
              <w:left w:val="single" w:sz="6" w:space="0" w:color="auto"/>
              <w:bottom w:val="single" w:sz="6" w:space="0" w:color="auto"/>
              <w:right w:val="single" w:sz="6" w:space="0" w:color="auto"/>
            </w:tcBorders>
            <w:shd w:val="clear" w:color="auto" w:fill="FFFFFF"/>
          </w:tcPr>
          <w:p w:rsidR="006F5DA1" w:rsidRPr="00E942A7" w:rsidRDefault="006F5DA1" w:rsidP="006F5DA1">
            <w:pPr>
              <w:shd w:val="clear" w:color="auto" w:fill="FFFFFF"/>
              <w:rPr>
                <w:sz w:val="22"/>
                <w:szCs w:val="22"/>
                <w:lang w:val="sr-Latn-CS"/>
              </w:rPr>
            </w:pPr>
            <w:r w:rsidRPr="00E942A7">
              <w:rPr>
                <w:spacing w:val="-1"/>
                <w:sz w:val="22"/>
                <w:szCs w:val="22"/>
                <w:lang w:val="sr-Latn-CS"/>
              </w:rPr>
              <w:t>0,020</w:t>
            </w:r>
          </w:p>
        </w:tc>
        <w:tc>
          <w:tcPr>
            <w:tcW w:w="2014" w:type="dxa"/>
            <w:gridSpan w:val="2"/>
            <w:tcBorders>
              <w:top w:val="single" w:sz="6" w:space="0" w:color="auto"/>
              <w:left w:val="single" w:sz="6" w:space="0" w:color="auto"/>
              <w:bottom w:val="single" w:sz="6" w:space="0" w:color="auto"/>
              <w:right w:val="single" w:sz="6" w:space="0" w:color="auto"/>
            </w:tcBorders>
            <w:shd w:val="clear" w:color="auto" w:fill="FFFFFF"/>
          </w:tcPr>
          <w:p w:rsidR="006F5DA1" w:rsidRPr="00E942A7" w:rsidRDefault="006F5DA1" w:rsidP="006F5DA1">
            <w:pPr>
              <w:shd w:val="clear" w:color="auto" w:fill="FFFFFF"/>
              <w:rPr>
                <w:sz w:val="22"/>
                <w:szCs w:val="22"/>
                <w:lang w:val="sr-Latn-CS"/>
              </w:rPr>
            </w:pPr>
            <w:r w:rsidRPr="00E942A7">
              <w:rPr>
                <w:spacing w:val="-2"/>
                <w:sz w:val="22"/>
                <w:szCs w:val="22"/>
                <w:lang w:val="sr-Latn-CS"/>
              </w:rPr>
              <w:t>0,079</w:t>
            </w:r>
          </w:p>
        </w:tc>
      </w:tr>
      <w:tr w:rsidR="006F5DA1" w:rsidRPr="00E942A7" w:rsidTr="001F5CB2">
        <w:trPr>
          <w:trHeight w:hRule="exact" w:val="786"/>
          <w:jc w:val="center"/>
        </w:trPr>
        <w:tc>
          <w:tcPr>
            <w:tcW w:w="2045" w:type="dxa"/>
            <w:tcBorders>
              <w:top w:val="single" w:sz="6" w:space="0" w:color="auto"/>
              <w:left w:val="single" w:sz="6" w:space="0" w:color="auto"/>
              <w:bottom w:val="single" w:sz="6" w:space="0" w:color="auto"/>
              <w:right w:val="single" w:sz="6" w:space="0" w:color="auto"/>
            </w:tcBorders>
            <w:shd w:val="clear" w:color="auto" w:fill="FFFFFF"/>
          </w:tcPr>
          <w:p w:rsidR="006F5DA1" w:rsidRPr="00E942A7" w:rsidRDefault="006F5DA1" w:rsidP="006F5DA1">
            <w:pPr>
              <w:rPr>
                <w:sz w:val="22"/>
                <w:szCs w:val="22"/>
                <w:lang w:val="sr-Latn-CS"/>
              </w:rPr>
            </w:pPr>
            <w:r w:rsidRPr="00E942A7">
              <w:rPr>
                <w:sz w:val="22"/>
                <w:szCs w:val="22"/>
                <w:lang w:val="sr-Latn-CS"/>
              </w:rPr>
              <w:t>Stopa skeletnog morbidi</w:t>
            </w:r>
            <w:r w:rsidRPr="00E942A7">
              <w:rPr>
                <w:spacing w:val="-1"/>
                <w:sz w:val="22"/>
                <w:szCs w:val="22"/>
                <w:lang w:val="sr-Latn-CS"/>
              </w:rPr>
              <w:t>teta</w:t>
            </w:r>
          </w:p>
        </w:tc>
        <w:tc>
          <w:tcPr>
            <w:tcW w:w="1332" w:type="dxa"/>
            <w:tcBorders>
              <w:top w:val="single" w:sz="6" w:space="0" w:color="auto"/>
              <w:left w:val="single" w:sz="6" w:space="0" w:color="auto"/>
              <w:bottom w:val="single" w:sz="6" w:space="0" w:color="auto"/>
              <w:right w:val="single" w:sz="6" w:space="0" w:color="auto"/>
            </w:tcBorders>
            <w:shd w:val="clear" w:color="auto" w:fill="FFFFFF"/>
          </w:tcPr>
          <w:p w:rsidR="006F5DA1" w:rsidRPr="00E942A7" w:rsidRDefault="006F5DA1" w:rsidP="006F5DA1">
            <w:pPr>
              <w:shd w:val="clear" w:color="auto" w:fill="FFFFFF"/>
              <w:ind w:right="394"/>
              <w:rPr>
                <w:sz w:val="22"/>
                <w:szCs w:val="22"/>
                <w:lang w:val="sr-Latn-CS"/>
              </w:rPr>
            </w:pPr>
            <w:r w:rsidRPr="00E942A7">
              <w:rPr>
                <w:spacing w:val="-7"/>
                <w:sz w:val="22"/>
                <w:szCs w:val="22"/>
                <w:lang w:val="sr-Latn-CS"/>
              </w:rPr>
              <w:t>1,74</w:t>
            </w:r>
          </w:p>
        </w:tc>
        <w:tc>
          <w:tcPr>
            <w:tcW w:w="1065" w:type="dxa"/>
            <w:tcBorders>
              <w:top w:val="single" w:sz="6" w:space="0" w:color="auto"/>
              <w:left w:val="single" w:sz="6" w:space="0" w:color="auto"/>
              <w:bottom w:val="single" w:sz="6" w:space="0" w:color="auto"/>
              <w:right w:val="single" w:sz="6" w:space="0" w:color="auto"/>
            </w:tcBorders>
            <w:shd w:val="clear" w:color="auto" w:fill="FFFFFF"/>
          </w:tcPr>
          <w:p w:rsidR="006F5DA1" w:rsidRPr="00E942A7" w:rsidRDefault="006F5DA1" w:rsidP="006F5DA1">
            <w:pPr>
              <w:shd w:val="clear" w:color="auto" w:fill="FFFFFF"/>
              <w:rPr>
                <w:sz w:val="22"/>
                <w:szCs w:val="22"/>
                <w:lang w:val="sr-Latn-CS"/>
              </w:rPr>
            </w:pPr>
            <w:r w:rsidRPr="00E942A7">
              <w:rPr>
                <w:spacing w:val="-4"/>
                <w:sz w:val="22"/>
                <w:szCs w:val="22"/>
                <w:lang w:val="sr-Latn-CS"/>
              </w:rPr>
              <w:t>2,71</w:t>
            </w:r>
          </w:p>
        </w:tc>
        <w:tc>
          <w:tcPr>
            <w:tcW w:w="1199" w:type="dxa"/>
            <w:tcBorders>
              <w:top w:val="single" w:sz="6" w:space="0" w:color="auto"/>
              <w:left w:val="single" w:sz="6" w:space="0" w:color="auto"/>
              <w:bottom w:val="single" w:sz="6" w:space="0" w:color="auto"/>
              <w:right w:val="single" w:sz="6" w:space="0" w:color="auto"/>
            </w:tcBorders>
            <w:shd w:val="clear" w:color="auto" w:fill="FFFFFF"/>
          </w:tcPr>
          <w:p w:rsidR="006F5DA1" w:rsidRPr="00E942A7" w:rsidRDefault="006F5DA1" w:rsidP="006F5DA1">
            <w:pPr>
              <w:shd w:val="clear" w:color="auto" w:fill="FFFFFF"/>
              <w:ind w:right="317"/>
              <w:rPr>
                <w:sz w:val="22"/>
                <w:szCs w:val="22"/>
                <w:lang w:val="sr-Latn-CS"/>
              </w:rPr>
            </w:pPr>
            <w:r w:rsidRPr="00E942A7">
              <w:rPr>
                <w:spacing w:val="-2"/>
                <w:sz w:val="22"/>
                <w:szCs w:val="22"/>
                <w:lang w:val="sr-Latn-CS"/>
              </w:rPr>
              <w:t>0,39</w:t>
            </w:r>
          </w:p>
        </w:tc>
        <w:tc>
          <w:tcPr>
            <w:tcW w:w="929" w:type="dxa"/>
            <w:tcBorders>
              <w:top w:val="single" w:sz="6" w:space="0" w:color="auto"/>
              <w:left w:val="single" w:sz="6" w:space="0" w:color="auto"/>
              <w:bottom w:val="single" w:sz="6" w:space="0" w:color="auto"/>
              <w:right w:val="single" w:sz="6" w:space="0" w:color="auto"/>
            </w:tcBorders>
            <w:shd w:val="clear" w:color="auto" w:fill="FFFFFF"/>
          </w:tcPr>
          <w:p w:rsidR="006F5DA1" w:rsidRPr="00E942A7" w:rsidRDefault="006F5DA1" w:rsidP="006F5DA1">
            <w:pPr>
              <w:shd w:val="clear" w:color="auto" w:fill="FFFFFF"/>
              <w:rPr>
                <w:sz w:val="22"/>
                <w:szCs w:val="22"/>
                <w:lang w:val="sr-Latn-CS"/>
              </w:rPr>
            </w:pPr>
            <w:r w:rsidRPr="00E942A7">
              <w:rPr>
                <w:spacing w:val="-6"/>
                <w:sz w:val="22"/>
                <w:szCs w:val="22"/>
                <w:lang w:val="sr-Latn-CS"/>
              </w:rPr>
              <w:t>0,63</w:t>
            </w:r>
          </w:p>
        </w:tc>
        <w:tc>
          <w:tcPr>
            <w:tcW w:w="1065" w:type="dxa"/>
            <w:tcBorders>
              <w:top w:val="single" w:sz="6" w:space="0" w:color="auto"/>
              <w:left w:val="single" w:sz="6" w:space="0" w:color="auto"/>
              <w:bottom w:val="single" w:sz="6" w:space="0" w:color="auto"/>
              <w:right w:val="single" w:sz="6" w:space="0" w:color="auto"/>
            </w:tcBorders>
            <w:shd w:val="clear" w:color="auto" w:fill="FFFFFF"/>
          </w:tcPr>
          <w:p w:rsidR="006F5DA1" w:rsidRPr="00E942A7" w:rsidRDefault="006F5DA1" w:rsidP="006F5DA1">
            <w:pPr>
              <w:shd w:val="clear" w:color="auto" w:fill="FFFFFF"/>
              <w:ind w:right="221"/>
              <w:rPr>
                <w:sz w:val="22"/>
                <w:szCs w:val="22"/>
                <w:lang w:val="sr-Latn-CS"/>
              </w:rPr>
            </w:pPr>
            <w:r w:rsidRPr="00E942A7">
              <w:rPr>
                <w:spacing w:val="-6"/>
                <w:sz w:val="22"/>
                <w:szCs w:val="22"/>
                <w:lang w:val="sr-Latn-CS"/>
              </w:rPr>
              <w:t>1,24</w:t>
            </w:r>
          </w:p>
        </w:tc>
        <w:tc>
          <w:tcPr>
            <w:tcW w:w="949" w:type="dxa"/>
            <w:tcBorders>
              <w:top w:val="single" w:sz="6" w:space="0" w:color="auto"/>
              <w:left w:val="single" w:sz="6" w:space="0" w:color="auto"/>
              <w:bottom w:val="single" w:sz="6" w:space="0" w:color="auto"/>
              <w:right w:val="single" w:sz="6" w:space="0" w:color="auto"/>
            </w:tcBorders>
            <w:shd w:val="clear" w:color="auto" w:fill="FFFFFF"/>
          </w:tcPr>
          <w:p w:rsidR="006F5DA1" w:rsidRPr="00E942A7" w:rsidRDefault="006F5DA1" w:rsidP="006F5DA1">
            <w:pPr>
              <w:shd w:val="clear" w:color="auto" w:fill="FFFFFF"/>
              <w:rPr>
                <w:sz w:val="22"/>
                <w:szCs w:val="22"/>
                <w:lang w:val="sr-Latn-CS"/>
              </w:rPr>
            </w:pPr>
            <w:r w:rsidRPr="00E942A7">
              <w:rPr>
                <w:spacing w:val="-6"/>
                <w:sz w:val="22"/>
                <w:szCs w:val="22"/>
                <w:lang w:val="sr-Latn-CS"/>
              </w:rPr>
              <w:t>1,89</w:t>
            </w:r>
          </w:p>
        </w:tc>
      </w:tr>
      <w:tr w:rsidR="006F5DA1" w:rsidRPr="00E942A7" w:rsidTr="001F5CB2">
        <w:trPr>
          <w:trHeight w:hRule="exact" w:val="409"/>
          <w:jc w:val="center"/>
        </w:trPr>
        <w:tc>
          <w:tcPr>
            <w:tcW w:w="2045" w:type="dxa"/>
            <w:tcBorders>
              <w:top w:val="single" w:sz="6" w:space="0" w:color="auto"/>
              <w:left w:val="single" w:sz="6" w:space="0" w:color="auto"/>
              <w:bottom w:val="single" w:sz="6" w:space="0" w:color="auto"/>
              <w:right w:val="single" w:sz="6" w:space="0" w:color="auto"/>
            </w:tcBorders>
            <w:shd w:val="clear" w:color="auto" w:fill="FFFFFF"/>
          </w:tcPr>
          <w:p w:rsidR="006F5DA1" w:rsidRPr="00E942A7" w:rsidRDefault="006F5DA1" w:rsidP="006F5DA1">
            <w:pPr>
              <w:rPr>
                <w:sz w:val="22"/>
                <w:szCs w:val="22"/>
                <w:lang w:val="sr-Latn-CS"/>
              </w:rPr>
            </w:pPr>
            <w:r w:rsidRPr="00E942A7">
              <w:rPr>
                <w:sz w:val="22"/>
                <w:szCs w:val="22"/>
                <w:lang w:val="sr-Latn-CS"/>
              </w:rPr>
              <w:t>p-vrijednost</w:t>
            </w:r>
          </w:p>
        </w:tc>
        <w:tc>
          <w:tcPr>
            <w:tcW w:w="2396" w:type="dxa"/>
            <w:gridSpan w:val="2"/>
            <w:tcBorders>
              <w:top w:val="single" w:sz="6" w:space="0" w:color="auto"/>
              <w:left w:val="single" w:sz="6" w:space="0" w:color="auto"/>
              <w:bottom w:val="single" w:sz="6" w:space="0" w:color="auto"/>
              <w:right w:val="single" w:sz="6" w:space="0" w:color="auto"/>
            </w:tcBorders>
            <w:shd w:val="clear" w:color="auto" w:fill="FFFFFF"/>
          </w:tcPr>
          <w:p w:rsidR="006F5DA1" w:rsidRPr="00E942A7" w:rsidRDefault="006F5DA1" w:rsidP="006F5DA1">
            <w:pPr>
              <w:shd w:val="clear" w:color="auto" w:fill="FFFFFF"/>
              <w:rPr>
                <w:sz w:val="22"/>
                <w:szCs w:val="22"/>
                <w:lang w:val="sr-Latn-CS"/>
              </w:rPr>
            </w:pPr>
            <w:r w:rsidRPr="00E942A7">
              <w:rPr>
                <w:spacing w:val="-2"/>
                <w:sz w:val="22"/>
                <w:szCs w:val="22"/>
                <w:lang w:val="sr-Latn-CS"/>
              </w:rPr>
              <w:t>0,012</w:t>
            </w:r>
          </w:p>
        </w:tc>
        <w:tc>
          <w:tcPr>
            <w:tcW w:w="2128" w:type="dxa"/>
            <w:gridSpan w:val="2"/>
            <w:tcBorders>
              <w:top w:val="single" w:sz="6" w:space="0" w:color="auto"/>
              <w:left w:val="single" w:sz="6" w:space="0" w:color="auto"/>
              <w:bottom w:val="single" w:sz="6" w:space="0" w:color="auto"/>
              <w:right w:val="single" w:sz="6" w:space="0" w:color="auto"/>
            </w:tcBorders>
            <w:shd w:val="clear" w:color="auto" w:fill="FFFFFF"/>
          </w:tcPr>
          <w:p w:rsidR="006F5DA1" w:rsidRPr="00E942A7" w:rsidRDefault="006F5DA1" w:rsidP="006F5DA1">
            <w:pPr>
              <w:shd w:val="clear" w:color="auto" w:fill="FFFFFF"/>
              <w:rPr>
                <w:sz w:val="22"/>
                <w:szCs w:val="22"/>
                <w:lang w:val="sr-Latn-CS"/>
              </w:rPr>
            </w:pPr>
            <w:r w:rsidRPr="00E942A7">
              <w:rPr>
                <w:spacing w:val="-2"/>
                <w:sz w:val="22"/>
                <w:szCs w:val="22"/>
                <w:lang w:val="sr-Latn-CS"/>
              </w:rPr>
              <w:t>0,066</w:t>
            </w:r>
          </w:p>
        </w:tc>
        <w:tc>
          <w:tcPr>
            <w:tcW w:w="2014" w:type="dxa"/>
            <w:gridSpan w:val="2"/>
            <w:tcBorders>
              <w:top w:val="single" w:sz="6" w:space="0" w:color="auto"/>
              <w:left w:val="single" w:sz="6" w:space="0" w:color="auto"/>
              <w:bottom w:val="single" w:sz="6" w:space="0" w:color="auto"/>
              <w:right w:val="single" w:sz="6" w:space="0" w:color="auto"/>
            </w:tcBorders>
            <w:shd w:val="clear" w:color="auto" w:fill="FFFFFF"/>
          </w:tcPr>
          <w:p w:rsidR="006F5DA1" w:rsidRPr="00E942A7" w:rsidRDefault="006F5DA1" w:rsidP="006F5DA1">
            <w:pPr>
              <w:shd w:val="clear" w:color="auto" w:fill="FFFFFF"/>
              <w:rPr>
                <w:sz w:val="22"/>
                <w:szCs w:val="22"/>
                <w:lang w:val="sr-Latn-CS"/>
              </w:rPr>
            </w:pPr>
            <w:r w:rsidRPr="00E942A7">
              <w:rPr>
                <w:spacing w:val="-2"/>
                <w:sz w:val="22"/>
                <w:szCs w:val="22"/>
                <w:lang w:val="sr-Latn-CS"/>
              </w:rPr>
              <w:t>0,099</w:t>
            </w:r>
          </w:p>
        </w:tc>
      </w:tr>
      <w:tr w:rsidR="006F5DA1" w:rsidRPr="00E942A7" w:rsidTr="001F5CB2">
        <w:trPr>
          <w:trHeight w:hRule="exact" w:val="1195"/>
          <w:jc w:val="center"/>
        </w:trPr>
        <w:tc>
          <w:tcPr>
            <w:tcW w:w="2045" w:type="dxa"/>
            <w:tcBorders>
              <w:top w:val="single" w:sz="6" w:space="0" w:color="auto"/>
              <w:left w:val="single" w:sz="6" w:space="0" w:color="auto"/>
              <w:bottom w:val="single" w:sz="6" w:space="0" w:color="auto"/>
              <w:right w:val="single" w:sz="6" w:space="0" w:color="auto"/>
            </w:tcBorders>
            <w:shd w:val="clear" w:color="auto" w:fill="FFFFFF"/>
          </w:tcPr>
          <w:p w:rsidR="006F5DA1" w:rsidRPr="00E942A7" w:rsidRDefault="006F5DA1" w:rsidP="006F5DA1">
            <w:pPr>
              <w:shd w:val="clear" w:color="auto" w:fill="FFFFFF"/>
              <w:spacing w:line="240" w:lineRule="exact"/>
              <w:ind w:right="62"/>
              <w:rPr>
                <w:sz w:val="22"/>
                <w:szCs w:val="22"/>
                <w:lang w:val="sr-Latn-CS"/>
              </w:rPr>
            </w:pPr>
            <w:r w:rsidRPr="00E942A7">
              <w:rPr>
                <w:spacing w:val="3"/>
                <w:sz w:val="22"/>
                <w:szCs w:val="22"/>
                <w:lang w:val="sr-Latn-CS"/>
              </w:rPr>
              <w:t>Smanjenje rizika od izlaganja</w:t>
            </w:r>
            <w:r w:rsidRPr="00E942A7">
              <w:rPr>
                <w:spacing w:val="1"/>
                <w:sz w:val="22"/>
                <w:szCs w:val="22"/>
                <w:lang w:val="sr-Latn-CS"/>
              </w:rPr>
              <w:t xml:space="preserve"> višestrukim događajima** ( %)</w:t>
            </w:r>
          </w:p>
        </w:tc>
        <w:tc>
          <w:tcPr>
            <w:tcW w:w="1332" w:type="dxa"/>
            <w:tcBorders>
              <w:top w:val="single" w:sz="6" w:space="0" w:color="auto"/>
              <w:left w:val="single" w:sz="6" w:space="0" w:color="auto"/>
              <w:bottom w:val="single" w:sz="6" w:space="0" w:color="auto"/>
              <w:right w:val="single" w:sz="6" w:space="0" w:color="auto"/>
            </w:tcBorders>
            <w:shd w:val="clear" w:color="auto" w:fill="FFFFFF"/>
          </w:tcPr>
          <w:p w:rsidR="006F5DA1" w:rsidRPr="00E942A7" w:rsidRDefault="006F5DA1" w:rsidP="006F5DA1">
            <w:pPr>
              <w:shd w:val="clear" w:color="auto" w:fill="FFFFFF"/>
              <w:ind w:right="389"/>
              <w:rPr>
                <w:sz w:val="22"/>
                <w:szCs w:val="22"/>
                <w:lang w:val="sr-Latn-CS"/>
              </w:rPr>
            </w:pPr>
            <w:r w:rsidRPr="00E942A7">
              <w:rPr>
                <w:spacing w:val="-1"/>
                <w:sz w:val="22"/>
                <w:szCs w:val="22"/>
                <w:lang w:val="sr-Latn-CS"/>
              </w:rPr>
              <w:t>30,7</w:t>
            </w:r>
          </w:p>
        </w:tc>
        <w:tc>
          <w:tcPr>
            <w:tcW w:w="1065" w:type="dxa"/>
            <w:tcBorders>
              <w:top w:val="single" w:sz="6" w:space="0" w:color="auto"/>
              <w:left w:val="single" w:sz="6" w:space="0" w:color="auto"/>
              <w:bottom w:val="single" w:sz="6" w:space="0" w:color="auto"/>
              <w:right w:val="single" w:sz="6" w:space="0" w:color="auto"/>
            </w:tcBorders>
            <w:shd w:val="clear" w:color="auto" w:fill="FFFFFF"/>
          </w:tcPr>
          <w:p w:rsidR="006F5DA1" w:rsidRPr="00E942A7" w:rsidRDefault="006F5DA1" w:rsidP="006F5DA1">
            <w:pPr>
              <w:shd w:val="clear" w:color="auto" w:fill="FFFFFF"/>
              <w:rPr>
                <w:sz w:val="22"/>
                <w:szCs w:val="22"/>
                <w:lang w:val="sr-Latn-CS"/>
              </w:rPr>
            </w:pPr>
            <w:r w:rsidRPr="00E942A7">
              <w:rPr>
                <w:sz w:val="22"/>
                <w:szCs w:val="22"/>
                <w:lang w:val="sr-Latn-CS"/>
              </w:rPr>
              <w:t>–</w:t>
            </w:r>
          </w:p>
        </w:tc>
        <w:tc>
          <w:tcPr>
            <w:tcW w:w="1199" w:type="dxa"/>
            <w:tcBorders>
              <w:top w:val="single" w:sz="6" w:space="0" w:color="auto"/>
              <w:left w:val="single" w:sz="6" w:space="0" w:color="auto"/>
              <w:bottom w:val="single" w:sz="6" w:space="0" w:color="auto"/>
              <w:right w:val="single" w:sz="6" w:space="0" w:color="auto"/>
            </w:tcBorders>
            <w:shd w:val="clear" w:color="auto" w:fill="FFFFFF"/>
          </w:tcPr>
          <w:p w:rsidR="006F5DA1" w:rsidRPr="00E942A7" w:rsidRDefault="006F5DA1" w:rsidP="006F5DA1">
            <w:pPr>
              <w:shd w:val="clear" w:color="auto" w:fill="FFFFFF"/>
              <w:ind w:right="341"/>
              <w:rPr>
                <w:sz w:val="22"/>
                <w:szCs w:val="22"/>
                <w:lang w:val="sr-Latn-CS"/>
              </w:rPr>
            </w:pPr>
            <w:r w:rsidRPr="00E942A7">
              <w:rPr>
                <w:sz w:val="22"/>
                <w:szCs w:val="22"/>
                <w:lang w:val="sr-Latn-CS"/>
              </w:rPr>
              <w:t>NP</w:t>
            </w:r>
          </w:p>
        </w:tc>
        <w:tc>
          <w:tcPr>
            <w:tcW w:w="929" w:type="dxa"/>
            <w:tcBorders>
              <w:top w:val="single" w:sz="6" w:space="0" w:color="auto"/>
              <w:left w:val="single" w:sz="6" w:space="0" w:color="auto"/>
              <w:bottom w:val="single" w:sz="6" w:space="0" w:color="auto"/>
              <w:right w:val="single" w:sz="6" w:space="0" w:color="auto"/>
            </w:tcBorders>
            <w:shd w:val="clear" w:color="auto" w:fill="FFFFFF"/>
          </w:tcPr>
          <w:p w:rsidR="006F5DA1" w:rsidRPr="00E942A7" w:rsidRDefault="006F5DA1" w:rsidP="006F5DA1">
            <w:pPr>
              <w:shd w:val="clear" w:color="auto" w:fill="FFFFFF"/>
              <w:rPr>
                <w:sz w:val="22"/>
                <w:szCs w:val="22"/>
                <w:lang w:val="sr-Latn-CS"/>
              </w:rPr>
            </w:pPr>
            <w:r w:rsidRPr="00E942A7">
              <w:rPr>
                <w:sz w:val="22"/>
                <w:szCs w:val="22"/>
                <w:lang w:val="sr-Latn-CS"/>
              </w:rPr>
              <w:t>NP</w:t>
            </w:r>
          </w:p>
        </w:tc>
        <w:tc>
          <w:tcPr>
            <w:tcW w:w="1065" w:type="dxa"/>
            <w:tcBorders>
              <w:top w:val="single" w:sz="6" w:space="0" w:color="auto"/>
              <w:left w:val="single" w:sz="6" w:space="0" w:color="auto"/>
              <w:bottom w:val="single" w:sz="6" w:space="0" w:color="auto"/>
              <w:right w:val="single" w:sz="6" w:space="0" w:color="auto"/>
            </w:tcBorders>
            <w:shd w:val="clear" w:color="auto" w:fill="FFFFFF"/>
          </w:tcPr>
          <w:p w:rsidR="006F5DA1" w:rsidRPr="00E942A7" w:rsidRDefault="006F5DA1" w:rsidP="006F5DA1">
            <w:pPr>
              <w:shd w:val="clear" w:color="auto" w:fill="FFFFFF"/>
              <w:ind w:right="245"/>
              <w:rPr>
                <w:sz w:val="22"/>
                <w:szCs w:val="22"/>
                <w:lang w:val="sr-Latn-CS"/>
              </w:rPr>
            </w:pPr>
            <w:r w:rsidRPr="00E942A7">
              <w:rPr>
                <w:sz w:val="22"/>
                <w:szCs w:val="22"/>
                <w:lang w:val="sr-Latn-CS"/>
              </w:rPr>
              <w:t>NP</w:t>
            </w:r>
          </w:p>
        </w:tc>
        <w:tc>
          <w:tcPr>
            <w:tcW w:w="949" w:type="dxa"/>
            <w:tcBorders>
              <w:top w:val="single" w:sz="6" w:space="0" w:color="auto"/>
              <w:left w:val="single" w:sz="6" w:space="0" w:color="auto"/>
              <w:bottom w:val="single" w:sz="6" w:space="0" w:color="auto"/>
              <w:right w:val="single" w:sz="6" w:space="0" w:color="auto"/>
            </w:tcBorders>
            <w:shd w:val="clear" w:color="auto" w:fill="FFFFFF"/>
          </w:tcPr>
          <w:p w:rsidR="006F5DA1" w:rsidRPr="00E942A7" w:rsidRDefault="006F5DA1" w:rsidP="006F5DA1">
            <w:pPr>
              <w:shd w:val="clear" w:color="auto" w:fill="FFFFFF"/>
              <w:rPr>
                <w:sz w:val="22"/>
                <w:szCs w:val="22"/>
                <w:lang w:val="sr-Latn-CS"/>
              </w:rPr>
            </w:pPr>
            <w:r w:rsidRPr="00E942A7">
              <w:rPr>
                <w:sz w:val="22"/>
                <w:szCs w:val="22"/>
                <w:lang w:val="sr-Latn-CS"/>
              </w:rPr>
              <w:t>NP</w:t>
            </w:r>
          </w:p>
        </w:tc>
      </w:tr>
      <w:tr w:rsidR="006F5DA1" w:rsidRPr="00E942A7" w:rsidTr="001F5CB2">
        <w:trPr>
          <w:trHeight w:hRule="exact" w:val="424"/>
          <w:jc w:val="center"/>
        </w:trPr>
        <w:tc>
          <w:tcPr>
            <w:tcW w:w="2045" w:type="dxa"/>
            <w:tcBorders>
              <w:top w:val="single" w:sz="6" w:space="0" w:color="auto"/>
              <w:left w:val="single" w:sz="6" w:space="0" w:color="auto"/>
              <w:bottom w:val="single" w:sz="6" w:space="0" w:color="auto"/>
              <w:right w:val="single" w:sz="6" w:space="0" w:color="auto"/>
            </w:tcBorders>
            <w:shd w:val="clear" w:color="auto" w:fill="FFFFFF"/>
          </w:tcPr>
          <w:p w:rsidR="006F5DA1" w:rsidRPr="00E942A7" w:rsidRDefault="006F5DA1" w:rsidP="006F5DA1">
            <w:pPr>
              <w:shd w:val="clear" w:color="auto" w:fill="FFFFFF"/>
              <w:rPr>
                <w:sz w:val="22"/>
                <w:szCs w:val="22"/>
                <w:lang w:val="sr-Latn-CS"/>
              </w:rPr>
            </w:pPr>
            <w:r w:rsidRPr="00E942A7">
              <w:rPr>
                <w:sz w:val="22"/>
                <w:szCs w:val="22"/>
                <w:lang w:val="sr-Latn-CS"/>
              </w:rPr>
              <w:t>p-vrijednost</w:t>
            </w:r>
          </w:p>
        </w:tc>
        <w:tc>
          <w:tcPr>
            <w:tcW w:w="2396" w:type="dxa"/>
            <w:gridSpan w:val="2"/>
            <w:tcBorders>
              <w:top w:val="single" w:sz="6" w:space="0" w:color="auto"/>
              <w:left w:val="single" w:sz="6" w:space="0" w:color="auto"/>
              <w:bottom w:val="single" w:sz="6" w:space="0" w:color="auto"/>
              <w:right w:val="single" w:sz="6" w:space="0" w:color="auto"/>
            </w:tcBorders>
            <w:shd w:val="clear" w:color="auto" w:fill="FFFFFF"/>
          </w:tcPr>
          <w:p w:rsidR="006F5DA1" w:rsidRPr="00E942A7" w:rsidRDefault="006F5DA1" w:rsidP="006F5DA1">
            <w:pPr>
              <w:shd w:val="clear" w:color="auto" w:fill="FFFFFF"/>
              <w:rPr>
                <w:sz w:val="22"/>
                <w:szCs w:val="22"/>
                <w:lang w:val="sr-Latn-CS"/>
              </w:rPr>
            </w:pPr>
            <w:r w:rsidRPr="00E942A7">
              <w:rPr>
                <w:spacing w:val="-4"/>
                <w:sz w:val="22"/>
                <w:szCs w:val="22"/>
                <w:lang w:val="sr-Latn-CS"/>
              </w:rPr>
              <w:t>0,003</w:t>
            </w:r>
          </w:p>
        </w:tc>
        <w:tc>
          <w:tcPr>
            <w:tcW w:w="2128" w:type="dxa"/>
            <w:gridSpan w:val="2"/>
            <w:tcBorders>
              <w:top w:val="single" w:sz="6" w:space="0" w:color="auto"/>
              <w:left w:val="single" w:sz="6" w:space="0" w:color="auto"/>
              <w:bottom w:val="single" w:sz="6" w:space="0" w:color="auto"/>
              <w:right w:val="single" w:sz="6" w:space="0" w:color="auto"/>
            </w:tcBorders>
            <w:shd w:val="clear" w:color="auto" w:fill="FFFFFF"/>
          </w:tcPr>
          <w:p w:rsidR="006F5DA1" w:rsidRPr="00E942A7" w:rsidRDefault="006F5DA1" w:rsidP="006F5DA1">
            <w:pPr>
              <w:shd w:val="clear" w:color="auto" w:fill="FFFFFF"/>
              <w:rPr>
                <w:sz w:val="22"/>
                <w:szCs w:val="22"/>
                <w:lang w:val="sr-Latn-CS"/>
              </w:rPr>
            </w:pPr>
            <w:r w:rsidRPr="00E942A7">
              <w:rPr>
                <w:sz w:val="22"/>
                <w:szCs w:val="22"/>
                <w:lang w:val="sr-Latn-CS"/>
              </w:rPr>
              <w:t>NP</w:t>
            </w:r>
          </w:p>
        </w:tc>
        <w:tc>
          <w:tcPr>
            <w:tcW w:w="2014" w:type="dxa"/>
            <w:gridSpan w:val="2"/>
            <w:tcBorders>
              <w:top w:val="single" w:sz="6" w:space="0" w:color="auto"/>
              <w:left w:val="single" w:sz="6" w:space="0" w:color="auto"/>
              <w:bottom w:val="single" w:sz="6" w:space="0" w:color="auto"/>
              <w:right w:val="single" w:sz="6" w:space="0" w:color="auto"/>
            </w:tcBorders>
            <w:shd w:val="clear" w:color="auto" w:fill="FFFFFF"/>
          </w:tcPr>
          <w:p w:rsidR="006F5DA1" w:rsidRPr="00E942A7" w:rsidRDefault="006F5DA1" w:rsidP="006F5DA1">
            <w:pPr>
              <w:shd w:val="clear" w:color="auto" w:fill="FFFFFF"/>
              <w:rPr>
                <w:sz w:val="22"/>
                <w:szCs w:val="22"/>
                <w:lang w:val="sr-Latn-CS"/>
              </w:rPr>
            </w:pPr>
            <w:r w:rsidRPr="00E942A7">
              <w:rPr>
                <w:sz w:val="22"/>
                <w:szCs w:val="22"/>
                <w:lang w:val="sr-Latn-CS"/>
              </w:rPr>
              <w:t>NP</w:t>
            </w:r>
          </w:p>
        </w:tc>
      </w:tr>
    </w:tbl>
    <w:p w:rsidR="006F5DA1" w:rsidRPr="00E942A7" w:rsidRDefault="006F5DA1" w:rsidP="006F5DA1">
      <w:pPr>
        <w:tabs>
          <w:tab w:val="left" w:pos="284"/>
        </w:tabs>
        <w:rPr>
          <w:sz w:val="22"/>
          <w:szCs w:val="22"/>
          <w:lang w:val="sr-Latn-CS"/>
        </w:rPr>
      </w:pPr>
    </w:p>
    <w:p w:rsidR="006F5DA1" w:rsidRPr="00E942A7" w:rsidRDefault="006F5DA1" w:rsidP="006F5DA1">
      <w:pPr>
        <w:shd w:val="clear" w:color="auto" w:fill="FFFFFF"/>
        <w:tabs>
          <w:tab w:val="left" w:pos="605"/>
        </w:tabs>
        <w:spacing w:line="235" w:lineRule="exact"/>
        <w:jc w:val="both"/>
        <w:rPr>
          <w:sz w:val="22"/>
          <w:szCs w:val="22"/>
          <w:lang w:val="sr-Latn-CS"/>
        </w:rPr>
      </w:pPr>
      <w:r w:rsidRPr="00E942A7">
        <w:rPr>
          <w:sz w:val="22"/>
          <w:szCs w:val="22"/>
          <w:lang w:val="sr-Latn-CS"/>
        </w:rPr>
        <w:t>*</w:t>
      </w:r>
      <w:r w:rsidRPr="00E942A7">
        <w:rPr>
          <w:sz w:val="22"/>
          <w:szCs w:val="22"/>
          <w:lang w:val="sr-Latn-CS"/>
        </w:rPr>
        <w:tab/>
      </w:r>
      <w:r w:rsidRPr="00E942A7">
        <w:rPr>
          <w:spacing w:val="2"/>
          <w:sz w:val="22"/>
          <w:szCs w:val="22"/>
          <w:lang w:val="sr-Latn-CS"/>
        </w:rPr>
        <w:t>Uključuje vertebralne i nevertebralne frakture</w:t>
      </w:r>
    </w:p>
    <w:p w:rsidR="006F5DA1" w:rsidRPr="00E942A7" w:rsidRDefault="006F5DA1" w:rsidP="006F5DA1">
      <w:pPr>
        <w:shd w:val="clear" w:color="auto" w:fill="FFFFFF"/>
        <w:tabs>
          <w:tab w:val="left" w:pos="605"/>
        </w:tabs>
        <w:spacing w:line="235" w:lineRule="exact"/>
        <w:jc w:val="both"/>
        <w:rPr>
          <w:sz w:val="22"/>
          <w:szCs w:val="22"/>
          <w:lang w:val="sr-Latn-CS"/>
        </w:rPr>
      </w:pPr>
      <w:r w:rsidRPr="00E942A7">
        <w:rPr>
          <w:spacing w:val="-15"/>
          <w:sz w:val="22"/>
          <w:szCs w:val="22"/>
          <w:lang w:val="sr-Latn-CS"/>
        </w:rPr>
        <w:t>**</w:t>
      </w:r>
      <w:r w:rsidRPr="00E942A7">
        <w:rPr>
          <w:sz w:val="22"/>
          <w:szCs w:val="22"/>
          <w:lang w:val="sr-Latn-CS"/>
        </w:rPr>
        <w:tab/>
      </w:r>
      <w:r w:rsidRPr="00E942A7">
        <w:rPr>
          <w:spacing w:val="2"/>
          <w:sz w:val="22"/>
          <w:szCs w:val="22"/>
          <w:lang w:val="sr-Latn-CS"/>
        </w:rPr>
        <w:t>Odnosi se na sve kompikacije na kostima, ukupan broj kao i vrijeme do pojave svake komplikacije na kostima tokom ispitivanja</w:t>
      </w:r>
    </w:p>
    <w:p w:rsidR="006F5DA1" w:rsidRPr="00E942A7" w:rsidRDefault="006F5DA1" w:rsidP="006F5DA1">
      <w:pPr>
        <w:shd w:val="clear" w:color="auto" w:fill="FFFFFF"/>
        <w:tabs>
          <w:tab w:val="left" w:pos="605"/>
        </w:tabs>
        <w:spacing w:line="235" w:lineRule="exact"/>
        <w:jc w:val="both"/>
        <w:rPr>
          <w:sz w:val="22"/>
          <w:szCs w:val="22"/>
          <w:lang w:val="sr-Latn-CS"/>
        </w:rPr>
      </w:pPr>
      <w:r w:rsidRPr="00E942A7">
        <w:rPr>
          <w:spacing w:val="8"/>
          <w:sz w:val="22"/>
          <w:szCs w:val="22"/>
          <w:lang w:val="sr-Latn-CS"/>
        </w:rPr>
        <w:t>ND</w:t>
      </w:r>
      <w:r w:rsidRPr="00E942A7">
        <w:rPr>
          <w:sz w:val="22"/>
          <w:szCs w:val="22"/>
          <w:lang w:val="sr-Latn-CS"/>
        </w:rPr>
        <w:t xml:space="preserve"> </w:t>
      </w:r>
      <w:r w:rsidRPr="00E942A7">
        <w:rPr>
          <w:spacing w:val="3"/>
          <w:sz w:val="22"/>
          <w:szCs w:val="22"/>
          <w:lang w:val="sr-Latn-CS"/>
        </w:rPr>
        <w:t>Nije dostignuto</w:t>
      </w:r>
    </w:p>
    <w:p w:rsidR="006F5DA1" w:rsidRPr="00E942A7" w:rsidRDefault="006F5DA1" w:rsidP="006F5DA1">
      <w:pPr>
        <w:shd w:val="clear" w:color="auto" w:fill="FFFFFF"/>
        <w:tabs>
          <w:tab w:val="left" w:pos="605"/>
        </w:tabs>
        <w:spacing w:line="235" w:lineRule="exact"/>
        <w:jc w:val="both"/>
        <w:rPr>
          <w:spacing w:val="2"/>
          <w:sz w:val="22"/>
          <w:szCs w:val="22"/>
          <w:lang w:val="sr-Latn-CS"/>
        </w:rPr>
      </w:pPr>
      <w:r w:rsidRPr="00E942A7">
        <w:rPr>
          <w:spacing w:val="7"/>
          <w:sz w:val="22"/>
          <w:szCs w:val="22"/>
          <w:lang w:val="sr-Latn-CS"/>
        </w:rPr>
        <w:t>NP</w:t>
      </w:r>
      <w:r w:rsidRPr="00E942A7">
        <w:rPr>
          <w:sz w:val="22"/>
          <w:szCs w:val="22"/>
          <w:lang w:val="sr-Latn-CS"/>
        </w:rPr>
        <w:t xml:space="preserve"> </w:t>
      </w:r>
      <w:r w:rsidRPr="00E942A7">
        <w:rPr>
          <w:spacing w:val="2"/>
          <w:sz w:val="22"/>
          <w:szCs w:val="22"/>
          <w:lang w:val="sr-Latn-CS"/>
        </w:rPr>
        <w:t>Nije primjenjljivo</w:t>
      </w:r>
    </w:p>
    <w:p w:rsidR="006F5DA1" w:rsidRPr="00E942A7" w:rsidRDefault="006F5DA1" w:rsidP="006F5DA1">
      <w:pPr>
        <w:shd w:val="clear" w:color="auto" w:fill="FFFFFF"/>
        <w:tabs>
          <w:tab w:val="left" w:pos="605"/>
        </w:tabs>
        <w:spacing w:line="235" w:lineRule="exact"/>
        <w:jc w:val="both"/>
        <w:rPr>
          <w:spacing w:val="2"/>
          <w:sz w:val="22"/>
          <w:szCs w:val="22"/>
          <w:lang w:val="sr-Latn-CS"/>
        </w:rPr>
      </w:pPr>
      <w:r w:rsidRPr="00E942A7">
        <w:rPr>
          <w:spacing w:val="2"/>
          <w:sz w:val="22"/>
          <w:szCs w:val="22"/>
          <w:lang w:val="sr-Latn-CS"/>
        </w:rPr>
        <w:t>TIH (Tumor-induced hypercalcaemia) – hiperkalcijemija izazvana tumorom</w:t>
      </w:r>
    </w:p>
    <w:p w:rsidR="006F5DA1" w:rsidRPr="00E942A7" w:rsidRDefault="006F5DA1" w:rsidP="006F5DA1">
      <w:pPr>
        <w:shd w:val="clear" w:color="auto" w:fill="FFFFFF"/>
        <w:spacing w:before="235" w:line="235" w:lineRule="exact"/>
        <w:jc w:val="both"/>
        <w:rPr>
          <w:spacing w:val="3"/>
          <w:sz w:val="22"/>
          <w:szCs w:val="22"/>
          <w:lang w:val="sr-Latn-CS"/>
        </w:rPr>
      </w:pPr>
      <w:r w:rsidRPr="00E942A7">
        <w:rPr>
          <w:spacing w:val="3"/>
          <w:sz w:val="22"/>
          <w:szCs w:val="22"/>
          <w:lang w:val="sr-Latn-CS"/>
        </w:rPr>
        <w:t xml:space="preserve">U trećoj randomizovanoj, dvostruko-slijepoj studiji faze </w:t>
      </w:r>
      <w:smartTag w:uri="urn:schemas-microsoft-com:office:smarttags" w:element="stockticker">
        <w:r w:rsidRPr="00E942A7">
          <w:rPr>
            <w:spacing w:val="3"/>
            <w:sz w:val="22"/>
            <w:szCs w:val="22"/>
            <w:lang w:val="sr-Latn-CS"/>
          </w:rPr>
          <w:t>III</w:t>
        </w:r>
      </w:smartTag>
      <w:r w:rsidRPr="00E942A7">
        <w:rPr>
          <w:spacing w:val="3"/>
          <w:sz w:val="22"/>
          <w:szCs w:val="22"/>
          <w:lang w:val="sr-Latn-CS"/>
        </w:rPr>
        <w:t>, 4 mg zoledronske kiseline ili 90 mg pamidronata datih svake 3 do 4 nedjelje, upoređivani su kod</w:t>
      </w:r>
      <w:r w:rsidRPr="00E942A7">
        <w:rPr>
          <w:spacing w:val="2"/>
          <w:sz w:val="22"/>
          <w:szCs w:val="22"/>
          <w:lang w:val="sr-Latn-CS"/>
        </w:rPr>
        <w:t xml:space="preserve"> pacijenata sa multiplim mijelomom ili karcinomom dojke sa makar jednom lezijom na kostima. Rezultati su pokazali da je </w:t>
      </w:r>
      <w:r w:rsidRPr="00E942A7">
        <w:rPr>
          <w:spacing w:val="3"/>
          <w:sz w:val="22"/>
          <w:szCs w:val="22"/>
          <w:lang w:val="sr-Latn-CS"/>
        </w:rPr>
        <w:t xml:space="preserve">4 mg zoledronske kiseline ispoljilo uporedivu efikasnost sa 90 mg pamidronata u prevenciji komplikacija na kostima. Analiza višestrukih događaja otkrila je značajno smanjenje rizika za 16% kod pacijenata na terapiji sa 4 mg zoledronske kiseline u poređenju sa pacijentima koji su primali pamidronat. Rezultati efikasnosti prikazani su u </w:t>
      </w:r>
      <w:r w:rsidRPr="00E942A7">
        <w:rPr>
          <w:b/>
          <w:spacing w:val="3"/>
          <w:sz w:val="22"/>
          <w:szCs w:val="22"/>
          <w:lang w:val="sr-Latn-CS"/>
        </w:rPr>
        <w:t>Tabeli 4.</w:t>
      </w:r>
    </w:p>
    <w:p w:rsidR="006F5DA1" w:rsidRPr="00E942A7" w:rsidRDefault="006F5DA1" w:rsidP="006F5DA1">
      <w:pPr>
        <w:shd w:val="clear" w:color="auto" w:fill="FFFFFF"/>
        <w:spacing w:before="250"/>
        <w:jc w:val="both"/>
        <w:rPr>
          <w:sz w:val="22"/>
          <w:szCs w:val="22"/>
          <w:lang w:val="sr-Latn-CS"/>
        </w:rPr>
      </w:pPr>
      <w:r w:rsidRPr="00E942A7">
        <w:rPr>
          <w:b/>
          <w:bCs/>
          <w:spacing w:val="2"/>
          <w:sz w:val="22"/>
          <w:szCs w:val="22"/>
          <w:lang w:val="sr-Latn-CS"/>
        </w:rPr>
        <w:t xml:space="preserve">Tabela 4: </w:t>
      </w:r>
      <w:r w:rsidRPr="00E942A7">
        <w:rPr>
          <w:spacing w:val="3"/>
          <w:sz w:val="22"/>
          <w:szCs w:val="22"/>
          <w:lang w:val="sr-Latn-CS"/>
        </w:rPr>
        <w:t>Rezultati efikasnosti</w:t>
      </w:r>
      <w:r w:rsidRPr="00E942A7">
        <w:rPr>
          <w:spacing w:val="2"/>
          <w:sz w:val="22"/>
          <w:szCs w:val="22"/>
          <w:lang w:val="sr-Latn-CS"/>
        </w:rPr>
        <w:t xml:space="preserve"> (pacijenti sa karcinomom dojke ili multiplim mijelomom)</w:t>
      </w:r>
    </w:p>
    <w:p w:rsidR="006F5DA1" w:rsidRPr="00E942A7" w:rsidRDefault="006F5DA1" w:rsidP="006F5DA1">
      <w:pPr>
        <w:tabs>
          <w:tab w:val="left" w:pos="284"/>
        </w:tabs>
        <w:rPr>
          <w:sz w:val="22"/>
          <w:szCs w:val="22"/>
          <w:lang w:val="sr-Latn-CS"/>
        </w:rPr>
      </w:pPr>
    </w:p>
    <w:tbl>
      <w:tblPr>
        <w:tblW w:w="0" w:type="auto"/>
        <w:tblInd w:w="40" w:type="dxa"/>
        <w:tblLayout w:type="fixed"/>
        <w:tblCellMar>
          <w:left w:w="40" w:type="dxa"/>
          <w:right w:w="40" w:type="dxa"/>
        </w:tblCellMar>
        <w:tblLook w:val="0000" w:firstRow="0" w:lastRow="0" w:firstColumn="0" w:lastColumn="0" w:noHBand="0" w:noVBand="0"/>
      </w:tblPr>
      <w:tblGrid>
        <w:gridCol w:w="2109"/>
        <w:gridCol w:w="1199"/>
        <w:gridCol w:w="1332"/>
        <w:gridCol w:w="1199"/>
        <w:gridCol w:w="67"/>
        <w:gridCol w:w="1134"/>
        <w:gridCol w:w="1063"/>
        <w:gridCol w:w="213"/>
        <w:gridCol w:w="1134"/>
      </w:tblGrid>
      <w:tr w:rsidR="006F5DA1" w:rsidRPr="00E942A7" w:rsidTr="001F5CB2">
        <w:trPr>
          <w:trHeight w:val="810"/>
        </w:trPr>
        <w:tc>
          <w:tcPr>
            <w:tcW w:w="2109" w:type="dxa"/>
            <w:tcBorders>
              <w:top w:val="single" w:sz="6" w:space="0" w:color="auto"/>
              <w:left w:val="single" w:sz="6" w:space="0" w:color="auto"/>
              <w:bottom w:val="nil"/>
              <w:right w:val="single" w:sz="6" w:space="0" w:color="auto"/>
            </w:tcBorders>
            <w:shd w:val="clear" w:color="auto" w:fill="FFFFFF"/>
          </w:tcPr>
          <w:p w:rsidR="006F5DA1" w:rsidRPr="00E942A7" w:rsidRDefault="006F5DA1" w:rsidP="006F5DA1">
            <w:pPr>
              <w:shd w:val="clear" w:color="auto" w:fill="FFFFFF"/>
              <w:rPr>
                <w:sz w:val="22"/>
                <w:szCs w:val="22"/>
                <w:lang w:val="sr-Latn-CS"/>
              </w:rPr>
            </w:pPr>
          </w:p>
        </w:tc>
        <w:tc>
          <w:tcPr>
            <w:tcW w:w="2531" w:type="dxa"/>
            <w:gridSpan w:val="2"/>
            <w:tcBorders>
              <w:top w:val="single" w:sz="6" w:space="0" w:color="auto"/>
              <w:left w:val="single" w:sz="6" w:space="0" w:color="auto"/>
              <w:right w:val="single" w:sz="6" w:space="0" w:color="auto"/>
            </w:tcBorders>
            <w:shd w:val="clear" w:color="auto" w:fill="FFFFFF"/>
          </w:tcPr>
          <w:p w:rsidR="006F5DA1" w:rsidRPr="00E942A7" w:rsidRDefault="006F5DA1" w:rsidP="006F5DA1">
            <w:pPr>
              <w:shd w:val="clear" w:color="auto" w:fill="FFFFFF"/>
              <w:rPr>
                <w:sz w:val="22"/>
                <w:szCs w:val="22"/>
                <w:lang w:val="sr-Latn-CS"/>
              </w:rPr>
            </w:pPr>
            <w:r w:rsidRPr="00E942A7">
              <w:rPr>
                <w:sz w:val="22"/>
                <w:szCs w:val="22"/>
                <w:lang w:val="sr-Latn-CS"/>
              </w:rPr>
              <w:t>Bilo koja komplikacija na kostima (+TIH)</w:t>
            </w:r>
          </w:p>
        </w:tc>
        <w:tc>
          <w:tcPr>
            <w:tcW w:w="2400" w:type="dxa"/>
            <w:gridSpan w:val="3"/>
            <w:tcBorders>
              <w:top w:val="single" w:sz="6" w:space="0" w:color="auto"/>
              <w:left w:val="single" w:sz="6" w:space="0" w:color="auto"/>
              <w:right w:val="single" w:sz="6" w:space="0" w:color="auto"/>
            </w:tcBorders>
            <w:shd w:val="clear" w:color="auto" w:fill="FFFFFF"/>
          </w:tcPr>
          <w:p w:rsidR="006F5DA1" w:rsidRPr="00E942A7" w:rsidRDefault="006F5DA1" w:rsidP="006F5DA1">
            <w:pPr>
              <w:shd w:val="clear" w:color="auto" w:fill="FFFFFF"/>
              <w:rPr>
                <w:sz w:val="22"/>
                <w:szCs w:val="22"/>
                <w:lang w:val="sr-Latn-CS"/>
              </w:rPr>
            </w:pPr>
            <w:r w:rsidRPr="00E942A7">
              <w:rPr>
                <w:sz w:val="22"/>
                <w:szCs w:val="22"/>
                <w:lang w:val="sr-Latn-CS"/>
              </w:rPr>
              <w:t>Frakture*</w:t>
            </w:r>
          </w:p>
        </w:tc>
        <w:tc>
          <w:tcPr>
            <w:tcW w:w="2410" w:type="dxa"/>
            <w:gridSpan w:val="3"/>
            <w:tcBorders>
              <w:top w:val="single" w:sz="6" w:space="0" w:color="auto"/>
              <w:left w:val="single" w:sz="6" w:space="0" w:color="auto"/>
              <w:right w:val="single" w:sz="6" w:space="0" w:color="auto"/>
            </w:tcBorders>
            <w:shd w:val="clear" w:color="auto" w:fill="FFFFFF"/>
          </w:tcPr>
          <w:p w:rsidR="006F5DA1" w:rsidRPr="00E942A7" w:rsidRDefault="006F5DA1" w:rsidP="006F5DA1">
            <w:pPr>
              <w:rPr>
                <w:sz w:val="22"/>
                <w:szCs w:val="22"/>
                <w:lang w:val="sr-Latn-CS"/>
              </w:rPr>
            </w:pPr>
            <w:r w:rsidRPr="00E942A7">
              <w:rPr>
                <w:spacing w:val="1"/>
                <w:sz w:val="22"/>
                <w:szCs w:val="22"/>
                <w:lang w:val="sr-Latn-CS"/>
              </w:rPr>
              <w:t>Radijaciona terapija</w:t>
            </w:r>
          </w:p>
          <w:p w:rsidR="006F5DA1" w:rsidRPr="00E942A7" w:rsidRDefault="006F5DA1" w:rsidP="006F5DA1">
            <w:pPr>
              <w:shd w:val="clear" w:color="auto" w:fill="FFFFFF"/>
              <w:rPr>
                <w:sz w:val="22"/>
                <w:szCs w:val="22"/>
                <w:lang w:val="sr-Latn-CS"/>
              </w:rPr>
            </w:pPr>
            <w:r w:rsidRPr="00E942A7">
              <w:rPr>
                <w:sz w:val="22"/>
                <w:szCs w:val="22"/>
                <w:lang w:val="sr-Latn-CS"/>
              </w:rPr>
              <w:t>kosti</w:t>
            </w:r>
          </w:p>
        </w:tc>
      </w:tr>
      <w:tr w:rsidR="006F5DA1" w:rsidRPr="00E942A7" w:rsidTr="001F5CB2">
        <w:trPr>
          <w:trHeight w:hRule="exact" w:val="1173"/>
        </w:trPr>
        <w:tc>
          <w:tcPr>
            <w:tcW w:w="2109" w:type="dxa"/>
            <w:tcBorders>
              <w:top w:val="single" w:sz="6" w:space="0" w:color="auto"/>
              <w:left w:val="single" w:sz="6" w:space="0" w:color="auto"/>
              <w:bottom w:val="single" w:sz="6" w:space="0" w:color="auto"/>
              <w:right w:val="single" w:sz="6" w:space="0" w:color="auto"/>
            </w:tcBorders>
            <w:shd w:val="clear" w:color="auto" w:fill="FFFFFF"/>
          </w:tcPr>
          <w:p w:rsidR="006F5DA1" w:rsidRPr="00E942A7" w:rsidRDefault="006F5DA1" w:rsidP="006F5DA1">
            <w:pPr>
              <w:shd w:val="clear" w:color="auto" w:fill="FFFFFF"/>
              <w:rPr>
                <w:sz w:val="22"/>
                <w:szCs w:val="22"/>
                <w:lang w:val="sr-Latn-CS"/>
              </w:rPr>
            </w:pPr>
          </w:p>
        </w:tc>
        <w:tc>
          <w:tcPr>
            <w:tcW w:w="1199" w:type="dxa"/>
            <w:tcBorders>
              <w:top w:val="single" w:sz="6" w:space="0" w:color="auto"/>
              <w:left w:val="single" w:sz="6" w:space="0" w:color="auto"/>
              <w:bottom w:val="single" w:sz="6" w:space="0" w:color="auto"/>
              <w:right w:val="single" w:sz="6" w:space="0" w:color="auto"/>
            </w:tcBorders>
            <w:shd w:val="clear" w:color="auto" w:fill="FFFFFF"/>
          </w:tcPr>
          <w:p w:rsidR="006F5DA1" w:rsidRPr="00E942A7" w:rsidRDefault="006F5DA1" w:rsidP="006F5DA1">
            <w:pPr>
              <w:shd w:val="clear" w:color="auto" w:fill="FFFFFF"/>
              <w:spacing w:line="235" w:lineRule="exact"/>
              <w:ind w:right="173"/>
              <w:rPr>
                <w:sz w:val="22"/>
                <w:szCs w:val="22"/>
                <w:lang w:val="sr-Latn-CS"/>
              </w:rPr>
            </w:pPr>
            <w:r w:rsidRPr="00E942A7">
              <w:rPr>
                <w:spacing w:val="2"/>
                <w:sz w:val="22"/>
                <w:szCs w:val="22"/>
                <w:lang w:val="sr-Latn-CS"/>
              </w:rPr>
              <w:t>4mg zoledronske kiseline</w:t>
            </w:r>
          </w:p>
        </w:tc>
        <w:tc>
          <w:tcPr>
            <w:tcW w:w="1332" w:type="dxa"/>
            <w:tcBorders>
              <w:top w:val="single" w:sz="6" w:space="0" w:color="auto"/>
              <w:left w:val="single" w:sz="6" w:space="0" w:color="auto"/>
              <w:bottom w:val="single" w:sz="6" w:space="0" w:color="auto"/>
              <w:right w:val="single" w:sz="6" w:space="0" w:color="auto"/>
            </w:tcBorders>
            <w:shd w:val="clear" w:color="auto" w:fill="FFFFFF"/>
          </w:tcPr>
          <w:p w:rsidR="006F5DA1" w:rsidRPr="00E942A7" w:rsidRDefault="006F5DA1" w:rsidP="006F5DA1">
            <w:pPr>
              <w:shd w:val="clear" w:color="auto" w:fill="FFFFFF"/>
              <w:rPr>
                <w:sz w:val="22"/>
                <w:szCs w:val="22"/>
                <w:lang w:val="sr-Latn-CS"/>
              </w:rPr>
            </w:pPr>
            <w:r w:rsidRPr="00E942A7">
              <w:rPr>
                <w:spacing w:val="1"/>
                <w:sz w:val="22"/>
                <w:szCs w:val="22"/>
                <w:lang w:val="sr-Latn-CS"/>
              </w:rPr>
              <w:t>Pamidronat 90 mg</w:t>
            </w:r>
          </w:p>
        </w:tc>
        <w:tc>
          <w:tcPr>
            <w:tcW w:w="1266" w:type="dxa"/>
            <w:gridSpan w:val="2"/>
            <w:tcBorders>
              <w:top w:val="single" w:sz="6" w:space="0" w:color="auto"/>
              <w:left w:val="single" w:sz="6" w:space="0" w:color="auto"/>
              <w:bottom w:val="single" w:sz="6" w:space="0" w:color="auto"/>
              <w:right w:val="single" w:sz="6" w:space="0" w:color="auto"/>
            </w:tcBorders>
            <w:shd w:val="clear" w:color="auto" w:fill="FFFFFF"/>
          </w:tcPr>
          <w:p w:rsidR="006F5DA1" w:rsidRPr="00E942A7" w:rsidRDefault="006F5DA1" w:rsidP="006F5DA1">
            <w:pPr>
              <w:shd w:val="clear" w:color="auto" w:fill="FFFFFF"/>
              <w:spacing w:line="235" w:lineRule="exact"/>
              <w:ind w:right="173"/>
              <w:rPr>
                <w:spacing w:val="2"/>
                <w:sz w:val="22"/>
                <w:szCs w:val="22"/>
                <w:lang w:val="sr-Latn-CS"/>
              </w:rPr>
            </w:pPr>
            <w:r w:rsidRPr="00E942A7">
              <w:rPr>
                <w:spacing w:val="2"/>
                <w:sz w:val="22"/>
                <w:szCs w:val="22"/>
                <w:lang w:val="sr-Latn-CS"/>
              </w:rPr>
              <w:t xml:space="preserve">4mg zoledronske kiseline </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6F5DA1" w:rsidRPr="00E942A7" w:rsidRDefault="006F5DA1" w:rsidP="006F5DA1">
            <w:pPr>
              <w:shd w:val="clear" w:color="auto" w:fill="FFFFFF"/>
              <w:spacing w:line="240" w:lineRule="exact"/>
              <w:ind w:right="163"/>
              <w:rPr>
                <w:sz w:val="22"/>
                <w:szCs w:val="22"/>
                <w:lang w:val="sr-Latn-CS"/>
              </w:rPr>
            </w:pPr>
            <w:r w:rsidRPr="00E942A7">
              <w:rPr>
                <w:sz w:val="22"/>
                <w:szCs w:val="22"/>
                <w:lang w:val="sr-Latn-CS"/>
              </w:rPr>
              <w:t>Pamidronat 90 mg</w:t>
            </w:r>
          </w:p>
        </w:tc>
        <w:tc>
          <w:tcPr>
            <w:tcW w:w="1276" w:type="dxa"/>
            <w:gridSpan w:val="2"/>
            <w:tcBorders>
              <w:top w:val="single" w:sz="6" w:space="0" w:color="auto"/>
              <w:left w:val="single" w:sz="6" w:space="0" w:color="auto"/>
              <w:bottom w:val="single" w:sz="6" w:space="0" w:color="auto"/>
              <w:right w:val="single" w:sz="6" w:space="0" w:color="auto"/>
            </w:tcBorders>
            <w:shd w:val="clear" w:color="auto" w:fill="FFFFFF"/>
          </w:tcPr>
          <w:p w:rsidR="006F5DA1" w:rsidRPr="00E942A7" w:rsidRDefault="006F5DA1" w:rsidP="006F5DA1">
            <w:pPr>
              <w:shd w:val="clear" w:color="auto" w:fill="FFFFFF"/>
              <w:spacing w:line="235" w:lineRule="exact"/>
              <w:ind w:right="173"/>
              <w:rPr>
                <w:sz w:val="22"/>
                <w:szCs w:val="22"/>
                <w:lang w:val="sr-Latn-CS"/>
              </w:rPr>
            </w:pPr>
            <w:r w:rsidRPr="00E942A7">
              <w:rPr>
                <w:spacing w:val="2"/>
                <w:sz w:val="22"/>
                <w:szCs w:val="22"/>
                <w:lang w:val="sr-Latn-CS"/>
              </w:rPr>
              <w:t>4mg zoledronske kiseline</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6F5DA1" w:rsidRPr="00E942A7" w:rsidRDefault="006F5DA1" w:rsidP="006F5DA1">
            <w:pPr>
              <w:shd w:val="clear" w:color="auto" w:fill="FFFFFF"/>
              <w:spacing w:line="240" w:lineRule="exact"/>
              <w:ind w:right="163"/>
              <w:rPr>
                <w:sz w:val="22"/>
                <w:szCs w:val="22"/>
                <w:lang w:val="sr-Latn-CS"/>
              </w:rPr>
            </w:pPr>
            <w:r w:rsidRPr="00E942A7">
              <w:rPr>
                <w:sz w:val="22"/>
                <w:szCs w:val="22"/>
                <w:lang w:val="sr-Latn-CS"/>
              </w:rPr>
              <w:t>Pamidronat 90 mg</w:t>
            </w:r>
          </w:p>
        </w:tc>
      </w:tr>
      <w:tr w:rsidR="006F5DA1" w:rsidRPr="00E942A7" w:rsidTr="001F5CB2">
        <w:trPr>
          <w:trHeight w:hRule="exact" w:val="409"/>
        </w:trPr>
        <w:tc>
          <w:tcPr>
            <w:tcW w:w="2109" w:type="dxa"/>
            <w:tcBorders>
              <w:top w:val="single" w:sz="6" w:space="0" w:color="auto"/>
              <w:left w:val="single" w:sz="6" w:space="0" w:color="auto"/>
              <w:bottom w:val="single" w:sz="6" w:space="0" w:color="auto"/>
              <w:right w:val="single" w:sz="6" w:space="0" w:color="auto"/>
            </w:tcBorders>
            <w:shd w:val="clear" w:color="auto" w:fill="FFFFFF"/>
          </w:tcPr>
          <w:p w:rsidR="006F5DA1" w:rsidRPr="00E942A7" w:rsidRDefault="006F5DA1" w:rsidP="006F5DA1">
            <w:pPr>
              <w:rPr>
                <w:sz w:val="22"/>
                <w:szCs w:val="22"/>
                <w:lang w:val="sr-Latn-CS"/>
              </w:rPr>
            </w:pPr>
            <w:r w:rsidRPr="00E942A7">
              <w:rPr>
                <w:sz w:val="22"/>
                <w:szCs w:val="22"/>
                <w:lang w:val="sr-Latn-CS"/>
              </w:rPr>
              <w:t>N</w:t>
            </w:r>
          </w:p>
        </w:tc>
        <w:tc>
          <w:tcPr>
            <w:tcW w:w="1199" w:type="dxa"/>
            <w:tcBorders>
              <w:top w:val="single" w:sz="6" w:space="0" w:color="auto"/>
              <w:left w:val="single" w:sz="6" w:space="0" w:color="auto"/>
              <w:bottom w:val="single" w:sz="6" w:space="0" w:color="auto"/>
              <w:right w:val="single" w:sz="6" w:space="0" w:color="auto"/>
            </w:tcBorders>
            <w:shd w:val="clear" w:color="auto" w:fill="FFFFFF"/>
          </w:tcPr>
          <w:p w:rsidR="006F5DA1" w:rsidRPr="00E942A7" w:rsidRDefault="006F5DA1" w:rsidP="006F5DA1">
            <w:pPr>
              <w:shd w:val="clear" w:color="auto" w:fill="FFFFFF"/>
              <w:rPr>
                <w:sz w:val="22"/>
                <w:szCs w:val="22"/>
                <w:lang w:val="sr-Latn-CS"/>
              </w:rPr>
            </w:pPr>
            <w:r w:rsidRPr="00E942A7">
              <w:rPr>
                <w:sz w:val="22"/>
                <w:szCs w:val="22"/>
                <w:lang w:val="sr-Latn-CS"/>
              </w:rPr>
              <w:t>561</w:t>
            </w:r>
          </w:p>
        </w:tc>
        <w:tc>
          <w:tcPr>
            <w:tcW w:w="1332" w:type="dxa"/>
            <w:tcBorders>
              <w:top w:val="single" w:sz="6" w:space="0" w:color="auto"/>
              <w:left w:val="single" w:sz="6" w:space="0" w:color="auto"/>
              <w:bottom w:val="single" w:sz="6" w:space="0" w:color="auto"/>
              <w:right w:val="single" w:sz="6" w:space="0" w:color="auto"/>
            </w:tcBorders>
            <w:shd w:val="clear" w:color="auto" w:fill="FFFFFF"/>
          </w:tcPr>
          <w:p w:rsidR="006F5DA1" w:rsidRPr="00E942A7" w:rsidRDefault="006F5DA1" w:rsidP="006F5DA1">
            <w:pPr>
              <w:shd w:val="clear" w:color="auto" w:fill="FFFFFF"/>
              <w:rPr>
                <w:sz w:val="22"/>
                <w:szCs w:val="22"/>
                <w:lang w:val="sr-Latn-CS"/>
              </w:rPr>
            </w:pPr>
            <w:r w:rsidRPr="00E942A7">
              <w:rPr>
                <w:sz w:val="22"/>
                <w:szCs w:val="22"/>
                <w:lang w:val="sr-Latn-CS"/>
              </w:rPr>
              <w:t>555</w:t>
            </w:r>
          </w:p>
        </w:tc>
        <w:tc>
          <w:tcPr>
            <w:tcW w:w="1266" w:type="dxa"/>
            <w:gridSpan w:val="2"/>
            <w:tcBorders>
              <w:top w:val="single" w:sz="6" w:space="0" w:color="auto"/>
              <w:left w:val="single" w:sz="6" w:space="0" w:color="auto"/>
              <w:bottom w:val="single" w:sz="6" w:space="0" w:color="auto"/>
              <w:right w:val="single" w:sz="6" w:space="0" w:color="auto"/>
            </w:tcBorders>
            <w:shd w:val="clear" w:color="auto" w:fill="FFFFFF"/>
          </w:tcPr>
          <w:p w:rsidR="006F5DA1" w:rsidRPr="00E942A7" w:rsidRDefault="006F5DA1" w:rsidP="006F5DA1">
            <w:pPr>
              <w:shd w:val="clear" w:color="auto" w:fill="FFFFFF"/>
              <w:rPr>
                <w:sz w:val="22"/>
                <w:szCs w:val="22"/>
                <w:lang w:val="sr-Latn-CS"/>
              </w:rPr>
            </w:pPr>
            <w:r w:rsidRPr="00E942A7">
              <w:rPr>
                <w:sz w:val="22"/>
                <w:szCs w:val="22"/>
                <w:lang w:val="sr-Latn-CS"/>
              </w:rPr>
              <w:t>561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6F5DA1" w:rsidRPr="00E942A7" w:rsidRDefault="006F5DA1" w:rsidP="006F5DA1">
            <w:pPr>
              <w:shd w:val="clear" w:color="auto" w:fill="FFFFFF"/>
              <w:rPr>
                <w:sz w:val="22"/>
                <w:szCs w:val="22"/>
                <w:lang w:val="sr-Latn-CS"/>
              </w:rPr>
            </w:pPr>
            <w:r w:rsidRPr="00E942A7">
              <w:rPr>
                <w:sz w:val="22"/>
                <w:szCs w:val="22"/>
                <w:lang w:val="sr-Latn-CS"/>
              </w:rPr>
              <w:t>555</w:t>
            </w:r>
          </w:p>
        </w:tc>
        <w:tc>
          <w:tcPr>
            <w:tcW w:w="1276" w:type="dxa"/>
            <w:gridSpan w:val="2"/>
            <w:tcBorders>
              <w:top w:val="single" w:sz="6" w:space="0" w:color="auto"/>
              <w:left w:val="single" w:sz="6" w:space="0" w:color="auto"/>
              <w:bottom w:val="single" w:sz="6" w:space="0" w:color="auto"/>
              <w:right w:val="single" w:sz="6" w:space="0" w:color="auto"/>
            </w:tcBorders>
            <w:shd w:val="clear" w:color="auto" w:fill="FFFFFF"/>
          </w:tcPr>
          <w:p w:rsidR="006F5DA1" w:rsidRPr="00E942A7" w:rsidRDefault="006F5DA1" w:rsidP="006F5DA1">
            <w:pPr>
              <w:shd w:val="clear" w:color="auto" w:fill="FFFFFF"/>
              <w:rPr>
                <w:sz w:val="22"/>
                <w:szCs w:val="22"/>
                <w:lang w:val="sr-Latn-CS"/>
              </w:rPr>
            </w:pPr>
            <w:r w:rsidRPr="00E942A7">
              <w:rPr>
                <w:sz w:val="22"/>
                <w:szCs w:val="22"/>
                <w:lang w:val="sr-Latn-CS"/>
              </w:rPr>
              <w:t>561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6F5DA1" w:rsidRPr="00E942A7" w:rsidRDefault="006F5DA1" w:rsidP="006F5DA1">
            <w:pPr>
              <w:shd w:val="clear" w:color="auto" w:fill="FFFFFF"/>
              <w:rPr>
                <w:sz w:val="22"/>
                <w:szCs w:val="22"/>
                <w:lang w:val="sr-Latn-CS"/>
              </w:rPr>
            </w:pPr>
            <w:r w:rsidRPr="00E942A7">
              <w:rPr>
                <w:sz w:val="22"/>
                <w:szCs w:val="22"/>
                <w:lang w:val="sr-Latn-CS"/>
              </w:rPr>
              <w:t>555</w:t>
            </w:r>
          </w:p>
        </w:tc>
      </w:tr>
      <w:tr w:rsidR="006F5DA1" w:rsidRPr="00E942A7" w:rsidTr="001F5CB2">
        <w:trPr>
          <w:trHeight w:hRule="exact" w:val="1067"/>
        </w:trPr>
        <w:tc>
          <w:tcPr>
            <w:tcW w:w="2109" w:type="dxa"/>
            <w:tcBorders>
              <w:top w:val="single" w:sz="6" w:space="0" w:color="auto"/>
              <w:left w:val="single" w:sz="6" w:space="0" w:color="auto"/>
              <w:bottom w:val="single" w:sz="6" w:space="0" w:color="auto"/>
              <w:right w:val="single" w:sz="6" w:space="0" w:color="auto"/>
            </w:tcBorders>
            <w:shd w:val="clear" w:color="auto" w:fill="FFFFFF"/>
          </w:tcPr>
          <w:p w:rsidR="006F5DA1" w:rsidRPr="00E942A7" w:rsidRDefault="006F5DA1" w:rsidP="006F5DA1">
            <w:pPr>
              <w:rPr>
                <w:sz w:val="22"/>
                <w:szCs w:val="22"/>
                <w:lang w:val="sr-Latn-CS"/>
              </w:rPr>
            </w:pPr>
            <w:r w:rsidRPr="00E942A7">
              <w:rPr>
                <w:spacing w:val="1"/>
                <w:sz w:val="22"/>
                <w:szCs w:val="22"/>
                <w:lang w:val="sr-Latn-CS"/>
              </w:rPr>
              <w:t>Proporcija pacijenata sa komplikacijama na kostima (%)</w:t>
            </w:r>
          </w:p>
        </w:tc>
        <w:tc>
          <w:tcPr>
            <w:tcW w:w="1199" w:type="dxa"/>
            <w:tcBorders>
              <w:top w:val="single" w:sz="6" w:space="0" w:color="auto"/>
              <w:left w:val="single" w:sz="6" w:space="0" w:color="auto"/>
              <w:bottom w:val="single" w:sz="6" w:space="0" w:color="auto"/>
              <w:right w:val="single" w:sz="6" w:space="0" w:color="auto"/>
            </w:tcBorders>
            <w:shd w:val="clear" w:color="auto" w:fill="FFFFFF"/>
          </w:tcPr>
          <w:p w:rsidR="006F5DA1" w:rsidRPr="00E942A7" w:rsidRDefault="006F5DA1" w:rsidP="006F5DA1">
            <w:pPr>
              <w:shd w:val="clear" w:color="auto" w:fill="FFFFFF"/>
              <w:rPr>
                <w:sz w:val="22"/>
                <w:szCs w:val="22"/>
                <w:lang w:val="sr-Latn-CS"/>
              </w:rPr>
            </w:pPr>
            <w:r w:rsidRPr="00E942A7">
              <w:rPr>
                <w:sz w:val="22"/>
                <w:szCs w:val="22"/>
                <w:lang w:val="sr-Latn-CS"/>
              </w:rPr>
              <w:t>48</w:t>
            </w:r>
          </w:p>
        </w:tc>
        <w:tc>
          <w:tcPr>
            <w:tcW w:w="1332" w:type="dxa"/>
            <w:tcBorders>
              <w:top w:val="single" w:sz="6" w:space="0" w:color="auto"/>
              <w:left w:val="single" w:sz="6" w:space="0" w:color="auto"/>
              <w:bottom w:val="single" w:sz="6" w:space="0" w:color="auto"/>
              <w:right w:val="single" w:sz="6" w:space="0" w:color="auto"/>
            </w:tcBorders>
            <w:shd w:val="clear" w:color="auto" w:fill="FFFFFF"/>
          </w:tcPr>
          <w:p w:rsidR="006F5DA1" w:rsidRPr="00E942A7" w:rsidRDefault="006F5DA1" w:rsidP="006F5DA1">
            <w:pPr>
              <w:shd w:val="clear" w:color="auto" w:fill="FFFFFF"/>
              <w:rPr>
                <w:sz w:val="22"/>
                <w:szCs w:val="22"/>
                <w:lang w:val="sr-Latn-CS"/>
              </w:rPr>
            </w:pPr>
            <w:r w:rsidRPr="00E942A7">
              <w:rPr>
                <w:sz w:val="22"/>
                <w:szCs w:val="22"/>
                <w:lang w:val="sr-Latn-CS"/>
              </w:rPr>
              <w:t>52</w:t>
            </w:r>
          </w:p>
        </w:tc>
        <w:tc>
          <w:tcPr>
            <w:tcW w:w="1266" w:type="dxa"/>
            <w:gridSpan w:val="2"/>
            <w:tcBorders>
              <w:top w:val="single" w:sz="6" w:space="0" w:color="auto"/>
              <w:left w:val="single" w:sz="6" w:space="0" w:color="auto"/>
              <w:bottom w:val="single" w:sz="6" w:space="0" w:color="auto"/>
              <w:right w:val="single" w:sz="6" w:space="0" w:color="auto"/>
            </w:tcBorders>
            <w:shd w:val="clear" w:color="auto" w:fill="FFFFFF"/>
          </w:tcPr>
          <w:p w:rsidR="006F5DA1" w:rsidRPr="00E942A7" w:rsidRDefault="006F5DA1" w:rsidP="006F5DA1">
            <w:pPr>
              <w:shd w:val="clear" w:color="auto" w:fill="FFFFFF"/>
              <w:rPr>
                <w:sz w:val="22"/>
                <w:szCs w:val="22"/>
                <w:lang w:val="sr-Latn-CS"/>
              </w:rPr>
            </w:pPr>
            <w:r w:rsidRPr="00E942A7">
              <w:rPr>
                <w:sz w:val="22"/>
                <w:szCs w:val="22"/>
                <w:lang w:val="sr-Latn-CS"/>
              </w:rPr>
              <w:t>37</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6F5DA1" w:rsidRPr="00E942A7" w:rsidRDefault="006F5DA1" w:rsidP="006F5DA1">
            <w:pPr>
              <w:shd w:val="clear" w:color="auto" w:fill="FFFFFF"/>
              <w:rPr>
                <w:sz w:val="22"/>
                <w:szCs w:val="22"/>
                <w:lang w:val="sr-Latn-CS"/>
              </w:rPr>
            </w:pPr>
            <w:r w:rsidRPr="00E942A7">
              <w:rPr>
                <w:sz w:val="22"/>
                <w:szCs w:val="22"/>
                <w:lang w:val="sr-Latn-CS"/>
              </w:rPr>
              <w:t>39</w:t>
            </w:r>
          </w:p>
        </w:tc>
        <w:tc>
          <w:tcPr>
            <w:tcW w:w="1276" w:type="dxa"/>
            <w:gridSpan w:val="2"/>
            <w:tcBorders>
              <w:top w:val="single" w:sz="6" w:space="0" w:color="auto"/>
              <w:left w:val="single" w:sz="6" w:space="0" w:color="auto"/>
              <w:bottom w:val="single" w:sz="6" w:space="0" w:color="auto"/>
              <w:right w:val="single" w:sz="6" w:space="0" w:color="auto"/>
            </w:tcBorders>
            <w:shd w:val="clear" w:color="auto" w:fill="FFFFFF"/>
          </w:tcPr>
          <w:p w:rsidR="006F5DA1" w:rsidRPr="00E942A7" w:rsidRDefault="006F5DA1" w:rsidP="006F5DA1">
            <w:pPr>
              <w:shd w:val="clear" w:color="auto" w:fill="FFFFFF"/>
              <w:rPr>
                <w:sz w:val="22"/>
                <w:szCs w:val="22"/>
                <w:lang w:val="sr-Latn-CS"/>
              </w:rPr>
            </w:pPr>
            <w:r w:rsidRPr="00E942A7">
              <w:rPr>
                <w:sz w:val="22"/>
                <w:szCs w:val="22"/>
                <w:lang w:val="sr-Latn-CS"/>
              </w:rPr>
              <w:t>19</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6F5DA1" w:rsidRPr="00E942A7" w:rsidRDefault="006F5DA1" w:rsidP="006F5DA1">
            <w:pPr>
              <w:shd w:val="clear" w:color="auto" w:fill="FFFFFF"/>
              <w:rPr>
                <w:sz w:val="22"/>
                <w:szCs w:val="22"/>
                <w:lang w:val="sr-Latn-CS"/>
              </w:rPr>
            </w:pPr>
            <w:r w:rsidRPr="00E942A7">
              <w:rPr>
                <w:sz w:val="22"/>
                <w:szCs w:val="22"/>
                <w:lang w:val="sr-Latn-CS"/>
              </w:rPr>
              <w:t>24</w:t>
            </w:r>
          </w:p>
        </w:tc>
      </w:tr>
      <w:tr w:rsidR="006F5DA1" w:rsidRPr="00E942A7" w:rsidTr="001F5CB2">
        <w:trPr>
          <w:trHeight w:hRule="exact" w:val="393"/>
        </w:trPr>
        <w:tc>
          <w:tcPr>
            <w:tcW w:w="2109" w:type="dxa"/>
            <w:tcBorders>
              <w:top w:val="single" w:sz="6" w:space="0" w:color="auto"/>
              <w:left w:val="single" w:sz="6" w:space="0" w:color="auto"/>
              <w:bottom w:val="single" w:sz="6" w:space="0" w:color="auto"/>
              <w:right w:val="single" w:sz="6" w:space="0" w:color="auto"/>
            </w:tcBorders>
            <w:shd w:val="clear" w:color="auto" w:fill="FFFFFF"/>
          </w:tcPr>
          <w:p w:rsidR="006F5DA1" w:rsidRPr="00E942A7" w:rsidRDefault="006F5DA1" w:rsidP="006F5DA1">
            <w:pPr>
              <w:rPr>
                <w:sz w:val="22"/>
                <w:szCs w:val="22"/>
                <w:lang w:val="sr-Latn-CS"/>
              </w:rPr>
            </w:pPr>
            <w:r w:rsidRPr="00E942A7">
              <w:rPr>
                <w:sz w:val="22"/>
                <w:szCs w:val="22"/>
                <w:lang w:val="sr-Latn-CS"/>
              </w:rPr>
              <w:t>p-vrijednost</w:t>
            </w:r>
          </w:p>
        </w:tc>
        <w:tc>
          <w:tcPr>
            <w:tcW w:w="2531" w:type="dxa"/>
            <w:gridSpan w:val="2"/>
            <w:tcBorders>
              <w:top w:val="single" w:sz="6" w:space="0" w:color="auto"/>
              <w:left w:val="single" w:sz="6" w:space="0" w:color="auto"/>
              <w:bottom w:val="single" w:sz="6" w:space="0" w:color="auto"/>
              <w:right w:val="single" w:sz="6" w:space="0" w:color="auto"/>
            </w:tcBorders>
            <w:shd w:val="clear" w:color="auto" w:fill="FFFFFF"/>
          </w:tcPr>
          <w:p w:rsidR="006F5DA1" w:rsidRPr="00E942A7" w:rsidRDefault="006F5DA1" w:rsidP="006F5DA1">
            <w:pPr>
              <w:shd w:val="clear" w:color="auto" w:fill="FFFFFF"/>
              <w:rPr>
                <w:sz w:val="22"/>
                <w:szCs w:val="22"/>
                <w:lang w:val="sr-Latn-CS"/>
              </w:rPr>
            </w:pPr>
            <w:r w:rsidRPr="00E942A7">
              <w:rPr>
                <w:spacing w:val="-2"/>
                <w:sz w:val="22"/>
                <w:szCs w:val="22"/>
                <w:lang w:val="sr-Latn-CS"/>
              </w:rPr>
              <w:t>0,198</w:t>
            </w:r>
          </w:p>
        </w:tc>
        <w:tc>
          <w:tcPr>
            <w:tcW w:w="2400" w:type="dxa"/>
            <w:gridSpan w:val="3"/>
            <w:tcBorders>
              <w:top w:val="single" w:sz="6" w:space="0" w:color="auto"/>
              <w:left w:val="single" w:sz="6" w:space="0" w:color="auto"/>
              <w:bottom w:val="single" w:sz="6" w:space="0" w:color="auto"/>
              <w:right w:val="single" w:sz="6" w:space="0" w:color="auto"/>
            </w:tcBorders>
            <w:shd w:val="clear" w:color="auto" w:fill="FFFFFF"/>
          </w:tcPr>
          <w:p w:rsidR="006F5DA1" w:rsidRPr="00E942A7" w:rsidRDefault="006F5DA1" w:rsidP="006F5DA1">
            <w:pPr>
              <w:shd w:val="clear" w:color="auto" w:fill="FFFFFF"/>
              <w:rPr>
                <w:sz w:val="22"/>
                <w:szCs w:val="22"/>
                <w:lang w:val="sr-Latn-CS"/>
              </w:rPr>
            </w:pPr>
            <w:r w:rsidRPr="00E942A7">
              <w:rPr>
                <w:spacing w:val="-4"/>
                <w:sz w:val="22"/>
                <w:szCs w:val="22"/>
                <w:lang w:val="sr-Latn-CS"/>
              </w:rPr>
              <w:t>0,653</w:t>
            </w:r>
          </w:p>
        </w:tc>
        <w:tc>
          <w:tcPr>
            <w:tcW w:w="2410" w:type="dxa"/>
            <w:gridSpan w:val="3"/>
            <w:tcBorders>
              <w:top w:val="single" w:sz="6" w:space="0" w:color="auto"/>
              <w:left w:val="single" w:sz="6" w:space="0" w:color="auto"/>
              <w:bottom w:val="single" w:sz="6" w:space="0" w:color="auto"/>
              <w:right w:val="single" w:sz="6" w:space="0" w:color="auto"/>
            </w:tcBorders>
            <w:shd w:val="clear" w:color="auto" w:fill="FFFFFF"/>
          </w:tcPr>
          <w:p w:rsidR="006F5DA1" w:rsidRPr="00E942A7" w:rsidRDefault="006F5DA1" w:rsidP="006F5DA1">
            <w:pPr>
              <w:shd w:val="clear" w:color="auto" w:fill="FFFFFF"/>
              <w:rPr>
                <w:sz w:val="22"/>
                <w:szCs w:val="22"/>
                <w:lang w:val="sr-Latn-CS"/>
              </w:rPr>
            </w:pPr>
            <w:r w:rsidRPr="00E942A7">
              <w:rPr>
                <w:sz w:val="22"/>
                <w:szCs w:val="22"/>
                <w:lang w:val="sr-Latn-CS"/>
              </w:rPr>
              <w:t>0,037</w:t>
            </w:r>
          </w:p>
        </w:tc>
      </w:tr>
      <w:tr w:rsidR="006F5DA1" w:rsidRPr="00E942A7" w:rsidTr="001F5CB2">
        <w:trPr>
          <w:trHeight w:hRule="exact" w:val="1031"/>
        </w:trPr>
        <w:tc>
          <w:tcPr>
            <w:tcW w:w="2109" w:type="dxa"/>
            <w:tcBorders>
              <w:top w:val="single" w:sz="6" w:space="0" w:color="auto"/>
              <w:left w:val="single" w:sz="6" w:space="0" w:color="auto"/>
              <w:bottom w:val="single" w:sz="6" w:space="0" w:color="auto"/>
              <w:right w:val="single" w:sz="6" w:space="0" w:color="auto"/>
            </w:tcBorders>
            <w:shd w:val="clear" w:color="auto" w:fill="FFFFFF"/>
          </w:tcPr>
          <w:p w:rsidR="006F5DA1" w:rsidRPr="00E942A7" w:rsidRDefault="006F5DA1" w:rsidP="006F5DA1">
            <w:pPr>
              <w:rPr>
                <w:sz w:val="22"/>
                <w:szCs w:val="22"/>
                <w:lang w:val="sr-Latn-CS"/>
              </w:rPr>
            </w:pPr>
            <w:r w:rsidRPr="00E942A7">
              <w:rPr>
                <w:spacing w:val="1"/>
                <w:sz w:val="22"/>
                <w:szCs w:val="22"/>
                <w:lang w:val="sr-Latn-CS"/>
              </w:rPr>
              <w:t xml:space="preserve">Medijana vremena do pojave komplikacija na kostima </w:t>
            </w:r>
            <w:r w:rsidRPr="00E942A7">
              <w:rPr>
                <w:spacing w:val="-1"/>
                <w:sz w:val="22"/>
                <w:szCs w:val="22"/>
                <w:lang w:val="sr-Latn-CS"/>
              </w:rPr>
              <w:t>(dani)</w:t>
            </w:r>
          </w:p>
        </w:tc>
        <w:tc>
          <w:tcPr>
            <w:tcW w:w="1199" w:type="dxa"/>
            <w:tcBorders>
              <w:top w:val="single" w:sz="6" w:space="0" w:color="auto"/>
              <w:left w:val="single" w:sz="6" w:space="0" w:color="auto"/>
              <w:bottom w:val="single" w:sz="6" w:space="0" w:color="auto"/>
              <w:right w:val="single" w:sz="6" w:space="0" w:color="auto"/>
            </w:tcBorders>
            <w:shd w:val="clear" w:color="auto" w:fill="FFFFFF"/>
          </w:tcPr>
          <w:p w:rsidR="006F5DA1" w:rsidRPr="00E942A7" w:rsidRDefault="006F5DA1" w:rsidP="006F5DA1">
            <w:pPr>
              <w:shd w:val="clear" w:color="auto" w:fill="FFFFFF"/>
              <w:rPr>
                <w:sz w:val="22"/>
                <w:szCs w:val="22"/>
                <w:lang w:val="sr-Latn-CS"/>
              </w:rPr>
            </w:pPr>
            <w:r w:rsidRPr="00E942A7">
              <w:rPr>
                <w:sz w:val="22"/>
                <w:szCs w:val="22"/>
                <w:lang w:val="sr-Latn-CS"/>
              </w:rPr>
              <w:t>376</w:t>
            </w:r>
          </w:p>
        </w:tc>
        <w:tc>
          <w:tcPr>
            <w:tcW w:w="1332" w:type="dxa"/>
            <w:tcBorders>
              <w:top w:val="single" w:sz="6" w:space="0" w:color="auto"/>
              <w:left w:val="single" w:sz="6" w:space="0" w:color="auto"/>
              <w:bottom w:val="single" w:sz="6" w:space="0" w:color="auto"/>
              <w:right w:val="single" w:sz="6" w:space="0" w:color="auto"/>
            </w:tcBorders>
            <w:shd w:val="clear" w:color="auto" w:fill="FFFFFF"/>
          </w:tcPr>
          <w:p w:rsidR="006F5DA1" w:rsidRPr="00E942A7" w:rsidRDefault="006F5DA1" w:rsidP="006F5DA1">
            <w:pPr>
              <w:shd w:val="clear" w:color="auto" w:fill="FFFFFF"/>
              <w:rPr>
                <w:sz w:val="22"/>
                <w:szCs w:val="22"/>
                <w:lang w:val="sr-Latn-CS"/>
              </w:rPr>
            </w:pPr>
            <w:r w:rsidRPr="00E942A7">
              <w:rPr>
                <w:sz w:val="22"/>
                <w:szCs w:val="22"/>
                <w:lang w:val="sr-Latn-CS"/>
              </w:rPr>
              <w:t>356</w:t>
            </w:r>
          </w:p>
        </w:tc>
        <w:tc>
          <w:tcPr>
            <w:tcW w:w="1199" w:type="dxa"/>
            <w:tcBorders>
              <w:top w:val="single" w:sz="6" w:space="0" w:color="auto"/>
              <w:left w:val="single" w:sz="6" w:space="0" w:color="auto"/>
              <w:bottom w:val="single" w:sz="6" w:space="0" w:color="auto"/>
              <w:right w:val="single" w:sz="6" w:space="0" w:color="auto"/>
            </w:tcBorders>
            <w:shd w:val="clear" w:color="auto" w:fill="FFFFFF"/>
          </w:tcPr>
          <w:p w:rsidR="006F5DA1" w:rsidRPr="00E942A7" w:rsidRDefault="006F5DA1" w:rsidP="006F5DA1">
            <w:pPr>
              <w:shd w:val="clear" w:color="auto" w:fill="FFFFFF"/>
              <w:rPr>
                <w:sz w:val="22"/>
                <w:szCs w:val="22"/>
                <w:lang w:val="sr-Latn-CS"/>
              </w:rPr>
            </w:pPr>
            <w:r w:rsidRPr="00E942A7">
              <w:rPr>
                <w:sz w:val="22"/>
                <w:szCs w:val="22"/>
                <w:lang w:val="sr-Latn-CS"/>
              </w:rPr>
              <w:t>ND</w:t>
            </w:r>
          </w:p>
        </w:tc>
        <w:tc>
          <w:tcPr>
            <w:tcW w:w="1201" w:type="dxa"/>
            <w:gridSpan w:val="2"/>
            <w:tcBorders>
              <w:top w:val="single" w:sz="6" w:space="0" w:color="auto"/>
              <w:left w:val="single" w:sz="6" w:space="0" w:color="auto"/>
              <w:bottom w:val="single" w:sz="6" w:space="0" w:color="auto"/>
              <w:right w:val="single" w:sz="6" w:space="0" w:color="auto"/>
            </w:tcBorders>
            <w:shd w:val="clear" w:color="auto" w:fill="FFFFFF"/>
          </w:tcPr>
          <w:p w:rsidR="006F5DA1" w:rsidRPr="00E942A7" w:rsidRDefault="006F5DA1" w:rsidP="006F5DA1">
            <w:pPr>
              <w:shd w:val="clear" w:color="auto" w:fill="FFFFFF"/>
              <w:rPr>
                <w:sz w:val="22"/>
                <w:szCs w:val="22"/>
                <w:lang w:val="sr-Latn-CS"/>
              </w:rPr>
            </w:pPr>
            <w:r w:rsidRPr="00E942A7">
              <w:rPr>
                <w:sz w:val="22"/>
                <w:szCs w:val="22"/>
                <w:lang w:val="sr-Latn-CS"/>
              </w:rPr>
              <w:t>714</w:t>
            </w:r>
          </w:p>
        </w:tc>
        <w:tc>
          <w:tcPr>
            <w:tcW w:w="1063" w:type="dxa"/>
            <w:tcBorders>
              <w:top w:val="single" w:sz="6" w:space="0" w:color="auto"/>
              <w:left w:val="single" w:sz="6" w:space="0" w:color="auto"/>
              <w:bottom w:val="single" w:sz="6" w:space="0" w:color="auto"/>
              <w:right w:val="single" w:sz="6" w:space="0" w:color="auto"/>
            </w:tcBorders>
            <w:shd w:val="clear" w:color="auto" w:fill="FFFFFF"/>
          </w:tcPr>
          <w:p w:rsidR="006F5DA1" w:rsidRPr="00E942A7" w:rsidRDefault="006F5DA1" w:rsidP="006F5DA1">
            <w:pPr>
              <w:shd w:val="clear" w:color="auto" w:fill="FFFFFF"/>
              <w:rPr>
                <w:sz w:val="22"/>
                <w:szCs w:val="22"/>
                <w:lang w:val="sr-Latn-CS"/>
              </w:rPr>
            </w:pPr>
            <w:r w:rsidRPr="00E942A7">
              <w:rPr>
                <w:sz w:val="22"/>
                <w:szCs w:val="22"/>
                <w:lang w:val="sr-Latn-CS"/>
              </w:rPr>
              <w:t>ND</w:t>
            </w:r>
          </w:p>
        </w:tc>
        <w:tc>
          <w:tcPr>
            <w:tcW w:w="1347" w:type="dxa"/>
            <w:gridSpan w:val="2"/>
            <w:tcBorders>
              <w:top w:val="single" w:sz="6" w:space="0" w:color="auto"/>
              <w:left w:val="single" w:sz="6" w:space="0" w:color="auto"/>
              <w:bottom w:val="single" w:sz="6" w:space="0" w:color="auto"/>
              <w:right w:val="single" w:sz="6" w:space="0" w:color="auto"/>
            </w:tcBorders>
            <w:shd w:val="clear" w:color="auto" w:fill="FFFFFF"/>
          </w:tcPr>
          <w:p w:rsidR="006F5DA1" w:rsidRPr="00E942A7" w:rsidRDefault="006F5DA1" w:rsidP="006F5DA1">
            <w:pPr>
              <w:shd w:val="clear" w:color="auto" w:fill="FFFFFF"/>
              <w:rPr>
                <w:sz w:val="22"/>
                <w:szCs w:val="22"/>
                <w:lang w:val="sr-Latn-CS"/>
              </w:rPr>
            </w:pPr>
            <w:r w:rsidRPr="00E942A7">
              <w:rPr>
                <w:sz w:val="22"/>
                <w:szCs w:val="22"/>
                <w:lang w:val="sr-Latn-CS"/>
              </w:rPr>
              <w:t>ND</w:t>
            </w:r>
          </w:p>
        </w:tc>
      </w:tr>
      <w:tr w:rsidR="006F5DA1" w:rsidRPr="00E942A7" w:rsidTr="001F5CB2">
        <w:trPr>
          <w:trHeight w:hRule="exact" w:val="409"/>
        </w:trPr>
        <w:tc>
          <w:tcPr>
            <w:tcW w:w="2109" w:type="dxa"/>
            <w:tcBorders>
              <w:top w:val="single" w:sz="6" w:space="0" w:color="auto"/>
              <w:left w:val="single" w:sz="6" w:space="0" w:color="auto"/>
              <w:bottom w:val="single" w:sz="6" w:space="0" w:color="auto"/>
              <w:right w:val="single" w:sz="6" w:space="0" w:color="auto"/>
            </w:tcBorders>
            <w:shd w:val="clear" w:color="auto" w:fill="FFFFFF"/>
          </w:tcPr>
          <w:p w:rsidR="006F5DA1" w:rsidRPr="00E942A7" w:rsidRDefault="006F5DA1" w:rsidP="006F5DA1">
            <w:pPr>
              <w:rPr>
                <w:sz w:val="22"/>
                <w:szCs w:val="22"/>
                <w:lang w:val="sr-Latn-CS"/>
              </w:rPr>
            </w:pPr>
            <w:r w:rsidRPr="00E942A7">
              <w:rPr>
                <w:sz w:val="22"/>
                <w:szCs w:val="22"/>
                <w:lang w:val="sr-Latn-CS"/>
              </w:rPr>
              <w:t>p-vrijednost</w:t>
            </w:r>
          </w:p>
        </w:tc>
        <w:tc>
          <w:tcPr>
            <w:tcW w:w="2531" w:type="dxa"/>
            <w:gridSpan w:val="2"/>
            <w:tcBorders>
              <w:top w:val="single" w:sz="6" w:space="0" w:color="auto"/>
              <w:left w:val="single" w:sz="6" w:space="0" w:color="auto"/>
              <w:bottom w:val="single" w:sz="6" w:space="0" w:color="auto"/>
              <w:right w:val="single" w:sz="6" w:space="0" w:color="auto"/>
            </w:tcBorders>
            <w:shd w:val="clear" w:color="auto" w:fill="FFFFFF"/>
          </w:tcPr>
          <w:p w:rsidR="006F5DA1" w:rsidRPr="00E942A7" w:rsidRDefault="006F5DA1" w:rsidP="006F5DA1">
            <w:pPr>
              <w:shd w:val="clear" w:color="auto" w:fill="FFFFFF"/>
              <w:rPr>
                <w:sz w:val="22"/>
                <w:szCs w:val="22"/>
                <w:lang w:val="sr-Latn-CS"/>
              </w:rPr>
            </w:pPr>
            <w:r w:rsidRPr="00E942A7">
              <w:rPr>
                <w:spacing w:val="-5"/>
                <w:sz w:val="22"/>
                <w:szCs w:val="22"/>
                <w:lang w:val="sr-Latn-CS"/>
              </w:rPr>
              <w:t>0,151</w:t>
            </w:r>
          </w:p>
        </w:tc>
        <w:tc>
          <w:tcPr>
            <w:tcW w:w="2400" w:type="dxa"/>
            <w:gridSpan w:val="3"/>
            <w:tcBorders>
              <w:top w:val="single" w:sz="6" w:space="0" w:color="auto"/>
              <w:left w:val="single" w:sz="6" w:space="0" w:color="auto"/>
              <w:bottom w:val="single" w:sz="6" w:space="0" w:color="auto"/>
              <w:right w:val="single" w:sz="6" w:space="0" w:color="auto"/>
            </w:tcBorders>
            <w:shd w:val="clear" w:color="auto" w:fill="FFFFFF"/>
          </w:tcPr>
          <w:p w:rsidR="006F5DA1" w:rsidRPr="00E942A7" w:rsidRDefault="006F5DA1" w:rsidP="006F5DA1">
            <w:pPr>
              <w:shd w:val="clear" w:color="auto" w:fill="FFFFFF"/>
              <w:rPr>
                <w:sz w:val="22"/>
                <w:szCs w:val="22"/>
                <w:lang w:val="sr-Latn-CS"/>
              </w:rPr>
            </w:pPr>
            <w:r w:rsidRPr="00E942A7">
              <w:rPr>
                <w:spacing w:val="-2"/>
                <w:sz w:val="22"/>
                <w:szCs w:val="22"/>
                <w:lang w:val="sr-Latn-CS"/>
              </w:rPr>
              <w:t>0,672</w:t>
            </w:r>
          </w:p>
        </w:tc>
        <w:tc>
          <w:tcPr>
            <w:tcW w:w="2410" w:type="dxa"/>
            <w:gridSpan w:val="3"/>
            <w:tcBorders>
              <w:top w:val="single" w:sz="6" w:space="0" w:color="auto"/>
              <w:left w:val="single" w:sz="6" w:space="0" w:color="auto"/>
              <w:bottom w:val="single" w:sz="6" w:space="0" w:color="auto"/>
              <w:right w:val="single" w:sz="6" w:space="0" w:color="auto"/>
            </w:tcBorders>
            <w:shd w:val="clear" w:color="auto" w:fill="FFFFFF"/>
          </w:tcPr>
          <w:p w:rsidR="006F5DA1" w:rsidRPr="00E942A7" w:rsidRDefault="006F5DA1" w:rsidP="006F5DA1">
            <w:pPr>
              <w:shd w:val="clear" w:color="auto" w:fill="FFFFFF"/>
              <w:rPr>
                <w:sz w:val="22"/>
                <w:szCs w:val="22"/>
                <w:lang w:val="sr-Latn-CS"/>
              </w:rPr>
            </w:pPr>
            <w:r w:rsidRPr="00E942A7">
              <w:rPr>
                <w:spacing w:val="-1"/>
                <w:sz w:val="22"/>
                <w:szCs w:val="22"/>
                <w:lang w:val="sr-Latn-CS"/>
              </w:rPr>
              <w:t>0,026</w:t>
            </w:r>
          </w:p>
        </w:tc>
      </w:tr>
      <w:tr w:rsidR="006F5DA1" w:rsidRPr="00E942A7" w:rsidTr="001F5CB2">
        <w:trPr>
          <w:trHeight w:hRule="exact" w:val="786"/>
        </w:trPr>
        <w:tc>
          <w:tcPr>
            <w:tcW w:w="2109" w:type="dxa"/>
            <w:tcBorders>
              <w:top w:val="single" w:sz="6" w:space="0" w:color="auto"/>
              <w:left w:val="single" w:sz="6" w:space="0" w:color="auto"/>
              <w:bottom w:val="single" w:sz="6" w:space="0" w:color="auto"/>
              <w:right w:val="single" w:sz="6" w:space="0" w:color="auto"/>
            </w:tcBorders>
            <w:shd w:val="clear" w:color="auto" w:fill="FFFFFF"/>
          </w:tcPr>
          <w:p w:rsidR="006F5DA1" w:rsidRPr="00E942A7" w:rsidRDefault="006F5DA1" w:rsidP="006F5DA1">
            <w:pPr>
              <w:rPr>
                <w:sz w:val="22"/>
                <w:szCs w:val="22"/>
                <w:lang w:val="sr-Latn-CS"/>
              </w:rPr>
            </w:pPr>
            <w:r w:rsidRPr="00E942A7">
              <w:rPr>
                <w:sz w:val="22"/>
                <w:szCs w:val="22"/>
                <w:lang w:val="sr-Latn-CS"/>
              </w:rPr>
              <w:t>Stopa skeletnog morbidi</w:t>
            </w:r>
            <w:r w:rsidRPr="00E942A7">
              <w:rPr>
                <w:spacing w:val="-1"/>
                <w:sz w:val="22"/>
                <w:szCs w:val="22"/>
                <w:lang w:val="sr-Latn-CS"/>
              </w:rPr>
              <w:t>teta</w:t>
            </w:r>
          </w:p>
        </w:tc>
        <w:tc>
          <w:tcPr>
            <w:tcW w:w="1199" w:type="dxa"/>
            <w:tcBorders>
              <w:top w:val="single" w:sz="6" w:space="0" w:color="auto"/>
              <w:left w:val="single" w:sz="6" w:space="0" w:color="auto"/>
              <w:bottom w:val="single" w:sz="6" w:space="0" w:color="auto"/>
              <w:right w:val="single" w:sz="6" w:space="0" w:color="auto"/>
            </w:tcBorders>
            <w:shd w:val="clear" w:color="auto" w:fill="FFFFFF"/>
          </w:tcPr>
          <w:p w:rsidR="006F5DA1" w:rsidRPr="00E942A7" w:rsidRDefault="006F5DA1" w:rsidP="006F5DA1">
            <w:pPr>
              <w:shd w:val="clear" w:color="auto" w:fill="FFFFFF"/>
              <w:rPr>
                <w:sz w:val="22"/>
                <w:szCs w:val="22"/>
                <w:lang w:val="sr-Latn-CS"/>
              </w:rPr>
            </w:pPr>
            <w:r w:rsidRPr="00E942A7">
              <w:rPr>
                <w:spacing w:val="-6"/>
                <w:sz w:val="22"/>
                <w:szCs w:val="22"/>
                <w:lang w:val="sr-Latn-CS"/>
              </w:rPr>
              <w:t>1,04</w:t>
            </w:r>
          </w:p>
        </w:tc>
        <w:tc>
          <w:tcPr>
            <w:tcW w:w="1332" w:type="dxa"/>
            <w:tcBorders>
              <w:top w:val="single" w:sz="6" w:space="0" w:color="auto"/>
              <w:left w:val="single" w:sz="6" w:space="0" w:color="auto"/>
              <w:bottom w:val="single" w:sz="6" w:space="0" w:color="auto"/>
              <w:right w:val="single" w:sz="6" w:space="0" w:color="auto"/>
            </w:tcBorders>
            <w:shd w:val="clear" w:color="auto" w:fill="FFFFFF"/>
          </w:tcPr>
          <w:p w:rsidR="006F5DA1" w:rsidRPr="00E942A7" w:rsidRDefault="006F5DA1" w:rsidP="006F5DA1">
            <w:pPr>
              <w:shd w:val="clear" w:color="auto" w:fill="FFFFFF"/>
              <w:rPr>
                <w:sz w:val="22"/>
                <w:szCs w:val="22"/>
                <w:lang w:val="sr-Latn-CS"/>
              </w:rPr>
            </w:pPr>
            <w:r w:rsidRPr="00E942A7">
              <w:rPr>
                <w:spacing w:val="-6"/>
                <w:sz w:val="22"/>
                <w:szCs w:val="22"/>
                <w:lang w:val="sr-Latn-CS"/>
              </w:rPr>
              <w:t>1,39</w:t>
            </w:r>
          </w:p>
        </w:tc>
        <w:tc>
          <w:tcPr>
            <w:tcW w:w="1199" w:type="dxa"/>
            <w:tcBorders>
              <w:top w:val="single" w:sz="6" w:space="0" w:color="auto"/>
              <w:left w:val="single" w:sz="6" w:space="0" w:color="auto"/>
              <w:bottom w:val="single" w:sz="6" w:space="0" w:color="auto"/>
              <w:right w:val="single" w:sz="6" w:space="0" w:color="auto"/>
            </w:tcBorders>
            <w:shd w:val="clear" w:color="auto" w:fill="FFFFFF"/>
          </w:tcPr>
          <w:p w:rsidR="006F5DA1" w:rsidRPr="00E942A7" w:rsidRDefault="006F5DA1" w:rsidP="006F5DA1">
            <w:pPr>
              <w:shd w:val="clear" w:color="auto" w:fill="FFFFFF"/>
              <w:rPr>
                <w:sz w:val="22"/>
                <w:szCs w:val="22"/>
                <w:lang w:val="sr-Latn-CS"/>
              </w:rPr>
            </w:pPr>
            <w:r w:rsidRPr="00E942A7">
              <w:rPr>
                <w:spacing w:val="-6"/>
                <w:sz w:val="22"/>
                <w:szCs w:val="22"/>
                <w:lang w:val="sr-Latn-CS"/>
              </w:rPr>
              <w:t>0,53</w:t>
            </w:r>
          </w:p>
        </w:tc>
        <w:tc>
          <w:tcPr>
            <w:tcW w:w="1201" w:type="dxa"/>
            <w:gridSpan w:val="2"/>
            <w:tcBorders>
              <w:top w:val="single" w:sz="6" w:space="0" w:color="auto"/>
              <w:left w:val="single" w:sz="6" w:space="0" w:color="auto"/>
              <w:bottom w:val="single" w:sz="6" w:space="0" w:color="auto"/>
              <w:right w:val="single" w:sz="6" w:space="0" w:color="auto"/>
            </w:tcBorders>
            <w:shd w:val="clear" w:color="auto" w:fill="FFFFFF"/>
          </w:tcPr>
          <w:p w:rsidR="006F5DA1" w:rsidRPr="00E942A7" w:rsidRDefault="006F5DA1" w:rsidP="006F5DA1">
            <w:pPr>
              <w:shd w:val="clear" w:color="auto" w:fill="FFFFFF"/>
              <w:rPr>
                <w:sz w:val="22"/>
                <w:szCs w:val="22"/>
                <w:lang w:val="sr-Latn-CS"/>
              </w:rPr>
            </w:pPr>
            <w:r w:rsidRPr="00E942A7">
              <w:rPr>
                <w:spacing w:val="-2"/>
                <w:sz w:val="22"/>
                <w:szCs w:val="22"/>
                <w:lang w:val="sr-Latn-CS"/>
              </w:rPr>
              <w:t>0,60</w:t>
            </w:r>
          </w:p>
        </w:tc>
        <w:tc>
          <w:tcPr>
            <w:tcW w:w="1063" w:type="dxa"/>
            <w:tcBorders>
              <w:top w:val="single" w:sz="6" w:space="0" w:color="auto"/>
              <w:left w:val="single" w:sz="6" w:space="0" w:color="auto"/>
              <w:bottom w:val="single" w:sz="6" w:space="0" w:color="auto"/>
              <w:right w:val="single" w:sz="6" w:space="0" w:color="auto"/>
            </w:tcBorders>
            <w:shd w:val="clear" w:color="auto" w:fill="FFFFFF"/>
          </w:tcPr>
          <w:p w:rsidR="006F5DA1" w:rsidRPr="00E942A7" w:rsidRDefault="006F5DA1" w:rsidP="006F5DA1">
            <w:pPr>
              <w:shd w:val="clear" w:color="auto" w:fill="FFFFFF"/>
              <w:rPr>
                <w:sz w:val="22"/>
                <w:szCs w:val="22"/>
                <w:lang w:val="sr-Latn-CS"/>
              </w:rPr>
            </w:pPr>
            <w:r w:rsidRPr="00E942A7">
              <w:rPr>
                <w:spacing w:val="-1"/>
                <w:sz w:val="22"/>
                <w:szCs w:val="22"/>
                <w:lang w:val="sr-Latn-CS"/>
              </w:rPr>
              <w:t>0,47</w:t>
            </w:r>
          </w:p>
        </w:tc>
        <w:tc>
          <w:tcPr>
            <w:tcW w:w="1347" w:type="dxa"/>
            <w:gridSpan w:val="2"/>
            <w:tcBorders>
              <w:top w:val="single" w:sz="6" w:space="0" w:color="auto"/>
              <w:left w:val="single" w:sz="6" w:space="0" w:color="auto"/>
              <w:bottom w:val="single" w:sz="6" w:space="0" w:color="auto"/>
              <w:right w:val="single" w:sz="6" w:space="0" w:color="auto"/>
            </w:tcBorders>
            <w:shd w:val="clear" w:color="auto" w:fill="FFFFFF"/>
          </w:tcPr>
          <w:p w:rsidR="006F5DA1" w:rsidRPr="00E942A7" w:rsidRDefault="006F5DA1" w:rsidP="006F5DA1">
            <w:pPr>
              <w:shd w:val="clear" w:color="auto" w:fill="FFFFFF"/>
              <w:rPr>
                <w:sz w:val="22"/>
                <w:szCs w:val="22"/>
                <w:lang w:val="sr-Latn-CS"/>
              </w:rPr>
            </w:pPr>
            <w:r w:rsidRPr="00E942A7">
              <w:rPr>
                <w:spacing w:val="-6"/>
                <w:sz w:val="22"/>
                <w:szCs w:val="22"/>
                <w:lang w:val="sr-Latn-CS"/>
              </w:rPr>
              <w:t>0,71</w:t>
            </w:r>
          </w:p>
        </w:tc>
      </w:tr>
      <w:tr w:rsidR="006F5DA1" w:rsidRPr="00E942A7" w:rsidTr="001F5CB2">
        <w:trPr>
          <w:trHeight w:hRule="exact" w:val="409"/>
        </w:trPr>
        <w:tc>
          <w:tcPr>
            <w:tcW w:w="2109" w:type="dxa"/>
            <w:tcBorders>
              <w:top w:val="single" w:sz="6" w:space="0" w:color="auto"/>
              <w:left w:val="single" w:sz="6" w:space="0" w:color="auto"/>
              <w:bottom w:val="single" w:sz="6" w:space="0" w:color="auto"/>
              <w:right w:val="single" w:sz="6" w:space="0" w:color="auto"/>
            </w:tcBorders>
            <w:shd w:val="clear" w:color="auto" w:fill="FFFFFF"/>
          </w:tcPr>
          <w:p w:rsidR="006F5DA1" w:rsidRPr="00E942A7" w:rsidRDefault="006F5DA1" w:rsidP="006F5DA1">
            <w:pPr>
              <w:rPr>
                <w:sz w:val="22"/>
                <w:szCs w:val="22"/>
                <w:lang w:val="sr-Latn-CS"/>
              </w:rPr>
            </w:pPr>
            <w:r w:rsidRPr="00E942A7">
              <w:rPr>
                <w:sz w:val="22"/>
                <w:szCs w:val="22"/>
                <w:lang w:val="sr-Latn-CS"/>
              </w:rPr>
              <w:t>p-vrijednost</w:t>
            </w:r>
          </w:p>
        </w:tc>
        <w:tc>
          <w:tcPr>
            <w:tcW w:w="2531" w:type="dxa"/>
            <w:gridSpan w:val="2"/>
            <w:tcBorders>
              <w:top w:val="single" w:sz="6" w:space="0" w:color="auto"/>
              <w:left w:val="single" w:sz="6" w:space="0" w:color="auto"/>
              <w:bottom w:val="single" w:sz="6" w:space="0" w:color="auto"/>
              <w:right w:val="single" w:sz="6" w:space="0" w:color="auto"/>
            </w:tcBorders>
            <w:shd w:val="clear" w:color="auto" w:fill="FFFFFF"/>
          </w:tcPr>
          <w:p w:rsidR="006F5DA1" w:rsidRPr="00E942A7" w:rsidRDefault="006F5DA1" w:rsidP="006F5DA1">
            <w:pPr>
              <w:shd w:val="clear" w:color="auto" w:fill="FFFFFF"/>
              <w:rPr>
                <w:sz w:val="22"/>
                <w:szCs w:val="22"/>
                <w:lang w:val="sr-Latn-CS"/>
              </w:rPr>
            </w:pPr>
            <w:r w:rsidRPr="00E942A7">
              <w:rPr>
                <w:spacing w:val="-2"/>
                <w:sz w:val="22"/>
                <w:szCs w:val="22"/>
                <w:lang w:val="sr-Latn-CS"/>
              </w:rPr>
              <w:t>0,084</w:t>
            </w:r>
          </w:p>
        </w:tc>
        <w:tc>
          <w:tcPr>
            <w:tcW w:w="2400" w:type="dxa"/>
            <w:gridSpan w:val="3"/>
            <w:tcBorders>
              <w:top w:val="single" w:sz="6" w:space="0" w:color="auto"/>
              <w:left w:val="single" w:sz="6" w:space="0" w:color="auto"/>
              <w:bottom w:val="single" w:sz="6" w:space="0" w:color="auto"/>
              <w:right w:val="single" w:sz="6" w:space="0" w:color="auto"/>
            </w:tcBorders>
            <w:shd w:val="clear" w:color="auto" w:fill="FFFFFF"/>
          </w:tcPr>
          <w:p w:rsidR="006F5DA1" w:rsidRPr="00E942A7" w:rsidRDefault="006F5DA1" w:rsidP="006F5DA1">
            <w:pPr>
              <w:shd w:val="clear" w:color="auto" w:fill="FFFFFF"/>
              <w:rPr>
                <w:sz w:val="22"/>
                <w:szCs w:val="22"/>
                <w:lang w:val="sr-Latn-CS"/>
              </w:rPr>
            </w:pPr>
            <w:r w:rsidRPr="00E942A7">
              <w:rPr>
                <w:spacing w:val="-2"/>
                <w:sz w:val="22"/>
                <w:szCs w:val="22"/>
                <w:lang w:val="sr-Latn-CS"/>
              </w:rPr>
              <w:t>0,614</w:t>
            </w:r>
          </w:p>
        </w:tc>
        <w:tc>
          <w:tcPr>
            <w:tcW w:w="2410" w:type="dxa"/>
            <w:gridSpan w:val="3"/>
            <w:tcBorders>
              <w:top w:val="single" w:sz="6" w:space="0" w:color="auto"/>
              <w:left w:val="single" w:sz="6" w:space="0" w:color="auto"/>
              <w:bottom w:val="single" w:sz="6" w:space="0" w:color="auto"/>
              <w:right w:val="single" w:sz="6" w:space="0" w:color="auto"/>
            </w:tcBorders>
            <w:shd w:val="clear" w:color="auto" w:fill="FFFFFF"/>
          </w:tcPr>
          <w:p w:rsidR="006F5DA1" w:rsidRPr="00E942A7" w:rsidRDefault="006F5DA1" w:rsidP="006F5DA1">
            <w:pPr>
              <w:shd w:val="clear" w:color="auto" w:fill="FFFFFF"/>
              <w:rPr>
                <w:sz w:val="22"/>
                <w:szCs w:val="22"/>
                <w:lang w:val="sr-Latn-CS"/>
              </w:rPr>
            </w:pPr>
            <w:r w:rsidRPr="00E942A7">
              <w:rPr>
                <w:spacing w:val="-3"/>
                <w:sz w:val="22"/>
                <w:szCs w:val="22"/>
                <w:lang w:val="sr-Latn-CS"/>
              </w:rPr>
              <w:t>0,015</w:t>
            </w:r>
          </w:p>
        </w:tc>
      </w:tr>
      <w:tr w:rsidR="006F5DA1" w:rsidRPr="00E942A7" w:rsidTr="001F5CB2">
        <w:trPr>
          <w:trHeight w:hRule="exact" w:val="1692"/>
        </w:trPr>
        <w:tc>
          <w:tcPr>
            <w:tcW w:w="2109" w:type="dxa"/>
            <w:tcBorders>
              <w:top w:val="single" w:sz="6" w:space="0" w:color="auto"/>
              <w:left w:val="single" w:sz="6" w:space="0" w:color="auto"/>
              <w:bottom w:val="single" w:sz="6" w:space="0" w:color="auto"/>
              <w:right w:val="single" w:sz="6" w:space="0" w:color="auto"/>
            </w:tcBorders>
            <w:shd w:val="clear" w:color="auto" w:fill="FFFFFF"/>
          </w:tcPr>
          <w:p w:rsidR="006F5DA1" w:rsidRPr="00E942A7" w:rsidRDefault="006F5DA1" w:rsidP="006F5DA1">
            <w:pPr>
              <w:shd w:val="clear" w:color="auto" w:fill="FFFFFF"/>
              <w:spacing w:line="240" w:lineRule="exact"/>
              <w:ind w:right="62"/>
              <w:rPr>
                <w:sz w:val="22"/>
                <w:szCs w:val="22"/>
                <w:lang w:val="sr-Latn-CS"/>
              </w:rPr>
            </w:pPr>
            <w:r w:rsidRPr="00E942A7">
              <w:rPr>
                <w:spacing w:val="3"/>
                <w:sz w:val="22"/>
                <w:szCs w:val="22"/>
                <w:lang w:val="sr-Latn-CS"/>
              </w:rPr>
              <w:t>Smanjenje rizika od izlaganja</w:t>
            </w:r>
            <w:r w:rsidRPr="00E942A7">
              <w:rPr>
                <w:spacing w:val="1"/>
                <w:sz w:val="22"/>
                <w:szCs w:val="22"/>
                <w:lang w:val="sr-Latn-CS"/>
              </w:rPr>
              <w:t xml:space="preserve"> višestrukim događajima** (%)</w:t>
            </w:r>
          </w:p>
        </w:tc>
        <w:tc>
          <w:tcPr>
            <w:tcW w:w="1199" w:type="dxa"/>
            <w:tcBorders>
              <w:top w:val="single" w:sz="6" w:space="0" w:color="auto"/>
              <w:left w:val="single" w:sz="6" w:space="0" w:color="auto"/>
              <w:bottom w:val="single" w:sz="6" w:space="0" w:color="auto"/>
              <w:right w:val="single" w:sz="6" w:space="0" w:color="auto"/>
            </w:tcBorders>
            <w:shd w:val="clear" w:color="auto" w:fill="FFFFFF"/>
          </w:tcPr>
          <w:p w:rsidR="006F5DA1" w:rsidRPr="00E942A7" w:rsidRDefault="006F5DA1" w:rsidP="006F5DA1">
            <w:pPr>
              <w:shd w:val="clear" w:color="auto" w:fill="FFFFFF"/>
              <w:rPr>
                <w:sz w:val="22"/>
                <w:szCs w:val="22"/>
                <w:lang w:val="sr-Latn-CS"/>
              </w:rPr>
            </w:pPr>
            <w:r w:rsidRPr="00E942A7">
              <w:rPr>
                <w:sz w:val="22"/>
                <w:szCs w:val="22"/>
                <w:lang w:val="sr-Latn-CS"/>
              </w:rPr>
              <w:t>16</w:t>
            </w:r>
          </w:p>
        </w:tc>
        <w:tc>
          <w:tcPr>
            <w:tcW w:w="1332" w:type="dxa"/>
            <w:tcBorders>
              <w:top w:val="single" w:sz="6" w:space="0" w:color="auto"/>
              <w:left w:val="single" w:sz="6" w:space="0" w:color="auto"/>
              <w:bottom w:val="single" w:sz="6" w:space="0" w:color="auto"/>
              <w:right w:val="single" w:sz="6" w:space="0" w:color="auto"/>
            </w:tcBorders>
            <w:shd w:val="clear" w:color="auto" w:fill="FFFFFF"/>
          </w:tcPr>
          <w:p w:rsidR="006F5DA1" w:rsidRPr="00E942A7" w:rsidRDefault="006F5DA1" w:rsidP="006F5DA1">
            <w:pPr>
              <w:shd w:val="clear" w:color="auto" w:fill="FFFFFF"/>
              <w:rPr>
                <w:sz w:val="22"/>
                <w:szCs w:val="22"/>
                <w:lang w:val="sr-Latn-CS"/>
              </w:rPr>
            </w:pPr>
            <w:r w:rsidRPr="00E942A7">
              <w:rPr>
                <w:sz w:val="22"/>
                <w:szCs w:val="22"/>
                <w:lang w:val="sr-Latn-CS"/>
              </w:rPr>
              <w:t>–</w:t>
            </w:r>
          </w:p>
        </w:tc>
        <w:tc>
          <w:tcPr>
            <w:tcW w:w="1199" w:type="dxa"/>
            <w:tcBorders>
              <w:top w:val="single" w:sz="6" w:space="0" w:color="auto"/>
              <w:left w:val="single" w:sz="6" w:space="0" w:color="auto"/>
              <w:bottom w:val="single" w:sz="6" w:space="0" w:color="auto"/>
              <w:right w:val="single" w:sz="6" w:space="0" w:color="auto"/>
            </w:tcBorders>
            <w:shd w:val="clear" w:color="auto" w:fill="FFFFFF"/>
          </w:tcPr>
          <w:p w:rsidR="006F5DA1" w:rsidRPr="00E942A7" w:rsidRDefault="006F5DA1" w:rsidP="006F5DA1">
            <w:pPr>
              <w:shd w:val="clear" w:color="auto" w:fill="FFFFFF"/>
              <w:rPr>
                <w:sz w:val="22"/>
                <w:szCs w:val="22"/>
                <w:lang w:val="sr-Latn-CS"/>
              </w:rPr>
            </w:pPr>
            <w:r w:rsidRPr="00E942A7">
              <w:rPr>
                <w:sz w:val="22"/>
                <w:szCs w:val="22"/>
                <w:lang w:val="sr-Latn-CS"/>
              </w:rPr>
              <w:t>NP</w:t>
            </w:r>
          </w:p>
        </w:tc>
        <w:tc>
          <w:tcPr>
            <w:tcW w:w="1201" w:type="dxa"/>
            <w:gridSpan w:val="2"/>
            <w:tcBorders>
              <w:top w:val="single" w:sz="6" w:space="0" w:color="auto"/>
              <w:left w:val="single" w:sz="6" w:space="0" w:color="auto"/>
              <w:bottom w:val="single" w:sz="6" w:space="0" w:color="auto"/>
              <w:right w:val="single" w:sz="6" w:space="0" w:color="auto"/>
            </w:tcBorders>
            <w:shd w:val="clear" w:color="auto" w:fill="FFFFFF"/>
          </w:tcPr>
          <w:p w:rsidR="006F5DA1" w:rsidRPr="00E942A7" w:rsidRDefault="006F5DA1" w:rsidP="006F5DA1">
            <w:pPr>
              <w:shd w:val="clear" w:color="auto" w:fill="FFFFFF"/>
              <w:rPr>
                <w:sz w:val="22"/>
                <w:szCs w:val="22"/>
                <w:lang w:val="sr-Latn-CS"/>
              </w:rPr>
            </w:pPr>
            <w:r w:rsidRPr="00E942A7">
              <w:rPr>
                <w:sz w:val="22"/>
                <w:szCs w:val="22"/>
                <w:lang w:val="sr-Latn-CS"/>
              </w:rPr>
              <w:t>NP</w:t>
            </w:r>
          </w:p>
        </w:tc>
        <w:tc>
          <w:tcPr>
            <w:tcW w:w="1063" w:type="dxa"/>
            <w:tcBorders>
              <w:top w:val="single" w:sz="6" w:space="0" w:color="auto"/>
              <w:left w:val="single" w:sz="6" w:space="0" w:color="auto"/>
              <w:bottom w:val="single" w:sz="6" w:space="0" w:color="auto"/>
              <w:right w:val="single" w:sz="6" w:space="0" w:color="auto"/>
            </w:tcBorders>
            <w:shd w:val="clear" w:color="auto" w:fill="FFFFFF"/>
          </w:tcPr>
          <w:p w:rsidR="006F5DA1" w:rsidRPr="00E942A7" w:rsidRDefault="006F5DA1" w:rsidP="006F5DA1">
            <w:pPr>
              <w:shd w:val="clear" w:color="auto" w:fill="FFFFFF"/>
              <w:rPr>
                <w:sz w:val="22"/>
                <w:szCs w:val="22"/>
                <w:lang w:val="sr-Latn-CS"/>
              </w:rPr>
            </w:pPr>
            <w:r w:rsidRPr="00E942A7">
              <w:rPr>
                <w:sz w:val="22"/>
                <w:szCs w:val="22"/>
                <w:lang w:val="sr-Latn-CS"/>
              </w:rPr>
              <w:t>NP</w:t>
            </w:r>
          </w:p>
        </w:tc>
        <w:tc>
          <w:tcPr>
            <w:tcW w:w="1347" w:type="dxa"/>
            <w:gridSpan w:val="2"/>
            <w:tcBorders>
              <w:top w:val="single" w:sz="6" w:space="0" w:color="auto"/>
              <w:left w:val="single" w:sz="6" w:space="0" w:color="auto"/>
              <w:bottom w:val="single" w:sz="6" w:space="0" w:color="auto"/>
              <w:right w:val="single" w:sz="6" w:space="0" w:color="auto"/>
            </w:tcBorders>
            <w:shd w:val="clear" w:color="auto" w:fill="FFFFFF"/>
          </w:tcPr>
          <w:p w:rsidR="006F5DA1" w:rsidRPr="00E942A7" w:rsidRDefault="006F5DA1" w:rsidP="006F5DA1">
            <w:pPr>
              <w:shd w:val="clear" w:color="auto" w:fill="FFFFFF"/>
              <w:rPr>
                <w:sz w:val="22"/>
                <w:szCs w:val="22"/>
                <w:lang w:val="sr-Latn-CS"/>
              </w:rPr>
            </w:pPr>
            <w:r w:rsidRPr="00E942A7">
              <w:rPr>
                <w:sz w:val="22"/>
                <w:szCs w:val="22"/>
                <w:lang w:val="sr-Latn-CS"/>
              </w:rPr>
              <w:t>NP</w:t>
            </w:r>
          </w:p>
        </w:tc>
      </w:tr>
      <w:tr w:rsidR="006F5DA1" w:rsidRPr="00E942A7" w:rsidTr="001F5CB2">
        <w:trPr>
          <w:trHeight w:hRule="exact" w:val="440"/>
        </w:trPr>
        <w:tc>
          <w:tcPr>
            <w:tcW w:w="2109" w:type="dxa"/>
            <w:tcBorders>
              <w:top w:val="single" w:sz="6" w:space="0" w:color="auto"/>
              <w:left w:val="single" w:sz="6" w:space="0" w:color="auto"/>
              <w:bottom w:val="single" w:sz="6" w:space="0" w:color="auto"/>
              <w:right w:val="single" w:sz="6" w:space="0" w:color="auto"/>
            </w:tcBorders>
            <w:shd w:val="clear" w:color="auto" w:fill="FFFFFF"/>
          </w:tcPr>
          <w:p w:rsidR="006F5DA1" w:rsidRPr="00E942A7" w:rsidRDefault="006F5DA1" w:rsidP="006F5DA1">
            <w:pPr>
              <w:shd w:val="clear" w:color="auto" w:fill="FFFFFF"/>
              <w:rPr>
                <w:sz w:val="22"/>
                <w:szCs w:val="22"/>
                <w:lang w:val="sr-Latn-CS"/>
              </w:rPr>
            </w:pPr>
            <w:r w:rsidRPr="00E942A7">
              <w:rPr>
                <w:sz w:val="22"/>
                <w:szCs w:val="22"/>
                <w:lang w:val="sr-Latn-CS"/>
              </w:rPr>
              <w:t>p-vrijednost</w:t>
            </w:r>
          </w:p>
        </w:tc>
        <w:tc>
          <w:tcPr>
            <w:tcW w:w="2531" w:type="dxa"/>
            <w:gridSpan w:val="2"/>
            <w:tcBorders>
              <w:top w:val="single" w:sz="6" w:space="0" w:color="auto"/>
              <w:left w:val="single" w:sz="6" w:space="0" w:color="auto"/>
              <w:bottom w:val="single" w:sz="6" w:space="0" w:color="auto"/>
              <w:right w:val="single" w:sz="6" w:space="0" w:color="auto"/>
            </w:tcBorders>
            <w:shd w:val="clear" w:color="auto" w:fill="FFFFFF"/>
          </w:tcPr>
          <w:p w:rsidR="006F5DA1" w:rsidRPr="00E942A7" w:rsidRDefault="006F5DA1" w:rsidP="006F5DA1">
            <w:pPr>
              <w:shd w:val="clear" w:color="auto" w:fill="FFFFFF"/>
              <w:rPr>
                <w:sz w:val="22"/>
                <w:szCs w:val="22"/>
                <w:lang w:val="sr-Latn-CS"/>
              </w:rPr>
            </w:pPr>
            <w:r w:rsidRPr="00E942A7">
              <w:rPr>
                <w:spacing w:val="-2"/>
                <w:sz w:val="22"/>
                <w:szCs w:val="22"/>
                <w:lang w:val="sr-Latn-CS"/>
              </w:rPr>
              <w:t>0,030</w:t>
            </w:r>
          </w:p>
        </w:tc>
        <w:tc>
          <w:tcPr>
            <w:tcW w:w="2400" w:type="dxa"/>
            <w:gridSpan w:val="3"/>
            <w:tcBorders>
              <w:top w:val="single" w:sz="6" w:space="0" w:color="auto"/>
              <w:left w:val="single" w:sz="6" w:space="0" w:color="auto"/>
              <w:bottom w:val="single" w:sz="6" w:space="0" w:color="auto"/>
              <w:right w:val="single" w:sz="6" w:space="0" w:color="auto"/>
            </w:tcBorders>
            <w:shd w:val="clear" w:color="auto" w:fill="FFFFFF"/>
          </w:tcPr>
          <w:p w:rsidR="006F5DA1" w:rsidRPr="00E942A7" w:rsidRDefault="006F5DA1" w:rsidP="006F5DA1">
            <w:pPr>
              <w:shd w:val="clear" w:color="auto" w:fill="FFFFFF"/>
              <w:rPr>
                <w:sz w:val="22"/>
                <w:szCs w:val="22"/>
                <w:lang w:val="sr-Latn-CS"/>
              </w:rPr>
            </w:pPr>
            <w:r w:rsidRPr="00E942A7">
              <w:rPr>
                <w:sz w:val="22"/>
                <w:szCs w:val="22"/>
                <w:lang w:val="sr-Latn-CS"/>
              </w:rPr>
              <w:t>NP</w:t>
            </w:r>
          </w:p>
        </w:tc>
        <w:tc>
          <w:tcPr>
            <w:tcW w:w="2410" w:type="dxa"/>
            <w:gridSpan w:val="3"/>
            <w:tcBorders>
              <w:top w:val="single" w:sz="6" w:space="0" w:color="auto"/>
              <w:left w:val="single" w:sz="6" w:space="0" w:color="auto"/>
              <w:bottom w:val="single" w:sz="6" w:space="0" w:color="auto"/>
              <w:right w:val="single" w:sz="6" w:space="0" w:color="auto"/>
            </w:tcBorders>
            <w:shd w:val="clear" w:color="auto" w:fill="FFFFFF"/>
          </w:tcPr>
          <w:p w:rsidR="006F5DA1" w:rsidRPr="00E942A7" w:rsidRDefault="006F5DA1" w:rsidP="006F5DA1">
            <w:pPr>
              <w:shd w:val="clear" w:color="auto" w:fill="FFFFFF"/>
              <w:rPr>
                <w:sz w:val="22"/>
                <w:szCs w:val="22"/>
                <w:lang w:val="sr-Latn-CS"/>
              </w:rPr>
            </w:pPr>
            <w:r w:rsidRPr="00E942A7">
              <w:rPr>
                <w:sz w:val="22"/>
                <w:szCs w:val="22"/>
                <w:lang w:val="sr-Latn-CS"/>
              </w:rPr>
              <w:t>NP</w:t>
            </w:r>
          </w:p>
        </w:tc>
      </w:tr>
    </w:tbl>
    <w:p w:rsidR="006F5DA1" w:rsidRPr="00E942A7" w:rsidRDefault="006F5DA1" w:rsidP="006F5DA1">
      <w:pPr>
        <w:tabs>
          <w:tab w:val="left" w:pos="284"/>
        </w:tabs>
        <w:rPr>
          <w:sz w:val="22"/>
          <w:szCs w:val="22"/>
          <w:lang w:val="sr-Latn-CS"/>
        </w:rPr>
      </w:pPr>
    </w:p>
    <w:p w:rsidR="006F5DA1" w:rsidRPr="00E942A7" w:rsidRDefault="006F5DA1" w:rsidP="006F5DA1">
      <w:pPr>
        <w:shd w:val="clear" w:color="auto" w:fill="FFFFFF"/>
        <w:tabs>
          <w:tab w:val="left" w:pos="605"/>
        </w:tabs>
        <w:spacing w:line="235" w:lineRule="exact"/>
        <w:jc w:val="both"/>
        <w:rPr>
          <w:sz w:val="22"/>
          <w:szCs w:val="22"/>
          <w:lang w:val="sr-Latn-CS"/>
        </w:rPr>
      </w:pPr>
      <w:r w:rsidRPr="00E942A7">
        <w:rPr>
          <w:sz w:val="22"/>
          <w:szCs w:val="22"/>
          <w:lang w:val="sr-Latn-CS"/>
        </w:rPr>
        <w:t>*</w:t>
      </w:r>
      <w:r w:rsidRPr="00E942A7">
        <w:rPr>
          <w:sz w:val="22"/>
          <w:szCs w:val="22"/>
          <w:lang w:val="sr-Latn-CS"/>
        </w:rPr>
        <w:tab/>
      </w:r>
      <w:r w:rsidRPr="00E942A7">
        <w:rPr>
          <w:spacing w:val="2"/>
          <w:sz w:val="22"/>
          <w:szCs w:val="22"/>
          <w:lang w:val="sr-Latn-CS"/>
        </w:rPr>
        <w:t>Uključuje vertebralne i nevertebralne frakture</w:t>
      </w:r>
    </w:p>
    <w:p w:rsidR="006F5DA1" w:rsidRPr="00E942A7" w:rsidRDefault="006F5DA1" w:rsidP="006F5DA1">
      <w:pPr>
        <w:shd w:val="clear" w:color="auto" w:fill="FFFFFF"/>
        <w:tabs>
          <w:tab w:val="left" w:pos="605"/>
        </w:tabs>
        <w:spacing w:line="235" w:lineRule="exact"/>
        <w:jc w:val="both"/>
        <w:rPr>
          <w:sz w:val="22"/>
          <w:szCs w:val="22"/>
          <w:lang w:val="sr-Latn-CS"/>
        </w:rPr>
      </w:pPr>
      <w:r w:rsidRPr="00E942A7">
        <w:rPr>
          <w:spacing w:val="-15"/>
          <w:sz w:val="22"/>
          <w:szCs w:val="22"/>
          <w:lang w:val="sr-Latn-CS"/>
        </w:rPr>
        <w:t>**</w:t>
      </w:r>
      <w:r w:rsidRPr="00E942A7">
        <w:rPr>
          <w:sz w:val="22"/>
          <w:szCs w:val="22"/>
          <w:lang w:val="sr-Latn-CS"/>
        </w:rPr>
        <w:tab/>
      </w:r>
      <w:r w:rsidRPr="00E942A7">
        <w:rPr>
          <w:spacing w:val="2"/>
          <w:sz w:val="22"/>
          <w:szCs w:val="22"/>
          <w:lang w:val="sr-Latn-CS"/>
        </w:rPr>
        <w:t>Odnosi se na sve komplikacije na kostima, ukupan broj kao i vrijeme do pojave svake komplikacije na kostima tokom ispitivanja</w:t>
      </w:r>
    </w:p>
    <w:p w:rsidR="006F5DA1" w:rsidRPr="00E942A7" w:rsidRDefault="006F5DA1" w:rsidP="006F5DA1">
      <w:pPr>
        <w:shd w:val="clear" w:color="auto" w:fill="FFFFFF"/>
        <w:tabs>
          <w:tab w:val="left" w:pos="605"/>
        </w:tabs>
        <w:spacing w:line="235" w:lineRule="exact"/>
        <w:jc w:val="both"/>
        <w:rPr>
          <w:sz w:val="22"/>
          <w:szCs w:val="22"/>
          <w:lang w:val="sr-Latn-CS"/>
        </w:rPr>
      </w:pPr>
      <w:r w:rsidRPr="00E942A7">
        <w:rPr>
          <w:spacing w:val="8"/>
          <w:sz w:val="22"/>
          <w:szCs w:val="22"/>
          <w:lang w:val="sr-Latn-CS"/>
        </w:rPr>
        <w:t>ND</w:t>
      </w:r>
      <w:r w:rsidRPr="00E942A7">
        <w:rPr>
          <w:sz w:val="22"/>
          <w:szCs w:val="22"/>
          <w:lang w:val="sr-Latn-CS"/>
        </w:rPr>
        <w:t xml:space="preserve"> </w:t>
      </w:r>
      <w:r w:rsidRPr="00E942A7">
        <w:rPr>
          <w:spacing w:val="3"/>
          <w:sz w:val="22"/>
          <w:szCs w:val="22"/>
          <w:lang w:val="sr-Latn-CS"/>
        </w:rPr>
        <w:t>Nije dostignuto</w:t>
      </w:r>
    </w:p>
    <w:p w:rsidR="006F5DA1" w:rsidRPr="00E942A7" w:rsidRDefault="006F5DA1" w:rsidP="006F5DA1">
      <w:pPr>
        <w:shd w:val="clear" w:color="auto" w:fill="FFFFFF"/>
        <w:tabs>
          <w:tab w:val="left" w:pos="605"/>
        </w:tabs>
        <w:spacing w:line="235" w:lineRule="exact"/>
        <w:jc w:val="both"/>
        <w:rPr>
          <w:spacing w:val="2"/>
          <w:sz w:val="22"/>
          <w:szCs w:val="22"/>
          <w:lang w:val="sr-Latn-CS"/>
        </w:rPr>
      </w:pPr>
      <w:r w:rsidRPr="00E942A7">
        <w:rPr>
          <w:spacing w:val="7"/>
          <w:sz w:val="22"/>
          <w:szCs w:val="22"/>
          <w:lang w:val="sr-Latn-CS"/>
        </w:rPr>
        <w:t>NP</w:t>
      </w:r>
      <w:r w:rsidRPr="00E942A7">
        <w:rPr>
          <w:sz w:val="22"/>
          <w:szCs w:val="22"/>
          <w:lang w:val="sr-Latn-CS"/>
        </w:rPr>
        <w:t xml:space="preserve"> </w:t>
      </w:r>
      <w:r w:rsidRPr="00E942A7">
        <w:rPr>
          <w:spacing w:val="2"/>
          <w:sz w:val="22"/>
          <w:szCs w:val="22"/>
          <w:lang w:val="sr-Latn-CS"/>
        </w:rPr>
        <w:t>Nije primjenjljivo</w:t>
      </w:r>
    </w:p>
    <w:p w:rsidR="006F5DA1" w:rsidRPr="00E942A7" w:rsidRDefault="006F5DA1" w:rsidP="006F5DA1">
      <w:pPr>
        <w:shd w:val="clear" w:color="auto" w:fill="FFFFFF"/>
        <w:tabs>
          <w:tab w:val="left" w:pos="605"/>
        </w:tabs>
        <w:spacing w:line="235" w:lineRule="exact"/>
        <w:jc w:val="both"/>
        <w:rPr>
          <w:sz w:val="22"/>
          <w:szCs w:val="22"/>
          <w:lang w:val="sr-Latn-CS"/>
        </w:rPr>
      </w:pPr>
      <w:r w:rsidRPr="00E942A7">
        <w:rPr>
          <w:spacing w:val="2"/>
          <w:sz w:val="22"/>
          <w:szCs w:val="22"/>
          <w:lang w:val="sr-Latn-CS"/>
        </w:rPr>
        <w:t>TIH (Tumor-induced hypercalcaemia) – hiperkalcijemija izazvana tumorom</w:t>
      </w:r>
    </w:p>
    <w:p w:rsidR="006F5DA1" w:rsidRPr="00E942A7" w:rsidRDefault="006F5DA1" w:rsidP="006F5DA1">
      <w:pPr>
        <w:shd w:val="clear" w:color="auto" w:fill="FFFFFF"/>
        <w:spacing w:before="235" w:line="235" w:lineRule="exact"/>
        <w:jc w:val="both"/>
        <w:rPr>
          <w:sz w:val="22"/>
          <w:szCs w:val="22"/>
          <w:lang w:val="sr-Latn-CS"/>
        </w:rPr>
      </w:pPr>
      <w:r w:rsidRPr="00E942A7">
        <w:rPr>
          <w:spacing w:val="3"/>
          <w:sz w:val="22"/>
          <w:szCs w:val="22"/>
          <w:lang w:val="sr-Latn-CS"/>
        </w:rPr>
        <w:t xml:space="preserve">Zoledronska kiselina u dozi od 4 mg je takođe ispitivana u dvostruko-slijepoj, randomizovanoj, placebo kontrolisanoj studiji na 228 pacijenata sa </w:t>
      </w:r>
      <w:r w:rsidRPr="00E942A7">
        <w:rPr>
          <w:spacing w:val="2"/>
          <w:sz w:val="22"/>
          <w:szCs w:val="22"/>
          <w:lang w:val="sr-Latn-CS"/>
        </w:rPr>
        <w:t>dokazanim metastazama na kostima porijeklom od karcinoma dojke da bi se procijenilo dejstvo 4 mg zoledronske kiseline na veličinu stope komplikacija na kostima</w:t>
      </w:r>
      <w:r w:rsidRPr="00E942A7">
        <w:rPr>
          <w:spacing w:val="3"/>
          <w:sz w:val="22"/>
          <w:szCs w:val="22"/>
          <w:lang w:val="sr-Latn-CS"/>
        </w:rPr>
        <w:t xml:space="preserve"> izračunatu za ukupan broj komplikacija na kostima (isključujući hiperkalcijemiju i podešenost za prethodne frakture), podijeljen sa ukupnim periodom rizika. Pacijenti su primali ili 4 mg zoledronske kiseline ili placebo svake četiri nedjelje tokom jedne godine. Pacijenti su bili ravnomjerno raspoređeni u grupu koja dobija zoledronsku kiselinu i grupu koja dobija placebo.</w:t>
      </w:r>
    </w:p>
    <w:p w:rsidR="006F5DA1" w:rsidRPr="00E942A7" w:rsidRDefault="006F5DA1" w:rsidP="006F5DA1">
      <w:pPr>
        <w:shd w:val="clear" w:color="auto" w:fill="FFFFFF"/>
        <w:jc w:val="both"/>
        <w:rPr>
          <w:spacing w:val="3"/>
          <w:sz w:val="22"/>
          <w:szCs w:val="22"/>
          <w:lang w:val="sr-Latn-CS"/>
        </w:rPr>
      </w:pPr>
    </w:p>
    <w:p w:rsidR="006F5DA1" w:rsidRPr="00E942A7" w:rsidRDefault="006F5DA1" w:rsidP="006F5DA1">
      <w:pPr>
        <w:shd w:val="clear" w:color="auto" w:fill="FFFFFF"/>
        <w:jc w:val="both"/>
        <w:rPr>
          <w:spacing w:val="2"/>
          <w:sz w:val="22"/>
          <w:szCs w:val="22"/>
          <w:lang w:val="sr-Latn-CS"/>
        </w:rPr>
      </w:pPr>
      <w:r w:rsidRPr="00E942A7">
        <w:rPr>
          <w:spacing w:val="3"/>
          <w:sz w:val="22"/>
          <w:szCs w:val="22"/>
          <w:lang w:val="sr-Latn-CS"/>
        </w:rPr>
        <w:lastRenderedPageBreak/>
        <w:t>Stopa komplikacija na kostima (komplikacija/osoba po godini) iznosila je 0,628 za terapiju zoledronskom kiselinom, u odnosu na 1,096 za placebo. Stopa pacijenata sa najmanje jednim događajem koji se odnosi na skelet (izuzev hiperkalcijemije) iznosila je 29,8% kod pacijenata liječenih zoledronskom kiselinom nasuprot 49,6% kod placebo grupe (p=0,003). Prosječno vrijeme do pojave prve komplikacije na skeletu nije postignuto u grupi koja je bila na terapiji zoledronskom kiselinom</w:t>
      </w:r>
      <w:r w:rsidRPr="00E942A7">
        <w:rPr>
          <w:spacing w:val="2"/>
          <w:sz w:val="22"/>
          <w:szCs w:val="22"/>
          <w:lang w:val="sr-Latn-CS"/>
        </w:rPr>
        <w:t xml:space="preserve"> do kraja studije i bilo je značajno produženo u poređenju sa placebom (p=0,007).  Zoledronska kiselina u dozi od 4 mg je smanjila</w:t>
      </w:r>
      <w:r w:rsidRPr="00E942A7">
        <w:rPr>
          <w:spacing w:val="3"/>
          <w:sz w:val="22"/>
          <w:szCs w:val="22"/>
          <w:lang w:val="sr-Latn-CS"/>
        </w:rPr>
        <w:t xml:space="preserve"> rizik od komplikacija na skeletu </w:t>
      </w:r>
      <w:r w:rsidRPr="00E942A7">
        <w:rPr>
          <w:spacing w:val="2"/>
          <w:sz w:val="22"/>
          <w:szCs w:val="22"/>
          <w:lang w:val="sr-Latn-CS"/>
        </w:rPr>
        <w:t>za</w:t>
      </w:r>
      <w:r w:rsidRPr="00E942A7">
        <w:rPr>
          <w:spacing w:val="3"/>
          <w:sz w:val="22"/>
          <w:szCs w:val="22"/>
          <w:lang w:val="sr-Latn-CS"/>
        </w:rPr>
        <w:t xml:space="preserve"> 41% u analizi višestrukih događaja (stopa rizika=0,59, p=0,019) u poređenju sa placebom.</w:t>
      </w:r>
    </w:p>
    <w:p w:rsidR="006F5DA1" w:rsidRPr="00E942A7" w:rsidRDefault="006F5DA1" w:rsidP="006F5DA1">
      <w:pPr>
        <w:shd w:val="clear" w:color="auto" w:fill="FFFFFF"/>
        <w:jc w:val="both"/>
        <w:rPr>
          <w:spacing w:val="3"/>
          <w:sz w:val="22"/>
          <w:szCs w:val="22"/>
          <w:lang w:val="sr-Latn-CS"/>
        </w:rPr>
      </w:pPr>
    </w:p>
    <w:p w:rsidR="006F5DA1" w:rsidRPr="00E942A7" w:rsidRDefault="006F5DA1" w:rsidP="006F5DA1">
      <w:pPr>
        <w:shd w:val="clear" w:color="auto" w:fill="FFFFFF"/>
        <w:jc w:val="both"/>
        <w:rPr>
          <w:spacing w:val="2"/>
          <w:sz w:val="22"/>
          <w:szCs w:val="22"/>
          <w:lang w:val="sr-Latn-CS"/>
        </w:rPr>
      </w:pPr>
      <w:r w:rsidRPr="00E942A7">
        <w:rPr>
          <w:spacing w:val="3"/>
          <w:sz w:val="22"/>
          <w:szCs w:val="22"/>
          <w:lang w:val="sr-Latn-CS"/>
        </w:rPr>
        <w:t xml:space="preserve">U grupi liječenoj zoledronskom kiselinom, došlo je do statistički značajnog poboljšanja rezultata koji se odnose na bol (korišćen je </w:t>
      </w:r>
      <w:r w:rsidRPr="00E942A7">
        <w:rPr>
          <w:i/>
          <w:spacing w:val="3"/>
          <w:sz w:val="22"/>
          <w:szCs w:val="22"/>
          <w:lang w:val="sr-Latn-CS"/>
        </w:rPr>
        <w:t xml:space="preserve">Brief Pain </w:t>
      </w:r>
      <w:r w:rsidRPr="00E942A7">
        <w:rPr>
          <w:i/>
          <w:spacing w:val="2"/>
          <w:sz w:val="22"/>
          <w:szCs w:val="22"/>
          <w:lang w:val="sr-Latn-CS"/>
        </w:rPr>
        <w:t>Inventory</w:t>
      </w:r>
      <w:r w:rsidRPr="00E942A7">
        <w:rPr>
          <w:spacing w:val="2"/>
          <w:sz w:val="22"/>
          <w:szCs w:val="22"/>
          <w:lang w:val="sr-Latn-CS"/>
        </w:rPr>
        <w:t xml:space="preserve">, BPI) nakon 4 nedjelje, kao i u svim sledećim mjerenjima  tokom studije, a u poređenju  sa </w:t>
      </w:r>
      <w:r w:rsidRPr="00E942A7">
        <w:rPr>
          <w:spacing w:val="3"/>
          <w:sz w:val="22"/>
          <w:szCs w:val="22"/>
          <w:lang w:val="sr-Latn-CS"/>
        </w:rPr>
        <w:t xml:space="preserve">placebom </w:t>
      </w:r>
      <w:r w:rsidRPr="00E942A7">
        <w:rPr>
          <w:b/>
          <w:spacing w:val="3"/>
          <w:sz w:val="22"/>
          <w:szCs w:val="22"/>
          <w:lang w:val="sr-Latn-CS"/>
        </w:rPr>
        <w:t>(Slika 1</w:t>
      </w:r>
      <w:r w:rsidRPr="00E942A7">
        <w:rPr>
          <w:spacing w:val="3"/>
          <w:sz w:val="22"/>
          <w:szCs w:val="22"/>
          <w:lang w:val="sr-Latn-CS"/>
        </w:rPr>
        <w:t>). Skor bola kod zoledronske kiseline bio je stalno ispod početnih vrijednosti a smanjenje bola bilo je praćeno trendom smanjivanja</w:t>
      </w:r>
      <w:r w:rsidRPr="00E942A7">
        <w:rPr>
          <w:spacing w:val="2"/>
          <w:sz w:val="22"/>
          <w:szCs w:val="22"/>
          <w:lang w:val="sr-Latn-CS"/>
        </w:rPr>
        <w:t xml:space="preserve"> potrebe za analgeticima.</w:t>
      </w:r>
    </w:p>
    <w:p w:rsidR="006F5DA1" w:rsidRPr="00E942A7" w:rsidRDefault="006F5DA1" w:rsidP="006F5DA1">
      <w:pPr>
        <w:shd w:val="clear" w:color="auto" w:fill="FFFFFF"/>
        <w:jc w:val="both"/>
        <w:rPr>
          <w:spacing w:val="2"/>
          <w:sz w:val="22"/>
          <w:szCs w:val="22"/>
          <w:lang w:val="sr-Latn-CS"/>
        </w:rPr>
      </w:pPr>
    </w:p>
    <w:p w:rsidR="006F5DA1" w:rsidRPr="00E942A7" w:rsidRDefault="006F5DA1" w:rsidP="006F5DA1">
      <w:pPr>
        <w:shd w:val="clear" w:color="auto" w:fill="FFFFFF"/>
        <w:spacing w:line="240" w:lineRule="exact"/>
        <w:ind w:right="403"/>
        <w:jc w:val="both"/>
        <w:rPr>
          <w:sz w:val="22"/>
          <w:szCs w:val="22"/>
          <w:lang w:val="sr-Latn-CS"/>
        </w:rPr>
      </w:pPr>
      <w:r w:rsidRPr="00E942A7">
        <w:rPr>
          <w:b/>
          <w:spacing w:val="2"/>
          <w:sz w:val="22"/>
          <w:szCs w:val="22"/>
          <w:lang w:val="sr-Latn-CS"/>
        </w:rPr>
        <w:t>Slika 1.</w:t>
      </w:r>
      <w:r w:rsidRPr="00E942A7">
        <w:rPr>
          <w:spacing w:val="2"/>
          <w:sz w:val="22"/>
          <w:szCs w:val="22"/>
          <w:lang w:val="sr-Latn-CS"/>
        </w:rPr>
        <w:t xml:space="preserve"> </w:t>
      </w:r>
      <w:r w:rsidRPr="00E942A7">
        <w:rPr>
          <w:sz w:val="22"/>
          <w:szCs w:val="22"/>
          <w:lang w:val="sr-Latn-CS"/>
        </w:rPr>
        <w:t xml:space="preserve">Srednje promjene BPI </w:t>
      </w:r>
      <w:r w:rsidRPr="00E942A7">
        <w:rPr>
          <w:spacing w:val="2"/>
          <w:sz w:val="22"/>
          <w:szCs w:val="22"/>
          <w:lang w:val="sr-Latn-CS"/>
        </w:rPr>
        <w:t xml:space="preserve">skorova u odnosu na početne vrijednosti. Statistički značajne razlike obilježene su </w:t>
      </w:r>
      <w:r w:rsidRPr="00E942A7">
        <w:rPr>
          <w:spacing w:val="3"/>
          <w:sz w:val="22"/>
          <w:szCs w:val="22"/>
          <w:lang w:val="sr-Latn-CS"/>
        </w:rPr>
        <w:t>(*p&lt;0,05) u svrhu poređenja među terapijama (4 mg zoledronske kiseline vs. placebo)</w:t>
      </w:r>
    </w:p>
    <w:p w:rsidR="006F5DA1" w:rsidRPr="00E942A7" w:rsidRDefault="006F5DA1" w:rsidP="006F5DA1">
      <w:pPr>
        <w:shd w:val="clear" w:color="auto" w:fill="FFFFFF"/>
        <w:spacing w:line="240" w:lineRule="exact"/>
        <w:ind w:right="403"/>
        <w:rPr>
          <w:sz w:val="22"/>
          <w:szCs w:val="22"/>
          <w:lang w:val="sr-Latn-CS"/>
        </w:rPr>
      </w:pPr>
    </w:p>
    <w:p w:rsidR="006F5DA1" w:rsidRPr="00E942A7" w:rsidRDefault="006F5DA1" w:rsidP="006F5DA1">
      <w:pPr>
        <w:shd w:val="clear" w:color="auto" w:fill="FFFFFF"/>
        <w:spacing w:before="240"/>
        <w:rPr>
          <w:spacing w:val="3"/>
          <w:sz w:val="22"/>
          <w:szCs w:val="22"/>
          <w:u w:val="single"/>
          <w:lang w:val="sr-Latn-CS"/>
        </w:rPr>
      </w:pPr>
      <w:r w:rsidRPr="00E942A7">
        <w:rPr>
          <w:noProof/>
          <w:spacing w:val="3"/>
          <w:sz w:val="22"/>
          <w:szCs w:val="22"/>
          <w:u w:val="single"/>
          <w:lang w:val="en-US"/>
        </w:rPr>
        <mc:AlternateContent>
          <mc:Choice Requires="wps">
            <w:drawing>
              <wp:anchor distT="0" distB="0" distL="114300" distR="114300" simplePos="0" relativeHeight="251661312" behindDoc="0" locked="0" layoutInCell="1" allowOverlap="1" wp14:anchorId="612A349C" wp14:editId="2B312D20">
                <wp:simplePos x="0" y="0"/>
                <wp:positionH relativeFrom="column">
                  <wp:posOffset>1725930</wp:posOffset>
                </wp:positionH>
                <wp:positionV relativeFrom="paragraph">
                  <wp:posOffset>179070</wp:posOffset>
                </wp:positionV>
                <wp:extent cx="1159510" cy="594995"/>
                <wp:effectExtent l="12700" t="8255" r="8890" b="635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9510" cy="594995"/>
                        </a:xfrm>
                        <a:prstGeom prst="rect">
                          <a:avLst/>
                        </a:prstGeom>
                        <a:solidFill>
                          <a:srgbClr val="FFFFFF"/>
                        </a:solidFill>
                        <a:ln w="9525">
                          <a:solidFill>
                            <a:srgbClr val="000000"/>
                          </a:solidFill>
                          <a:miter lim="800000"/>
                          <a:headEnd/>
                          <a:tailEnd/>
                        </a:ln>
                      </wps:spPr>
                      <wps:txbx>
                        <w:txbxContent>
                          <w:p w:rsidR="006F5DA1" w:rsidRDefault="006F5DA1" w:rsidP="006F5DA1">
                            <w:pPr>
                              <w:rPr>
                                <w:color w:val="00B0F0"/>
                                <w:sz w:val="22"/>
                                <w:szCs w:val="22"/>
                                <w:lang w:val="sr-Latn-CS"/>
                              </w:rPr>
                            </w:pPr>
                            <w:r w:rsidRPr="00D304BA">
                              <w:rPr>
                                <w:sz w:val="22"/>
                                <w:szCs w:val="22"/>
                                <w:lang w:val="sr-Latn-CS"/>
                              </w:rPr>
                              <w:t>Placebo</w:t>
                            </w:r>
                            <w:r>
                              <w:rPr>
                                <w:sz w:val="22"/>
                                <w:szCs w:val="22"/>
                                <w:lang w:val="sr-Latn-CS"/>
                              </w:rPr>
                              <w:t xml:space="preserve"> </w:t>
                            </w:r>
                            <w:r w:rsidRPr="00847262">
                              <w:rPr>
                                <w:color w:val="00B0F0"/>
                                <w:sz w:val="22"/>
                                <w:szCs w:val="22"/>
                                <w:lang w:val="sr-Latn-CS"/>
                              </w:rPr>
                              <w:t>Δ</w:t>
                            </w:r>
                          </w:p>
                          <w:p w:rsidR="006F5DA1" w:rsidRPr="00847262" w:rsidRDefault="006F5DA1" w:rsidP="006F5DA1">
                            <w:pPr>
                              <w:rPr>
                                <w:sz w:val="22"/>
                                <w:szCs w:val="22"/>
                                <w:lang w:val="sr-Latn-CS"/>
                              </w:rPr>
                            </w:pPr>
                            <w:r>
                              <w:rPr>
                                <w:sz w:val="22"/>
                                <w:szCs w:val="22"/>
                                <w:lang w:val="sr-Latn-CS"/>
                              </w:rPr>
                              <w:t>Zoledronska kiselina</w:t>
                            </w:r>
                            <w:r w:rsidRPr="00847262">
                              <w:rPr>
                                <w:color w:val="FF0000"/>
                                <w:sz w:val="22"/>
                                <w:szCs w:val="22"/>
                                <w:lang w:val="sr-Latn-CS"/>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2A349C" id="_x0000_t202" coordsize="21600,21600" o:spt="202" path="m,l,21600r21600,l21600,xe">
                <v:stroke joinstyle="miter"/>
                <v:path gradientshapeok="t" o:connecttype="rect"/>
              </v:shapetype>
              <v:shape id="Text Box 5" o:spid="_x0000_s1026" type="#_x0000_t202" style="position:absolute;margin-left:135.9pt;margin-top:14.1pt;width:91.3pt;height:46.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">
                <v:textbox>
                  <w:txbxContent>
                    <w:p w:rsidR="006F5DA1" w:rsidRDefault="006F5DA1" w:rsidP="006F5DA1">
                      <w:pPr>
                        <w:rPr>
                          <w:color w:val="00B0F0"/>
                          <w:sz w:val="22"/>
                          <w:szCs w:val="22"/>
                          <w:lang w:val="sr-Latn-CS"/>
                        </w:rPr>
                      </w:pPr>
                      <w:r w:rsidRPr="00D304BA">
                        <w:rPr>
                          <w:sz w:val="22"/>
                          <w:szCs w:val="22"/>
                          <w:lang w:val="sr-Latn-CS"/>
                        </w:rPr>
                        <w:t>Placebo</w:t>
                      </w:r>
                      <w:r>
                        <w:rPr>
                          <w:sz w:val="22"/>
                          <w:szCs w:val="22"/>
                          <w:lang w:val="sr-Latn-CS"/>
                        </w:rPr>
                        <w:t xml:space="preserve"> </w:t>
                      </w:r>
                      <w:r w:rsidRPr="00847262">
                        <w:rPr>
                          <w:color w:val="00B0F0"/>
                          <w:sz w:val="22"/>
                          <w:szCs w:val="22"/>
                          <w:lang w:val="sr-Latn-CS"/>
                        </w:rPr>
                        <w:t>Δ</w:t>
                      </w:r>
                    </w:p>
                    <w:p w:rsidR="006F5DA1" w:rsidRPr="00847262" w:rsidRDefault="006F5DA1" w:rsidP="006F5DA1">
                      <w:pPr>
                        <w:rPr>
                          <w:sz w:val="22"/>
                          <w:szCs w:val="22"/>
                          <w:lang w:val="sr-Latn-CS"/>
                        </w:rPr>
                      </w:pPr>
                      <w:r>
                        <w:rPr>
                          <w:sz w:val="22"/>
                          <w:szCs w:val="22"/>
                          <w:lang w:val="sr-Latn-CS"/>
                        </w:rPr>
                        <w:t>Zoledronska kiselina</w:t>
                      </w:r>
                      <w:r w:rsidRPr="00847262">
                        <w:rPr>
                          <w:color w:val="FF0000"/>
                          <w:sz w:val="22"/>
                          <w:szCs w:val="22"/>
                          <w:lang w:val="sr-Latn-CS"/>
                        </w:rPr>
                        <w:t>□</w:t>
                      </w:r>
                    </w:p>
                  </w:txbxContent>
                </v:textbox>
              </v:shape>
            </w:pict>
          </mc:Fallback>
        </mc:AlternateContent>
      </w:r>
      <w:r w:rsidRPr="00E942A7">
        <w:rPr>
          <w:noProof/>
          <w:spacing w:val="3"/>
          <w:sz w:val="22"/>
          <w:szCs w:val="22"/>
          <w:u w:val="single"/>
          <w:lang w:val="en-US"/>
        </w:rPr>
        <w:drawing>
          <wp:anchor distT="0" distB="0" distL="114300" distR="114300" simplePos="0" relativeHeight="251659264" behindDoc="0" locked="0" layoutInCell="1" allowOverlap="1" wp14:anchorId="189CE00C" wp14:editId="554BE168">
            <wp:simplePos x="0" y="0"/>
            <wp:positionH relativeFrom="column">
              <wp:posOffset>1150620</wp:posOffset>
            </wp:positionH>
            <wp:positionV relativeFrom="paragraph">
              <wp:posOffset>133350</wp:posOffset>
            </wp:positionV>
            <wp:extent cx="4116070" cy="27940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116070" cy="2794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942A7">
        <w:rPr>
          <w:noProof/>
          <w:spacing w:val="3"/>
          <w:sz w:val="22"/>
          <w:szCs w:val="22"/>
          <w:u w:val="single"/>
          <w:lang w:val="en-US"/>
        </w:rPr>
        <mc:AlternateContent>
          <mc:Choice Requires="wps">
            <w:drawing>
              <wp:anchor distT="0" distB="0" distL="114300" distR="114300" simplePos="0" relativeHeight="251660288" behindDoc="0" locked="0" layoutInCell="1" allowOverlap="1" wp14:anchorId="5B1343B2" wp14:editId="0D18F99B">
                <wp:simplePos x="0" y="0"/>
                <wp:positionH relativeFrom="column">
                  <wp:posOffset>213995</wp:posOffset>
                </wp:positionH>
                <wp:positionV relativeFrom="paragraph">
                  <wp:posOffset>286385</wp:posOffset>
                </wp:positionV>
                <wp:extent cx="518795" cy="2374900"/>
                <wp:effectExtent l="5715" t="10795" r="8890" b="508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795" cy="2374900"/>
                        </a:xfrm>
                        <a:prstGeom prst="rect">
                          <a:avLst/>
                        </a:prstGeom>
                        <a:solidFill>
                          <a:srgbClr val="FFFFFF"/>
                        </a:solidFill>
                        <a:ln w="9525">
                          <a:solidFill>
                            <a:srgbClr val="000000"/>
                          </a:solidFill>
                          <a:miter lim="800000"/>
                          <a:headEnd/>
                          <a:tailEnd/>
                        </a:ln>
                      </wps:spPr>
                      <wps:txbx>
                        <w:txbxContent>
                          <w:p w:rsidR="006F5DA1" w:rsidRPr="00847262" w:rsidRDefault="006F5DA1" w:rsidP="006F5DA1">
                            <w:pPr>
                              <w:jc w:val="center"/>
                              <w:rPr>
                                <w:sz w:val="22"/>
                                <w:szCs w:val="22"/>
                                <w:lang w:val="sr-Latn-CS"/>
                              </w:rPr>
                            </w:pPr>
                            <w:r>
                              <w:rPr>
                                <w:sz w:val="22"/>
                                <w:szCs w:val="22"/>
                                <w:lang w:val="sr-Latn-CS"/>
                              </w:rPr>
                              <w:t>BPI s</w:t>
                            </w:r>
                            <w:r w:rsidRPr="00847262">
                              <w:rPr>
                                <w:sz w:val="22"/>
                                <w:szCs w:val="22"/>
                                <w:lang w:val="sr-Latn-CS"/>
                              </w:rPr>
                              <w:t>rednja vr</w:t>
                            </w:r>
                            <w:r>
                              <w:rPr>
                                <w:sz w:val="22"/>
                                <w:szCs w:val="22"/>
                                <w:lang w:val="sr-Latn-CS"/>
                              </w:rPr>
                              <w:t>ij</w:t>
                            </w:r>
                            <w:r w:rsidRPr="00847262">
                              <w:rPr>
                                <w:sz w:val="22"/>
                                <w:szCs w:val="22"/>
                                <w:lang w:val="sr-Latn-CS"/>
                              </w:rPr>
                              <w:t>ednost prom</w:t>
                            </w:r>
                            <w:r>
                              <w:rPr>
                                <w:sz w:val="22"/>
                                <w:szCs w:val="22"/>
                                <w:lang w:val="sr-Latn-CS"/>
                              </w:rPr>
                              <w:t>j</w:t>
                            </w:r>
                            <w:r w:rsidRPr="00847262">
                              <w:rPr>
                                <w:sz w:val="22"/>
                                <w:szCs w:val="22"/>
                                <w:lang w:val="sr-Latn-CS"/>
                              </w:rPr>
                              <w:t>ene od početne vr</w:t>
                            </w:r>
                            <w:r>
                              <w:rPr>
                                <w:sz w:val="22"/>
                                <w:szCs w:val="22"/>
                                <w:lang w:val="sr-Latn-CS"/>
                              </w:rPr>
                              <w:t>ij</w:t>
                            </w:r>
                            <w:r w:rsidRPr="00847262">
                              <w:rPr>
                                <w:sz w:val="22"/>
                                <w:szCs w:val="22"/>
                                <w:lang w:val="sr-Latn-CS"/>
                              </w:rPr>
                              <w:t>ednosti</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1343B2" id="Text Box 3" o:spid="_x0000_s1027" type="#_x0000_t202" style="position:absolute;margin-left:16.85pt;margin-top:22.55pt;width:40.85pt;height:18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">
                <v:textbox style="layout-flow:vertical;mso-layout-flow-alt:bottom-to-top">
                  <w:txbxContent>
                    <w:p w:rsidR="006F5DA1" w:rsidRPr="00847262" w:rsidRDefault="006F5DA1" w:rsidP="006F5DA1">
                      <w:pPr>
                        <w:jc w:val="center"/>
                        <w:rPr>
                          <w:sz w:val="22"/>
                          <w:szCs w:val="22"/>
                          <w:lang w:val="sr-Latn-CS"/>
                        </w:rPr>
                      </w:pPr>
                      <w:r>
                        <w:rPr>
                          <w:sz w:val="22"/>
                          <w:szCs w:val="22"/>
                          <w:lang w:val="sr-Latn-CS"/>
                        </w:rPr>
                        <w:t>BPI s</w:t>
                      </w:r>
                      <w:r w:rsidRPr="00847262">
                        <w:rPr>
                          <w:sz w:val="22"/>
                          <w:szCs w:val="22"/>
                          <w:lang w:val="sr-Latn-CS"/>
                        </w:rPr>
                        <w:t>rednja vr</w:t>
                      </w:r>
                      <w:r>
                        <w:rPr>
                          <w:sz w:val="22"/>
                          <w:szCs w:val="22"/>
                          <w:lang w:val="sr-Latn-CS"/>
                        </w:rPr>
                        <w:t>ij</w:t>
                      </w:r>
                      <w:r w:rsidRPr="00847262">
                        <w:rPr>
                          <w:sz w:val="22"/>
                          <w:szCs w:val="22"/>
                          <w:lang w:val="sr-Latn-CS"/>
                        </w:rPr>
                        <w:t>ednost prom</w:t>
                      </w:r>
                      <w:r>
                        <w:rPr>
                          <w:sz w:val="22"/>
                          <w:szCs w:val="22"/>
                          <w:lang w:val="sr-Latn-CS"/>
                        </w:rPr>
                        <w:t>j</w:t>
                      </w:r>
                      <w:r w:rsidRPr="00847262">
                        <w:rPr>
                          <w:sz w:val="22"/>
                          <w:szCs w:val="22"/>
                          <w:lang w:val="sr-Latn-CS"/>
                        </w:rPr>
                        <w:t>ene od početne vr</w:t>
                      </w:r>
                      <w:r>
                        <w:rPr>
                          <w:sz w:val="22"/>
                          <w:szCs w:val="22"/>
                          <w:lang w:val="sr-Latn-CS"/>
                        </w:rPr>
                        <w:t>ij</w:t>
                      </w:r>
                      <w:r w:rsidRPr="00847262">
                        <w:rPr>
                          <w:sz w:val="22"/>
                          <w:szCs w:val="22"/>
                          <w:lang w:val="sr-Latn-CS"/>
                        </w:rPr>
                        <w:t>ednosti</w:t>
                      </w:r>
                    </w:p>
                  </w:txbxContent>
                </v:textbox>
              </v:shape>
            </w:pict>
          </mc:Fallback>
        </mc:AlternateContent>
      </w:r>
    </w:p>
    <w:p w:rsidR="006F5DA1" w:rsidRPr="00E942A7" w:rsidRDefault="006F5DA1" w:rsidP="006F5DA1">
      <w:pPr>
        <w:shd w:val="clear" w:color="auto" w:fill="FFFFFF"/>
        <w:spacing w:before="240"/>
        <w:rPr>
          <w:spacing w:val="3"/>
          <w:sz w:val="22"/>
          <w:szCs w:val="22"/>
          <w:u w:val="single"/>
          <w:lang w:val="sr-Latn-CS"/>
        </w:rPr>
      </w:pPr>
    </w:p>
    <w:p w:rsidR="006F5DA1" w:rsidRPr="00E942A7" w:rsidRDefault="006F5DA1" w:rsidP="006F5DA1">
      <w:pPr>
        <w:shd w:val="clear" w:color="auto" w:fill="FFFFFF"/>
        <w:spacing w:before="240"/>
        <w:rPr>
          <w:spacing w:val="3"/>
          <w:sz w:val="22"/>
          <w:szCs w:val="22"/>
          <w:u w:val="single"/>
          <w:lang w:val="sr-Latn-CS"/>
        </w:rPr>
      </w:pPr>
    </w:p>
    <w:p w:rsidR="006F5DA1" w:rsidRPr="00E942A7" w:rsidRDefault="006F5DA1" w:rsidP="006F5DA1">
      <w:pPr>
        <w:shd w:val="clear" w:color="auto" w:fill="FFFFFF"/>
        <w:spacing w:before="240"/>
        <w:rPr>
          <w:spacing w:val="3"/>
          <w:sz w:val="22"/>
          <w:szCs w:val="22"/>
          <w:u w:val="single"/>
          <w:lang w:val="sr-Latn-CS"/>
        </w:rPr>
      </w:pPr>
    </w:p>
    <w:p w:rsidR="006F5DA1" w:rsidRPr="00E942A7" w:rsidRDefault="006F5DA1" w:rsidP="006F5DA1">
      <w:pPr>
        <w:shd w:val="clear" w:color="auto" w:fill="FFFFFF"/>
        <w:spacing w:before="240"/>
        <w:rPr>
          <w:spacing w:val="3"/>
          <w:sz w:val="22"/>
          <w:szCs w:val="22"/>
          <w:u w:val="single"/>
          <w:lang w:val="sr-Latn-CS"/>
        </w:rPr>
      </w:pPr>
    </w:p>
    <w:p w:rsidR="006F5DA1" w:rsidRPr="00E942A7" w:rsidRDefault="006F5DA1" w:rsidP="006F5DA1">
      <w:pPr>
        <w:shd w:val="clear" w:color="auto" w:fill="FFFFFF"/>
        <w:spacing w:before="240"/>
        <w:rPr>
          <w:spacing w:val="3"/>
          <w:sz w:val="22"/>
          <w:szCs w:val="22"/>
          <w:u w:val="single"/>
          <w:lang w:val="sr-Latn-CS"/>
        </w:rPr>
      </w:pPr>
    </w:p>
    <w:p w:rsidR="006F5DA1" w:rsidRPr="00E942A7" w:rsidRDefault="006F5DA1" w:rsidP="006F5DA1">
      <w:pPr>
        <w:shd w:val="clear" w:color="auto" w:fill="FFFFFF"/>
        <w:spacing w:before="240"/>
        <w:rPr>
          <w:spacing w:val="3"/>
          <w:sz w:val="22"/>
          <w:szCs w:val="22"/>
          <w:u w:val="single"/>
          <w:lang w:val="sr-Latn-CS"/>
        </w:rPr>
      </w:pPr>
    </w:p>
    <w:p w:rsidR="006F5DA1" w:rsidRPr="00E942A7" w:rsidRDefault="006F5DA1" w:rsidP="006F5DA1">
      <w:pPr>
        <w:shd w:val="clear" w:color="auto" w:fill="FFFFFF"/>
        <w:spacing w:before="240"/>
        <w:rPr>
          <w:spacing w:val="3"/>
          <w:sz w:val="22"/>
          <w:szCs w:val="22"/>
          <w:u w:val="single"/>
          <w:lang w:val="sr-Latn-CS"/>
        </w:rPr>
      </w:pPr>
    </w:p>
    <w:p w:rsidR="006F5DA1" w:rsidRPr="00E942A7" w:rsidRDefault="006F5DA1" w:rsidP="006F5DA1">
      <w:pPr>
        <w:shd w:val="clear" w:color="auto" w:fill="FFFFFF"/>
        <w:spacing w:before="240"/>
        <w:rPr>
          <w:spacing w:val="3"/>
          <w:sz w:val="22"/>
          <w:szCs w:val="22"/>
          <w:u w:val="single"/>
          <w:lang w:val="sr-Latn-CS"/>
        </w:rPr>
      </w:pPr>
    </w:p>
    <w:p w:rsidR="006F5DA1" w:rsidRPr="00E942A7" w:rsidRDefault="006F5DA1" w:rsidP="006F5DA1">
      <w:pPr>
        <w:shd w:val="clear" w:color="auto" w:fill="FFFFFF"/>
        <w:spacing w:before="240"/>
        <w:jc w:val="center"/>
        <w:rPr>
          <w:spacing w:val="3"/>
          <w:sz w:val="22"/>
          <w:szCs w:val="22"/>
          <w:lang w:val="sr-Latn-CS"/>
        </w:rPr>
      </w:pPr>
      <w:r w:rsidRPr="00E942A7">
        <w:rPr>
          <w:spacing w:val="3"/>
          <w:sz w:val="22"/>
          <w:szCs w:val="22"/>
          <w:lang w:val="sr-Latn-CS"/>
        </w:rPr>
        <w:t>Vrijeme provedeno u studiji (nedjelje)</w:t>
      </w:r>
    </w:p>
    <w:p w:rsidR="006F5DA1" w:rsidRPr="00E942A7" w:rsidRDefault="006F5DA1" w:rsidP="006F5DA1">
      <w:pPr>
        <w:shd w:val="clear" w:color="auto" w:fill="FFFFFF"/>
        <w:spacing w:before="240"/>
        <w:jc w:val="both"/>
        <w:rPr>
          <w:spacing w:val="3"/>
          <w:sz w:val="22"/>
          <w:szCs w:val="22"/>
          <w:u w:val="single"/>
          <w:lang w:val="sr-Latn-CS"/>
        </w:rPr>
      </w:pPr>
      <w:r w:rsidRPr="00E942A7">
        <w:rPr>
          <w:spacing w:val="3"/>
          <w:sz w:val="22"/>
          <w:szCs w:val="22"/>
          <w:u w:val="single"/>
          <w:lang w:val="sr-Latn-CS"/>
        </w:rPr>
        <w:t>Rezultati kliničkih ispitivanja u terapiji hiperkalcijemije izazvane tumorom</w:t>
      </w:r>
    </w:p>
    <w:p w:rsidR="006F5DA1" w:rsidRPr="00E942A7" w:rsidRDefault="006F5DA1" w:rsidP="006F5DA1">
      <w:pPr>
        <w:shd w:val="clear" w:color="auto" w:fill="FFFFFF"/>
        <w:spacing w:line="235" w:lineRule="exact"/>
        <w:jc w:val="both"/>
        <w:rPr>
          <w:spacing w:val="3"/>
          <w:sz w:val="22"/>
          <w:szCs w:val="22"/>
          <w:lang w:val="sr-Latn-CS"/>
        </w:rPr>
      </w:pPr>
    </w:p>
    <w:p w:rsidR="006F5DA1" w:rsidRPr="00E942A7" w:rsidRDefault="006F5DA1" w:rsidP="006F5DA1">
      <w:pPr>
        <w:shd w:val="clear" w:color="auto" w:fill="FFFFFF"/>
        <w:spacing w:line="235" w:lineRule="exact"/>
        <w:jc w:val="both"/>
        <w:rPr>
          <w:spacing w:val="3"/>
          <w:sz w:val="22"/>
          <w:szCs w:val="22"/>
          <w:lang w:val="sr-Latn-CS"/>
        </w:rPr>
      </w:pPr>
      <w:r w:rsidRPr="00E942A7">
        <w:rPr>
          <w:spacing w:val="3"/>
          <w:sz w:val="22"/>
          <w:szCs w:val="22"/>
          <w:lang w:val="sr-Latn-CS"/>
        </w:rPr>
        <w:t>Klinička ispitivanja na pacijentima sa tumor izazvanom hiperkalcijemijom pokazuju da efekat zoledronske kiseline k</w:t>
      </w:r>
      <w:r w:rsidRPr="00E942A7">
        <w:rPr>
          <w:spacing w:val="2"/>
          <w:sz w:val="22"/>
          <w:szCs w:val="22"/>
          <w:lang w:val="sr-Latn-CS"/>
        </w:rPr>
        <w:t xml:space="preserve">arakteriše smanjenje nivoa kalcijuma u serumu i izlučivanje kalcijuma putem urina. U fazi I ispitivanja za određivanje terapijske doze lijeka kod </w:t>
      </w:r>
      <w:r w:rsidRPr="00E942A7">
        <w:rPr>
          <w:spacing w:val="3"/>
          <w:sz w:val="22"/>
          <w:szCs w:val="22"/>
          <w:lang w:val="sr-Latn-CS"/>
        </w:rPr>
        <w:t>pacijenata sa blagom do umjerenom hiperkalcijemijom izazvanom tumorom, ispitane efikasne doze bile su u rasponu od približno 1,2–2,5 mg.</w:t>
      </w:r>
    </w:p>
    <w:p w:rsidR="006F5DA1" w:rsidRPr="00E942A7" w:rsidRDefault="006F5DA1" w:rsidP="006F5DA1">
      <w:pPr>
        <w:shd w:val="clear" w:color="auto" w:fill="FFFFFF"/>
        <w:spacing w:line="235" w:lineRule="exact"/>
        <w:jc w:val="both"/>
        <w:rPr>
          <w:sz w:val="22"/>
          <w:szCs w:val="22"/>
          <w:lang w:val="sr-Latn-CS"/>
        </w:rPr>
      </w:pPr>
    </w:p>
    <w:p w:rsidR="006F5DA1" w:rsidRPr="00E942A7" w:rsidRDefault="006F5DA1" w:rsidP="006F5DA1">
      <w:pPr>
        <w:shd w:val="clear" w:color="auto" w:fill="FFFFFF"/>
        <w:spacing w:line="235" w:lineRule="exact"/>
        <w:jc w:val="both"/>
        <w:rPr>
          <w:b/>
          <w:bCs/>
          <w:spacing w:val="3"/>
          <w:sz w:val="22"/>
          <w:szCs w:val="22"/>
          <w:lang w:val="sr-Latn-CS"/>
        </w:rPr>
      </w:pPr>
      <w:r w:rsidRPr="00E942A7">
        <w:rPr>
          <w:spacing w:val="2"/>
          <w:sz w:val="22"/>
          <w:szCs w:val="22"/>
          <w:lang w:val="sr-Latn-CS"/>
        </w:rPr>
        <w:t xml:space="preserve">Da bi se procijenilo dejstvo 4 mg zoledronske kiseline nasuprot pamidronatu 90 mg, rezultati dvije pivotalne multicentrične studije u koje su bili uključeni </w:t>
      </w:r>
      <w:r w:rsidRPr="00E942A7">
        <w:rPr>
          <w:spacing w:val="3"/>
          <w:sz w:val="22"/>
          <w:szCs w:val="22"/>
          <w:lang w:val="sr-Latn-CS"/>
        </w:rPr>
        <w:t xml:space="preserve">pacijenti sa hiperkalcijemijom izazvanom tumorom, iskombinovani su u unapred planiranoj analizi. Uočena je brža normalizacija serumskog kalcijuma četvrtog </w:t>
      </w:r>
      <w:r w:rsidRPr="00E942A7">
        <w:rPr>
          <w:spacing w:val="3"/>
          <w:sz w:val="22"/>
          <w:szCs w:val="22"/>
          <w:lang w:val="sr-Latn-CS"/>
        </w:rPr>
        <w:lastRenderedPageBreak/>
        <w:t>dana za 8 mg zoledronske kiseline i sedmog dana za 4 mg i 8 mg zoledronske kiseline. Primijećene su sljedeće stope odgovora na terapiju</w:t>
      </w:r>
      <w:r w:rsidRPr="00E942A7">
        <w:rPr>
          <w:spacing w:val="2"/>
          <w:sz w:val="22"/>
          <w:szCs w:val="22"/>
          <w:lang w:val="sr-Latn-CS"/>
        </w:rPr>
        <w:t>:</w:t>
      </w:r>
    </w:p>
    <w:p w:rsidR="006F5DA1" w:rsidRPr="00E942A7" w:rsidRDefault="006F5DA1" w:rsidP="006F5DA1">
      <w:pPr>
        <w:shd w:val="clear" w:color="auto" w:fill="FFFFFF"/>
        <w:spacing w:before="245"/>
        <w:jc w:val="both"/>
        <w:rPr>
          <w:spacing w:val="3"/>
          <w:sz w:val="22"/>
          <w:szCs w:val="22"/>
          <w:lang w:val="sr-Latn-CS"/>
        </w:rPr>
      </w:pPr>
      <w:r w:rsidRPr="00E942A7">
        <w:rPr>
          <w:b/>
          <w:bCs/>
          <w:spacing w:val="3"/>
          <w:sz w:val="22"/>
          <w:szCs w:val="22"/>
          <w:lang w:val="sr-Latn-CS"/>
        </w:rPr>
        <w:t xml:space="preserve">Tabela 5: </w:t>
      </w:r>
      <w:r w:rsidRPr="00E942A7">
        <w:rPr>
          <w:spacing w:val="3"/>
          <w:sz w:val="22"/>
          <w:szCs w:val="22"/>
          <w:lang w:val="sr-Latn-CS"/>
        </w:rPr>
        <w:t>Proporcija učesnika sa potpunim odgovorom po danima u kombinovanim ispitivanjima na pacijentima sa hiperkalcijemijom izazvanom tumorom</w:t>
      </w:r>
    </w:p>
    <w:p w:rsidR="006F5DA1" w:rsidRPr="00E942A7" w:rsidRDefault="006F5DA1" w:rsidP="006F5DA1">
      <w:pPr>
        <w:tabs>
          <w:tab w:val="left" w:pos="284"/>
        </w:tabs>
        <w:rPr>
          <w:sz w:val="22"/>
          <w:szCs w:val="22"/>
          <w:lang w:val="sr-Latn-CS"/>
        </w:rPr>
      </w:pPr>
    </w:p>
    <w:tbl>
      <w:tblPr>
        <w:tblW w:w="0" w:type="auto"/>
        <w:jc w:val="center"/>
        <w:tblLayout w:type="fixed"/>
        <w:tblCellMar>
          <w:left w:w="40" w:type="dxa"/>
          <w:right w:w="40" w:type="dxa"/>
        </w:tblCellMar>
        <w:tblLook w:val="0000" w:firstRow="0" w:lastRow="0" w:firstColumn="0" w:lastColumn="0" w:noHBand="0" w:noVBand="0"/>
      </w:tblPr>
      <w:tblGrid>
        <w:gridCol w:w="2678"/>
        <w:gridCol w:w="2035"/>
        <w:gridCol w:w="1968"/>
        <w:gridCol w:w="1882"/>
      </w:tblGrid>
      <w:tr w:rsidR="006F5DA1" w:rsidRPr="00E942A7" w:rsidTr="001F5CB2">
        <w:trPr>
          <w:trHeight w:hRule="exact" w:val="259"/>
          <w:jc w:val="center"/>
        </w:trPr>
        <w:tc>
          <w:tcPr>
            <w:tcW w:w="2678" w:type="dxa"/>
            <w:tcBorders>
              <w:top w:val="single" w:sz="6" w:space="0" w:color="auto"/>
              <w:left w:val="single" w:sz="6" w:space="0" w:color="auto"/>
              <w:bottom w:val="single" w:sz="6" w:space="0" w:color="auto"/>
              <w:right w:val="single" w:sz="6" w:space="0" w:color="auto"/>
            </w:tcBorders>
            <w:shd w:val="clear" w:color="auto" w:fill="FFFFFF"/>
          </w:tcPr>
          <w:p w:rsidR="006F5DA1" w:rsidRPr="00E942A7" w:rsidRDefault="006F5DA1" w:rsidP="006F5DA1">
            <w:pPr>
              <w:shd w:val="clear" w:color="auto" w:fill="FFFFFF"/>
              <w:rPr>
                <w:sz w:val="22"/>
                <w:szCs w:val="22"/>
                <w:lang w:val="sr-Latn-CS"/>
              </w:rPr>
            </w:pPr>
          </w:p>
        </w:tc>
        <w:tc>
          <w:tcPr>
            <w:tcW w:w="2035" w:type="dxa"/>
            <w:tcBorders>
              <w:top w:val="single" w:sz="6" w:space="0" w:color="auto"/>
              <w:left w:val="single" w:sz="6" w:space="0" w:color="auto"/>
              <w:bottom w:val="single" w:sz="6" w:space="0" w:color="auto"/>
              <w:right w:val="single" w:sz="6" w:space="0" w:color="auto"/>
            </w:tcBorders>
            <w:shd w:val="clear" w:color="auto" w:fill="FFFFFF"/>
          </w:tcPr>
          <w:p w:rsidR="006F5DA1" w:rsidRPr="00E942A7" w:rsidRDefault="006F5DA1" w:rsidP="006F5DA1">
            <w:pPr>
              <w:shd w:val="clear" w:color="auto" w:fill="FFFFFF"/>
              <w:rPr>
                <w:sz w:val="22"/>
                <w:szCs w:val="22"/>
                <w:lang w:val="sr-Latn-CS"/>
              </w:rPr>
            </w:pPr>
            <w:r w:rsidRPr="00E942A7">
              <w:rPr>
                <w:sz w:val="22"/>
                <w:szCs w:val="22"/>
                <w:lang w:val="sr-Latn-CS"/>
              </w:rPr>
              <w:t>Dan 4.</w:t>
            </w:r>
          </w:p>
        </w:tc>
        <w:tc>
          <w:tcPr>
            <w:tcW w:w="1968" w:type="dxa"/>
            <w:tcBorders>
              <w:top w:val="single" w:sz="6" w:space="0" w:color="auto"/>
              <w:left w:val="single" w:sz="6" w:space="0" w:color="auto"/>
              <w:bottom w:val="single" w:sz="6" w:space="0" w:color="auto"/>
              <w:right w:val="single" w:sz="6" w:space="0" w:color="auto"/>
            </w:tcBorders>
            <w:shd w:val="clear" w:color="auto" w:fill="FFFFFF"/>
          </w:tcPr>
          <w:p w:rsidR="006F5DA1" w:rsidRPr="00E942A7" w:rsidRDefault="006F5DA1" w:rsidP="006F5DA1">
            <w:pPr>
              <w:shd w:val="clear" w:color="auto" w:fill="FFFFFF"/>
              <w:rPr>
                <w:sz w:val="22"/>
                <w:szCs w:val="22"/>
                <w:lang w:val="sr-Latn-CS"/>
              </w:rPr>
            </w:pPr>
            <w:r w:rsidRPr="00E942A7">
              <w:rPr>
                <w:spacing w:val="1"/>
                <w:sz w:val="22"/>
                <w:szCs w:val="22"/>
                <w:lang w:val="sr-Latn-CS"/>
              </w:rPr>
              <w:t>Dan 7.</w:t>
            </w:r>
          </w:p>
        </w:tc>
        <w:tc>
          <w:tcPr>
            <w:tcW w:w="1882" w:type="dxa"/>
            <w:tcBorders>
              <w:top w:val="single" w:sz="6" w:space="0" w:color="auto"/>
              <w:left w:val="single" w:sz="6" w:space="0" w:color="auto"/>
              <w:bottom w:val="single" w:sz="6" w:space="0" w:color="auto"/>
              <w:right w:val="single" w:sz="6" w:space="0" w:color="auto"/>
            </w:tcBorders>
            <w:shd w:val="clear" w:color="auto" w:fill="FFFFFF"/>
          </w:tcPr>
          <w:p w:rsidR="006F5DA1" w:rsidRPr="00E942A7" w:rsidRDefault="006F5DA1" w:rsidP="006F5DA1">
            <w:pPr>
              <w:shd w:val="clear" w:color="auto" w:fill="FFFFFF"/>
              <w:rPr>
                <w:sz w:val="22"/>
                <w:szCs w:val="22"/>
                <w:lang w:val="sr-Latn-CS"/>
              </w:rPr>
            </w:pPr>
            <w:r w:rsidRPr="00E942A7">
              <w:rPr>
                <w:sz w:val="22"/>
                <w:szCs w:val="22"/>
                <w:lang w:val="sr-Latn-CS"/>
              </w:rPr>
              <w:t>Dan 10.</w:t>
            </w:r>
          </w:p>
        </w:tc>
      </w:tr>
      <w:tr w:rsidR="006F5DA1" w:rsidRPr="00E942A7" w:rsidTr="001F5CB2">
        <w:trPr>
          <w:trHeight w:hRule="exact" w:val="751"/>
          <w:jc w:val="center"/>
        </w:trPr>
        <w:tc>
          <w:tcPr>
            <w:tcW w:w="2678" w:type="dxa"/>
            <w:tcBorders>
              <w:top w:val="single" w:sz="6" w:space="0" w:color="auto"/>
              <w:left w:val="single" w:sz="6" w:space="0" w:color="auto"/>
              <w:bottom w:val="single" w:sz="6" w:space="0" w:color="auto"/>
              <w:right w:val="single" w:sz="6" w:space="0" w:color="auto"/>
            </w:tcBorders>
            <w:shd w:val="clear" w:color="auto" w:fill="FFFFFF"/>
          </w:tcPr>
          <w:p w:rsidR="006F5DA1" w:rsidRPr="00E942A7" w:rsidRDefault="006F5DA1" w:rsidP="006F5DA1">
            <w:pPr>
              <w:shd w:val="clear" w:color="auto" w:fill="FFFFFF"/>
              <w:rPr>
                <w:sz w:val="22"/>
                <w:szCs w:val="22"/>
                <w:lang w:val="sr-Latn-CS"/>
              </w:rPr>
            </w:pPr>
            <w:r w:rsidRPr="00E942A7">
              <w:rPr>
                <w:spacing w:val="2"/>
                <w:sz w:val="22"/>
                <w:szCs w:val="22"/>
                <w:lang w:val="sr-Latn-CS"/>
              </w:rPr>
              <w:t xml:space="preserve"> 4 mg zoledronske kiseline (n=86)</w:t>
            </w:r>
          </w:p>
        </w:tc>
        <w:tc>
          <w:tcPr>
            <w:tcW w:w="2035" w:type="dxa"/>
            <w:tcBorders>
              <w:top w:val="single" w:sz="6" w:space="0" w:color="auto"/>
              <w:left w:val="single" w:sz="6" w:space="0" w:color="auto"/>
              <w:bottom w:val="single" w:sz="6" w:space="0" w:color="auto"/>
              <w:right w:val="single" w:sz="6" w:space="0" w:color="auto"/>
            </w:tcBorders>
            <w:shd w:val="clear" w:color="auto" w:fill="FFFFFF"/>
          </w:tcPr>
          <w:p w:rsidR="006F5DA1" w:rsidRPr="00E942A7" w:rsidRDefault="006F5DA1" w:rsidP="006F5DA1">
            <w:pPr>
              <w:shd w:val="clear" w:color="auto" w:fill="FFFFFF"/>
              <w:rPr>
                <w:sz w:val="22"/>
                <w:szCs w:val="22"/>
                <w:lang w:val="sr-Latn-CS"/>
              </w:rPr>
            </w:pPr>
            <w:r w:rsidRPr="00E942A7">
              <w:rPr>
                <w:spacing w:val="1"/>
                <w:sz w:val="22"/>
                <w:szCs w:val="22"/>
                <w:lang w:val="sr-Latn-CS"/>
              </w:rPr>
              <w:t>45,3% (p=0,104)</w:t>
            </w:r>
          </w:p>
        </w:tc>
        <w:tc>
          <w:tcPr>
            <w:tcW w:w="1968" w:type="dxa"/>
            <w:tcBorders>
              <w:top w:val="single" w:sz="6" w:space="0" w:color="auto"/>
              <w:left w:val="single" w:sz="6" w:space="0" w:color="auto"/>
              <w:bottom w:val="single" w:sz="6" w:space="0" w:color="auto"/>
              <w:right w:val="single" w:sz="6" w:space="0" w:color="auto"/>
            </w:tcBorders>
            <w:shd w:val="clear" w:color="auto" w:fill="FFFFFF"/>
          </w:tcPr>
          <w:p w:rsidR="006F5DA1" w:rsidRPr="00E942A7" w:rsidRDefault="006F5DA1" w:rsidP="006F5DA1">
            <w:pPr>
              <w:shd w:val="clear" w:color="auto" w:fill="FFFFFF"/>
              <w:rPr>
                <w:sz w:val="22"/>
                <w:szCs w:val="22"/>
                <w:lang w:val="sr-Latn-CS"/>
              </w:rPr>
            </w:pPr>
            <w:r w:rsidRPr="00E942A7">
              <w:rPr>
                <w:spacing w:val="1"/>
                <w:sz w:val="22"/>
                <w:szCs w:val="22"/>
                <w:lang w:val="sr-Latn-CS"/>
              </w:rPr>
              <w:t>82,6% (p=0,005)*</w:t>
            </w:r>
          </w:p>
        </w:tc>
        <w:tc>
          <w:tcPr>
            <w:tcW w:w="1882" w:type="dxa"/>
            <w:tcBorders>
              <w:top w:val="single" w:sz="6" w:space="0" w:color="auto"/>
              <w:left w:val="single" w:sz="6" w:space="0" w:color="auto"/>
              <w:bottom w:val="single" w:sz="6" w:space="0" w:color="auto"/>
              <w:right w:val="single" w:sz="6" w:space="0" w:color="auto"/>
            </w:tcBorders>
            <w:shd w:val="clear" w:color="auto" w:fill="FFFFFF"/>
          </w:tcPr>
          <w:p w:rsidR="006F5DA1" w:rsidRPr="00E942A7" w:rsidRDefault="006F5DA1" w:rsidP="006F5DA1">
            <w:pPr>
              <w:shd w:val="clear" w:color="auto" w:fill="FFFFFF"/>
              <w:rPr>
                <w:sz w:val="22"/>
                <w:szCs w:val="22"/>
                <w:lang w:val="sr-Latn-CS"/>
              </w:rPr>
            </w:pPr>
            <w:r w:rsidRPr="00E942A7">
              <w:rPr>
                <w:spacing w:val="1"/>
                <w:sz w:val="22"/>
                <w:szCs w:val="22"/>
                <w:lang w:val="sr-Latn-CS"/>
              </w:rPr>
              <w:t>88,4% (p=0,002)*</w:t>
            </w:r>
          </w:p>
        </w:tc>
      </w:tr>
      <w:tr w:rsidR="006F5DA1" w:rsidRPr="00E942A7" w:rsidTr="001F5CB2">
        <w:trPr>
          <w:trHeight w:hRule="exact" w:val="705"/>
          <w:jc w:val="center"/>
        </w:trPr>
        <w:tc>
          <w:tcPr>
            <w:tcW w:w="2678" w:type="dxa"/>
            <w:tcBorders>
              <w:top w:val="single" w:sz="6" w:space="0" w:color="auto"/>
              <w:left w:val="single" w:sz="6" w:space="0" w:color="auto"/>
              <w:bottom w:val="single" w:sz="6" w:space="0" w:color="auto"/>
              <w:right w:val="single" w:sz="6" w:space="0" w:color="auto"/>
            </w:tcBorders>
            <w:shd w:val="clear" w:color="auto" w:fill="FFFFFF"/>
          </w:tcPr>
          <w:p w:rsidR="006F5DA1" w:rsidRPr="00E942A7" w:rsidRDefault="006F5DA1" w:rsidP="006F5DA1">
            <w:pPr>
              <w:shd w:val="clear" w:color="auto" w:fill="FFFFFF"/>
              <w:rPr>
                <w:sz w:val="22"/>
                <w:szCs w:val="22"/>
                <w:lang w:val="sr-Latn-CS"/>
              </w:rPr>
            </w:pPr>
            <w:r w:rsidRPr="00E942A7">
              <w:rPr>
                <w:spacing w:val="2"/>
                <w:sz w:val="22"/>
                <w:szCs w:val="22"/>
                <w:lang w:val="sr-Latn-CS"/>
              </w:rPr>
              <w:t xml:space="preserve"> 8 mg zoledronske kiseline (n=90)</w:t>
            </w:r>
          </w:p>
        </w:tc>
        <w:tc>
          <w:tcPr>
            <w:tcW w:w="2035" w:type="dxa"/>
            <w:tcBorders>
              <w:top w:val="single" w:sz="6" w:space="0" w:color="auto"/>
              <w:left w:val="single" w:sz="6" w:space="0" w:color="auto"/>
              <w:bottom w:val="single" w:sz="6" w:space="0" w:color="auto"/>
              <w:right w:val="single" w:sz="6" w:space="0" w:color="auto"/>
            </w:tcBorders>
            <w:shd w:val="clear" w:color="auto" w:fill="FFFFFF"/>
          </w:tcPr>
          <w:p w:rsidR="006F5DA1" w:rsidRPr="00E942A7" w:rsidRDefault="006F5DA1" w:rsidP="006F5DA1">
            <w:pPr>
              <w:shd w:val="clear" w:color="auto" w:fill="FFFFFF"/>
              <w:rPr>
                <w:sz w:val="22"/>
                <w:szCs w:val="22"/>
                <w:lang w:val="sr-Latn-CS"/>
              </w:rPr>
            </w:pPr>
            <w:r w:rsidRPr="00E942A7">
              <w:rPr>
                <w:sz w:val="22"/>
                <w:szCs w:val="22"/>
                <w:lang w:val="sr-Latn-CS"/>
              </w:rPr>
              <w:t>55,6% (p=0,021)*</w:t>
            </w:r>
          </w:p>
        </w:tc>
        <w:tc>
          <w:tcPr>
            <w:tcW w:w="1968" w:type="dxa"/>
            <w:tcBorders>
              <w:top w:val="single" w:sz="6" w:space="0" w:color="auto"/>
              <w:left w:val="single" w:sz="6" w:space="0" w:color="auto"/>
              <w:bottom w:val="single" w:sz="6" w:space="0" w:color="auto"/>
              <w:right w:val="single" w:sz="6" w:space="0" w:color="auto"/>
            </w:tcBorders>
            <w:shd w:val="clear" w:color="auto" w:fill="FFFFFF"/>
          </w:tcPr>
          <w:p w:rsidR="006F5DA1" w:rsidRPr="00E942A7" w:rsidRDefault="006F5DA1" w:rsidP="006F5DA1">
            <w:pPr>
              <w:shd w:val="clear" w:color="auto" w:fill="FFFFFF"/>
              <w:rPr>
                <w:sz w:val="22"/>
                <w:szCs w:val="22"/>
                <w:lang w:val="sr-Latn-CS"/>
              </w:rPr>
            </w:pPr>
            <w:r w:rsidRPr="00E942A7">
              <w:rPr>
                <w:spacing w:val="1"/>
                <w:sz w:val="22"/>
                <w:szCs w:val="22"/>
                <w:lang w:val="sr-Latn-CS"/>
              </w:rPr>
              <w:t>83,3% (p=0,010)*</w:t>
            </w:r>
          </w:p>
        </w:tc>
        <w:tc>
          <w:tcPr>
            <w:tcW w:w="1882" w:type="dxa"/>
            <w:tcBorders>
              <w:top w:val="single" w:sz="6" w:space="0" w:color="auto"/>
              <w:left w:val="single" w:sz="6" w:space="0" w:color="auto"/>
              <w:bottom w:val="single" w:sz="6" w:space="0" w:color="auto"/>
              <w:right w:val="single" w:sz="6" w:space="0" w:color="auto"/>
            </w:tcBorders>
            <w:shd w:val="clear" w:color="auto" w:fill="FFFFFF"/>
          </w:tcPr>
          <w:p w:rsidR="006F5DA1" w:rsidRPr="00E942A7" w:rsidRDefault="006F5DA1" w:rsidP="006F5DA1">
            <w:pPr>
              <w:shd w:val="clear" w:color="auto" w:fill="FFFFFF"/>
              <w:rPr>
                <w:sz w:val="22"/>
                <w:szCs w:val="22"/>
                <w:lang w:val="sr-Latn-CS"/>
              </w:rPr>
            </w:pPr>
            <w:r w:rsidRPr="00E942A7">
              <w:rPr>
                <w:sz w:val="22"/>
                <w:szCs w:val="22"/>
                <w:lang w:val="sr-Latn-CS"/>
              </w:rPr>
              <w:t>86,7% (p=0,015)*</w:t>
            </w:r>
          </w:p>
        </w:tc>
      </w:tr>
      <w:tr w:rsidR="006F5DA1" w:rsidRPr="00E942A7" w:rsidTr="001F5CB2">
        <w:trPr>
          <w:trHeight w:hRule="exact" w:val="250"/>
          <w:jc w:val="center"/>
        </w:trPr>
        <w:tc>
          <w:tcPr>
            <w:tcW w:w="2678" w:type="dxa"/>
            <w:tcBorders>
              <w:top w:val="single" w:sz="6" w:space="0" w:color="auto"/>
              <w:left w:val="single" w:sz="6" w:space="0" w:color="auto"/>
              <w:bottom w:val="single" w:sz="6" w:space="0" w:color="auto"/>
              <w:right w:val="single" w:sz="6" w:space="0" w:color="auto"/>
            </w:tcBorders>
            <w:shd w:val="clear" w:color="auto" w:fill="FFFFFF"/>
          </w:tcPr>
          <w:p w:rsidR="006F5DA1" w:rsidRPr="00E942A7" w:rsidRDefault="006F5DA1" w:rsidP="006F5DA1">
            <w:pPr>
              <w:shd w:val="clear" w:color="auto" w:fill="FFFFFF"/>
              <w:rPr>
                <w:sz w:val="22"/>
                <w:szCs w:val="22"/>
                <w:lang w:val="sr-Latn-CS"/>
              </w:rPr>
            </w:pPr>
            <w:r w:rsidRPr="00E942A7">
              <w:rPr>
                <w:spacing w:val="1"/>
                <w:sz w:val="22"/>
                <w:szCs w:val="22"/>
                <w:lang w:val="sr-Latn-CS"/>
              </w:rPr>
              <w:t>Pamidronat 90 mg (n=99)</w:t>
            </w:r>
          </w:p>
        </w:tc>
        <w:tc>
          <w:tcPr>
            <w:tcW w:w="2035" w:type="dxa"/>
            <w:tcBorders>
              <w:top w:val="single" w:sz="6" w:space="0" w:color="auto"/>
              <w:left w:val="single" w:sz="6" w:space="0" w:color="auto"/>
              <w:bottom w:val="single" w:sz="6" w:space="0" w:color="auto"/>
              <w:right w:val="single" w:sz="6" w:space="0" w:color="auto"/>
            </w:tcBorders>
            <w:shd w:val="clear" w:color="auto" w:fill="FFFFFF"/>
          </w:tcPr>
          <w:p w:rsidR="006F5DA1" w:rsidRPr="00E942A7" w:rsidRDefault="006F5DA1" w:rsidP="006F5DA1">
            <w:pPr>
              <w:shd w:val="clear" w:color="auto" w:fill="FFFFFF"/>
              <w:rPr>
                <w:sz w:val="22"/>
                <w:szCs w:val="22"/>
                <w:lang w:val="sr-Latn-CS"/>
              </w:rPr>
            </w:pPr>
            <w:r w:rsidRPr="00E942A7">
              <w:rPr>
                <w:sz w:val="22"/>
                <w:szCs w:val="22"/>
                <w:lang w:val="sr-Latn-CS"/>
              </w:rPr>
              <w:t>33,3%</w:t>
            </w:r>
          </w:p>
        </w:tc>
        <w:tc>
          <w:tcPr>
            <w:tcW w:w="1968" w:type="dxa"/>
            <w:tcBorders>
              <w:top w:val="single" w:sz="6" w:space="0" w:color="auto"/>
              <w:left w:val="single" w:sz="6" w:space="0" w:color="auto"/>
              <w:bottom w:val="single" w:sz="6" w:space="0" w:color="auto"/>
              <w:right w:val="single" w:sz="6" w:space="0" w:color="auto"/>
            </w:tcBorders>
            <w:shd w:val="clear" w:color="auto" w:fill="FFFFFF"/>
          </w:tcPr>
          <w:p w:rsidR="006F5DA1" w:rsidRPr="00E942A7" w:rsidRDefault="006F5DA1" w:rsidP="006F5DA1">
            <w:pPr>
              <w:shd w:val="clear" w:color="auto" w:fill="FFFFFF"/>
              <w:rPr>
                <w:sz w:val="22"/>
                <w:szCs w:val="22"/>
                <w:lang w:val="sr-Latn-CS"/>
              </w:rPr>
            </w:pPr>
            <w:r w:rsidRPr="00E942A7">
              <w:rPr>
                <w:spacing w:val="-2"/>
                <w:sz w:val="22"/>
                <w:szCs w:val="22"/>
                <w:lang w:val="sr-Latn-CS"/>
              </w:rPr>
              <w:t>63,6%</w:t>
            </w:r>
          </w:p>
        </w:tc>
        <w:tc>
          <w:tcPr>
            <w:tcW w:w="1882" w:type="dxa"/>
            <w:tcBorders>
              <w:top w:val="single" w:sz="6" w:space="0" w:color="auto"/>
              <w:left w:val="single" w:sz="6" w:space="0" w:color="auto"/>
              <w:bottom w:val="single" w:sz="6" w:space="0" w:color="auto"/>
              <w:right w:val="single" w:sz="6" w:space="0" w:color="auto"/>
            </w:tcBorders>
            <w:shd w:val="clear" w:color="auto" w:fill="FFFFFF"/>
          </w:tcPr>
          <w:p w:rsidR="006F5DA1" w:rsidRPr="00E942A7" w:rsidRDefault="006F5DA1" w:rsidP="006F5DA1">
            <w:pPr>
              <w:shd w:val="clear" w:color="auto" w:fill="FFFFFF"/>
              <w:rPr>
                <w:sz w:val="22"/>
                <w:szCs w:val="22"/>
                <w:lang w:val="sr-Latn-CS"/>
              </w:rPr>
            </w:pPr>
            <w:r w:rsidRPr="00E942A7">
              <w:rPr>
                <w:spacing w:val="-2"/>
                <w:sz w:val="22"/>
                <w:szCs w:val="22"/>
                <w:lang w:val="sr-Latn-CS"/>
              </w:rPr>
              <w:t>69,7%</w:t>
            </w:r>
          </w:p>
        </w:tc>
      </w:tr>
      <w:tr w:rsidR="006F5DA1" w:rsidRPr="00E942A7" w:rsidTr="001F5CB2">
        <w:trPr>
          <w:trHeight w:hRule="exact" w:val="269"/>
          <w:jc w:val="center"/>
        </w:trPr>
        <w:tc>
          <w:tcPr>
            <w:tcW w:w="8563" w:type="dxa"/>
            <w:gridSpan w:val="4"/>
            <w:tcBorders>
              <w:top w:val="single" w:sz="6" w:space="0" w:color="auto"/>
              <w:left w:val="single" w:sz="6" w:space="0" w:color="auto"/>
              <w:bottom w:val="single" w:sz="6" w:space="0" w:color="auto"/>
              <w:right w:val="single" w:sz="6" w:space="0" w:color="auto"/>
            </w:tcBorders>
            <w:shd w:val="clear" w:color="auto" w:fill="FFFFFF"/>
          </w:tcPr>
          <w:p w:rsidR="006F5DA1" w:rsidRPr="00E942A7" w:rsidRDefault="006F5DA1" w:rsidP="006F5DA1">
            <w:pPr>
              <w:shd w:val="clear" w:color="auto" w:fill="FFFFFF"/>
              <w:rPr>
                <w:sz w:val="22"/>
                <w:szCs w:val="22"/>
                <w:lang w:val="sr-Latn-CS"/>
              </w:rPr>
            </w:pPr>
            <w:r w:rsidRPr="00E942A7">
              <w:rPr>
                <w:spacing w:val="1"/>
                <w:sz w:val="22"/>
                <w:szCs w:val="22"/>
                <w:lang w:val="sr-Latn-CS"/>
              </w:rPr>
              <w:t>*p-vrijednosti u poređenju sa pamidronatom.</w:t>
            </w:r>
          </w:p>
        </w:tc>
      </w:tr>
    </w:tbl>
    <w:p w:rsidR="006F5DA1" w:rsidRPr="00E942A7" w:rsidRDefault="006F5DA1" w:rsidP="006F5DA1">
      <w:pPr>
        <w:shd w:val="clear" w:color="auto" w:fill="FFFFFF"/>
        <w:spacing w:before="226" w:line="240" w:lineRule="exact"/>
        <w:jc w:val="both"/>
        <w:rPr>
          <w:sz w:val="22"/>
          <w:szCs w:val="22"/>
          <w:lang w:val="sr-Latn-CS"/>
        </w:rPr>
      </w:pPr>
      <w:r w:rsidRPr="00E942A7">
        <w:rPr>
          <w:spacing w:val="2"/>
          <w:sz w:val="22"/>
          <w:szCs w:val="22"/>
          <w:lang w:val="sr-Latn-CS"/>
        </w:rPr>
        <w:t xml:space="preserve">Prosječno vrijeme do postizanja normokalcijemije bilo je 4 dana. Prosječno vrijeme do relapsa (ponovno povećanje albuminom korigovanog serumskog </w:t>
      </w:r>
      <w:r w:rsidRPr="00E942A7">
        <w:rPr>
          <w:spacing w:val="3"/>
          <w:sz w:val="22"/>
          <w:szCs w:val="22"/>
          <w:lang w:val="sr-Latn-CS"/>
        </w:rPr>
        <w:t xml:space="preserve">kalcijuma ≥2,9 mmol/l) bilo je 30 do 40 dana za pacijente na terapiji zoledronskom kiselinom u odnosu na 17 dana za one na terapiji pamidronatom 90 mg (p-vrijednosti: 0,001 za 4 mg i 0,007 za 8 mg zoledronske kiseline). Nije bilo statistički </w:t>
      </w:r>
      <w:r w:rsidRPr="00E942A7">
        <w:rPr>
          <w:spacing w:val="2"/>
          <w:sz w:val="22"/>
          <w:szCs w:val="22"/>
          <w:lang w:val="sr-Latn-CS"/>
        </w:rPr>
        <w:t>značajnih razlika između dvije doze zoledronske kiseline.</w:t>
      </w:r>
    </w:p>
    <w:p w:rsidR="006F5DA1" w:rsidRPr="00E942A7" w:rsidRDefault="006F5DA1" w:rsidP="006F5DA1">
      <w:pPr>
        <w:shd w:val="clear" w:color="auto" w:fill="FFFFFF"/>
        <w:spacing w:line="235" w:lineRule="exact"/>
        <w:jc w:val="both"/>
        <w:rPr>
          <w:spacing w:val="3"/>
          <w:sz w:val="22"/>
          <w:szCs w:val="22"/>
          <w:lang w:val="sr-Latn-CS"/>
        </w:rPr>
      </w:pPr>
    </w:p>
    <w:p w:rsidR="006F5DA1" w:rsidRPr="00E942A7" w:rsidRDefault="006F5DA1" w:rsidP="006F5DA1">
      <w:pPr>
        <w:shd w:val="clear" w:color="auto" w:fill="FFFFFF"/>
        <w:spacing w:line="235" w:lineRule="exact"/>
        <w:jc w:val="both"/>
        <w:rPr>
          <w:spacing w:val="3"/>
          <w:sz w:val="22"/>
          <w:szCs w:val="22"/>
          <w:lang w:val="sr-Latn-CS"/>
        </w:rPr>
      </w:pPr>
      <w:r w:rsidRPr="00E942A7">
        <w:rPr>
          <w:spacing w:val="3"/>
          <w:sz w:val="22"/>
          <w:szCs w:val="22"/>
          <w:lang w:val="sr-Latn-CS"/>
        </w:rPr>
        <w:t>U kliničkim ispitivanjima na 69 pacijenata kod kojih se ponovo javila bolest ili koji nisu reagovali na početnu terapiju (4 mg, 8 mg zoledronske kiseline ili pamidronat 90 mg) ponovljeno je liječenje sa 8 mg zoledronske kiseline. Stopa odgovora kod tih pacijenata bila je oko 52%. S obzirom da su ovi pacijenti bili ponovo liječeni samo sa dozom od</w:t>
      </w:r>
      <w:r w:rsidRPr="00E942A7">
        <w:rPr>
          <w:spacing w:val="2"/>
          <w:sz w:val="22"/>
          <w:szCs w:val="22"/>
          <w:lang w:val="sr-Latn-CS"/>
        </w:rPr>
        <w:t xml:space="preserve"> 8 mg, nema raspoloživih podataka koji bi omogućili poređenje sa dozom od 4 mg zoledronske kiseline.</w:t>
      </w:r>
    </w:p>
    <w:p w:rsidR="006F5DA1" w:rsidRPr="00E942A7" w:rsidRDefault="006F5DA1" w:rsidP="006F5DA1">
      <w:pPr>
        <w:shd w:val="clear" w:color="auto" w:fill="FFFFFF"/>
        <w:spacing w:before="240" w:line="235" w:lineRule="exact"/>
        <w:jc w:val="both"/>
        <w:rPr>
          <w:spacing w:val="1"/>
          <w:sz w:val="22"/>
          <w:szCs w:val="22"/>
          <w:lang w:val="sr-Latn-CS"/>
        </w:rPr>
      </w:pPr>
      <w:r w:rsidRPr="00E942A7">
        <w:rPr>
          <w:spacing w:val="3"/>
          <w:sz w:val="22"/>
          <w:szCs w:val="22"/>
          <w:lang w:val="sr-Latn-CS"/>
        </w:rPr>
        <w:t xml:space="preserve">U kliničkim ispitivanjima na pacijentima sa hiperkalcijemijom uzazvanom tumorom, ukupni bezbjednosni profil među svim </w:t>
      </w:r>
      <w:r w:rsidRPr="00E942A7">
        <w:rPr>
          <w:spacing w:val="2"/>
          <w:sz w:val="22"/>
          <w:szCs w:val="22"/>
          <w:lang w:val="sr-Latn-CS"/>
        </w:rPr>
        <w:t>terapijskim grupama (zoledronska kiselina 4 i 8 mg i pamidronat 90 mg) bio je sličan po vrstama</w:t>
      </w:r>
      <w:r w:rsidRPr="00E942A7">
        <w:rPr>
          <w:spacing w:val="1"/>
          <w:sz w:val="22"/>
          <w:szCs w:val="22"/>
          <w:lang w:val="sr-Latn-CS"/>
        </w:rPr>
        <w:t xml:space="preserve"> i težini.</w:t>
      </w:r>
    </w:p>
    <w:p w:rsidR="006F5DA1" w:rsidRPr="00E942A7" w:rsidRDefault="006F5DA1" w:rsidP="006F5DA1">
      <w:pPr>
        <w:tabs>
          <w:tab w:val="left" w:pos="284"/>
        </w:tabs>
        <w:jc w:val="both"/>
        <w:rPr>
          <w:i/>
          <w:sz w:val="22"/>
          <w:szCs w:val="22"/>
          <w:lang w:val="sr-Latn-CS"/>
        </w:rPr>
      </w:pPr>
    </w:p>
    <w:p w:rsidR="006F5DA1" w:rsidRPr="00E942A7" w:rsidRDefault="006F5DA1" w:rsidP="006F5DA1">
      <w:pPr>
        <w:tabs>
          <w:tab w:val="left" w:pos="284"/>
        </w:tabs>
        <w:jc w:val="both"/>
        <w:rPr>
          <w:i/>
          <w:sz w:val="22"/>
          <w:szCs w:val="22"/>
          <w:lang w:val="sr-Latn-CS"/>
        </w:rPr>
      </w:pPr>
      <w:r w:rsidRPr="00E942A7">
        <w:rPr>
          <w:i/>
          <w:sz w:val="22"/>
          <w:szCs w:val="22"/>
          <w:lang w:val="sr-Latn-CS"/>
        </w:rPr>
        <w:t>Pedijatrijska populacija</w:t>
      </w:r>
    </w:p>
    <w:p w:rsidR="006F5DA1" w:rsidRPr="00E942A7" w:rsidRDefault="006F5DA1" w:rsidP="006F5DA1">
      <w:pPr>
        <w:tabs>
          <w:tab w:val="left" w:pos="284"/>
        </w:tabs>
        <w:jc w:val="both"/>
        <w:rPr>
          <w:sz w:val="22"/>
          <w:szCs w:val="22"/>
          <w:lang w:val="sr-Latn-CS"/>
        </w:rPr>
      </w:pPr>
    </w:p>
    <w:p w:rsidR="006F5DA1" w:rsidRPr="00E942A7" w:rsidRDefault="006F5DA1" w:rsidP="006F5DA1">
      <w:pPr>
        <w:tabs>
          <w:tab w:val="left" w:pos="284"/>
        </w:tabs>
        <w:jc w:val="both"/>
        <w:rPr>
          <w:sz w:val="22"/>
          <w:szCs w:val="22"/>
          <w:u w:val="single"/>
          <w:lang w:val="sr-Latn-CS"/>
        </w:rPr>
      </w:pPr>
      <w:r w:rsidRPr="00E942A7">
        <w:rPr>
          <w:sz w:val="22"/>
          <w:szCs w:val="22"/>
          <w:u w:val="single"/>
          <w:lang w:val="sr-Latn-CS"/>
        </w:rPr>
        <w:t>Rezultati kliničkih ispitivanja liječenja teškog oblika osteogenesis imperfecta kod pedijatrijskih pacijenata uzrasta od 1 do 17 godina</w:t>
      </w:r>
    </w:p>
    <w:p w:rsidR="006F5DA1" w:rsidRPr="00E942A7" w:rsidRDefault="006F5DA1" w:rsidP="006F5DA1">
      <w:pPr>
        <w:tabs>
          <w:tab w:val="left" w:pos="284"/>
        </w:tabs>
        <w:jc w:val="both"/>
        <w:rPr>
          <w:sz w:val="22"/>
          <w:szCs w:val="22"/>
          <w:u w:val="single"/>
          <w:lang w:val="sr-Latn-CS"/>
        </w:rPr>
      </w:pPr>
    </w:p>
    <w:p w:rsidR="006F5DA1" w:rsidRPr="00E942A7" w:rsidRDefault="006F5DA1" w:rsidP="006F5DA1">
      <w:pPr>
        <w:tabs>
          <w:tab w:val="left" w:pos="284"/>
        </w:tabs>
        <w:jc w:val="both"/>
        <w:rPr>
          <w:sz w:val="22"/>
          <w:szCs w:val="22"/>
          <w:lang w:val="sr-Latn-CS"/>
        </w:rPr>
      </w:pPr>
      <w:r w:rsidRPr="00E942A7">
        <w:rPr>
          <w:sz w:val="22"/>
          <w:szCs w:val="22"/>
          <w:lang w:val="sr-Latn-CS"/>
        </w:rPr>
        <w:t xml:space="preserve">U međunarodnoj, multicentričnoj, randomizovanoj, otvorenoj studiji, efekti zoledronske kiseline primijenjene intravenski kod 74 pedijatrijska pacijenta (uzrasta od 1 do 17 godina) sa teškim oblikom osteogenesis imperfecta (tipovi I, III i IV) upoređivani su sa efektima pamidronata primijenjenog intravenski kod 76 ovakvih pedijatrijskih pacijenata. </w:t>
      </w:r>
    </w:p>
    <w:p w:rsidR="006F5DA1" w:rsidRPr="00E942A7" w:rsidRDefault="006F5DA1" w:rsidP="006F5DA1">
      <w:pPr>
        <w:tabs>
          <w:tab w:val="left" w:pos="284"/>
        </w:tabs>
        <w:jc w:val="both"/>
        <w:rPr>
          <w:sz w:val="22"/>
          <w:szCs w:val="22"/>
          <w:lang w:val="sr-Latn-CS"/>
        </w:rPr>
      </w:pPr>
    </w:p>
    <w:p w:rsidR="006F5DA1" w:rsidRPr="00E942A7" w:rsidRDefault="006F5DA1" w:rsidP="006F5DA1">
      <w:pPr>
        <w:tabs>
          <w:tab w:val="left" w:pos="284"/>
        </w:tabs>
        <w:jc w:val="both"/>
        <w:rPr>
          <w:color w:val="000000"/>
          <w:sz w:val="22"/>
          <w:szCs w:val="22"/>
          <w:lang w:val="sr-Latn-CS"/>
        </w:rPr>
      </w:pPr>
      <w:r w:rsidRPr="00E942A7">
        <w:rPr>
          <w:sz w:val="22"/>
          <w:szCs w:val="22"/>
          <w:lang w:val="sr-Latn-CS"/>
        </w:rPr>
        <w:t xml:space="preserve">Studija je trajala 12 mjeseci, kojima je prethodio skrining period od 4 do 9 nedjelja za vrijeme kojeg su vitamin D i kalcijumski suplementi primjenjivani najmanje 2 nedjelje. Prema programu kliničkog ispitivanja, pacijenti uzrasta od 1 do &lt;3 godine su primali 0,025 mg/kg zoledronske kiseline (do maksimalne pojedinične doze od 0,35 mg) svaka 3 mjeseca, dok su pacijenti uzrasta od 3 do 17 godina primali 0,05 mg/kg zoledronske kiseline (do maksimalne pojedinične </w:t>
      </w:r>
      <w:r w:rsidRPr="00E942A7">
        <w:rPr>
          <w:color w:val="000000"/>
          <w:sz w:val="22"/>
          <w:szCs w:val="22"/>
          <w:lang w:val="sr-Latn-CS"/>
        </w:rPr>
        <w:t xml:space="preserve">doze od 0,83 mg) svaka 3 mjeseca. Sproveden je produžetak studije sa ciljem ispitivanja dugotrajne opšte i renalne bezbjednosti primjene zoledronske kiseline jednom ili dva puta godišnje </w:t>
      </w:r>
      <w:r w:rsidRPr="00E942A7">
        <w:rPr>
          <w:color w:val="000000"/>
          <w:sz w:val="22"/>
          <w:szCs w:val="22"/>
          <w:lang w:val="sr-Latn-CS"/>
        </w:rPr>
        <w:lastRenderedPageBreak/>
        <w:t>tokom 12-mjesečnog produženog ispitivanja kod djece kod kojih je završena jednogodišnja primjena bilo zoledronske kiseline, bilo pamidronata, u osnovnom ispitivanju.</w:t>
      </w:r>
    </w:p>
    <w:p w:rsidR="006F5DA1" w:rsidRPr="00E942A7" w:rsidRDefault="006F5DA1" w:rsidP="006F5DA1">
      <w:pPr>
        <w:tabs>
          <w:tab w:val="left" w:pos="284"/>
        </w:tabs>
        <w:jc w:val="both"/>
        <w:rPr>
          <w:color w:val="000000"/>
          <w:sz w:val="22"/>
          <w:szCs w:val="22"/>
          <w:lang w:val="sr-Latn-CS"/>
        </w:rPr>
      </w:pPr>
      <w:r w:rsidRPr="00E942A7">
        <w:rPr>
          <w:color w:val="000000"/>
          <w:sz w:val="22"/>
          <w:szCs w:val="22"/>
          <w:lang w:val="sr-Latn-CS"/>
        </w:rPr>
        <w:t>Primarni cilj ispitivanja je bio procenat promjene mineralne gustine kosti (bone mineral density – BMD) u lumbalnom dijelu kičme nakon 12 mjeseci liječenja u odnosu na početnu vrijednost. Procijenjeni efekti na BMD su bili slični, ali dizajn ispitivanja nije bio dovoljno jasan za uspostavljanje neinferiorne efikasnosti zoledronske kiseline. Posebno nije bilo jasnog dokaza o efikasnosti na učestalost preloma ili na učestalost bola. Prelomi dugih kostiju donjih ekstremiteta kao neželjena dejstva bili su prijavljeni u približno 24% (femur) i 14% (tibia) u grupi pacijenata liječenih zoledronskom kiselinom, u poređenju sa 12% i 5% u grupi pacijenata s teškim oblikom osteogenesis imperfecta liječenih pamidronatom, bez obzira na tip ili uzrok, ali je ukupna učestalost preloma bila uporediva među grupama pacijenata liječenih zoledronskom kiselinom 43% (32/74) i pamidronatom 41% (31/76). Tumačenje rizika od preloma je zbunjujuće s obzirom na činjenicu da su prelomi česti događaji kod pacijenata sa teškim oblikom osteogenesis imperfecta, kao dio procesa bolesti.</w:t>
      </w:r>
    </w:p>
    <w:p w:rsidR="006F5DA1" w:rsidRPr="00E942A7" w:rsidRDefault="006F5DA1" w:rsidP="006F5DA1">
      <w:pPr>
        <w:shd w:val="clear" w:color="auto" w:fill="FFFFFF"/>
        <w:spacing w:before="226" w:line="250" w:lineRule="exact"/>
        <w:jc w:val="both"/>
        <w:rPr>
          <w:color w:val="000000"/>
          <w:spacing w:val="5"/>
          <w:sz w:val="22"/>
          <w:szCs w:val="22"/>
          <w:lang w:val="sr-Latn-CS"/>
        </w:rPr>
      </w:pPr>
      <w:r w:rsidRPr="00E942A7">
        <w:rPr>
          <w:color w:val="000000"/>
          <w:sz w:val="22"/>
          <w:szCs w:val="22"/>
          <w:lang w:val="sr-Latn-CS"/>
        </w:rPr>
        <w:t>Tipovi neželjenih reakcija zapaženih u ovoj populaciji bili su slični onima viđenim kod odraslih pacijenata sa uznapredovalim malignitetima koji zahvataju kosti (vidjeti odjeljak 4.8). Neželjene reakcije, raspoređene po učestalosti, prikazane su u Tabeli 6, uz korišćenje sljedeće uobičajene klasifikacije</w:t>
      </w:r>
      <w:r w:rsidRPr="00E942A7">
        <w:rPr>
          <w:color w:val="000000"/>
          <w:spacing w:val="2"/>
          <w:sz w:val="22"/>
          <w:szCs w:val="22"/>
          <w:lang w:val="sr-Latn-CS"/>
        </w:rPr>
        <w:t>:</w:t>
      </w:r>
      <w:r w:rsidRPr="00E942A7">
        <w:rPr>
          <w:color w:val="000000"/>
          <w:spacing w:val="5"/>
          <w:sz w:val="22"/>
          <w:szCs w:val="22"/>
          <w:lang w:val="sr-Latn-CS"/>
        </w:rPr>
        <w:t xml:space="preserve"> </w:t>
      </w:r>
    </w:p>
    <w:p w:rsidR="006F5DA1" w:rsidRPr="00E942A7" w:rsidRDefault="006F5DA1" w:rsidP="006F5DA1">
      <w:pPr>
        <w:shd w:val="clear" w:color="auto" w:fill="FFFFFF"/>
        <w:spacing w:before="240" w:line="235" w:lineRule="exact"/>
        <w:jc w:val="both"/>
        <w:rPr>
          <w:spacing w:val="1"/>
          <w:sz w:val="22"/>
          <w:szCs w:val="22"/>
          <w:lang w:val="sr-Latn-CS"/>
        </w:rPr>
      </w:pPr>
      <w:r w:rsidRPr="00E942A7">
        <w:rPr>
          <w:spacing w:val="5"/>
          <w:sz w:val="22"/>
          <w:szCs w:val="22"/>
          <w:lang w:val="sr-Latn-CS"/>
        </w:rPr>
        <w:t xml:space="preserve">veoma česte (≥l/10), česte (≥l/100, &lt;1/10), povremene (≥l/l000, &lt;1/100), rijetke </w:t>
      </w:r>
      <w:r w:rsidRPr="00E942A7">
        <w:rPr>
          <w:spacing w:val="3"/>
          <w:sz w:val="22"/>
          <w:szCs w:val="22"/>
          <w:lang w:val="sr-Latn-CS"/>
        </w:rPr>
        <w:t>(≥l/10000, &lt;1/1000), veoma rijetke (&lt;1/10000), nepoznato (ne mogu se procijeniti na osnovu dostupnih podataka).</w:t>
      </w:r>
    </w:p>
    <w:p w:rsidR="006F5DA1" w:rsidRPr="00E942A7" w:rsidRDefault="006F5DA1" w:rsidP="006F5DA1">
      <w:pPr>
        <w:shd w:val="clear" w:color="auto" w:fill="F5F5F5"/>
        <w:textAlignment w:val="top"/>
        <w:rPr>
          <w:color w:val="888888"/>
          <w:sz w:val="22"/>
          <w:szCs w:val="22"/>
          <w:lang w:val="sr-Latn-CS"/>
        </w:rPr>
      </w:pPr>
    </w:p>
    <w:tbl>
      <w:tblPr>
        <w:tblW w:w="5000" w:type="pct"/>
        <w:tblCellSpacing w:w="0" w:type="dxa"/>
        <w:tblBorders>
          <w:top w:val="outset" w:sz="6" w:space="0" w:color="auto"/>
          <w:left w:val="outset" w:sz="6" w:space="0" w:color="auto"/>
          <w:bottom w:val="outset" w:sz="6" w:space="0" w:color="auto"/>
          <w:right w:val="outset" w:sz="6" w:space="0" w:color="auto"/>
        </w:tblBorders>
        <w:tblLayout w:type="fixed"/>
        <w:tblCellMar>
          <w:top w:w="60" w:type="dxa"/>
          <w:left w:w="60" w:type="dxa"/>
          <w:bottom w:w="60" w:type="dxa"/>
          <w:right w:w="60" w:type="dxa"/>
        </w:tblCellMar>
        <w:tblLook w:val="04A0" w:firstRow="1" w:lastRow="0" w:firstColumn="1" w:lastColumn="0" w:noHBand="0" w:noVBand="1"/>
      </w:tblPr>
      <w:tblGrid>
        <w:gridCol w:w="962"/>
        <w:gridCol w:w="1442"/>
        <w:gridCol w:w="7211"/>
      </w:tblGrid>
      <w:tr w:rsidR="006F5DA1" w:rsidRPr="00E942A7" w:rsidTr="001F5CB2">
        <w:trPr>
          <w:tblCellSpacing w:w="0" w:type="dxa"/>
        </w:trPr>
        <w:tc>
          <w:tcPr>
            <w:tcW w:w="5000" w:type="pct"/>
            <w:gridSpan w:val="3"/>
            <w:tcBorders>
              <w:top w:val="outset" w:sz="6" w:space="0" w:color="auto"/>
              <w:bottom w:val="outset" w:sz="6" w:space="0" w:color="auto"/>
            </w:tcBorders>
          </w:tcPr>
          <w:p w:rsidR="006F5DA1" w:rsidRPr="00E942A7" w:rsidRDefault="006F5DA1" w:rsidP="006F5DA1">
            <w:pPr>
              <w:rPr>
                <w:color w:val="000000"/>
                <w:sz w:val="22"/>
                <w:szCs w:val="22"/>
                <w:lang w:val="sr-Latn-CS"/>
              </w:rPr>
            </w:pPr>
            <w:r w:rsidRPr="00E942A7">
              <w:rPr>
                <w:b/>
                <w:color w:val="000000"/>
                <w:sz w:val="22"/>
                <w:szCs w:val="22"/>
                <w:lang w:val="sr-Latn-CS"/>
              </w:rPr>
              <w:t>Tabela 6:</w:t>
            </w:r>
            <w:r w:rsidRPr="00E942A7">
              <w:rPr>
                <w:color w:val="000000"/>
                <w:sz w:val="22"/>
                <w:szCs w:val="22"/>
                <w:lang w:val="sr-Latn-CS"/>
              </w:rPr>
              <w:t xml:space="preserve"> Neželjene reakcije zapažene kod pedijatrijskih pacijenata sa teškim oblikom osteogenesis imperfecta </w:t>
            </w:r>
            <w:r w:rsidRPr="00E942A7">
              <w:rPr>
                <w:color w:val="000000"/>
                <w:sz w:val="22"/>
                <w:szCs w:val="22"/>
                <w:vertAlign w:val="superscript"/>
                <w:lang w:val="sr-Latn-CS"/>
              </w:rPr>
              <w:t>1</w:t>
            </w:r>
            <w:r w:rsidRPr="00E942A7">
              <w:rPr>
                <w:color w:val="000000"/>
                <w:sz w:val="22"/>
                <w:szCs w:val="22"/>
                <w:lang w:val="sr-Latn-CS"/>
              </w:rPr>
              <w:t xml:space="preserve"> </w:t>
            </w:r>
          </w:p>
        </w:tc>
      </w:tr>
      <w:tr w:rsidR="006F5DA1" w:rsidRPr="00E942A7" w:rsidTr="001F5CB2">
        <w:trPr>
          <w:tblCellSpacing w:w="0" w:type="dxa"/>
        </w:trPr>
        <w:tc>
          <w:tcPr>
            <w:tcW w:w="5000" w:type="pct"/>
            <w:gridSpan w:val="3"/>
            <w:tcBorders>
              <w:top w:val="outset" w:sz="6" w:space="0" w:color="auto"/>
              <w:bottom w:val="outset" w:sz="6" w:space="0" w:color="auto"/>
            </w:tcBorders>
          </w:tcPr>
          <w:p w:rsidR="006F5DA1" w:rsidRPr="00E942A7" w:rsidRDefault="006F5DA1" w:rsidP="006F5DA1">
            <w:pPr>
              <w:rPr>
                <w:color w:val="000000"/>
                <w:sz w:val="22"/>
                <w:szCs w:val="22"/>
                <w:lang w:val="en-US"/>
              </w:rPr>
            </w:pPr>
            <w:r w:rsidRPr="00E942A7">
              <w:rPr>
                <w:b/>
                <w:i/>
                <w:color w:val="000000"/>
                <w:sz w:val="22"/>
                <w:szCs w:val="22"/>
                <w:lang w:val="en-US"/>
              </w:rPr>
              <w:t>Poremećaji nervnog sistema</w:t>
            </w:r>
          </w:p>
        </w:tc>
      </w:tr>
      <w:tr w:rsidR="006F5DA1" w:rsidRPr="00E942A7" w:rsidTr="001F5CB2">
        <w:trPr>
          <w:tblCellSpacing w:w="0" w:type="dxa"/>
        </w:trPr>
        <w:tc>
          <w:tcPr>
            <w:tcW w:w="500" w:type="pct"/>
            <w:tcBorders>
              <w:top w:val="outset" w:sz="6" w:space="0" w:color="auto"/>
              <w:bottom w:val="outset" w:sz="6" w:space="0" w:color="auto"/>
              <w:right w:val="outset" w:sz="6" w:space="0" w:color="auto"/>
            </w:tcBorders>
          </w:tcPr>
          <w:p w:rsidR="006F5DA1" w:rsidRPr="00E942A7" w:rsidRDefault="006F5DA1" w:rsidP="006F5DA1">
            <w:pPr>
              <w:rPr>
                <w:color w:val="000000"/>
                <w:sz w:val="22"/>
                <w:szCs w:val="22"/>
                <w:lang w:val="en-US"/>
              </w:rPr>
            </w:pPr>
            <w:r w:rsidRPr="00E942A7">
              <w:rPr>
                <w:color w:val="000000"/>
                <w:sz w:val="22"/>
                <w:szCs w:val="22"/>
                <w:lang w:val="en-US"/>
              </w:rPr>
              <w:t> </w:t>
            </w:r>
          </w:p>
        </w:tc>
        <w:tc>
          <w:tcPr>
            <w:tcW w:w="750" w:type="pct"/>
            <w:tcBorders>
              <w:top w:val="outset" w:sz="6" w:space="0" w:color="auto"/>
              <w:left w:val="outset" w:sz="6" w:space="0" w:color="auto"/>
              <w:bottom w:val="outset" w:sz="6" w:space="0" w:color="auto"/>
              <w:right w:val="outset" w:sz="6" w:space="0" w:color="auto"/>
            </w:tcBorders>
          </w:tcPr>
          <w:p w:rsidR="006F5DA1" w:rsidRPr="00E942A7" w:rsidRDefault="006F5DA1" w:rsidP="006F5DA1">
            <w:pPr>
              <w:rPr>
                <w:color w:val="000000"/>
                <w:sz w:val="22"/>
                <w:szCs w:val="22"/>
                <w:lang w:val="en-US"/>
              </w:rPr>
            </w:pPr>
            <w:r w:rsidRPr="00E942A7">
              <w:rPr>
                <w:color w:val="000000"/>
                <w:sz w:val="22"/>
                <w:szCs w:val="22"/>
                <w:lang w:val="en-US"/>
              </w:rPr>
              <w:t>Česte:</w:t>
            </w:r>
          </w:p>
        </w:tc>
        <w:tc>
          <w:tcPr>
            <w:tcW w:w="3750" w:type="pct"/>
            <w:tcBorders>
              <w:top w:val="outset" w:sz="6" w:space="0" w:color="auto"/>
              <w:left w:val="outset" w:sz="6" w:space="0" w:color="auto"/>
              <w:bottom w:val="outset" w:sz="6" w:space="0" w:color="auto"/>
            </w:tcBorders>
          </w:tcPr>
          <w:p w:rsidR="006F5DA1" w:rsidRPr="00E942A7" w:rsidRDefault="006F5DA1" w:rsidP="006F5DA1">
            <w:pPr>
              <w:rPr>
                <w:color w:val="000000"/>
                <w:sz w:val="22"/>
                <w:szCs w:val="22"/>
                <w:lang w:val="en-US"/>
              </w:rPr>
            </w:pPr>
            <w:r w:rsidRPr="00E942A7">
              <w:rPr>
                <w:color w:val="000000"/>
                <w:sz w:val="22"/>
                <w:szCs w:val="22"/>
                <w:lang w:val="en-US"/>
              </w:rPr>
              <w:t>glavobolja</w:t>
            </w:r>
          </w:p>
        </w:tc>
      </w:tr>
      <w:tr w:rsidR="006F5DA1" w:rsidRPr="00E942A7" w:rsidTr="001F5CB2">
        <w:trPr>
          <w:tblCellSpacing w:w="0" w:type="dxa"/>
        </w:trPr>
        <w:tc>
          <w:tcPr>
            <w:tcW w:w="5000" w:type="pct"/>
            <w:gridSpan w:val="3"/>
            <w:tcBorders>
              <w:top w:val="outset" w:sz="6" w:space="0" w:color="auto"/>
              <w:bottom w:val="outset" w:sz="6" w:space="0" w:color="auto"/>
            </w:tcBorders>
          </w:tcPr>
          <w:p w:rsidR="006F5DA1" w:rsidRPr="00E942A7" w:rsidRDefault="006F5DA1" w:rsidP="006F5DA1">
            <w:pPr>
              <w:rPr>
                <w:color w:val="000000"/>
                <w:sz w:val="22"/>
                <w:szCs w:val="22"/>
                <w:lang w:val="en-US"/>
              </w:rPr>
            </w:pPr>
            <w:r w:rsidRPr="00E942A7">
              <w:rPr>
                <w:b/>
                <w:i/>
                <w:color w:val="000000"/>
                <w:sz w:val="22"/>
                <w:szCs w:val="22"/>
                <w:lang w:val="en-US"/>
              </w:rPr>
              <w:t>Srčani poremećaji</w:t>
            </w:r>
          </w:p>
        </w:tc>
      </w:tr>
      <w:tr w:rsidR="006F5DA1" w:rsidRPr="00E942A7" w:rsidTr="001F5CB2">
        <w:trPr>
          <w:tblCellSpacing w:w="0" w:type="dxa"/>
        </w:trPr>
        <w:tc>
          <w:tcPr>
            <w:tcW w:w="500" w:type="pct"/>
            <w:tcBorders>
              <w:top w:val="outset" w:sz="6" w:space="0" w:color="auto"/>
              <w:bottom w:val="outset" w:sz="6" w:space="0" w:color="auto"/>
              <w:right w:val="outset" w:sz="6" w:space="0" w:color="auto"/>
            </w:tcBorders>
          </w:tcPr>
          <w:p w:rsidR="006F5DA1" w:rsidRPr="00E942A7" w:rsidRDefault="006F5DA1" w:rsidP="006F5DA1">
            <w:pPr>
              <w:rPr>
                <w:color w:val="000000"/>
                <w:sz w:val="22"/>
                <w:szCs w:val="22"/>
                <w:lang w:val="en-US"/>
              </w:rPr>
            </w:pPr>
            <w:r w:rsidRPr="00E942A7">
              <w:rPr>
                <w:color w:val="000000"/>
                <w:sz w:val="22"/>
                <w:szCs w:val="22"/>
                <w:lang w:val="en-US"/>
              </w:rPr>
              <w:t> </w:t>
            </w:r>
          </w:p>
        </w:tc>
        <w:tc>
          <w:tcPr>
            <w:tcW w:w="750" w:type="pct"/>
            <w:tcBorders>
              <w:top w:val="outset" w:sz="6" w:space="0" w:color="auto"/>
              <w:left w:val="outset" w:sz="6" w:space="0" w:color="auto"/>
              <w:bottom w:val="outset" w:sz="6" w:space="0" w:color="auto"/>
              <w:right w:val="outset" w:sz="6" w:space="0" w:color="auto"/>
            </w:tcBorders>
          </w:tcPr>
          <w:p w:rsidR="006F5DA1" w:rsidRPr="00E942A7" w:rsidRDefault="006F5DA1" w:rsidP="006F5DA1">
            <w:pPr>
              <w:rPr>
                <w:color w:val="000000"/>
                <w:sz w:val="22"/>
                <w:szCs w:val="22"/>
                <w:lang w:val="en-US"/>
              </w:rPr>
            </w:pPr>
            <w:r w:rsidRPr="00E942A7">
              <w:rPr>
                <w:color w:val="000000"/>
                <w:sz w:val="22"/>
                <w:szCs w:val="22"/>
                <w:lang w:val="en-US"/>
              </w:rPr>
              <w:t>Česte:</w:t>
            </w:r>
          </w:p>
        </w:tc>
        <w:tc>
          <w:tcPr>
            <w:tcW w:w="3750" w:type="pct"/>
            <w:tcBorders>
              <w:top w:val="outset" w:sz="6" w:space="0" w:color="auto"/>
              <w:left w:val="outset" w:sz="6" w:space="0" w:color="auto"/>
              <w:bottom w:val="outset" w:sz="6" w:space="0" w:color="auto"/>
            </w:tcBorders>
          </w:tcPr>
          <w:p w:rsidR="006F5DA1" w:rsidRPr="00E942A7" w:rsidRDefault="006F5DA1" w:rsidP="006F5DA1">
            <w:pPr>
              <w:rPr>
                <w:color w:val="000000"/>
                <w:sz w:val="22"/>
                <w:szCs w:val="22"/>
                <w:lang w:val="en-US"/>
              </w:rPr>
            </w:pPr>
            <w:r w:rsidRPr="00E942A7">
              <w:rPr>
                <w:color w:val="000000"/>
                <w:sz w:val="22"/>
                <w:szCs w:val="22"/>
                <w:lang w:val="en-US"/>
              </w:rPr>
              <w:t>tahikardija</w:t>
            </w:r>
          </w:p>
        </w:tc>
      </w:tr>
      <w:tr w:rsidR="006F5DA1" w:rsidRPr="00E942A7" w:rsidTr="001F5CB2">
        <w:trPr>
          <w:tblCellSpacing w:w="0" w:type="dxa"/>
        </w:trPr>
        <w:tc>
          <w:tcPr>
            <w:tcW w:w="5000" w:type="pct"/>
            <w:gridSpan w:val="3"/>
            <w:tcBorders>
              <w:top w:val="outset" w:sz="6" w:space="0" w:color="auto"/>
              <w:bottom w:val="outset" w:sz="6" w:space="0" w:color="auto"/>
            </w:tcBorders>
          </w:tcPr>
          <w:p w:rsidR="006F5DA1" w:rsidRPr="00E942A7" w:rsidRDefault="006F5DA1" w:rsidP="006F5DA1">
            <w:pPr>
              <w:rPr>
                <w:color w:val="000000"/>
                <w:sz w:val="22"/>
                <w:szCs w:val="22"/>
                <w:lang w:val="pl-PL"/>
              </w:rPr>
            </w:pPr>
            <w:r w:rsidRPr="00E942A7">
              <w:rPr>
                <w:b/>
                <w:i/>
                <w:color w:val="000000"/>
                <w:sz w:val="22"/>
                <w:szCs w:val="22"/>
                <w:lang w:val="pl-PL"/>
              </w:rPr>
              <w:t>Respiratorni, torakalni i medijastinalni poremećaji</w:t>
            </w:r>
          </w:p>
        </w:tc>
      </w:tr>
      <w:tr w:rsidR="006F5DA1" w:rsidRPr="00E942A7" w:rsidTr="001F5CB2">
        <w:trPr>
          <w:tblCellSpacing w:w="0" w:type="dxa"/>
        </w:trPr>
        <w:tc>
          <w:tcPr>
            <w:tcW w:w="500" w:type="pct"/>
            <w:tcBorders>
              <w:top w:val="outset" w:sz="6" w:space="0" w:color="auto"/>
              <w:bottom w:val="outset" w:sz="6" w:space="0" w:color="auto"/>
              <w:right w:val="outset" w:sz="6" w:space="0" w:color="auto"/>
            </w:tcBorders>
          </w:tcPr>
          <w:p w:rsidR="006F5DA1" w:rsidRPr="00E942A7" w:rsidRDefault="006F5DA1" w:rsidP="006F5DA1">
            <w:pPr>
              <w:rPr>
                <w:color w:val="000000"/>
                <w:sz w:val="22"/>
                <w:szCs w:val="22"/>
                <w:lang w:val="pl-PL"/>
              </w:rPr>
            </w:pPr>
            <w:r w:rsidRPr="00E942A7">
              <w:rPr>
                <w:color w:val="000000"/>
                <w:sz w:val="22"/>
                <w:szCs w:val="22"/>
                <w:lang w:val="pl-PL"/>
              </w:rPr>
              <w:t> </w:t>
            </w:r>
          </w:p>
        </w:tc>
        <w:tc>
          <w:tcPr>
            <w:tcW w:w="750" w:type="pct"/>
            <w:tcBorders>
              <w:top w:val="outset" w:sz="6" w:space="0" w:color="auto"/>
              <w:left w:val="outset" w:sz="6" w:space="0" w:color="auto"/>
              <w:bottom w:val="outset" w:sz="6" w:space="0" w:color="auto"/>
              <w:right w:val="outset" w:sz="6" w:space="0" w:color="auto"/>
            </w:tcBorders>
          </w:tcPr>
          <w:p w:rsidR="006F5DA1" w:rsidRPr="00E942A7" w:rsidRDefault="006F5DA1" w:rsidP="006F5DA1">
            <w:pPr>
              <w:rPr>
                <w:color w:val="000000"/>
                <w:sz w:val="22"/>
                <w:szCs w:val="22"/>
                <w:lang w:val="en-US"/>
              </w:rPr>
            </w:pPr>
            <w:r w:rsidRPr="00E942A7">
              <w:rPr>
                <w:color w:val="000000"/>
                <w:sz w:val="22"/>
                <w:szCs w:val="22"/>
                <w:lang w:val="en-US"/>
              </w:rPr>
              <w:t>Česte:</w:t>
            </w:r>
          </w:p>
        </w:tc>
        <w:tc>
          <w:tcPr>
            <w:tcW w:w="3750" w:type="pct"/>
            <w:tcBorders>
              <w:top w:val="outset" w:sz="6" w:space="0" w:color="auto"/>
              <w:left w:val="outset" w:sz="6" w:space="0" w:color="auto"/>
              <w:bottom w:val="outset" w:sz="6" w:space="0" w:color="auto"/>
            </w:tcBorders>
          </w:tcPr>
          <w:p w:rsidR="006F5DA1" w:rsidRPr="00E942A7" w:rsidRDefault="006F5DA1" w:rsidP="006F5DA1">
            <w:pPr>
              <w:rPr>
                <w:color w:val="000000"/>
                <w:sz w:val="22"/>
                <w:szCs w:val="22"/>
                <w:lang w:val="en-US"/>
              </w:rPr>
            </w:pPr>
            <w:r w:rsidRPr="00E942A7">
              <w:rPr>
                <w:color w:val="000000"/>
                <w:sz w:val="22"/>
                <w:szCs w:val="22"/>
                <w:lang w:val="en-US"/>
              </w:rPr>
              <w:t>nazofaringitis</w:t>
            </w:r>
          </w:p>
        </w:tc>
      </w:tr>
      <w:tr w:rsidR="006F5DA1" w:rsidRPr="00E942A7" w:rsidTr="001F5CB2">
        <w:trPr>
          <w:tblCellSpacing w:w="0" w:type="dxa"/>
        </w:trPr>
        <w:tc>
          <w:tcPr>
            <w:tcW w:w="5000" w:type="pct"/>
            <w:gridSpan w:val="3"/>
            <w:tcBorders>
              <w:top w:val="outset" w:sz="6" w:space="0" w:color="auto"/>
              <w:bottom w:val="outset" w:sz="6" w:space="0" w:color="auto"/>
            </w:tcBorders>
          </w:tcPr>
          <w:p w:rsidR="006F5DA1" w:rsidRPr="00E942A7" w:rsidRDefault="006F5DA1" w:rsidP="006F5DA1">
            <w:pPr>
              <w:rPr>
                <w:color w:val="000000"/>
                <w:sz w:val="22"/>
                <w:szCs w:val="22"/>
                <w:lang w:val="en-US"/>
              </w:rPr>
            </w:pPr>
            <w:r w:rsidRPr="00E942A7">
              <w:rPr>
                <w:b/>
                <w:i/>
                <w:color w:val="000000"/>
                <w:sz w:val="22"/>
                <w:szCs w:val="22"/>
                <w:lang w:val="en-US"/>
              </w:rPr>
              <w:t>Gastrointestinalni poremećaji</w:t>
            </w:r>
          </w:p>
        </w:tc>
      </w:tr>
      <w:tr w:rsidR="006F5DA1" w:rsidRPr="00E942A7" w:rsidTr="001F5CB2">
        <w:trPr>
          <w:tblCellSpacing w:w="0" w:type="dxa"/>
        </w:trPr>
        <w:tc>
          <w:tcPr>
            <w:tcW w:w="500" w:type="pct"/>
            <w:tcBorders>
              <w:top w:val="outset" w:sz="6" w:space="0" w:color="auto"/>
              <w:bottom w:val="outset" w:sz="6" w:space="0" w:color="auto"/>
              <w:right w:val="outset" w:sz="6" w:space="0" w:color="auto"/>
            </w:tcBorders>
          </w:tcPr>
          <w:p w:rsidR="006F5DA1" w:rsidRPr="00E942A7" w:rsidRDefault="006F5DA1" w:rsidP="006F5DA1">
            <w:pPr>
              <w:rPr>
                <w:color w:val="000000"/>
                <w:sz w:val="22"/>
                <w:szCs w:val="22"/>
                <w:lang w:val="en-US"/>
              </w:rPr>
            </w:pPr>
            <w:r w:rsidRPr="00E942A7">
              <w:rPr>
                <w:color w:val="000000"/>
                <w:sz w:val="22"/>
                <w:szCs w:val="22"/>
                <w:lang w:val="en-US"/>
              </w:rPr>
              <w:t> </w:t>
            </w:r>
          </w:p>
        </w:tc>
        <w:tc>
          <w:tcPr>
            <w:tcW w:w="750" w:type="pct"/>
            <w:tcBorders>
              <w:top w:val="outset" w:sz="6" w:space="0" w:color="auto"/>
              <w:left w:val="outset" w:sz="6" w:space="0" w:color="auto"/>
              <w:bottom w:val="outset" w:sz="6" w:space="0" w:color="auto"/>
              <w:right w:val="outset" w:sz="6" w:space="0" w:color="auto"/>
            </w:tcBorders>
          </w:tcPr>
          <w:p w:rsidR="006F5DA1" w:rsidRPr="00E942A7" w:rsidRDefault="006F5DA1" w:rsidP="006F5DA1">
            <w:pPr>
              <w:rPr>
                <w:color w:val="000000"/>
                <w:sz w:val="22"/>
                <w:szCs w:val="22"/>
                <w:lang w:val="en-US"/>
              </w:rPr>
            </w:pPr>
            <w:r w:rsidRPr="00E942A7">
              <w:rPr>
                <w:color w:val="000000"/>
                <w:sz w:val="22"/>
                <w:szCs w:val="22"/>
                <w:lang w:val="en-US"/>
              </w:rPr>
              <w:t>Veoma česte:</w:t>
            </w:r>
          </w:p>
        </w:tc>
        <w:tc>
          <w:tcPr>
            <w:tcW w:w="3750" w:type="pct"/>
            <w:tcBorders>
              <w:top w:val="outset" w:sz="6" w:space="0" w:color="auto"/>
              <w:left w:val="outset" w:sz="6" w:space="0" w:color="auto"/>
              <w:bottom w:val="outset" w:sz="6" w:space="0" w:color="auto"/>
            </w:tcBorders>
          </w:tcPr>
          <w:p w:rsidR="006F5DA1" w:rsidRPr="00E942A7" w:rsidRDefault="006F5DA1" w:rsidP="006F5DA1">
            <w:pPr>
              <w:rPr>
                <w:color w:val="000000"/>
                <w:sz w:val="22"/>
                <w:szCs w:val="22"/>
                <w:lang w:val="en-US"/>
              </w:rPr>
            </w:pPr>
            <w:r w:rsidRPr="00E942A7">
              <w:rPr>
                <w:color w:val="000000"/>
                <w:sz w:val="22"/>
                <w:szCs w:val="22"/>
                <w:lang w:val="en-US"/>
              </w:rPr>
              <w:t>povraćanje, mučnina</w:t>
            </w:r>
          </w:p>
        </w:tc>
      </w:tr>
      <w:tr w:rsidR="006F5DA1" w:rsidRPr="00E942A7" w:rsidTr="001F5CB2">
        <w:trPr>
          <w:tblCellSpacing w:w="0" w:type="dxa"/>
        </w:trPr>
        <w:tc>
          <w:tcPr>
            <w:tcW w:w="500" w:type="pct"/>
            <w:tcBorders>
              <w:top w:val="outset" w:sz="6" w:space="0" w:color="auto"/>
              <w:bottom w:val="outset" w:sz="6" w:space="0" w:color="auto"/>
              <w:right w:val="outset" w:sz="6" w:space="0" w:color="auto"/>
            </w:tcBorders>
          </w:tcPr>
          <w:p w:rsidR="006F5DA1" w:rsidRPr="00E942A7" w:rsidRDefault="006F5DA1" w:rsidP="006F5DA1">
            <w:pPr>
              <w:rPr>
                <w:color w:val="000000"/>
                <w:sz w:val="22"/>
                <w:szCs w:val="22"/>
                <w:lang w:val="en-US"/>
              </w:rPr>
            </w:pPr>
            <w:r w:rsidRPr="00E942A7">
              <w:rPr>
                <w:color w:val="000000"/>
                <w:sz w:val="22"/>
                <w:szCs w:val="22"/>
                <w:lang w:val="en-US"/>
              </w:rPr>
              <w:t> </w:t>
            </w:r>
          </w:p>
        </w:tc>
        <w:tc>
          <w:tcPr>
            <w:tcW w:w="750" w:type="pct"/>
            <w:tcBorders>
              <w:top w:val="outset" w:sz="6" w:space="0" w:color="auto"/>
              <w:left w:val="outset" w:sz="6" w:space="0" w:color="auto"/>
              <w:bottom w:val="outset" w:sz="6" w:space="0" w:color="auto"/>
              <w:right w:val="outset" w:sz="6" w:space="0" w:color="auto"/>
            </w:tcBorders>
          </w:tcPr>
          <w:p w:rsidR="006F5DA1" w:rsidRPr="00E942A7" w:rsidRDefault="006F5DA1" w:rsidP="006F5DA1">
            <w:pPr>
              <w:rPr>
                <w:color w:val="000000"/>
                <w:sz w:val="22"/>
                <w:szCs w:val="22"/>
                <w:lang w:val="en-US"/>
              </w:rPr>
            </w:pPr>
            <w:r w:rsidRPr="00E942A7">
              <w:rPr>
                <w:color w:val="000000"/>
                <w:sz w:val="22"/>
                <w:szCs w:val="22"/>
                <w:lang w:val="en-US"/>
              </w:rPr>
              <w:t>Česte:</w:t>
            </w:r>
          </w:p>
        </w:tc>
        <w:tc>
          <w:tcPr>
            <w:tcW w:w="3750" w:type="pct"/>
            <w:tcBorders>
              <w:top w:val="outset" w:sz="6" w:space="0" w:color="auto"/>
              <w:left w:val="outset" w:sz="6" w:space="0" w:color="auto"/>
              <w:bottom w:val="outset" w:sz="6" w:space="0" w:color="auto"/>
            </w:tcBorders>
          </w:tcPr>
          <w:p w:rsidR="006F5DA1" w:rsidRPr="00E942A7" w:rsidRDefault="006F5DA1" w:rsidP="006F5DA1">
            <w:pPr>
              <w:rPr>
                <w:color w:val="000000"/>
                <w:sz w:val="22"/>
                <w:szCs w:val="22"/>
                <w:lang w:val="en-US"/>
              </w:rPr>
            </w:pPr>
            <w:r w:rsidRPr="00E942A7">
              <w:rPr>
                <w:color w:val="000000"/>
                <w:sz w:val="22"/>
                <w:szCs w:val="22"/>
                <w:lang w:val="en-US"/>
              </w:rPr>
              <w:t>abdominalni bol</w:t>
            </w:r>
          </w:p>
        </w:tc>
      </w:tr>
      <w:tr w:rsidR="006F5DA1" w:rsidRPr="00E942A7" w:rsidTr="001F5CB2">
        <w:trPr>
          <w:tblCellSpacing w:w="0" w:type="dxa"/>
        </w:trPr>
        <w:tc>
          <w:tcPr>
            <w:tcW w:w="5000" w:type="pct"/>
            <w:gridSpan w:val="3"/>
            <w:tcBorders>
              <w:top w:val="outset" w:sz="6" w:space="0" w:color="auto"/>
              <w:bottom w:val="outset" w:sz="6" w:space="0" w:color="auto"/>
            </w:tcBorders>
          </w:tcPr>
          <w:p w:rsidR="006F5DA1" w:rsidRPr="00E942A7" w:rsidRDefault="006F5DA1" w:rsidP="006F5DA1">
            <w:pPr>
              <w:rPr>
                <w:color w:val="000000"/>
                <w:sz w:val="22"/>
                <w:szCs w:val="22"/>
                <w:lang w:val="en-US"/>
              </w:rPr>
            </w:pPr>
            <w:r w:rsidRPr="00E942A7">
              <w:rPr>
                <w:b/>
                <w:i/>
                <w:color w:val="000000"/>
                <w:sz w:val="22"/>
                <w:szCs w:val="22"/>
                <w:lang w:val="en-US"/>
              </w:rPr>
              <w:t>Poremećaji mišićno-skeletnog i vezivnog tkiva</w:t>
            </w:r>
          </w:p>
        </w:tc>
      </w:tr>
      <w:tr w:rsidR="006F5DA1" w:rsidRPr="00E942A7" w:rsidTr="001F5CB2">
        <w:trPr>
          <w:tblCellSpacing w:w="0" w:type="dxa"/>
        </w:trPr>
        <w:tc>
          <w:tcPr>
            <w:tcW w:w="500" w:type="pct"/>
            <w:tcBorders>
              <w:top w:val="outset" w:sz="6" w:space="0" w:color="auto"/>
              <w:bottom w:val="outset" w:sz="6" w:space="0" w:color="auto"/>
              <w:right w:val="outset" w:sz="6" w:space="0" w:color="auto"/>
            </w:tcBorders>
          </w:tcPr>
          <w:p w:rsidR="006F5DA1" w:rsidRPr="00E942A7" w:rsidRDefault="006F5DA1" w:rsidP="006F5DA1">
            <w:pPr>
              <w:rPr>
                <w:color w:val="000000"/>
                <w:sz w:val="22"/>
                <w:szCs w:val="22"/>
                <w:lang w:val="en-US"/>
              </w:rPr>
            </w:pPr>
            <w:r w:rsidRPr="00E942A7">
              <w:rPr>
                <w:color w:val="000000"/>
                <w:sz w:val="22"/>
                <w:szCs w:val="22"/>
                <w:lang w:val="en-US"/>
              </w:rPr>
              <w:t> </w:t>
            </w:r>
          </w:p>
        </w:tc>
        <w:tc>
          <w:tcPr>
            <w:tcW w:w="750" w:type="pct"/>
            <w:tcBorders>
              <w:top w:val="outset" w:sz="6" w:space="0" w:color="auto"/>
              <w:left w:val="outset" w:sz="6" w:space="0" w:color="auto"/>
              <w:bottom w:val="outset" w:sz="6" w:space="0" w:color="auto"/>
              <w:right w:val="outset" w:sz="6" w:space="0" w:color="auto"/>
            </w:tcBorders>
          </w:tcPr>
          <w:p w:rsidR="006F5DA1" w:rsidRPr="00E942A7" w:rsidRDefault="006F5DA1" w:rsidP="006F5DA1">
            <w:pPr>
              <w:rPr>
                <w:color w:val="000000"/>
                <w:sz w:val="22"/>
                <w:szCs w:val="22"/>
                <w:lang w:val="en-US"/>
              </w:rPr>
            </w:pPr>
            <w:r w:rsidRPr="00E942A7">
              <w:rPr>
                <w:color w:val="000000"/>
                <w:sz w:val="22"/>
                <w:szCs w:val="22"/>
                <w:lang w:val="en-US"/>
              </w:rPr>
              <w:t>Česte:</w:t>
            </w:r>
          </w:p>
        </w:tc>
        <w:tc>
          <w:tcPr>
            <w:tcW w:w="3750" w:type="pct"/>
            <w:tcBorders>
              <w:top w:val="outset" w:sz="6" w:space="0" w:color="auto"/>
              <w:left w:val="outset" w:sz="6" w:space="0" w:color="auto"/>
              <w:bottom w:val="outset" w:sz="6" w:space="0" w:color="auto"/>
            </w:tcBorders>
          </w:tcPr>
          <w:p w:rsidR="006F5DA1" w:rsidRPr="00E942A7" w:rsidRDefault="006F5DA1" w:rsidP="006F5DA1">
            <w:pPr>
              <w:rPr>
                <w:color w:val="000000"/>
                <w:sz w:val="22"/>
                <w:szCs w:val="22"/>
                <w:lang w:val="pl-PL"/>
              </w:rPr>
            </w:pPr>
            <w:r w:rsidRPr="00E942A7">
              <w:rPr>
                <w:color w:val="000000"/>
                <w:sz w:val="22"/>
                <w:szCs w:val="22"/>
                <w:lang w:val="pl-PL"/>
              </w:rPr>
              <w:t>bol u ekstremitetima, artralgija, mišićno-skeletni bol</w:t>
            </w:r>
          </w:p>
        </w:tc>
      </w:tr>
      <w:tr w:rsidR="006F5DA1" w:rsidRPr="00E942A7" w:rsidTr="001F5CB2">
        <w:trPr>
          <w:tblCellSpacing w:w="0" w:type="dxa"/>
        </w:trPr>
        <w:tc>
          <w:tcPr>
            <w:tcW w:w="5000" w:type="pct"/>
            <w:gridSpan w:val="3"/>
            <w:tcBorders>
              <w:top w:val="outset" w:sz="6" w:space="0" w:color="auto"/>
              <w:bottom w:val="outset" w:sz="6" w:space="0" w:color="auto"/>
            </w:tcBorders>
          </w:tcPr>
          <w:p w:rsidR="006F5DA1" w:rsidRPr="00E942A7" w:rsidRDefault="006F5DA1" w:rsidP="006F5DA1">
            <w:pPr>
              <w:rPr>
                <w:color w:val="000000"/>
                <w:sz w:val="22"/>
                <w:szCs w:val="22"/>
                <w:lang w:val="pl-PL"/>
              </w:rPr>
            </w:pPr>
            <w:r w:rsidRPr="00E942A7">
              <w:rPr>
                <w:b/>
                <w:i/>
                <w:color w:val="000000"/>
                <w:sz w:val="22"/>
                <w:szCs w:val="22"/>
                <w:lang w:val="pl-PL"/>
              </w:rPr>
              <w:t>Opšti poremećaji i reakcije na mjestu primjene</w:t>
            </w:r>
          </w:p>
        </w:tc>
      </w:tr>
      <w:tr w:rsidR="006F5DA1" w:rsidRPr="00E942A7" w:rsidTr="001F5CB2">
        <w:trPr>
          <w:tblCellSpacing w:w="0" w:type="dxa"/>
        </w:trPr>
        <w:tc>
          <w:tcPr>
            <w:tcW w:w="500" w:type="pct"/>
            <w:tcBorders>
              <w:top w:val="outset" w:sz="6" w:space="0" w:color="auto"/>
              <w:bottom w:val="outset" w:sz="6" w:space="0" w:color="auto"/>
              <w:right w:val="outset" w:sz="6" w:space="0" w:color="auto"/>
            </w:tcBorders>
          </w:tcPr>
          <w:p w:rsidR="006F5DA1" w:rsidRPr="00E942A7" w:rsidRDefault="006F5DA1" w:rsidP="006F5DA1">
            <w:pPr>
              <w:rPr>
                <w:color w:val="000000"/>
                <w:sz w:val="22"/>
                <w:szCs w:val="22"/>
                <w:lang w:val="pl-PL"/>
              </w:rPr>
            </w:pPr>
            <w:r w:rsidRPr="00E942A7">
              <w:rPr>
                <w:color w:val="000000"/>
                <w:sz w:val="22"/>
                <w:szCs w:val="22"/>
                <w:lang w:val="pl-PL"/>
              </w:rPr>
              <w:t> </w:t>
            </w:r>
          </w:p>
        </w:tc>
        <w:tc>
          <w:tcPr>
            <w:tcW w:w="750" w:type="pct"/>
            <w:tcBorders>
              <w:top w:val="outset" w:sz="6" w:space="0" w:color="auto"/>
              <w:left w:val="outset" w:sz="6" w:space="0" w:color="auto"/>
              <w:bottom w:val="outset" w:sz="6" w:space="0" w:color="auto"/>
              <w:right w:val="outset" w:sz="6" w:space="0" w:color="auto"/>
            </w:tcBorders>
          </w:tcPr>
          <w:p w:rsidR="006F5DA1" w:rsidRPr="00E942A7" w:rsidRDefault="006F5DA1" w:rsidP="006F5DA1">
            <w:pPr>
              <w:rPr>
                <w:color w:val="000000"/>
                <w:sz w:val="22"/>
                <w:szCs w:val="22"/>
                <w:lang w:val="pl-PL"/>
              </w:rPr>
            </w:pPr>
            <w:r w:rsidRPr="00E942A7">
              <w:rPr>
                <w:color w:val="000000"/>
                <w:sz w:val="22"/>
                <w:szCs w:val="22"/>
                <w:lang w:val="pl-PL"/>
              </w:rPr>
              <w:t>Veoma česte:</w:t>
            </w:r>
          </w:p>
        </w:tc>
        <w:tc>
          <w:tcPr>
            <w:tcW w:w="3750" w:type="pct"/>
            <w:tcBorders>
              <w:top w:val="outset" w:sz="6" w:space="0" w:color="auto"/>
              <w:left w:val="outset" w:sz="6" w:space="0" w:color="auto"/>
              <w:bottom w:val="outset" w:sz="6" w:space="0" w:color="auto"/>
            </w:tcBorders>
          </w:tcPr>
          <w:p w:rsidR="006F5DA1" w:rsidRPr="00E942A7" w:rsidRDefault="006F5DA1" w:rsidP="006F5DA1">
            <w:pPr>
              <w:rPr>
                <w:color w:val="000000"/>
                <w:sz w:val="22"/>
                <w:szCs w:val="22"/>
                <w:lang w:val="pl-PL"/>
              </w:rPr>
            </w:pPr>
            <w:r w:rsidRPr="00E942A7">
              <w:rPr>
                <w:color w:val="000000"/>
                <w:sz w:val="22"/>
                <w:szCs w:val="22"/>
                <w:lang w:val="pl-PL"/>
              </w:rPr>
              <w:t>pireksija, zamor</w:t>
            </w:r>
          </w:p>
        </w:tc>
      </w:tr>
      <w:tr w:rsidR="006F5DA1" w:rsidRPr="00E942A7" w:rsidTr="001F5CB2">
        <w:trPr>
          <w:tblCellSpacing w:w="0" w:type="dxa"/>
        </w:trPr>
        <w:tc>
          <w:tcPr>
            <w:tcW w:w="500" w:type="pct"/>
            <w:tcBorders>
              <w:top w:val="outset" w:sz="6" w:space="0" w:color="auto"/>
              <w:bottom w:val="outset" w:sz="6" w:space="0" w:color="auto"/>
              <w:right w:val="outset" w:sz="6" w:space="0" w:color="auto"/>
            </w:tcBorders>
          </w:tcPr>
          <w:p w:rsidR="006F5DA1" w:rsidRPr="00E942A7" w:rsidRDefault="006F5DA1" w:rsidP="006F5DA1">
            <w:pPr>
              <w:rPr>
                <w:color w:val="000000"/>
                <w:sz w:val="22"/>
                <w:szCs w:val="22"/>
                <w:lang w:val="pl-PL"/>
              </w:rPr>
            </w:pPr>
            <w:r w:rsidRPr="00E942A7">
              <w:rPr>
                <w:color w:val="000000"/>
                <w:sz w:val="22"/>
                <w:szCs w:val="22"/>
                <w:lang w:val="pl-PL"/>
              </w:rPr>
              <w:t> </w:t>
            </w:r>
          </w:p>
        </w:tc>
        <w:tc>
          <w:tcPr>
            <w:tcW w:w="750" w:type="pct"/>
            <w:tcBorders>
              <w:top w:val="outset" w:sz="6" w:space="0" w:color="auto"/>
              <w:left w:val="outset" w:sz="6" w:space="0" w:color="auto"/>
              <w:bottom w:val="outset" w:sz="6" w:space="0" w:color="auto"/>
              <w:right w:val="outset" w:sz="6" w:space="0" w:color="auto"/>
            </w:tcBorders>
          </w:tcPr>
          <w:p w:rsidR="006F5DA1" w:rsidRPr="00E942A7" w:rsidRDefault="006F5DA1" w:rsidP="006F5DA1">
            <w:pPr>
              <w:rPr>
                <w:color w:val="000000"/>
                <w:sz w:val="22"/>
                <w:szCs w:val="22"/>
                <w:lang w:val="pl-PL"/>
              </w:rPr>
            </w:pPr>
            <w:r w:rsidRPr="00E942A7">
              <w:rPr>
                <w:color w:val="000000"/>
                <w:sz w:val="22"/>
                <w:szCs w:val="22"/>
                <w:lang w:val="pl-PL"/>
              </w:rPr>
              <w:t>Česte:</w:t>
            </w:r>
          </w:p>
        </w:tc>
        <w:tc>
          <w:tcPr>
            <w:tcW w:w="3750" w:type="pct"/>
            <w:tcBorders>
              <w:top w:val="outset" w:sz="6" w:space="0" w:color="auto"/>
              <w:left w:val="outset" w:sz="6" w:space="0" w:color="auto"/>
              <w:bottom w:val="outset" w:sz="6" w:space="0" w:color="auto"/>
            </w:tcBorders>
          </w:tcPr>
          <w:p w:rsidR="006F5DA1" w:rsidRPr="00E942A7" w:rsidRDefault="006F5DA1" w:rsidP="006F5DA1">
            <w:pPr>
              <w:rPr>
                <w:color w:val="000000"/>
                <w:sz w:val="22"/>
                <w:szCs w:val="22"/>
                <w:lang w:val="pl-PL"/>
              </w:rPr>
            </w:pPr>
            <w:r w:rsidRPr="00E942A7">
              <w:rPr>
                <w:color w:val="000000"/>
                <w:sz w:val="22"/>
                <w:szCs w:val="22"/>
                <w:lang w:val="pl-PL"/>
              </w:rPr>
              <w:t>reakcija akutne faze, bol</w:t>
            </w:r>
          </w:p>
        </w:tc>
      </w:tr>
      <w:tr w:rsidR="006F5DA1" w:rsidRPr="00E942A7" w:rsidTr="001F5CB2">
        <w:trPr>
          <w:tblCellSpacing w:w="0" w:type="dxa"/>
        </w:trPr>
        <w:tc>
          <w:tcPr>
            <w:tcW w:w="5000" w:type="pct"/>
            <w:gridSpan w:val="3"/>
            <w:tcBorders>
              <w:top w:val="outset" w:sz="6" w:space="0" w:color="auto"/>
              <w:bottom w:val="outset" w:sz="6" w:space="0" w:color="auto"/>
            </w:tcBorders>
          </w:tcPr>
          <w:p w:rsidR="006F5DA1" w:rsidRPr="00E942A7" w:rsidRDefault="006F5DA1" w:rsidP="006F5DA1">
            <w:pPr>
              <w:rPr>
                <w:color w:val="000000"/>
                <w:sz w:val="22"/>
                <w:szCs w:val="22"/>
                <w:lang w:val="pl-PL"/>
              </w:rPr>
            </w:pPr>
            <w:r w:rsidRPr="00E942A7">
              <w:rPr>
                <w:b/>
                <w:i/>
                <w:color w:val="000000"/>
                <w:sz w:val="22"/>
                <w:szCs w:val="22"/>
                <w:lang w:val="pl-PL"/>
              </w:rPr>
              <w:t>Laboratorijska ispitivanja</w:t>
            </w:r>
          </w:p>
        </w:tc>
      </w:tr>
      <w:tr w:rsidR="006F5DA1" w:rsidRPr="00E942A7" w:rsidTr="001F5CB2">
        <w:trPr>
          <w:tblCellSpacing w:w="0" w:type="dxa"/>
        </w:trPr>
        <w:tc>
          <w:tcPr>
            <w:tcW w:w="500" w:type="pct"/>
            <w:tcBorders>
              <w:top w:val="outset" w:sz="6" w:space="0" w:color="auto"/>
              <w:bottom w:val="outset" w:sz="6" w:space="0" w:color="auto"/>
              <w:right w:val="outset" w:sz="6" w:space="0" w:color="auto"/>
            </w:tcBorders>
          </w:tcPr>
          <w:p w:rsidR="006F5DA1" w:rsidRPr="00E942A7" w:rsidRDefault="006F5DA1" w:rsidP="006F5DA1">
            <w:pPr>
              <w:rPr>
                <w:color w:val="000000"/>
                <w:sz w:val="22"/>
                <w:szCs w:val="22"/>
                <w:lang w:val="pl-PL"/>
              </w:rPr>
            </w:pPr>
            <w:r w:rsidRPr="00E942A7">
              <w:rPr>
                <w:color w:val="000000"/>
                <w:sz w:val="22"/>
                <w:szCs w:val="22"/>
                <w:lang w:val="pl-PL"/>
              </w:rPr>
              <w:lastRenderedPageBreak/>
              <w:t> </w:t>
            </w:r>
          </w:p>
        </w:tc>
        <w:tc>
          <w:tcPr>
            <w:tcW w:w="750" w:type="pct"/>
            <w:tcBorders>
              <w:top w:val="outset" w:sz="6" w:space="0" w:color="auto"/>
              <w:left w:val="outset" w:sz="6" w:space="0" w:color="auto"/>
              <w:bottom w:val="outset" w:sz="6" w:space="0" w:color="auto"/>
              <w:right w:val="outset" w:sz="6" w:space="0" w:color="auto"/>
            </w:tcBorders>
          </w:tcPr>
          <w:p w:rsidR="006F5DA1" w:rsidRPr="00E942A7" w:rsidRDefault="006F5DA1" w:rsidP="006F5DA1">
            <w:pPr>
              <w:rPr>
                <w:color w:val="000000"/>
                <w:sz w:val="22"/>
                <w:szCs w:val="22"/>
                <w:lang w:val="pl-PL"/>
              </w:rPr>
            </w:pPr>
            <w:r w:rsidRPr="00E942A7">
              <w:rPr>
                <w:color w:val="000000"/>
                <w:sz w:val="22"/>
                <w:szCs w:val="22"/>
                <w:lang w:val="pl-PL"/>
              </w:rPr>
              <w:t>Veoma česte:</w:t>
            </w:r>
          </w:p>
        </w:tc>
        <w:tc>
          <w:tcPr>
            <w:tcW w:w="3750" w:type="pct"/>
            <w:tcBorders>
              <w:top w:val="outset" w:sz="6" w:space="0" w:color="auto"/>
              <w:left w:val="outset" w:sz="6" w:space="0" w:color="auto"/>
              <w:bottom w:val="outset" w:sz="6" w:space="0" w:color="auto"/>
            </w:tcBorders>
          </w:tcPr>
          <w:p w:rsidR="006F5DA1" w:rsidRPr="00E942A7" w:rsidRDefault="006F5DA1" w:rsidP="006F5DA1">
            <w:pPr>
              <w:rPr>
                <w:color w:val="000000"/>
                <w:sz w:val="22"/>
                <w:szCs w:val="22"/>
                <w:lang w:val="pl-PL"/>
              </w:rPr>
            </w:pPr>
            <w:r w:rsidRPr="00E942A7">
              <w:rPr>
                <w:color w:val="000000"/>
                <w:sz w:val="22"/>
                <w:szCs w:val="22"/>
                <w:lang w:val="pl-PL"/>
              </w:rPr>
              <w:t>hipokalcijemija</w:t>
            </w:r>
          </w:p>
        </w:tc>
      </w:tr>
      <w:tr w:rsidR="006F5DA1" w:rsidRPr="00E942A7" w:rsidTr="001F5CB2">
        <w:trPr>
          <w:tblCellSpacing w:w="0" w:type="dxa"/>
        </w:trPr>
        <w:tc>
          <w:tcPr>
            <w:tcW w:w="500" w:type="pct"/>
            <w:tcBorders>
              <w:top w:val="outset" w:sz="6" w:space="0" w:color="auto"/>
              <w:bottom w:val="outset" w:sz="6" w:space="0" w:color="auto"/>
              <w:right w:val="outset" w:sz="6" w:space="0" w:color="auto"/>
            </w:tcBorders>
          </w:tcPr>
          <w:p w:rsidR="006F5DA1" w:rsidRPr="00E942A7" w:rsidRDefault="006F5DA1" w:rsidP="006F5DA1">
            <w:pPr>
              <w:rPr>
                <w:color w:val="000000"/>
                <w:sz w:val="22"/>
                <w:szCs w:val="22"/>
                <w:lang w:val="pl-PL"/>
              </w:rPr>
            </w:pPr>
            <w:r w:rsidRPr="00E942A7">
              <w:rPr>
                <w:color w:val="000000"/>
                <w:sz w:val="22"/>
                <w:szCs w:val="22"/>
                <w:lang w:val="pl-PL"/>
              </w:rPr>
              <w:t> </w:t>
            </w:r>
          </w:p>
        </w:tc>
        <w:tc>
          <w:tcPr>
            <w:tcW w:w="750" w:type="pct"/>
            <w:tcBorders>
              <w:top w:val="outset" w:sz="6" w:space="0" w:color="auto"/>
              <w:left w:val="outset" w:sz="6" w:space="0" w:color="auto"/>
              <w:bottom w:val="outset" w:sz="6" w:space="0" w:color="auto"/>
              <w:right w:val="outset" w:sz="6" w:space="0" w:color="auto"/>
            </w:tcBorders>
          </w:tcPr>
          <w:p w:rsidR="006F5DA1" w:rsidRPr="00E942A7" w:rsidRDefault="006F5DA1" w:rsidP="006F5DA1">
            <w:pPr>
              <w:rPr>
                <w:color w:val="000000"/>
                <w:sz w:val="22"/>
                <w:szCs w:val="22"/>
                <w:lang w:val="pl-PL"/>
              </w:rPr>
            </w:pPr>
            <w:r w:rsidRPr="00E942A7">
              <w:rPr>
                <w:color w:val="000000"/>
                <w:sz w:val="22"/>
                <w:szCs w:val="22"/>
                <w:lang w:val="pl-PL"/>
              </w:rPr>
              <w:t>Česte:</w:t>
            </w:r>
          </w:p>
        </w:tc>
        <w:tc>
          <w:tcPr>
            <w:tcW w:w="3750" w:type="pct"/>
            <w:tcBorders>
              <w:top w:val="outset" w:sz="6" w:space="0" w:color="auto"/>
              <w:left w:val="outset" w:sz="6" w:space="0" w:color="auto"/>
              <w:bottom w:val="outset" w:sz="6" w:space="0" w:color="auto"/>
            </w:tcBorders>
          </w:tcPr>
          <w:p w:rsidR="006F5DA1" w:rsidRPr="00E942A7" w:rsidRDefault="006F5DA1" w:rsidP="006F5DA1">
            <w:pPr>
              <w:rPr>
                <w:color w:val="000000"/>
                <w:sz w:val="22"/>
                <w:szCs w:val="22"/>
                <w:lang w:val="pl-PL"/>
              </w:rPr>
            </w:pPr>
            <w:r w:rsidRPr="00E942A7">
              <w:rPr>
                <w:color w:val="000000"/>
                <w:sz w:val="22"/>
                <w:szCs w:val="22"/>
                <w:lang w:val="pl-PL"/>
              </w:rPr>
              <w:t>hipofosfatemija</w:t>
            </w:r>
          </w:p>
        </w:tc>
      </w:tr>
    </w:tbl>
    <w:p w:rsidR="006F5DA1" w:rsidRPr="00E942A7" w:rsidRDefault="006F5DA1" w:rsidP="006F5DA1">
      <w:pPr>
        <w:jc w:val="both"/>
        <w:rPr>
          <w:sz w:val="22"/>
          <w:szCs w:val="22"/>
          <w:lang w:val="pl-PL"/>
        </w:rPr>
      </w:pPr>
      <w:r w:rsidRPr="00E942A7">
        <w:rPr>
          <w:color w:val="000000"/>
          <w:sz w:val="22"/>
          <w:szCs w:val="22"/>
          <w:vertAlign w:val="superscript"/>
          <w:lang w:val="pl-PL"/>
        </w:rPr>
        <w:t>1</w:t>
      </w:r>
      <w:r w:rsidRPr="00E942A7">
        <w:rPr>
          <w:sz w:val="22"/>
          <w:szCs w:val="22"/>
          <w:lang w:val="pl-PL"/>
        </w:rPr>
        <w:t>Neželjeni događaji sa učestalošću javljanja &lt;5% su medicinski procijenjeni, te je pokazano da su ti slučajevi u skladu sa dobro ustanovljenim bezbjednosnim profilom zoledronske kiseline (vidjeti odjeljak 4.8).</w:t>
      </w:r>
    </w:p>
    <w:p w:rsidR="006F5DA1" w:rsidRPr="00E942A7" w:rsidRDefault="006F5DA1" w:rsidP="006F5DA1">
      <w:pPr>
        <w:jc w:val="both"/>
        <w:rPr>
          <w:sz w:val="22"/>
          <w:szCs w:val="22"/>
          <w:lang w:val="pl-PL"/>
        </w:rPr>
      </w:pPr>
    </w:p>
    <w:p w:rsidR="006F5DA1" w:rsidRPr="00E942A7" w:rsidRDefault="006F5DA1" w:rsidP="006F5DA1">
      <w:pPr>
        <w:jc w:val="both"/>
        <w:rPr>
          <w:sz w:val="22"/>
          <w:szCs w:val="22"/>
          <w:lang w:val="pl-PL"/>
        </w:rPr>
      </w:pPr>
      <w:r w:rsidRPr="00E942A7">
        <w:rPr>
          <w:sz w:val="22"/>
          <w:szCs w:val="22"/>
          <w:lang w:val="pl-PL"/>
        </w:rPr>
        <w:t>Čini se da je zoledronska kiselina primijenjena kod pedijatrijskih pacijenata sa teškim oblikom osteogenesis imperfecta povezana sa izraženijim rizicima za reakciju akutne faze, hipokalcijemiju i neobjašnjivu tahikardiju u poređenju sa pamidronatom, ali se ova razlika smanjuje nakon ponovljenih infuzija.</w:t>
      </w:r>
    </w:p>
    <w:p w:rsidR="006F5DA1" w:rsidRPr="00E942A7" w:rsidRDefault="006F5DA1" w:rsidP="006F5DA1">
      <w:pPr>
        <w:jc w:val="both"/>
        <w:rPr>
          <w:sz w:val="22"/>
          <w:szCs w:val="22"/>
          <w:lang w:val="pl-PL"/>
        </w:rPr>
      </w:pPr>
    </w:p>
    <w:p w:rsidR="006F5DA1" w:rsidRPr="00E942A7" w:rsidRDefault="006F5DA1" w:rsidP="006F5DA1">
      <w:pPr>
        <w:widowControl w:val="0"/>
        <w:shd w:val="clear" w:color="auto" w:fill="FFFFFF"/>
        <w:autoSpaceDE w:val="0"/>
        <w:autoSpaceDN w:val="0"/>
        <w:adjustRightInd w:val="0"/>
        <w:spacing w:line="240" w:lineRule="exact"/>
        <w:jc w:val="both"/>
        <w:rPr>
          <w:sz w:val="22"/>
          <w:szCs w:val="22"/>
          <w:lang w:val="sr-Latn-CS"/>
        </w:rPr>
      </w:pPr>
      <w:r w:rsidRPr="00E942A7">
        <w:rPr>
          <w:sz w:val="22"/>
          <w:szCs w:val="22"/>
          <w:lang w:val="pl-PL"/>
        </w:rPr>
        <w:t xml:space="preserve">Evropska agencija za ljekove je izostavila obavezu podnošenja rezultata ispitivanja ljekova koji sadrže zoledronsku kiselinu u svim podgrupama pedijatrijske populacije u liječenju hiperkalcijemije izazvane tumorom i prevencije komplikacija na kostima kod </w:t>
      </w:r>
      <w:r w:rsidRPr="00E942A7">
        <w:rPr>
          <w:spacing w:val="2"/>
          <w:sz w:val="22"/>
          <w:szCs w:val="22"/>
          <w:lang w:val="sr-Latn-CS"/>
        </w:rPr>
        <w:t>pacijenata sa uznapredovalim malignitetom koji zahvata i kosti (vidjeti odjeljak 4.2 za informacije o pedijatrijskoj primjeni).</w:t>
      </w:r>
    </w:p>
    <w:p w:rsidR="006F5DA1" w:rsidRPr="00E942A7" w:rsidRDefault="006F5DA1" w:rsidP="006F5DA1">
      <w:pPr>
        <w:tabs>
          <w:tab w:val="left" w:pos="540"/>
          <w:tab w:val="left" w:pos="569"/>
        </w:tabs>
        <w:jc w:val="both"/>
        <w:rPr>
          <w:b/>
          <w:bCs/>
          <w:sz w:val="22"/>
          <w:szCs w:val="22"/>
          <w:lang w:val="pl-PL"/>
        </w:rPr>
      </w:pPr>
    </w:p>
    <w:p w:rsidR="006F5DA1" w:rsidRPr="00E942A7" w:rsidRDefault="006F5DA1" w:rsidP="006F5DA1">
      <w:pPr>
        <w:tabs>
          <w:tab w:val="left" w:pos="540"/>
          <w:tab w:val="left" w:pos="569"/>
        </w:tabs>
        <w:jc w:val="both"/>
        <w:rPr>
          <w:b/>
          <w:bCs/>
          <w:sz w:val="22"/>
          <w:szCs w:val="22"/>
          <w:lang w:val="en-US"/>
        </w:rPr>
      </w:pPr>
      <w:r w:rsidRPr="00E942A7">
        <w:rPr>
          <w:b/>
          <w:bCs/>
          <w:sz w:val="22"/>
          <w:szCs w:val="22"/>
          <w:lang w:val="en-US"/>
        </w:rPr>
        <w:t xml:space="preserve">5.2. </w:t>
      </w:r>
      <w:r w:rsidRPr="00E942A7">
        <w:rPr>
          <w:b/>
          <w:bCs/>
          <w:sz w:val="22"/>
          <w:szCs w:val="22"/>
          <w:lang w:val="en-US"/>
        </w:rPr>
        <w:tab/>
        <w:t>Farmakokinetički podaci</w:t>
      </w:r>
    </w:p>
    <w:p w:rsidR="006F5DA1" w:rsidRPr="00E942A7" w:rsidRDefault="006F5DA1" w:rsidP="006F5DA1">
      <w:pPr>
        <w:tabs>
          <w:tab w:val="left" w:pos="540"/>
          <w:tab w:val="left" w:pos="569"/>
        </w:tabs>
        <w:jc w:val="both"/>
        <w:rPr>
          <w:b/>
          <w:bCs/>
          <w:sz w:val="22"/>
          <w:szCs w:val="22"/>
          <w:lang w:val="en-US"/>
        </w:rPr>
      </w:pPr>
    </w:p>
    <w:p w:rsidR="006F5DA1" w:rsidRPr="00E942A7" w:rsidRDefault="006F5DA1" w:rsidP="006F5DA1">
      <w:pPr>
        <w:shd w:val="clear" w:color="auto" w:fill="FFFFFF"/>
        <w:ind w:right="77"/>
        <w:jc w:val="both"/>
        <w:rPr>
          <w:spacing w:val="3"/>
          <w:sz w:val="22"/>
          <w:szCs w:val="22"/>
          <w:lang w:val="sr-Latn-CS"/>
        </w:rPr>
      </w:pPr>
      <w:r w:rsidRPr="00E942A7">
        <w:rPr>
          <w:spacing w:val="2"/>
          <w:sz w:val="22"/>
          <w:szCs w:val="22"/>
          <w:lang w:val="sr-Latn-CS"/>
        </w:rPr>
        <w:t xml:space="preserve">Pojedinačne i višestruke infuzije u trajanju od 5 i 15 minuta sa 2, 4, 8 i 16 mg zoledronske kiseline kod 64 pacijenta sa </w:t>
      </w:r>
      <w:r w:rsidRPr="00E942A7">
        <w:rPr>
          <w:spacing w:val="3"/>
          <w:sz w:val="22"/>
          <w:szCs w:val="22"/>
          <w:lang w:val="sr-Latn-CS"/>
        </w:rPr>
        <w:t>metastazama na kostima dale su sljedeće farmakokinetičke podatke, za koje je ustanovljeno da nisu dozno zavisni.</w:t>
      </w:r>
    </w:p>
    <w:p w:rsidR="006F5DA1" w:rsidRPr="00E942A7" w:rsidRDefault="006F5DA1" w:rsidP="006F5DA1">
      <w:pPr>
        <w:shd w:val="clear" w:color="auto" w:fill="FFFFFF"/>
        <w:ind w:right="77"/>
        <w:jc w:val="both"/>
        <w:rPr>
          <w:sz w:val="22"/>
          <w:szCs w:val="22"/>
          <w:lang w:val="sr-Latn-CS"/>
        </w:rPr>
      </w:pPr>
    </w:p>
    <w:p w:rsidR="006F5DA1" w:rsidRPr="00E942A7" w:rsidRDefault="006F5DA1" w:rsidP="006F5DA1">
      <w:pPr>
        <w:shd w:val="clear" w:color="auto" w:fill="FFFFFF"/>
        <w:jc w:val="both"/>
        <w:rPr>
          <w:spacing w:val="2"/>
          <w:sz w:val="22"/>
          <w:szCs w:val="22"/>
          <w:lang w:val="sr-Latn-CS"/>
        </w:rPr>
      </w:pPr>
      <w:r w:rsidRPr="00E942A7">
        <w:rPr>
          <w:spacing w:val="3"/>
          <w:sz w:val="22"/>
          <w:szCs w:val="22"/>
          <w:lang w:val="sr-Latn-CS"/>
        </w:rPr>
        <w:t>Nakon početka primjene infuzije zoledronske kiseline, koncentracija lijeka u plazmi se naglo povećala, dostižući svoj maksimum</w:t>
      </w:r>
      <w:r w:rsidRPr="00E942A7">
        <w:rPr>
          <w:spacing w:val="2"/>
          <w:sz w:val="22"/>
          <w:szCs w:val="22"/>
          <w:lang w:val="sr-Latn-CS"/>
        </w:rPr>
        <w:t xml:space="preserve"> na kraju infuzije, nakon čega je uslijedio nagli pad do &lt; 10% od maksimuma poslije </w:t>
      </w:r>
      <w:r w:rsidRPr="00E942A7">
        <w:rPr>
          <w:sz w:val="22"/>
          <w:szCs w:val="22"/>
          <w:lang w:val="sr-Latn-CS"/>
        </w:rPr>
        <w:t xml:space="preserve">4 </w:t>
      </w:r>
      <w:r w:rsidRPr="00E942A7">
        <w:rPr>
          <w:spacing w:val="2"/>
          <w:sz w:val="22"/>
          <w:szCs w:val="22"/>
          <w:lang w:val="sr-Latn-CS"/>
        </w:rPr>
        <w:t>sata i &lt; 1% od maksimuma poslije 24 sata, sa narednim produženim periodom veoma niskih koncentracija koje nisu prelazile 0,1% od maksimuma prije druge infuzije lijeka 28. dana.</w:t>
      </w:r>
    </w:p>
    <w:p w:rsidR="006F5DA1" w:rsidRPr="00E942A7" w:rsidRDefault="006F5DA1" w:rsidP="006F5DA1">
      <w:pPr>
        <w:shd w:val="clear" w:color="auto" w:fill="FFFFFF"/>
        <w:ind w:right="384"/>
        <w:jc w:val="both"/>
        <w:rPr>
          <w:spacing w:val="2"/>
          <w:sz w:val="22"/>
          <w:szCs w:val="22"/>
          <w:lang w:val="sr-Latn-CS"/>
        </w:rPr>
      </w:pPr>
    </w:p>
    <w:p w:rsidR="006F5DA1" w:rsidRPr="00E942A7" w:rsidRDefault="006F5DA1" w:rsidP="006F5DA1">
      <w:pPr>
        <w:shd w:val="clear" w:color="auto" w:fill="FFFFFF"/>
        <w:jc w:val="both"/>
        <w:rPr>
          <w:spacing w:val="2"/>
          <w:sz w:val="22"/>
          <w:szCs w:val="22"/>
          <w:lang w:val="sr-Latn-CS"/>
        </w:rPr>
      </w:pPr>
      <w:r w:rsidRPr="00E942A7">
        <w:rPr>
          <w:spacing w:val="2"/>
          <w:sz w:val="22"/>
          <w:szCs w:val="22"/>
          <w:lang w:val="sr-Latn-CS"/>
        </w:rPr>
        <w:t>Intravenski primijenjena zoledronska kiselina je eliminisana procesom koji ima tri faze: brzi dvofazni nestanak iz</w:t>
      </w:r>
      <w:r w:rsidRPr="00E942A7">
        <w:rPr>
          <w:sz w:val="22"/>
          <w:szCs w:val="22"/>
          <w:lang w:val="sr-Latn-CS"/>
        </w:rPr>
        <w:t xml:space="preserve"> sistemske cirkulacije, sa poluvremenom eliminacije od t</w:t>
      </w:r>
      <w:r w:rsidRPr="00E942A7">
        <w:rPr>
          <w:sz w:val="22"/>
          <w:szCs w:val="22"/>
          <w:vertAlign w:val="subscript"/>
          <w:lang w:val="sr-Latn-CS"/>
        </w:rPr>
        <w:t xml:space="preserve">1/2α </w:t>
      </w:r>
      <w:r w:rsidRPr="00E942A7">
        <w:rPr>
          <w:sz w:val="22"/>
          <w:szCs w:val="22"/>
          <w:lang w:val="sr-Latn-CS"/>
        </w:rPr>
        <w:t>0,24 i t</w:t>
      </w:r>
      <w:r w:rsidRPr="00E942A7">
        <w:rPr>
          <w:sz w:val="22"/>
          <w:szCs w:val="22"/>
          <w:vertAlign w:val="subscript"/>
          <w:lang w:val="sr-Latn-CS"/>
        </w:rPr>
        <w:t>1/2β</w:t>
      </w:r>
      <w:r w:rsidRPr="00E942A7">
        <w:rPr>
          <w:sz w:val="22"/>
          <w:szCs w:val="22"/>
          <w:lang w:val="sr-Latn-CS"/>
        </w:rPr>
        <w:t xml:space="preserve"> 1,87 sati, nakon čega slijedi f</w:t>
      </w:r>
      <w:r w:rsidRPr="00E942A7">
        <w:rPr>
          <w:spacing w:val="1"/>
          <w:sz w:val="22"/>
          <w:szCs w:val="22"/>
          <w:lang w:val="sr-Latn-CS"/>
        </w:rPr>
        <w:t xml:space="preserve">aza duge eliminacije sa terminalnim poluvremenom eliminacije od </w:t>
      </w:r>
      <w:r w:rsidRPr="00E942A7">
        <w:rPr>
          <w:sz w:val="22"/>
          <w:szCs w:val="22"/>
          <w:lang w:val="sr-Latn-CS"/>
        </w:rPr>
        <w:t>t</w:t>
      </w:r>
      <w:r w:rsidRPr="00E942A7">
        <w:rPr>
          <w:sz w:val="22"/>
          <w:szCs w:val="22"/>
          <w:vertAlign w:val="subscript"/>
          <w:lang w:val="sr-Latn-CS"/>
        </w:rPr>
        <w:t>1/2γ</w:t>
      </w:r>
      <w:r w:rsidRPr="00E942A7">
        <w:rPr>
          <w:spacing w:val="1"/>
          <w:sz w:val="22"/>
          <w:szCs w:val="22"/>
          <w:lang w:val="sr-Latn-CS"/>
        </w:rPr>
        <w:t xml:space="preserve"> 146 sati. Nije bilo akumulacije zoledronske kiseline u plazmi poslije</w:t>
      </w:r>
      <w:r w:rsidRPr="00E942A7">
        <w:rPr>
          <w:spacing w:val="3"/>
          <w:sz w:val="22"/>
          <w:szCs w:val="22"/>
          <w:lang w:val="sr-Latn-CS"/>
        </w:rPr>
        <w:t xml:space="preserve"> višestrukih doza lijeka davanih svakih 28 dana. Zoledronska kiselina se nije metabolisala i izlučena je nepromijenjena putem bubrega. Tokom prvih 24 sata, 39 ± 16% od primijenjene doze je nađeno u </w:t>
      </w:r>
      <w:r w:rsidRPr="00E942A7">
        <w:rPr>
          <w:spacing w:val="2"/>
          <w:sz w:val="22"/>
          <w:szCs w:val="22"/>
          <w:lang w:val="sr-Latn-CS"/>
        </w:rPr>
        <w:t>urinu, dok je ostatak uglavnom ostao vezan za koštano tkivo. Iz koštanog tkiva lijek je oslobođen veoma sporo nazad u</w:t>
      </w:r>
      <w:r w:rsidRPr="00E942A7">
        <w:rPr>
          <w:spacing w:val="3"/>
          <w:sz w:val="22"/>
          <w:szCs w:val="22"/>
          <w:lang w:val="sr-Latn-CS"/>
        </w:rPr>
        <w:t xml:space="preserve"> sistemsku cirkulaciju i izlučen putem bubrega. Ukupan klirens u organizmu iznosi 5,04 ± 2,5 l/h, </w:t>
      </w:r>
      <w:r w:rsidRPr="00E942A7">
        <w:rPr>
          <w:spacing w:val="2"/>
          <w:sz w:val="22"/>
          <w:szCs w:val="22"/>
          <w:lang w:val="sr-Latn-CS"/>
        </w:rPr>
        <w:t xml:space="preserve">nezavisno od doze, i bez obzira na pol, starost, rasu i tjelesnu težinu. Povećanje vremena trajanja infuzije od </w:t>
      </w:r>
      <w:r w:rsidRPr="00E942A7">
        <w:rPr>
          <w:sz w:val="22"/>
          <w:szCs w:val="22"/>
          <w:lang w:val="sr-Latn-CS"/>
        </w:rPr>
        <w:t>5 d</w:t>
      </w:r>
      <w:r w:rsidRPr="00E942A7">
        <w:rPr>
          <w:spacing w:val="2"/>
          <w:sz w:val="22"/>
          <w:szCs w:val="22"/>
          <w:lang w:val="sr-Latn-CS"/>
        </w:rPr>
        <w:t>o 15 minuta izazvalo je 30% smanjenja koncentracije zoledronske kiseline na kraju infuzije, ali nije imalo efekta na površinu ispod krive (PIK) plazmatske koncentracije u odnosu na vrijeme.</w:t>
      </w:r>
    </w:p>
    <w:p w:rsidR="006F5DA1" w:rsidRPr="00E942A7" w:rsidRDefault="006F5DA1" w:rsidP="006F5DA1">
      <w:pPr>
        <w:shd w:val="clear" w:color="auto" w:fill="FFFFFF"/>
        <w:jc w:val="both"/>
        <w:rPr>
          <w:spacing w:val="2"/>
          <w:sz w:val="22"/>
          <w:szCs w:val="22"/>
          <w:lang w:val="sr-Latn-CS"/>
        </w:rPr>
      </w:pPr>
    </w:p>
    <w:p w:rsidR="006F5DA1" w:rsidRPr="00E942A7" w:rsidRDefault="006F5DA1" w:rsidP="006F5DA1">
      <w:pPr>
        <w:shd w:val="clear" w:color="auto" w:fill="FFFFFF"/>
        <w:tabs>
          <w:tab w:val="left" w:pos="158"/>
        </w:tabs>
        <w:jc w:val="both"/>
        <w:rPr>
          <w:sz w:val="22"/>
          <w:szCs w:val="22"/>
          <w:lang w:val="sr-Latn-CS"/>
        </w:rPr>
      </w:pPr>
      <w:r w:rsidRPr="00E942A7">
        <w:rPr>
          <w:sz w:val="22"/>
          <w:szCs w:val="22"/>
          <w:lang w:val="sr-Latn-CS"/>
        </w:rPr>
        <w:t>Varijabilnost među pacijentima u farmakokinetičkim parametrima za zoledronsku kiselinu je bila velika, što je primijećeno i kod ostalih bisfosfanata.</w:t>
      </w:r>
    </w:p>
    <w:p w:rsidR="006F5DA1" w:rsidRPr="00E942A7" w:rsidRDefault="006F5DA1" w:rsidP="006F5DA1">
      <w:pPr>
        <w:shd w:val="clear" w:color="auto" w:fill="FFFFFF"/>
        <w:tabs>
          <w:tab w:val="left" w:pos="158"/>
        </w:tabs>
        <w:jc w:val="both"/>
        <w:rPr>
          <w:sz w:val="22"/>
          <w:szCs w:val="22"/>
          <w:lang w:val="sr-Latn-CS"/>
        </w:rPr>
      </w:pPr>
    </w:p>
    <w:p w:rsidR="006F5DA1" w:rsidRPr="00E942A7" w:rsidRDefault="006F5DA1" w:rsidP="006F5DA1">
      <w:pPr>
        <w:shd w:val="clear" w:color="auto" w:fill="FFFFFF"/>
        <w:tabs>
          <w:tab w:val="left" w:pos="158"/>
        </w:tabs>
        <w:jc w:val="both"/>
        <w:rPr>
          <w:sz w:val="22"/>
          <w:szCs w:val="22"/>
          <w:lang w:val="sr-Latn-CS"/>
        </w:rPr>
      </w:pPr>
      <w:r w:rsidRPr="00E942A7">
        <w:rPr>
          <w:spacing w:val="2"/>
          <w:sz w:val="22"/>
          <w:szCs w:val="22"/>
          <w:lang w:val="sr-Latn-CS"/>
        </w:rPr>
        <w:t>Nema dostupnih farmakokinetičkih podataka za pacijente sa hiperkalcijemijom ili sa</w:t>
      </w:r>
      <w:r w:rsidRPr="00E942A7">
        <w:rPr>
          <w:spacing w:val="3"/>
          <w:sz w:val="22"/>
          <w:szCs w:val="22"/>
          <w:lang w:val="sr-Latn-CS"/>
        </w:rPr>
        <w:t xml:space="preserve"> insuficijencijom jetre koji su koristili zoledronsku kiselinu. Zoledronska kiselina ne inhibira humane P450 enzime </w:t>
      </w:r>
      <w:r w:rsidRPr="00E942A7">
        <w:rPr>
          <w:i/>
          <w:iCs/>
          <w:spacing w:val="3"/>
          <w:sz w:val="22"/>
          <w:szCs w:val="22"/>
          <w:lang w:val="sr-Latn-CS"/>
        </w:rPr>
        <w:t xml:space="preserve">in vitro, </w:t>
      </w:r>
      <w:r w:rsidRPr="00E942A7">
        <w:rPr>
          <w:spacing w:val="3"/>
          <w:sz w:val="22"/>
          <w:szCs w:val="22"/>
          <w:lang w:val="sr-Latn-CS"/>
        </w:rPr>
        <w:t>ne podliježe biotransformaciji, a u studijama na životinjama je &lt; 3% primijenjene doze nađeno u fecesu, što govori da funkcija</w:t>
      </w:r>
      <w:r w:rsidRPr="00E942A7">
        <w:rPr>
          <w:spacing w:val="2"/>
          <w:sz w:val="22"/>
          <w:szCs w:val="22"/>
          <w:lang w:val="sr-Latn-CS"/>
        </w:rPr>
        <w:t xml:space="preserve"> jetra nema značajnu ulogu u farmakokinetici zoledronske kiseline.</w:t>
      </w:r>
    </w:p>
    <w:p w:rsidR="006F5DA1" w:rsidRPr="00E942A7" w:rsidRDefault="006F5DA1" w:rsidP="006F5DA1">
      <w:pPr>
        <w:shd w:val="clear" w:color="auto" w:fill="FFFFFF"/>
        <w:jc w:val="both"/>
        <w:rPr>
          <w:sz w:val="22"/>
          <w:szCs w:val="22"/>
          <w:lang w:val="sr-Latn-CS"/>
        </w:rPr>
      </w:pPr>
    </w:p>
    <w:p w:rsidR="006F5DA1" w:rsidRPr="00E942A7" w:rsidRDefault="006F5DA1" w:rsidP="006F5DA1">
      <w:pPr>
        <w:shd w:val="clear" w:color="auto" w:fill="FFFFFF"/>
        <w:jc w:val="both"/>
        <w:rPr>
          <w:spacing w:val="2"/>
          <w:sz w:val="22"/>
          <w:szCs w:val="22"/>
          <w:lang w:val="sr-Latn-CS"/>
        </w:rPr>
      </w:pPr>
      <w:r w:rsidRPr="00E942A7">
        <w:rPr>
          <w:spacing w:val="2"/>
          <w:sz w:val="22"/>
          <w:szCs w:val="22"/>
          <w:lang w:val="sr-Latn-CS"/>
        </w:rPr>
        <w:lastRenderedPageBreak/>
        <w:t xml:space="preserve">Bubrežni klirens zoledronske kiseline povezan je sa klirensom kreatinina, tako što bubrežni klirens predstavlja </w:t>
      </w:r>
      <w:r w:rsidRPr="00E942A7">
        <w:rPr>
          <w:spacing w:val="3"/>
          <w:sz w:val="22"/>
          <w:szCs w:val="22"/>
          <w:lang w:val="sr-Latn-CS"/>
        </w:rPr>
        <w:t xml:space="preserve">75 ± 33% klirensa kreatinina, čija je srednja vrijednost od 84 ± 29 ml/min (opseg od  22 do 143 ml/min) kod 64 ispitivana pacijenta sa karcinomom. Populaciona analiza pokazala je da bi kod pacijenta sa klirensom kreatinina od 20 ml/min (težak bubrežni poremećaj), ili 50 ml/min (umjereni bubrežni poremećaj), odgovarajući predviđeni klirens zoledronske kiseline iznosio 37% , odnosno 72%, u odnosu na pacijenta koji ima klirens kreatinina od 84 ml/min. Rasploživi su samo ograničeni farmakokinetski podaci za pacijente sa teškom bubrežnom </w:t>
      </w:r>
      <w:r w:rsidRPr="00E942A7">
        <w:rPr>
          <w:spacing w:val="2"/>
          <w:sz w:val="22"/>
          <w:szCs w:val="22"/>
          <w:lang w:val="sr-Latn-CS"/>
        </w:rPr>
        <w:t>insuficijencijom (klirens kreatinina &lt; 30 ml/min).</w:t>
      </w:r>
    </w:p>
    <w:p w:rsidR="006F5DA1" w:rsidRPr="00E942A7" w:rsidRDefault="006F5DA1" w:rsidP="006F5DA1">
      <w:pPr>
        <w:shd w:val="clear" w:color="auto" w:fill="FFFFFF"/>
        <w:spacing w:before="235" w:line="240" w:lineRule="exact"/>
        <w:jc w:val="both"/>
        <w:rPr>
          <w:spacing w:val="2"/>
          <w:sz w:val="22"/>
          <w:szCs w:val="22"/>
          <w:lang w:val="sr-Latn-CS"/>
        </w:rPr>
      </w:pPr>
      <w:r w:rsidRPr="00E942A7">
        <w:rPr>
          <w:bCs/>
          <w:sz w:val="22"/>
          <w:szCs w:val="22"/>
          <w:lang w:val="en-US"/>
        </w:rPr>
        <w:t>U</w:t>
      </w:r>
      <w:r w:rsidRPr="00E942A7">
        <w:rPr>
          <w:bCs/>
          <w:sz w:val="22"/>
          <w:szCs w:val="22"/>
          <w:lang w:val="sr-Latn-CS"/>
        </w:rPr>
        <w:t xml:space="preserve"> </w:t>
      </w:r>
      <w:r w:rsidRPr="00E942A7">
        <w:rPr>
          <w:bCs/>
          <w:i/>
          <w:sz w:val="22"/>
          <w:szCs w:val="22"/>
          <w:lang w:val="en-US"/>
        </w:rPr>
        <w:t>in</w:t>
      </w:r>
      <w:r w:rsidRPr="00E942A7">
        <w:rPr>
          <w:bCs/>
          <w:i/>
          <w:sz w:val="22"/>
          <w:szCs w:val="22"/>
          <w:lang w:val="sr-Latn-CS"/>
        </w:rPr>
        <w:t xml:space="preserve"> </w:t>
      </w:r>
      <w:r w:rsidRPr="00E942A7">
        <w:rPr>
          <w:bCs/>
          <w:i/>
          <w:sz w:val="22"/>
          <w:szCs w:val="22"/>
          <w:lang w:val="en-US"/>
        </w:rPr>
        <w:t>vitro</w:t>
      </w:r>
      <w:r w:rsidRPr="00E942A7">
        <w:rPr>
          <w:bCs/>
          <w:sz w:val="22"/>
          <w:szCs w:val="22"/>
          <w:lang w:val="sr-Latn-CS"/>
        </w:rPr>
        <w:t xml:space="preserve"> </w:t>
      </w:r>
      <w:r w:rsidRPr="00E942A7">
        <w:rPr>
          <w:bCs/>
          <w:sz w:val="22"/>
          <w:szCs w:val="22"/>
          <w:lang w:val="en-US"/>
        </w:rPr>
        <w:t>ispitivanju</w:t>
      </w:r>
      <w:r w:rsidRPr="00E942A7">
        <w:rPr>
          <w:bCs/>
          <w:sz w:val="22"/>
          <w:szCs w:val="22"/>
          <w:lang w:val="sr-Latn-CS"/>
        </w:rPr>
        <w:t xml:space="preserve"> </w:t>
      </w:r>
      <w:r w:rsidRPr="00E942A7">
        <w:rPr>
          <w:bCs/>
          <w:sz w:val="22"/>
          <w:szCs w:val="22"/>
          <w:lang w:val="en-US"/>
        </w:rPr>
        <w:t>zoledronska</w:t>
      </w:r>
      <w:r w:rsidRPr="00E942A7">
        <w:rPr>
          <w:bCs/>
          <w:sz w:val="22"/>
          <w:szCs w:val="22"/>
          <w:lang w:val="sr-Latn-CS"/>
        </w:rPr>
        <w:t xml:space="preserve"> </w:t>
      </w:r>
      <w:r w:rsidRPr="00E942A7">
        <w:rPr>
          <w:bCs/>
          <w:sz w:val="22"/>
          <w:szCs w:val="22"/>
          <w:lang w:val="en-US"/>
        </w:rPr>
        <w:t>kiselina</w:t>
      </w:r>
      <w:r w:rsidRPr="00E942A7">
        <w:rPr>
          <w:bCs/>
          <w:sz w:val="22"/>
          <w:szCs w:val="22"/>
          <w:lang w:val="sr-Latn-CS"/>
        </w:rPr>
        <w:t xml:space="preserve"> </w:t>
      </w:r>
      <w:r w:rsidRPr="00E942A7">
        <w:rPr>
          <w:bCs/>
          <w:sz w:val="22"/>
          <w:szCs w:val="22"/>
          <w:lang w:val="en-US"/>
        </w:rPr>
        <w:t>pokazuje</w:t>
      </w:r>
      <w:r w:rsidRPr="00E942A7">
        <w:rPr>
          <w:bCs/>
          <w:sz w:val="22"/>
          <w:szCs w:val="22"/>
          <w:lang w:val="sr-Latn-CS"/>
        </w:rPr>
        <w:t xml:space="preserve"> </w:t>
      </w:r>
      <w:r w:rsidRPr="00E942A7">
        <w:rPr>
          <w:bCs/>
          <w:sz w:val="22"/>
          <w:szCs w:val="22"/>
          <w:lang w:val="en-US"/>
        </w:rPr>
        <w:t>nizak</w:t>
      </w:r>
      <w:r w:rsidRPr="00E942A7">
        <w:rPr>
          <w:bCs/>
          <w:sz w:val="22"/>
          <w:szCs w:val="22"/>
          <w:lang w:val="sr-Latn-CS"/>
        </w:rPr>
        <w:t xml:space="preserve"> </w:t>
      </w:r>
      <w:r w:rsidRPr="00E942A7">
        <w:rPr>
          <w:bCs/>
          <w:sz w:val="22"/>
          <w:szCs w:val="22"/>
          <w:lang w:val="en-US"/>
        </w:rPr>
        <w:t>afinitet</w:t>
      </w:r>
      <w:r w:rsidRPr="00E942A7">
        <w:rPr>
          <w:bCs/>
          <w:sz w:val="22"/>
          <w:szCs w:val="22"/>
          <w:lang w:val="sr-Latn-CS"/>
        </w:rPr>
        <w:t xml:space="preserve"> </w:t>
      </w:r>
      <w:r w:rsidRPr="00E942A7">
        <w:rPr>
          <w:bCs/>
          <w:sz w:val="22"/>
          <w:szCs w:val="22"/>
          <w:lang w:val="en-US"/>
        </w:rPr>
        <w:t>za</w:t>
      </w:r>
      <w:r w:rsidRPr="00E942A7">
        <w:rPr>
          <w:bCs/>
          <w:sz w:val="22"/>
          <w:szCs w:val="22"/>
          <w:lang w:val="sr-Latn-CS"/>
        </w:rPr>
        <w:t xml:space="preserve"> ć</w:t>
      </w:r>
      <w:r w:rsidRPr="00E942A7">
        <w:rPr>
          <w:bCs/>
          <w:sz w:val="22"/>
          <w:szCs w:val="22"/>
          <w:lang w:val="en-US"/>
        </w:rPr>
        <w:t>elijske</w:t>
      </w:r>
      <w:r w:rsidRPr="00E942A7">
        <w:rPr>
          <w:bCs/>
          <w:sz w:val="22"/>
          <w:szCs w:val="22"/>
          <w:lang w:val="sr-Latn-CS"/>
        </w:rPr>
        <w:t xml:space="preserve"> </w:t>
      </w:r>
      <w:r w:rsidRPr="00E942A7">
        <w:rPr>
          <w:bCs/>
          <w:sz w:val="22"/>
          <w:szCs w:val="22"/>
          <w:lang w:val="en-US"/>
        </w:rPr>
        <w:t>komponente</w:t>
      </w:r>
      <w:r w:rsidRPr="00E942A7">
        <w:rPr>
          <w:bCs/>
          <w:sz w:val="22"/>
          <w:szCs w:val="22"/>
          <w:lang w:val="sr-Latn-CS"/>
        </w:rPr>
        <w:t xml:space="preserve"> </w:t>
      </w:r>
      <w:r w:rsidRPr="00E942A7">
        <w:rPr>
          <w:bCs/>
          <w:sz w:val="22"/>
          <w:szCs w:val="22"/>
          <w:lang w:val="en-US"/>
        </w:rPr>
        <w:t>krvi</w:t>
      </w:r>
      <w:r w:rsidRPr="00E942A7">
        <w:rPr>
          <w:bCs/>
          <w:sz w:val="22"/>
          <w:szCs w:val="22"/>
          <w:lang w:val="sr-Latn-CS"/>
        </w:rPr>
        <w:t xml:space="preserve"> </w:t>
      </w:r>
      <w:r w:rsidRPr="00E942A7">
        <w:rPr>
          <w:bCs/>
          <w:sz w:val="22"/>
          <w:szCs w:val="22"/>
          <w:lang w:val="en-US"/>
        </w:rPr>
        <w:t>sa</w:t>
      </w:r>
      <w:r w:rsidRPr="00E942A7">
        <w:rPr>
          <w:bCs/>
          <w:sz w:val="22"/>
          <w:szCs w:val="22"/>
          <w:lang w:val="sr-Latn-CS"/>
        </w:rPr>
        <w:t xml:space="preserve"> </w:t>
      </w:r>
      <w:r w:rsidRPr="00E942A7">
        <w:rPr>
          <w:bCs/>
          <w:sz w:val="22"/>
          <w:szCs w:val="22"/>
          <w:lang w:val="en-US"/>
        </w:rPr>
        <w:t>srednjom</w:t>
      </w:r>
      <w:r w:rsidRPr="00E942A7">
        <w:rPr>
          <w:bCs/>
          <w:sz w:val="22"/>
          <w:szCs w:val="22"/>
          <w:lang w:val="sr-Latn-CS"/>
        </w:rPr>
        <w:t xml:space="preserve"> </w:t>
      </w:r>
      <w:r w:rsidRPr="00E942A7">
        <w:rPr>
          <w:bCs/>
          <w:sz w:val="22"/>
          <w:szCs w:val="22"/>
          <w:lang w:val="en-US"/>
        </w:rPr>
        <w:t>vrijedno</w:t>
      </w:r>
      <w:r w:rsidRPr="00E942A7">
        <w:rPr>
          <w:bCs/>
          <w:sz w:val="22"/>
          <w:szCs w:val="22"/>
          <w:lang w:val="sr-Latn-CS"/>
        </w:rPr>
        <w:t>šć</w:t>
      </w:r>
      <w:r w:rsidRPr="00E942A7">
        <w:rPr>
          <w:bCs/>
          <w:sz w:val="22"/>
          <w:szCs w:val="22"/>
          <w:lang w:val="en-US"/>
        </w:rPr>
        <w:t>u</w:t>
      </w:r>
      <w:r w:rsidRPr="00E942A7">
        <w:rPr>
          <w:bCs/>
          <w:sz w:val="22"/>
          <w:szCs w:val="22"/>
          <w:lang w:val="sr-Latn-CS"/>
        </w:rPr>
        <w:t xml:space="preserve"> </w:t>
      </w:r>
      <w:r w:rsidRPr="00E942A7">
        <w:rPr>
          <w:bCs/>
          <w:sz w:val="22"/>
          <w:szCs w:val="22"/>
          <w:lang w:val="en-US"/>
        </w:rPr>
        <w:t>odnosa</w:t>
      </w:r>
      <w:r w:rsidRPr="00E942A7">
        <w:rPr>
          <w:bCs/>
          <w:sz w:val="22"/>
          <w:szCs w:val="22"/>
          <w:lang w:val="sr-Latn-CS"/>
        </w:rPr>
        <w:t xml:space="preserve"> </w:t>
      </w:r>
      <w:r w:rsidRPr="00E942A7">
        <w:rPr>
          <w:bCs/>
          <w:sz w:val="22"/>
          <w:szCs w:val="22"/>
          <w:lang w:val="en-US"/>
        </w:rPr>
        <w:t>koncentracije</w:t>
      </w:r>
      <w:r w:rsidRPr="00E942A7">
        <w:rPr>
          <w:bCs/>
          <w:sz w:val="22"/>
          <w:szCs w:val="22"/>
          <w:lang w:val="sr-Latn-CS"/>
        </w:rPr>
        <w:t xml:space="preserve"> </w:t>
      </w:r>
      <w:r w:rsidRPr="00E942A7">
        <w:rPr>
          <w:bCs/>
          <w:sz w:val="22"/>
          <w:szCs w:val="22"/>
          <w:lang w:val="en-US"/>
        </w:rPr>
        <w:t>u</w:t>
      </w:r>
      <w:r w:rsidRPr="00E942A7">
        <w:rPr>
          <w:bCs/>
          <w:sz w:val="22"/>
          <w:szCs w:val="22"/>
          <w:lang w:val="sr-Latn-CS"/>
        </w:rPr>
        <w:t xml:space="preserve"> </w:t>
      </w:r>
      <w:r w:rsidRPr="00E942A7">
        <w:rPr>
          <w:bCs/>
          <w:sz w:val="22"/>
          <w:szCs w:val="22"/>
          <w:lang w:val="en-US"/>
        </w:rPr>
        <w:t>krvi</w:t>
      </w:r>
      <w:r w:rsidRPr="00E942A7">
        <w:rPr>
          <w:bCs/>
          <w:sz w:val="22"/>
          <w:szCs w:val="22"/>
          <w:lang w:val="sr-Latn-CS"/>
        </w:rPr>
        <w:t xml:space="preserve"> </w:t>
      </w:r>
      <w:r w:rsidRPr="00E942A7">
        <w:rPr>
          <w:bCs/>
          <w:sz w:val="22"/>
          <w:szCs w:val="22"/>
          <w:lang w:val="en-US"/>
        </w:rPr>
        <w:t>i</w:t>
      </w:r>
      <w:r w:rsidRPr="00E942A7">
        <w:rPr>
          <w:bCs/>
          <w:sz w:val="22"/>
          <w:szCs w:val="22"/>
          <w:lang w:val="sr-Latn-CS"/>
        </w:rPr>
        <w:t xml:space="preserve"> </w:t>
      </w:r>
      <w:r w:rsidRPr="00E942A7">
        <w:rPr>
          <w:bCs/>
          <w:sz w:val="22"/>
          <w:szCs w:val="22"/>
          <w:lang w:val="en-US"/>
        </w:rPr>
        <w:t>plazmi</w:t>
      </w:r>
      <w:r w:rsidRPr="00E942A7">
        <w:rPr>
          <w:bCs/>
          <w:sz w:val="22"/>
          <w:szCs w:val="22"/>
          <w:lang w:val="sr-Latn-CS"/>
        </w:rPr>
        <w:t xml:space="preserve"> 0,59 </w:t>
      </w:r>
      <w:r w:rsidRPr="00E942A7">
        <w:rPr>
          <w:bCs/>
          <w:sz w:val="22"/>
          <w:szCs w:val="22"/>
          <w:lang w:val="en-US"/>
        </w:rPr>
        <w:t>u</w:t>
      </w:r>
      <w:r w:rsidRPr="00E942A7">
        <w:rPr>
          <w:bCs/>
          <w:sz w:val="22"/>
          <w:szCs w:val="22"/>
          <w:lang w:val="sr-Latn-CS"/>
        </w:rPr>
        <w:t xml:space="preserve"> </w:t>
      </w:r>
      <w:r w:rsidRPr="00E942A7">
        <w:rPr>
          <w:bCs/>
          <w:sz w:val="22"/>
          <w:szCs w:val="22"/>
          <w:lang w:val="en-US"/>
        </w:rPr>
        <w:t>opsegu</w:t>
      </w:r>
      <w:r w:rsidRPr="00E942A7">
        <w:rPr>
          <w:bCs/>
          <w:sz w:val="22"/>
          <w:szCs w:val="22"/>
          <w:lang w:val="sr-Latn-CS"/>
        </w:rPr>
        <w:t xml:space="preserve"> </w:t>
      </w:r>
      <w:r w:rsidRPr="00E942A7">
        <w:rPr>
          <w:bCs/>
          <w:sz w:val="22"/>
          <w:szCs w:val="22"/>
          <w:lang w:val="en-US"/>
        </w:rPr>
        <w:t>koncentracija</w:t>
      </w:r>
      <w:r w:rsidRPr="00E942A7">
        <w:rPr>
          <w:bCs/>
          <w:sz w:val="22"/>
          <w:szCs w:val="22"/>
          <w:lang w:val="sr-Latn-CS"/>
        </w:rPr>
        <w:t xml:space="preserve"> </w:t>
      </w:r>
      <w:r w:rsidRPr="00E942A7">
        <w:rPr>
          <w:bCs/>
          <w:sz w:val="22"/>
          <w:szCs w:val="22"/>
          <w:lang w:val="en-US"/>
        </w:rPr>
        <w:t>od</w:t>
      </w:r>
      <w:r w:rsidRPr="00E942A7">
        <w:rPr>
          <w:bCs/>
          <w:sz w:val="22"/>
          <w:szCs w:val="22"/>
          <w:lang w:val="sr-Latn-CS"/>
        </w:rPr>
        <w:t xml:space="preserve"> 30 </w:t>
      </w:r>
      <w:r w:rsidRPr="00E942A7">
        <w:rPr>
          <w:bCs/>
          <w:sz w:val="22"/>
          <w:szCs w:val="22"/>
          <w:lang w:val="en-US"/>
        </w:rPr>
        <w:t>ng</w:t>
      </w:r>
      <w:r w:rsidRPr="00E942A7">
        <w:rPr>
          <w:bCs/>
          <w:sz w:val="22"/>
          <w:szCs w:val="22"/>
          <w:lang w:val="sr-Latn-CS"/>
        </w:rPr>
        <w:t>/</w:t>
      </w:r>
      <w:r w:rsidRPr="00E942A7">
        <w:rPr>
          <w:bCs/>
          <w:sz w:val="22"/>
          <w:szCs w:val="22"/>
          <w:lang w:val="en-US"/>
        </w:rPr>
        <w:t>ml</w:t>
      </w:r>
      <w:r w:rsidRPr="00E942A7">
        <w:rPr>
          <w:bCs/>
          <w:sz w:val="22"/>
          <w:szCs w:val="22"/>
          <w:lang w:val="sr-Latn-CS"/>
        </w:rPr>
        <w:t xml:space="preserve"> </w:t>
      </w:r>
      <w:r w:rsidRPr="00E942A7">
        <w:rPr>
          <w:bCs/>
          <w:sz w:val="22"/>
          <w:szCs w:val="22"/>
          <w:lang w:val="en-US"/>
        </w:rPr>
        <w:t>do</w:t>
      </w:r>
      <w:r w:rsidRPr="00E942A7">
        <w:rPr>
          <w:bCs/>
          <w:sz w:val="22"/>
          <w:szCs w:val="22"/>
          <w:lang w:val="sr-Latn-CS"/>
        </w:rPr>
        <w:t xml:space="preserve"> 5000 </w:t>
      </w:r>
      <w:r w:rsidRPr="00E942A7">
        <w:rPr>
          <w:bCs/>
          <w:sz w:val="22"/>
          <w:szCs w:val="22"/>
          <w:lang w:val="en-US"/>
        </w:rPr>
        <w:t>ng</w:t>
      </w:r>
      <w:r w:rsidRPr="00E942A7">
        <w:rPr>
          <w:bCs/>
          <w:sz w:val="22"/>
          <w:szCs w:val="22"/>
          <w:lang w:val="sr-Latn-CS"/>
        </w:rPr>
        <w:t>/</w:t>
      </w:r>
      <w:r w:rsidRPr="00E942A7">
        <w:rPr>
          <w:bCs/>
          <w:sz w:val="22"/>
          <w:szCs w:val="22"/>
          <w:lang w:val="en-US"/>
        </w:rPr>
        <w:t>ml</w:t>
      </w:r>
      <w:r w:rsidRPr="00E942A7">
        <w:rPr>
          <w:bCs/>
          <w:sz w:val="22"/>
          <w:szCs w:val="22"/>
          <w:lang w:val="sr-Latn-CS"/>
        </w:rPr>
        <w:t xml:space="preserve">. </w:t>
      </w:r>
      <w:r w:rsidRPr="00E942A7">
        <w:rPr>
          <w:bCs/>
          <w:sz w:val="22"/>
          <w:szCs w:val="22"/>
          <w:lang w:val="pl-PL"/>
        </w:rPr>
        <w:t>Vezivanje za proteine plazme je malo, sa nevezanom frakcijom u rasponu od 60% sa 22 ng/ml do 77% sa 2000 ng/ml zoledronske kiseline.</w:t>
      </w:r>
    </w:p>
    <w:p w:rsidR="006F5DA1" w:rsidRPr="00E942A7" w:rsidRDefault="006F5DA1" w:rsidP="006F5DA1">
      <w:pPr>
        <w:shd w:val="clear" w:color="auto" w:fill="FFFFFF"/>
        <w:spacing w:before="235" w:line="240" w:lineRule="exact"/>
        <w:jc w:val="both"/>
        <w:rPr>
          <w:spacing w:val="2"/>
          <w:sz w:val="22"/>
          <w:szCs w:val="22"/>
          <w:u w:val="single"/>
          <w:lang w:val="sr-Latn-CS"/>
        </w:rPr>
      </w:pPr>
      <w:r w:rsidRPr="00E942A7">
        <w:rPr>
          <w:spacing w:val="2"/>
          <w:sz w:val="22"/>
          <w:szCs w:val="22"/>
          <w:u w:val="single"/>
          <w:lang w:val="sr-Latn-CS"/>
        </w:rPr>
        <w:t>Posebne populacije pacijenata</w:t>
      </w:r>
    </w:p>
    <w:p w:rsidR="006F5DA1" w:rsidRPr="00E942A7" w:rsidRDefault="006F5DA1" w:rsidP="006F5DA1">
      <w:pPr>
        <w:shd w:val="clear" w:color="auto" w:fill="FFFFFF"/>
        <w:spacing w:before="235" w:line="240" w:lineRule="exact"/>
        <w:jc w:val="both"/>
        <w:rPr>
          <w:i/>
          <w:spacing w:val="2"/>
          <w:sz w:val="22"/>
          <w:szCs w:val="22"/>
          <w:lang w:val="sr-Latn-CS"/>
        </w:rPr>
      </w:pPr>
      <w:r w:rsidRPr="00E942A7">
        <w:rPr>
          <w:i/>
          <w:spacing w:val="2"/>
          <w:sz w:val="22"/>
          <w:szCs w:val="22"/>
          <w:lang w:val="sr-Latn-CS"/>
        </w:rPr>
        <w:t>Pedijatrijska populacija</w:t>
      </w:r>
    </w:p>
    <w:p w:rsidR="006F5DA1" w:rsidRPr="00E942A7" w:rsidRDefault="006F5DA1" w:rsidP="006F5DA1">
      <w:pPr>
        <w:shd w:val="clear" w:color="auto" w:fill="FFFFFF"/>
        <w:spacing w:before="235" w:line="240" w:lineRule="exact"/>
        <w:jc w:val="both"/>
        <w:rPr>
          <w:sz w:val="22"/>
          <w:szCs w:val="22"/>
          <w:lang w:val="sr-Latn-CS"/>
        </w:rPr>
      </w:pPr>
      <w:r w:rsidRPr="00E942A7">
        <w:rPr>
          <w:spacing w:val="2"/>
          <w:sz w:val="22"/>
          <w:szCs w:val="22"/>
          <w:lang w:val="sr-Latn-CS"/>
        </w:rPr>
        <w:t>Ograničeni farmakokinetički podaci kod djece sa teškim oblikom osteogenesis imperfecta ukazuju da je farmakokinetika zoledronske kiseline kod djece uzrasta od 3 do 17 godina slična farmakokinetici kod odraslih, pri sličnom rasponu doze u mg/kg. Izgleda da uzrast, tjelesna težina, pol i klirens kreatinina nemaju efekte na sistemsku izloženost zoledronskoj kiselini.</w:t>
      </w:r>
    </w:p>
    <w:p w:rsidR="006F5DA1" w:rsidRPr="00E942A7" w:rsidRDefault="006F5DA1" w:rsidP="006F5DA1">
      <w:pPr>
        <w:tabs>
          <w:tab w:val="left" w:pos="540"/>
          <w:tab w:val="left" w:pos="569"/>
        </w:tabs>
        <w:jc w:val="both"/>
        <w:rPr>
          <w:bCs/>
          <w:sz w:val="22"/>
          <w:szCs w:val="22"/>
          <w:lang w:val="sr-Latn-CS"/>
        </w:rPr>
      </w:pPr>
    </w:p>
    <w:p w:rsidR="006F5DA1" w:rsidRPr="00E942A7" w:rsidRDefault="006F5DA1" w:rsidP="006F5DA1">
      <w:pPr>
        <w:tabs>
          <w:tab w:val="left" w:pos="540"/>
          <w:tab w:val="left" w:pos="569"/>
        </w:tabs>
        <w:jc w:val="both"/>
        <w:rPr>
          <w:b/>
          <w:bCs/>
          <w:sz w:val="22"/>
          <w:szCs w:val="22"/>
          <w:lang w:val="en-US"/>
        </w:rPr>
      </w:pPr>
      <w:r w:rsidRPr="00E942A7">
        <w:rPr>
          <w:b/>
          <w:bCs/>
          <w:sz w:val="22"/>
          <w:szCs w:val="22"/>
          <w:lang w:val="en-US"/>
        </w:rPr>
        <w:t xml:space="preserve">5.3. </w:t>
      </w:r>
      <w:r w:rsidRPr="00E942A7">
        <w:rPr>
          <w:b/>
          <w:bCs/>
          <w:sz w:val="22"/>
          <w:szCs w:val="22"/>
          <w:lang w:val="en-US"/>
        </w:rPr>
        <w:tab/>
        <w:t xml:space="preserve">Pretklinički podaci o bezbjednosti </w:t>
      </w:r>
    </w:p>
    <w:p w:rsidR="006F5DA1" w:rsidRPr="00E942A7" w:rsidRDefault="006F5DA1" w:rsidP="006F5DA1">
      <w:pPr>
        <w:shd w:val="clear" w:color="auto" w:fill="FFFFFF"/>
        <w:spacing w:before="245"/>
        <w:jc w:val="both"/>
        <w:rPr>
          <w:sz w:val="22"/>
          <w:szCs w:val="22"/>
          <w:lang w:val="sr-Latn-CS"/>
        </w:rPr>
      </w:pPr>
      <w:r w:rsidRPr="00E942A7">
        <w:rPr>
          <w:spacing w:val="1"/>
          <w:sz w:val="22"/>
          <w:szCs w:val="22"/>
          <w:u w:val="single"/>
          <w:lang w:val="sr-Latn-CS"/>
        </w:rPr>
        <w:t>Akutna toksičnost</w:t>
      </w:r>
    </w:p>
    <w:p w:rsidR="006F5DA1" w:rsidRPr="00E942A7" w:rsidRDefault="006F5DA1" w:rsidP="006F5DA1">
      <w:pPr>
        <w:tabs>
          <w:tab w:val="left" w:pos="284"/>
        </w:tabs>
        <w:jc w:val="both"/>
        <w:rPr>
          <w:spacing w:val="3"/>
          <w:sz w:val="22"/>
          <w:szCs w:val="22"/>
          <w:lang w:val="sr-Latn-CS"/>
        </w:rPr>
      </w:pPr>
      <w:r w:rsidRPr="00E942A7">
        <w:rPr>
          <w:spacing w:val="3"/>
          <w:sz w:val="22"/>
          <w:szCs w:val="22"/>
          <w:lang w:val="sr-Latn-CS"/>
        </w:rPr>
        <w:t>Najviša neletalna pojedinačna intravenska doza bila je 10 mg/kg tjelesne mase kod miševa i 0,6 mg/kg kod pacova.</w:t>
      </w:r>
    </w:p>
    <w:p w:rsidR="006F5DA1" w:rsidRPr="00E942A7" w:rsidRDefault="006F5DA1" w:rsidP="006F5DA1">
      <w:pPr>
        <w:shd w:val="clear" w:color="auto" w:fill="FFFFFF"/>
        <w:spacing w:before="120"/>
        <w:jc w:val="both"/>
        <w:rPr>
          <w:sz w:val="22"/>
          <w:szCs w:val="22"/>
          <w:lang w:val="sr-Latn-CS"/>
        </w:rPr>
      </w:pPr>
      <w:r w:rsidRPr="00E942A7">
        <w:rPr>
          <w:spacing w:val="2"/>
          <w:sz w:val="22"/>
          <w:szCs w:val="22"/>
          <w:u w:val="single"/>
          <w:lang w:val="sr-Latn-CS"/>
        </w:rPr>
        <w:t>Subhronična i hronična toksičnost</w:t>
      </w:r>
    </w:p>
    <w:p w:rsidR="006F5DA1" w:rsidRPr="00E942A7" w:rsidRDefault="006F5DA1" w:rsidP="006F5DA1">
      <w:pPr>
        <w:shd w:val="clear" w:color="auto" w:fill="FFFFFF"/>
        <w:spacing w:line="235" w:lineRule="exact"/>
        <w:jc w:val="both"/>
        <w:rPr>
          <w:sz w:val="22"/>
          <w:szCs w:val="22"/>
          <w:lang w:val="sr-Latn-CS"/>
        </w:rPr>
      </w:pPr>
      <w:r w:rsidRPr="00E942A7">
        <w:rPr>
          <w:spacing w:val="2"/>
          <w:sz w:val="22"/>
          <w:szCs w:val="22"/>
          <w:lang w:val="sr-Latn-CS"/>
        </w:rPr>
        <w:t xml:space="preserve">Zoledronska kiselina se dobro podnosila kad se davala supkutano pacovima i intravenski psima u dozama do 0,02 mg/kg dnevno tokom 4 nedjelje. Primjena doza od 0,001 mg/kg/dnevno supkutano kod pacova i </w:t>
      </w:r>
      <w:r w:rsidRPr="00E942A7">
        <w:rPr>
          <w:spacing w:val="3"/>
          <w:sz w:val="22"/>
          <w:szCs w:val="22"/>
          <w:lang w:val="sr-Latn-CS"/>
        </w:rPr>
        <w:t>0,005 mg/kg kod pasa intravenski na svake 2-3 nedjelje u trajanju do 52 nedjelje, takođe je bilo dobro podnošeno.</w:t>
      </w:r>
    </w:p>
    <w:p w:rsidR="006F5DA1" w:rsidRPr="00E942A7" w:rsidRDefault="006F5DA1" w:rsidP="006F5DA1">
      <w:pPr>
        <w:shd w:val="clear" w:color="auto" w:fill="FFFFFF"/>
        <w:spacing w:before="240" w:line="235" w:lineRule="exact"/>
        <w:jc w:val="both"/>
        <w:rPr>
          <w:sz w:val="22"/>
          <w:szCs w:val="22"/>
          <w:lang w:val="sr-Latn-CS"/>
        </w:rPr>
      </w:pPr>
      <w:r w:rsidRPr="00E942A7">
        <w:rPr>
          <w:spacing w:val="2"/>
          <w:sz w:val="22"/>
          <w:szCs w:val="22"/>
          <w:lang w:val="sr-Latn-CS"/>
        </w:rPr>
        <w:t xml:space="preserve">Najčešći nalaz u ispitivanjima sa ponovljenim doziranjem sastojao se od povećane primarne spongioze na metafizama dugih </w:t>
      </w:r>
      <w:r w:rsidRPr="00E942A7">
        <w:rPr>
          <w:spacing w:val="3"/>
          <w:sz w:val="22"/>
          <w:szCs w:val="22"/>
          <w:lang w:val="sr-Latn-CS"/>
        </w:rPr>
        <w:t>kostiju kod životinja koje rastu, prilikom primjene skoro svih doza i predstavlja nalaz koji reflektuje f</w:t>
      </w:r>
      <w:r w:rsidRPr="00E942A7">
        <w:rPr>
          <w:spacing w:val="2"/>
          <w:sz w:val="22"/>
          <w:szCs w:val="22"/>
          <w:lang w:val="sr-Latn-CS"/>
        </w:rPr>
        <w:t>armakološku antiresorpcijsku aktivnost jedinjenja.</w:t>
      </w:r>
    </w:p>
    <w:p w:rsidR="006F5DA1" w:rsidRPr="00E942A7" w:rsidRDefault="006F5DA1" w:rsidP="006F5DA1">
      <w:pPr>
        <w:shd w:val="clear" w:color="auto" w:fill="FFFFFF"/>
        <w:spacing w:before="235" w:line="235" w:lineRule="exact"/>
        <w:jc w:val="both"/>
        <w:rPr>
          <w:spacing w:val="2"/>
          <w:sz w:val="22"/>
          <w:szCs w:val="22"/>
          <w:lang w:val="sr-Latn-CS"/>
        </w:rPr>
      </w:pPr>
      <w:r w:rsidRPr="00E942A7">
        <w:rPr>
          <w:spacing w:val="3"/>
          <w:sz w:val="22"/>
          <w:szCs w:val="22"/>
          <w:lang w:val="sr-Latn-CS"/>
        </w:rPr>
        <w:t>U dugotrajnim ispitivanjima ponavljanih parenteralnih doza na životinjama uočene su uske granice bezbjednosti vezane za djelovanje na bubrege, ali kumulativno, nivoi na kojima nisu uočene neželjene reakcije (NOAELs) u ispitivanjima primjene pojedinačnih doza (1,6 mg/kg), kao i višestrukih doza</w:t>
      </w:r>
      <w:r w:rsidRPr="00E942A7">
        <w:rPr>
          <w:spacing w:val="2"/>
          <w:sz w:val="22"/>
          <w:szCs w:val="22"/>
          <w:lang w:val="sr-Latn-CS"/>
        </w:rPr>
        <w:t xml:space="preserve"> u periodu od najduže jednog mjeseca (0,06-0,6 mg/kg/dan) nisu ukazali na mogući uticaj na bubrege pri dozama ekvivalentnim ili većim od najviše terapijske</w:t>
      </w:r>
      <w:r w:rsidRPr="00E942A7">
        <w:rPr>
          <w:spacing w:val="3"/>
          <w:sz w:val="22"/>
          <w:szCs w:val="22"/>
          <w:lang w:val="sr-Latn-CS"/>
        </w:rPr>
        <w:t xml:space="preserve"> doze namijenjene za primjenu kod ljudi. Dugotrajna primjena ponavljenih doza ekvivalentnih sa najvišim dozama zoledronske kiseline namijenjenim</w:t>
      </w:r>
      <w:r w:rsidRPr="00E942A7">
        <w:rPr>
          <w:spacing w:val="2"/>
          <w:sz w:val="22"/>
          <w:szCs w:val="22"/>
          <w:lang w:val="sr-Latn-CS"/>
        </w:rPr>
        <w:t xml:space="preserve"> za primjenu kod ljudi izazvala je toksikološke efekte na drugim organima, uključujući gastrointestinalni trakt, jetru, slezinu i pluća, kao i na mjestima primjene intravenske injekcije.</w:t>
      </w:r>
    </w:p>
    <w:p w:rsidR="006F5DA1" w:rsidRPr="00E942A7" w:rsidRDefault="006F5DA1" w:rsidP="006F5DA1">
      <w:pPr>
        <w:shd w:val="clear" w:color="auto" w:fill="FFFFFF"/>
        <w:spacing w:before="240"/>
        <w:jc w:val="both"/>
        <w:rPr>
          <w:sz w:val="22"/>
          <w:szCs w:val="22"/>
          <w:lang w:val="sr-Latn-CS"/>
        </w:rPr>
      </w:pPr>
      <w:r w:rsidRPr="00E942A7">
        <w:rPr>
          <w:spacing w:val="2"/>
          <w:sz w:val="22"/>
          <w:szCs w:val="22"/>
          <w:u w:val="single"/>
          <w:lang w:val="sr-Latn-CS"/>
        </w:rPr>
        <w:t>Reproduktivna toksičnost</w:t>
      </w:r>
    </w:p>
    <w:p w:rsidR="006F5DA1" w:rsidRPr="00E942A7" w:rsidRDefault="006F5DA1" w:rsidP="006F5DA1">
      <w:pPr>
        <w:shd w:val="clear" w:color="auto" w:fill="FFFFFF"/>
        <w:spacing w:before="29"/>
        <w:jc w:val="both"/>
        <w:rPr>
          <w:sz w:val="22"/>
          <w:szCs w:val="22"/>
          <w:lang w:val="sr-Latn-CS"/>
        </w:rPr>
      </w:pPr>
      <w:r w:rsidRPr="00E942A7">
        <w:rPr>
          <w:spacing w:val="2"/>
          <w:sz w:val="22"/>
          <w:szCs w:val="22"/>
          <w:lang w:val="sr-Latn-CS"/>
        </w:rPr>
        <w:lastRenderedPageBreak/>
        <w:t xml:space="preserve">Zoledronska kiselina bila je teratogena kod pacova pri supkutanim dozama ≥ 0,2 mg/kg. Mada nije bila zabilježena teratogenost ili </w:t>
      </w:r>
      <w:r w:rsidRPr="00E942A7">
        <w:rPr>
          <w:spacing w:val="3"/>
          <w:sz w:val="22"/>
          <w:szCs w:val="22"/>
          <w:lang w:val="sr-Latn-CS"/>
        </w:rPr>
        <w:t>fetotoksičnost kod kunića, utvrđeno je toksično djelovanje na samu gravidnu životinju. Distocija je zapažena kod pacova pri primjeni najmanje ispitivane doze (0,01 mg/kg tjelesne težine).</w:t>
      </w:r>
    </w:p>
    <w:p w:rsidR="006F5DA1" w:rsidRPr="00E942A7" w:rsidRDefault="006F5DA1" w:rsidP="006F5DA1">
      <w:pPr>
        <w:shd w:val="clear" w:color="auto" w:fill="FFFFFF"/>
        <w:spacing w:before="240" w:line="235" w:lineRule="exact"/>
        <w:jc w:val="both"/>
        <w:rPr>
          <w:sz w:val="22"/>
          <w:szCs w:val="22"/>
          <w:lang w:val="sr-Latn-CS"/>
        </w:rPr>
      </w:pPr>
      <w:r w:rsidRPr="00E942A7">
        <w:rPr>
          <w:spacing w:val="3"/>
          <w:sz w:val="22"/>
          <w:szCs w:val="22"/>
          <w:u w:val="single"/>
          <w:lang w:val="sr-Latn-CS"/>
        </w:rPr>
        <w:t>Mutagenost i kancerogeni potencijal</w:t>
      </w:r>
    </w:p>
    <w:p w:rsidR="006F5DA1" w:rsidRPr="00E942A7" w:rsidRDefault="006F5DA1" w:rsidP="006F5DA1">
      <w:pPr>
        <w:shd w:val="clear" w:color="auto" w:fill="FFFFFF"/>
        <w:spacing w:line="235" w:lineRule="exact"/>
        <w:jc w:val="both"/>
        <w:rPr>
          <w:spacing w:val="3"/>
          <w:sz w:val="22"/>
          <w:szCs w:val="22"/>
          <w:lang w:val="sr-Latn-CS"/>
        </w:rPr>
      </w:pPr>
      <w:r w:rsidRPr="00E942A7">
        <w:rPr>
          <w:spacing w:val="3"/>
          <w:sz w:val="22"/>
          <w:szCs w:val="22"/>
          <w:lang w:val="sr-Latn-CS"/>
        </w:rPr>
        <w:t>Zoledronska kiselina nije ispoljila mutagenost u sprovedenim testovima mutageneze, a testiranje kancerogenosti nije dalo nikakvih dokaza o kancerogenom potencijalu.</w:t>
      </w:r>
    </w:p>
    <w:p w:rsidR="006F5DA1" w:rsidRPr="00E942A7" w:rsidRDefault="006F5DA1" w:rsidP="006F5DA1">
      <w:pPr>
        <w:tabs>
          <w:tab w:val="left" w:pos="540"/>
          <w:tab w:val="left" w:pos="569"/>
        </w:tabs>
        <w:jc w:val="both"/>
        <w:rPr>
          <w:b/>
          <w:bCs/>
          <w:sz w:val="22"/>
          <w:szCs w:val="22"/>
          <w:lang w:val="sr-Latn-CS"/>
        </w:rPr>
      </w:pPr>
    </w:p>
    <w:p w:rsidR="006F5DA1" w:rsidRPr="00E942A7" w:rsidRDefault="006F5DA1" w:rsidP="006F5DA1">
      <w:pPr>
        <w:tabs>
          <w:tab w:val="left" w:pos="540"/>
          <w:tab w:val="left" w:pos="569"/>
        </w:tabs>
        <w:jc w:val="both"/>
        <w:rPr>
          <w:b/>
          <w:bCs/>
          <w:sz w:val="22"/>
          <w:szCs w:val="22"/>
          <w:lang w:val="en-US"/>
        </w:rPr>
      </w:pPr>
      <w:r w:rsidRPr="00E942A7">
        <w:rPr>
          <w:b/>
          <w:bCs/>
          <w:sz w:val="22"/>
          <w:szCs w:val="22"/>
          <w:lang w:val="en-US"/>
        </w:rPr>
        <w:t xml:space="preserve">6. </w:t>
      </w:r>
      <w:r w:rsidRPr="00E942A7">
        <w:rPr>
          <w:b/>
          <w:bCs/>
          <w:sz w:val="22"/>
          <w:szCs w:val="22"/>
          <w:lang w:val="en-US"/>
        </w:rPr>
        <w:tab/>
        <w:t>FARMACEUTSKI PODACI</w:t>
      </w:r>
    </w:p>
    <w:p w:rsidR="006F5DA1" w:rsidRPr="00E942A7" w:rsidRDefault="006F5DA1" w:rsidP="006F5DA1">
      <w:pPr>
        <w:tabs>
          <w:tab w:val="left" w:pos="540"/>
          <w:tab w:val="left" w:pos="569"/>
        </w:tabs>
        <w:jc w:val="both"/>
        <w:rPr>
          <w:bCs/>
          <w:sz w:val="22"/>
          <w:szCs w:val="22"/>
          <w:lang w:val="en-US"/>
        </w:rPr>
      </w:pPr>
    </w:p>
    <w:p w:rsidR="006F5DA1" w:rsidRPr="00E942A7" w:rsidRDefault="006F5DA1" w:rsidP="006F5DA1">
      <w:pPr>
        <w:tabs>
          <w:tab w:val="left" w:pos="540"/>
          <w:tab w:val="left" w:pos="569"/>
        </w:tabs>
        <w:jc w:val="both"/>
        <w:rPr>
          <w:b/>
          <w:bCs/>
          <w:sz w:val="22"/>
          <w:szCs w:val="22"/>
          <w:lang w:val="en-US"/>
        </w:rPr>
      </w:pPr>
      <w:r w:rsidRPr="00E942A7">
        <w:rPr>
          <w:b/>
          <w:bCs/>
          <w:sz w:val="22"/>
          <w:szCs w:val="22"/>
          <w:lang w:val="en-US"/>
        </w:rPr>
        <w:t xml:space="preserve">6.1. </w:t>
      </w:r>
      <w:r w:rsidRPr="00E942A7">
        <w:rPr>
          <w:b/>
          <w:bCs/>
          <w:sz w:val="22"/>
          <w:szCs w:val="22"/>
          <w:lang w:val="en-US"/>
        </w:rPr>
        <w:tab/>
        <w:t>Lista pomoćnih supstanci</w:t>
      </w:r>
    </w:p>
    <w:p w:rsidR="006F5DA1" w:rsidRPr="00E942A7" w:rsidRDefault="006F5DA1" w:rsidP="006F5DA1">
      <w:pPr>
        <w:jc w:val="both"/>
        <w:rPr>
          <w:sz w:val="22"/>
          <w:szCs w:val="22"/>
          <w:lang w:val="sr-Latn-CS"/>
        </w:rPr>
      </w:pPr>
    </w:p>
    <w:p w:rsidR="006F5DA1" w:rsidRPr="00E942A7" w:rsidRDefault="006F5DA1" w:rsidP="006F5DA1">
      <w:pPr>
        <w:jc w:val="both"/>
        <w:rPr>
          <w:sz w:val="22"/>
          <w:szCs w:val="22"/>
          <w:lang w:val="sr-Latn-CS"/>
        </w:rPr>
      </w:pPr>
      <w:r w:rsidRPr="00E942A7">
        <w:rPr>
          <w:sz w:val="22"/>
          <w:szCs w:val="22"/>
          <w:lang w:val="sr-Latn-CS"/>
        </w:rPr>
        <w:t>Manitol;</w:t>
      </w:r>
    </w:p>
    <w:p w:rsidR="006F5DA1" w:rsidRPr="00E942A7" w:rsidRDefault="006F5DA1" w:rsidP="006F5DA1">
      <w:pPr>
        <w:jc w:val="both"/>
        <w:rPr>
          <w:sz w:val="22"/>
          <w:szCs w:val="22"/>
          <w:lang w:val="sr-Latn-CS"/>
        </w:rPr>
      </w:pPr>
      <w:r w:rsidRPr="00E942A7">
        <w:rPr>
          <w:sz w:val="22"/>
          <w:szCs w:val="22"/>
          <w:lang w:val="sr-Latn-CS"/>
        </w:rPr>
        <w:t>Natrijum citrat;</w:t>
      </w:r>
    </w:p>
    <w:p w:rsidR="006F5DA1" w:rsidRPr="00E942A7" w:rsidRDefault="006F5DA1" w:rsidP="006F5DA1">
      <w:pPr>
        <w:tabs>
          <w:tab w:val="left" w:pos="540"/>
          <w:tab w:val="left" w:pos="569"/>
        </w:tabs>
        <w:jc w:val="both"/>
        <w:rPr>
          <w:sz w:val="22"/>
          <w:szCs w:val="22"/>
          <w:lang w:val="sr-Latn-CS"/>
        </w:rPr>
      </w:pPr>
      <w:r w:rsidRPr="00E942A7">
        <w:rPr>
          <w:sz w:val="22"/>
          <w:szCs w:val="22"/>
          <w:lang w:val="sr-Latn-CS"/>
        </w:rPr>
        <w:t>Voda za injekcije.</w:t>
      </w:r>
    </w:p>
    <w:p w:rsidR="006F5DA1" w:rsidRPr="00E942A7" w:rsidRDefault="006F5DA1" w:rsidP="006F5DA1">
      <w:pPr>
        <w:tabs>
          <w:tab w:val="left" w:pos="540"/>
          <w:tab w:val="left" w:pos="569"/>
        </w:tabs>
        <w:jc w:val="both"/>
        <w:rPr>
          <w:bCs/>
          <w:sz w:val="22"/>
          <w:szCs w:val="22"/>
          <w:lang w:val="pl-PL"/>
        </w:rPr>
      </w:pPr>
    </w:p>
    <w:p w:rsidR="006F5DA1" w:rsidRPr="00E942A7" w:rsidRDefault="006F5DA1" w:rsidP="006F5DA1">
      <w:pPr>
        <w:tabs>
          <w:tab w:val="left" w:pos="540"/>
          <w:tab w:val="left" w:pos="569"/>
        </w:tabs>
        <w:jc w:val="both"/>
        <w:rPr>
          <w:b/>
          <w:bCs/>
          <w:sz w:val="22"/>
          <w:szCs w:val="22"/>
          <w:lang w:val="en-US"/>
        </w:rPr>
      </w:pPr>
      <w:r w:rsidRPr="00E942A7">
        <w:rPr>
          <w:b/>
          <w:bCs/>
          <w:sz w:val="22"/>
          <w:szCs w:val="22"/>
          <w:lang w:val="en-US"/>
        </w:rPr>
        <w:t xml:space="preserve">6.2. </w:t>
      </w:r>
      <w:r w:rsidRPr="00E942A7">
        <w:rPr>
          <w:b/>
          <w:bCs/>
          <w:sz w:val="22"/>
          <w:szCs w:val="22"/>
          <w:lang w:val="en-US"/>
        </w:rPr>
        <w:tab/>
        <w:t>Inkompatibilnosti</w:t>
      </w:r>
    </w:p>
    <w:p w:rsidR="006F5DA1" w:rsidRPr="00E942A7" w:rsidRDefault="006F5DA1" w:rsidP="006F5DA1">
      <w:pPr>
        <w:tabs>
          <w:tab w:val="left" w:pos="540"/>
          <w:tab w:val="left" w:pos="569"/>
        </w:tabs>
        <w:jc w:val="both"/>
        <w:rPr>
          <w:b/>
          <w:bCs/>
          <w:sz w:val="22"/>
          <w:szCs w:val="22"/>
          <w:lang w:val="en-US"/>
        </w:rPr>
      </w:pPr>
    </w:p>
    <w:p w:rsidR="006F5DA1" w:rsidRPr="00E942A7" w:rsidRDefault="006F5DA1" w:rsidP="006F5DA1">
      <w:pPr>
        <w:jc w:val="both"/>
        <w:rPr>
          <w:sz w:val="22"/>
          <w:szCs w:val="22"/>
          <w:lang w:val="sr-Latn-CS"/>
        </w:rPr>
      </w:pPr>
      <w:r w:rsidRPr="00E942A7">
        <w:rPr>
          <w:sz w:val="22"/>
          <w:szCs w:val="22"/>
          <w:lang w:val="sr-Latn-CS"/>
        </w:rPr>
        <w:t xml:space="preserve">Da bi se izbjegle potencijalne inkompatibilnosti, koncentrat </w:t>
      </w:r>
      <w:r w:rsidRPr="00E942A7">
        <w:rPr>
          <w:spacing w:val="3"/>
          <w:sz w:val="22"/>
          <w:szCs w:val="22"/>
          <w:lang w:val="sr-Latn-CS"/>
        </w:rPr>
        <w:t>zoledronske kiseline</w:t>
      </w:r>
      <w:r w:rsidRPr="00E942A7">
        <w:rPr>
          <w:spacing w:val="2"/>
          <w:sz w:val="22"/>
          <w:szCs w:val="22"/>
          <w:lang w:val="sr-Latn-CS"/>
        </w:rPr>
        <w:t xml:space="preserve"> </w:t>
      </w:r>
      <w:r w:rsidRPr="00E942A7">
        <w:rPr>
          <w:sz w:val="22"/>
          <w:szCs w:val="22"/>
          <w:lang w:val="sr-Latn-CS"/>
        </w:rPr>
        <w:t>se mora razblažiti sa 0,9% rastvorom natrijum hlorida ili 5% rastvorom glukoze.</w:t>
      </w:r>
    </w:p>
    <w:p w:rsidR="006F5DA1" w:rsidRPr="00E942A7" w:rsidRDefault="006F5DA1" w:rsidP="006F5DA1">
      <w:pPr>
        <w:shd w:val="clear" w:color="auto" w:fill="FFFFFF"/>
        <w:spacing w:before="235"/>
        <w:jc w:val="both"/>
        <w:rPr>
          <w:sz w:val="22"/>
          <w:szCs w:val="22"/>
          <w:lang w:val="sr-Latn-CS"/>
        </w:rPr>
      </w:pPr>
      <w:r w:rsidRPr="00E942A7">
        <w:rPr>
          <w:sz w:val="22"/>
          <w:szCs w:val="22"/>
          <w:lang w:val="sr-Latn-CS"/>
        </w:rPr>
        <w:t>K</w:t>
      </w:r>
      <w:r w:rsidRPr="00E942A7">
        <w:rPr>
          <w:spacing w:val="2"/>
          <w:sz w:val="22"/>
          <w:szCs w:val="22"/>
          <w:lang w:val="sr-Latn-CS"/>
        </w:rPr>
        <w:t xml:space="preserve">oncentrat </w:t>
      </w:r>
      <w:r w:rsidRPr="00E942A7">
        <w:rPr>
          <w:spacing w:val="3"/>
          <w:sz w:val="22"/>
          <w:szCs w:val="22"/>
          <w:lang w:val="sr-Latn-CS"/>
        </w:rPr>
        <w:t>zoledronske kiseline</w:t>
      </w:r>
      <w:r w:rsidRPr="00E942A7">
        <w:rPr>
          <w:spacing w:val="2"/>
          <w:sz w:val="22"/>
          <w:szCs w:val="22"/>
          <w:lang w:val="sr-Latn-CS"/>
        </w:rPr>
        <w:t xml:space="preserve"> se ne smije miješati sa infuzionim rastvorima koji sadrže kalcijum ili druge dvovalentne katjone kao što je laktatni Ringerov </w:t>
      </w:r>
      <w:r w:rsidRPr="00E942A7">
        <w:rPr>
          <w:sz w:val="22"/>
          <w:szCs w:val="22"/>
          <w:lang w:val="sr-Latn-CS"/>
        </w:rPr>
        <w:t>rastvor i treba ga primjenjivati samostalno, putem odvojenog infuzionog sistema.</w:t>
      </w:r>
    </w:p>
    <w:p w:rsidR="006F5DA1" w:rsidRPr="00E942A7" w:rsidRDefault="006F5DA1" w:rsidP="006F5DA1">
      <w:pPr>
        <w:tabs>
          <w:tab w:val="left" w:pos="540"/>
          <w:tab w:val="left" w:pos="569"/>
        </w:tabs>
        <w:jc w:val="both"/>
        <w:rPr>
          <w:b/>
          <w:bCs/>
          <w:sz w:val="22"/>
          <w:szCs w:val="22"/>
          <w:lang w:val="sr-Latn-CS"/>
        </w:rPr>
      </w:pPr>
    </w:p>
    <w:p w:rsidR="006F5DA1" w:rsidRPr="00E942A7" w:rsidRDefault="006F5DA1" w:rsidP="006F5DA1">
      <w:pPr>
        <w:tabs>
          <w:tab w:val="left" w:pos="540"/>
          <w:tab w:val="left" w:pos="569"/>
        </w:tabs>
        <w:jc w:val="both"/>
        <w:rPr>
          <w:b/>
          <w:bCs/>
          <w:sz w:val="22"/>
          <w:szCs w:val="22"/>
          <w:lang w:val="pl-PL"/>
        </w:rPr>
      </w:pPr>
      <w:r w:rsidRPr="00E942A7">
        <w:rPr>
          <w:b/>
          <w:bCs/>
          <w:sz w:val="22"/>
          <w:szCs w:val="22"/>
          <w:lang w:val="pl-PL"/>
        </w:rPr>
        <w:t>6.3.</w:t>
      </w:r>
      <w:r w:rsidRPr="00E942A7">
        <w:rPr>
          <w:b/>
          <w:bCs/>
          <w:sz w:val="22"/>
          <w:szCs w:val="22"/>
          <w:lang w:val="pl-PL"/>
        </w:rPr>
        <w:tab/>
        <w:t>Rok upotrebe</w:t>
      </w:r>
    </w:p>
    <w:p w:rsidR="006F5DA1" w:rsidRPr="00E942A7" w:rsidRDefault="006F5DA1" w:rsidP="006F5DA1">
      <w:pPr>
        <w:jc w:val="both"/>
        <w:rPr>
          <w:sz w:val="22"/>
          <w:szCs w:val="22"/>
          <w:lang w:val="sr-Latn-CS"/>
        </w:rPr>
      </w:pPr>
    </w:p>
    <w:p w:rsidR="006F5DA1" w:rsidRPr="00E942A7" w:rsidRDefault="006F5DA1" w:rsidP="006F5DA1">
      <w:pPr>
        <w:jc w:val="both"/>
        <w:rPr>
          <w:sz w:val="22"/>
          <w:szCs w:val="22"/>
          <w:lang w:val="sr-Latn-CS"/>
        </w:rPr>
      </w:pPr>
      <w:r w:rsidRPr="00E942A7">
        <w:rPr>
          <w:sz w:val="22"/>
          <w:szCs w:val="22"/>
          <w:lang w:val="sr-Latn-CS"/>
        </w:rPr>
        <w:t xml:space="preserve">3 godine. </w:t>
      </w:r>
    </w:p>
    <w:p w:rsidR="006F5DA1" w:rsidRPr="00E942A7" w:rsidRDefault="006F5DA1" w:rsidP="006F5DA1">
      <w:pPr>
        <w:jc w:val="both"/>
        <w:rPr>
          <w:sz w:val="22"/>
          <w:szCs w:val="22"/>
          <w:lang w:val="sr-Latn-CS"/>
        </w:rPr>
      </w:pPr>
    </w:p>
    <w:p w:rsidR="006F5DA1" w:rsidRPr="00E942A7" w:rsidRDefault="006F5DA1" w:rsidP="006F5DA1">
      <w:pPr>
        <w:jc w:val="both"/>
        <w:rPr>
          <w:sz w:val="22"/>
          <w:szCs w:val="22"/>
          <w:lang w:val="pl-PL"/>
        </w:rPr>
      </w:pPr>
      <w:r w:rsidRPr="00E942A7">
        <w:rPr>
          <w:sz w:val="22"/>
          <w:szCs w:val="22"/>
          <w:lang w:val="pl-PL"/>
        </w:rPr>
        <w:t>Nakon rekonstituisanja lijek treba odmah upotrebiti.</w:t>
      </w:r>
    </w:p>
    <w:p w:rsidR="006F5DA1" w:rsidRPr="00E942A7" w:rsidRDefault="006F5DA1" w:rsidP="006F5DA1">
      <w:pPr>
        <w:jc w:val="both"/>
        <w:rPr>
          <w:sz w:val="22"/>
          <w:szCs w:val="22"/>
          <w:lang w:val="pl-PL"/>
        </w:rPr>
      </w:pPr>
    </w:p>
    <w:p w:rsidR="006F5DA1" w:rsidRPr="00E942A7" w:rsidRDefault="006F5DA1" w:rsidP="006F5DA1">
      <w:pPr>
        <w:jc w:val="both"/>
        <w:rPr>
          <w:bCs/>
          <w:sz w:val="22"/>
          <w:szCs w:val="22"/>
          <w:lang w:val="pl-PL"/>
        </w:rPr>
      </w:pPr>
      <w:r w:rsidRPr="00E942A7">
        <w:rPr>
          <w:sz w:val="22"/>
          <w:szCs w:val="22"/>
          <w:lang w:val="pl-PL"/>
        </w:rPr>
        <w:t>Nemojte koristiti lijek poslije isteka roka upotrebe naznačenog na spoljnjem pakovanju. Rok upotrebe ističe poslednjeg dana navedenog mjeseca.</w:t>
      </w:r>
    </w:p>
    <w:p w:rsidR="006F5DA1" w:rsidRPr="00E942A7" w:rsidRDefault="006F5DA1" w:rsidP="006F5DA1">
      <w:pPr>
        <w:jc w:val="both"/>
        <w:rPr>
          <w:sz w:val="22"/>
          <w:szCs w:val="22"/>
          <w:lang w:val="sr-Latn-CS"/>
        </w:rPr>
      </w:pPr>
    </w:p>
    <w:p w:rsidR="006F5DA1" w:rsidRPr="00E942A7" w:rsidRDefault="006F5DA1" w:rsidP="006F5DA1">
      <w:pPr>
        <w:jc w:val="both"/>
        <w:rPr>
          <w:sz w:val="22"/>
          <w:szCs w:val="22"/>
          <w:lang w:val="sr-Latn-CS"/>
        </w:rPr>
      </w:pPr>
      <w:r w:rsidRPr="00E942A7">
        <w:rPr>
          <w:sz w:val="22"/>
          <w:szCs w:val="22"/>
          <w:lang w:val="sr-Latn-CS"/>
        </w:rPr>
        <w:t>Nakon razblaženja: Sa mikrobiološke tačke gledišta, razblaženi rastvor za infuziju treba odmah upotrijebiti. Ako se ne upotrijebi odmah, za vrijeme i uslove čuvanja prije upotrebe odgovoran je korisnik i normalno ne smije biti duže od 24 h na temperaturi od 2°C-8</w:t>
      </w:r>
      <w:r w:rsidRPr="00E942A7">
        <w:rPr>
          <w:sz w:val="22"/>
          <w:szCs w:val="22"/>
          <w:lang w:val="sr-Latn-CS"/>
        </w:rPr>
        <w:sym w:font="Symbol" w:char="F0B0"/>
      </w:r>
      <w:r w:rsidRPr="00E942A7">
        <w:rPr>
          <w:sz w:val="22"/>
          <w:szCs w:val="22"/>
          <w:lang w:val="sr-Latn-CS"/>
        </w:rPr>
        <w:t>C. Rashlađeni rastvor treba da dostigne sobnu temperaturu prije davanja.</w:t>
      </w:r>
    </w:p>
    <w:p w:rsidR="006F5DA1" w:rsidRPr="00E942A7" w:rsidRDefault="006F5DA1" w:rsidP="006F5DA1">
      <w:pPr>
        <w:tabs>
          <w:tab w:val="left" w:pos="540"/>
          <w:tab w:val="left" w:pos="569"/>
        </w:tabs>
        <w:jc w:val="both"/>
        <w:rPr>
          <w:bCs/>
          <w:sz w:val="22"/>
          <w:szCs w:val="22"/>
          <w:lang w:val="sr-Latn-CS"/>
        </w:rPr>
      </w:pPr>
    </w:p>
    <w:p w:rsidR="006F5DA1" w:rsidRPr="00E942A7" w:rsidRDefault="006F5DA1" w:rsidP="006F5DA1">
      <w:pPr>
        <w:tabs>
          <w:tab w:val="left" w:pos="540"/>
          <w:tab w:val="left" w:pos="569"/>
        </w:tabs>
        <w:jc w:val="both"/>
        <w:rPr>
          <w:b/>
          <w:bCs/>
          <w:sz w:val="22"/>
          <w:szCs w:val="22"/>
          <w:lang w:val="pl-PL"/>
        </w:rPr>
      </w:pPr>
      <w:r w:rsidRPr="00E942A7">
        <w:rPr>
          <w:b/>
          <w:bCs/>
          <w:sz w:val="22"/>
          <w:szCs w:val="22"/>
          <w:lang w:val="pl-PL"/>
        </w:rPr>
        <w:t xml:space="preserve">6.4. </w:t>
      </w:r>
      <w:r w:rsidRPr="00E942A7">
        <w:rPr>
          <w:b/>
          <w:bCs/>
          <w:sz w:val="22"/>
          <w:szCs w:val="22"/>
          <w:lang w:val="pl-PL"/>
        </w:rPr>
        <w:tab/>
        <w:t>Posebne mjere upozorenja pri čuvanju lijeka</w:t>
      </w:r>
    </w:p>
    <w:p w:rsidR="006F5DA1" w:rsidRPr="00E942A7" w:rsidRDefault="006F5DA1" w:rsidP="006F5DA1">
      <w:pPr>
        <w:shd w:val="clear" w:color="auto" w:fill="FFFFFF"/>
        <w:tabs>
          <w:tab w:val="left" w:pos="547"/>
        </w:tabs>
        <w:spacing w:line="475" w:lineRule="exact"/>
        <w:jc w:val="both"/>
        <w:rPr>
          <w:spacing w:val="2"/>
          <w:sz w:val="22"/>
          <w:szCs w:val="22"/>
          <w:lang w:val="sr-Latn-CS"/>
        </w:rPr>
      </w:pPr>
      <w:r w:rsidRPr="00E942A7">
        <w:rPr>
          <w:spacing w:val="2"/>
          <w:sz w:val="22"/>
          <w:szCs w:val="22"/>
          <w:lang w:val="sr-Latn-CS"/>
        </w:rPr>
        <w:t>Lijek ne zahtijeva posebne uslove čuvanja.</w:t>
      </w:r>
    </w:p>
    <w:p w:rsidR="006F5DA1" w:rsidRPr="00E942A7" w:rsidRDefault="006F5DA1" w:rsidP="006F5DA1">
      <w:pPr>
        <w:shd w:val="clear" w:color="auto" w:fill="FFFFFF"/>
        <w:tabs>
          <w:tab w:val="left" w:pos="547"/>
        </w:tabs>
        <w:spacing w:line="475" w:lineRule="exact"/>
        <w:jc w:val="both"/>
        <w:rPr>
          <w:spacing w:val="2"/>
          <w:sz w:val="22"/>
          <w:szCs w:val="22"/>
          <w:lang w:val="sr-Latn-CS"/>
        </w:rPr>
      </w:pPr>
      <w:r w:rsidRPr="00E942A7">
        <w:rPr>
          <w:spacing w:val="2"/>
          <w:sz w:val="22"/>
          <w:szCs w:val="22"/>
          <w:lang w:val="sr-Latn-CS"/>
        </w:rPr>
        <w:t>Za uslove čuvanja razblaženog rastvora za infuziju, vidjeti odjeljak 6.3.</w:t>
      </w:r>
    </w:p>
    <w:p w:rsidR="006F5DA1" w:rsidRPr="00E942A7" w:rsidRDefault="006F5DA1" w:rsidP="006F5DA1">
      <w:pPr>
        <w:tabs>
          <w:tab w:val="left" w:pos="540"/>
          <w:tab w:val="left" w:pos="569"/>
        </w:tabs>
        <w:jc w:val="both"/>
        <w:rPr>
          <w:bCs/>
          <w:sz w:val="22"/>
          <w:szCs w:val="22"/>
          <w:lang w:val="sr-Latn-CS"/>
        </w:rPr>
      </w:pPr>
    </w:p>
    <w:p w:rsidR="006F5DA1" w:rsidRPr="00E942A7" w:rsidRDefault="006F5DA1" w:rsidP="006F5DA1">
      <w:pPr>
        <w:tabs>
          <w:tab w:val="left" w:pos="540"/>
          <w:tab w:val="left" w:pos="569"/>
        </w:tabs>
        <w:jc w:val="both"/>
        <w:rPr>
          <w:b/>
          <w:bCs/>
          <w:sz w:val="22"/>
          <w:szCs w:val="22"/>
          <w:lang w:val="en-US"/>
        </w:rPr>
      </w:pPr>
      <w:r w:rsidRPr="00E942A7">
        <w:rPr>
          <w:b/>
          <w:bCs/>
          <w:sz w:val="22"/>
          <w:szCs w:val="22"/>
          <w:lang w:val="en-US"/>
        </w:rPr>
        <w:t xml:space="preserve">6.5. </w:t>
      </w:r>
      <w:r w:rsidRPr="00E942A7">
        <w:rPr>
          <w:b/>
          <w:bCs/>
          <w:sz w:val="22"/>
          <w:szCs w:val="22"/>
          <w:lang w:val="en-US"/>
        </w:rPr>
        <w:tab/>
        <w:t>Vrsta i sadržaj pakovanja</w:t>
      </w:r>
    </w:p>
    <w:p w:rsidR="006F5DA1" w:rsidRPr="00E942A7" w:rsidRDefault="006F5DA1" w:rsidP="006F5DA1">
      <w:pPr>
        <w:jc w:val="both"/>
        <w:rPr>
          <w:sz w:val="22"/>
          <w:szCs w:val="22"/>
          <w:lang w:val="sr-Latn-CS"/>
        </w:rPr>
      </w:pPr>
    </w:p>
    <w:p w:rsidR="006F5DA1" w:rsidRPr="00E942A7" w:rsidRDefault="006F5DA1" w:rsidP="006F5DA1">
      <w:pPr>
        <w:jc w:val="both"/>
        <w:rPr>
          <w:sz w:val="22"/>
          <w:szCs w:val="22"/>
          <w:lang w:val="sr-Latn-CS"/>
        </w:rPr>
      </w:pPr>
      <w:r w:rsidRPr="00E942A7">
        <w:rPr>
          <w:sz w:val="22"/>
          <w:szCs w:val="22"/>
          <w:lang w:val="sr-Latn-CS"/>
        </w:rPr>
        <w:t>Pakovanje koncentrata za rastvor za infuziju zoledronske kiseline od 4 mg/5 ml sadrži 1 bočicu.</w:t>
      </w:r>
    </w:p>
    <w:p w:rsidR="006F5DA1" w:rsidRPr="00E942A7" w:rsidRDefault="006F5DA1" w:rsidP="006F5DA1">
      <w:pPr>
        <w:jc w:val="both"/>
        <w:rPr>
          <w:sz w:val="22"/>
          <w:szCs w:val="22"/>
          <w:lang w:val="sr-Latn-CS"/>
        </w:rPr>
      </w:pPr>
      <w:r w:rsidRPr="00E942A7">
        <w:rPr>
          <w:sz w:val="22"/>
          <w:szCs w:val="22"/>
          <w:lang w:val="sr-Latn-CS"/>
        </w:rPr>
        <w:t xml:space="preserve">Bočica: 5 ml, bezbojna plastična bočica, zatvorena halobutilnim čepom obloženim flourpolimerom, aluminijumskim prstenom  i </w:t>
      </w:r>
      <w:r w:rsidRPr="00E942A7">
        <w:rPr>
          <w:i/>
          <w:sz w:val="22"/>
          <w:szCs w:val="22"/>
          <w:lang w:val="sr-Latn-CS"/>
        </w:rPr>
        <w:t>flip-off</w:t>
      </w:r>
      <w:r w:rsidRPr="00E942A7">
        <w:rPr>
          <w:sz w:val="22"/>
          <w:szCs w:val="22"/>
          <w:lang w:val="sr-Latn-CS"/>
        </w:rPr>
        <w:t xml:space="preserve"> poklopcem.</w:t>
      </w:r>
    </w:p>
    <w:p w:rsidR="006F5DA1" w:rsidRPr="00E942A7" w:rsidRDefault="006F5DA1" w:rsidP="006F5DA1">
      <w:pPr>
        <w:tabs>
          <w:tab w:val="left" w:pos="540"/>
          <w:tab w:val="left" w:pos="569"/>
        </w:tabs>
        <w:jc w:val="both"/>
        <w:rPr>
          <w:bCs/>
          <w:sz w:val="22"/>
          <w:szCs w:val="22"/>
          <w:lang w:val="sr-Latn-CS"/>
        </w:rPr>
      </w:pPr>
    </w:p>
    <w:p w:rsidR="006F5DA1" w:rsidRPr="00E942A7" w:rsidRDefault="006F5DA1" w:rsidP="006F5DA1">
      <w:pPr>
        <w:tabs>
          <w:tab w:val="left" w:pos="540"/>
          <w:tab w:val="left" w:pos="569"/>
        </w:tabs>
        <w:jc w:val="both"/>
        <w:rPr>
          <w:b/>
          <w:bCs/>
          <w:sz w:val="22"/>
          <w:szCs w:val="22"/>
          <w:lang w:val="pl-PL"/>
        </w:rPr>
      </w:pPr>
      <w:r w:rsidRPr="00E942A7">
        <w:rPr>
          <w:b/>
          <w:bCs/>
          <w:sz w:val="22"/>
          <w:szCs w:val="22"/>
          <w:lang w:val="pl-PL"/>
        </w:rPr>
        <w:t xml:space="preserve">6.6. </w:t>
      </w:r>
      <w:r w:rsidRPr="00E942A7">
        <w:rPr>
          <w:b/>
          <w:bCs/>
          <w:sz w:val="22"/>
          <w:szCs w:val="22"/>
          <w:lang w:val="pl-PL"/>
        </w:rPr>
        <w:tab/>
        <w:t xml:space="preserve">Posebne mjere opreza pri odlaganju materijala koji treba odbaciti nakon primjene lijeka </w:t>
      </w:r>
    </w:p>
    <w:p w:rsidR="006F5DA1" w:rsidRPr="00E942A7" w:rsidRDefault="006F5DA1" w:rsidP="006F5DA1">
      <w:pPr>
        <w:shd w:val="clear" w:color="auto" w:fill="FFFFFF"/>
        <w:spacing w:before="187" w:line="235" w:lineRule="exact"/>
        <w:jc w:val="both"/>
        <w:rPr>
          <w:spacing w:val="2"/>
          <w:sz w:val="22"/>
          <w:szCs w:val="22"/>
          <w:lang w:val="sr-Latn-CS"/>
        </w:rPr>
      </w:pPr>
      <w:r w:rsidRPr="00E942A7">
        <w:rPr>
          <w:spacing w:val="2"/>
          <w:sz w:val="22"/>
          <w:szCs w:val="22"/>
          <w:lang w:val="sr-Latn-CS"/>
        </w:rPr>
        <w:t>Prije primjene, 5 ml koncentrata iz jedne bočice ili p</w:t>
      </w:r>
      <w:r w:rsidRPr="00E942A7">
        <w:rPr>
          <w:spacing w:val="3"/>
          <w:sz w:val="22"/>
          <w:szCs w:val="22"/>
          <w:lang w:val="sr-Latn-CS"/>
        </w:rPr>
        <w:t xml:space="preserve">otrebna količina koncentrata koja se izvuče iz bočice, se dalje razblažuje sa 100 ml rastvora za infuziju koji ne sadrži kalcijum (0,9% </w:t>
      </w:r>
      <w:r w:rsidRPr="00E942A7">
        <w:rPr>
          <w:spacing w:val="2"/>
          <w:sz w:val="22"/>
          <w:szCs w:val="22"/>
          <w:lang w:val="sr-Latn-CS"/>
        </w:rPr>
        <w:t xml:space="preserve">rastvor </w:t>
      </w:r>
      <w:r w:rsidRPr="00E942A7">
        <w:rPr>
          <w:spacing w:val="3"/>
          <w:sz w:val="22"/>
          <w:szCs w:val="22"/>
          <w:lang w:val="sr-Latn-CS"/>
        </w:rPr>
        <w:t xml:space="preserve">natrijum hlorida </w:t>
      </w:r>
      <w:r w:rsidRPr="00E942A7">
        <w:rPr>
          <w:spacing w:val="2"/>
          <w:sz w:val="22"/>
          <w:szCs w:val="22"/>
          <w:lang w:val="sr-Latn-CS"/>
        </w:rPr>
        <w:t xml:space="preserve">ili 5% rastvor glukoze). </w:t>
      </w:r>
    </w:p>
    <w:p w:rsidR="006F5DA1" w:rsidRPr="00E942A7" w:rsidRDefault="006F5DA1" w:rsidP="006F5DA1">
      <w:pPr>
        <w:shd w:val="clear" w:color="auto" w:fill="FFFFFF"/>
        <w:spacing w:before="187" w:line="235" w:lineRule="exact"/>
        <w:jc w:val="both"/>
        <w:rPr>
          <w:spacing w:val="2"/>
          <w:sz w:val="22"/>
          <w:szCs w:val="22"/>
          <w:lang w:val="sr-Latn-CS"/>
        </w:rPr>
      </w:pPr>
      <w:r w:rsidRPr="00E942A7">
        <w:rPr>
          <w:spacing w:val="2"/>
          <w:sz w:val="22"/>
          <w:szCs w:val="22"/>
          <w:lang w:val="sr-Latn-CS"/>
        </w:rPr>
        <w:t xml:space="preserve">Dodatne informacije o primjeni </w:t>
      </w:r>
      <w:r w:rsidRPr="00E942A7">
        <w:rPr>
          <w:spacing w:val="3"/>
          <w:sz w:val="22"/>
          <w:szCs w:val="22"/>
          <w:lang w:val="sr-Latn-CS"/>
        </w:rPr>
        <w:t>zoledronske kiseline</w:t>
      </w:r>
      <w:r w:rsidRPr="00E942A7">
        <w:rPr>
          <w:spacing w:val="2"/>
          <w:sz w:val="22"/>
          <w:szCs w:val="22"/>
          <w:lang w:val="sr-Latn-CS"/>
        </w:rPr>
        <w:t>, uključujući način pripreme redukovanih doza, je naveden u odjeljku 4.2.</w:t>
      </w:r>
    </w:p>
    <w:p w:rsidR="006F5DA1" w:rsidRPr="00E942A7" w:rsidRDefault="006F5DA1" w:rsidP="006F5DA1">
      <w:pPr>
        <w:shd w:val="clear" w:color="auto" w:fill="FFFFFF"/>
        <w:spacing w:before="187" w:line="235" w:lineRule="exact"/>
        <w:jc w:val="both"/>
        <w:rPr>
          <w:spacing w:val="2"/>
          <w:sz w:val="22"/>
          <w:szCs w:val="22"/>
          <w:lang w:val="sr-Latn-CS"/>
        </w:rPr>
      </w:pPr>
      <w:r w:rsidRPr="00E942A7">
        <w:rPr>
          <w:spacing w:val="2"/>
          <w:sz w:val="22"/>
          <w:szCs w:val="22"/>
          <w:lang w:val="sr-Latn-CS"/>
        </w:rPr>
        <w:t>Infuzija se mora pripremati pod aseptičnim uslovima. Samo za jednokratnu upotrebu.</w:t>
      </w:r>
    </w:p>
    <w:p w:rsidR="006F5DA1" w:rsidRPr="00E942A7" w:rsidRDefault="006F5DA1" w:rsidP="006F5DA1">
      <w:pPr>
        <w:shd w:val="clear" w:color="auto" w:fill="FFFFFF"/>
        <w:spacing w:before="187" w:line="235" w:lineRule="exact"/>
        <w:jc w:val="both"/>
        <w:rPr>
          <w:spacing w:val="2"/>
          <w:sz w:val="22"/>
          <w:szCs w:val="22"/>
          <w:lang w:val="sr-Latn-CS"/>
        </w:rPr>
      </w:pPr>
      <w:r w:rsidRPr="00E942A7">
        <w:rPr>
          <w:spacing w:val="2"/>
          <w:sz w:val="22"/>
          <w:szCs w:val="22"/>
          <w:lang w:val="sr-Latn-CS"/>
        </w:rPr>
        <w:t>Treba koristiti samo bistar rastvor bez prisutnih čestica i promjene boje.</w:t>
      </w:r>
    </w:p>
    <w:p w:rsidR="006F5DA1" w:rsidRPr="00E942A7" w:rsidRDefault="006F5DA1" w:rsidP="006F5DA1">
      <w:pPr>
        <w:shd w:val="clear" w:color="auto" w:fill="FFFFFF"/>
        <w:spacing w:before="187" w:line="235" w:lineRule="exact"/>
        <w:jc w:val="both"/>
        <w:rPr>
          <w:spacing w:val="2"/>
          <w:sz w:val="22"/>
          <w:szCs w:val="22"/>
          <w:lang w:val="sr-Latn-CS"/>
        </w:rPr>
      </w:pPr>
      <w:r w:rsidRPr="00E942A7">
        <w:rPr>
          <w:spacing w:val="2"/>
          <w:sz w:val="22"/>
          <w:szCs w:val="22"/>
          <w:lang w:val="sr-Latn-CS"/>
        </w:rPr>
        <w:t>Zdravstvenim radnicima se savjetuje da ne uklanjaju ovaj lijek putem kanalizacije.</w:t>
      </w:r>
    </w:p>
    <w:p w:rsidR="006F5DA1" w:rsidRPr="00E942A7" w:rsidRDefault="006F5DA1" w:rsidP="006F5DA1">
      <w:pPr>
        <w:tabs>
          <w:tab w:val="left" w:pos="284"/>
        </w:tabs>
        <w:jc w:val="both"/>
        <w:rPr>
          <w:spacing w:val="2"/>
          <w:sz w:val="22"/>
          <w:szCs w:val="22"/>
          <w:lang w:val="sr-Latn-CS"/>
        </w:rPr>
      </w:pPr>
    </w:p>
    <w:p w:rsidR="006F5DA1" w:rsidRPr="00E942A7" w:rsidRDefault="006F5DA1" w:rsidP="006F5DA1">
      <w:pPr>
        <w:tabs>
          <w:tab w:val="left" w:pos="284"/>
        </w:tabs>
        <w:jc w:val="both"/>
        <w:rPr>
          <w:sz w:val="22"/>
          <w:szCs w:val="22"/>
          <w:lang w:val="sr-Latn-CS" w:eastAsia="hr-HR"/>
        </w:rPr>
      </w:pPr>
      <w:r w:rsidRPr="00E942A7">
        <w:rPr>
          <w:sz w:val="22"/>
          <w:szCs w:val="22"/>
          <w:lang w:val="sr-Latn-CS" w:eastAsia="hr-HR"/>
        </w:rPr>
        <w:t>Odlaganje materijala koji treba odbaciti nakon primjene lijeka se obavlja u skladu sa važećim propisima.</w:t>
      </w:r>
    </w:p>
    <w:p w:rsidR="006F5DA1" w:rsidRPr="00E942A7" w:rsidRDefault="006F5DA1" w:rsidP="006F5DA1">
      <w:pPr>
        <w:tabs>
          <w:tab w:val="left" w:pos="284"/>
        </w:tabs>
        <w:jc w:val="both"/>
        <w:rPr>
          <w:sz w:val="22"/>
          <w:szCs w:val="22"/>
          <w:lang w:val="sr-Latn-CS" w:eastAsia="hr-HR"/>
        </w:rPr>
      </w:pPr>
    </w:p>
    <w:p w:rsidR="006F5DA1" w:rsidRPr="00E942A7" w:rsidRDefault="006F5DA1" w:rsidP="006F5DA1">
      <w:pPr>
        <w:tabs>
          <w:tab w:val="left" w:pos="540"/>
          <w:tab w:val="left" w:pos="569"/>
        </w:tabs>
        <w:jc w:val="both"/>
        <w:rPr>
          <w:b/>
          <w:bCs/>
          <w:sz w:val="22"/>
          <w:szCs w:val="22"/>
          <w:lang w:val="en-US"/>
        </w:rPr>
      </w:pPr>
      <w:r w:rsidRPr="00E942A7">
        <w:rPr>
          <w:b/>
          <w:bCs/>
          <w:sz w:val="22"/>
          <w:szCs w:val="22"/>
          <w:lang w:val="en-US"/>
        </w:rPr>
        <w:t xml:space="preserve">6.7. </w:t>
      </w:r>
      <w:r w:rsidRPr="00E942A7">
        <w:rPr>
          <w:b/>
          <w:bCs/>
          <w:sz w:val="22"/>
          <w:szCs w:val="22"/>
          <w:lang w:val="en-US"/>
        </w:rPr>
        <w:tab/>
        <w:t>Režim izdavanja lijeka</w:t>
      </w:r>
    </w:p>
    <w:p w:rsidR="006F5DA1" w:rsidRPr="00E942A7" w:rsidRDefault="006F5DA1" w:rsidP="006F5DA1">
      <w:pPr>
        <w:tabs>
          <w:tab w:val="left" w:pos="540"/>
          <w:tab w:val="left" w:pos="569"/>
        </w:tabs>
        <w:jc w:val="both"/>
        <w:rPr>
          <w:bCs/>
          <w:sz w:val="22"/>
          <w:szCs w:val="22"/>
          <w:lang w:val="en-US"/>
        </w:rPr>
      </w:pPr>
    </w:p>
    <w:p w:rsidR="006F5DA1" w:rsidRPr="00E942A7" w:rsidRDefault="006F5DA1" w:rsidP="006F5DA1">
      <w:pPr>
        <w:tabs>
          <w:tab w:val="left" w:pos="540"/>
          <w:tab w:val="left" w:pos="569"/>
        </w:tabs>
        <w:jc w:val="both"/>
        <w:rPr>
          <w:sz w:val="22"/>
          <w:szCs w:val="22"/>
          <w:lang w:val="sr-Latn-CS"/>
        </w:rPr>
      </w:pPr>
      <w:r w:rsidRPr="00E942A7">
        <w:rPr>
          <w:sz w:val="22"/>
          <w:szCs w:val="22"/>
          <w:lang w:val="sr-Latn-CS"/>
        </w:rPr>
        <w:t>Lijek se može upotrebljavati samo u stacionarnoj zdravstvenoj ustanovi.</w:t>
      </w:r>
    </w:p>
    <w:p w:rsidR="006F5DA1" w:rsidRPr="00E942A7" w:rsidRDefault="006F5DA1" w:rsidP="006F5DA1">
      <w:pPr>
        <w:tabs>
          <w:tab w:val="left" w:pos="540"/>
          <w:tab w:val="left" w:pos="569"/>
        </w:tabs>
        <w:jc w:val="both"/>
        <w:rPr>
          <w:b/>
          <w:bCs/>
          <w:sz w:val="22"/>
          <w:szCs w:val="22"/>
          <w:lang w:val="pl-PL"/>
        </w:rPr>
      </w:pPr>
    </w:p>
    <w:p w:rsidR="006F5DA1" w:rsidRPr="00E942A7" w:rsidRDefault="006F5DA1" w:rsidP="006F5DA1">
      <w:pPr>
        <w:tabs>
          <w:tab w:val="left" w:pos="540"/>
          <w:tab w:val="left" w:pos="569"/>
        </w:tabs>
        <w:jc w:val="both"/>
        <w:rPr>
          <w:b/>
          <w:bCs/>
          <w:sz w:val="22"/>
          <w:szCs w:val="22"/>
          <w:lang w:val="en-US"/>
        </w:rPr>
      </w:pPr>
      <w:r w:rsidRPr="00E942A7">
        <w:rPr>
          <w:b/>
          <w:bCs/>
          <w:sz w:val="22"/>
          <w:szCs w:val="22"/>
          <w:lang w:val="en-US"/>
        </w:rPr>
        <w:t xml:space="preserve">7. </w:t>
      </w:r>
      <w:r w:rsidRPr="00E942A7">
        <w:rPr>
          <w:b/>
          <w:bCs/>
          <w:sz w:val="22"/>
          <w:szCs w:val="22"/>
          <w:lang w:val="en-US"/>
        </w:rPr>
        <w:tab/>
        <w:t xml:space="preserve">NOSILAC DOZVOLE </w:t>
      </w:r>
    </w:p>
    <w:p w:rsidR="006F5DA1" w:rsidRPr="00E942A7" w:rsidRDefault="006F5DA1" w:rsidP="006F5DA1">
      <w:pPr>
        <w:tabs>
          <w:tab w:val="left" w:pos="3994"/>
        </w:tabs>
        <w:spacing w:line="360" w:lineRule="auto"/>
        <w:jc w:val="both"/>
        <w:rPr>
          <w:sz w:val="22"/>
          <w:szCs w:val="22"/>
          <w:lang w:val="hr-HR"/>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04754C" w:rsidRPr="00E942A7" w:rsidTr="0004754C">
        <w:trPr>
          <w:trHeight w:val="414"/>
          <w:jc w:val="center"/>
        </w:trPr>
        <w:tc>
          <w:tcPr>
            <w:tcW w:w="9360" w:type="dxa"/>
            <w:tcBorders>
              <w:top w:val="nil"/>
              <w:left w:val="nil"/>
              <w:bottom w:val="nil"/>
              <w:right w:val="nil"/>
            </w:tcBorders>
          </w:tcPr>
          <w:p w:rsidR="0004754C" w:rsidRPr="0004754C" w:rsidRDefault="0004754C" w:rsidP="0004754C">
            <w:pPr>
              <w:rPr>
                <w:sz w:val="24"/>
                <w:szCs w:val="24"/>
              </w:rPr>
            </w:pPr>
            <w:r w:rsidRPr="0004754C">
              <w:rPr>
                <w:sz w:val="24"/>
                <w:szCs w:val="24"/>
              </w:rPr>
              <w:t>Evropa Lek Pharma d.o.o. Podgorica</w:t>
            </w:r>
          </w:p>
        </w:tc>
      </w:tr>
      <w:tr w:rsidR="0004754C" w:rsidRPr="00E942A7" w:rsidTr="0004754C">
        <w:trPr>
          <w:trHeight w:val="392"/>
          <w:jc w:val="center"/>
        </w:trPr>
        <w:tc>
          <w:tcPr>
            <w:tcW w:w="9360" w:type="dxa"/>
            <w:tcBorders>
              <w:top w:val="nil"/>
              <w:left w:val="nil"/>
              <w:bottom w:val="nil"/>
              <w:right w:val="nil"/>
            </w:tcBorders>
          </w:tcPr>
          <w:p w:rsidR="0004754C" w:rsidRPr="0004754C" w:rsidRDefault="0004754C" w:rsidP="0004754C">
            <w:pPr>
              <w:rPr>
                <w:sz w:val="24"/>
                <w:szCs w:val="24"/>
              </w:rPr>
            </w:pPr>
            <w:r w:rsidRPr="0004754C">
              <w:rPr>
                <w:sz w:val="24"/>
                <w:szCs w:val="24"/>
              </w:rPr>
              <w:t>Kritskog odreda 4/1, 81000 Podgorica, Crna Gora</w:t>
            </w:r>
          </w:p>
        </w:tc>
      </w:tr>
    </w:tbl>
    <w:p w:rsidR="006F5DA1" w:rsidRPr="00E942A7" w:rsidRDefault="006F5DA1" w:rsidP="006F5DA1">
      <w:pPr>
        <w:tabs>
          <w:tab w:val="left" w:pos="540"/>
          <w:tab w:val="left" w:pos="569"/>
        </w:tabs>
        <w:jc w:val="both"/>
        <w:rPr>
          <w:bCs/>
          <w:sz w:val="22"/>
          <w:szCs w:val="22"/>
          <w:lang w:val="pl-PL"/>
        </w:rPr>
      </w:pPr>
    </w:p>
    <w:p w:rsidR="006F5DA1" w:rsidRPr="00E942A7" w:rsidRDefault="006F5DA1" w:rsidP="006F5DA1">
      <w:pPr>
        <w:tabs>
          <w:tab w:val="left" w:pos="540"/>
          <w:tab w:val="left" w:pos="569"/>
        </w:tabs>
        <w:jc w:val="both"/>
        <w:rPr>
          <w:b/>
          <w:bCs/>
          <w:sz w:val="22"/>
          <w:szCs w:val="22"/>
          <w:lang w:val="pl-PL"/>
        </w:rPr>
      </w:pPr>
      <w:r w:rsidRPr="00E942A7">
        <w:rPr>
          <w:b/>
          <w:bCs/>
          <w:sz w:val="22"/>
          <w:szCs w:val="22"/>
          <w:lang w:val="pl-PL"/>
        </w:rPr>
        <w:t xml:space="preserve">8. </w:t>
      </w:r>
      <w:r w:rsidRPr="00E942A7">
        <w:rPr>
          <w:b/>
          <w:bCs/>
          <w:sz w:val="22"/>
          <w:szCs w:val="22"/>
          <w:lang w:val="pl-PL"/>
        </w:rPr>
        <w:tab/>
        <w:t>BROJ PRVE DOZVOLE</w:t>
      </w:r>
    </w:p>
    <w:p w:rsidR="006F5DA1" w:rsidRPr="00E942A7" w:rsidRDefault="006F5DA1" w:rsidP="006F5DA1">
      <w:pPr>
        <w:tabs>
          <w:tab w:val="left" w:pos="540"/>
          <w:tab w:val="left" w:pos="569"/>
        </w:tabs>
        <w:jc w:val="both"/>
        <w:rPr>
          <w:bCs/>
          <w:sz w:val="22"/>
          <w:szCs w:val="22"/>
          <w:lang w:val="pl-PL"/>
        </w:rPr>
      </w:pPr>
    </w:p>
    <w:p w:rsidR="00CE007E" w:rsidRDefault="00CE007E" w:rsidP="00CE007E">
      <w:pPr>
        <w:tabs>
          <w:tab w:val="left" w:pos="540"/>
          <w:tab w:val="left" w:pos="569"/>
        </w:tabs>
        <w:jc w:val="both"/>
        <w:rPr>
          <w:bCs/>
          <w:sz w:val="22"/>
          <w:szCs w:val="22"/>
          <w:lang w:val="pl-PL"/>
        </w:rPr>
      </w:pPr>
      <w:r w:rsidRPr="00CE007E">
        <w:rPr>
          <w:bCs/>
          <w:sz w:val="22"/>
          <w:szCs w:val="22"/>
          <w:lang w:val="pl-PL"/>
        </w:rPr>
        <w:t>ZOLEDRONIC ACID HOSPIRA®, koncentrat za rastvor za infuziju,</w:t>
      </w:r>
      <w:r>
        <w:rPr>
          <w:bCs/>
          <w:sz w:val="22"/>
          <w:szCs w:val="22"/>
          <w:lang w:val="pl-PL"/>
        </w:rPr>
        <w:t xml:space="preserve"> </w:t>
      </w:r>
      <w:r w:rsidRPr="00CE007E">
        <w:rPr>
          <w:bCs/>
          <w:sz w:val="22"/>
          <w:szCs w:val="22"/>
          <w:lang w:val="pl-PL"/>
        </w:rPr>
        <w:t>4mg/5ml, bočica, 1x5ml</w:t>
      </w:r>
      <w:r>
        <w:rPr>
          <w:bCs/>
          <w:sz w:val="22"/>
          <w:szCs w:val="22"/>
          <w:lang w:val="pl-PL"/>
        </w:rPr>
        <w:t>:</w:t>
      </w:r>
    </w:p>
    <w:p w:rsidR="006F5DA1" w:rsidRDefault="00CE007E" w:rsidP="00CE007E">
      <w:pPr>
        <w:tabs>
          <w:tab w:val="left" w:pos="540"/>
          <w:tab w:val="left" w:pos="569"/>
        </w:tabs>
        <w:jc w:val="both"/>
        <w:rPr>
          <w:bCs/>
          <w:sz w:val="22"/>
          <w:szCs w:val="22"/>
          <w:lang w:val="pl-PL"/>
        </w:rPr>
      </w:pPr>
      <w:r w:rsidRPr="00CE007E">
        <w:rPr>
          <w:bCs/>
          <w:sz w:val="22"/>
          <w:szCs w:val="22"/>
          <w:lang w:val="pl-PL"/>
        </w:rPr>
        <w:t>2030/14/419 - 1278</w:t>
      </w:r>
    </w:p>
    <w:p w:rsidR="00CE007E" w:rsidRDefault="00CE007E" w:rsidP="00CE007E">
      <w:pPr>
        <w:tabs>
          <w:tab w:val="left" w:pos="540"/>
          <w:tab w:val="left" w:pos="569"/>
        </w:tabs>
        <w:jc w:val="both"/>
        <w:rPr>
          <w:bCs/>
          <w:sz w:val="22"/>
          <w:szCs w:val="22"/>
          <w:lang w:val="pl-PL"/>
        </w:rPr>
      </w:pPr>
    </w:p>
    <w:p w:rsidR="00CE007E" w:rsidRPr="00E942A7" w:rsidRDefault="00CE007E" w:rsidP="00CE007E">
      <w:pPr>
        <w:tabs>
          <w:tab w:val="left" w:pos="540"/>
          <w:tab w:val="left" w:pos="569"/>
        </w:tabs>
        <w:jc w:val="both"/>
        <w:rPr>
          <w:bCs/>
          <w:sz w:val="22"/>
          <w:szCs w:val="22"/>
          <w:lang w:val="pl-PL"/>
        </w:rPr>
      </w:pPr>
    </w:p>
    <w:p w:rsidR="006F5DA1" w:rsidRPr="00E942A7" w:rsidRDefault="006F5DA1" w:rsidP="006F5DA1">
      <w:pPr>
        <w:tabs>
          <w:tab w:val="left" w:pos="540"/>
          <w:tab w:val="left" w:pos="569"/>
        </w:tabs>
        <w:jc w:val="both"/>
        <w:rPr>
          <w:b/>
          <w:bCs/>
          <w:sz w:val="22"/>
          <w:szCs w:val="22"/>
          <w:lang w:val="pl-PL"/>
        </w:rPr>
      </w:pPr>
      <w:r w:rsidRPr="00E942A7">
        <w:rPr>
          <w:b/>
          <w:bCs/>
          <w:sz w:val="22"/>
          <w:szCs w:val="22"/>
          <w:lang w:val="pl-PL"/>
        </w:rPr>
        <w:t xml:space="preserve">9. </w:t>
      </w:r>
      <w:r w:rsidRPr="00E942A7">
        <w:rPr>
          <w:b/>
          <w:bCs/>
          <w:sz w:val="22"/>
          <w:szCs w:val="22"/>
          <w:lang w:val="pl-PL"/>
        </w:rPr>
        <w:tab/>
        <w:t>DATUM PRVE DOZVOLE</w:t>
      </w:r>
    </w:p>
    <w:p w:rsidR="00CE007E" w:rsidRDefault="00CE007E" w:rsidP="00CE007E">
      <w:pPr>
        <w:tabs>
          <w:tab w:val="left" w:pos="540"/>
          <w:tab w:val="left" w:pos="569"/>
        </w:tabs>
        <w:jc w:val="both"/>
        <w:rPr>
          <w:bCs/>
          <w:sz w:val="22"/>
          <w:szCs w:val="22"/>
          <w:lang w:val="pl-PL"/>
        </w:rPr>
      </w:pPr>
      <w:r w:rsidRPr="00CE007E">
        <w:rPr>
          <w:bCs/>
          <w:sz w:val="22"/>
          <w:szCs w:val="22"/>
          <w:lang w:val="pl-PL"/>
        </w:rPr>
        <w:t>ZOLEDRONIC ACID HOSPIRA®, koncentrat za rastvor za infuziju,</w:t>
      </w:r>
      <w:r>
        <w:rPr>
          <w:bCs/>
          <w:sz w:val="22"/>
          <w:szCs w:val="22"/>
          <w:lang w:val="pl-PL"/>
        </w:rPr>
        <w:t xml:space="preserve"> </w:t>
      </w:r>
      <w:r w:rsidRPr="00CE007E">
        <w:rPr>
          <w:bCs/>
          <w:sz w:val="22"/>
          <w:szCs w:val="22"/>
          <w:lang w:val="pl-PL"/>
        </w:rPr>
        <w:t>4mg/5ml, bočica, 1x5ml</w:t>
      </w:r>
      <w:r>
        <w:rPr>
          <w:bCs/>
          <w:sz w:val="22"/>
          <w:szCs w:val="22"/>
          <w:lang w:val="pl-PL"/>
        </w:rPr>
        <w:t>:</w:t>
      </w:r>
    </w:p>
    <w:p w:rsidR="00CE007E" w:rsidRDefault="00CE007E" w:rsidP="00CE007E">
      <w:pPr>
        <w:tabs>
          <w:tab w:val="left" w:pos="540"/>
          <w:tab w:val="left" w:pos="569"/>
        </w:tabs>
        <w:jc w:val="both"/>
        <w:rPr>
          <w:bCs/>
          <w:sz w:val="22"/>
          <w:szCs w:val="22"/>
          <w:lang w:val="pl-PL"/>
        </w:rPr>
      </w:pPr>
      <w:r w:rsidRPr="00CE007E">
        <w:rPr>
          <w:bCs/>
          <w:sz w:val="22"/>
          <w:szCs w:val="22"/>
          <w:lang w:val="pl-PL"/>
        </w:rPr>
        <w:t>28.10.2014. godine</w:t>
      </w:r>
    </w:p>
    <w:p w:rsidR="006F5DA1" w:rsidRPr="00E942A7" w:rsidRDefault="006F5DA1" w:rsidP="006F5DA1">
      <w:pPr>
        <w:tabs>
          <w:tab w:val="left" w:pos="540"/>
          <w:tab w:val="left" w:pos="569"/>
        </w:tabs>
        <w:jc w:val="both"/>
        <w:rPr>
          <w:bCs/>
          <w:sz w:val="22"/>
          <w:szCs w:val="22"/>
          <w:lang w:val="pl-PL"/>
        </w:rPr>
      </w:pPr>
    </w:p>
    <w:p w:rsidR="006F5DA1" w:rsidRPr="00E942A7" w:rsidRDefault="006F5DA1" w:rsidP="006F5DA1">
      <w:pPr>
        <w:tabs>
          <w:tab w:val="left" w:pos="540"/>
          <w:tab w:val="left" w:pos="569"/>
        </w:tabs>
        <w:jc w:val="both"/>
        <w:rPr>
          <w:bCs/>
          <w:sz w:val="22"/>
          <w:szCs w:val="22"/>
          <w:lang w:val="pl-PL"/>
        </w:rPr>
      </w:pPr>
    </w:p>
    <w:p w:rsidR="006F5DA1" w:rsidRPr="00E942A7" w:rsidRDefault="006F5DA1" w:rsidP="006F5DA1">
      <w:pPr>
        <w:tabs>
          <w:tab w:val="left" w:pos="540"/>
          <w:tab w:val="left" w:pos="569"/>
        </w:tabs>
        <w:jc w:val="both"/>
        <w:rPr>
          <w:b/>
          <w:bCs/>
          <w:sz w:val="22"/>
          <w:szCs w:val="22"/>
          <w:lang w:val="pl-PL"/>
        </w:rPr>
      </w:pPr>
      <w:r w:rsidRPr="00E942A7">
        <w:rPr>
          <w:b/>
          <w:bCs/>
          <w:sz w:val="22"/>
          <w:szCs w:val="22"/>
          <w:lang w:val="pl-PL"/>
        </w:rPr>
        <w:t xml:space="preserve">10. </w:t>
      </w:r>
      <w:r w:rsidRPr="00E942A7">
        <w:rPr>
          <w:b/>
          <w:bCs/>
          <w:sz w:val="22"/>
          <w:szCs w:val="22"/>
          <w:lang w:val="pl-PL"/>
        </w:rPr>
        <w:tab/>
        <w:t>DATUM POSLEDNJE REVIZIJE TEKSTA SAŽETKA OSNOVNIH KARAKTERISTIKA LIJEKA</w:t>
      </w:r>
    </w:p>
    <w:p w:rsidR="006F5DA1" w:rsidRPr="00E942A7" w:rsidRDefault="006F5DA1" w:rsidP="006F5DA1">
      <w:pPr>
        <w:tabs>
          <w:tab w:val="left" w:pos="540"/>
          <w:tab w:val="left" w:pos="569"/>
        </w:tabs>
        <w:jc w:val="both"/>
        <w:rPr>
          <w:bCs/>
          <w:sz w:val="22"/>
          <w:szCs w:val="22"/>
          <w:lang w:val="pl-PL"/>
        </w:rPr>
      </w:pPr>
    </w:p>
    <w:p w:rsidR="006F5DA1" w:rsidRPr="00E942A7" w:rsidRDefault="00CE007E" w:rsidP="006F5DA1">
      <w:pPr>
        <w:jc w:val="both"/>
        <w:rPr>
          <w:sz w:val="22"/>
          <w:szCs w:val="22"/>
          <w:lang w:val="pl-PL"/>
        </w:rPr>
      </w:pPr>
      <w:r>
        <w:rPr>
          <w:sz w:val="22"/>
          <w:szCs w:val="22"/>
          <w:lang w:val="pl-PL"/>
        </w:rPr>
        <w:t>Oktobar, 2014.</w:t>
      </w:r>
    </w:p>
    <w:p w:rsidR="006768CB" w:rsidRPr="00E942A7" w:rsidRDefault="006768CB" w:rsidP="008A47DC">
      <w:pPr>
        <w:rPr>
          <w:sz w:val="22"/>
          <w:szCs w:val="22"/>
        </w:rPr>
      </w:pPr>
    </w:p>
    <w:sectPr w:rsidR="006768CB" w:rsidRPr="00E942A7" w:rsidSect="00B86396">
      <w:headerReference w:type="default" r:id="rId10"/>
      <w:footerReference w:type="even" r:id="rId11"/>
      <w:footerReference w:type="default" r:id="rId12"/>
      <w:headerReference w:type="first" r:id="rId13"/>
      <w:footerReference w:type="first" r:id="rId14"/>
      <w:pgSz w:w="11907" w:h="16840" w:code="9"/>
      <w:pgMar w:top="2160" w:right="1138" w:bottom="1699" w:left="113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601A" w:rsidRDefault="009D601A">
      <w:r>
        <w:separator/>
      </w:r>
    </w:p>
  </w:endnote>
  <w:endnote w:type="continuationSeparator" w:id="0">
    <w:p w:rsidR="009D601A" w:rsidRDefault="009D60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Univers Condensed">
    <w:charset w:val="EE"/>
    <w:family w:val="swiss"/>
    <w:pitch w:val="variable"/>
    <w:sig w:usb0="00000007" w:usb1="00000000" w:usb2="00000000" w:usb3="00000000" w:csb0="00000093" w:csb1="00000000"/>
  </w:font>
  <w:font w:name="Humanist777">
    <w:altName w:val="Lucida Sans Unicode"/>
    <w:charset w:val="00"/>
    <w:family w:val="swiss"/>
    <w:pitch w:val="variable"/>
    <w:sig w:usb0="00000087" w:usb1="00000000" w:usb2="00000000" w:usb3="00000000" w:csb0="0000001B"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Dutch">
    <w:altName w:val="Courier New"/>
    <w:charset w:val="00"/>
    <w:family w:val="roman"/>
    <w:pitch w:val="variable"/>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6FDD" w:rsidRDefault="00756FDD"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56FDD" w:rsidRDefault="00756FDD" w:rsidP="00E7086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6FDD" w:rsidRDefault="00756FDD" w:rsidP="00E70869">
    <w:pPr>
      <w:pStyle w:val="Footer"/>
      <w:framePr w:wrap="around" w:vAnchor="text" w:hAnchor="margin" w:xAlign="right" w:y="1"/>
      <w:rPr>
        <w:rStyle w:val="PageNumber"/>
      </w:rPr>
    </w:pPr>
  </w:p>
  <w:p w:rsidR="00756FDD" w:rsidRDefault="00756FDD" w:rsidP="00F96E5A">
    <w:pPr>
      <w:pStyle w:val="Header"/>
      <w:pBdr>
        <w:top w:val="thinThickSmallGap" w:sz="24" w:space="1" w:color="auto"/>
      </w:pBdr>
      <w:jc w:val="center"/>
    </w:pPr>
  </w:p>
  <w:p w:rsidR="00756FDD" w:rsidRPr="00743A79" w:rsidRDefault="00756FDD" w:rsidP="00756FDD">
    <w:pPr>
      <w:pStyle w:val="Footer"/>
      <w:jc w:val="center"/>
      <w:rPr>
        <w:color w:val="E65900"/>
        <w:sz w:val="16"/>
        <w:szCs w:val="18"/>
      </w:rPr>
    </w:pPr>
    <w:r w:rsidRPr="00743A79">
      <w:rPr>
        <w:color w:val="FA0000"/>
        <w:sz w:val="16"/>
        <w:szCs w:val="18"/>
      </w:rPr>
      <w:t>Agencija za ljekove i medicinska sredstva Crne Gore,</w:t>
    </w:r>
    <w:r w:rsidRPr="00743A79">
      <w:rPr>
        <w:sz w:val="16"/>
        <w:szCs w:val="18"/>
      </w:rPr>
      <w:t xml:space="preserve"> </w:t>
    </w:r>
    <w:r w:rsidRPr="00743A79">
      <w:rPr>
        <w:color w:val="E65900"/>
        <w:sz w:val="16"/>
        <w:szCs w:val="18"/>
      </w:rPr>
      <w:t>81000 Podgorica, Bul. Ivana Crnojevića 64a</w:t>
    </w:r>
  </w:p>
  <w:p w:rsidR="00756FDD" w:rsidRDefault="00756FDD" w:rsidP="00756FDD">
    <w:pPr>
      <w:pStyle w:val="Footer"/>
      <w:jc w:val="center"/>
      <w:rPr>
        <w:color w:val="FA0000"/>
        <w:sz w:val="16"/>
        <w:szCs w:val="18"/>
      </w:rPr>
    </w:pPr>
    <w:r w:rsidRPr="00743A79">
      <w:rPr>
        <w:color w:val="E65900"/>
        <w:sz w:val="16"/>
        <w:szCs w:val="18"/>
      </w:rPr>
      <w:t xml:space="preserve">tel: +382 (0) 20 310 280 </w:t>
    </w:r>
    <w:r>
      <w:rPr>
        <w:color w:val="E65900"/>
        <w:sz w:val="16"/>
        <w:szCs w:val="18"/>
      </w:rPr>
      <w:t xml:space="preserve"> </w:t>
    </w:r>
    <w:r w:rsidRPr="00743A79">
      <w:rPr>
        <w:color w:val="FA0000"/>
        <w:sz w:val="16"/>
        <w:szCs w:val="18"/>
      </w:rPr>
      <w:t>fax: +382 (0) 20 310 581,</w:t>
    </w:r>
    <w:r w:rsidRPr="00743A79">
      <w:rPr>
        <w:sz w:val="16"/>
        <w:szCs w:val="18"/>
      </w:rPr>
      <w:t xml:space="preserve"> </w:t>
    </w:r>
    <w:r w:rsidRPr="00743A79">
      <w:rPr>
        <w:color w:val="E65900"/>
        <w:sz w:val="16"/>
        <w:szCs w:val="18"/>
      </w:rPr>
      <w:t>e-mail: info@calims.me,</w:t>
    </w:r>
    <w:r w:rsidRPr="00743A79">
      <w:rPr>
        <w:sz w:val="16"/>
        <w:szCs w:val="18"/>
      </w:rPr>
      <w:t xml:space="preserve"> </w:t>
    </w:r>
    <w:r w:rsidRPr="00743A79">
      <w:rPr>
        <w:color w:val="FA0000"/>
        <w:sz w:val="16"/>
        <w:szCs w:val="18"/>
      </w:rPr>
      <w:t>www.calims.me</w:t>
    </w:r>
    <w:r w:rsidRPr="00743A79">
      <w:rPr>
        <w:sz w:val="16"/>
        <w:szCs w:val="18"/>
      </w:rPr>
      <w:t xml:space="preserve">, </w:t>
    </w:r>
    <w:r w:rsidRPr="00743A79">
      <w:rPr>
        <w:color w:val="E65900"/>
        <w:sz w:val="16"/>
        <w:szCs w:val="18"/>
      </w:rPr>
      <w:t>PIB: 02739658,</w:t>
    </w:r>
    <w:r w:rsidRPr="00743A79">
      <w:rPr>
        <w:sz w:val="16"/>
        <w:szCs w:val="18"/>
      </w:rPr>
      <w:t xml:space="preserve"> </w:t>
    </w:r>
    <w:r w:rsidRPr="00743A79">
      <w:rPr>
        <w:color w:val="FA0000"/>
        <w:sz w:val="16"/>
        <w:szCs w:val="18"/>
      </w:rPr>
      <w:t>žiro račun: 520-3603-33</w:t>
    </w:r>
  </w:p>
  <w:p w:rsidR="002F3E4D" w:rsidRDefault="002F3E4D" w:rsidP="00756FDD">
    <w:pPr>
      <w:pStyle w:val="Footer"/>
      <w:jc w:val="center"/>
      <w:rPr>
        <w:sz w:val="16"/>
        <w:szCs w:val="18"/>
      </w:rPr>
    </w:pPr>
  </w:p>
  <w:p w:rsidR="002F3E4D" w:rsidRDefault="002F3E4D" w:rsidP="002F3E4D">
    <w:pPr>
      <w:pStyle w:val="Header"/>
    </w:pPr>
  </w:p>
  <w:p w:rsidR="00756FDD" w:rsidRPr="00F96E5A" w:rsidRDefault="00756FDD" w:rsidP="002F3E4D">
    <w:pPr>
      <w:pStyle w:val="Header"/>
      <w:jc w:val="center"/>
      <w:rPr>
        <w:sz w:val="22"/>
        <w:szCs w:val="22"/>
      </w:rPr>
    </w:pPr>
    <w:r w:rsidRPr="001F3C63">
      <w:rPr>
        <w:rStyle w:val="PageNumber"/>
      </w:rPr>
      <w:fldChar w:fldCharType="begin"/>
    </w:r>
    <w:r w:rsidRPr="001F3C63">
      <w:rPr>
        <w:rStyle w:val="PageNumber"/>
      </w:rPr>
      <w:instrText xml:space="preserve"> PAGE </w:instrText>
    </w:r>
    <w:r w:rsidRPr="001F3C63">
      <w:rPr>
        <w:rStyle w:val="PageNumber"/>
      </w:rPr>
      <w:fldChar w:fldCharType="separate"/>
    </w:r>
    <w:r w:rsidR="0004754C">
      <w:rPr>
        <w:rStyle w:val="PageNumber"/>
        <w:noProof/>
      </w:rPr>
      <w:t>8</w:t>
    </w:r>
    <w:r w:rsidRPr="001F3C63">
      <w:rPr>
        <w:rStyle w:val="PageNumber"/>
      </w:rPr>
      <w:fldChar w:fldCharType="end"/>
    </w:r>
    <w:r>
      <w:rPr>
        <w:rStyle w:val="PageNumber"/>
      </w:rPr>
      <w:t xml:space="preserve"> / </w:t>
    </w:r>
    <w:r w:rsidRPr="001F3C63">
      <w:rPr>
        <w:rStyle w:val="PageNumber"/>
      </w:rPr>
      <w:fldChar w:fldCharType="begin"/>
    </w:r>
    <w:r w:rsidRPr="001F3C63">
      <w:rPr>
        <w:rStyle w:val="PageNumber"/>
      </w:rPr>
      <w:instrText xml:space="preserve"> NUMPAGES </w:instrText>
    </w:r>
    <w:r w:rsidRPr="001F3C63">
      <w:rPr>
        <w:rStyle w:val="PageNumber"/>
      </w:rPr>
      <w:fldChar w:fldCharType="separate"/>
    </w:r>
    <w:r w:rsidR="0004754C">
      <w:rPr>
        <w:rStyle w:val="PageNumber"/>
        <w:noProof/>
      </w:rPr>
      <w:t>22</w:t>
    </w:r>
    <w:r w:rsidRPr="001F3C63">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6FDD" w:rsidRDefault="00756FDD" w:rsidP="0008350D">
    <w:pPr>
      <w:pStyle w:val="Footer"/>
      <w:pBdr>
        <w:top w:val="thinThickSmallGap" w:sz="24" w:space="1" w:color="auto"/>
      </w:pBd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601A" w:rsidRDefault="009D601A">
      <w:r>
        <w:separator/>
      </w:r>
    </w:p>
  </w:footnote>
  <w:footnote w:type="continuationSeparator" w:id="0">
    <w:p w:rsidR="009D601A" w:rsidRDefault="009D60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6FDD" w:rsidRDefault="00756FDD" w:rsidP="00615ADD">
    <w:pPr>
      <w:pStyle w:val="Header"/>
      <w:rPr>
        <w:sz w:val="16"/>
        <w:szCs w:val="16"/>
      </w:rPr>
    </w:pPr>
  </w:p>
  <w:p w:rsidR="00756FDD" w:rsidRDefault="005C10C6" w:rsidP="00471E3E">
    <w:pPr>
      <w:pStyle w:val="Header"/>
      <w:pBdr>
        <w:top w:val="thinThickSmallGap" w:sz="24" w:space="2" w:color="auto"/>
      </w:pBdr>
      <w:rPr>
        <w:sz w:val="16"/>
        <w:szCs w:val="16"/>
      </w:rPr>
    </w:pPr>
    <w:r>
      <w:rPr>
        <w:noProof/>
        <w:sz w:val="16"/>
        <w:szCs w:val="16"/>
        <w:lang w:val="en-US"/>
      </w:rPr>
      <w:drawing>
        <wp:inline distT="0" distB="0" distL="0" distR="0">
          <wp:extent cx="1419225" cy="971550"/>
          <wp:effectExtent l="0" t="0" r="9525" b="0"/>
          <wp:docPr id="1" name="Picture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p>
  <w:p w:rsidR="0006562A" w:rsidRPr="00615ADD" w:rsidRDefault="0006562A" w:rsidP="00471E3E">
    <w:pPr>
      <w:pStyle w:val="Header"/>
      <w:pBdr>
        <w:top w:val="thinThickSmallGap" w:sz="24" w:space="2"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6FDD" w:rsidRDefault="005C10C6">
    <w:pPr>
      <w:pStyle w:val="Header"/>
      <w:rPr>
        <w:sz w:val="16"/>
        <w:szCs w:val="16"/>
      </w:rPr>
    </w:pPr>
    <w:r>
      <w:rPr>
        <w:noProof/>
        <w:sz w:val="16"/>
        <w:szCs w:val="16"/>
        <w:lang w:val="en-US"/>
      </w:rPr>
      <w:drawing>
        <wp:inline distT="0" distB="0" distL="0" distR="0">
          <wp:extent cx="1447800" cy="266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7800" cy="266700"/>
                  </a:xfrm>
                  <a:prstGeom prst="rect">
                    <a:avLst/>
                  </a:prstGeom>
                  <a:noFill/>
                  <a:ln>
                    <a:noFill/>
                  </a:ln>
                </pic:spPr>
              </pic:pic>
            </a:graphicData>
          </a:graphic>
        </wp:inline>
      </w:drawing>
    </w:r>
  </w:p>
  <w:p w:rsidR="00756FDD" w:rsidRDefault="00756FDD">
    <w:pPr>
      <w:pStyle w:val="Header"/>
      <w:rPr>
        <w:sz w:val="16"/>
        <w:szCs w:val="16"/>
      </w:rPr>
    </w:pPr>
  </w:p>
  <w:p w:rsidR="00756FDD" w:rsidRDefault="00756FDD" w:rsidP="0008350D">
    <w:pPr>
      <w:pStyle w:val="Header"/>
      <w:pBdr>
        <w:top w:val="thinThickSmallGap" w:sz="24"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decimal"/>
      <w:lvlText w:val="%1."/>
      <w:lvlJc w:val="left"/>
      <w:pPr>
        <w:tabs>
          <w:tab w:val="num" w:pos="0"/>
        </w:tabs>
        <w:ind w:left="0" w:firstLine="0"/>
      </w:pPr>
      <w:rPr>
        <w:b w:val="0"/>
        <w:i w:val="0"/>
        <w:sz w:val="22"/>
        <w:szCs w:val="22"/>
      </w:rPr>
    </w:lvl>
  </w:abstractNum>
  <w:abstractNum w:abstractNumId="1" w15:restartNumberingAfterBreak="0">
    <w:nsid w:val="00000003"/>
    <w:multiLevelType w:val="singleLevel"/>
    <w:tmpl w:val="00000003"/>
    <w:name w:val="WW8Num4"/>
    <w:lvl w:ilvl="0">
      <w:start w:val="1"/>
      <w:numFmt w:val="bullet"/>
      <w:lvlText w:val=""/>
      <w:lvlJc w:val="left"/>
      <w:pPr>
        <w:tabs>
          <w:tab w:val="num" w:pos="2534"/>
        </w:tabs>
        <w:ind w:left="2534" w:hanging="360"/>
      </w:pPr>
      <w:rPr>
        <w:rFonts w:ascii="Symbol" w:hAnsi="Symbol"/>
      </w:rPr>
    </w:lvl>
  </w:abstractNum>
  <w:abstractNum w:abstractNumId="2" w15:restartNumberingAfterBreak="0">
    <w:nsid w:val="00000004"/>
    <w:multiLevelType w:val="singleLevel"/>
    <w:tmpl w:val="00000004"/>
    <w:name w:val="WW8Num5"/>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05"/>
    <w:multiLevelType w:val="singleLevel"/>
    <w:tmpl w:val="00000005"/>
    <w:name w:val="WW8Num7"/>
    <w:lvl w:ilvl="0">
      <w:numFmt w:val="bullet"/>
      <w:lvlText w:val="-"/>
      <w:lvlJc w:val="left"/>
      <w:pPr>
        <w:tabs>
          <w:tab w:val="num" w:pos="0"/>
        </w:tabs>
        <w:ind w:left="0" w:firstLine="0"/>
      </w:pPr>
      <w:rPr>
        <w:rFonts w:ascii="Tahoma" w:hAnsi="Tahoma" w:cs="Symbol"/>
        <w:i/>
        <w:iCs/>
        <w:color w:val="000000"/>
        <w:sz w:val="22"/>
        <w:szCs w:val="22"/>
      </w:rPr>
    </w:lvl>
  </w:abstractNum>
  <w:abstractNum w:abstractNumId="4" w15:restartNumberingAfterBreak="0">
    <w:nsid w:val="00000006"/>
    <w:multiLevelType w:val="singleLevel"/>
    <w:tmpl w:val="00000006"/>
    <w:name w:val="WW8Num12"/>
    <w:lvl w:ilvl="0">
      <w:start w:val="1"/>
      <w:numFmt w:val="bullet"/>
      <w:lvlText w:val=""/>
      <w:lvlJc w:val="left"/>
      <w:pPr>
        <w:tabs>
          <w:tab w:val="num" w:pos="2534"/>
        </w:tabs>
        <w:ind w:left="2534" w:hanging="360"/>
      </w:pPr>
      <w:rPr>
        <w:rFonts w:ascii="Symbol" w:hAnsi="Symbol"/>
      </w:rPr>
    </w:lvl>
  </w:abstractNum>
  <w:abstractNum w:abstractNumId="5" w15:restartNumberingAfterBreak="0">
    <w:nsid w:val="00000007"/>
    <w:multiLevelType w:val="singleLevel"/>
    <w:tmpl w:val="00000007"/>
    <w:name w:val="WW8Num13"/>
    <w:lvl w:ilvl="0">
      <w:start w:val="1"/>
      <w:numFmt w:val="bullet"/>
      <w:lvlText w:val=""/>
      <w:lvlJc w:val="left"/>
      <w:pPr>
        <w:tabs>
          <w:tab w:val="num" w:pos="720"/>
        </w:tabs>
        <w:ind w:left="720" w:hanging="360"/>
      </w:pPr>
      <w:rPr>
        <w:rFonts w:ascii="Symbol" w:hAnsi="Symbol"/>
      </w:rPr>
    </w:lvl>
  </w:abstractNum>
  <w:abstractNum w:abstractNumId="6"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7"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0F6A0DA3"/>
    <w:multiLevelType w:val="hybridMultilevel"/>
    <w:tmpl w:val="4D4A6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1DA13DA"/>
    <w:multiLevelType w:val="hybridMultilevel"/>
    <w:tmpl w:val="AB1E23E0"/>
    <w:lvl w:ilvl="0" w:tplc="141A0001">
      <w:start w:val="1"/>
      <w:numFmt w:val="bullet"/>
      <w:pStyle w:val="Bullet0dK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1" w15:restartNumberingAfterBreak="0">
    <w:nsid w:val="160902A4"/>
    <w:multiLevelType w:val="hybridMultilevel"/>
    <w:tmpl w:val="F1142722"/>
    <w:lvl w:ilvl="0" w:tplc="DCD69558">
      <w:start w:val="1"/>
      <w:numFmt w:val="bullet"/>
      <w:lvlText w:val="-"/>
      <w:lvlJc w:val="left"/>
      <w:pPr>
        <w:tabs>
          <w:tab w:val="num" w:pos="1363"/>
        </w:tabs>
        <w:ind w:left="1363" w:hanging="360"/>
      </w:pPr>
      <w:rPr>
        <w:rFonts w:ascii="Times New Roman" w:hAnsi="Times New Roman" w:cs="Times New Roman" w:hint="default"/>
      </w:rPr>
    </w:lvl>
    <w:lvl w:ilvl="1" w:tplc="04090003" w:tentative="1">
      <w:start w:val="1"/>
      <w:numFmt w:val="bullet"/>
      <w:lvlText w:val="o"/>
      <w:lvlJc w:val="left"/>
      <w:pPr>
        <w:tabs>
          <w:tab w:val="num" w:pos="2083"/>
        </w:tabs>
        <w:ind w:left="2083" w:hanging="360"/>
      </w:pPr>
      <w:rPr>
        <w:rFonts w:ascii="Courier New" w:hAnsi="Courier New" w:cs="Courier New" w:hint="default"/>
      </w:rPr>
    </w:lvl>
    <w:lvl w:ilvl="2" w:tplc="04090005" w:tentative="1">
      <w:start w:val="1"/>
      <w:numFmt w:val="bullet"/>
      <w:lvlText w:val=""/>
      <w:lvlJc w:val="left"/>
      <w:pPr>
        <w:tabs>
          <w:tab w:val="num" w:pos="2803"/>
        </w:tabs>
        <w:ind w:left="2803" w:hanging="360"/>
      </w:pPr>
      <w:rPr>
        <w:rFonts w:ascii="Wingdings" w:hAnsi="Wingdings" w:hint="default"/>
      </w:rPr>
    </w:lvl>
    <w:lvl w:ilvl="3" w:tplc="04090001" w:tentative="1">
      <w:start w:val="1"/>
      <w:numFmt w:val="bullet"/>
      <w:lvlText w:val=""/>
      <w:lvlJc w:val="left"/>
      <w:pPr>
        <w:tabs>
          <w:tab w:val="num" w:pos="3523"/>
        </w:tabs>
        <w:ind w:left="3523" w:hanging="360"/>
      </w:pPr>
      <w:rPr>
        <w:rFonts w:ascii="Symbol" w:hAnsi="Symbol" w:hint="default"/>
      </w:rPr>
    </w:lvl>
    <w:lvl w:ilvl="4" w:tplc="04090003" w:tentative="1">
      <w:start w:val="1"/>
      <w:numFmt w:val="bullet"/>
      <w:lvlText w:val="o"/>
      <w:lvlJc w:val="left"/>
      <w:pPr>
        <w:tabs>
          <w:tab w:val="num" w:pos="4243"/>
        </w:tabs>
        <w:ind w:left="4243" w:hanging="360"/>
      </w:pPr>
      <w:rPr>
        <w:rFonts w:ascii="Courier New" w:hAnsi="Courier New" w:cs="Courier New" w:hint="default"/>
      </w:rPr>
    </w:lvl>
    <w:lvl w:ilvl="5" w:tplc="04090005" w:tentative="1">
      <w:start w:val="1"/>
      <w:numFmt w:val="bullet"/>
      <w:lvlText w:val=""/>
      <w:lvlJc w:val="left"/>
      <w:pPr>
        <w:tabs>
          <w:tab w:val="num" w:pos="4963"/>
        </w:tabs>
        <w:ind w:left="4963" w:hanging="360"/>
      </w:pPr>
      <w:rPr>
        <w:rFonts w:ascii="Wingdings" w:hAnsi="Wingdings" w:hint="default"/>
      </w:rPr>
    </w:lvl>
    <w:lvl w:ilvl="6" w:tplc="04090001" w:tentative="1">
      <w:start w:val="1"/>
      <w:numFmt w:val="bullet"/>
      <w:lvlText w:val=""/>
      <w:lvlJc w:val="left"/>
      <w:pPr>
        <w:tabs>
          <w:tab w:val="num" w:pos="5683"/>
        </w:tabs>
        <w:ind w:left="5683" w:hanging="360"/>
      </w:pPr>
      <w:rPr>
        <w:rFonts w:ascii="Symbol" w:hAnsi="Symbol" w:hint="default"/>
      </w:rPr>
    </w:lvl>
    <w:lvl w:ilvl="7" w:tplc="04090003" w:tentative="1">
      <w:start w:val="1"/>
      <w:numFmt w:val="bullet"/>
      <w:lvlText w:val="o"/>
      <w:lvlJc w:val="left"/>
      <w:pPr>
        <w:tabs>
          <w:tab w:val="num" w:pos="6403"/>
        </w:tabs>
        <w:ind w:left="6403" w:hanging="360"/>
      </w:pPr>
      <w:rPr>
        <w:rFonts w:ascii="Courier New" w:hAnsi="Courier New" w:cs="Courier New" w:hint="default"/>
      </w:rPr>
    </w:lvl>
    <w:lvl w:ilvl="8" w:tplc="04090005" w:tentative="1">
      <w:start w:val="1"/>
      <w:numFmt w:val="bullet"/>
      <w:lvlText w:val=""/>
      <w:lvlJc w:val="left"/>
      <w:pPr>
        <w:tabs>
          <w:tab w:val="num" w:pos="7123"/>
        </w:tabs>
        <w:ind w:left="7123" w:hanging="360"/>
      </w:pPr>
      <w:rPr>
        <w:rFonts w:ascii="Wingdings" w:hAnsi="Wingdings" w:hint="default"/>
      </w:rPr>
    </w:lvl>
  </w:abstractNum>
  <w:abstractNum w:abstractNumId="12" w15:restartNumberingAfterBreak="0">
    <w:nsid w:val="180C299A"/>
    <w:multiLevelType w:val="hybridMultilevel"/>
    <w:tmpl w:val="383A8288"/>
    <w:lvl w:ilvl="0" w:tplc="FED84A6A">
      <w:start w:val="1"/>
      <w:numFmt w:val="decimal"/>
      <w:lvlText w:val="%1."/>
      <w:lvlJc w:val="left"/>
      <w:pPr>
        <w:ind w:left="828" w:hanging="360"/>
      </w:pPr>
      <w:rPr>
        <w:rFonts w:hint="default"/>
      </w:rPr>
    </w:lvl>
    <w:lvl w:ilvl="1" w:tplc="04090019" w:tentative="1">
      <w:start w:val="1"/>
      <w:numFmt w:val="lowerLetter"/>
      <w:lvlText w:val="%2."/>
      <w:lvlJc w:val="left"/>
      <w:pPr>
        <w:ind w:left="1548" w:hanging="360"/>
      </w:pPr>
    </w:lvl>
    <w:lvl w:ilvl="2" w:tplc="0409001B" w:tentative="1">
      <w:start w:val="1"/>
      <w:numFmt w:val="lowerRoman"/>
      <w:lvlText w:val="%3."/>
      <w:lvlJc w:val="right"/>
      <w:pPr>
        <w:ind w:left="2268" w:hanging="180"/>
      </w:pPr>
    </w:lvl>
    <w:lvl w:ilvl="3" w:tplc="0409000F" w:tentative="1">
      <w:start w:val="1"/>
      <w:numFmt w:val="decimal"/>
      <w:lvlText w:val="%4."/>
      <w:lvlJc w:val="left"/>
      <w:pPr>
        <w:ind w:left="2988" w:hanging="360"/>
      </w:pPr>
    </w:lvl>
    <w:lvl w:ilvl="4" w:tplc="04090019" w:tentative="1">
      <w:start w:val="1"/>
      <w:numFmt w:val="lowerLetter"/>
      <w:lvlText w:val="%5."/>
      <w:lvlJc w:val="left"/>
      <w:pPr>
        <w:ind w:left="3708" w:hanging="360"/>
      </w:pPr>
    </w:lvl>
    <w:lvl w:ilvl="5" w:tplc="0409001B" w:tentative="1">
      <w:start w:val="1"/>
      <w:numFmt w:val="lowerRoman"/>
      <w:lvlText w:val="%6."/>
      <w:lvlJc w:val="right"/>
      <w:pPr>
        <w:ind w:left="4428" w:hanging="180"/>
      </w:pPr>
    </w:lvl>
    <w:lvl w:ilvl="6" w:tplc="0409000F" w:tentative="1">
      <w:start w:val="1"/>
      <w:numFmt w:val="decimal"/>
      <w:lvlText w:val="%7."/>
      <w:lvlJc w:val="left"/>
      <w:pPr>
        <w:ind w:left="5148" w:hanging="360"/>
      </w:pPr>
    </w:lvl>
    <w:lvl w:ilvl="7" w:tplc="04090019" w:tentative="1">
      <w:start w:val="1"/>
      <w:numFmt w:val="lowerLetter"/>
      <w:lvlText w:val="%8."/>
      <w:lvlJc w:val="left"/>
      <w:pPr>
        <w:ind w:left="5868" w:hanging="360"/>
      </w:pPr>
    </w:lvl>
    <w:lvl w:ilvl="8" w:tplc="0409001B" w:tentative="1">
      <w:start w:val="1"/>
      <w:numFmt w:val="lowerRoman"/>
      <w:lvlText w:val="%9."/>
      <w:lvlJc w:val="right"/>
      <w:pPr>
        <w:ind w:left="6588" w:hanging="180"/>
      </w:pPr>
    </w:lvl>
  </w:abstractNum>
  <w:abstractNum w:abstractNumId="13" w15:restartNumberingAfterBreak="0">
    <w:nsid w:val="19B2052A"/>
    <w:multiLevelType w:val="hybridMultilevel"/>
    <w:tmpl w:val="8A3C940A"/>
    <w:lvl w:ilvl="0" w:tplc="0409000F">
      <w:start w:val="1"/>
      <w:numFmt w:val="decimal"/>
      <w:lvlText w:val="%1."/>
      <w:lvlJc w:val="left"/>
      <w:pPr>
        <w:ind w:left="1188" w:hanging="360"/>
      </w:pPr>
    </w:lvl>
    <w:lvl w:ilvl="1" w:tplc="04090019" w:tentative="1">
      <w:start w:val="1"/>
      <w:numFmt w:val="lowerLetter"/>
      <w:lvlText w:val="%2."/>
      <w:lvlJc w:val="left"/>
      <w:pPr>
        <w:ind w:left="1908" w:hanging="360"/>
      </w:pPr>
    </w:lvl>
    <w:lvl w:ilvl="2" w:tplc="0409001B" w:tentative="1">
      <w:start w:val="1"/>
      <w:numFmt w:val="lowerRoman"/>
      <w:lvlText w:val="%3."/>
      <w:lvlJc w:val="right"/>
      <w:pPr>
        <w:ind w:left="2628" w:hanging="180"/>
      </w:pPr>
    </w:lvl>
    <w:lvl w:ilvl="3" w:tplc="0409000F" w:tentative="1">
      <w:start w:val="1"/>
      <w:numFmt w:val="decimal"/>
      <w:lvlText w:val="%4."/>
      <w:lvlJc w:val="left"/>
      <w:pPr>
        <w:ind w:left="3348" w:hanging="360"/>
      </w:pPr>
    </w:lvl>
    <w:lvl w:ilvl="4" w:tplc="04090019" w:tentative="1">
      <w:start w:val="1"/>
      <w:numFmt w:val="lowerLetter"/>
      <w:lvlText w:val="%5."/>
      <w:lvlJc w:val="left"/>
      <w:pPr>
        <w:ind w:left="4068" w:hanging="360"/>
      </w:pPr>
    </w:lvl>
    <w:lvl w:ilvl="5" w:tplc="0409001B" w:tentative="1">
      <w:start w:val="1"/>
      <w:numFmt w:val="lowerRoman"/>
      <w:lvlText w:val="%6."/>
      <w:lvlJc w:val="right"/>
      <w:pPr>
        <w:ind w:left="4788" w:hanging="180"/>
      </w:pPr>
    </w:lvl>
    <w:lvl w:ilvl="6" w:tplc="0409000F" w:tentative="1">
      <w:start w:val="1"/>
      <w:numFmt w:val="decimal"/>
      <w:lvlText w:val="%7."/>
      <w:lvlJc w:val="left"/>
      <w:pPr>
        <w:ind w:left="5508" w:hanging="360"/>
      </w:pPr>
    </w:lvl>
    <w:lvl w:ilvl="7" w:tplc="04090019" w:tentative="1">
      <w:start w:val="1"/>
      <w:numFmt w:val="lowerLetter"/>
      <w:lvlText w:val="%8."/>
      <w:lvlJc w:val="left"/>
      <w:pPr>
        <w:ind w:left="6228" w:hanging="360"/>
      </w:pPr>
    </w:lvl>
    <w:lvl w:ilvl="8" w:tplc="0409001B" w:tentative="1">
      <w:start w:val="1"/>
      <w:numFmt w:val="lowerRoman"/>
      <w:lvlText w:val="%9."/>
      <w:lvlJc w:val="right"/>
      <w:pPr>
        <w:ind w:left="6948" w:hanging="180"/>
      </w:pPr>
    </w:lvl>
  </w:abstractNum>
  <w:abstractNum w:abstractNumId="14" w15:restartNumberingAfterBreak="0">
    <w:nsid w:val="207F6754"/>
    <w:multiLevelType w:val="hybridMultilevel"/>
    <w:tmpl w:val="C052991C"/>
    <w:lvl w:ilvl="0" w:tplc="5858AB44">
      <w:start w:val="1"/>
      <w:numFmt w:val="bullet"/>
      <w:lvlText w:val=""/>
      <w:lvlJc w:val="left"/>
      <w:pPr>
        <w:tabs>
          <w:tab w:val="num" w:pos="720"/>
        </w:tabs>
        <w:ind w:left="720" w:hanging="360"/>
      </w:pPr>
      <w:rPr>
        <w:rFonts w:ascii="Symbol" w:hAnsi="Symbol" w:hint="default"/>
        <w:color w:val="auto"/>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1A9796C"/>
    <w:multiLevelType w:val="hybridMultilevel"/>
    <w:tmpl w:val="CD20FFC6"/>
    <w:lvl w:ilvl="0" w:tplc="DCD69558">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2BC4382"/>
    <w:multiLevelType w:val="hybridMultilevel"/>
    <w:tmpl w:val="D4626D0E"/>
    <w:lvl w:ilvl="0" w:tplc="04090001">
      <w:start w:val="1"/>
      <w:numFmt w:val="bullet"/>
      <w:lvlText w:val=""/>
      <w:lvlJc w:val="left"/>
      <w:pPr>
        <w:ind w:left="720" w:hanging="360"/>
      </w:pPr>
      <w:rPr>
        <w:rFonts w:ascii="Symbol" w:hAnsi="Symbol" w:hint="default"/>
      </w:rPr>
    </w:lvl>
    <w:lvl w:ilvl="1" w:tplc="11D2F976">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24BD21B4"/>
    <w:multiLevelType w:val="hybridMultilevel"/>
    <w:tmpl w:val="F0EAC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2C4B6596"/>
    <w:multiLevelType w:val="hybridMultilevel"/>
    <w:tmpl w:val="CD408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2" w15:restartNumberingAfterBreak="0">
    <w:nsid w:val="2C5623F2"/>
    <w:multiLevelType w:val="hybridMultilevel"/>
    <w:tmpl w:val="798A0F3C"/>
    <w:lvl w:ilvl="0" w:tplc="EA88F52E">
      <w:start w:val="1"/>
      <w:numFmt w:val="bullet"/>
      <w:lvlText w:val=""/>
      <w:lvlJc w:val="left"/>
      <w:pPr>
        <w:tabs>
          <w:tab w:val="num" w:pos="720"/>
        </w:tabs>
        <w:ind w:left="720" w:hanging="363"/>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C7953F9"/>
    <w:multiLevelType w:val="hybridMultilevel"/>
    <w:tmpl w:val="7E32C2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5" w15:restartNumberingAfterBreak="0">
    <w:nsid w:val="2FA32F99"/>
    <w:multiLevelType w:val="hybridMultilevel"/>
    <w:tmpl w:val="8D660E0C"/>
    <w:lvl w:ilvl="0" w:tplc="081A0001">
      <w:start w:val="1"/>
      <w:numFmt w:val="bullet"/>
      <w:lvlText w:val=""/>
      <w:lvlJc w:val="left"/>
      <w:pPr>
        <w:tabs>
          <w:tab w:val="num" w:pos="720"/>
        </w:tabs>
        <w:ind w:left="720" w:hanging="360"/>
      </w:pPr>
      <w:rPr>
        <w:rFonts w:ascii="Symbol" w:hAnsi="Symbol"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3DA7C71"/>
    <w:multiLevelType w:val="hybridMultilevel"/>
    <w:tmpl w:val="8B049206"/>
    <w:lvl w:ilvl="0" w:tplc="5858AB44">
      <w:start w:val="1"/>
      <w:numFmt w:val="bullet"/>
      <w:lvlText w:val=""/>
      <w:lvlJc w:val="left"/>
      <w:pPr>
        <w:tabs>
          <w:tab w:val="num" w:pos="720"/>
        </w:tabs>
        <w:ind w:left="720" w:hanging="360"/>
      </w:pPr>
      <w:rPr>
        <w:rFonts w:ascii="Symbol" w:hAnsi="Symbol" w:hint="default"/>
        <w:color w:val="auto"/>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9522D6A"/>
    <w:multiLevelType w:val="hybridMultilevel"/>
    <w:tmpl w:val="08A28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E10204D"/>
    <w:multiLevelType w:val="hybridMultilevel"/>
    <w:tmpl w:val="9E5820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F79525A"/>
    <w:multiLevelType w:val="hybridMultilevel"/>
    <w:tmpl w:val="0D6C66FE"/>
    <w:lvl w:ilvl="0" w:tplc="04090001">
      <w:start w:val="1"/>
      <w:numFmt w:val="bullet"/>
      <w:lvlText w:val=""/>
      <w:lvlJc w:val="left"/>
      <w:pPr>
        <w:ind w:left="725" w:hanging="360"/>
      </w:pPr>
      <w:rPr>
        <w:rFonts w:ascii="Symbol" w:hAnsi="Symbol" w:hint="default"/>
      </w:rPr>
    </w:lvl>
    <w:lvl w:ilvl="1" w:tplc="04090003" w:tentative="1">
      <w:start w:val="1"/>
      <w:numFmt w:val="bullet"/>
      <w:lvlText w:val="o"/>
      <w:lvlJc w:val="left"/>
      <w:pPr>
        <w:ind w:left="1445" w:hanging="360"/>
      </w:pPr>
      <w:rPr>
        <w:rFonts w:ascii="Courier New" w:hAnsi="Courier New" w:cs="Courier New" w:hint="default"/>
      </w:rPr>
    </w:lvl>
    <w:lvl w:ilvl="2" w:tplc="04090005" w:tentative="1">
      <w:start w:val="1"/>
      <w:numFmt w:val="bullet"/>
      <w:lvlText w:val=""/>
      <w:lvlJc w:val="left"/>
      <w:pPr>
        <w:ind w:left="2165" w:hanging="360"/>
      </w:pPr>
      <w:rPr>
        <w:rFonts w:ascii="Wingdings" w:hAnsi="Wingdings" w:hint="default"/>
      </w:rPr>
    </w:lvl>
    <w:lvl w:ilvl="3" w:tplc="04090001" w:tentative="1">
      <w:start w:val="1"/>
      <w:numFmt w:val="bullet"/>
      <w:lvlText w:val=""/>
      <w:lvlJc w:val="left"/>
      <w:pPr>
        <w:ind w:left="2885" w:hanging="360"/>
      </w:pPr>
      <w:rPr>
        <w:rFonts w:ascii="Symbol" w:hAnsi="Symbol" w:hint="default"/>
      </w:rPr>
    </w:lvl>
    <w:lvl w:ilvl="4" w:tplc="04090003" w:tentative="1">
      <w:start w:val="1"/>
      <w:numFmt w:val="bullet"/>
      <w:lvlText w:val="o"/>
      <w:lvlJc w:val="left"/>
      <w:pPr>
        <w:ind w:left="3605" w:hanging="360"/>
      </w:pPr>
      <w:rPr>
        <w:rFonts w:ascii="Courier New" w:hAnsi="Courier New" w:cs="Courier New" w:hint="default"/>
      </w:rPr>
    </w:lvl>
    <w:lvl w:ilvl="5" w:tplc="04090005" w:tentative="1">
      <w:start w:val="1"/>
      <w:numFmt w:val="bullet"/>
      <w:lvlText w:val=""/>
      <w:lvlJc w:val="left"/>
      <w:pPr>
        <w:ind w:left="4325" w:hanging="360"/>
      </w:pPr>
      <w:rPr>
        <w:rFonts w:ascii="Wingdings" w:hAnsi="Wingdings" w:hint="default"/>
      </w:rPr>
    </w:lvl>
    <w:lvl w:ilvl="6" w:tplc="04090001" w:tentative="1">
      <w:start w:val="1"/>
      <w:numFmt w:val="bullet"/>
      <w:lvlText w:val=""/>
      <w:lvlJc w:val="left"/>
      <w:pPr>
        <w:ind w:left="5045" w:hanging="360"/>
      </w:pPr>
      <w:rPr>
        <w:rFonts w:ascii="Symbol" w:hAnsi="Symbol" w:hint="default"/>
      </w:rPr>
    </w:lvl>
    <w:lvl w:ilvl="7" w:tplc="04090003" w:tentative="1">
      <w:start w:val="1"/>
      <w:numFmt w:val="bullet"/>
      <w:lvlText w:val="o"/>
      <w:lvlJc w:val="left"/>
      <w:pPr>
        <w:ind w:left="5765" w:hanging="360"/>
      </w:pPr>
      <w:rPr>
        <w:rFonts w:ascii="Courier New" w:hAnsi="Courier New" w:cs="Courier New" w:hint="default"/>
      </w:rPr>
    </w:lvl>
    <w:lvl w:ilvl="8" w:tplc="04090005" w:tentative="1">
      <w:start w:val="1"/>
      <w:numFmt w:val="bullet"/>
      <w:lvlText w:val=""/>
      <w:lvlJc w:val="left"/>
      <w:pPr>
        <w:ind w:left="6485" w:hanging="360"/>
      </w:pPr>
      <w:rPr>
        <w:rFonts w:ascii="Wingdings" w:hAnsi="Wingdings" w:hint="default"/>
      </w:rPr>
    </w:lvl>
  </w:abstractNum>
  <w:abstractNum w:abstractNumId="30" w15:restartNumberingAfterBreak="0">
    <w:nsid w:val="3F8B01A8"/>
    <w:multiLevelType w:val="hybridMultilevel"/>
    <w:tmpl w:val="7B5E6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2" w15:restartNumberingAfterBreak="0">
    <w:nsid w:val="47E55B64"/>
    <w:multiLevelType w:val="hybridMultilevel"/>
    <w:tmpl w:val="897A7D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82D27A3"/>
    <w:multiLevelType w:val="multilevel"/>
    <w:tmpl w:val="B28EA512"/>
    <w:lvl w:ilvl="0">
      <w:start w:val="4"/>
      <w:numFmt w:val="decimal"/>
      <w:lvlText w:val="%1."/>
      <w:lvlJc w:val="left"/>
      <w:pPr>
        <w:tabs>
          <w:tab w:val="num" w:pos="360"/>
        </w:tabs>
        <w:ind w:left="360" w:hanging="360"/>
      </w:pPr>
      <w:rPr>
        <w:rFonts w:hint="default"/>
      </w:rPr>
    </w:lvl>
    <w:lvl w:ilvl="1">
      <w:start w:val="7"/>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4" w15:restartNumberingAfterBreak="0">
    <w:nsid w:val="49394B71"/>
    <w:multiLevelType w:val="hybridMultilevel"/>
    <w:tmpl w:val="71C05A08"/>
    <w:lvl w:ilvl="0" w:tplc="E2EAE46A">
      <w:start w:val="65535"/>
      <w:numFmt w:val="bullet"/>
      <w:lvlText w:val="•"/>
      <w:lvlJc w:val="left"/>
      <w:pPr>
        <w:tabs>
          <w:tab w:val="num" w:pos="0"/>
        </w:tabs>
        <w:ind w:left="0" w:firstLine="0"/>
      </w:pPr>
      <w:rPr>
        <w:rFonts w:ascii="Times New Roman Bold" w:hAnsi="Times New Roman Bold" w:cs="Times New Roman Bold"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EF1442B"/>
    <w:multiLevelType w:val="hybridMultilevel"/>
    <w:tmpl w:val="4E86BA18"/>
    <w:lvl w:ilvl="0" w:tplc="B42EFC72">
      <w:start w:val="1"/>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FC75406"/>
    <w:multiLevelType w:val="hybridMultilevel"/>
    <w:tmpl w:val="71B6D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9" w15:restartNumberingAfterBreak="0">
    <w:nsid w:val="555907F8"/>
    <w:multiLevelType w:val="hybridMultilevel"/>
    <w:tmpl w:val="52BA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7D84578"/>
    <w:multiLevelType w:val="hybridMultilevel"/>
    <w:tmpl w:val="C0CAC0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0C11E83"/>
    <w:multiLevelType w:val="hybridMultilevel"/>
    <w:tmpl w:val="6C1613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652F0C7B"/>
    <w:multiLevelType w:val="hybridMultilevel"/>
    <w:tmpl w:val="D9F4120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3" w15:restartNumberingAfterBreak="0">
    <w:nsid w:val="69326121"/>
    <w:multiLevelType w:val="hybridMultilevel"/>
    <w:tmpl w:val="D8F6E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6B6A1AA4"/>
    <w:multiLevelType w:val="hybridMultilevel"/>
    <w:tmpl w:val="82EC1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DB21C95"/>
    <w:multiLevelType w:val="hybridMultilevel"/>
    <w:tmpl w:val="80746C06"/>
    <w:lvl w:ilvl="0" w:tplc="0409000F">
      <w:start w:val="1"/>
      <w:numFmt w:val="decimal"/>
      <w:lvlText w:val="%1."/>
      <w:lvlJc w:val="left"/>
      <w:pPr>
        <w:ind w:left="1188" w:hanging="360"/>
      </w:pPr>
    </w:lvl>
    <w:lvl w:ilvl="1" w:tplc="04090019" w:tentative="1">
      <w:start w:val="1"/>
      <w:numFmt w:val="lowerLetter"/>
      <w:lvlText w:val="%2."/>
      <w:lvlJc w:val="left"/>
      <w:pPr>
        <w:ind w:left="1908" w:hanging="360"/>
      </w:pPr>
    </w:lvl>
    <w:lvl w:ilvl="2" w:tplc="0409001B" w:tentative="1">
      <w:start w:val="1"/>
      <w:numFmt w:val="lowerRoman"/>
      <w:lvlText w:val="%3."/>
      <w:lvlJc w:val="right"/>
      <w:pPr>
        <w:ind w:left="2628" w:hanging="180"/>
      </w:pPr>
    </w:lvl>
    <w:lvl w:ilvl="3" w:tplc="0409000F" w:tentative="1">
      <w:start w:val="1"/>
      <w:numFmt w:val="decimal"/>
      <w:lvlText w:val="%4."/>
      <w:lvlJc w:val="left"/>
      <w:pPr>
        <w:ind w:left="3348" w:hanging="360"/>
      </w:pPr>
    </w:lvl>
    <w:lvl w:ilvl="4" w:tplc="04090019" w:tentative="1">
      <w:start w:val="1"/>
      <w:numFmt w:val="lowerLetter"/>
      <w:lvlText w:val="%5."/>
      <w:lvlJc w:val="left"/>
      <w:pPr>
        <w:ind w:left="4068" w:hanging="360"/>
      </w:pPr>
    </w:lvl>
    <w:lvl w:ilvl="5" w:tplc="0409001B" w:tentative="1">
      <w:start w:val="1"/>
      <w:numFmt w:val="lowerRoman"/>
      <w:lvlText w:val="%6."/>
      <w:lvlJc w:val="right"/>
      <w:pPr>
        <w:ind w:left="4788" w:hanging="180"/>
      </w:pPr>
    </w:lvl>
    <w:lvl w:ilvl="6" w:tplc="0409000F" w:tentative="1">
      <w:start w:val="1"/>
      <w:numFmt w:val="decimal"/>
      <w:lvlText w:val="%7."/>
      <w:lvlJc w:val="left"/>
      <w:pPr>
        <w:ind w:left="5508" w:hanging="360"/>
      </w:pPr>
    </w:lvl>
    <w:lvl w:ilvl="7" w:tplc="04090019" w:tentative="1">
      <w:start w:val="1"/>
      <w:numFmt w:val="lowerLetter"/>
      <w:lvlText w:val="%8."/>
      <w:lvlJc w:val="left"/>
      <w:pPr>
        <w:ind w:left="6228" w:hanging="360"/>
      </w:pPr>
    </w:lvl>
    <w:lvl w:ilvl="8" w:tplc="0409001B" w:tentative="1">
      <w:start w:val="1"/>
      <w:numFmt w:val="lowerRoman"/>
      <w:lvlText w:val="%9."/>
      <w:lvlJc w:val="right"/>
      <w:pPr>
        <w:ind w:left="6948" w:hanging="180"/>
      </w:pPr>
    </w:lvl>
  </w:abstractNum>
  <w:abstractNum w:abstractNumId="47" w15:restartNumberingAfterBreak="0">
    <w:nsid w:val="705A010F"/>
    <w:multiLevelType w:val="hybridMultilevel"/>
    <w:tmpl w:val="92BA899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0E13769"/>
    <w:multiLevelType w:val="hybridMultilevel"/>
    <w:tmpl w:val="108657FA"/>
    <w:lvl w:ilvl="0" w:tplc="5858AB44">
      <w:start w:val="1"/>
      <w:numFmt w:val="bullet"/>
      <w:lvlText w:val=""/>
      <w:lvlJc w:val="left"/>
      <w:pPr>
        <w:tabs>
          <w:tab w:val="num" w:pos="720"/>
        </w:tabs>
        <w:ind w:left="720" w:hanging="360"/>
      </w:pPr>
      <w:rPr>
        <w:rFonts w:ascii="Symbol" w:hAnsi="Symbol" w:hint="default"/>
        <w:color w:val="auto"/>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3C936C2"/>
    <w:multiLevelType w:val="hybridMultilevel"/>
    <w:tmpl w:val="F6B8ADA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0" w15:restartNumberingAfterBreak="0">
    <w:nsid w:val="760B59FE"/>
    <w:multiLevelType w:val="hybridMultilevel"/>
    <w:tmpl w:val="9F585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62A6BBA"/>
    <w:multiLevelType w:val="hybridMultilevel"/>
    <w:tmpl w:val="06786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81623B3"/>
    <w:multiLevelType w:val="hybridMultilevel"/>
    <w:tmpl w:val="6804EA1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3" w15:restartNumberingAfterBreak="0">
    <w:nsid w:val="796A2667"/>
    <w:multiLevelType w:val="hybridMultilevel"/>
    <w:tmpl w:val="C3308676"/>
    <w:lvl w:ilvl="0" w:tplc="040C0001">
      <w:start w:val="1"/>
      <w:numFmt w:val="bullet"/>
      <w:lvlText w:val=""/>
      <w:lvlJc w:val="left"/>
      <w:pPr>
        <w:tabs>
          <w:tab w:val="num" w:pos="720"/>
        </w:tabs>
        <w:ind w:left="720" w:hanging="360"/>
      </w:pPr>
      <w:rPr>
        <w:rFonts w:ascii="Symbol" w:hAnsi="Symbol" w:hint="default"/>
      </w:rPr>
    </w:lvl>
    <w:lvl w:ilvl="1" w:tplc="989E6BAA">
      <w:numFmt w:val="bullet"/>
      <w:lvlText w:val="-"/>
      <w:lvlJc w:val="left"/>
      <w:pPr>
        <w:tabs>
          <w:tab w:val="num" w:pos="3540"/>
        </w:tabs>
        <w:ind w:left="3540" w:hanging="2460"/>
      </w:pPr>
      <w:rPr>
        <w:rFonts w:ascii="Arial" w:eastAsia="Times New Roman" w:hAnsi="Arial" w:cs="Times New Roman"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7"/>
  </w:num>
  <w:num w:numId="3">
    <w:abstractNumId w:val="30"/>
  </w:num>
  <w:num w:numId="4">
    <w:abstractNumId w:val="23"/>
  </w:num>
  <w:num w:numId="5">
    <w:abstractNumId w:val="41"/>
  </w:num>
  <w:num w:numId="6">
    <w:abstractNumId w:val="45"/>
  </w:num>
  <w:num w:numId="7">
    <w:abstractNumId w:val="37"/>
  </w:num>
  <w:num w:numId="8">
    <w:abstractNumId w:val="19"/>
  </w:num>
  <w:num w:numId="9">
    <w:abstractNumId w:val="50"/>
  </w:num>
  <w:num w:numId="10">
    <w:abstractNumId w:val="16"/>
  </w:num>
  <w:num w:numId="11">
    <w:abstractNumId w:val="9"/>
  </w:num>
  <w:num w:numId="12">
    <w:abstractNumId w:val="21"/>
  </w:num>
  <w:num w:numId="13">
    <w:abstractNumId w:val="27"/>
  </w:num>
  <w:num w:numId="14">
    <w:abstractNumId w:val="49"/>
  </w:num>
  <w:num w:numId="15">
    <w:abstractNumId w:val="42"/>
  </w:num>
  <w:num w:numId="16">
    <w:abstractNumId w:val="52"/>
  </w:num>
  <w:num w:numId="17">
    <w:abstractNumId w:val="43"/>
  </w:num>
  <w:num w:numId="18">
    <w:abstractNumId w:val="51"/>
  </w:num>
  <w:num w:numId="19">
    <w:abstractNumId w:val="40"/>
  </w:num>
  <w:num w:numId="20">
    <w:abstractNumId w:val="39"/>
  </w:num>
  <w:num w:numId="21">
    <w:abstractNumId w:val="34"/>
  </w:num>
  <w:num w:numId="22">
    <w:abstractNumId w:val="36"/>
  </w:num>
  <w:num w:numId="23">
    <w:abstractNumId w:val="32"/>
  </w:num>
  <w:num w:numId="24">
    <w:abstractNumId w:val="47"/>
  </w:num>
  <w:num w:numId="25">
    <w:abstractNumId w:val="46"/>
  </w:num>
  <w:num w:numId="26">
    <w:abstractNumId w:val="13"/>
  </w:num>
  <w:num w:numId="27">
    <w:abstractNumId w:val="12"/>
  </w:num>
  <w:num w:numId="28">
    <w:abstractNumId w:val="6"/>
    <w:lvlOverride w:ilvl="0">
      <w:startOverride w:val="1"/>
    </w:lvlOverride>
  </w:num>
  <w:num w:numId="29">
    <w:abstractNumId w:val="35"/>
  </w:num>
  <w:num w:numId="30">
    <w:abstractNumId w:val="26"/>
  </w:num>
  <w:num w:numId="31">
    <w:abstractNumId w:val="48"/>
  </w:num>
  <w:num w:numId="32">
    <w:abstractNumId w:val="25"/>
  </w:num>
  <w:num w:numId="33">
    <w:abstractNumId w:val="53"/>
  </w:num>
  <w:num w:numId="34">
    <w:abstractNumId w:val="22"/>
  </w:num>
  <w:num w:numId="35">
    <w:abstractNumId w:val="28"/>
  </w:num>
  <w:num w:numId="36">
    <w:abstractNumId w:val="17"/>
  </w:num>
  <w:num w:numId="37">
    <w:abstractNumId w:val="44"/>
  </w:num>
  <w:num w:numId="38">
    <w:abstractNumId w:val="38"/>
  </w:num>
  <w:num w:numId="39">
    <w:abstractNumId w:val="20"/>
  </w:num>
  <w:num w:numId="40">
    <w:abstractNumId w:val="8"/>
  </w:num>
  <w:num w:numId="41">
    <w:abstractNumId w:val="31"/>
  </w:num>
  <w:num w:numId="42">
    <w:abstractNumId w:val="18"/>
  </w:num>
  <w:num w:numId="43">
    <w:abstractNumId w:val="24"/>
  </w:num>
  <w:num w:numId="44">
    <w:abstractNumId w:val="15"/>
  </w:num>
  <w:num w:numId="45">
    <w:abstractNumId w:val="14"/>
  </w:num>
  <w:num w:numId="46">
    <w:abstractNumId w:val="29"/>
  </w:num>
  <w:num w:numId="47">
    <w:abstractNumId w:val="11"/>
  </w:num>
  <w:num w:numId="48">
    <w:abstractNumId w:val="3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F40"/>
    <w:rsid w:val="00004B28"/>
    <w:rsid w:val="00005D7D"/>
    <w:rsid w:val="00006E5C"/>
    <w:rsid w:val="00007DC9"/>
    <w:rsid w:val="000119D9"/>
    <w:rsid w:val="00012793"/>
    <w:rsid w:val="000144AC"/>
    <w:rsid w:val="00015B8A"/>
    <w:rsid w:val="00016159"/>
    <w:rsid w:val="00016262"/>
    <w:rsid w:val="0002193F"/>
    <w:rsid w:val="000241E3"/>
    <w:rsid w:val="00024245"/>
    <w:rsid w:val="000250EC"/>
    <w:rsid w:val="0002593D"/>
    <w:rsid w:val="00025F37"/>
    <w:rsid w:val="00027069"/>
    <w:rsid w:val="0002778B"/>
    <w:rsid w:val="0002783F"/>
    <w:rsid w:val="00031CFD"/>
    <w:rsid w:val="000341C6"/>
    <w:rsid w:val="00035AB0"/>
    <w:rsid w:val="00035F09"/>
    <w:rsid w:val="0004033B"/>
    <w:rsid w:val="000431EF"/>
    <w:rsid w:val="00045553"/>
    <w:rsid w:val="00047229"/>
    <w:rsid w:val="0004754C"/>
    <w:rsid w:val="000534C0"/>
    <w:rsid w:val="000537EA"/>
    <w:rsid w:val="00063BF3"/>
    <w:rsid w:val="0006414A"/>
    <w:rsid w:val="0006562A"/>
    <w:rsid w:val="0006657B"/>
    <w:rsid w:val="00071B1A"/>
    <w:rsid w:val="00072EFD"/>
    <w:rsid w:val="00074871"/>
    <w:rsid w:val="000757CF"/>
    <w:rsid w:val="000771E2"/>
    <w:rsid w:val="0008016C"/>
    <w:rsid w:val="00081747"/>
    <w:rsid w:val="0008350D"/>
    <w:rsid w:val="000855A9"/>
    <w:rsid w:val="00086A28"/>
    <w:rsid w:val="00086AB9"/>
    <w:rsid w:val="00094BE7"/>
    <w:rsid w:val="000975AB"/>
    <w:rsid w:val="00097935"/>
    <w:rsid w:val="00097CFB"/>
    <w:rsid w:val="000A137E"/>
    <w:rsid w:val="000A2EA1"/>
    <w:rsid w:val="000A3DA4"/>
    <w:rsid w:val="000A4786"/>
    <w:rsid w:val="000A47D0"/>
    <w:rsid w:val="000A738C"/>
    <w:rsid w:val="000B06E9"/>
    <w:rsid w:val="000B0ADC"/>
    <w:rsid w:val="000B0D38"/>
    <w:rsid w:val="000B2A18"/>
    <w:rsid w:val="000B5AFB"/>
    <w:rsid w:val="000C3B84"/>
    <w:rsid w:val="000C63CA"/>
    <w:rsid w:val="000C7728"/>
    <w:rsid w:val="000D03EF"/>
    <w:rsid w:val="000D3C8E"/>
    <w:rsid w:val="000D6526"/>
    <w:rsid w:val="000D70FD"/>
    <w:rsid w:val="000E0FEE"/>
    <w:rsid w:val="000E1847"/>
    <w:rsid w:val="000E251A"/>
    <w:rsid w:val="000E30D4"/>
    <w:rsid w:val="000E376D"/>
    <w:rsid w:val="000E4A11"/>
    <w:rsid w:val="000E62B7"/>
    <w:rsid w:val="000F1C30"/>
    <w:rsid w:val="000F5734"/>
    <w:rsid w:val="000F5E16"/>
    <w:rsid w:val="000F7222"/>
    <w:rsid w:val="0010177B"/>
    <w:rsid w:val="0010271F"/>
    <w:rsid w:val="001060EC"/>
    <w:rsid w:val="0012331A"/>
    <w:rsid w:val="00123901"/>
    <w:rsid w:val="00125032"/>
    <w:rsid w:val="00130E5B"/>
    <w:rsid w:val="001327A9"/>
    <w:rsid w:val="001346AA"/>
    <w:rsid w:val="00134B56"/>
    <w:rsid w:val="001379A3"/>
    <w:rsid w:val="00140DDE"/>
    <w:rsid w:val="00141295"/>
    <w:rsid w:val="00141C6D"/>
    <w:rsid w:val="00142921"/>
    <w:rsid w:val="001450CA"/>
    <w:rsid w:val="00145182"/>
    <w:rsid w:val="00150A79"/>
    <w:rsid w:val="00152225"/>
    <w:rsid w:val="0015284E"/>
    <w:rsid w:val="00155276"/>
    <w:rsid w:val="001567D1"/>
    <w:rsid w:val="00160067"/>
    <w:rsid w:val="001601CE"/>
    <w:rsid w:val="001616AF"/>
    <w:rsid w:val="00161ECF"/>
    <w:rsid w:val="00163984"/>
    <w:rsid w:val="00164550"/>
    <w:rsid w:val="00164B6A"/>
    <w:rsid w:val="00164D81"/>
    <w:rsid w:val="00166BB8"/>
    <w:rsid w:val="0017032A"/>
    <w:rsid w:val="001717BF"/>
    <w:rsid w:val="00173831"/>
    <w:rsid w:val="0017417F"/>
    <w:rsid w:val="001750FF"/>
    <w:rsid w:val="00175740"/>
    <w:rsid w:val="001763CC"/>
    <w:rsid w:val="001770B3"/>
    <w:rsid w:val="00185B9B"/>
    <w:rsid w:val="001971F1"/>
    <w:rsid w:val="001A70F6"/>
    <w:rsid w:val="001B3424"/>
    <w:rsid w:val="001B602C"/>
    <w:rsid w:val="001B61E4"/>
    <w:rsid w:val="001B731A"/>
    <w:rsid w:val="001C0FD7"/>
    <w:rsid w:val="001C691D"/>
    <w:rsid w:val="001C711D"/>
    <w:rsid w:val="001D2183"/>
    <w:rsid w:val="001D25D9"/>
    <w:rsid w:val="001D301F"/>
    <w:rsid w:val="001D31CB"/>
    <w:rsid w:val="001D7370"/>
    <w:rsid w:val="001E195D"/>
    <w:rsid w:val="001E2E3C"/>
    <w:rsid w:val="001F02DE"/>
    <w:rsid w:val="001F3C63"/>
    <w:rsid w:val="001F6994"/>
    <w:rsid w:val="001F7B65"/>
    <w:rsid w:val="00203D65"/>
    <w:rsid w:val="0020566A"/>
    <w:rsid w:val="0020647A"/>
    <w:rsid w:val="002109DD"/>
    <w:rsid w:val="00210EFE"/>
    <w:rsid w:val="0021208F"/>
    <w:rsid w:val="002125D6"/>
    <w:rsid w:val="002139ED"/>
    <w:rsid w:val="002168F5"/>
    <w:rsid w:val="00222321"/>
    <w:rsid w:val="00226477"/>
    <w:rsid w:val="0023310B"/>
    <w:rsid w:val="00235129"/>
    <w:rsid w:val="00240C6B"/>
    <w:rsid w:val="002426EA"/>
    <w:rsid w:val="00243CA4"/>
    <w:rsid w:val="00245A64"/>
    <w:rsid w:val="00246606"/>
    <w:rsid w:val="002470D6"/>
    <w:rsid w:val="0025222F"/>
    <w:rsid w:val="00256BAA"/>
    <w:rsid w:val="002570F6"/>
    <w:rsid w:val="00263913"/>
    <w:rsid w:val="0026475C"/>
    <w:rsid w:val="00265752"/>
    <w:rsid w:val="00267FB1"/>
    <w:rsid w:val="00273A51"/>
    <w:rsid w:val="002769B2"/>
    <w:rsid w:val="00280AF3"/>
    <w:rsid w:val="00281972"/>
    <w:rsid w:val="002860CA"/>
    <w:rsid w:val="002905A8"/>
    <w:rsid w:val="00291DB3"/>
    <w:rsid w:val="00293D8E"/>
    <w:rsid w:val="002A25F6"/>
    <w:rsid w:val="002A66BF"/>
    <w:rsid w:val="002B1B18"/>
    <w:rsid w:val="002B21F6"/>
    <w:rsid w:val="002B2EDD"/>
    <w:rsid w:val="002B3EBC"/>
    <w:rsid w:val="002B4447"/>
    <w:rsid w:val="002B4ADA"/>
    <w:rsid w:val="002B5DE3"/>
    <w:rsid w:val="002B6650"/>
    <w:rsid w:val="002B6EA3"/>
    <w:rsid w:val="002C4B46"/>
    <w:rsid w:val="002C5920"/>
    <w:rsid w:val="002C6682"/>
    <w:rsid w:val="002C6C4A"/>
    <w:rsid w:val="002D4B25"/>
    <w:rsid w:val="002D7DF8"/>
    <w:rsid w:val="002E0261"/>
    <w:rsid w:val="002E15EE"/>
    <w:rsid w:val="002E5013"/>
    <w:rsid w:val="002E5A3F"/>
    <w:rsid w:val="002F1791"/>
    <w:rsid w:val="002F3E4D"/>
    <w:rsid w:val="002F727F"/>
    <w:rsid w:val="00300DA5"/>
    <w:rsid w:val="0031366D"/>
    <w:rsid w:val="0031466D"/>
    <w:rsid w:val="00314D92"/>
    <w:rsid w:val="003161E2"/>
    <w:rsid w:val="0031692B"/>
    <w:rsid w:val="003208CF"/>
    <w:rsid w:val="0032648C"/>
    <w:rsid w:val="00326D07"/>
    <w:rsid w:val="00327CA0"/>
    <w:rsid w:val="00327F66"/>
    <w:rsid w:val="003348A5"/>
    <w:rsid w:val="00337741"/>
    <w:rsid w:val="003417D5"/>
    <w:rsid w:val="0034181A"/>
    <w:rsid w:val="00341DEF"/>
    <w:rsid w:val="003437A3"/>
    <w:rsid w:val="00345134"/>
    <w:rsid w:val="00351634"/>
    <w:rsid w:val="0035469B"/>
    <w:rsid w:val="00366527"/>
    <w:rsid w:val="00370E09"/>
    <w:rsid w:val="00371CCC"/>
    <w:rsid w:val="003731D0"/>
    <w:rsid w:val="00377385"/>
    <w:rsid w:val="00383CAA"/>
    <w:rsid w:val="00384EA9"/>
    <w:rsid w:val="00385042"/>
    <w:rsid w:val="003851FE"/>
    <w:rsid w:val="003853A7"/>
    <w:rsid w:val="00387233"/>
    <w:rsid w:val="003920A5"/>
    <w:rsid w:val="003A1525"/>
    <w:rsid w:val="003A321E"/>
    <w:rsid w:val="003A4AAF"/>
    <w:rsid w:val="003A5E51"/>
    <w:rsid w:val="003A611F"/>
    <w:rsid w:val="003B5243"/>
    <w:rsid w:val="003B609E"/>
    <w:rsid w:val="003B698E"/>
    <w:rsid w:val="003C0C63"/>
    <w:rsid w:val="003C255F"/>
    <w:rsid w:val="003C3390"/>
    <w:rsid w:val="003C640B"/>
    <w:rsid w:val="003D195D"/>
    <w:rsid w:val="003D4D9E"/>
    <w:rsid w:val="003D5592"/>
    <w:rsid w:val="003E03A3"/>
    <w:rsid w:val="003E1E0B"/>
    <w:rsid w:val="003E26F5"/>
    <w:rsid w:val="003E4328"/>
    <w:rsid w:val="003E4634"/>
    <w:rsid w:val="003E70F7"/>
    <w:rsid w:val="003F1984"/>
    <w:rsid w:val="003F2DBF"/>
    <w:rsid w:val="003F43B4"/>
    <w:rsid w:val="004000CF"/>
    <w:rsid w:val="00405585"/>
    <w:rsid w:val="004064CB"/>
    <w:rsid w:val="004068E7"/>
    <w:rsid w:val="00411293"/>
    <w:rsid w:val="00411C49"/>
    <w:rsid w:val="0041299B"/>
    <w:rsid w:val="00413E18"/>
    <w:rsid w:val="00416AF0"/>
    <w:rsid w:val="00417A42"/>
    <w:rsid w:val="004205CC"/>
    <w:rsid w:val="00424645"/>
    <w:rsid w:val="00426B3B"/>
    <w:rsid w:val="00431E9C"/>
    <w:rsid w:val="004338B8"/>
    <w:rsid w:val="00437280"/>
    <w:rsid w:val="00440169"/>
    <w:rsid w:val="00441762"/>
    <w:rsid w:val="00443B2A"/>
    <w:rsid w:val="00444560"/>
    <w:rsid w:val="00454A9F"/>
    <w:rsid w:val="00457C0D"/>
    <w:rsid w:val="00463C95"/>
    <w:rsid w:val="00465608"/>
    <w:rsid w:val="00465C8B"/>
    <w:rsid w:val="00471E3E"/>
    <w:rsid w:val="0047280F"/>
    <w:rsid w:val="0047297A"/>
    <w:rsid w:val="00482641"/>
    <w:rsid w:val="00484DDA"/>
    <w:rsid w:val="00485B8C"/>
    <w:rsid w:val="00485C29"/>
    <w:rsid w:val="0048792E"/>
    <w:rsid w:val="00493D45"/>
    <w:rsid w:val="00494AD0"/>
    <w:rsid w:val="00495295"/>
    <w:rsid w:val="004A0078"/>
    <w:rsid w:val="004A5D30"/>
    <w:rsid w:val="004A6C86"/>
    <w:rsid w:val="004A7514"/>
    <w:rsid w:val="004B0963"/>
    <w:rsid w:val="004B21A2"/>
    <w:rsid w:val="004B2780"/>
    <w:rsid w:val="004B2AD3"/>
    <w:rsid w:val="004B5046"/>
    <w:rsid w:val="004B5EE2"/>
    <w:rsid w:val="004B6BB6"/>
    <w:rsid w:val="004B714D"/>
    <w:rsid w:val="004B7805"/>
    <w:rsid w:val="004C19EC"/>
    <w:rsid w:val="004C2D24"/>
    <w:rsid w:val="004C4CA2"/>
    <w:rsid w:val="004C4FB4"/>
    <w:rsid w:val="004D2F3A"/>
    <w:rsid w:val="004D368C"/>
    <w:rsid w:val="004D3A81"/>
    <w:rsid w:val="004D60D6"/>
    <w:rsid w:val="004D7094"/>
    <w:rsid w:val="004E3B3E"/>
    <w:rsid w:val="004E4900"/>
    <w:rsid w:val="004E7B0F"/>
    <w:rsid w:val="004F0A67"/>
    <w:rsid w:val="004F2DB9"/>
    <w:rsid w:val="004F35C1"/>
    <w:rsid w:val="004F47A6"/>
    <w:rsid w:val="004F7854"/>
    <w:rsid w:val="00510FAA"/>
    <w:rsid w:val="00514F76"/>
    <w:rsid w:val="00516122"/>
    <w:rsid w:val="00520BF0"/>
    <w:rsid w:val="005212E8"/>
    <w:rsid w:val="005215DC"/>
    <w:rsid w:val="005304DE"/>
    <w:rsid w:val="00531BAF"/>
    <w:rsid w:val="00531C42"/>
    <w:rsid w:val="00532E46"/>
    <w:rsid w:val="00546CB3"/>
    <w:rsid w:val="00550607"/>
    <w:rsid w:val="0055626B"/>
    <w:rsid w:val="005564E3"/>
    <w:rsid w:val="00556971"/>
    <w:rsid w:val="00556ABD"/>
    <w:rsid w:val="0056093F"/>
    <w:rsid w:val="00562D34"/>
    <w:rsid w:val="005635E1"/>
    <w:rsid w:val="00564B7F"/>
    <w:rsid w:val="00565A3A"/>
    <w:rsid w:val="005720FC"/>
    <w:rsid w:val="00573D9C"/>
    <w:rsid w:val="00576237"/>
    <w:rsid w:val="00581B3F"/>
    <w:rsid w:val="005854ED"/>
    <w:rsid w:val="00585E11"/>
    <w:rsid w:val="00587765"/>
    <w:rsid w:val="00596B06"/>
    <w:rsid w:val="005A2368"/>
    <w:rsid w:val="005A244B"/>
    <w:rsid w:val="005A2E76"/>
    <w:rsid w:val="005A2EAF"/>
    <w:rsid w:val="005A6E7B"/>
    <w:rsid w:val="005A76F0"/>
    <w:rsid w:val="005B5A33"/>
    <w:rsid w:val="005B72A8"/>
    <w:rsid w:val="005C10C6"/>
    <w:rsid w:val="005C22BB"/>
    <w:rsid w:val="005C5709"/>
    <w:rsid w:val="005C6F39"/>
    <w:rsid w:val="005C704B"/>
    <w:rsid w:val="005D0EEE"/>
    <w:rsid w:val="005E5E28"/>
    <w:rsid w:val="005E6DD4"/>
    <w:rsid w:val="005F1526"/>
    <w:rsid w:val="005F2208"/>
    <w:rsid w:val="005F5E7A"/>
    <w:rsid w:val="006010CA"/>
    <w:rsid w:val="00605C78"/>
    <w:rsid w:val="00606874"/>
    <w:rsid w:val="00607C1C"/>
    <w:rsid w:val="0061054A"/>
    <w:rsid w:val="00611CBC"/>
    <w:rsid w:val="0061344F"/>
    <w:rsid w:val="00614428"/>
    <w:rsid w:val="00615817"/>
    <w:rsid w:val="00615ADD"/>
    <w:rsid w:val="00624CB8"/>
    <w:rsid w:val="00625F07"/>
    <w:rsid w:val="00627D20"/>
    <w:rsid w:val="00627E89"/>
    <w:rsid w:val="00633042"/>
    <w:rsid w:val="00633A7F"/>
    <w:rsid w:val="00635F30"/>
    <w:rsid w:val="00636E7D"/>
    <w:rsid w:val="00637C1C"/>
    <w:rsid w:val="00640267"/>
    <w:rsid w:val="006454B8"/>
    <w:rsid w:val="0064728E"/>
    <w:rsid w:val="00651794"/>
    <w:rsid w:val="0065194B"/>
    <w:rsid w:val="0065786F"/>
    <w:rsid w:val="00662494"/>
    <w:rsid w:val="0066660C"/>
    <w:rsid w:val="00670D40"/>
    <w:rsid w:val="0067132D"/>
    <w:rsid w:val="00673DB6"/>
    <w:rsid w:val="006768CB"/>
    <w:rsid w:val="006827B6"/>
    <w:rsid w:val="00695EC2"/>
    <w:rsid w:val="00697801"/>
    <w:rsid w:val="006A1550"/>
    <w:rsid w:val="006A1AC8"/>
    <w:rsid w:val="006A1C21"/>
    <w:rsid w:val="006A207D"/>
    <w:rsid w:val="006A7DAC"/>
    <w:rsid w:val="006B03F6"/>
    <w:rsid w:val="006B2095"/>
    <w:rsid w:val="006B379B"/>
    <w:rsid w:val="006B39EF"/>
    <w:rsid w:val="006B4924"/>
    <w:rsid w:val="006C1781"/>
    <w:rsid w:val="006C3244"/>
    <w:rsid w:val="006C569D"/>
    <w:rsid w:val="006D1644"/>
    <w:rsid w:val="006D48E5"/>
    <w:rsid w:val="006E1694"/>
    <w:rsid w:val="006E386F"/>
    <w:rsid w:val="006E3B43"/>
    <w:rsid w:val="006E443D"/>
    <w:rsid w:val="006E46C4"/>
    <w:rsid w:val="006F0991"/>
    <w:rsid w:val="006F1BB1"/>
    <w:rsid w:val="006F5777"/>
    <w:rsid w:val="006F5DA1"/>
    <w:rsid w:val="006F6894"/>
    <w:rsid w:val="007024CD"/>
    <w:rsid w:val="00705316"/>
    <w:rsid w:val="007100BC"/>
    <w:rsid w:val="007131F1"/>
    <w:rsid w:val="0071373B"/>
    <w:rsid w:val="00721DDE"/>
    <w:rsid w:val="00722D64"/>
    <w:rsid w:val="007231C5"/>
    <w:rsid w:val="0072320D"/>
    <w:rsid w:val="00724FAA"/>
    <w:rsid w:val="00727399"/>
    <w:rsid w:val="00730279"/>
    <w:rsid w:val="00731FD1"/>
    <w:rsid w:val="0073334A"/>
    <w:rsid w:val="007337F6"/>
    <w:rsid w:val="00734A01"/>
    <w:rsid w:val="00736561"/>
    <w:rsid w:val="007404A9"/>
    <w:rsid w:val="007445FA"/>
    <w:rsid w:val="00744BE7"/>
    <w:rsid w:val="007467D4"/>
    <w:rsid w:val="007508A2"/>
    <w:rsid w:val="007524D0"/>
    <w:rsid w:val="00755FC3"/>
    <w:rsid w:val="0075621B"/>
    <w:rsid w:val="00756B6F"/>
    <w:rsid w:val="00756FDD"/>
    <w:rsid w:val="00762662"/>
    <w:rsid w:val="00763206"/>
    <w:rsid w:val="007632B9"/>
    <w:rsid w:val="007633E3"/>
    <w:rsid w:val="00765261"/>
    <w:rsid w:val="0076565F"/>
    <w:rsid w:val="00766906"/>
    <w:rsid w:val="00771121"/>
    <w:rsid w:val="007724BB"/>
    <w:rsid w:val="0078489F"/>
    <w:rsid w:val="00784958"/>
    <w:rsid w:val="00786E51"/>
    <w:rsid w:val="00791ECA"/>
    <w:rsid w:val="0079225E"/>
    <w:rsid w:val="00797074"/>
    <w:rsid w:val="007970D9"/>
    <w:rsid w:val="007A2347"/>
    <w:rsid w:val="007C024B"/>
    <w:rsid w:val="007C0F3A"/>
    <w:rsid w:val="007C4173"/>
    <w:rsid w:val="007C5293"/>
    <w:rsid w:val="007C78FA"/>
    <w:rsid w:val="007D10A3"/>
    <w:rsid w:val="007E1051"/>
    <w:rsid w:val="007F0CD9"/>
    <w:rsid w:val="007F1790"/>
    <w:rsid w:val="007F269F"/>
    <w:rsid w:val="00800BB3"/>
    <w:rsid w:val="008015C1"/>
    <w:rsid w:val="00801CAC"/>
    <w:rsid w:val="0080431D"/>
    <w:rsid w:val="008046BA"/>
    <w:rsid w:val="00807089"/>
    <w:rsid w:val="00807887"/>
    <w:rsid w:val="00810728"/>
    <w:rsid w:val="00812969"/>
    <w:rsid w:val="00814949"/>
    <w:rsid w:val="008171E4"/>
    <w:rsid w:val="00822795"/>
    <w:rsid w:val="008235B9"/>
    <w:rsid w:val="00825D08"/>
    <w:rsid w:val="00830353"/>
    <w:rsid w:val="00833525"/>
    <w:rsid w:val="00835CF6"/>
    <w:rsid w:val="0084036D"/>
    <w:rsid w:val="00840A50"/>
    <w:rsid w:val="00840DBC"/>
    <w:rsid w:val="00841A08"/>
    <w:rsid w:val="00842F83"/>
    <w:rsid w:val="008437AF"/>
    <w:rsid w:val="008475F6"/>
    <w:rsid w:val="00850977"/>
    <w:rsid w:val="00855687"/>
    <w:rsid w:val="00856F31"/>
    <w:rsid w:val="008613FD"/>
    <w:rsid w:val="0086367B"/>
    <w:rsid w:val="008642BD"/>
    <w:rsid w:val="00866DE2"/>
    <w:rsid w:val="0086712D"/>
    <w:rsid w:val="00870297"/>
    <w:rsid w:val="0087395E"/>
    <w:rsid w:val="0087404B"/>
    <w:rsid w:val="00882974"/>
    <w:rsid w:val="00883815"/>
    <w:rsid w:val="00883AF1"/>
    <w:rsid w:val="00886613"/>
    <w:rsid w:val="0089072D"/>
    <w:rsid w:val="0089204B"/>
    <w:rsid w:val="00892205"/>
    <w:rsid w:val="00895960"/>
    <w:rsid w:val="008A132B"/>
    <w:rsid w:val="008A47DC"/>
    <w:rsid w:val="008A49E3"/>
    <w:rsid w:val="008A6474"/>
    <w:rsid w:val="008A7F54"/>
    <w:rsid w:val="008B1957"/>
    <w:rsid w:val="008B36A5"/>
    <w:rsid w:val="008B6223"/>
    <w:rsid w:val="008C01CD"/>
    <w:rsid w:val="008C17A3"/>
    <w:rsid w:val="008C54B2"/>
    <w:rsid w:val="008C6130"/>
    <w:rsid w:val="008D2F97"/>
    <w:rsid w:val="008D7ED7"/>
    <w:rsid w:val="008E2B0B"/>
    <w:rsid w:val="008E3485"/>
    <w:rsid w:val="008E7128"/>
    <w:rsid w:val="008F4CFF"/>
    <w:rsid w:val="008F55C9"/>
    <w:rsid w:val="00900028"/>
    <w:rsid w:val="00901880"/>
    <w:rsid w:val="00902A3E"/>
    <w:rsid w:val="00907BF3"/>
    <w:rsid w:val="00911701"/>
    <w:rsid w:val="00914FD1"/>
    <w:rsid w:val="00915911"/>
    <w:rsid w:val="0091730D"/>
    <w:rsid w:val="00924C4A"/>
    <w:rsid w:val="00925001"/>
    <w:rsid w:val="00927223"/>
    <w:rsid w:val="00930D88"/>
    <w:rsid w:val="0093504B"/>
    <w:rsid w:val="00935E5B"/>
    <w:rsid w:val="00936D52"/>
    <w:rsid w:val="0094055C"/>
    <w:rsid w:val="00942167"/>
    <w:rsid w:val="00945F9C"/>
    <w:rsid w:val="009507FA"/>
    <w:rsid w:val="009510DA"/>
    <w:rsid w:val="00952CF7"/>
    <w:rsid w:val="009550DA"/>
    <w:rsid w:val="00962DA3"/>
    <w:rsid w:val="00963573"/>
    <w:rsid w:val="0096506F"/>
    <w:rsid w:val="00982DB1"/>
    <w:rsid w:val="0098590D"/>
    <w:rsid w:val="00985C83"/>
    <w:rsid w:val="00986B3F"/>
    <w:rsid w:val="00987AEE"/>
    <w:rsid w:val="009907A2"/>
    <w:rsid w:val="00990BA9"/>
    <w:rsid w:val="00991D9E"/>
    <w:rsid w:val="009971B0"/>
    <w:rsid w:val="009A1129"/>
    <w:rsid w:val="009A1960"/>
    <w:rsid w:val="009A548F"/>
    <w:rsid w:val="009B3EAE"/>
    <w:rsid w:val="009C0389"/>
    <w:rsid w:val="009C33E7"/>
    <w:rsid w:val="009C4818"/>
    <w:rsid w:val="009D13B3"/>
    <w:rsid w:val="009D535F"/>
    <w:rsid w:val="009D601A"/>
    <w:rsid w:val="009D78D5"/>
    <w:rsid w:val="009E257E"/>
    <w:rsid w:val="009E3730"/>
    <w:rsid w:val="009E4453"/>
    <w:rsid w:val="009F276F"/>
    <w:rsid w:val="009F7CBF"/>
    <w:rsid w:val="00A03AC8"/>
    <w:rsid w:val="00A05297"/>
    <w:rsid w:val="00A05D7F"/>
    <w:rsid w:val="00A05DB0"/>
    <w:rsid w:val="00A0674D"/>
    <w:rsid w:val="00A06A2F"/>
    <w:rsid w:val="00A06F35"/>
    <w:rsid w:val="00A074DA"/>
    <w:rsid w:val="00A12788"/>
    <w:rsid w:val="00A15A28"/>
    <w:rsid w:val="00A15F28"/>
    <w:rsid w:val="00A206EC"/>
    <w:rsid w:val="00A207E3"/>
    <w:rsid w:val="00A223DD"/>
    <w:rsid w:val="00A24879"/>
    <w:rsid w:val="00A24FE3"/>
    <w:rsid w:val="00A26072"/>
    <w:rsid w:val="00A27591"/>
    <w:rsid w:val="00A27A7A"/>
    <w:rsid w:val="00A316A0"/>
    <w:rsid w:val="00A32C16"/>
    <w:rsid w:val="00A341F2"/>
    <w:rsid w:val="00A34BBF"/>
    <w:rsid w:val="00A34F7E"/>
    <w:rsid w:val="00A406EA"/>
    <w:rsid w:val="00A43B24"/>
    <w:rsid w:val="00A55D07"/>
    <w:rsid w:val="00A6179A"/>
    <w:rsid w:val="00A618E0"/>
    <w:rsid w:val="00A63CD3"/>
    <w:rsid w:val="00A6457A"/>
    <w:rsid w:val="00A6561C"/>
    <w:rsid w:val="00A677D4"/>
    <w:rsid w:val="00A721BC"/>
    <w:rsid w:val="00A73B77"/>
    <w:rsid w:val="00A74A50"/>
    <w:rsid w:val="00A75187"/>
    <w:rsid w:val="00A7626D"/>
    <w:rsid w:val="00A76618"/>
    <w:rsid w:val="00A802C9"/>
    <w:rsid w:val="00A82A98"/>
    <w:rsid w:val="00A86A67"/>
    <w:rsid w:val="00A87ACB"/>
    <w:rsid w:val="00A900D5"/>
    <w:rsid w:val="00A91DFB"/>
    <w:rsid w:val="00A922B3"/>
    <w:rsid w:val="00A94974"/>
    <w:rsid w:val="00A970F2"/>
    <w:rsid w:val="00AA169E"/>
    <w:rsid w:val="00AA42E5"/>
    <w:rsid w:val="00AA4A58"/>
    <w:rsid w:val="00AA52C2"/>
    <w:rsid w:val="00AB00BF"/>
    <w:rsid w:val="00AB4731"/>
    <w:rsid w:val="00AB488A"/>
    <w:rsid w:val="00AB5137"/>
    <w:rsid w:val="00AB5291"/>
    <w:rsid w:val="00AB5584"/>
    <w:rsid w:val="00AC158D"/>
    <w:rsid w:val="00AC435A"/>
    <w:rsid w:val="00AC57D3"/>
    <w:rsid w:val="00AD2C0B"/>
    <w:rsid w:val="00AD4357"/>
    <w:rsid w:val="00AD694D"/>
    <w:rsid w:val="00AE55B7"/>
    <w:rsid w:val="00AE68FA"/>
    <w:rsid w:val="00AE6FDF"/>
    <w:rsid w:val="00AF2C5D"/>
    <w:rsid w:val="00AF2E1A"/>
    <w:rsid w:val="00AF5AF1"/>
    <w:rsid w:val="00AF718B"/>
    <w:rsid w:val="00B01AF0"/>
    <w:rsid w:val="00B02EE1"/>
    <w:rsid w:val="00B034D4"/>
    <w:rsid w:val="00B04A09"/>
    <w:rsid w:val="00B0620F"/>
    <w:rsid w:val="00B12AAE"/>
    <w:rsid w:val="00B23A38"/>
    <w:rsid w:val="00B26FFA"/>
    <w:rsid w:val="00B46B55"/>
    <w:rsid w:val="00B46BE5"/>
    <w:rsid w:val="00B46C91"/>
    <w:rsid w:val="00B47308"/>
    <w:rsid w:val="00B50519"/>
    <w:rsid w:val="00B54E17"/>
    <w:rsid w:val="00B55717"/>
    <w:rsid w:val="00B5690F"/>
    <w:rsid w:val="00B60222"/>
    <w:rsid w:val="00B60676"/>
    <w:rsid w:val="00B6504C"/>
    <w:rsid w:val="00B72426"/>
    <w:rsid w:val="00B727DC"/>
    <w:rsid w:val="00B72FDA"/>
    <w:rsid w:val="00B75094"/>
    <w:rsid w:val="00B7529A"/>
    <w:rsid w:val="00B756F1"/>
    <w:rsid w:val="00B772E1"/>
    <w:rsid w:val="00B82353"/>
    <w:rsid w:val="00B832D1"/>
    <w:rsid w:val="00B8407F"/>
    <w:rsid w:val="00B86396"/>
    <w:rsid w:val="00B91092"/>
    <w:rsid w:val="00B926C2"/>
    <w:rsid w:val="00BA05C9"/>
    <w:rsid w:val="00BA0C98"/>
    <w:rsid w:val="00BA3E38"/>
    <w:rsid w:val="00BA460C"/>
    <w:rsid w:val="00BA5672"/>
    <w:rsid w:val="00BA5929"/>
    <w:rsid w:val="00BA65C4"/>
    <w:rsid w:val="00BB261C"/>
    <w:rsid w:val="00BB7050"/>
    <w:rsid w:val="00BC1513"/>
    <w:rsid w:val="00BC4DE2"/>
    <w:rsid w:val="00BC7C22"/>
    <w:rsid w:val="00BD58C5"/>
    <w:rsid w:val="00BD76CB"/>
    <w:rsid w:val="00BD7805"/>
    <w:rsid w:val="00BE1CFA"/>
    <w:rsid w:val="00BE3FAC"/>
    <w:rsid w:val="00BF1A10"/>
    <w:rsid w:val="00BF353B"/>
    <w:rsid w:val="00BF6CC8"/>
    <w:rsid w:val="00C016C0"/>
    <w:rsid w:val="00C04194"/>
    <w:rsid w:val="00C04C5F"/>
    <w:rsid w:val="00C13630"/>
    <w:rsid w:val="00C16E22"/>
    <w:rsid w:val="00C17082"/>
    <w:rsid w:val="00C17F0F"/>
    <w:rsid w:val="00C23B01"/>
    <w:rsid w:val="00C24932"/>
    <w:rsid w:val="00C26EC0"/>
    <w:rsid w:val="00C325D1"/>
    <w:rsid w:val="00C3274A"/>
    <w:rsid w:val="00C33B38"/>
    <w:rsid w:val="00C347B0"/>
    <w:rsid w:val="00C42008"/>
    <w:rsid w:val="00C45B7C"/>
    <w:rsid w:val="00C466E1"/>
    <w:rsid w:val="00C527B5"/>
    <w:rsid w:val="00C5558E"/>
    <w:rsid w:val="00C5764A"/>
    <w:rsid w:val="00C64BFF"/>
    <w:rsid w:val="00C70F39"/>
    <w:rsid w:val="00C74F9D"/>
    <w:rsid w:val="00C82701"/>
    <w:rsid w:val="00C859EE"/>
    <w:rsid w:val="00C85E52"/>
    <w:rsid w:val="00C86BA0"/>
    <w:rsid w:val="00C87EDE"/>
    <w:rsid w:val="00C93081"/>
    <w:rsid w:val="00CA06DD"/>
    <w:rsid w:val="00CA1646"/>
    <w:rsid w:val="00CA4860"/>
    <w:rsid w:val="00CB0F56"/>
    <w:rsid w:val="00CB100E"/>
    <w:rsid w:val="00CB2CB2"/>
    <w:rsid w:val="00CB51CA"/>
    <w:rsid w:val="00CB70DD"/>
    <w:rsid w:val="00CC16C4"/>
    <w:rsid w:val="00CC7315"/>
    <w:rsid w:val="00CD0B60"/>
    <w:rsid w:val="00CD1037"/>
    <w:rsid w:val="00CD1757"/>
    <w:rsid w:val="00CD25CB"/>
    <w:rsid w:val="00CD3612"/>
    <w:rsid w:val="00CD4383"/>
    <w:rsid w:val="00CD5312"/>
    <w:rsid w:val="00CE007E"/>
    <w:rsid w:val="00CE402B"/>
    <w:rsid w:val="00CE6BB2"/>
    <w:rsid w:val="00CE74A5"/>
    <w:rsid w:val="00CF11B7"/>
    <w:rsid w:val="00CF6FD4"/>
    <w:rsid w:val="00D00E59"/>
    <w:rsid w:val="00D03C24"/>
    <w:rsid w:val="00D10F18"/>
    <w:rsid w:val="00D125C2"/>
    <w:rsid w:val="00D14EBE"/>
    <w:rsid w:val="00D159E9"/>
    <w:rsid w:val="00D178E2"/>
    <w:rsid w:val="00D17CBD"/>
    <w:rsid w:val="00D2167F"/>
    <w:rsid w:val="00D23391"/>
    <w:rsid w:val="00D2354D"/>
    <w:rsid w:val="00D24AAA"/>
    <w:rsid w:val="00D25CE6"/>
    <w:rsid w:val="00D26BDF"/>
    <w:rsid w:val="00D32257"/>
    <w:rsid w:val="00D32FA5"/>
    <w:rsid w:val="00D33E11"/>
    <w:rsid w:val="00D358A5"/>
    <w:rsid w:val="00D35E5C"/>
    <w:rsid w:val="00D44586"/>
    <w:rsid w:val="00D45A18"/>
    <w:rsid w:val="00D52461"/>
    <w:rsid w:val="00D5482E"/>
    <w:rsid w:val="00D57CE1"/>
    <w:rsid w:val="00D622B6"/>
    <w:rsid w:val="00D660BC"/>
    <w:rsid w:val="00D678EE"/>
    <w:rsid w:val="00D707D4"/>
    <w:rsid w:val="00D74226"/>
    <w:rsid w:val="00D74590"/>
    <w:rsid w:val="00D749DE"/>
    <w:rsid w:val="00D74E93"/>
    <w:rsid w:val="00D760ED"/>
    <w:rsid w:val="00D7637D"/>
    <w:rsid w:val="00D7686D"/>
    <w:rsid w:val="00D774C1"/>
    <w:rsid w:val="00D80DCB"/>
    <w:rsid w:val="00D82C5E"/>
    <w:rsid w:val="00D93365"/>
    <w:rsid w:val="00D945E1"/>
    <w:rsid w:val="00D94615"/>
    <w:rsid w:val="00DA05A4"/>
    <w:rsid w:val="00DA0A24"/>
    <w:rsid w:val="00DA0A93"/>
    <w:rsid w:val="00DA43D3"/>
    <w:rsid w:val="00DA4FA9"/>
    <w:rsid w:val="00DA56B8"/>
    <w:rsid w:val="00DA7663"/>
    <w:rsid w:val="00DA7D72"/>
    <w:rsid w:val="00DB019A"/>
    <w:rsid w:val="00DB1EB2"/>
    <w:rsid w:val="00DB4456"/>
    <w:rsid w:val="00DB7880"/>
    <w:rsid w:val="00DC2BAC"/>
    <w:rsid w:val="00DC3CB9"/>
    <w:rsid w:val="00DC730A"/>
    <w:rsid w:val="00DD12E9"/>
    <w:rsid w:val="00DD40A8"/>
    <w:rsid w:val="00DD61A0"/>
    <w:rsid w:val="00DD6586"/>
    <w:rsid w:val="00DE14CB"/>
    <w:rsid w:val="00DE44D4"/>
    <w:rsid w:val="00DF7182"/>
    <w:rsid w:val="00DF71E5"/>
    <w:rsid w:val="00E05616"/>
    <w:rsid w:val="00E11BA6"/>
    <w:rsid w:val="00E16BCB"/>
    <w:rsid w:val="00E229D3"/>
    <w:rsid w:val="00E23142"/>
    <w:rsid w:val="00E23201"/>
    <w:rsid w:val="00E271CE"/>
    <w:rsid w:val="00E33254"/>
    <w:rsid w:val="00E33CD4"/>
    <w:rsid w:val="00E358F5"/>
    <w:rsid w:val="00E35C3E"/>
    <w:rsid w:val="00E42153"/>
    <w:rsid w:val="00E46202"/>
    <w:rsid w:val="00E51AE4"/>
    <w:rsid w:val="00E520B8"/>
    <w:rsid w:val="00E529D9"/>
    <w:rsid w:val="00E622AB"/>
    <w:rsid w:val="00E62DDA"/>
    <w:rsid w:val="00E67261"/>
    <w:rsid w:val="00E677D1"/>
    <w:rsid w:val="00E70869"/>
    <w:rsid w:val="00E746AC"/>
    <w:rsid w:val="00E753AE"/>
    <w:rsid w:val="00E757F2"/>
    <w:rsid w:val="00E77D2B"/>
    <w:rsid w:val="00E82627"/>
    <w:rsid w:val="00E92007"/>
    <w:rsid w:val="00E942A7"/>
    <w:rsid w:val="00E94F8B"/>
    <w:rsid w:val="00E95517"/>
    <w:rsid w:val="00EA1C88"/>
    <w:rsid w:val="00EA28A1"/>
    <w:rsid w:val="00EA4EB6"/>
    <w:rsid w:val="00EA6096"/>
    <w:rsid w:val="00EB04F1"/>
    <w:rsid w:val="00EB1B12"/>
    <w:rsid w:val="00EB23DC"/>
    <w:rsid w:val="00EB26CF"/>
    <w:rsid w:val="00EB581D"/>
    <w:rsid w:val="00EB606E"/>
    <w:rsid w:val="00EB676D"/>
    <w:rsid w:val="00EB74D4"/>
    <w:rsid w:val="00EB7613"/>
    <w:rsid w:val="00EB76A6"/>
    <w:rsid w:val="00EC12CC"/>
    <w:rsid w:val="00EC299D"/>
    <w:rsid w:val="00EC3180"/>
    <w:rsid w:val="00EC3D7E"/>
    <w:rsid w:val="00EC4575"/>
    <w:rsid w:val="00EC6798"/>
    <w:rsid w:val="00EC7E83"/>
    <w:rsid w:val="00ED3781"/>
    <w:rsid w:val="00ED7528"/>
    <w:rsid w:val="00EE12C5"/>
    <w:rsid w:val="00EE17D0"/>
    <w:rsid w:val="00EE2DC2"/>
    <w:rsid w:val="00EE7BD3"/>
    <w:rsid w:val="00EF2BAF"/>
    <w:rsid w:val="00EF4DFC"/>
    <w:rsid w:val="00F01E3B"/>
    <w:rsid w:val="00F02314"/>
    <w:rsid w:val="00F0521F"/>
    <w:rsid w:val="00F07897"/>
    <w:rsid w:val="00F1575B"/>
    <w:rsid w:val="00F20BD2"/>
    <w:rsid w:val="00F2562D"/>
    <w:rsid w:val="00F26CE1"/>
    <w:rsid w:val="00F27BDF"/>
    <w:rsid w:val="00F32B75"/>
    <w:rsid w:val="00F35626"/>
    <w:rsid w:val="00F362D5"/>
    <w:rsid w:val="00F3792F"/>
    <w:rsid w:val="00F40E2D"/>
    <w:rsid w:val="00F41717"/>
    <w:rsid w:val="00F472DD"/>
    <w:rsid w:val="00F47951"/>
    <w:rsid w:val="00F51887"/>
    <w:rsid w:val="00F51A4B"/>
    <w:rsid w:val="00F53A0F"/>
    <w:rsid w:val="00F5580C"/>
    <w:rsid w:val="00F5643B"/>
    <w:rsid w:val="00F56A59"/>
    <w:rsid w:val="00F570AD"/>
    <w:rsid w:val="00F57CDA"/>
    <w:rsid w:val="00F6158D"/>
    <w:rsid w:val="00F65572"/>
    <w:rsid w:val="00F6620F"/>
    <w:rsid w:val="00F80BA0"/>
    <w:rsid w:val="00F8166A"/>
    <w:rsid w:val="00F81E1F"/>
    <w:rsid w:val="00F850ED"/>
    <w:rsid w:val="00F8537B"/>
    <w:rsid w:val="00F92454"/>
    <w:rsid w:val="00F92A2F"/>
    <w:rsid w:val="00F92EC2"/>
    <w:rsid w:val="00F93716"/>
    <w:rsid w:val="00F96E5A"/>
    <w:rsid w:val="00FA151C"/>
    <w:rsid w:val="00FA22AD"/>
    <w:rsid w:val="00FA2A7B"/>
    <w:rsid w:val="00FA4B59"/>
    <w:rsid w:val="00FA5394"/>
    <w:rsid w:val="00FB0AF5"/>
    <w:rsid w:val="00FB2077"/>
    <w:rsid w:val="00FB2B8A"/>
    <w:rsid w:val="00FC205D"/>
    <w:rsid w:val="00FC2367"/>
    <w:rsid w:val="00FC2728"/>
    <w:rsid w:val="00FC440B"/>
    <w:rsid w:val="00FC4CDB"/>
    <w:rsid w:val="00FC4E98"/>
    <w:rsid w:val="00FC5FFD"/>
    <w:rsid w:val="00FC7107"/>
    <w:rsid w:val="00FD12E9"/>
    <w:rsid w:val="00FD30D9"/>
    <w:rsid w:val="00FD36A2"/>
    <w:rsid w:val="00FD6083"/>
    <w:rsid w:val="00FD73BD"/>
    <w:rsid w:val="00FD767F"/>
    <w:rsid w:val="00FE013C"/>
    <w:rsid w:val="00FE1ADB"/>
    <w:rsid w:val="00FE22A7"/>
    <w:rsid w:val="00FE690F"/>
    <w:rsid w:val="00FE7003"/>
    <w:rsid w:val="00FF0642"/>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5:docId w15:val="{E7B5FD33-29DC-4F9E-868B-984046473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eastAsia="en-US"/>
    </w:rPr>
  </w:style>
  <w:style w:type="paragraph" w:styleId="Heading1">
    <w:name w:val="heading 1"/>
    <w:basedOn w:val="Normal"/>
    <w:next w:val="Normal"/>
    <w:qFormat/>
    <w:rsid w:val="001D25D9"/>
    <w:pPr>
      <w:keepNext/>
      <w:tabs>
        <w:tab w:val="num" w:pos="567"/>
      </w:tabs>
      <w:spacing w:before="240" w:after="240"/>
      <w:jc w:val="both"/>
      <w:outlineLvl w:val="0"/>
    </w:pPr>
    <w:rPr>
      <w:b/>
      <w:caps/>
      <w:sz w:val="24"/>
      <w:lang w:val="en-GB"/>
    </w:rPr>
  </w:style>
  <w:style w:type="paragraph" w:styleId="Heading2">
    <w:name w:val="heading 2"/>
    <w:basedOn w:val="Normal"/>
    <w:next w:val="Normal"/>
    <w:link w:val="Heading2Char"/>
    <w:qFormat/>
    <w:rsid w:val="006A207D"/>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1D25D9"/>
    <w:pPr>
      <w:keepNext/>
      <w:tabs>
        <w:tab w:val="num" w:pos="1985"/>
      </w:tabs>
      <w:ind w:left="1985" w:hanging="1985"/>
      <w:jc w:val="both"/>
      <w:outlineLvl w:val="2"/>
    </w:pPr>
    <w:rPr>
      <w:b/>
      <w:sz w:val="24"/>
      <w:lang w:val="en-GB"/>
    </w:rPr>
  </w:style>
  <w:style w:type="paragraph" w:styleId="Heading4">
    <w:name w:val="heading 4"/>
    <w:basedOn w:val="Normal"/>
    <w:next w:val="Normal"/>
    <w:qFormat/>
    <w:rsid w:val="001D25D9"/>
    <w:pPr>
      <w:keepNext/>
      <w:tabs>
        <w:tab w:val="num" w:pos="864"/>
      </w:tabs>
      <w:ind w:left="864" w:hanging="864"/>
      <w:jc w:val="both"/>
      <w:outlineLvl w:val="3"/>
    </w:pPr>
    <w:rPr>
      <w:b/>
      <w:sz w:val="24"/>
      <w:lang w:val="ru-RU"/>
    </w:rPr>
  </w:style>
  <w:style w:type="paragraph" w:styleId="Heading5">
    <w:name w:val="heading 5"/>
    <w:basedOn w:val="Normal"/>
    <w:next w:val="Normal"/>
    <w:qFormat/>
    <w:rsid w:val="001D25D9"/>
    <w:pPr>
      <w:keepNext/>
      <w:tabs>
        <w:tab w:val="num" w:pos="1008"/>
      </w:tabs>
      <w:ind w:left="1008" w:hanging="1008"/>
      <w:outlineLvl w:val="4"/>
    </w:pPr>
    <w:rPr>
      <w:b/>
      <w:sz w:val="24"/>
      <w:lang w:val="en-GB"/>
    </w:rPr>
  </w:style>
  <w:style w:type="paragraph" w:styleId="Heading6">
    <w:name w:val="heading 6"/>
    <w:basedOn w:val="Normal"/>
    <w:next w:val="Normal"/>
    <w:qFormat/>
    <w:rsid w:val="001D25D9"/>
    <w:pPr>
      <w:tabs>
        <w:tab w:val="num" w:pos="1152"/>
      </w:tabs>
      <w:spacing w:before="240" w:after="60"/>
      <w:ind w:left="1152" w:hanging="1152"/>
      <w:outlineLvl w:val="5"/>
    </w:pPr>
    <w:rPr>
      <w:b/>
      <w:bCs/>
      <w:sz w:val="22"/>
      <w:szCs w:val="22"/>
      <w:lang w:val="en-AU"/>
    </w:rPr>
  </w:style>
  <w:style w:type="paragraph" w:styleId="Heading7">
    <w:name w:val="heading 7"/>
    <w:basedOn w:val="Normal"/>
    <w:next w:val="Normal"/>
    <w:qFormat/>
    <w:rsid w:val="001D25D9"/>
    <w:pPr>
      <w:tabs>
        <w:tab w:val="num" w:pos="1296"/>
      </w:tabs>
      <w:spacing w:before="240" w:after="60"/>
      <w:ind w:left="1296" w:hanging="1296"/>
      <w:outlineLvl w:val="6"/>
    </w:pPr>
    <w:rPr>
      <w:sz w:val="24"/>
      <w:szCs w:val="24"/>
      <w:lang w:val="en-AU"/>
    </w:rPr>
  </w:style>
  <w:style w:type="paragraph" w:styleId="Heading8">
    <w:name w:val="heading 8"/>
    <w:basedOn w:val="Normal"/>
    <w:next w:val="Normal"/>
    <w:qFormat/>
    <w:rsid w:val="00E70869"/>
    <w:pPr>
      <w:spacing w:before="240" w:after="60"/>
      <w:outlineLvl w:val="7"/>
    </w:pPr>
    <w:rPr>
      <w:i/>
      <w:iCs/>
      <w:sz w:val="24"/>
      <w:szCs w:val="24"/>
    </w:rPr>
  </w:style>
  <w:style w:type="paragraph" w:styleId="Heading9">
    <w:name w:val="heading 9"/>
    <w:basedOn w:val="Normal"/>
    <w:next w:val="Normal"/>
    <w:qFormat/>
    <w:rsid w:val="001D25D9"/>
    <w:pPr>
      <w:tabs>
        <w:tab w:val="num" w:pos="1584"/>
      </w:tabs>
      <w:spacing w:before="240" w:after="60"/>
      <w:ind w:left="1584" w:hanging="1584"/>
      <w:outlineLvl w:val="8"/>
    </w:pPr>
    <w:rPr>
      <w:rFonts w:ascii="Arial" w:hAnsi="Arial" w:cs="Arial"/>
      <w:sz w:val="22"/>
      <w:szCs w:val="22"/>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locked/>
    <w:rsid w:val="00D32257"/>
    <w:rPr>
      <w:rFonts w:ascii="Arial" w:hAnsi="Arial" w:cs="Arial"/>
      <w:b/>
      <w:bCs/>
      <w:i/>
      <w:iCs/>
      <w:sz w:val="28"/>
      <w:szCs w:val="28"/>
      <w:lang w:val="en-US" w:eastAsia="en-US" w:bidi="ar-SA"/>
    </w:rPr>
  </w:style>
  <w:style w:type="paragraph" w:styleId="Title">
    <w:name w:val="Title"/>
    <w:basedOn w:val="Normal"/>
    <w:link w:val="TitleChar"/>
    <w:qFormat/>
    <w:rsid w:val="00E70869"/>
    <w:pPr>
      <w:jc w:val="center"/>
    </w:pPr>
    <w:rPr>
      <w:b/>
      <w:sz w:val="24"/>
      <w:szCs w:val="24"/>
    </w:rPr>
  </w:style>
  <w:style w:type="character" w:customStyle="1" w:styleId="TitleChar">
    <w:name w:val="Title Char"/>
    <w:link w:val="Title"/>
    <w:locked/>
    <w:rsid w:val="00A207E3"/>
    <w:rPr>
      <w:b/>
      <w:sz w:val="24"/>
      <w:szCs w:val="24"/>
      <w:lang w:val="en-US" w:eastAsia="en-US" w:bidi="ar-SA"/>
    </w:rPr>
  </w:style>
  <w:style w:type="paragraph" w:styleId="EndnoteText">
    <w:name w:val="endnote text"/>
    <w:basedOn w:val="Normal"/>
    <w:link w:val="EndnoteTextChar"/>
    <w:semiHidden/>
    <w:rsid w:val="00E70869"/>
    <w:rPr>
      <w:rFonts w:ascii="TmsRmn 12pt" w:hAnsi="TmsRmn 12pt"/>
      <w:sz w:val="24"/>
      <w:szCs w:val="24"/>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paragraph" w:styleId="BodyTextIndent2">
    <w:name w:val="Body Text Indent 2"/>
    <w:basedOn w:val="Normal"/>
    <w:link w:val="BodyTextIndent2Char"/>
    <w:rsid w:val="00E70869"/>
    <w:pPr>
      <w:ind w:left="1440"/>
    </w:pPr>
    <w:rPr>
      <w:i/>
      <w:sz w:val="24"/>
      <w:szCs w:val="24"/>
    </w:rPr>
  </w:style>
  <w:style w:type="character" w:customStyle="1" w:styleId="BodyTextIndent2Char">
    <w:name w:val="Body Text Indent 2 Char"/>
    <w:link w:val="BodyTextIndent2"/>
    <w:semiHidden/>
    <w:locked/>
    <w:rsid w:val="00A207E3"/>
    <w:rPr>
      <w:i/>
      <w:sz w:val="24"/>
      <w:szCs w:val="24"/>
      <w:lang w:val="en-US" w:eastAsia="en-US" w:bidi="ar-SA"/>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Header Char,Char"/>
    <w:basedOn w:val="Normal"/>
    <w:link w:val="HeaderChar2"/>
    <w:rsid w:val="00E70869"/>
    <w:pPr>
      <w:tabs>
        <w:tab w:val="center" w:pos="4320"/>
        <w:tab w:val="right" w:pos="8640"/>
      </w:tabs>
    </w:pPr>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ink w:val="Header"/>
    <w:locked/>
    <w:rsid w:val="00D32257"/>
    <w:rPr>
      <w:lang w:val="en-US" w:eastAsia="en-US" w:bidi="ar-SA"/>
    </w:rPr>
  </w:style>
  <w:style w:type="paragraph" w:styleId="Footer">
    <w:name w:val="footer"/>
    <w:basedOn w:val="Normal"/>
    <w:link w:val="FooterChar"/>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link w:val="BodyTextChar"/>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link w:val="BodyTextIndentChar"/>
    <w:rsid w:val="00822795"/>
    <w:pPr>
      <w:spacing w:after="120"/>
      <w:ind w:left="360"/>
    </w:pPr>
  </w:style>
  <w:style w:type="character" w:customStyle="1" w:styleId="BodyTextIndentChar">
    <w:name w:val="Body Text Indent Char"/>
    <w:link w:val="BodyTextIndent"/>
    <w:rsid w:val="004C4CA2"/>
    <w:rPr>
      <w:lang w:val="en-US" w:eastAsia="en-US" w:bidi="ar-SA"/>
    </w:rPr>
  </w:style>
  <w:style w:type="character" w:styleId="Strong">
    <w:name w:val="Strong"/>
    <w:qFormat/>
    <w:rsid w:val="00D25CE6"/>
    <w:rPr>
      <w:b/>
      <w:bCs w:val="0"/>
    </w:rPr>
  </w:style>
  <w:style w:type="paragraph" w:styleId="BodyText2">
    <w:name w:val="Body Text 2"/>
    <w:basedOn w:val="Normal"/>
    <w:rsid w:val="004B0963"/>
    <w:pPr>
      <w:spacing w:after="120" w:line="480" w:lineRule="auto"/>
    </w:pPr>
  </w:style>
  <w:style w:type="paragraph" w:styleId="NormalWeb">
    <w:name w:val="Normal (Web)"/>
    <w:basedOn w:val="Normal"/>
    <w:rsid w:val="00000F40"/>
    <w:pPr>
      <w:spacing w:before="100" w:beforeAutospacing="1" w:after="100" w:afterAutospacing="1"/>
    </w:pPr>
    <w:rPr>
      <w:sz w:val="22"/>
      <w:szCs w:val="22"/>
    </w:rPr>
  </w:style>
  <w:style w:type="paragraph" w:styleId="NoSpacing">
    <w:name w:val="No Spacing"/>
    <w:qFormat/>
    <w:rsid w:val="00000F40"/>
    <w:rPr>
      <w:rFonts w:ascii="Arial" w:hAnsi="Arial"/>
      <w:sz w:val="22"/>
      <w:szCs w:val="22"/>
      <w:lang w:val="en-US" w:eastAsia="en-US"/>
    </w:rPr>
  </w:style>
  <w:style w:type="character" w:styleId="Emphasis">
    <w:name w:val="Emphasis"/>
    <w:qFormat/>
    <w:rsid w:val="00D32257"/>
    <w:rPr>
      <w:b/>
      <w:bCs/>
      <w:i w:val="0"/>
      <w:iCs w:val="0"/>
    </w:rPr>
  </w:style>
  <w:style w:type="paragraph" w:customStyle="1" w:styleId="Default">
    <w:name w:val="Default"/>
    <w:rsid w:val="00072EFD"/>
    <w:pPr>
      <w:autoSpaceDE w:val="0"/>
      <w:autoSpaceDN w:val="0"/>
      <w:adjustRightInd w:val="0"/>
    </w:pPr>
    <w:rPr>
      <w:rFonts w:eastAsia="MS Mincho"/>
      <w:color w:val="000000"/>
      <w:sz w:val="24"/>
      <w:szCs w:val="24"/>
      <w:lang w:val="sr-Latn-CS" w:eastAsia="ja-JP"/>
    </w:rPr>
  </w:style>
  <w:style w:type="paragraph" w:customStyle="1" w:styleId="IntoksikacijesaovimpreparatomsuupreporueenomdoziranjunemogueeSobzromda">
    <w:name w:val="Intoksikacije sa ovim preparatom su u preporueenom doziranju nemoguee. S obzromda"/>
    <w:basedOn w:val="Normal"/>
    <w:rsid w:val="001D25D9"/>
    <w:rPr>
      <w:rFonts w:ascii="Arial" w:eastAsia="Univers Condensed" w:hAnsi="Arial"/>
      <w:sz w:val="24"/>
      <w:lang w:val="en-GB"/>
    </w:rPr>
  </w:style>
  <w:style w:type="paragraph" w:styleId="ListNumber">
    <w:name w:val="List Number"/>
    <w:basedOn w:val="Normal"/>
    <w:rsid w:val="001D25D9"/>
    <w:pPr>
      <w:tabs>
        <w:tab w:val="num" w:pos="360"/>
      </w:tabs>
      <w:ind w:left="360" w:hanging="360"/>
    </w:pPr>
    <w:rPr>
      <w:rFonts w:ascii="Arial" w:hAnsi="Arial"/>
      <w:sz w:val="24"/>
      <w:lang w:val="en-AU"/>
    </w:rPr>
  </w:style>
  <w:style w:type="paragraph" w:styleId="Subtitle">
    <w:name w:val="Subtitle"/>
    <w:basedOn w:val="Normal"/>
    <w:link w:val="SubtitleChar"/>
    <w:qFormat/>
    <w:rsid w:val="004C4CA2"/>
    <w:pPr>
      <w:jc w:val="center"/>
    </w:pPr>
    <w:rPr>
      <w:b/>
      <w:bCs/>
      <w:sz w:val="24"/>
      <w:szCs w:val="24"/>
      <w:lang w:val="hr-HR"/>
    </w:rPr>
  </w:style>
  <w:style w:type="character" w:customStyle="1" w:styleId="SubtitleChar">
    <w:name w:val="Subtitle Char"/>
    <w:link w:val="Subtitle"/>
    <w:rsid w:val="004C4CA2"/>
    <w:rPr>
      <w:b/>
      <w:bCs/>
      <w:sz w:val="24"/>
      <w:szCs w:val="24"/>
      <w:lang w:val="hr-HR" w:eastAsia="en-US" w:bidi="ar-SA"/>
    </w:rPr>
  </w:style>
  <w:style w:type="paragraph" w:styleId="ListParagraph">
    <w:name w:val="List Paragraph"/>
    <w:basedOn w:val="Normal"/>
    <w:qFormat/>
    <w:rsid w:val="004C4CA2"/>
    <w:pPr>
      <w:tabs>
        <w:tab w:val="left" w:pos="284"/>
      </w:tabs>
      <w:ind w:left="720"/>
      <w:jc w:val="both"/>
    </w:pPr>
    <w:rPr>
      <w:rFonts w:ascii="Humanist777" w:hAnsi="Humanist777"/>
      <w:sz w:val="24"/>
      <w:szCs w:val="24"/>
    </w:rPr>
  </w:style>
  <w:style w:type="paragraph" w:styleId="BalloonText">
    <w:name w:val="Balloon Text"/>
    <w:basedOn w:val="Normal"/>
    <w:link w:val="BalloonTextChar"/>
    <w:rsid w:val="004C4CA2"/>
    <w:pPr>
      <w:tabs>
        <w:tab w:val="left" w:pos="284"/>
      </w:tabs>
      <w:jc w:val="both"/>
    </w:pPr>
    <w:rPr>
      <w:rFonts w:ascii="Tahoma" w:hAnsi="Tahoma" w:cs="Tahoma"/>
      <w:sz w:val="16"/>
      <w:szCs w:val="16"/>
    </w:rPr>
  </w:style>
  <w:style w:type="character" w:customStyle="1" w:styleId="BalloonTextChar">
    <w:name w:val="Balloon Text Char"/>
    <w:link w:val="BalloonText"/>
    <w:rsid w:val="004C4CA2"/>
    <w:rPr>
      <w:rFonts w:ascii="Tahoma" w:hAnsi="Tahoma" w:cs="Tahoma"/>
      <w:sz w:val="16"/>
      <w:szCs w:val="16"/>
      <w:lang w:val="en-US" w:eastAsia="en-US" w:bidi="ar-SA"/>
    </w:rPr>
  </w:style>
  <w:style w:type="character" w:customStyle="1" w:styleId="CharChar4">
    <w:name w:val="Char Char4"/>
    <w:rsid w:val="004C4CA2"/>
    <w:rPr>
      <w:rFonts w:ascii="Humanist777" w:hAnsi="Humanist777"/>
      <w:sz w:val="24"/>
      <w:szCs w:val="24"/>
    </w:rPr>
  </w:style>
  <w:style w:type="paragraph" w:customStyle="1" w:styleId="lstpara1">
    <w:name w:val="lst_para1"/>
    <w:basedOn w:val="Normal"/>
    <w:rsid w:val="004C4CA2"/>
    <w:pPr>
      <w:spacing w:after="240" w:line="312" w:lineRule="atLeast"/>
      <w:ind w:left="360"/>
    </w:pPr>
    <w:rPr>
      <w:rFonts w:ascii="Times" w:hAnsi="Times"/>
      <w:sz w:val="24"/>
      <w:lang w:val="en-GB" w:eastAsia="en-GB"/>
    </w:rPr>
  </w:style>
  <w:style w:type="paragraph" w:styleId="PlainText">
    <w:name w:val="Plain Text"/>
    <w:basedOn w:val="Normal"/>
    <w:link w:val="PlainTextChar"/>
    <w:unhideWhenUsed/>
    <w:rsid w:val="004C4CA2"/>
    <w:rPr>
      <w:rFonts w:ascii="Consolas" w:eastAsia="Calibri" w:hAnsi="Consolas"/>
      <w:sz w:val="21"/>
      <w:szCs w:val="21"/>
    </w:rPr>
  </w:style>
  <w:style w:type="character" w:customStyle="1" w:styleId="PlainTextChar">
    <w:name w:val="Plain Text Char"/>
    <w:link w:val="PlainText"/>
    <w:rsid w:val="004C4CA2"/>
    <w:rPr>
      <w:rFonts w:ascii="Consolas" w:eastAsia="Calibri" w:hAnsi="Consolas"/>
      <w:sz w:val="21"/>
      <w:szCs w:val="21"/>
      <w:lang w:val="en-US" w:eastAsia="en-US" w:bidi="ar-SA"/>
    </w:rPr>
  </w:style>
  <w:style w:type="paragraph" w:customStyle="1" w:styleId="Para0s">
    <w:name w:val="Para:0:s"/>
    <w:basedOn w:val="Normal"/>
    <w:rsid w:val="006D1644"/>
    <w:pPr>
      <w:spacing w:after="220"/>
    </w:pPr>
    <w:rPr>
      <w:sz w:val="24"/>
      <w:lang w:eastAsia="de-DE"/>
    </w:rPr>
  </w:style>
  <w:style w:type="paragraph" w:customStyle="1" w:styleId="ParaKT0sb">
    <w:name w:val="ParaKT:0:sb"/>
    <w:basedOn w:val="Normal"/>
    <w:next w:val="Para0s"/>
    <w:rsid w:val="006D1644"/>
    <w:pPr>
      <w:keepNext/>
      <w:keepLines/>
      <w:spacing w:after="220"/>
    </w:pPr>
    <w:rPr>
      <w:b/>
      <w:sz w:val="24"/>
      <w:lang w:eastAsia="de-DE"/>
    </w:rPr>
  </w:style>
  <w:style w:type="paragraph" w:styleId="BodyText3">
    <w:name w:val="Body Text 3"/>
    <w:basedOn w:val="Normal"/>
    <w:rsid w:val="00724FAA"/>
    <w:pPr>
      <w:tabs>
        <w:tab w:val="left" w:pos="284"/>
      </w:tabs>
      <w:spacing w:after="120"/>
      <w:jc w:val="both"/>
    </w:pPr>
    <w:rPr>
      <w:rFonts w:ascii="Humanist777" w:hAnsi="Humanist777"/>
      <w:sz w:val="16"/>
      <w:szCs w:val="16"/>
    </w:rPr>
  </w:style>
  <w:style w:type="paragraph" w:customStyle="1" w:styleId="FR1">
    <w:name w:val="FR1"/>
    <w:rsid w:val="00724FAA"/>
    <w:pPr>
      <w:widowControl w:val="0"/>
      <w:autoSpaceDE w:val="0"/>
      <w:autoSpaceDN w:val="0"/>
      <w:adjustRightInd w:val="0"/>
      <w:spacing w:line="320" w:lineRule="auto"/>
      <w:jc w:val="both"/>
    </w:pPr>
    <w:rPr>
      <w:sz w:val="24"/>
      <w:szCs w:val="24"/>
      <w:lang w:val="en-US" w:eastAsia="en-US"/>
    </w:rPr>
  </w:style>
  <w:style w:type="character" w:customStyle="1" w:styleId="st1">
    <w:name w:val="st1"/>
    <w:basedOn w:val="DefaultParagraphFont"/>
    <w:rsid w:val="00724FAA"/>
  </w:style>
  <w:style w:type="character" w:customStyle="1" w:styleId="CharCharChar">
    <w:name w:val="Char Char Char"/>
    <w:rsid w:val="00EE12C5"/>
    <w:rPr>
      <w:rFonts w:ascii="Humanist777" w:hAnsi="Humanist777"/>
      <w:sz w:val="24"/>
      <w:szCs w:val="24"/>
      <w:lang w:val="en-US" w:eastAsia="en-US" w:bidi="ar-SA"/>
    </w:rPr>
  </w:style>
  <w:style w:type="character" w:customStyle="1" w:styleId="CharCharCharCharCharCharChar">
    <w:name w:val="Char Char Char Char Char Char Char"/>
    <w:aliases w:val=" Char Char1 Char Char Char Char, Char Char Char Char Char, Char Char1 Char Char"/>
    <w:rsid w:val="00D2167F"/>
    <w:rPr>
      <w:rFonts w:ascii="Humanist777" w:hAnsi="Humanist777"/>
      <w:sz w:val="24"/>
      <w:szCs w:val="24"/>
      <w:lang w:val="en-US" w:eastAsia="en-US" w:bidi="ar-SA"/>
    </w:rPr>
  </w:style>
  <w:style w:type="character" w:customStyle="1" w:styleId="CharCharChar1">
    <w:name w:val="Char Char Char1"/>
    <w:rsid w:val="00D2167F"/>
    <w:rPr>
      <w:rFonts w:ascii="Humanist777" w:hAnsi="Humanist777"/>
      <w:sz w:val="24"/>
      <w:szCs w:val="24"/>
      <w:lang w:val="en-US" w:eastAsia="en-US" w:bidi="ar-SA"/>
    </w:rPr>
  </w:style>
  <w:style w:type="paragraph" w:customStyle="1" w:styleId="Style">
    <w:name w:val="Style"/>
    <w:rsid w:val="001750FF"/>
    <w:pPr>
      <w:widowControl w:val="0"/>
      <w:autoSpaceDE w:val="0"/>
      <w:autoSpaceDN w:val="0"/>
      <w:adjustRightInd w:val="0"/>
    </w:pPr>
    <w:rPr>
      <w:sz w:val="24"/>
      <w:szCs w:val="24"/>
      <w:lang w:val="en-US" w:eastAsia="en-US"/>
    </w:rPr>
  </w:style>
  <w:style w:type="paragraph" w:customStyle="1" w:styleId="Bullet0dKT">
    <w:name w:val="Bullet:0:d:KT"/>
    <w:basedOn w:val="Normal"/>
    <w:rsid w:val="001750FF"/>
    <w:pPr>
      <w:keepNext/>
      <w:keepLines/>
      <w:numPr>
        <w:numId w:val="1"/>
      </w:numPr>
      <w:spacing w:before="40" w:after="220"/>
      <w:ind w:left="357" w:hanging="357"/>
    </w:pPr>
    <w:rPr>
      <w:rFonts w:ascii="Helvetica" w:hAnsi="Helvetica"/>
      <w:sz w:val="22"/>
      <w:lang w:eastAsia="de-DE"/>
    </w:rPr>
  </w:style>
  <w:style w:type="paragraph" w:customStyle="1" w:styleId="Text">
    <w:name w:val="Text"/>
    <w:basedOn w:val="Normal"/>
    <w:rsid w:val="007E1051"/>
    <w:pPr>
      <w:spacing w:before="14" w:after="144" w:line="300" w:lineRule="atLeast"/>
      <w:ind w:left="720" w:right="360" w:hanging="720"/>
    </w:pPr>
    <w:rPr>
      <w:color w:val="000000"/>
      <w:sz w:val="24"/>
      <w:lang w:val="en-GB"/>
    </w:rPr>
  </w:style>
  <w:style w:type="character" w:customStyle="1" w:styleId="apple-converted-space">
    <w:name w:val="apple-converted-space"/>
    <w:basedOn w:val="DefaultParagraphFont"/>
    <w:rsid w:val="00DA56B8"/>
  </w:style>
  <w:style w:type="numbering" w:styleId="111111">
    <w:name w:val="Outline List 2"/>
    <w:basedOn w:val="NoList"/>
    <w:rsid w:val="00825D08"/>
    <w:pPr>
      <w:numPr>
        <w:numId w:val="2"/>
      </w:numPr>
    </w:pPr>
  </w:style>
  <w:style w:type="character" w:styleId="CommentReference">
    <w:name w:val="annotation reference"/>
    <w:rsid w:val="00825D08"/>
    <w:rPr>
      <w:sz w:val="16"/>
      <w:szCs w:val="16"/>
    </w:rPr>
  </w:style>
  <w:style w:type="paragraph" w:styleId="CommentText">
    <w:name w:val="annotation text"/>
    <w:basedOn w:val="Normal"/>
    <w:link w:val="CommentTextChar"/>
    <w:rsid w:val="00825D08"/>
  </w:style>
  <w:style w:type="character" w:customStyle="1" w:styleId="CommentTextChar">
    <w:name w:val="Comment Text Char"/>
    <w:link w:val="CommentText"/>
    <w:rsid w:val="00825D08"/>
    <w:rPr>
      <w:lang w:val="en-US" w:eastAsia="en-US"/>
    </w:rPr>
  </w:style>
  <w:style w:type="paragraph" w:styleId="CommentSubject">
    <w:name w:val="annotation subject"/>
    <w:basedOn w:val="CommentText"/>
    <w:next w:val="CommentText"/>
    <w:link w:val="CommentSubjectChar"/>
    <w:rsid w:val="00825D08"/>
    <w:rPr>
      <w:b/>
      <w:bCs/>
    </w:rPr>
  </w:style>
  <w:style w:type="character" w:customStyle="1" w:styleId="CommentSubjectChar">
    <w:name w:val="Comment Subject Char"/>
    <w:link w:val="CommentSubject"/>
    <w:rsid w:val="00825D08"/>
    <w:rPr>
      <w:b/>
      <w:bCs/>
      <w:lang w:val="en-US" w:eastAsia="en-US"/>
    </w:rPr>
  </w:style>
  <w:style w:type="paragraph" w:customStyle="1" w:styleId="ammcorpstexte">
    <w:name w:val="ammcorpstexte"/>
    <w:basedOn w:val="Normal"/>
    <w:rsid w:val="00825D08"/>
    <w:rPr>
      <w:rFonts w:ascii="Arial" w:hAnsi="Arial" w:cs="Arial"/>
      <w:color w:val="000000"/>
      <w:sz w:val="24"/>
      <w:szCs w:val="24"/>
      <w:lang w:val="hr-HR" w:eastAsia="fr-FR"/>
    </w:rPr>
  </w:style>
  <w:style w:type="paragraph" w:styleId="DocumentMap">
    <w:name w:val="Document Map"/>
    <w:basedOn w:val="Normal"/>
    <w:link w:val="DocumentMapChar"/>
    <w:rsid w:val="00900028"/>
    <w:pPr>
      <w:shd w:val="clear" w:color="auto" w:fill="000080"/>
    </w:pPr>
    <w:rPr>
      <w:rFonts w:ascii="Tahoma" w:hAnsi="Tahoma" w:cs="Tahoma"/>
    </w:rPr>
  </w:style>
  <w:style w:type="character" w:customStyle="1" w:styleId="DocumentMapChar">
    <w:name w:val="Document Map Char"/>
    <w:link w:val="DocumentMap"/>
    <w:rsid w:val="00900028"/>
    <w:rPr>
      <w:rFonts w:ascii="Tahoma" w:hAnsi="Tahoma" w:cs="Tahoma"/>
      <w:shd w:val="clear" w:color="auto" w:fill="000080"/>
      <w:lang w:eastAsia="en-US"/>
    </w:rPr>
  </w:style>
  <w:style w:type="paragraph" w:customStyle="1" w:styleId="Blok">
    <w:name w:val="Blok"/>
    <w:basedOn w:val="Normal"/>
    <w:rsid w:val="00900028"/>
    <w:pPr>
      <w:keepNext/>
      <w:tabs>
        <w:tab w:val="left" w:pos="1276"/>
      </w:tabs>
      <w:spacing w:after="240" w:line="360" w:lineRule="atLeast"/>
      <w:jc w:val="both"/>
    </w:pPr>
    <w:rPr>
      <w:rFonts w:ascii="Dutch" w:hAnsi="Dutch"/>
      <w:sz w:val="24"/>
    </w:rPr>
  </w:style>
  <w:style w:type="paragraph" w:customStyle="1" w:styleId="Regular">
    <w:name w:val="Regular"/>
    <w:basedOn w:val="Normal"/>
    <w:link w:val="RegularChar"/>
    <w:rsid w:val="00900028"/>
    <w:pPr>
      <w:jc w:val="both"/>
    </w:pPr>
    <w:rPr>
      <w:b/>
      <w:sz w:val="24"/>
      <w:szCs w:val="24"/>
      <w:lang w:val="sr-Latn-CS"/>
    </w:rPr>
  </w:style>
  <w:style w:type="character" w:customStyle="1" w:styleId="RegularChar">
    <w:name w:val="Regular Char"/>
    <w:link w:val="Regular"/>
    <w:rsid w:val="00900028"/>
    <w:rPr>
      <w:b/>
      <w:sz w:val="24"/>
      <w:szCs w:val="24"/>
      <w:lang w:val="sr-Latn-CS" w:eastAsia="en-US"/>
    </w:rPr>
  </w:style>
  <w:style w:type="character" w:customStyle="1" w:styleId="a">
    <w:name w:val="_"/>
    <w:rsid w:val="002A25F6"/>
    <w:rPr>
      <w:noProof w:val="0"/>
      <w:lang w:val="x-none"/>
    </w:rPr>
  </w:style>
  <w:style w:type="character" w:customStyle="1" w:styleId="FooterChar">
    <w:name w:val="Footer Char"/>
    <w:link w:val="Footer"/>
    <w:rsid w:val="00756FDD"/>
    <w:rPr>
      <w:lang w:eastAsia="en-US"/>
    </w:rPr>
  </w:style>
  <w:style w:type="character" w:styleId="Hyperlink">
    <w:name w:val="Hyperlink"/>
    <w:rsid w:val="00471E3E"/>
    <w:rPr>
      <w:color w:val="0000FF"/>
      <w:u w:val="single"/>
    </w:rPr>
  </w:style>
  <w:style w:type="paragraph" w:styleId="List">
    <w:name w:val="List"/>
    <w:basedOn w:val="Normal"/>
    <w:rsid w:val="00437280"/>
    <w:pPr>
      <w:ind w:left="283" w:hanging="283"/>
      <w:contextualSpacing/>
    </w:pPr>
  </w:style>
  <w:style w:type="paragraph" w:customStyle="1" w:styleId="Listepuces2">
    <w:name w:val="Liste à puces2"/>
    <w:basedOn w:val="Normal"/>
    <w:rsid w:val="00437280"/>
    <w:pPr>
      <w:keepLines/>
      <w:tabs>
        <w:tab w:val="num" w:pos="360"/>
      </w:tabs>
      <w:spacing w:before="240" w:line="280" w:lineRule="exact"/>
      <w:ind w:left="360" w:hanging="360"/>
      <w:jc w:val="both"/>
    </w:pPr>
    <w:rPr>
      <w:rFonts w:ascii="Arial" w:hAnsi="Arial"/>
      <w:sz w:val="22"/>
      <w:lang w:val="fr-FR"/>
    </w:rPr>
  </w:style>
  <w:style w:type="paragraph" w:customStyle="1" w:styleId="ABold">
    <w:name w:val="A_Bold"/>
    <w:basedOn w:val="BodyText"/>
    <w:next w:val="BodyText"/>
    <w:rsid w:val="00437280"/>
    <w:pPr>
      <w:spacing w:before="240" w:after="0"/>
      <w:jc w:val="both"/>
    </w:pPr>
    <w:rPr>
      <w:b/>
      <w:sz w:val="24"/>
      <w:lang w:val="en-US" w:eastAsia="x-none"/>
    </w:rPr>
  </w:style>
  <w:style w:type="numbering" w:customStyle="1" w:styleId="NoList1">
    <w:name w:val="No List1"/>
    <w:next w:val="NoList"/>
    <w:semiHidden/>
    <w:rsid w:val="006F5DA1"/>
  </w:style>
  <w:style w:type="numbering" w:customStyle="1" w:styleId="1111111">
    <w:name w:val="1 / 1.1 / 1.1.11"/>
    <w:basedOn w:val="NoList"/>
    <w:next w:val="111111"/>
    <w:rsid w:val="006F5DA1"/>
  </w:style>
  <w:style w:type="character" w:customStyle="1" w:styleId="BodyTextChar">
    <w:name w:val="Body Text Char"/>
    <w:link w:val="BodyText"/>
    <w:rsid w:val="006F5DA1"/>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712736137">
      <w:bodyDiv w:val="1"/>
      <w:marLeft w:val="0"/>
      <w:marRight w:val="0"/>
      <w:marTop w:val="0"/>
      <w:marBottom w:val="0"/>
      <w:divBdr>
        <w:top w:val="none" w:sz="0" w:space="0" w:color="auto"/>
        <w:left w:val="none" w:sz="0" w:space="0" w:color="auto"/>
        <w:bottom w:val="none" w:sz="0" w:space="0" w:color="auto"/>
        <w:right w:val="none" w:sz="0" w:space="0" w:color="auto"/>
      </w:divBdr>
    </w:div>
    <w:div w:id="1023556366">
      <w:bodyDiv w:val="1"/>
      <w:marLeft w:val="0"/>
      <w:marRight w:val="0"/>
      <w:marTop w:val="0"/>
      <w:marBottom w:val="0"/>
      <w:divBdr>
        <w:top w:val="none" w:sz="0" w:space="0" w:color="auto"/>
        <w:left w:val="none" w:sz="0" w:space="0" w:color="auto"/>
        <w:bottom w:val="none" w:sz="0" w:space="0" w:color="auto"/>
        <w:right w:val="none" w:sz="0" w:space="0" w:color="auto"/>
      </w:divBdr>
    </w:div>
    <w:div w:id="1203129038">
      <w:bodyDiv w:val="1"/>
      <w:marLeft w:val="0"/>
      <w:marRight w:val="0"/>
      <w:marTop w:val="0"/>
      <w:marBottom w:val="0"/>
      <w:divBdr>
        <w:top w:val="none" w:sz="0" w:space="0" w:color="auto"/>
        <w:left w:val="none" w:sz="0" w:space="0" w:color="auto"/>
        <w:bottom w:val="none" w:sz="0" w:space="0" w:color="auto"/>
        <w:right w:val="none" w:sz="0" w:space="0" w:color="auto"/>
      </w:divBdr>
    </w:div>
    <w:div w:id="1287158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ezeljenadejstva@calims.me"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www.calims.me"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22</Pages>
  <Words>7722</Words>
  <Characters>44020</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Hemofarm koncern</Company>
  <LinksUpToDate>false</LinksUpToDate>
  <CharactersWithSpaces>51639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creator>jglisic</dc:creator>
  <cp:lastModifiedBy>Tijana Mićović</cp:lastModifiedBy>
  <cp:revision>3</cp:revision>
  <cp:lastPrinted>2012-05-18T12:57:00Z</cp:lastPrinted>
  <dcterms:created xsi:type="dcterms:W3CDTF">2018-07-06T12:09:00Z</dcterms:created>
  <dcterms:modified xsi:type="dcterms:W3CDTF">2018-07-06T12:17:00Z</dcterms:modified>
</cp:coreProperties>
</file>