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747C4B" w:rsidRDefault="009318B4" w:rsidP="009318B4">
      <w:pPr>
        <w:rPr>
          <w:rFonts w:ascii="Times New Roman" w:hAnsi="Times New Roman" w:cs="Times New Roman"/>
        </w:rPr>
      </w:pPr>
    </w:p>
    <w:p w:rsidR="00260A70" w:rsidRPr="00260A70" w:rsidRDefault="00260A70" w:rsidP="00260A70">
      <w:pPr>
        <w:spacing w:after="0" w:line="240" w:lineRule="auto"/>
        <w:rPr>
          <w:rFonts w:ascii="Times New Roman" w:eastAsia="Times New Roman" w:hAnsi="Times New Roman" w:cs="Times New Roman"/>
          <w:b/>
          <w:bCs/>
          <w:i/>
          <w:iCs/>
          <w:noProof/>
          <w:u w:val="single"/>
          <w:lang w:val="sr-Latn-ME"/>
        </w:rPr>
      </w:pPr>
    </w:p>
    <w:p w:rsidR="00260A70" w:rsidRPr="00260A70" w:rsidRDefault="00260A70" w:rsidP="00260A70">
      <w:pPr>
        <w:spacing w:after="0" w:line="240" w:lineRule="auto"/>
        <w:rPr>
          <w:rFonts w:ascii="Times New Roman" w:eastAsia="Times New Roman" w:hAnsi="Times New Roman" w:cs="Times New Roman"/>
          <w:b/>
          <w:bCs/>
          <w:i/>
          <w:iCs/>
          <w:noProof/>
          <w:u w:val="single"/>
          <w:lang w:val="sr-Latn-ME"/>
        </w:rPr>
      </w:pPr>
    </w:p>
    <w:p w:rsidR="00260A70" w:rsidRPr="00260A70" w:rsidRDefault="00260A70" w:rsidP="00260A70">
      <w:pPr>
        <w:spacing w:after="0" w:line="240" w:lineRule="auto"/>
        <w:rPr>
          <w:rFonts w:ascii="Times New Roman" w:eastAsia="Times New Roman" w:hAnsi="Times New Roman" w:cs="Times New Roman"/>
          <w:b/>
          <w:bCs/>
          <w:i/>
          <w:iCs/>
          <w:noProof/>
          <w:u w:val="single"/>
          <w:lang w:val="sr-Latn-ME"/>
        </w:rPr>
      </w:pPr>
    </w:p>
    <w:p w:rsidR="00260A70" w:rsidRPr="00260A70" w:rsidRDefault="00260A70" w:rsidP="00260A70">
      <w:pPr>
        <w:spacing w:after="0" w:line="240" w:lineRule="auto"/>
        <w:rPr>
          <w:rFonts w:ascii="Times New Roman" w:eastAsia="Times New Roman" w:hAnsi="Times New Roman" w:cs="Times New Roman"/>
          <w:b/>
          <w:bCs/>
          <w:i/>
          <w:iCs/>
          <w:noProof/>
          <w:u w:val="single"/>
          <w:lang w:val="sr-Latn-ME"/>
        </w:rPr>
      </w:pPr>
    </w:p>
    <w:p w:rsidR="00260A70" w:rsidRPr="00260A70" w:rsidRDefault="00260A70" w:rsidP="00260A70">
      <w:pPr>
        <w:spacing w:after="0" w:line="240" w:lineRule="auto"/>
        <w:rPr>
          <w:rFonts w:ascii="Times New Roman" w:eastAsia="Times New Roman" w:hAnsi="Times New Roman" w:cs="Times New Roman"/>
          <w:b/>
          <w:bCs/>
          <w:i/>
          <w:iCs/>
          <w:noProof/>
          <w:u w:val="single"/>
          <w:lang w:val="sr-Latn-ME"/>
        </w:rPr>
      </w:pPr>
    </w:p>
    <w:p w:rsidR="00260A70" w:rsidRDefault="00260A70" w:rsidP="00260A70">
      <w:pPr>
        <w:spacing w:after="0" w:line="240" w:lineRule="auto"/>
        <w:rPr>
          <w:rFonts w:ascii="Times New Roman" w:eastAsia="Times New Roman" w:hAnsi="Times New Roman" w:cs="Times New Roman"/>
          <w:b/>
          <w:bCs/>
          <w:i/>
          <w:iCs/>
          <w:noProof/>
          <w:u w:val="single"/>
          <w:lang w:val="sr-Latn-ME"/>
        </w:rPr>
      </w:pPr>
    </w:p>
    <w:p w:rsidR="00B35316" w:rsidRDefault="00B35316" w:rsidP="00260A70">
      <w:pPr>
        <w:spacing w:after="0" w:line="240" w:lineRule="auto"/>
        <w:rPr>
          <w:rFonts w:ascii="Times New Roman" w:eastAsia="Times New Roman" w:hAnsi="Times New Roman" w:cs="Times New Roman"/>
          <w:b/>
          <w:bCs/>
          <w:i/>
          <w:iCs/>
          <w:noProof/>
          <w:u w:val="single"/>
          <w:lang w:val="sr-Latn-ME"/>
        </w:rPr>
      </w:pPr>
    </w:p>
    <w:p w:rsidR="00B35316" w:rsidRDefault="00B35316" w:rsidP="00260A70">
      <w:pPr>
        <w:spacing w:after="0" w:line="240" w:lineRule="auto"/>
        <w:rPr>
          <w:rFonts w:ascii="Times New Roman" w:eastAsia="Times New Roman" w:hAnsi="Times New Roman" w:cs="Times New Roman"/>
          <w:b/>
          <w:bCs/>
          <w:i/>
          <w:iCs/>
          <w:noProof/>
          <w:u w:val="single"/>
          <w:lang w:val="sr-Latn-ME"/>
        </w:rPr>
      </w:pPr>
    </w:p>
    <w:p w:rsidR="00B35316" w:rsidRPr="00260A70" w:rsidRDefault="00B35316" w:rsidP="00260A70">
      <w:pPr>
        <w:spacing w:after="0" w:line="240" w:lineRule="auto"/>
        <w:rPr>
          <w:rFonts w:ascii="Times New Roman" w:eastAsia="Times New Roman" w:hAnsi="Times New Roman" w:cs="Times New Roman"/>
          <w:b/>
          <w:bCs/>
          <w:i/>
          <w:iCs/>
          <w:noProof/>
          <w:u w:val="single"/>
          <w:lang w:val="sr-Latn-ME"/>
        </w:rPr>
      </w:pPr>
    </w:p>
    <w:tbl>
      <w:tblPr>
        <w:tblW w:w="9360" w:type="dxa"/>
        <w:jc w:val="center"/>
        <w:tblLayout w:type="fixed"/>
        <w:tblLook w:val="0000" w:firstRow="0" w:lastRow="0" w:firstColumn="0" w:lastColumn="0" w:noHBand="0" w:noVBand="0"/>
      </w:tblPr>
      <w:tblGrid>
        <w:gridCol w:w="2160"/>
        <w:gridCol w:w="7200"/>
      </w:tblGrid>
      <w:tr w:rsidR="00260A70" w:rsidRPr="00260A70" w:rsidTr="003D542C">
        <w:trPr>
          <w:trHeight w:val="530"/>
          <w:jc w:val="center"/>
        </w:trPr>
        <w:tc>
          <w:tcPr>
            <w:tcW w:w="9360" w:type="dxa"/>
            <w:gridSpan w:val="2"/>
            <w:vAlign w:val="center"/>
          </w:tcPr>
          <w:p w:rsidR="00260A70" w:rsidRPr="00260A70" w:rsidRDefault="00260A70" w:rsidP="00260A70">
            <w:pPr>
              <w:spacing w:after="0" w:line="240" w:lineRule="auto"/>
              <w:jc w:val="center"/>
              <w:rPr>
                <w:rFonts w:ascii="Times New Roman" w:eastAsia="Times New Roman" w:hAnsi="Times New Roman" w:cs="Times New Roman"/>
                <w:b/>
                <w:bCs/>
                <w:iCs/>
                <w:noProof/>
                <w:u w:val="single"/>
                <w:lang w:val="sr-Latn-ME"/>
              </w:rPr>
            </w:pPr>
            <w:r w:rsidRPr="00260A70">
              <w:rPr>
                <w:rFonts w:ascii="Times New Roman" w:eastAsia="Times New Roman" w:hAnsi="Times New Roman" w:cs="Times New Roman"/>
                <w:b/>
                <w:bCs/>
                <w:iCs/>
                <w:noProof/>
                <w:u w:val="single"/>
                <w:lang w:val="sr-Latn-ME"/>
              </w:rPr>
              <w:t>SAŽETAK KARAKTERISTIKA LIJEKA</w:t>
            </w:r>
          </w:p>
        </w:tc>
      </w:tr>
      <w:tr w:rsidR="00260A70" w:rsidRPr="00260A70" w:rsidTr="003D542C">
        <w:trPr>
          <w:trHeight w:val="1969"/>
          <w:jc w:val="center"/>
        </w:trPr>
        <w:tc>
          <w:tcPr>
            <w:tcW w:w="9360" w:type="dxa"/>
            <w:gridSpan w:val="2"/>
            <w:vAlign w:val="center"/>
          </w:tcPr>
          <w:p w:rsidR="00260A70" w:rsidRPr="00260A70" w:rsidRDefault="00260A70" w:rsidP="00260A70">
            <w:pPr>
              <w:spacing w:after="40" w:line="240" w:lineRule="auto"/>
              <w:jc w:val="center"/>
              <w:rPr>
                <w:rFonts w:ascii="Times New Roman" w:eastAsia="Times New Roman" w:hAnsi="Times New Roman" w:cs="Times New Roman"/>
                <w:bCs/>
                <w:noProof/>
                <w:lang w:val="sr-Latn-ME"/>
              </w:rPr>
            </w:pPr>
            <w:r w:rsidRPr="00260A70">
              <w:rPr>
                <w:rFonts w:ascii="Times New Roman" w:eastAsia="Times New Roman" w:hAnsi="Times New Roman" w:cs="Times New Roman"/>
                <w:b/>
                <w:bCs/>
                <w:noProof/>
                <w:lang w:val="sr-Latn-ME"/>
              </w:rPr>
              <w:t>Tobradex®</w:t>
            </w:r>
            <w:r w:rsidRPr="00260A70">
              <w:rPr>
                <w:rFonts w:ascii="Times New Roman" w:eastAsia="Times New Roman" w:hAnsi="Times New Roman" w:cs="Times New Roman"/>
                <w:bCs/>
                <w:noProof/>
                <w:lang w:val="sr-Latn-ME"/>
              </w:rPr>
              <w:t>,</w:t>
            </w:r>
            <w:r w:rsidRPr="00260A70">
              <w:rPr>
                <w:rFonts w:ascii="Times New Roman" w:eastAsia="Times New Roman" w:hAnsi="Times New Roman" w:cs="Times New Roman"/>
                <w:b/>
                <w:bCs/>
                <w:noProof/>
                <w:lang w:val="sr-Latn-ME"/>
              </w:rPr>
              <w:t xml:space="preserve"> </w:t>
            </w:r>
            <w:r w:rsidRPr="00260A70">
              <w:rPr>
                <w:rFonts w:ascii="Times New Roman" w:eastAsia="Times New Roman" w:hAnsi="Times New Roman" w:cs="Times New Roman"/>
                <w:bCs/>
                <w:noProof/>
                <w:lang w:val="sr-Latn-ME"/>
              </w:rPr>
              <w:t>kapi za oči, suspenzija, 1 mg/ml + 3 mg/ml</w:t>
            </w:r>
            <w:r w:rsidR="00B35316">
              <w:rPr>
                <w:rFonts w:ascii="Times New Roman" w:eastAsia="Times New Roman" w:hAnsi="Times New Roman" w:cs="Times New Roman"/>
                <w:bCs/>
                <w:noProof/>
                <w:lang w:val="sr-Latn-ME"/>
              </w:rPr>
              <w:t>,</w:t>
            </w:r>
          </w:p>
          <w:p w:rsidR="00260A70" w:rsidRPr="00260A70" w:rsidRDefault="00260A70" w:rsidP="00260A70">
            <w:pPr>
              <w:spacing w:after="40" w:line="240" w:lineRule="auto"/>
              <w:jc w:val="center"/>
              <w:rPr>
                <w:rFonts w:ascii="Times New Roman" w:eastAsia="Times New Roman" w:hAnsi="Times New Roman" w:cs="Times New Roman"/>
                <w:b/>
                <w:bCs/>
                <w:noProof/>
                <w:u w:val="single"/>
                <w:lang w:val="sr-Latn-ME"/>
              </w:rPr>
            </w:pPr>
            <w:r w:rsidRPr="00260A70">
              <w:rPr>
                <w:rFonts w:ascii="Times New Roman" w:eastAsia="Times New Roman" w:hAnsi="Times New Roman" w:cs="Times New Roman"/>
                <w:bCs/>
                <w:noProof/>
                <w:lang w:val="sr-Latn-ME"/>
              </w:rPr>
              <w:t>bočica sa kapaljkom</w:t>
            </w:r>
            <w:r>
              <w:rPr>
                <w:rFonts w:ascii="Times New Roman" w:eastAsia="Times New Roman" w:hAnsi="Times New Roman" w:cs="Times New Roman"/>
                <w:bCs/>
                <w:noProof/>
                <w:lang w:val="sr-Latn-ME"/>
              </w:rPr>
              <w:t>, 1x</w:t>
            </w:r>
            <w:r w:rsidRPr="00260A70">
              <w:rPr>
                <w:rFonts w:ascii="Times New Roman" w:eastAsia="Times New Roman" w:hAnsi="Times New Roman" w:cs="Times New Roman"/>
                <w:bCs/>
                <w:noProof/>
                <w:lang w:val="sr-Latn-ME"/>
              </w:rPr>
              <w:t>5 ml</w:t>
            </w:r>
          </w:p>
        </w:tc>
      </w:tr>
      <w:tr w:rsidR="00260A70" w:rsidRPr="00260A70" w:rsidTr="003D542C">
        <w:trPr>
          <w:trHeight w:val="1225"/>
          <w:jc w:val="center"/>
        </w:trPr>
        <w:tc>
          <w:tcPr>
            <w:tcW w:w="9360" w:type="dxa"/>
            <w:gridSpan w:val="2"/>
          </w:tcPr>
          <w:p w:rsidR="00260A70" w:rsidRPr="00260A70" w:rsidRDefault="00260A70" w:rsidP="00260A70">
            <w:pPr>
              <w:keepNext/>
              <w:tabs>
                <w:tab w:val="left" w:pos="284"/>
              </w:tabs>
              <w:spacing w:after="0" w:line="240" w:lineRule="auto"/>
              <w:jc w:val="center"/>
              <w:outlineLvl w:val="1"/>
              <w:rPr>
                <w:rFonts w:ascii="Times New Roman" w:eastAsia="Times New Roman" w:hAnsi="Times New Roman" w:cs="Times New Roman"/>
                <w:i/>
                <w:iCs/>
                <w:noProof/>
                <w:color w:val="808080"/>
                <w:lang w:val="sr-Latn-ME"/>
              </w:rPr>
            </w:pPr>
          </w:p>
        </w:tc>
      </w:tr>
      <w:tr w:rsidR="00260A70" w:rsidRPr="00260A70" w:rsidTr="003D542C">
        <w:trPr>
          <w:jc w:val="center"/>
        </w:trPr>
        <w:tc>
          <w:tcPr>
            <w:tcW w:w="2160" w:type="dxa"/>
            <w:vAlign w:val="bottom"/>
          </w:tcPr>
          <w:p w:rsidR="00260A70" w:rsidRPr="00260A70" w:rsidRDefault="00260A70" w:rsidP="00260A70">
            <w:pPr>
              <w:spacing w:before="200" w:after="0" w:line="240" w:lineRule="auto"/>
              <w:jc w:val="right"/>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Proizvođač:</w:t>
            </w:r>
          </w:p>
        </w:tc>
        <w:tc>
          <w:tcPr>
            <w:tcW w:w="7200" w:type="dxa"/>
            <w:vAlign w:val="bottom"/>
          </w:tcPr>
          <w:p w:rsidR="00260A70" w:rsidRPr="00260A70" w:rsidRDefault="00260A70" w:rsidP="00260A70">
            <w:pPr>
              <w:spacing w:after="0" w:line="240" w:lineRule="auto"/>
              <w:ind w:left="72" w:hanging="72"/>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Alcon-Couvreur N.V.</w:t>
            </w:r>
          </w:p>
        </w:tc>
      </w:tr>
      <w:tr w:rsidR="00260A70" w:rsidRPr="00260A70" w:rsidTr="003D542C">
        <w:trPr>
          <w:jc w:val="center"/>
        </w:trPr>
        <w:tc>
          <w:tcPr>
            <w:tcW w:w="2160" w:type="dxa"/>
            <w:vAlign w:val="bottom"/>
          </w:tcPr>
          <w:p w:rsidR="00260A70" w:rsidRPr="00260A70" w:rsidRDefault="00260A70" w:rsidP="00260A70">
            <w:pPr>
              <w:spacing w:before="200" w:after="0" w:line="240" w:lineRule="auto"/>
              <w:jc w:val="right"/>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Adresa:</w:t>
            </w:r>
          </w:p>
        </w:tc>
        <w:tc>
          <w:tcPr>
            <w:tcW w:w="7200" w:type="dxa"/>
            <w:vAlign w:val="bottom"/>
          </w:tcPr>
          <w:p w:rsidR="00260A70" w:rsidRPr="00260A70" w:rsidRDefault="00260A70" w:rsidP="00260A70">
            <w:pPr>
              <w:spacing w:after="0" w:line="240" w:lineRule="auto"/>
              <w:ind w:left="72" w:hanging="72"/>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Rijksweg 14, Puurs, Antwerpen, B-2870, Belgija</w:t>
            </w:r>
          </w:p>
        </w:tc>
      </w:tr>
      <w:tr w:rsidR="00260A70" w:rsidRPr="00260A70" w:rsidTr="003D542C">
        <w:trPr>
          <w:jc w:val="center"/>
        </w:trPr>
        <w:tc>
          <w:tcPr>
            <w:tcW w:w="2160" w:type="dxa"/>
            <w:vAlign w:val="bottom"/>
          </w:tcPr>
          <w:p w:rsidR="00260A70" w:rsidRPr="00260A70" w:rsidRDefault="00260A70" w:rsidP="00260A70">
            <w:pPr>
              <w:spacing w:before="200" w:after="0" w:line="240" w:lineRule="auto"/>
              <w:jc w:val="right"/>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Podnosilac zahtjeva:</w:t>
            </w:r>
          </w:p>
        </w:tc>
        <w:tc>
          <w:tcPr>
            <w:tcW w:w="7200" w:type="dxa"/>
            <w:vAlign w:val="bottom"/>
          </w:tcPr>
          <w:p w:rsidR="00260A70" w:rsidRPr="00260A70" w:rsidRDefault="005F03F0" w:rsidP="00260A70">
            <w:pPr>
              <w:spacing w:after="0" w:line="240" w:lineRule="auto"/>
              <w:ind w:left="72" w:hanging="72"/>
              <w:rPr>
                <w:rFonts w:ascii="Times New Roman" w:eastAsia="Times New Roman" w:hAnsi="Times New Roman" w:cs="Times New Roman"/>
                <w:b/>
                <w:bCs/>
                <w:noProof/>
                <w:lang w:val="sr-Latn-ME"/>
              </w:rPr>
            </w:pPr>
            <w:r>
              <w:rPr>
                <w:rFonts w:ascii="Times New Roman" w:hAnsi="Times New Roman" w:cs="Times New Roman"/>
                <w:b/>
                <w:bCs/>
                <w:lang w:val="pt-BR"/>
              </w:rPr>
              <w:t>“Novartis Pharma Services AG” dio stranog društva Podgorica</w:t>
            </w:r>
          </w:p>
        </w:tc>
      </w:tr>
      <w:tr w:rsidR="00260A70" w:rsidRPr="00260A70" w:rsidTr="003D542C">
        <w:trPr>
          <w:jc w:val="center"/>
        </w:trPr>
        <w:tc>
          <w:tcPr>
            <w:tcW w:w="2160" w:type="dxa"/>
            <w:vAlign w:val="bottom"/>
          </w:tcPr>
          <w:p w:rsidR="00260A70" w:rsidRPr="00260A70" w:rsidRDefault="00260A70" w:rsidP="00260A70">
            <w:pPr>
              <w:spacing w:before="200" w:after="0" w:line="240" w:lineRule="auto"/>
              <w:jc w:val="right"/>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Adresa:</w:t>
            </w:r>
          </w:p>
        </w:tc>
        <w:tc>
          <w:tcPr>
            <w:tcW w:w="7200" w:type="dxa"/>
            <w:vAlign w:val="bottom"/>
          </w:tcPr>
          <w:p w:rsidR="00260A70" w:rsidRPr="00260A70" w:rsidRDefault="005F03F0" w:rsidP="00260A70">
            <w:pPr>
              <w:spacing w:after="0" w:line="240" w:lineRule="auto"/>
              <w:ind w:left="72" w:hanging="72"/>
              <w:rPr>
                <w:rFonts w:ascii="Times New Roman" w:eastAsia="Times New Roman" w:hAnsi="Times New Roman" w:cs="Times New Roman"/>
                <w:b/>
                <w:bCs/>
                <w:noProof/>
                <w:lang w:val="sr-Latn-ME"/>
              </w:rPr>
            </w:pPr>
            <w:r w:rsidRPr="005F03F0">
              <w:rPr>
                <w:rFonts w:ascii="Times New Roman" w:eastAsia="Times New Roman" w:hAnsi="Times New Roman" w:cs="Times New Roman"/>
                <w:b/>
                <w:bCs/>
                <w:noProof/>
                <w:lang w:val="sr-Latn-ME"/>
              </w:rPr>
              <w:t>ul. Svetlane Kane Radević 3, 81000 Podgorica, Crna Gora</w:t>
            </w:r>
          </w:p>
        </w:tc>
      </w:tr>
    </w:tbl>
    <w:p w:rsidR="00260A70" w:rsidRPr="00260A70" w:rsidRDefault="00260A70" w:rsidP="00260A70">
      <w:pPr>
        <w:spacing w:after="0" w:line="240" w:lineRule="auto"/>
        <w:rPr>
          <w:rFonts w:ascii="Times New Roman" w:eastAsia="Times New Roman" w:hAnsi="Times New Roman" w:cs="Times New Roman"/>
          <w:b/>
          <w:bCs/>
          <w:i/>
          <w:iCs/>
          <w:noProof/>
          <w:u w:val="single"/>
          <w:lang w:val="sr-Latn-ME"/>
        </w:rPr>
      </w:pPr>
    </w:p>
    <w:p w:rsidR="00260A70" w:rsidRPr="00260A70" w:rsidRDefault="00260A70" w:rsidP="00260A70">
      <w:pPr>
        <w:spacing w:after="0" w:line="240" w:lineRule="auto"/>
        <w:rPr>
          <w:rFonts w:ascii="Times New Roman" w:eastAsia="Times New Roman" w:hAnsi="Times New Roman" w:cs="Times New Roman"/>
          <w:b/>
          <w:bCs/>
          <w:i/>
          <w:iCs/>
          <w:noProof/>
          <w:u w:val="single"/>
          <w:lang w:val="sr-Latn-ME"/>
        </w:rPr>
      </w:pPr>
    </w:p>
    <w:p w:rsidR="00260A70" w:rsidRPr="00260A70" w:rsidRDefault="00260A70" w:rsidP="00260A70">
      <w:pPr>
        <w:spacing w:after="0" w:line="240" w:lineRule="auto"/>
        <w:rPr>
          <w:rFonts w:ascii="Times New Roman" w:eastAsia="Times New Roman" w:hAnsi="Times New Roman" w:cs="Times New Roman"/>
          <w:b/>
          <w:bCs/>
          <w:i/>
          <w:iCs/>
          <w:noProof/>
          <w:u w:val="single"/>
          <w:lang w:val="sr-Latn-ME"/>
        </w:rPr>
      </w:pPr>
    </w:p>
    <w:p w:rsidR="00260A70" w:rsidRPr="00260A70" w:rsidRDefault="00260A70" w:rsidP="00260A70">
      <w:pPr>
        <w:spacing w:after="0" w:line="240" w:lineRule="auto"/>
        <w:rPr>
          <w:rFonts w:ascii="Times New Roman" w:eastAsia="Times New Roman" w:hAnsi="Times New Roman" w:cs="Times New Roman"/>
          <w:b/>
          <w:bCs/>
          <w:i/>
          <w:iCs/>
          <w:noProof/>
          <w:u w:val="single"/>
          <w:lang w:val="sr-Latn-ME"/>
        </w:rPr>
      </w:pPr>
    </w:p>
    <w:p w:rsidR="00260A70" w:rsidRPr="00260A70" w:rsidRDefault="00260A70" w:rsidP="00260A70">
      <w:pPr>
        <w:spacing w:after="0" w:line="240" w:lineRule="auto"/>
        <w:rPr>
          <w:rFonts w:ascii="Times New Roman" w:eastAsia="Times New Roman" w:hAnsi="Times New Roman" w:cs="Times New Roman"/>
          <w:b/>
          <w:bCs/>
          <w:i/>
          <w:iCs/>
          <w:noProof/>
          <w:u w:val="single"/>
          <w:lang w:val="sr-Latn-ME"/>
        </w:rPr>
      </w:pPr>
    </w:p>
    <w:p w:rsidR="00260A70" w:rsidRPr="00260A70" w:rsidRDefault="00260A70" w:rsidP="00260A70">
      <w:pPr>
        <w:spacing w:after="0" w:line="240" w:lineRule="auto"/>
        <w:rPr>
          <w:rFonts w:ascii="Times New Roman" w:eastAsia="Times New Roman" w:hAnsi="Times New Roman" w:cs="Times New Roman"/>
          <w:noProof/>
          <w:color w:val="808080"/>
          <w:lang w:val="sr-Latn-ME"/>
        </w:rPr>
      </w:pPr>
    </w:p>
    <w:p w:rsidR="00260A70" w:rsidRPr="00260A70" w:rsidRDefault="00260A70" w:rsidP="00260A70">
      <w:pPr>
        <w:spacing w:after="0" w:line="240" w:lineRule="auto"/>
        <w:rPr>
          <w:rFonts w:ascii="Times New Roman" w:eastAsia="Times New Roman" w:hAnsi="Times New Roman" w:cs="Times New Roman"/>
          <w:i/>
          <w:noProof/>
          <w:color w:val="808080"/>
          <w:lang w:val="sr-Latn-ME"/>
        </w:rPr>
      </w:pPr>
    </w:p>
    <w:p w:rsidR="00260A70" w:rsidRDefault="00260A70" w:rsidP="00260A70">
      <w:pPr>
        <w:spacing w:after="0" w:line="240" w:lineRule="auto"/>
        <w:rPr>
          <w:rFonts w:ascii="Times New Roman" w:eastAsia="Times New Roman" w:hAnsi="Times New Roman" w:cs="Times New Roman"/>
          <w:i/>
          <w:noProof/>
          <w:color w:val="808080"/>
          <w:lang w:val="sr-Latn-ME"/>
        </w:rPr>
      </w:pPr>
    </w:p>
    <w:p w:rsidR="009C2F99" w:rsidRDefault="009C2F99" w:rsidP="00260A70">
      <w:pPr>
        <w:spacing w:after="0" w:line="240" w:lineRule="auto"/>
        <w:rPr>
          <w:rFonts w:ascii="Times New Roman" w:eastAsia="Times New Roman" w:hAnsi="Times New Roman" w:cs="Times New Roman"/>
          <w:i/>
          <w:noProof/>
          <w:color w:val="808080"/>
          <w:lang w:val="sr-Latn-ME"/>
        </w:rPr>
      </w:pPr>
    </w:p>
    <w:p w:rsidR="009C2F99" w:rsidRDefault="009C2F99" w:rsidP="00260A70">
      <w:pPr>
        <w:spacing w:after="0" w:line="240" w:lineRule="auto"/>
        <w:rPr>
          <w:rFonts w:ascii="Times New Roman" w:eastAsia="Times New Roman" w:hAnsi="Times New Roman" w:cs="Times New Roman"/>
          <w:i/>
          <w:noProof/>
          <w:color w:val="808080"/>
          <w:lang w:val="sr-Latn-ME"/>
        </w:rPr>
      </w:pPr>
    </w:p>
    <w:p w:rsidR="009C2F99" w:rsidRPr="00260A70" w:rsidRDefault="009C2F99" w:rsidP="00260A70">
      <w:pPr>
        <w:spacing w:after="0" w:line="240" w:lineRule="auto"/>
        <w:rPr>
          <w:rFonts w:ascii="Times New Roman" w:eastAsia="Times New Roman" w:hAnsi="Times New Roman" w:cs="Times New Roman"/>
          <w:i/>
          <w:noProof/>
          <w:color w:val="808080"/>
          <w:lang w:val="sr-Latn-ME"/>
        </w:rPr>
      </w:pPr>
    </w:p>
    <w:p w:rsidR="00260A70" w:rsidRPr="00260A70" w:rsidRDefault="00260A70" w:rsidP="00260A70">
      <w:pPr>
        <w:spacing w:after="0" w:line="240" w:lineRule="auto"/>
        <w:rPr>
          <w:rFonts w:ascii="Times New Roman" w:eastAsia="Times New Roman" w:hAnsi="Times New Roman" w:cs="Times New Roman"/>
          <w:i/>
          <w:noProof/>
          <w:color w:val="808080"/>
          <w:lang w:val="sr-Latn-ME"/>
        </w:rPr>
      </w:pPr>
    </w:p>
    <w:p w:rsidR="00260A70" w:rsidRPr="00260A70" w:rsidRDefault="00260A70" w:rsidP="00260A70">
      <w:pPr>
        <w:spacing w:after="0" w:line="240" w:lineRule="auto"/>
        <w:rPr>
          <w:rFonts w:ascii="Times New Roman" w:eastAsia="Times New Roman" w:hAnsi="Times New Roman" w:cs="Times New Roman"/>
          <w:i/>
          <w:noProof/>
          <w:color w:val="808080"/>
          <w:lang w:val="sr-Latn-ME"/>
        </w:rPr>
      </w:pPr>
    </w:p>
    <w:p w:rsidR="00260A70" w:rsidRPr="00260A70" w:rsidRDefault="00260A70" w:rsidP="00260A70">
      <w:pPr>
        <w:spacing w:after="0" w:line="240" w:lineRule="auto"/>
        <w:rPr>
          <w:rFonts w:ascii="Times New Roman" w:eastAsia="Times New Roman" w:hAnsi="Times New Roman" w:cs="Times New Roman"/>
          <w:i/>
          <w:noProof/>
          <w:color w:val="808080"/>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lastRenderedPageBreak/>
        <w:t>1.</w:t>
      </w:r>
      <w:r w:rsidRPr="00260A70">
        <w:rPr>
          <w:rFonts w:ascii="Times New Roman" w:eastAsia="Times New Roman" w:hAnsi="Times New Roman" w:cs="Times New Roman"/>
          <w:b/>
          <w:bCs/>
          <w:noProof/>
          <w:lang w:val="sr-Latn-ME"/>
        </w:rPr>
        <w:tab/>
        <w:t>NAZIV LIJEKA</w:t>
      </w:r>
    </w:p>
    <w:p w:rsidR="00260A70" w:rsidRPr="00260A70" w:rsidRDefault="00260A70" w:rsidP="00260A70">
      <w:pPr>
        <w:spacing w:after="0" w:line="240" w:lineRule="auto"/>
        <w:jc w:val="both"/>
        <w:rPr>
          <w:rFonts w:ascii="Times New Roman" w:eastAsia="Times New Roman" w:hAnsi="Times New Roman" w:cs="Times New Roman"/>
          <w:noProof/>
          <w:lang w:val="sr-Latn-ME"/>
        </w:rPr>
      </w:pPr>
    </w:p>
    <w:p w:rsidR="00260A70" w:rsidRPr="00260A70" w:rsidRDefault="00260A70" w:rsidP="00260A70">
      <w:pPr>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 xml:space="preserve">Tobradex, 1 mg/ml + 3 mg/ml, kapi za oči, suspenzija </w:t>
      </w:r>
    </w:p>
    <w:p w:rsidR="00260A70" w:rsidRPr="00260A70" w:rsidRDefault="00260A70" w:rsidP="00260A70">
      <w:pPr>
        <w:spacing w:after="0" w:line="240" w:lineRule="auto"/>
        <w:jc w:val="both"/>
        <w:rPr>
          <w:rFonts w:ascii="Times New Roman" w:eastAsia="Times New Roman" w:hAnsi="Times New Roman" w:cs="Times New Roman"/>
          <w:noProof/>
          <w:lang w:val="sr-Latn-ME"/>
        </w:rPr>
      </w:pPr>
    </w:p>
    <w:p w:rsidR="00260A70" w:rsidRPr="00260A70" w:rsidRDefault="00260A70" w:rsidP="00260A70">
      <w:pPr>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INN: deksametazon, tobramicin</w:t>
      </w:r>
    </w:p>
    <w:p w:rsidR="00260A70" w:rsidRPr="00260A70" w:rsidRDefault="00260A70" w:rsidP="00260A70">
      <w:pPr>
        <w:spacing w:after="0" w:line="240" w:lineRule="auto"/>
        <w:jc w:val="both"/>
        <w:rPr>
          <w:rFonts w:ascii="Times New Roman" w:eastAsia="Times New Roman" w:hAnsi="Times New Roman" w:cs="Times New Roman"/>
          <w:bCs/>
          <w:noProof/>
          <w:lang w:val="sr-Latn-ME"/>
        </w:rPr>
      </w:pPr>
    </w:p>
    <w:p w:rsidR="00260A70" w:rsidRPr="00260A70" w:rsidRDefault="00260A70" w:rsidP="00260A70">
      <w:pPr>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2. </w:t>
      </w:r>
      <w:r w:rsidRPr="00260A70">
        <w:rPr>
          <w:rFonts w:ascii="Times New Roman" w:eastAsia="Times New Roman" w:hAnsi="Times New Roman" w:cs="Times New Roman"/>
          <w:b/>
          <w:bCs/>
          <w:noProof/>
          <w:lang w:val="sr-Latn-ME"/>
        </w:rPr>
        <w:tab/>
        <w:t>KVALITATIVNI I KVANTITATIVNI SASTAV</w:t>
      </w:r>
    </w:p>
    <w:p w:rsidR="00260A70" w:rsidRPr="00260A70" w:rsidRDefault="00260A70" w:rsidP="00260A70">
      <w:pPr>
        <w:spacing w:after="0" w:line="240" w:lineRule="auto"/>
        <w:jc w:val="both"/>
        <w:rPr>
          <w:rFonts w:ascii="Times New Roman" w:eastAsia="Times New Roman" w:hAnsi="Times New Roman" w:cs="Times New Roman"/>
          <w:noProof/>
          <w:sz w:val="24"/>
          <w:szCs w:val="24"/>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1 ml suspenzije sadrži 1 mg deksametazona i 3 mg tobramicina.</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Pomoćne supstance: 1 ml suspenzije sadrži 0.1 mg benzalkonijum hlorida (konzervans).</w:t>
      </w:r>
    </w:p>
    <w:p w:rsidR="00260A70" w:rsidRPr="00260A70" w:rsidRDefault="00260A70" w:rsidP="00260A70">
      <w:pPr>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Za sve pomoćne supstance vidjeti dio 6.1.</w:t>
      </w:r>
    </w:p>
    <w:p w:rsidR="00260A70" w:rsidRPr="00260A70" w:rsidRDefault="00260A70" w:rsidP="00260A70">
      <w:pPr>
        <w:spacing w:after="0" w:line="240" w:lineRule="auto"/>
        <w:jc w:val="both"/>
        <w:rPr>
          <w:rFonts w:ascii="Times New Roman" w:eastAsia="Times New Roman" w:hAnsi="Times New Roman" w:cs="Times New Roman"/>
          <w:noProof/>
          <w:sz w:val="24"/>
          <w:szCs w:val="24"/>
          <w:lang w:val="sr-Latn-ME"/>
        </w:rPr>
      </w:pPr>
    </w:p>
    <w:p w:rsidR="00260A70" w:rsidRPr="00260A70" w:rsidRDefault="00260A70" w:rsidP="00260A70">
      <w:pPr>
        <w:spacing w:after="0" w:line="240" w:lineRule="auto"/>
        <w:jc w:val="both"/>
        <w:rPr>
          <w:rFonts w:ascii="Times New Roman" w:eastAsia="Times New Roman" w:hAnsi="Times New Roman" w:cs="Times New Roman"/>
          <w:noProof/>
          <w:sz w:val="24"/>
          <w:szCs w:val="24"/>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3. </w:t>
      </w:r>
      <w:r w:rsidRPr="00260A70">
        <w:rPr>
          <w:rFonts w:ascii="Times New Roman" w:eastAsia="Times New Roman" w:hAnsi="Times New Roman" w:cs="Times New Roman"/>
          <w:b/>
          <w:bCs/>
          <w:noProof/>
          <w:lang w:val="sr-Latn-ME"/>
        </w:rPr>
        <w:tab/>
        <w:t>FARMACEUTSKI OBLIK</w:t>
      </w:r>
    </w:p>
    <w:p w:rsidR="00260A70" w:rsidRPr="00260A70" w:rsidRDefault="00260A70" w:rsidP="00260A70">
      <w:pPr>
        <w:spacing w:after="0" w:line="240" w:lineRule="auto"/>
        <w:jc w:val="both"/>
        <w:rPr>
          <w:rFonts w:ascii="Times New Roman" w:eastAsia="Times New Roman" w:hAnsi="Times New Roman" w:cs="Times New Roman"/>
          <w:bCs/>
          <w:noProof/>
          <w:lang w:val="sr-Latn-ME"/>
        </w:rPr>
      </w:pPr>
    </w:p>
    <w:p w:rsidR="00260A70" w:rsidRPr="00260A70" w:rsidRDefault="00260A70" w:rsidP="00260A70">
      <w:pPr>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Kapi za oči, suspenzija.</w:t>
      </w:r>
    </w:p>
    <w:p w:rsidR="00260A70" w:rsidRPr="00260A70" w:rsidRDefault="00260A70" w:rsidP="00260A70">
      <w:pPr>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Lijek Tobradex je bijela do skoro bijela suspenzija.</w:t>
      </w:r>
    </w:p>
    <w:p w:rsidR="00260A70" w:rsidRPr="00260A70" w:rsidRDefault="00260A70" w:rsidP="00260A70">
      <w:pPr>
        <w:spacing w:after="0" w:line="240" w:lineRule="auto"/>
        <w:jc w:val="both"/>
        <w:rPr>
          <w:rFonts w:ascii="Times New Roman" w:eastAsia="Times New Roman" w:hAnsi="Times New Roman" w:cs="Times New Roman"/>
          <w:bCs/>
          <w:noProof/>
          <w:lang w:val="sr-Latn-ME"/>
        </w:rPr>
      </w:pPr>
    </w:p>
    <w:p w:rsidR="00260A70" w:rsidRPr="00260A70" w:rsidRDefault="00260A70" w:rsidP="00260A70">
      <w:pPr>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4. </w:t>
      </w:r>
      <w:r w:rsidRPr="00260A70">
        <w:rPr>
          <w:rFonts w:ascii="Times New Roman" w:eastAsia="Times New Roman" w:hAnsi="Times New Roman" w:cs="Times New Roman"/>
          <w:b/>
          <w:bCs/>
          <w:noProof/>
          <w:lang w:val="sr-Latn-ME"/>
        </w:rPr>
        <w:tab/>
        <w:t>KLINIČKI PODACI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4.1. </w:t>
      </w:r>
      <w:r w:rsidRPr="00260A70">
        <w:rPr>
          <w:rFonts w:ascii="Times New Roman" w:eastAsia="Times New Roman" w:hAnsi="Times New Roman" w:cs="Times New Roman"/>
          <w:b/>
          <w:bCs/>
          <w:noProof/>
          <w:lang w:val="sr-Latn-ME"/>
        </w:rPr>
        <w:tab/>
        <w:t>Terapijske indikacije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Prevencija i lječenje zapaljenja i prevencija infekcije nakon operacije katarakte kod odraslih i djece uzrasta 2 godine i starije.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4.2. </w:t>
      </w:r>
      <w:r w:rsidRPr="00260A70">
        <w:rPr>
          <w:rFonts w:ascii="Times New Roman" w:eastAsia="Times New Roman" w:hAnsi="Times New Roman" w:cs="Times New Roman"/>
          <w:b/>
          <w:bCs/>
          <w:noProof/>
          <w:lang w:val="sr-Latn-ME"/>
        </w:rPr>
        <w:tab/>
        <w:t>Doziranje i način primjene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u w:val="single"/>
          <w:lang w:val="sr-Latn-ME"/>
        </w:rPr>
      </w:pPr>
      <w:r w:rsidRPr="00260A70">
        <w:rPr>
          <w:rFonts w:ascii="Times New Roman" w:eastAsia="Times New Roman" w:hAnsi="Times New Roman" w:cs="Times New Roman"/>
          <w:noProof/>
          <w:u w:val="single"/>
          <w:lang w:val="sr-Latn-ME"/>
        </w:rPr>
        <w:t>Odrasli:</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Jedna kap ukapana u konjuktivalnu kesicu/kesice na svakih 4 do 6 sati dok je pacijent budan. Tokom prvih 24 do 48 sati doza se može povećati na jednu kap na svaka 2 sata dok je pacijent budan. Upotreba lijeka treba da traje 14 dana, najduže 24 dana. Učestalost ukapavanja treba smanjivati uporedo sa smanjivanjem kliničkih znakova. Treba paziti da se terapija ne prekine prerano.</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u w:val="single"/>
          <w:lang w:val="sr-Latn-ME"/>
        </w:rPr>
      </w:pPr>
      <w:r w:rsidRPr="00260A70">
        <w:rPr>
          <w:rFonts w:ascii="Times New Roman" w:eastAsia="Times New Roman" w:hAnsi="Times New Roman" w:cs="Times New Roman"/>
          <w:noProof/>
          <w:u w:val="single"/>
          <w:lang w:val="sr-Latn-ME"/>
        </w:rPr>
        <w:t>Primjena kod starijih osoba:</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Kliničke studije su pokazale da prilagođavanje doziranja nije potrebno kod starijih osoba.</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u w:val="single"/>
          <w:lang w:val="sr-Latn-ME"/>
        </w:rPr>
      </w:pPr>
      <w:r w:rsidRPr="00260A70">
        <w:rPr>
          <w:rFonts w:ascii="Times New Roman" w:eastAsia="Times New Roman" w:hAnsi="Times New Roman" w:cs="Times New Roman"/>
          <w:noProof/>
          <w:u w:val="single"/>
          <w:lang w:val="sr-Latn-ME"/>
        </w:rPr>
        <w:t>Primjena kod djece: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Tobradex kapi za oči se mogu koristiti kod djece uzrasta 2 godine i starijih na isti način kao i kod odraslih. Dostupni podaci se nalaze u dijelu 5.1.</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Bezbjednost i efikasnost kod djece mlađe od dvije godine nijesu utvrđene i nema podataka o primjeni kod ove populacije.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lastRenderedPageBreak/>
        <w:t>Bočicu dobro promućkati prije upotrebe. Kako bi se spriječila kontaminacija kapaljki i same suspenzije, mora se paziti da se bočicom ne dotaknu kapci, okolna tkiva ili bilo koje druge površine. Kada se ne koristi, bočicu treba čuvati čvrsto zatvorenu. Nakon uklanjanja poklopca, ako je zaštitni prsten olabavljen, ukloniti ga prije upotrebe lijeka.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U slučaju istovremene terapije sa drugim ljekovima za okularnu primjenu, neophodan je interval od 5 minuta između dvije sukcesivne aplikacije ljekova.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Masti za oči treba primijeniti posljednje.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4.3. </w:t>
      </w:r>
      <w:r w:rsidRPr="00260A70">
        <w:rPr>
          <w:rFonts w:ascii="Times New Roman" w:eastAsia="Times New Roman" w:hAnsi="Times New Roman" w:cs="Times New Roman"/>
          <w:b/>
          <w:bCs/>
          <w:noProof/>
          <w:lang w:val="sr-Latn-ME"/>
        </w:rPr>
        <w:tab/>
        <w:t>Kontraindikacije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p>
    <w:p w:rsidR="00260A70" w:rsidRPr="00260A70" w:rsidRDefault="00260A70" w:rsidP="00260A70">
      <w:pPr>
        <w:numPr>
          <w:ilvl w:val="0"/>
          <w:numId w:val="1"/>
        </w:numPr>
        <w:autoSpaceDE w:val="0"/>
        <w:autoSpaceDN w:val="0"/>
        <w:adjustRightInd w:val="0"/>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Preosjetljivost na tobramicin ili deksametazon ili na bilo koji od sastojaka lijeka naveden u dijelu 6.1.</w:t>
      </w:r>
    </w:p>
    <w:p w:rsidR="00260A70" w:rsidRPr="00260A70" w:rsidRDefault="00260A70" w:rsidP="00260A70">
      <w:pPr>
        <w:numPr>
          <w:ilvl w:val="0"/>
          <w:numId w:val="1"/>
        </w:numPr>
        <w:autoSpaceDE w:val="0"/>
        <w:autoSpaceDN w:val="0"/>
        <w:adjustRightInd w:val="0"/>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Herpes simplex keratitis.</w:t>
      </w:r>
    </w:p>
    <w:p w:rsidR="00260A70" w:rsidRPr="00260A70" w:rsidRDefault="00260A70" w:rsidP="00260A70">
      <w:pPr>
        <w:numPr>
          <w:ilvl w:val="0"/>
          <w:numId w:val="1"/>
        </w:numPr>
        <w:autoSpaceDE w:val="0"/>
        <w:autoSpaceDN w:val="0"/>
        <w:adjustRightInd w:val="0"/>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Vaccinia, varicella i ostale virusne bolesti kornee i konjunktive.</w:t>
      </w:r>
    </w:p>
    <w:p w:rsidR="00260A70" w:rsidRPr="00260A70" w:rsidRDefault="00260A70" w:rsidP="00260A70">
      <w:pPr>
        <w:numPr>
          <w:ilvl w:val="0"/>
          <w:numId w:val="1"/>
        </w:numPr>
        <w:autoSpaceDE w:val="0"/>
        <w:autoSpaceDN w:val="0"/>
        <w:adjustRightInd w:val="0"/>
        <w:spacing w:after="0" w:line="240" w:lineRule="auto"/>
        <w:jc w:val="both"/>
        <w:rPr>
          <w:rFonts w:ascii="Times New Roman" w:eastAsia="Times New Roman" w:hAnsi="Times New Roman" w:cs="Times New Roman"/>
          <w:bCs/>
          <w:i/>
          <w:noProof/>
          <w:lang w:val="sr-Latn-ME"/>
        </w:rPr>
      </w:pPr>
      <w:r w:rsidRPr="00260A70">
        <w:rPr>
          <w:rFonts w:ascii="Times New Roman" w:eastAsia="Times New Roman" w:hAnsi="Times New Roman" w:cs="Times New Roman"/>
          <w:noProof/>
          <w:lang w:val="sr-Latn-ME"/>
        </w:rPr>
        <w:t>Infekcija mikobakterijama izazvana, ali bez ograničenja samo na</w:t>
      </w:r>
      <w:r w:rsidRPr="00260A70">
        <w:rPr>
          <w:rFonts w:ascii="Times New Roman" w:eastAsia="Times New Roman" w:hAnsi="Times New Roman" w:cs="Times New Roman"/>
          <w:noProof/>
          <w:sz w:val="24"/>
          <w:szCs w:val="24"/>
          <w:lang w:val="sr-Latn-ME"/>
        </w:rPr>
        <w:t xml:space="preserve"> </w:t>
      </w:r>
      <w:r w:rsidRPr="00260A70">
        <w:rPr>
          <w:rFonts w:ascii="Times New Roman" w:eastAsia="Times New Roman" w:hAnsi="Times New Roman" w:cs="Times New Roman"/>
          <w:noProof/>
          <w:lang w:val="sr-Latn-ME"/>
        </w:rPr>
        <w:t xml:space="preserve">acido-rezistentne bakterije </w:t>
      </w:r>
      <w:r w:rsidRPr="00260A70">
        <w:rPr>
          <w:rFonts w:ascii="Times New Roman" w:eastAsia="Times New Roman" w:hAnsi="Times New Roman" w:cs="Times New Roman"/>
          <w:bCs/>
          <w:i/>
          <w:noProof/>
          <w:lang w:val="sr-Latn-ME"/>
        </w:rPr>
        <w:t xml:space="preserve">Mycobacterium tuberculosis, Mycobacterium leprae, </w:t>
      </w:r>
      <w:r w:rsidRPr="00260A70">
        <w:rPr>
          <w:rFonts w:ascii="Times New Roman" w:eastAsia="Times New Roman" w:hAnsi="Times New Roman" w:cs="Times New Roman"/>
          <w:bCs/>
          <w:noProof/>
          <w:lang w:val="sr-Latn-ME"/>
        </w:rPr>
        <w:t>ili</w:t>
      </w:r>
      <w:r w:rsidRPr="00260A70">
        <w:rPr>
          <w:rFonts w:ascii="Times New Roman" w:eastAsia="Times New Roman" w:hAnsi="Times New Roman" w:cs="Times New Roman"/>
          <w:bCs/>
          <w:i/>
          <w:noProof/>
          <w:lang w:val="sr-Latn-ME"/>
        </w:rPr>
        <w:t xml:space="preserve"> Mycobacterium avium.</w:t>
      </w:r>
    </w:p>
    <w:p w:rsidR="00260A70" w:rsidRPr="00260A70" w:rsidRDefault="00260A70" w:rsidP="00260A70">
      <w:pPr>
        <w:numPr>
          <w:ilvl w:val="0"/>
          <w:numId w:val="1"/>
        </w:numPr>
        <w:autoSpaceDE w:val="0"/>
        <w:autoSpaceDN w:val="0"/>
        <w:adjustRightInd w:val="0"/>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Gljivične infekcije struktura oka.</w:t>
      </w:r>
    </w:p>
    <w:p w:rsidR="00260A70" w:rsidRPr="00260A70" w:rsidRDefault="00260A70" w:rsidP="00260A70">
      <w:pPr>
        <w:numPr>
          <w:ilvl w:val="0"/>
          <w:numId w:val="1"/>
        </w:numPr>
        <w:autoSpaceDE w:val="0"/>
        <w:autoSpaceDN w:val="0"/>
        <w:adjustRightInd w:val="0"/>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Neliječena gnojna infekcija oka.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4.4. </w:t>
      </w:r>
      <w:r w:rsidRPr="00260A70">
        <w:rPr>
          <w:rFonts w:ascii="Times New Roman" w:eastAsia="Times New Roman" w:hAnsi="Times New Roman" w:cs="Times New Roman"/>
          <w:b/>
          <w:bCs/>
          <w:noProof/>
          <w:lang w:val="sr-Latn-ME"/>
        </w:rPr>
        <w:tab/>
        <w:t>Posebna upozorenja i mjere opreza pri upotrebi lijeka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 xml:space="preserve">Lijek Tobradex je samo za lokalnu upotrebu i </w:t>
      </w:r>
      <w:r w:rsidRPr="00260A70">
        <w:rPr>
          <w:rFonts w:ascii="Times New Roman" w:eastAsia="Times New Roman" w:hAnsi="Times New Roman" w:cs="Times New Roman"/>
          <w:b/>
          <w:bCs/>
          <w:noProof/>
          <w:lang w:val="sr-Latn-ME"/>
        </w:rPr>
        <w:t>nije</w:t>
      </w:r>
      <w:r w:rsidRPr="00260A70">
        <w:rPr>
          <w:rFonts w:ascii="Times New Roman" w:eastAsia="Times New Roman" w:hAnsi="Times New Roman" w:cs="Times New Roman"/>
          <w:bCs/>
          <w:noProof/>
          <w:lang w:val="sr-Latn-ME"/>
        </w:rPr>
        <w:t xml:space="preserve"> za oralnu upotrebu niti za i.v. upotrebu.</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 xml:space="preserve">Produžena (tj. duže od maksimalnog trajanja terapije u kliničkim ispitivanjima [24 dana]) primjena kortikosteroida može da dovede do okularne hipertenzije/glaukoma sa posljedičnim oštećenjem optičkog nerva i poremećaja oštrine vida i vidnog polja. Prolongirana upotreba steroida može da dovede i do formiranja posteriorne subkapsularne katarakte. </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 xml:space="preserve">Preporučuje se učestala kontrola intraokularnog pritiska. Ovo je veoma važno kod pedijatrijskih pacijenata koji primaju proizvode koji sadrže deksametazon, jer rizik od nastanka hipertenzije indukovane steroidima može biti veći kod djece mlađe od 6 godina i može se javiti ranije nego kod odraslih. Učestalost i trajanje terapije treba pažljivo odrediti i treba pratiti vrijednosti intraokularnog pritiska, kako bi se prepoznao rizik za ranije pojavljivanje i jači odgovor u smislu povećanja intraokularnog pritiska indukovanog kortikosteroidima kod pedijatrijskih pacijenata. </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Rizik od pojave povišenog intraokularnog pritiska i/ili nastanka katarakte izazvanih kortikosteroidima je povećan kod predisponiranih pacijenata (na primjer dijabetes).</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Produžena primjena može dovesti do sekundarnih infekcija oka zbog supresije odgovora. Kortikosteroidi mogu da smanje rezistenciju i da pomognu u nastanku bakterijskih, gljivičnih ili virusnih infekcija i da maskiraju kliničke znake infekcije.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Osjetljivost na topikalno primijenjene aminoglikozide se može javiti kod nekih pacijenata. Ukoliko se preosjetljivost javi tokom liječenja ovim lijekom, dalje liječenje treba prekinuti.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lastRenderedPageBreak/>
        <w:t>Ukrštena preosjetljivost na aminoglikozidne antibiotike se može javiti, i mogućnost da pacijenti koji su postali osjetljivi na topikalno primijenjen tobramicin mogu biti osjetljivi i na ostale topikalno i/ili sistemski primijenjene aminoglikozigne antibiotike, treba pažljivo razmotriti.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Ozbiljna neželjena dejstva, uključujući neurotoksičnost, ototoksičnost i nefrotoksičnost, javljaju se kod pacijenata koji primaju sistemsku terapiju aminoglikozidnim antibioticima. Potreban je oprez u slučaju istovremene primjene.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Gljivične infekcije treba uzeti u razmatranje kod pacijenata sa upornim ulceracijama kornee. Ukoliko se javi gljivična infekcija, terapiju kortikosteroidima treba prekinuti.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Produžena upotreba antibiotika poput tobramicina može dovesti do prekomjernog rasta organizama neosjetljivih na dejstvo tobramicina, uključujući gljivice. Ukoliko dođe do superinfekcije, neophodno je primijeniti odgovarajuću terapiju.</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Topikalni oftalmološki kortikosteroidi mogu usporiti zaliječenje ozljeda rožnjače. Topikalno primijenjeni nesteroidni antiinflamatorni ljekovi takođe mogu usporiti zaliječenje. Istovremena upotreba topikalnih nesteroidnih antiinflamatornih ljekova i topikalnih kortikosteroida može povećati probleme zaliječenja (vidjeti dio 4.5).</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 xml:space="preserve">Kod oboljenja koja istanjuju korneu ili skleru, prijavljene su perforacije pri upotrebi topikalnih steroida. </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Lijek Tobradex sadrži konzervans benzalkonijum hlorid, koji može da izazove tačkastu keratopatiju i/ili toksičnu ulcerativnu keratopatiju. Benzalkonijum hlorid može da izazove iritaciju oka i može da obezboji meka kontaktna sočiva u boji.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Izbjegavajte kontakt sa mekim kontaktnim sočivima. Ne preporučuje se nošenje kontaktnih sočiva tokom terapije infekcije oka ili inflamacije. Ukoliko pacijenti nose kontaktna sočiva, mora im se reći da obavezno skinu kontaktna sočiva prije primjene lijeka Tobradex, i da sačekaju najmanje 15 minuta prije stavljanja sočiva.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4.5. </w:t>
      </w:r>
      <w:r w:rsidRPr="00260A70">
        <w:rPr>
          <w:rFonts w:ascii="Times New Roman" w:eastAsia="Times New Roman" w:hAnsi="Times New Roman" w:cs="Times New Roman"/>
          <w:b/>
          <w:bCs/>
          <w:noProof/>
          <w:lang w:val="sr-Latn-ME"/>
        </w:rPr>
        <w:tab/>
        <w:t>Interakcije sa drugim ljekovima i druge vrste interakcija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Nema klinički značajnih interakcija opisanih tokom lokalne primjene.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Istovremena upotreba lokalnih kortikosteroida i lokalnih NSAIL može povećati probleme prilikom zaliječenja.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4.6. </w:t>
      </w:r>
      <w:r w:rsidRPr="00260A70">
        <w:rPr>
          <w:rFonts w:ascii="Times New Roman" w:eastAsia="Times New Roman" w:hAnsi="Times New Roman" w:cs="Times New Roman"/>
          <w:b/>
          <w:bCs/>
          <w:noProof/>
          <w:lang w:val="sr-Latn-ME"/>
        </w:rPr>
        <w:tab/>
        <w:t>Primjena u periodu trudnoće i dojenja</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u w:val="single"/>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u w:val="single"/>
          <w:lang w:val="sr-Latn-ME"/>
        </w:rPr>
      </w:pPr>
      <w:r w:rsidRPr="00260A70">
        <w:rPr>
          <w:rFonts w:ascii="Times New Roman" w:eastAsia="Times New Roman" w:hAnsi="Times New Roman" w:cs="Times New Roman"/>
          <w:noProof/>
          <w:u w:val="single"/>
          <w:lang w:val="sr-Latn-ME"/>
        </w:rPr>
        <w:t>Trudnoća:</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Nema adekvatnih podataka o upotrebi lijeka Tobradex kod trudnica. Studije na životinjama sa supkutanom primjenom tobramicina nisu dokazale teratogene efekte. Visoke sistemske doze aminoglikozidnih antibiotika su povezane sa ototoksičnošću. Ipak, nakon okularne, topikalne primjene očekuju se veoma niski sistemski nivoi i ne očekuje se da tobramicin izazove direktne ili indirektne štetne efekte na reprodukciju.</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 xml:space="preserve">Topikalna primjena kortikosteroida kod skotnih životinja može prouzrokovati abnormalnosti u razvoju fetusa, uključujući rascjep nepca. Klinički značaj nije poznat. Dalje, pretklinički i klinički podaci ukazuju da primjena farmakoloških doza glukokortikoida tokom trudnoće može povećati rizik za usporen intrauterini rast, kardiovaskularne i/ili metaboličke bolesti i/ili rizik za oštećenje neurobihejvioralnog razvoja. Liječenje tokom </w:t>
      </w:r>
      <w:r w:rsidRPr="00260A70">
        <w:rPr>
          <w:rFonts w:ascii="Times New Roman" w:eastAsia="Times New Roman" w:hAnsi="Times New Roman" w:cs="Times New Roman"/>
          <w:noProof/>
          <w:lang w:val="sr-Latn-ME"/>
        </w:rPr>
        <w:lastRenderedPageBreak/>
        <w:t>trudnoće, a naročito tokom prva tri mjeseca, treba sprovesti samo nakon pažljive procjene odnosa koristi i rizika.</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Prema tome, žene treba da obavijeste svog ljekara ako dođe do trudnoće. Do sada, upotreba kod ljudi nije dovela do bilo koje sumnje na embriotoksične efekte. Ipak, tokom dugotrajne primjene, poremećaji rasta kod nerođene djece se ne mogu isključiti. Lječenje pri kraju trudnoće može dovesti do inhibicije sopstvene poizvodnje glukokortikoida, što zahtijeva liječenje nakon rođenja. Prema tome, lijek Tobradex u periodu trudnoće treba primjenjivati isključivo ukoliko je potencijalna korist od lijeka za majku veća od potencijalnog rizika po fetus.</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u w:val="single"/>
          <w:lang w:val="sr-Latn-ME"/>
        </w:rPr>
      </w:pPr>
      <w:r w:rsidRPr="00260A70">
        <w:rPr>
          <w:rFonts w:ascii="Times New Roman" w:eastAsia="Times New Roman" w:hAnsi="Times New Roman" w:cs="Times New Roman"/>
          <w:noProof/>
          <w:u w:val="single"/>
          <w:lang w:val="sr-Latn-ME"/>
        </w:rPr>
        <w:t>Dojenje</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Sistemski upotrijebljeni kortikosteroidi prelaze u majčino mlijeko i mogu usporiti rast, uticati na endogeno lučenje kortikosteroida, ili izazvati druga neželjena dejstva. Nije poznato da li lokalno upotrijebljeni kortikosteroidi mogu u dovoljnoj mjeri biti resorbovani da bi bili detektovani u majčinom mlijeku. Lijek Tobradex ne treba upotrebljavati tokom dojenja, sem ako je potencijalna korist od lijeka za majku veća od potencijalnog rizika po fetus.</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u w:val="single"/>
          <w:lang w:val="sr-Latn-ME"/>
        </w:rPr>
      </w:pPr>
      <w:r w:rsidRPr="00260A70">
        <w:rPr>
          <w:rFonts w:ascii="Times New Roman" w:eastAsia="Times New Roman" w:hAnsi="Times New Roman" w:cs="Times New Roman"/>
          <w:noProof/>
          <w:u w:val="single"/>
          <w:lang w:val="sr-Latn-ME"/>
        </w:rPr>
        <w:t>Fertilitet:</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Nisu sprovedena ispitivanja na osnovu kojih bi se procijenilo dejstvo topikalne okularne primjene lijeka Tobradex na fertilitet kod ljudi.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p>
    <w:p w:rsidR="00260A70" w:rsidRPr="00260A70" w:rsidRDefault="00260A70" w:rsidP="00260A70">
      <w:pPr>
        <w:tabs>
          <w:tab w:val="left" w:pos="540"/>
          <w:tab w:val="left" w:pos="569"/>
        </w:tabs>
        <w:spacing w:after="0" w:line="240" w:lineRule="auto"/>
        <w:ind w:left="540" w:hanging="540"/>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4.7. </w:t>
      </w:r>
      <w:r w:rsidRPr="00260A70">
        <w:rPr>
          <w:rFonts w:ascii="Times New Roman" w:eastAsia="Times New Roman" w:hAnsi="Times New Roman" w:cs="Times New Roman"/>
          <w:b/>
          <w:bCs/>
          <w:noProof/>
          <w:lang w:val="sr-Latn-ME"/>
        </w:rPr>
        <w:tab/>
        <w:t>Uticaj na psihofizičke sposobnosti prilikom upravljanja motornim vozilima i rukovanja mašinama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Lijek Tobradex nema ili ima neznatan uticaj na sposobnost upravljanja motornim vozilima ili rukovanje mašinama.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Nisu sprovedena ispitivanja uticaja na upravljanje motornim vozilima ili rukovanje mašinama. Kao i kod primjene bilo kojih kapi za oči, prolazna zamućenost vida ili drugi poremećaji vida mogu uticati na sposbnost upravljanja motornim vozilom ili rukovanje mašinama. Ukoliko dođe do zamućenja vida prilikom ukapavanja lijeka, pacijent mora da sačeka dok se vid razbistri prije vožnje ili rukovanja mašinama.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4.8. </w:t>
      </w:r>
      <w:r w:rsidRPr="00260A70">
        <w:rPr>
          <w:rFonts w:ascii="Times New Roman" w:eastAsia="Times New Roman" w:hAnsi="Times New Roman" w:cs="Times New Roman"/>
          <w:b/>
          <w:bCs/>
          <w:noProof/>
          <w:lang w:val="sr-Latn-ME"/>
        </w:rPr>
        <w:tab/>
        <w:t>Neželjena dejstva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u w:val="single"/>
          <w:lang w:val="sr-Latn-ME"/>
        </w:rPr>
        <w:t>Sažetak profila bezbjednosti lijeka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Tokom kliničkih ispitivanja koja su uključila više od 1600 pacijenata, Tobradex je primjenjivan do šest puta na dan. Kliničke studije nijesu pokazale bilo kakva ozbiljna okularna ili sistemska neželjena dejstva povezana sa primjenom ovog lijeka ili njegovih komponenti. Najčešće prijavljena neželjena dejstva su bila bol u oku, povećanje intraokularnog pritiska, iritacija oka (osjećaj pečenja nakon ukapavanja) i svrab oka, koja su se javljala kod manje od 1 % pacijenata.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u w:val="single"/>
          <w:lang w:val="sr-Latn-ME"/>
        </w:rPr>
      </w:pPr>
      <w:r w:rsidRPr="00260A70">
        <w:rPr>
          <w:rFonts w:ascii="Times New Roman" w:eastAsia="Times New Roman" w:hAnsi="Times New Roman" w:cs="Times New Roman"/>
          <w:bCs/>
          <w:noProof/>
          <w:u w:val="single"/>
          <w:lang w:val="sr-Latn-ME"/>
        </w:rPr>
        <w:t>Tabelarni prikaz neželjenih dejstava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 xml:space="preserve">Sljedeća neželjena dejstva na lijek Tobradex su zabilježena tokom kliničkih ispitivanja ili nakon stavljanja lijeka u promet i klasifikovana prema sljedećem pravilu: </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 xml:space="preserve">veoma česta (≥1/10), česta (≥1/100 do &lt;1/10), povremena (≥1/1000 do &lt;1/100), rijetka (≥1/10000 do &lt;1/1000), veoma rijetka (&lt;1/10000) ili nepoznata (ne može se utvrditi iz raspoloživih podataka). U svakoj grupi, neželjena dejstva su poređana prema ozbiljnosti, opadajućim redom. </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2753"/>
        <w:gridCol w:w="3285"/>
      </w:tblGrid>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lastRenderedPageBreak/>
              <w:t>Klasifikacija sistema organa</w:t>
            </w:r>
          </w:p>
        </w:tc>
        <w:tc>
          <w:tcPr>
            <w:tcW w:w="2753" w:type="dxa"/>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Učestalost</w:t>
            </w:r>
          </w:p>
        </w:tc>
        <w:tc>
          <w:tcPr>
            <w:tcW w:w="3285"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Neželjeno dejstvo</w:t>
            </w:r>
          </w:p>
        </w:tc>
      </w:tr>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Poremećaji imunog sistema</w:t>
            </w:r>
          </w:p>
        </w:tc>
        <w:tc>
          <w:tcPr>
            <w:tcW w:w="2753" w:type="dxa"/>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nepoznato</w:t>
            </w:r>
          </w:p>
        </w:tc>
        <w:tc>
          <w:tcPr>
            <w:tcW w:w="3285"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preosjetljivost</w:t>
            </w:r>
          </w:p>
        </w:tc>
      </w:tr>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Poremećaji nervnog sistema</w:t>
            </w:r>
          </w:p>
        </w:tc>
        <w:tc>
          <w:tcPr>
            <w:tcW w:w="2753" w:type="dxa"/>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 xml:space="preserve">povremena </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nepoznato</w:t>
            </w:r>
          </w:p>
        </w:tc>
        <w:tc>
          <w:tcPr>
            <w:tcW w:w="3285"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glavobolja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vrtoglavica</w:t>
            </w:r>
          </w:p>
        </w:tc>
      </w:tr>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Poremećaji na nivou oka</w:t>
            </w:r>
          </w:p>
        </w:tc>
        <w:tc>
          <w:tcPr>
            <w:tcW w:w="2753" w:type="dxa"/>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povremena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rijetko</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nepoznato</w:t>
            </w:r>
          </w:p>
        </w:tc>
        <w:tc>
          <w:tcPr>
            <w:tcW w:w="3285"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bol u oku, svrab oka, nelagodnost u oku, očna hipertenzija, edem konjunktive, povišen intraokularni pritisak, iritacija oka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keratitis, alergija oka, zamućen vid, suvo oko, hiperemija oka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otok očnih kapaka, eritem očnih kapaka, midrijaza, povećana lakrimacija</w:t>
            </w:r>
          </w:p>
        </w:tc>
      </w:tr>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noProof/>
                <w:lang w:val="sr-Latn-ME"/>
              </w:rPr>
              <w:t>Poremećaji respiratornog sistema, grudnog koša i medijastinuma</w:t>
            </w:r>
          </w:p>
        </w:tc>
        <w:tc>
          <w:tcPr>
            <w:tcW w:w="2753" w:type="dxa"/>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iCs/>
                <w:noProof/>
                <w:lang w:val="sr-Latn-ME"/>
              </w:rPr>
            </w:pPr>
            <w:r w:rsidRPr="00260A70">
              <w:rPr>
                <w:rFonts w:ascii="Times New Roman" w:eastAsia="Times New Roman" w:hAnsi="Times New Roman" w:cs="Times New Roman"/>
                <w:iCs/>
                <w:noProof/>
                <w:lang w:val="sr-Latn-ME"/>
              </w:rPr>
              <w:t>povremeno</w:t>
            </w:r>
          </w:p>
        </w:tc>
        <w:tc>
          <w:tcPr>
            <w:tcW w:w="3285"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rinoreja, laringospazam</w:t>
            </w:r>
          </w:p>
        </w:tc>
      </w:tr>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noProof/>
                <w:lang w:val="sr-Latn-ME"/>
              </w:rPr>
              <w:t>Poremećaji gastrointestinalnog sistema</w:t>
            </w:r>
          </w:p>
        </w:tc>
        <w:tc>
          <w:tcPr>
            <w:tcW w:w="2753" w:type="dxa"/>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iCs/>
                <w:noProof/>
                <w:lang w:val="sr-Latn-ME"/>
              </w:rPr>
            </w:pPr>
            <w:r w:rsidRPr="00260A70">
              <w:rPr>
                <w:rFonts w:ascii="Times New Roman" w:eastAsia="Times New Roman" w:hAnsi="Times New Roman" w:cs="Times New Roman"/>
                <w:iCs/>
                <w:noProof/>
                <w:lang w:val="sr-Latn-ME"/>
              </w:rPr>
              <w:t>rijetko</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i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i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iCs/>
                <w:noProof/>
                <w:lang w:val="sr-Latn-ME"/>
              </w:rPr>
            </w:pPr>
            <w:r w:rsidRPr="00260A70">
              <w:rPr>
                <w:rFonts w:ascii="Times New Roman" w:eastAsia="Times New Roman" w:hAnsi="Times New Roman" w:cs="Times New Roman"/>
                <w:iCs/>
                <w:noProof/>
                <w:lang w:val="sr-Latn-ME"/>
              </w:rPr>
              <w:t>nepoznato</w:t>
            </w:r>
          </w:p>
        </w:tc>
        <w:tc>
          <w:tcPr>
            <w:tcW w:w="3285"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dizgezija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mučnina, nelagodnost u abdomenu</w:t>
            </w:r>
          </w:p>
        </w:tc>
      </w:tr>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noProof/>
                <w:lang w:val="sr-Latn-ME"/>
              </w:rPr>
              <w:t>Poremećaji na nivou kože i potkožnog tkiva</w:t>
            </w:r>
          </w:p>
        </w:tc>
        <w:tc>
          <w:tcPr>
            <w:tcW w:w="2753" w:type="dxa"/>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iCs/>
                <w:noProof/>
                <w:lang w:val="sr-Latn-ME"/>
              </w:rPr>
            </w:pPr>
            <w:r w:rsidRPr="00260A70">
              <w:rPr>
                <w:rFonts w:ascii="Times New Roman" w:eastAsia="Times New Roman" w:hAnsi="Times New Roman" w:cs="Times New Roman"/>
                <w:iCs/>
                <w:noProof/>
                <w:lang w:val="sr-Latn-ME"/>
              </w:rPr>
              <w:t>nepoznato</w:t>
            </w:r>
          </w:p>
        </w:tc>
        <w:tc>
          <w:tcPr>
            <w:tcW w:w="3285"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osip, otok lica, pruritus</w:t>
            </w:r>
          </w:p>
        </w:tc>
      </w:tr>
    </w:tbl>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u w:val="single"/>
          <w:lang w:val="sr-Latn-ME"/>
        </w:rPr>
        <w:t>Opis pojedinih neželjenih dejstava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Sljedeća neželjena dejstva su zabilježena tokom primjene kapi za oči, suspenzija koje sadrže deksametazon:</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2753"/>
        <w:gridCol w:w="3285"/>
      </w:tblGrid>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Klasifikacija sistema organa</w:t>
            </w:r>
          </w:p>
        </w:tc>
        <w:tc>
          <w:tcPr>
            <w:tcW w:w="2753" w:type="dxa"/>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Učestalost</w:t>
            </w:r>
          </w:p>
        </w:tc>
        <w:tc>
          <w:tcPr>
            <w:tcW w:w="3285"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Neželjeno dejstvo</w:t>
            </w:r>
          </w:p>
        </w:tc>
      </w:tr>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Poremećaji nervnog sistema</w:t>
            </w:r>
          </w:p>
        </w:tc>
        <w:tc>
          <w:tcPr>
            <w:tcW w:w="2753" w:type="dxa"/>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često</w:t>
            </w:r>
          </w:p>
        </w:tc>
        <w:tc>
          <w:tcPr>
            <w:tcW w:w="3285"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glavobolja</w:t>
            </w:r>
          </w:p>
        </w:tc>
      </w:tr>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Poremećaji na nivou oka</w:t>
            </w:r>
          </w:p>
        </w:tc>
        <w:tc>
          <w:tcPr>
            <w:tcW w:w="2753" w:type="dxa"/>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često</w:t>
            </w:r>
          </w:p>
        </w:tc>
        <w:tc>
          <w:tcPr>
            <w:tcW w:w="3285"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iritacija oka*, hiperemija oka*, eritem očnih kapaka*, neuobičajen osjećaj u oku*</w:t>
            </w:r>
          </w:p>
        </w:tc>
      </w:tr>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Poremećaji respiratornog sistema, grudnog koša i medijastinuma</w:t>
            </w:r>
          </w:p>
        </w:tc>
        <w:tc>
          <w:tcPr>
            <w:tcW w:w="2753" w:type="dxa"/>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iCs/>
                <w:noProof/>
                <w:lang w:val="sr-Latn-ME"/>
              </w:rPr>
            </w:pPr>
            <w:r w:rsidRPr="00260A70">
              <w:rPr>
                <w:rFonts w:ascii="Times New Roman" w:eastAsia="Times New Roman" w:hAnsi="Times New Roman" w:cs="Times New Roman"/>
                <w:iCs/>
                <w:noProof/>
                <w:lang w:val="sr-Latn-ME"/>
              </w:rPr>
              <w:t>povremeno</w:t>
            </w:r>
          </w:p>
        </w:tc>
        <w:tc>
          <w:tcPr>
            <w:tcW w:w="3285"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iCs/>
                <w:noProof/>
                <w:lang w:val="sr-Latn-ME"/>
              </w:rPr>
            </w:pPr>
            <w:r w:rsidRPr="00260A70">
              <w:rPr>
                <w:rFonts w:ascii="Times New Roman" w:eastAsia="Times New Roman" w:hAnsi="Times New Roman" w:cs="Times New Roman"/>
                <w:iCs/>
                <w:noProof/>
                <w:lang w:val="sr-Latn-ME"/>
              </w:rPr>
              <w:t>slivanje sadržaja iz nosa u ždrijelo</w:t>
            </w:r>
          </w:p>
        </w:tc>
      </w:tr>
    </w:tbl>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Sljedeća neželjena dejstva su zabilježena tokom primjene kapi za oči</w:t>
      </w:r>
      <w:r w:rsidRPr="00260A70">
        <w:rPr>
          <w:rFonts w:ascii="Times New Roman" w:eastAsia="Times New Roman" w:hAnsi="Times New Roman" w:cs="Times New Roman"/>
          <w:noProof/>
          <w:sz w:val="24"/>
          <w:szCs w:val="24"/>
          <w:lang w:val="sr-Latn-ME"/>
        </w:rPr>
        <w:t xml:space="preserve"> </w:t>
      </w:r>
      <w:r w:rsidRPr="00260A70">
        <w:rPr>
          <w:rFonts w:ascii="Times New Roman" w:eastAsia="Times New Roman" w:hAnsi="Times New Roman" w:cs="Times New Roman"/>
          <w:bCs/>
          <w:noProof/>
          <w:lang w:val="sr-Latn-ME"/>
        </w:rPr>
        <w:t>rastvora koji sadrže tobramicin</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2753"/>
        <w:gridCol w:w="3285"/>
      </w:tblGrid>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Klasifikacija sistema organa</w:t>
            </w:r>
          </w:p>
        </w:tc>
        <w:tc>
          <w:tcPr>
            <w:tcW w:w="2753" w:type="dxa"/>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Učestalost</w:t>
            </w:r>
          </w:p>
        </w:tc>
        <w:tc>
          <w:tcPr>
            <w:tcW w:w="3285"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Neželjeno dejstvo</w:t>
            </w:r>
          </w:p>
        </w:tc>
      </w:tr>
      <w:tr w:rsidR="00260A70" w:rsidRPr="00260A70" w:rsidTr="003D542C">
        <w:tc>
          <w:tcPr>
            <w:tcW w:w="3263"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noProof/>
                <w:lang w:val="sr-Latn-ME"/>
              </w:rPr>
              <w:t>Poremećaji na nivou oka</w:t>
            </w:r>
          </w:p>
        </w:tc>
        <w:tc>
          <w:tcPr>
            <w:tcW w:w="2753" w:type="dxa"/>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iCs/>
                <w:noProof/>
                <w:lang w:val="sr-Latn-ME"/>
              </w:rPr>
            </w:pPr>
            <w:r w:rsidRPr="00260A70">
              <w:rPr>
                <w:rFonts w:ascii="Times New Roman" w:eastAsia="Times New Roman" w:hAnsi="Times New Roman" w:cs="Times New Roman"/>
                <w:iCs/>
                <w:noProof/>
                <w:lang w:val="sr-Latn-ME"/>
              </w:rPr>
              <w:t>često</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iCs/>
                <w:noProof/>
                <w:lang w:val="sr-Latn-ME"/>
              </w:rPr>
            </w:pP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iCs/>
                <w:noProof/>
                <w:lang w:val="sr-Latn-ME"/>
              </w:rPr>
            </w:pPr>
            <w:r w:rsidRPr="00260A70">
              <w:rPr>
                <w:rFonts w:ascii="Times New Roman" w:eastAsia="Times New Roman" w:hAnsi="Times New Roman" w:cs="Times New Roman"/>
                <w:iCs/>
                <w:noProof/>
                <w:lang w:val="sr-Latn-ME"/>
              </w:rPr>
              <w:t>povremeno</w:t>
            </w:r>
          </w:p>
        </w:tc>
        <w:tc>
          <w:tcPr>
            <w:tcW w:w="3285"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hiperemija oka*, bol u oku*</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lang w:val="sr-Latn-ME"/>
              </w:rPr>
            </w:pP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Cs/>
                <w:noProof/>
                <w:lang w:val="sr-Latn-ME"/>
              </w:rPr>
              <w:t>svrab u oku</w:t>
            </w:r>
            <w:r w:rsidRPr="00260A70">
              <w:rPr>
                <w:rFonts w:ascii="Times New Roman" w:eastAsia="Times New Roman" w:hAnsi="Times New Roman" w:cs="Times New Roman"/>
                <w:noProof/>
                <w:lang w:val="sr-Latn-ME"/>
              </w:rPr>
              <w:t>*, nelagodnost u oku*, alergija oka, konjunktivitis*,edem očnih kapaka*, bljesak, pojačano suzenje*, keratitis*</w:t>
            </w:r>
          </w:p>
        </w:tc>
      </w:tr>
    </w:tbl>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*ova neželjena dejstva su zabilježena i tokom postmarketinškog praćenja lijeka Tobradex.</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lastRenderedPageBreak/>
        <w:t>Produžena primjena kortikosteroida za lokalnu primjenu može dovesti do povećanja intraokularnog pritiska sa oštećenjem optičkog nerva, smanjenjem oštrine vida i poremećajima vidnog polja, nastanka subkapsularne katarakte posteriorno i odlaganja zaliječenja.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Zbog postojanja kortikosteroidne komponenete, kod oboljenja koja dovode do istanjenja kornee ili sklere, postoji povećan rizik za perforaciju, posebno nakon dugotrajne terapije (vidjeti dio 4.4).</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Razvoj sekundarne infekcije se javio nakon upotrebe kombinacije koja sadrži kortikosteroide i antimikrobne ljekove. Gljivične infekcije kornee se razvijaju istovremeno sa dugotrajnom primjenom kortikosteroida.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Ozbiljna neželjena dejstva uključujući neurotoksičnost, ototoksičnost i nefrotoksičnost su se javila kod pacijenata koji su primali sistemsku terapiju tobramicinom</w:t>
      </w:r>
      <w:r w:rsidR="009C2F99">
        <w:rPr>
          <w:rFonts w:ascii="Times New Roman" w:eastAsia="Times New Roman" w:hAnsi="Times New Roman" w:cs="Times New Roman"/>
          <w:bCs/>
          <w:noProof/>
          <w:lang w:val="sr-Latn-ME"/>
        </w:rPr>
        <w:t xml:space="preserve"> </w:t>
      </w:r>
      <w:r w:rsidRPr="00260A70">
        <w:rPr>
          <w:rFonts w:ascii="Times New Roman" w:eastAsia="Times New Roman" w:hAnsi="Times New Roman" w:cs="Times New Roman"/>
          <w:bCs/>
          <w:noProof/>
          <w:lang w:val="sr-Latn-ME"/>
        </w:rPr>
        <w:t>(vidjeti dio 4.4).</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Osetljivost na topikalno primjenjene aminoglikozide može se javiti kod pojedinih pacijenata (vidjeti dio 4.4).</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spacing w:after="200" w:line="276" w:lineRule="auto"/>
        <w:rPr>
          <w:rFonts w:ascii="Times New Roman" w:eastAsia="Calibri" w:hAnsi="Times New Roman" w:cs="Times New Roman"/>
          <w:noProof/>
          <w:u w:val="single"/>
          <w:lang w:val="sr-Latn-ME"/>
        </w:rPr>
      </w:pPr>
      <w:r w:rsidRPr="00260A70">
        <w:rPr>
          <w:rFonts w:ascii="Times New Roman" w:eastAsia="Calibri" w:hAnsi="Times New Roman" w:cs="Times New Roman"/>
          <w:noProof/>
          <w:u w:val="single"/>
          <w:lang w:val="sr-Latn-ME"/>
        </w:rPr>
        <w:t>Prijavljivanje sumnji na neželjena dejstva</w:t>
      </w:r>
    </w:p>
    <w:p w:rsidR="00260A70" w:rsidRPr="00260A70" w:rsidRDefault="00260A70" w:rsidP="00260A70">
      <w:pPr>
        <w:spacing w:after="200" w:line="240" w:lineRule="auto"/>
        <w:jc w:val="both"/>
        <w:rPr>
          <w:rFonts w:ascii="Times New Roman" w:eastAsia="Calibri" w:hAnsi="Times New Roman" w:cs="Times New Roman"/>
          <w:noProof/>
          <w:lang w:val="sr-Latn-ME"/>
        </w:rPr>
      </w:pPr>
      <w:r w:rsidRPr="00260A70">
        <w:rPr>
          <w:rFonts w:ascii="Times New Roman" w:eastAsia="Calibri" w:hAnsi="Times New Roman" w:cs="Times New Roman"/>
          <w:noProof/>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260A70" w:rsidRPr="00260A70" w:rsidRDefault="00260A70" w:rsidP="00260A70">
      <w:pPr>
        <w:spacing w:after="0" w:line="240" w:lineRule="auto"/>
        <w:jc w:val="both"/>
        <w:rPr>
          <w:rFonts w:ascii="Times New Roman" w:eastAsia="Calibri" w:hAnsi="Times New Roman" w:cs="Times New Roman"/>
          <w:noProof/>
          <w:szCs w:val="24"/>
          <w:lang w:val="sr-Latn-ME"/>
        </w:rPr>
      </w:pPr>
      <w:r w:rsidRPr="00260A70">
        <w:rPr>
          <w:rFonts w:ascii="Times New Roman" w:eastAsia="Calibri" w:hAnsi="Times New Roman" w:cs="Times New Roman"/>
          <w:noProof/>
          <w:szCs w:val="24"/>
          <w:lang w:val="sr-Latn-ME"/>
        </w:rPr>
        <w:t>Agencija za ljekove i medicinska sredstva Crne Gore</w:t>
      </w:r>
    </w:p>
    <w:p w:rsidR="00260A70" w:rsidRPr="00260A70" w:rsidRDefault="00260A70" w:rsidP="00260A70">
      <w:pPr>
        <w:spacing w:after="0" w:line="240" w:lineRule="auto"/>
        <w:jc w:val="both"/>
        <w:rPr>
          <w:rFonts w:ascii="Times New Roman" w:eastAsia="Calibri" w:hAnsi="Times New Roman" w:cs="Times New Roman"/>
          <w:noProof/>
          <w:szCs w:val="24"/>
          <w:lang w:val="sr-Latn-ME"/>
        </w:rPr>
      </w:pPr>
      <w:r w:rsidRPr="00260A70">
        <w:rPr>
          <w:rFonts w:ascii="Times New Roman" w:eastAsia="Calibri" w:hAnsi="Times New Roman" w:cs="Times New Roman"/>
          <w:noProof/>
          <w:szCs w:val="24"/>
          <w:lang w:val="sr-Latn-ME"/>
        </w:rPr>
        <w:t>Odjeljenje za farmakovigilancu</w:t>
      </w:r>
    </w:p>
    <w:p w:rsidR="00260A70" w:rsidRPr="00260A70" w:rsidRDefault="00260A70" w:rsidP="00260A70">
      <w:pPr>
        <w:spacing w:after="0" w:line="240" w:lineRule="auto"/>
        <w:jc w:val="both"/>
        <w:rPr>
          <w:rFonts w:ascii="Times New Roman" w:eastAsia="Calibri" w:hAnsi="Times New Roman" w:cs="Times New Roman"/>
          <w:noProof/>
          <w:szCs w:val="24"/>
          <w:lang w:val="sr-Latn-ME"/>
        </w:rPr>
      </w:pPr>
      <w:r w:rsidRPr="00260A70">
        <w:rPr>
          <w:rFonts w:ascii="Times New Roman" w:eastAsia="Calibri" w:hAnsi="Times New Roman" w:cs="Times New Roman"/>
          <w:noProof/>
          <w:szCs w:val="24"/>
          <w:lang w:val="sr-Latn-ME"/>
        </w:rPr>
        <w:t>Bulevar Ivana Crnojevića 64a, 81000 Podgorica</w:t>
      </w:r>
    </w:p>
    <w:p w:rsidR="00260A70" w:rsidRPr="00260A70" w:rsidRDefault="00260A70" w:rsidP="00260A70">
      <w:pPr>
        <w:spacing w:after="0" w:line="240" w:lineRule="auto"/>
        <w:rPr>
          <w:rFonts w:ascii="Times New Roman" w:eastAsia="Calibri" w:hAnsi="Times New Roman" w:cs="Times New Roman"/>
          <w:noProof/>
          <w:szCs w:val="24"/>
          <w:lang w:val="sr-Latn-ME"/>
        </w:rPr>
      </w:pPr>
    </w:p>
    <w:p w:rsidR="00260A70" w:rsidRPr="00260A70" w:rsidRDefault="00260A70" w:rsidP="00260A70">
      <w:pPr>
        <w:spacing w:after="0" w:line="240" w:lineRule="auto"/>
        <w:jc w:val="both"/>
        <w:rPr>
          <w:rFonts w:ascii="Times New Roman" w:eastAsia="Calibri" w:hAnsi="Times New Roman" w:cs="Times New Roman"/>
          <w:noProof/>
          <w:szCs w:val="24"/>
          <w:lang w:val="sr-Latn-ME"/>
        </w:rPr>
      </w:pPr>
      <w:r w:rsidRPr="00260A70">
        <w:rPr>
          <w:rFonts w:ascii="Times New Roman" w:eastAsia="Calibri" w:hAnsi="Times New Roman" w:cs="Times New Roman"/>
          <w:noProof/>
          <w:szCs w:val="24"/>
          <w:lang w:val="sr-Latn-ME"/>
        </w:rPr>
        <w:t>tel: +382 (0) 20 310 280</w:t>
      </w:r>
    </w:p>
    <w:p w:rsidR="00260A70" w:rsidRPr="00260A70" w:rsidRDefault="00260A70" w:rsidP="00260A70">
      <w:pPr>
        <w:spacing w:after="0" w:line="240" w:lineRule="auto"/>
        <w:jc w:val="both"/>
        <w:rPr>
          <w:rFonts w:ascii="Times New Roman" w:eastAsia="Calibri" w:hAnsi="Times New Roman" w:cs="Times New Roman"/>
          <w:noProof/>
          <w:szCs w:val="24"/>
          <w:lang w:val="sr-Latn-ME"/>
        </w:rPr>
      </w:pPr>
      <w:r w:rsidRPr="00260A70">
        <w:rPr>
          <w:rFonts w:ascii="Times New Roman" w:eastAsia="Calibri" w:hAnsi="Times New Roman" w:cs="Times New Roman"/>
          <w:noProof/>
          <w:szCs w:val="24"/>
          <w:lang w:val="sr-Latn-ME"/>
        </w:rPr>
        <w:t>fax: +382 (0) 20 310 581</w:t>
      </w:r>
    </w:p>
    <w:p w:rsidR="00260A70" w:rsidRPr="00260A70" w:rsidRDefault="00EC7F75" w:rsidP="00260A70">
      <w:pPr>
        <w:spacing w:after="0" w:line="240" w:lineRule="auto"/>
        <w:jc w:val="both"/>
        <w:rPr>
          <w:rFonts w:ascii="Times New Roman" w:eastAsia="Calibri" w:hAnsi="Times New Roman" w:cs="Times New Roman"/>
          <w:noProof/>
          <w:szCs w:val="24"/>
          <w:lang w:val="sr-Latn-ME"/>
        </w:rPr>
      </w:pPr>
      <w:hyperlink r:id="rId8" w:history="1">
        <w:r w:rsidR="00260A70" w:rsidRPr="00260A70">
          <w:rPr>
            <w:rFonts w:ascii="Times New Roman" w:eastAsia="Calibri" w:hAnsi="Times New Roman" w:cs="Times New Roman"/>
            <w:noProof/>
            <w:color w:val="0000FF"/>
            <w:szCs w:val="24"/>
            <w:u w:val="single"/>
            <w:lang w:val="sr-Latn-ME"/>
          </w:rPr>
          <w:t>www.calims.me</w:t>
        </w:r>
      </w:hyperlink>
    </w:p>
    <w:p w:rsidR="00260A70" w:rsidRPr="00260A70" w:rsidRDefault="00EC7F75" w:rsidP="00260A70">
      <w:pPr>
        <w:spacing w:after="0" w:line="240" w:lineRule="auto"/>
        <w:jc w:val="both"/>
        <w:rPr>
          <w:rFonts w:ascii="Times New Roman" w:eastAsia="Calibri" w:hAnsi="Times New Roman" w:cs="Times New Roman"/>
          <w:noProof/>
          <w:color w:val="0000FF"/>
          <w:szCs w:val="24"/>
          <w:u w:val="single"/>
          <w:lang w:val="sr-Latn-ME"/>
        </w:rPr>
      </w:pPr>
      <w:hyperlink r:id="rId9" w:history="1">
        <w:r w:rsidR="00260A70" w:rsidRPr="00260A70">
          <w:rPr>
            <w:rFonts w:ascii="Times New Roman" w:eastAsia="Calibri" w:hAnsi="Times New Roman" w:cs="Times New Roman"/>
            <w:noProof/>
            <w:color w:val="0000FF"/>
            <w:szCs w:val="24"/>
            <w:u w:val="single"/>
            <w:lang w:val="sr-Latn-ME"/>
          </w:rPr>
          <w:t>nezeljenadejstva@calims.me</w:t>
        </w:r>
      </w:hyperlink>
    </w:p>
    <w:p w:rsidR="00260A70" w:rsidRPr="00260A70" w:rsidRDefault="00260A70" w:rsidP="00260A70">
      <w:pPr>
        <w:spacing w:after="0" w:line="240" w:lineRule="auto"/>
        <w:jc w:val="both"/>
        <w:rPr>
          <w:rFonts w:ascii="Times New Roman" w:eastAsia="Calibri" w:hAnsi="Times New Roman" w:cs="Times New Roman"/>
          <w:noProof/>
          <w:szCs w:val="24"/>
          <w:lang w:val="sr-Latn-ME"/>
        </w:rPr>
      </w:pPr>
      <w:r w:rsidRPr="00260A70">
        <w:rPr>
          <w:rFonts w:ascii="Times New Roman" w:eastAsia="Calibri" w:hAnsi="Times New Roman" w:cs="Times New Roman"/>
          <w:noProof/>
          <w:szCs w:val="24"/>
          <w:lang w:val="sr-Latn-ME"/>
        </w:rPr>
        <w:t>putem IS zdravstvene zaštite</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4.9. </w:t>
      </w:r>
      <w:r w:rsidRPr="00260A70">
        <w:rPr>
          <w:rFonts w:ascii="Times New Roman" w:eastAsia="Times New Roman" w:hAnsi="Times New Roman" w:cs="Times New Roman"/>
          <w:b/>
          <w:bCs/>
          <w:noProof/>
          <w:lang w:val="sr-Latn-ME"/>
        </w:rPr>
        <w:tab/>
        <w:t>Predoziranje i mjere koje je potrebno preduzeti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Zbog karakteristika ovog lijeka, ne očekuju se toksični efekti sa okularnim predoziranjem lijeka, čak ni u slučaju slučajne ingestije sadržaja jedne bočice.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Lokalno predoziranje kapima lijeka Tobradex može da se ublaži ispiranjem oka/očiju mlakom vodom.</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5. </w:t>
      </w:r>
      <w:r w:rsidRPr="00260A70">
        <w:rPr>
          <w:rFonts w:ascii="Times New Roman" w:eastAsia="Times New Roman" w:hAnsi="Times New Roman" w:cs="Times New Roman"/>
          <w:b/>
          <w:bCs/>
          <w:noProof/>
          <w:lang w:val="sr-Latn-ME"/>
        </w:rPr>
        <w:tab/>
        <w:t>FARMAKOLOŠKI PODACI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5.1. </w:t>
      </w:r>
      <w:r w:rsidRPr="00260A70">
        <w:rPr>
          <w:rFonts w:ascii="Times New Roman" w:eastAsia="Times New Roman" w:hAnsi="Times New Roman" w:cs="Times New Roman"/>
          <w:b/>
          <w:bCs/>
          <w:noProof/>
          <w:lang w:val="sr-Latn-ME"/>
        </w:rPr>
        <w:tab/>
        <w:t>Farmakodinamski podaci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 xml:space="preserve">Farmakoterapijska grupa: </w:t>
      </w:r>
      <w:r w:rsidRPr="00260A70">
        <w:rPr>
          <w:rFonts w:ascii="Times New Roman" w:eastAsia="Times New Roman" w:hAnsi="Times New Roman" w:cs="Times New Roman"/>
          <w:bCs/>
          <w:noProof/>
          <w:lang w:val="sr-Latn-ME"/>
        </w:rPr>
        <w:tab/>
        <w:t xml:space="preserve">Oftalmološki ljekovi. Antiinflamatorni i antiinfektivni ljekovi u </w:t>
      </w:r>
      <w:r w:rsidRPr="00260A70">
        <w:rPr>
          <w:rFonts w:ascii="Times New Roman" w:eastAsia="Times New Roman" w:hAnsi="Times New Roman" w:cs="Times New Roman"/>
          <w:bCs/>
          <w:noProof/>
          <w:lang w:val="sr-Latn-ME"/>
        </w:rPr>
        <w:tab/>
      </w:r>
      <w:r w:rsidRPr="00260A70">
        <w:rPr>
          <w:rFonts w:ascii="Times New Roman" w:eastAsia="Times New Roman" w:hAnsi="Times New Roman" w:cs="Times New Roman"/>
          <w:bCs/>
          <w:noProof/>
          <w:lang w:val="sr-Latn-ME"/>
        </w:rPr>
        <w:tab/>
      </w:r>
      <w:r w:rsidRPr="00260A70">
        <w:rPr>
          <w:rFonts w:ascii="Times New Roman" w:eastAsia="Times New Roman" w:hAnsi="Times New Roman" w:cs="Times New Roman"/>
          <w:bCs/>
          <w:noProof/>
          <w:lang w:val="sr-Latn-ME"/>
        </w:rPr>
        <w:tab/>
      </w:r>
      <w:r w:rsidRPr="00260A70">
        <w:rPr>
          <w:rFonts w:ascii="Times New Roman" w:eastAsia="Times New Roman" w:hAnsi="Times New Roman" w:cs="Times New Roman"/>
          <w:bCs/>
          <w:noProof/>
          <w:lang w:val="sr-Latn-ME"/>
        </w:rPr>
        <w:tab/>
      </w:r>
      <w:r w:rsidRPr="00260A70">
        <w:rPr>
          <w:rFonts w:ascii="Times New Roman" w:eastAsia="Times New Roman" w:hAnsi="Times New Roman" w:cs="Times New Roman"/>
          <w:bCs/>
          <w:noProof/>
          <w:lang w:val="sr-Latn-ME"/>
        </w:rPr>
        <w:tab/>
      </w:r>
      <w:r w:rsidRPr="00260A70">
        <w:rPr>
          <w:rFonts w:ascii="Times New Roman" w:eastAsia="Times New Roman" w:hAnsi="Times New Roman" w:cs="Times New Roman"/>
          <w:bCs/>
          <w:noProof/>
          <w:lang w:val="sr-Latn-ME"/>
        </w:rPr>
        <w:tab/>
      </w:r>
      <w:r w:rsidRPr="00260A70">
        <w:rPr>
          <w:rFonts w:ascii="Times New Roman" w:eastAsia="Times New Roman" w:hAnsi="Times New Roman" w:cs="Times New Roman"/>
          <w:bCs/>
          <w:noProof/>
          <w:lang w:val="sr-Latn-ME"/>
        </w:rPr>
        <w:tab/>
      </w:r>
      <w:r w:rsidR="00063523">
        <w:rPr>
          <w:rFonts w:ascii="Times New Roman" w:eastAsia="Times New Roman" w:hAnsi="Times New Roman" w:cs="Times New Roman"/>
          <w:bCs/>
          <w:noProof/>
          <w:lang w:val="sr-Latn-ME"/>
        </w:rPr>
        <w:tab/>
      </w:r>
      <w:r w:rsidRPr="00260A70">
        <w:rPr>
          <w:rFonts w:ascii="Times New Roman" w:eastAsia="Times New Roman" w:hAnsi="Times New Roman" w:cs="Times New Roman"/>
          <w:bCs/>
          <w:noProof/>
          <w:lang w:val="sr-Latn-ME"/>
        </w:rPr>
        <w:t>kombinaciji; Kortikosteroidi i antiinfektivi u kombinaciji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ATC kod: S01CA01</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260A70">
        <w:rPr>
          <w:rFonts w:ascii="Times New Roman" w:eastAsia="Times New Roman" w:hAnsi="Times New Roman" w:cs="Times New Roman"/>
          <w:bCs/>
          <w:noProof/>
          <w:u w:val="single"/>
          <w:lang w:val="sr-Latn-ME"/>
        </w:rPr>
        <w:lastRenderedPageBreak/>
        <w:t>Deksametazon</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Efikasnost kortikosteroida u liječenju inflamatornih stanja oka dobro je utvrđena.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Kortikosteroidi postižu svoj antiinflamatorni efekat supresijom adhezije molekula vaskularnih endotelnih ćelija, ciklooksigenaze I ili II, i ekspresijom citokina. Ova aktivnost kulminira u redukciji ekspresije proinflamatornih medijatora i supresijom adhezije cirkulišućih leukocita za vaskularni endotel, sprječavajući time njihovo prodiranje u upaljeno očno tkivo. Deksametazon ima izraženo antiinflamatorno dejstvo sa redukovanim mineralokortikoidnim dejstvom u poređenju sa nekim drugim steroidima, i predstavlja jedan od najpotentnijih antiinflamatornih agenasa.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u w:val="single"/>
          <w:lang w:val="sr-Latn-ME"/>
        </w:rPr>
      </w:pPr>
      <w:r w:rsidRPr="00260A70">
        <w:rPr>
          <w:rFonts w:ascii="Times New Roman" w:eastAsia="Times New Roman" w:hAnsi="Times New Roman" w:cs="Times New Roman"/>
          <w:bCs/>
          <w:noProof/>
          <w:u w:val="single"/>
          <w:lang w:val="sr-Latn-ME"/>
        </w:rPr>
        <w:t>Tobramicin</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Tobramicin je jak aminoglikozidni antibiotik širokog spektra koji ima brzo baktericidno dejstvo.</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Primarno dejstvo ima na bakterijske ćelije, gdje inhibira nakupljanje i sintezu polipeptida u ribozomima. Tobramicin u ovoj kombinaciji pruža antibakterijsku zaštitu protiv osjetljivih bakterija.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Definisane su sljedeće granične vrijednosti MIK-a koje odvajaju osjetljive od umjereno osjetljivih organizama, kao i umjereno osjetljive od rezistentnih organizama: S ( ≤ 4mikrograma/ml), R ( ≥ 8 mikrograma/ml). Prevalenca rezistentnosti određenih bakterija može znatno da varira u odnosu na geografski položaj i vrijeme upotrebe lijeka, tako da bi bilo poželjno imati lokalne podatke o rezistenciji mikroorganizama, pogotovo kada se radi o liječenju teških infekcija. Ukoliko je potrebno, može se potražiti ekspertski savjet kada je lokalna prevalenca rezistencije toliko visoka da dovodi u pitanje upotrebu lijeka. Informacije u produžetku teksta predstavljaju približne smjernice da li je bakterija osjetljiva na tobramicin u lijeku Tobradex kapi za oči.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Definisanje graničnih vrijednosti, koje klasifikuju izolate kao osjetljive ili rezistentne, korisno je za predviđanje kliničke efikasnosti antibiotika koji se primjenjuju sistemski. Međutim, kada se antibiotik primijeni topikalno u vrlo visokim koncentracijama direktno na mjesto infekcije, ove granične vrijednosti nisu više primjenljive. Većina izolata, koja bi prema sistemskim graničnim vrijednostima bila klasifikovana kao rezistentna, uspješno se liječi topikalnom primjenom.</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i/>
          <w:noProof/>
          <w:lang w:val="sr-Latn-ME"/>
        </w:rPr>
        <w:t>In vitro</w:t>
      </w:r>
      <w:r w:rsidRPr="00260A70">
        <w:rPr>
          <w:rFonts w:ascii="Times New Roman" w:eastAsia="Times New Roman" w:hAnsi="Times New Roman" w:cs="Times New Roman"/>
          <w:bCs/>
          <w:noProof/>
          <w:lang w:val="sr-Latn-ME"/>
        </w:rPr>
        <w:t xml:space="preserve"> studije su pokazale da je tobramicin efikasan protiv većine sojeva najčešćih okularnih patogena, kao i protiv uobičajenih bakterija na koži, kao što je prikazano u tabeli:</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51"/>
      </w:tblGrid>
      <w:tr w:rsidR="00260A70" w:rsidRPr="00260A70" w:rsidTr="003D542C">
        <w:tc>
          <w:tcPr>
            <w:tcW w:w="4650"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 xml:space="preserve">Kategorija </w:t>
            </w:r>
          </w:p>
        </w:tc>
        <w:tc>
          <w:tcPr>
            <w:tcW w:w="4651"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Frekvencija nastale rezistentnosti u Evropi</w:t>
            </w:r>
          </w:p>
        </w:tc>
      </w:tr>
      <w:tr w:rsidR="00260A70" w:rsidRPr="00260A70" w:rsidTr="003D542C">
        <w:tc>
          <w:tcPr>
            <w:tcW w:w="4650"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OSJETLJIVE VRSTE</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lang w:val="sr-Latn-ME"/>
              </w:rPr>
            </w:pP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Aerobni Gram-pozitivni mikroorganizmi</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i/>
                <w:iCs/>
                <w:noProof/>
                <w:lang w:val="sr-Latn-ME"/>
              </w:rPr>
              <w:t xml:space="preserve">Corynebacterium </w:t>
            </w:r>
            <w:r w:rsidRPr="00260A70">
              <w:rPr>
                <w:rFonts w:ascii="Times New Roman" w:eastAsia="Times New Roman" w:hAnsi="Times New Roman" w:cs="Times New Roman"/>
                <w:noProof/>
                <w:lang w:val="sr-Latn-ME"/>
              </w:rPr>
              <w:t>species</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i/>
                <w:iCs/>
                <w:noProof/>
                <w:lang w:val="sr-Latn-ME"/>
              </w:rPr>
              <w:t xml:space="preserve">Staphylococcus aureus </w:t>
            </w:r>
            <w:r w:rsidRPr="00260A70">
              <w:rPr>
                <w:rFonts w:ascii="Times New Roman" w:eastAsia="Times New Roman" w:hAnsi="Times New Roman" w:cs="Times New Roman"/>
                <w:noProof/>
                <w:lang w:val="sr-Latn-ME"/>
              </w:rPr>
              <w:t xml:space="preserve">Meticilin -S </w:t>
            </w:r>
            <w:r w:rsidRPr="00260A70">
              <w:rPr>
                <w:rFonts w:ascii="Times New Roman" w:eastAsia="Times New Roman" w:hAnsi="Times New Roman" w:cs="Times New Roman"/>
                <w:noProof/>
                <w:vertAlign w:val="superscript"/>
                <w:lang w:val="sr-Latn-ME"/>
              </w:rPr>
              <w:t>a</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i/>
                <w:iCs/>
                <w:noProof/>
                <w:lang w:val="sr-Latn-ME"/>
              </w:rPr>
              <w:t xml:space="preserve">Staphylococcus epidermidis </w:t>
            </w:r>
            <w:r w:rsidRPr="00260A70">
              <w:rPr>
                <w:rFonts w:ascii="Times New Roman" w:eastAsia="Times New Roman" w:hAnsi="Times New Roman" w:cs="Times New Roman"/>
                <w:noProof/>
                <w:lang w:val="sr-Latn-ME"/>
              </w:rPr>
              <w:t xml:space="preserve">Meticilin -S </w:t>
            </w:r>
            <w:r w:rsidRPr="00260A70">
              <w:rPr>
                <w:rFonts w:ascii="Times New Roman" w:eastAsia="Times New Roman" w:hAnsi="Times New Roman" w:cs="Times New Roman"/>
                <w:noProof/>
                <w:vertAlign w:val="superscript"/>
                <w:lang w:val="sr-Latn-ME"/>
              </w:rPr>
              <w:t>a</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noProof/>
                <w:lang w:val="sr-Latn-ME"/>
              </w:rPr>
              <w:t xml:space="preserve">Drugi koagulaza negativni </w:t>
            </w:r>
            <w:r w:rsidRPr="00260A70">
              <w:rPr>
                <w:rFonts w:ascii="Times New Roman" w:eastAsia="Times New Roman" w:hAnsi="Times New Roman" w:cs="Times New Roman"/>
                <w:i/>
                <w:iCs/>
                <w:noProof/>
                <w:lang w:val="sr-Latn-ME"/>
              </w:rPr>
              <w:t xml:space="preserve">Staphylococcus </w:t>
            </w:r>
            <w:r w:rsidRPr="00260A70">
              <w:rPr>
                <w:rFonts w:ascii="Times New Roman" w:eastAsia="Times New Roman" w:hAnsi="Times New Roman" w:cs="Times New Roman"/>
                <w:noProof/>
                <w:lang w:val="sr-Latn-ME"/>
              </w:rPr>
              <w:t>sojevi</w:t>
            </w:r>
          </w:p>
        </w:tc>
        <w:tc>
          <w:tcPr>
            <w:tcW w:w="4651"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0-3%</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0-3%</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0-28%</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0-40%</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lang w:val="sr-Latn-ME"/>
              </w:rPr>
            </w:pPr>
          </w:p>
        </w:tc>
      </w:tr>
      <w:tr w:rsidR="00260A70" w:rsidRPr="00260A70" w:rsidTr="003D542C">
        <w:trPr>
          <w:trHeight w:val="2333"/>
        </w:trPr>
        <w:tc>
          <w:tcPr>
            <w:tcW w:w="4650"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lastRenderedPageBreak/>
              <w:t>Aerobni Gram-negativni mikroorganizmi</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i/>
                <w:iCs/>
                <w:noProof/>
                <w:lang w:val="sr-Latn-ME"/>
              </w:rPr>
              <w:t xml:space="preserve">Acinetobacter </w:t>
            </w:r>
            <w:r w:rsidRPr="00260A70">
              <w:rPr>
                <w:rFonts w:ascii="Times New Roman" w:eastAsia="Times New Roman" w:hAnsi="Times New Roman" w:cs="Times New Roman"/>
                <w:noProof/>
                <w:lang w:val="sr-Latn-ME"/>
              </w:rPr>
              <w:t>species</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i/>
                <w:iCs/>
                <w:noProof/>
                <w:lang w:val="sr-Latn-ME"/>
              </w:rPr>
              <w:t xml:space="preserve">Citrobacter </w:t>
            </w:r>
            <w:r w:rsidRPr="00260A70">
              <w:rPr>
                <w:rFonts w:ascii="Times New Roman" w:eastAsia="Times New Roman" w:hAnsi="Times New Roman" w:cs="Times New Roman"/>
                <w:bCs/>
                <w:noProof/>
                <w:lang w:val="sr-Latn-ME"/>
              </w:rPr>
              <w:t>species</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i/>
                <w:iCs/>
                <w:noProof/>
                <w:lang w:val="sr-Latn-ME"/>
              </w:rPr>
            </w:pPr>
            <w:r w:rsidRPr="00260A70">
              <w:rPr>
                <w:rFonts w:ascii="Times New Roman" w:eastAsia="Times New Roman" w:hAnsi="Times New Roman" w:cs="Times New Roman"/>
                <w:i/>
                <w:iCs/>
                <w:noProof/>
                <w:lang w:val="sr-Latn-ME"/>
              </w:rPr>
              <w:t>Escherichia coli</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i/>
                <w:iCs/>
                <w:noProof/>
                <w:lang w:val="sr-Latn-ME"/>
              </w:rPr>
              <w:t xml:space="preserve">Enterobacter </w:t>
            </w:r>
            <w:r w:rsidRPr="00260A70">
              <w:rPr>
                <w:rFonts w:ascii="Times New Roman" w:eastAsia="Times New Roman" w:hAnsi="Times New Roman" w:cs="Times New Roman"/>
                <w:noProof/>
                <w:lang w:val="sr-Latn-ME"/>
              </w:rPr>
              <w:t>species</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i/>
                <w:iCs/>
                <w:noProof/>
                <w:lang w:val="sr-Latn-ME"/>
              </w:rPr>
            </w:pPr>
            <w:r w:rsidRPr="00260A70">
              <w:rPr>
                <w:rFonts w:ascii="Times New Roman" w:eastAsia="Times New Roman" w:hAnsi="Times New Roman" w:cs="Times New Roman"/>
                <w:i/>
                <w:iCs/>
                <w:noProof/>
                <w:lang w:val="sr-Latn-ME"/>
              </w:rPr>
              <w:t>Haemophilus influenzae</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Cs/>
                <w:i/>
                <w:noProof/>
                <w:lang w:val="sr-Latn-ME"/>
              </w:rPr>
            </w:pPr>
            <w:r w:rsidRPr="00260A70">
              <w:rPr>
                <w:rFonts w:ascii="Times New Roman" w:eastAsia="Times New Roman" w:hAnsi="Times New Roman" w:cs="Times New Roman"/>
                <w:bCs/>
                <w:i/>
                <w:noProof/>
                <w:lang w:val="sr-Latn-ME"/>
              </w:rPr>
              <w:t>Klebsiella species</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Cs/>
                <w:i/>
                <w:noProof/>
                <w:lang w:val="sr-Latn-ME"/>
              </w:rPr>
            </w:pPr>
            <w:r w:rsidRPr="00260A70">
              <w:rPr>
                <w:rFonts w:ascii="Times New Roman" w:eastAsia="Times New Roman" w:hAnsi="Times New Roman" w:cs="Times New Roman"/>
                <w:bCs/>
                <w:i/>
                <w:noProof/>
                <w:lang w:val="sr-Latn-ME"/>
              </w:rPr>
              <w:t>Moraxella species</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Cs/>
                <w:i/>
                <w:noProof/>
                <w:lang w:val="sr-Latn-ME"/>
              </w:rPr>
            </w:pPr>
            <w:r w:rsidRPr="00260A70">
              <w:rPr>
                <w:rFonts w:ascii="Times New Roman" w:eastAsia="Times New Roman" w:hAnsi="Times New Roman" w:cs="Times New Roman"/>
                <w:bCs/>
                <w:i/>
                <w:noProof/>
                <w:lang w:val="sr-Latn-ME"/>
              </w:rPr>
              <w:t>Proteus species</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Cs/>
                <w:noProof/>
                <w:lang w:val="sr-Latn-ME"/>
              </w:rPr>
            </w:pPr>
            <w:r w:rsidRPr="00260A70">
              <w:rPr>
                <w:rFonts w:ascii="Times New Roman" w:eastAsia="Times New Roman" w:hAnsi="Times New Roman" w:cs="Times New Roman"/>
                <w:bCs/>
                <w:i/>
                <w:noProof/>
                <w:lang w:val="sr-Latn-ME"/>
              </w:rPr>
              <w:t>Pseudomonas aeruginosa</w:t>
            </w:r>
          </w:p>
        </w:tc>
        <w:tc>
          <w:tcPr>
            <w:tcW w:w="4651"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r w:rsidRPr="00260A70">
              <w:rPr>
                <w:rFonts w:ascii="Times New Roman" w:eastAsia="Times New Roman" w:hAnsi="Times New Roman" w:cs="Times New Roman"/>
                <w:noProof/>
                <w:lang w:val="sr-Latn-ME"/>
              </w:rPr>
              <w:t>0%</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lang w:val="sr-Latn-ME"/>
              </w:rPr>
            </w:pPr>
          </w:p>
        </w:tc>
      </w:tr>
      <w:tr w:rsidR="00260A70" w:rsidRPr="00260A70" w:rsidTr="003D542C">
        <w:tc>
          <w:tcPr>
            <w:tcW w:w="4650"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i/>
                <w:noProof/>
                <w:lang w:val="sr-Latn-ME"/>
              </w:rPr>
            </w:pPr>
            <w:r w:rsidRPr="00260A70">
              <w:rPr>
                <w:rFonts w:ascii="Times New Roman" w:eastAsia="Times New Roman" w:hAnsi="Times New Roman" w:cs="Times New Roman"/>
                <w:b/>
                <w:bCs/>
                <w:noProof/>
                <w:lang w:val="sr-Latn-ME"/>
              </w:rPr>
              <w:t>UMJERENO OSJETLJIVI SOJEVI (</w:t>
            </w:r>
            <w:r w:rsidRPr="00260A70">
              <w:rPr>
                <w:rFonts w:ascii="Times New Roman" w:eastAsia="Times New Roman" w:hAnsi="Times New Roman" w:cs="Times New Roman"/>
                <w:b/>
                <w:bCs/>
                <w:i/>
                <w:noProof/>
                <w:lang w:val="sr-Latn-ME"/>
              </w:rPr>
              <w:t>in vitro, srednja osjetljivost)</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Aerobni Gram-negativni mikroorganizmi</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i/>
                <w:iCs/>
                <w:noProof/>
                <w:lang w:val="sr-Latn-ME" w:bidi="he-IL"/>
              </w:rPr>
            </w:pPr>
            <w:r w:rsidRPr="00260A70">
              <w:rPr>
                <w:rFonts w:ascii="Times New Roman" w:eastAsia="Times New Roman" w:hAnsi="Times New Roman" w:cs="Times New Roman"/>
                <w:i/>
                <w:iCs/>
                <w:noProof/>
                <w:lang w:val="sr-Latn-ME" w:bidi="he-IL"/>
              </w:rPr>
              <w:t>Serratia marcescens</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i/>
                <w:noProof/>
                <w:lang w:val="sr-Latn-ME"/>
              </w:rPr>
            </w:pPr>
          </w:p>
        </w:tc>
        <w:tc>
          <w:tcPr>
            <w:tcW w:w="4651"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lang w:val="sr-Latn-ME"/>
              </w:rPr>
            </w:pPr>
          </w:p>
        </w:tc>
      </w:tr>
      <w:tr w:rsidR="00260A70" w:rsidRPr="00260A70" w:rsidTr="003D542C">
        <w:tc>
          <w:tcPr>
            <w:tcW w:w="4650"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sz w:val="21"/>
                <w:szCs w:val="21"/>
                <w:lang w:val="sr-Latn-ME"/>
              </w:rPr>
            </w:pPr>
            <w:r w:rsidRPr="00260A70">
              <w:rPr>
                <w:rFonts w:ascii="Times New Roman" w:eastAsia="Times New Roman" w:hAnsi="Times New Roman" w:cs="Times New Roman"/>
                <w:b/>
                <w:bCs/>
                <w:noProof/>
                <w:sz w:val="21"/>
                <w:szCs w:val="21"/>
                <w:lang w:val="sr-Latn-ME"/>
              </w:rPr>
              <w:t>INHERENTNO REZISTENTNE VRSTE</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sz w:val="21"/>
                <w:szCs w:val="21"/>
                <w:lang w:val="sr-Latn-ME"/>
              </w:rPr>
            </w:pPr>
            <w:r w:rsidRPr="00260A70">
              <w:rPr>
                <w:rFonts w:ascii="Times New Roman" w:eastAsia="Times New Roman" w:hAnsi="Times New Roman" w:cs="Times New Roman"/>
                <w:b/>
                <w:bCs/>
                <w:noProof/>
                <w:sz w:val="21"/>
                <w:szCs w:val="21"/>
                <w:lang w:val="sr-Latn-ME"/>
              </w:rPr>
              <w:t>Aerobni Gram-pozitivni mikroorganizmi</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Enterococcus species</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sz w:val="13"/>
                <w:szCs w:val="13"/>
                <w:lang w:val="sr-Latn-ME"/>
              </w:rPr>
            </w:pPr>
            <w:r w:rsidRPr="00260A70">
              <w:rPr>
                <w:rFonts w:ascii="Times New Roman" w:eastAsia="Times New Roman" w:hAnsi="Times New Roman" w:cs="Times New Roman"/>
                <w:i/>
                <w:iCs/>
                <w:noProof/>
                <w:sz w:val="21"/>
                <w:szCs w:val="21"/>
                <w:lang w:val="sr-Latn-ME"/>
              </w:rPr>
              <w:t xml:space="preserve">Staphylococcus aureus </w:t>
            </w:r>
            <w:r w:rsidRPr="00260A70">
              <w:rPr>
                <w:rFonts w:ascii="Times New Roman" w:eastAsia="Times New Roman" w:hAnsi="Times New Roman" w:cs="Times New Roman"/>
                <w:noProof/>
                <w:sz w:val="21"/>
                <w:szCs w:val="21"/>
                <w:lang w:val="sr-Latn-ME"/>
              </w:rPr>
              <w:t xml:space="preserve">Meticilin –R </w:t>
            </w:r>
            <w:r w:rsidRPr="00260A70">
              <w:rPr>
                <w:rFonts w:ascii="Times New Roman" w:eastAsia="Times New Roman" w:hAnsi="Times New Roman" w:cs="Times New Roman"/>
                <w:noProof/>
                <w:vertAlign w:val="superscript"/>
                <w:lang w:val="sr-Latn-ME"/>
              </w:rPr>
              <w:t>a</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sz w:val="13"/>
                <w:szCs w:val="13"/>
                <w:lang w:val="sr-Latn-ME"/>
              </w:rPr>
            </w:pPr>
            <w:r w:rsidRPr="00260A70">
              <w:rPr>
                <w:rFonts w:ascii="Times New Roman" w:eastAsia="Times New Roman" w:hAnsi="Times New Roman" w:cs="Times New Roman"/>
                <w:i/>
                <w:iCs/>
                <w:noProof/>
                <w:sz w:val="21"/>
                <w:szCs w:val="21"/>
                <w:lang w:val="sr-Latn-ME"/>
              </w:rPr>
              <w:t xml:space="preserve">Staphylococcus epidermidis </w:t>
            </w:r>
            <w:r w:rsidRPr="00260A70">
              <w:rPr>
                <w:rFonts w:ascii="Times New Roman" w:eastAsia="Times New Roman" w:hAnsi="Times New Roman" w:cs="Times New Roman"/>
                <w:noProof/>
                <w:sz w:val="21"/>
                <w:szCs w:val="21"/>
                <w:lang w:val="sr-Latn-ME"/>
              </w:rPr>
              <w:t xml:space="preserve">Meticilin –R </w:t>
            </w:r>
            <w:r w:rsidRPr="00260A70">
              <w:rPr>
                <w:rFonts w:ascii="Times New Roman" w:eastAsia="Times New Roman" w:hAnsi="Times New Roman" w:cs="Times New Roman"/>
                <w:noProof/>
                <w:vertAlign w:val="superscript"/>
                <w:lang w:val="sr-Latn-ME"/>
              </w:rPr>
              <w:t>a</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i/>
                <w:iCs/>
                <w:noProof/>
                <w:sz w:val="21"/>
                <w:szCs w:val="21"/>
                <w:lang w:val="sr-Latn-ME"/>
              </w:rPr>
            </w:pPr>
            <w:r w:rsidRPr="00260A70">
              <w:rPr>
                <w:rFonts w:ascii="Times New Roman" w:eastAsia="Times New Roman" w:hAnsi="Times New Roman" w:cs="Times New Roman"/>
                <w:i/>
                <w:iCs/>
                <w:noProof/>
                <w:sz w:val="21"/>
                <w:szCs w:val="21"/>
                <w:lang w:val="sr-Latn-ME"/>
              </w:rPr>
              <w:t>Streptococcus pneumoniae</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i/>
                <w:iCs/>
                <w:noProof/>
                <w:sz w:val="21"/>
                <w:szCs w:val="21"/>
                <w:lang w:val="sr-Latn-ME"/>
              </w:rPr>
              <w:t xml:space="preserve">Streptococcus </w:t>
            </w:r>
            <w:r w:rsidRPr="00260A70">
              <w:rPr>
                <w:rFonts w:ascii="Times New Roman" w:eastAsia="Times New Roman" w:hAnsi="Times New Roman" w:cs="Times New Roman"/>
                <w:noProof/>
                <w:sz w:val="21"/>
                <w:szCs w:val="21"/>
                <w:lang w:val="sr-Latn-ME"/>
              </w:rPr>
              <w:t>species</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p>
        </w:tc>
        <w:tc>
          <w:tcPr>
            <w:tcW w:w="4651"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sz w:val="23"/>
                <w:szCs w:val="23"/>
                <w:lang w:val="sr-Latn-ME"/>
              </w:rPr>
            </w:pP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sz w:val="23"/>
                <w:szCs w:val="23"/>
                <w:lang w:val="sr-Latn-ME"/>
              </w:rPr>
            </w:pP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sz w:val="23"/>
                <w:szCs w:val="23"/>
                <w:lang w:val="sr-Latn-ME"/>
              </w:rPr>
            </w:pP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sz w:val="23"/>
                <w:szCs w:val="23"/>
                <w:lang w:val="sr-Latn-ME"/>
              </w:rPr>
            </w:pPr>
            <w:r w:rsidRPr="00260A70">
              <w:rPr>
                <w:rFonts w:ascii="Times New Roman" w:eastAsia="Times New Roman" w:hAnsi="Times New Roman" w:cs="Times New Roman"/>
                <w:noProof/>
                <w:sz w:val="23"/>
                <w:szCs w:val="23"/>
                <w:lang w:val="sr-Latn-ME"/>
              </w:rPr>
              <w:t>50-70%</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noProof/>
                <w:sz w:val="23"/>
                <w:szCs w:val="23"/>
                <w:lang w:val="sr-Latn-ME"/>
              </w:rPr>
              <w:t>30-40%</w:t>
            </w:r>
          </w:p>
        </w:tc>
      </w:tr>
      <w:tr w:rsidR="00260A70" w:rsidRPr="00260A70" w:rsidTr="003D542C">
        <w:tc>
          <w:tcPr>
            <w:tcW w:w="4650"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sz w:val="21"/>
                <w:szCs w:val="21"/>
                <w:lang w:val="sr-Latn-ME"/>
              </w:rPr>
            </w:pPr>
            <w:r w:rsidRPr="00260A70">
              <w:rPr>
                <w:rFonts w:ascii="Times New Roman" w:eastAsia="Times New Roman" w:hAnsi="Times New Roman" w:cs="Times New Roman"/>
                <w:b/>
                <w:bCs/>
                <w:noProof/>
                <w:sz w:val="21"/>
                <w:szCs w:val="21"/>
                <w:lang w:val="sr-Latn-ME"/>
              </w:rPr>
              <w:t>Aerobni Gram-negativni mikroorganizmi</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i/>
                <w:iCs/>
                <w:noProof/>
                <w:sz w:val="21"/>
                <w:szCs w:val="21"/>
                <w:lang w:val="sr-Latn-ME"/>
              </w:rPr>
            </w:pPr>
            <w:r w:rsidRPr="00260A70">
              <w:rPr>
                <w:rFonts w:ascii="Times New Roman" w:eastAsia="Times New Roman" w:hAnsi="Times New Roman" w:cs="Times New Roman"/>
                <w:i/>
                <w:iCs/>
                <w:noProof/>
                <w:sz w:val="21"/>
                <w:szCs w:val="21"/>
                <w:lang w:val="sr-Latn-ME"/>
              </w:rPr>
              <w:t>Burkholderia cepacia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i/>
                <w:iCs/>
                <w:noProof/>
                <w:sz w:val="21"/>
                <w:szCs w:val="21"/>
                <w:lang w:val="sr-Latn-ME"/>
              </w:rPr>
            </w:pPr>
            <w:r w:rsidRPr="00260A70">
              <w:rPr>
                <w:rFonts w:ascii="Times New Roman" w:eastAsia="Times New Roman" w:hAnsi="Times New Roman" w:cs="Times New Roman"/>
                <w:i/>
                <w:iCs/>
                <w:noProof/>
                <w:sz w:val="21"/>
                <w:szCs w:val="21"/>
                <w:lang w:val="sr-Latn-ME"/>
              </w:rPr>
              <w:t>Stenotrophomonas maltophilia</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p>
        </w:tc>
        <w:tc>
          <w:tcPr>
            <w:tcW w:w="4651"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p>
        </w:tc>
      </w:tr>
      <w:tr w:rsidR="00260A70" w:rsidRPr="00260A70" w:rsidTr="003D542C">
        <w:tc>
          <w:tcPr>
            <w:tcW w:w="4650"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sz w:val="21"/>
                <w:szCs w:val="21"/>
                <w:lang w:val="sr-Latn-ME"/>
              </w:rPr>
            </w:pPr>
            <w:r w:rsidRPr="00260A70">
              <w:rPr>
                <w:rFonts w:ascii="Times New Roman" w:eastAsia="Times New Roman" w:hAnsi="Times New Roman" w:cs="Times New Roman"/>
                <w:b/>
                <w:bCs/>
                <w:noProof/>
                <w:sz w:val="21"/>
                <w:szCs w:val="21"/>
                <w:lang w:val="sr-Latn-ME"/>
              </w:rPr>
              <w:t>Anaerobni mikroorganizmi</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noProof/>
                <w:sz w:val="21"/>
                <w:szCs w:val="21"/>
                <w:lang w:val="sr-Latn-ME"/>
              </w:rPr>
              <w:t>Isključivo anaerobne bakterije</w:t>
            </w:r>
          </w:p>
        </w:tc>
        <w:tc>
          <w:tcPr>
            <w:tcW w:w="4651"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p>
        </w:tc>
      </w:tr>
      <w:tr w:rsidR="00260A70" w:rsidRPr="00260A70" w:rsidTr="003D542C">
        <w:tc>
          <w:tcPr>
            <w:tcW w:w="4650" w:type="dxa"/>
            <w:shd w:val="clear" w:color="auto" w:fill="auto"/>
          </w:tcPr>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b/>
                <w:bCs/>
                <w:noProof/>
                <w:sz w:val="21"/>
                <w:szCs w:val="21"/>
                <w:lang w:val="sr-Latn-ME"/>
              </w:rPr>
            </w:pPr>
            <w:r w:rsidRPr="00260A70">
              <w:rPr>
                <w:rFonts w:ascii="Times New Roman" w:eastAsia="Times New Roman" w:hAnsi="Times New Roman" w:cs="Times New Roman"/>
                <w:b/>
                <w:bCs/>
                <w:noProof/>
                <w:sz w:val="21"/>
                <w:szCs w:val="21"/>
                <w:lang w:val="sr-Latn-ME"/>
              </w:rPr>
              <w:t>Ostali</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i/>
                <w:iCs/>
                <w:noProof/>
                <w:sz w:val="21"/>
                <w:szCs w:val="21"/>
                <w:lang w:val="sr-Latn-ME"/>
              </w:rPr>
              <w:t xml:space="preserve">Chlamydia </w:t>
            </w:r>
            <w:r w:rsidRPr="00260A70">
              <w:rPr>
                <w:rFonts w:ascii="Times New Roman" w:eastAsia="Times New Roman" w:hAnsi="Times New Roman" w:cs="Times New Roman"/>
                <w:noProof/>
                <w:sz w:val="21"/>
                <w:szCs w:val="21"/>
                <w:lang w:val="sr-Latn-ME"/>
              </w:rPr>
              <w:t>species</w:t>
            </w:r>
          </w:p>
          <w:p w:rsidR="00260A70" w:rsidRPr="00260A70" w:rsidRDefault="00260A70" w:rsidP="00260A70">
            <w:pPr>
              <w:autoSpaceDE w:val="0"/>
              <w:autoSpaceDN w:val="0"/>
              <w:adjustRightInd w:val="0"/>
              <w:spacing w:after="0" w:line="240" w:lineRule="auto"/>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i/>
                <w:iCs/>
                <w:noProof/>
                <w:sz w:val="21"/>
                <w:szCs w:val="21"/>
                <w:lang w:val="sr-Latn-ME"/>
              </w:rPr>
              <w:t xml:space="preserve">Mycoplasma </w:t>
            </w:r>
            <w:r w:rsidRPr="00260A70">
              <w:rPr>
                <w:rFonts w:ascii="Times New Roman" w:eastAsia="Times New Roman" w:hAnsi="Times New Roman" w:cs="Times New Roman"/>
                <w:noProof/>
                <w:sz w:val="21"/>
                <w:szCs w:val="21"/>
                <w:lang w:val="sr-Latn-ME"/>
              </w:rPr>
              <w:t>species</w:t>
            </w:r>
          </w:p>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r w:rsidRPr="00260A70">
              <w:rPr>
                <w:rFonts w:ascii="Times New Roman" w:eastAsia="Times New Roman" w:hAnsi="Times New Roman" w:cs="Times New Roman"/>
                <w:i/>
                <w:iCs/>
                <w:noProof/>
                <w:sz w:val="21"/>
                <w:szCs w:val="21"/>
                <w:lang w:val="sr-Latn-ME"/>
              </w:rPr>
              <w:t xml:space="preserve">Rickettsia </w:t>
            </w:r>
            <w:r w:rsidRPr="00260A70">
              <w:rPr>
                <w:rFonts w:ascii="Times New Roman" w:eastAsia="Times New Roman" w:hAnsi="Times New Roman" w:cs="Times New Roman"/>
                <w:noProof/>
                <w:sz w:val="21"/>
                <w:szCs w:val="21"/>
                <w:lang w:val="sr-Latn-ME"/>
              </w:rPr>
              <w:t>species</w:t>
            </w:r>
          </w:p>
        </w:tc>
        <w:tc>
          <w:tcPr>
            <w:tcW w:w="4651" w:type="dxa"/>
            <w:shd w:val="clear" w:color="auto" w:fill="auto"/>
          </w:tcPr>
          <w:p w:rsidR="00260A70" w:rsidRPr="00260A70" w:rsidRDefault="00260A70" w:rsidP="00260A70">
            <w:pPr>
              <w:tabs>
                <w:tab w:val="left" w:pos="540"/>
                <w:tab w:val="left" w:pos="569"/>
              </w:tabs>
              <w:spacing w:after="0" w:line="240" w:lineRule="auto"/>
              <w:rPr>
                <w:rFonts w:ascii="Times New Roman" w:eastAsia="Times New Roman" w:hAnsi="Times New Roman" w:cs="Times New Roman"/>
                <w:b/>
                <w:bCs/>
                <w:noProof/>
                <w:lang w:val="sr-Latn-ME"/>
              </w:rPr>
            </w:pPr>
          </w:p>
        </w:tc>
      </w:tr>
    </w:tbl>
    <w:p w:rsidR="00260A70" w:rsidRPr="00260A70" w:rsidRDefault="00260A70" w:rsidP="00260A70">
      <w:pPr>
        <w:tabs>
          <w:tab w:val="left" w:pos="540"/>
          <w:tab w:val="left" w:pos="569"/>
        </w:tabs>
        <w:spacing w:after="0" w:line="240" w:lineRule="auto"/>
        <w:rPr>
          <w:rFonts w:ascii="Times New Roman" w:eastAsia="Times New Roman" w:hAnsi="Times New Roman" w:cs="Times New Roman"/>
          <w:bCs/>
          <w:noProof/>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vertAlign w:val="superscript"/>
          <w:lang w:val="sr-Latn-ME"/>
        </w:rPr>
        <w:t>a</w:t>
      </w:r>
      <w:r w:rsidRPr="00260A70">
        <w:rPr>
          <w:rFonts w:ascii="Times New Roman" w:eastAsia="Times New Roman" w:hAnsi="Times New Roman" w:cs="Times New Roman"/>
          <w:noProof/>
          <w:sz w:val="21"/>
          <w:szCs w:val="21"/>
          <w:lang w:val="sr-Latn-ME"/>
        </w:rPr>
        <w:t xml:space="preserve">Osjetljivi na meticilin (S), Rezistentni na meticilin (R). Beta-laktamski (tj. meticilin; penicilin) fenotip rezistencije nije povezan sa aminoglikozidnim tipom rezistencije, a oba nemaju povezanost sa virulentnim fenotipom. Neki meticilin-rezistentni (R) S. </w:t>
      </w:r>
      <w:r w:rsidRPr="00260A70">
        <w:rPr>
          <w:rFonts w:ascii="Times New Roman" w:eastAsia="Times New Roman" w:hAnsi="Times New Roman" w:cs="Times New Roman"/>
          <w:i/>
          <w:iCs/>
          <w:noProof/>
          <w:sz w:val="21"/>
          <w:szCs w:val="21"/>
          <w:lang w:val="sr-Latn-ME"/>
        </w:rPr>
        <w:t xml:space="preserve">aureus </w:t>
      </w:r>
      <w:r w:rsidRPr="00260A70">
        <w:rPr>
          <w:rFonts w:ascii="Times New Roman" w:eastAsia="Times New Roman" w:hAnsi="Times New Roman" w:cs="Times New Roman"/>
          <w:noProof/>
          <w:sz w:val="21"/>
          <w:szCs w:val="21"/>
          <w:lang w:val="sr-Latn-ME"/>
        </w:rPr>
        <w:t>sojevi (MRSA) su osjetljivi na tobramicin (MIK: S ≤4), dok su neki sojevi koji su osjetljivi na meticilin (S) S.</w:t>
      </w:r>
      <w:r w:rsidRPr="00260A70">
        <w:rPr>
          <w:rFonts w:ascii="Times New Roman" w:eastAsia="Times New Roman" w:hAnsi="Times New Roman" w:cs="Times New Roman"/>
          <w:i/>
          <w:iCs/>
          <w:noProof/>
          <w:sz w:val="21"/>
          <w:szCs w:val="21"/>
          <w:lang w:val="sr-Latn-ME"/>
        </w:rPr>
        <w:t xml:space="preserve">aureus </w:t>
      </w:r>
      <w:r w:rsidRPr="00260A70">
        <w:rPr>
          <w:rFonts w:ascii="Times New Roman" w:eastAsia="Times New Roman" w:hAnsi="Times New Roman" w:cs="Times New Roman"/>
          <w:noProof/>
          <w:sz w:val="21"/>
          <w:szCs w:val="21"/>
          <w:lang w:val="sr-Latn-ME"/>
        </w:rPr>
        <w:t>(MSSA) rezistentni na tobramicin (MIK: S ≥8).</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Učestalost rezistencije na meticilin (R) može biti i do 50 % od svih stafilokoka u nekim evropskim zemljama.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noProof/>
          <w:sz w:val="21"/>
          <w:szCs w:val="21"/>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u w:val="single"/>
          <w:lang w:val="sr-Latn-ME"/>
        </w:rPr>
      </w:pPr>
      <w:r w:rsidRPr="00260A70">
        <w:rPr>
          <w:rFonts w:ascii="Times New Roman" w:eastAsia="Times New Roman" w:hAnsi="Times New Roman" w:cs="Times New Roman"/>
          <w:noProof/>
          <w:sz w:val="21"/>
          <w:szCs w:val="21"/>
          <w:u w:val="single"/>
          <w:lang w:val="sr-Latn-ME"/>
        </w:rPr>
        <w:t>Pedijatrijska populacija:</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Bezbjednost i efikasnost lijeka Tobradex kapi za oči su potvrđene širokim kliničkim iskustvom, ali su dostupni samo ograničeni podaci. U jednoj studiji, koja se odnosila na liječenje bakterijskog konjunktivitisa, 29 pedijatrijskih pacijenata uzrasta od 1 do 17 godina, liječeno je sa 1 ili 2 kapi lijeka Tobradex kapi za oči na svakih 4 do 6 sati tokom 5 do 7 dana, i nisu primijećene razlike u bezbjednosti primjene lijeka između ove, pedijatrijske, populacije i odraslih pacijenata.</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bCs/>
          <w:i/>
          <w:noProof/>
          <w:sz w:val="21"/>
          <w:szCs w:val="21"/>
          <w:lang w:val="sr-Latn-ME"/>
        </w:rPr>
      </w:pPr>
      <w:r w:rsidRPr="00260A70">
        <w:rPr>
          <w:rFonts w:ascii="Times New Roman" w:eastAsia="Times New Roman" w:hAnsi="Times New Roman" w:cs="Times New Roman"/>
          <w:bCs/>
          <w:i/>
          <w:noProof/>
          <w:sz w:val="21"/>
          <w:szCs w:val="21"/>
          <w:lang w:val="sr-Latn-ME"/>
        </w:rPr>
        <w:lastRenderedPageBreak/>
        <w:t>Ostale informacije</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 xml:space="preserve">Unakrsna rezistentnost između aminoglikozida (npr. gentamicin i tobramicin) nastaje zbog specifičnosti modifikacija enzima, adeniltransferaze (ANT) i acetiltransferaze (ACC). Ipak, unakrsna rezistencija varira među aminoglikozidnim antibioticima zbog različite specifičnosti različitih modifikujućih enzima. Najčešći </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noProof/>
          <w:sz w:val="21"/>
          <w:szCs w:val="21"/>
          <w:lang w:val="sr-Latn-ME"/>
        </w:rPr>
        <w:t>mehanizam stečene rezistencije na aminoglikozide je inaktivacija plazmidima i transpozon-enkodiranim modifikujućim ezimima.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5.2. </w:t>
      </w:r>
      <w:r w:rsidRPr="00260A70">
        <w:rPr>
          <w:rFonts w:ascii="Times New Roman" w:eastAsia="Times New Roman" w:hAnsi="Times New Roman" w:cs="Times New Roman"/>
          <w:b/>
          <w:bCs/>
          <w:noProof/>
          <w:lang w:val="sr-Latn-ME"/>
        </w:rPr>
        <w:tab/>
        <w:t>Farmakokinetički podaci</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Tobramicin:</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Studije na životinjama su pokazale da se tobramicin resorbuje u tkivo rožnjače nakon okularne primjene.</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Tobramicin se brzo i u velikoj mjeri izlučuje putem urina putem glomerularne filtracije, primarno kao nepromijenjen lijek. Uz sistemsku primjenu kod pacijenata sa normalnom bubrežnom funkcijom, poluvrijeme eliminacije iz plazme iznosi približno dva sata. Koncentracije tobramicina u plazmi, nakon dvodnevne okularne primjene, bile su ispod granice kvantifikacije ili vrlo niske ( ≤ 0,25 mikrograma/ml).</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Deksametazon:</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noProof/>
          <w:sz w:val="21"/>
          <w:szCs w:val="21"/>
          <w:lang w:val="sr-Latn-ME"/>
        </w:rPr>
        <w:t>Nakon okularne primjene, deksametazon se resorbuje u oku sa maksimalnim koncentracijama u rožnjači i očnoj vodici u roku od 1-2 sata. Poluvrijeme eliminacije deksametazona iz plazme je približno 3 sata. Deksametazon se ekstenzivno eliminiše kao metaboliti. Sistemska izloženost deksametazonu je niska nakon topikalne okularne primjene lijeka Tobradex. Maksimalne koncentracije lijeka u plazmi nalazile su se u rasponu od 220 do 888 pikograma/mL (prosječno 555 ± 217 pikograma/ml) nakon primjene po jedne kapi lijeka Tobradex u oba oka, četiri puta dnevno, dva uzastopna dana.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5.3. </w:t>
      </w:r>
      <w:r w:rsidRPr="00260A70">
        <w:rPr>
          <w:rFonts w:ascii="Times New Roman" w:eastAsia="Times New Roman" w:hAnsi="Times New Roman" w:cs="Times New Roman"/>
          <w:b/>
          <w:bCs/>
          <w:noProof/>
          <w:lang w:val="sr-Latn-ME"/>
        </w:rPr>
        <w:tab/>
        <w:t xml:space="preserve">Pretklinički podaci o bezbjednosti </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Profil sistemske toksičnosti pojedinačnih aktivnih supstanci dobro je proučen. Neželjena dejstva tobramicina i deksametazona primijećena u pretkliničkim studijama su zabilježena samo uz koncentracije znatno više od onih maksimalno dozvoljenih za upotrebu kod ljudi, pa se pretpostavlja da su ti podaci od male važnosti za ljudsku upotrebu.</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6. </w:t>
      </w:r>
      <w:r w:rsidRPr="00260A70">
        <w:rPr>
          <w:rFonts w:ascii="Times New Roman" w:eastAsia="Times New Roman" w:hAnsi="Times New Roman" w:cs="Times New Roman"/>
          <w:b/>
          <w:bCs/>
          <w:noProof/>
          <w:lang w:val="sr-Latn-ME"/>
        </w:rPr>
        <w:tab/>
        <w:t>FARMACEUTSKI PODACI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6.1. </w:t>
      </w:r>
      <w:r w:rsidRPr="00260A70">
        <w:rPr>
          <w:rFonts w:ascii="Times New Roman" w:eastAsia="Times New Roman" w:hAnsi="Times New Roman" w:cs="Times New Roman"/>
          <w:b/>
          <w:bCs/>
          <w:noProof/>
          <w:lang w:val="sr-Latn-ME"/>
        </w:rPr>
        <w:tab/>
        <w:t>Lista pomoćnih supstanci</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benzalkonijum hlorid</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dinatrijum edetat</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natrijum hlorid</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natrijum sulfat, bezvodni (E514)</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tiloksapol</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hidroksietilceluloza</w:t>
      </w:r>
    </w:p>
    <w:p w:rsidR="00260A70" w:rsidRPr="00260A70" w:rsidRDefault="00260A70" w:rsidP="00260A70">
      <w:pPr>
        <w:autoSpaceDE w:val="0"/>
        <w:autoSpaceDN w:val="0"/>
        <w:adjustRightInd w:val="0"/>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natrijum hidroksid i/ili sumporna kiselina (za podešavanje pH)</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noProof/>
          <w:sz w:val="21"/>
          <w:szCs w:val="21"/>
          <w:lang w:val="sr-Latn-ME"/>
        </w:rPr>
      </w:pPr>
      <w:r w:rsidRPr="00260A70">
        <w:rPr>
          <w:rFonts w:ascii="Times New Roman" w:eastAsia="Times New Roman" w:hAnsi="Times New Roman" w:cs="Times New Roman"/>
          <w:noProof/>
          <w:sz w:val="21"/>
          <w:szCs w:val="21"/>
          <w:lang w:val="sr-Latn-ME"/>
        </w:rPr>
        <w:t xml:space="preserve">voda, </w:t>
      </w:r>
      <w:r w:rsidR="008B303D">
        <w:rPr>
          <w:rFonts w:ascii="Times New Roman" w:eastAsia="Times New Roman" w:hAnsi="Times New Roman" w:cs="Times New Roman"/>
          <w:noProof/>
          <w:sz w:val="21"/>
          <w:szCs w:val="21"/>
          <w:lang w:val="sr-Latn-ME"/>
        </w:rPr>
        <w:t>prečišćena</w:t>
      </w:r>
    </w:p>
    <w:p w:rsid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8B303D" w:rsidRPr="00260A70" w:rsidRDefault="008B303D"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lastRenderedPageBreak/>
        <w:t xml:space="preserve">6.2. </w:t>
      </w:r>
      <w:r w:rsidRPr="00260A70">
        <w:rPr>
          <w:rFonts w:ascii="Times New Roman" w:eastAsia="Times New Roman" w:hAnsi="Times New Roman" w:cs="Times New Roman"/>
          <w:b/>
          <w:bCs/>
          <w:noProof/>
          <w:lang w:val="sr-Latn-ME"/>
        </w:rPr>
        <w:tab/>
        <w:t>Inkompatibilnosti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Nije primjenljivo.</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6.3.</w:t>
      </w:r>
      <w:r w:rsidRPr="00260A70">
        <w:rPr>
          <w:rFonts w:ascii="Times New Roman" w:eastAsia="Times New Roman" w:hAnsi="Times New Roman" w:cs="Times New Roman"/>
          <w:b/>
          <w:bCs/>
          <w:noProof/>
          <w:lang w:val="sr-Latn-ME"/>
        </w:rPr>
        <w:tab/>
        <w:t>Rok upotrebe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2 godine.</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Rok upotrebe nakon prvog otvaranja lijeka je 28 dana.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6.4. </w:t>
      </w:r>
      <w:r w:rsidRPr="00260A70">
        <w:rPr>
          <w:rFonts w:ascii="Times New Roman" w:eastAsia="Times New Roman" w:hAnsi="Times New Roman" w:cs="Times New Roman"/>
          <w:b/>
          <w:bCs/>
          <w:noProof/>
          <w:lang w:val="sr-Latn-ME"/>
        </w:rPr>
        <w:tab/>
        <w:t>Posebne mjere upozorenja pri čuvanju lijeka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Čuvati na temperaturi do 25°C, u originalnom pakovanju, zaštićeno od svjetlosti.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Ne držati u frižideru.</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Ne zamrzavati.</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Bočicu čuvati čvrsto zatvorenu.</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6.5. </w:t>
      </w:r>
      <w:r w:rsidRPr="00260A70">
        <w:rPr>
          <w:rFonts w:ascii="Times New Roman" w:eastAsia="Times New Roman" w:hAnsi="Times New Roman" w:cs="Times New Roman"/>
          <w:b/>
          <w:bCs/>
          <w:noProof/>
          <w:lang w:val="sr-Latn-ME"/>
        </w:rPr>
        <w:tab/>
        <w:t>Vrsta i sadržaj pakovanja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Plastična, posebno zaštićena bočica sa oznakom otvaranja, koja se sastoji iz LDPE bočice sa kapaljkom i polipropilenskog zatvarača sa navojem sa evidencijom otvaranja.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Dostupno je sljedeće pakovanje: kutija ko</w:t>
      </w:r>
      <w:r w:rsidR="008B303D">
        <w:rPr>
          <w:rFonts w:ascii="Times New Roman" w:eastAsia="Times New Roman" w:hAnsi="Times New Roman" w:cs="Times New Roman"/>
          <w:bCs/>
          <w:noProof/>
          <w:lang w:val="sr-Latn-ME"/>
        </w:rPr>
        <w:t>ja</w:t>
      </w:r>
      <w:r w:rsidRPr="00260A70">
        <w:rPr>
          <w:rFonts w:ascii="Times New Roman" w:eastAsia="Times New Roman" w:hAnsi="Times New Roman" w:cs="Times New Roman"/>
          <w:bCs/>
          <w:noProof/>
          <w:lang w:val="sr-Latn-ME"/>
        </w:rPr>
        <w:t xml:space="preserve"> sadrži jednu bočicu od 5 ml.</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6.6. </w:t>
      </w:r>
      <w:r w:rsidRPr="00260A70">
        <w:rPr>
          <w:rFonts w:ascii="Times New Roman" w:eastAsia="Times New Roman" w:hAnsi="Times New Roman" w:cs="Times New Roman"/>
          <w:b/>
          <w:bCs/>
          <w:noProof/>
          <w:lang w:val="sr-Latn-ME"/>
        </w:rPr>
        <w:tab/>
        <w:t xml:space="preserve">Posebne mjere opreza pri odlaganju materijala koji treba odbaciti nakon primjene lijeka </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Neupotrijebljeni lijek se uništava u skladu sa važećim propisima.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6.7. </w:t>
      </w:r>
      <w:r w:rsidRPr="00260A70">
        <w:rPr>
          <w:rFonts w:ascii="Times New Roman" w:eastAsia="Times New Roman" w:hAnsi="Times New Roman" w:cs="Times New Roman"/>
          <w:b/>
          <w:bCs/>
          <w:noProof/>
          <w:lang w:val="sr-Latn-ME"/>
        </w:rPr>
        <w:tab/>
        <w:t>Režim izdavanja lijeka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r w:rsidRPr="00260A70">
        <w:rPr>
          <w:rFonts w:ascii="Times New Roman" w:eastAsia="Times New Roman" w:hAnsi="Times New Roman" w:cs="Times New Roman"/>
          <w:bCs/>
          <w:noProof/>
          <w:lang w:val="sr-Latn-ME"/>
        </w:rPr>
        <w:t>Neobnovljiv (jednokratni) recept.</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7. </w:t>
      </w:r>
      <w:r w:rsidRPr="00260A70">
        <w:rPr>
          <w:rFonts w:ascii="Times New Roman" w:eastAsia="Times New Roman" w:hAnsi="Times New Roman" w:cs="Times New Roman"/>
          <w:b/>
          <w:bCs/>
          <w:noProof/>
          <w:lang w:val="sr-Latn-ME"/>
        </w:rPr>
        <w:tab/>
        <w:t xml:space="preserve">NOSILAC DOZVOLE </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5F03F0" w:rsidRPr="005F03F0" w:rsidRDefault="005F03F0" w:rsidP="005F03F0">
      <w:pPr>
        <w:tabs>
          <w:tab w:val="left" w:pos="540"/>
          <w:tab w:val="left" w:pos="569"/>
        </w:tabs>
        <w:spacing w:after="0" w:line="240" w:lineRule="auto"/>
        <w:jc w:val="both"/>
        <w:rPr>
          <w:rFonts w:ascii="Times New Roman" w:eastAsia="Times New Roman" w:hAnsi="Times New Roman" w:cs="Times New Roman"/>
          <w:bCs/>
          <w:noProof/>
          <w:lang w:val="sr-Latn-ME"/>
        </w:rPr>
      </w:pPr>
      <w:r w:rsidRPr="005F03F0">
        <w:rPr>
          <w:rFonts w:ascii="Times New Roman" w:eastAsia="Times New Roman" w:hAnsi="Times New Roman" w:cs="Times New Roman"/>
          <w:bCs/>
          <w:noProof/>
          <w:lang w:val="sr-Latn-ME"/>
        </w:rPr>
        <w:t>“Novartis Pharma Services AG” dio stranog društva Podgorica</w:t>
      </w:r>
    </w:p>
    <w:p w:rsidR="00260A70" w:rsidRPr="00260A70" w:rsidRDefault="005F03F0" w:rsidP="005F03F0">
      <w:pPr>
        <w:tabs>
          <w:tab w:val="left" w:pos="540"/>
          <w:tab w:val="left" w:pos="569"/>
        </w:tabs>
        <w:spacing w:after="0" w:line="240" w:lineRule="auto"/>
        <w:jc w:val="both"/>
        <w:rPr>
          <w:rFonts w:ascii="Times New Roman" w:eastAsia="Times New Roman" w:hAnsi="Times New Roman" w:cs="Times New Roman"/>
          <w:bCs/>
          <w:noProof/>
          <w:lang w:val="sr-Latn-ME"/>
        </w:rPr>
      </w:pPr>
      <w:r w:rsidRPr="005F03F0">
        <w:rPr>
          <w:rFonts w:ascii="Times New Roman" w:eastAsia="Times New Roman" w:hAnsi="Times New Roman" w:cs="Times New Roman"/>
          <w:bCs/>
          <w:noProof/>
          <w:lang w:val="sr-Latn-ME"/>
        </w:rPr>
        <w:t>ul. Svetlane Kane Radević 3, 81000 Podgorica, Crna Gora</w:t>
      </w: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8. </w:t>
      </w:r>
      <w:r w:rsidRPr="00260A70">
        <w:rPr>
          <w:rFonts w:ascii="Times New Roman" w:eastAsia="Times New Roman" w:hAnsi="Times New Roman" w:cs="Times New Roman"/>
          <w:b/>
          <w:bCs/>
          <w:noProof/>
          <w:lang w:val="sr-Latn-ME"/>
        </w:rPr>
        <w:tab/>
        <w:t>BROJ PRVE DOZVOLE/ OBNOVE DOZVOLE</w:t>
      </w:r>
    </w:p>
    <w:p w:rsid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8B303D" w:rsidRPr="00747C4B" w:rsidRDefault="008B303D" w:rsidP="008B303D">
      <w:pPr>
        <w:spacing w:after="0" w:line="240" w:lineRule="auto"/>
        <w:jc w:val="both"/>
        <w:rPr>
          <w:rFonts w:ascii="Times New Roman" w:hAnsi="Times New Roman" w:cs="Times New Roman"/>
        </w:rPr>
      </w:pPr>
      <w:r>
        <w:rPr>
          <w:rFonts w:ascii="TimesNewRoman" w:hAnsi="TimesNewRoman" w:cs="TimesNewRoman"/>
        </w:rPr>
        <w:t xml:space="preserve">Tobradex®, kapi za oči, suspenzija, 1 mg/ml + 3 mg/ml, bočica sa kapaljkom, 1x5 ml: </w:t>
      </w:r>
      <w:r w:rsidRPr="00E818E0">
        <w:rPr>
          <w:rFonts w:ascii="TimesNewRoman" w:hAnsi="TimesNewRoman" w:cs="TimesNewRoman"/>
        </w:rPr>
        <w:t xml:space="preserve">2030/17/253 </w:t>
      </w:r>
      <w:r>
        <w:rPr>
          <w:rFonts w:ascii="TimesNewRoman" w:hAnsi="TimesNewRoman" w:cs="TimesNewRoman"/>
        </w:rPr>
        <w:t>–</w:t>
      </w:r>
      <w:r w:rsidRPr="00E818E0">
        <w:rPr>
          <w:rFonts w:ascii="TimesNewRoman" w:hAnsi="TimesNewRoman" w:cs="TimesNewRoman"/>
        </w:rPr>
        <w:t xml:space="preserve"> 6412</w:t>
      </w:r>
    </w:p>
    <w:p w:rsidR="008B303D" w:rsidRPr="00260A70" w:rsidRDefault="008B303D"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t xml:space="preserve">9. </w:t>
      </w:r>
      <w:r w:rsidRPr="00260A70">
        <w:rPr>
          <w:rFonts w:ascii="Times New Roman" w:eastAsia="Times New Roman" w:hAnsi="Times New Roman" w:cs="Times New Roman"/>
          <w:b/>
          <w:bCs/>
          <w:noProof/>
          <w:lang w:val="sr-Latn-ME"/>
        </w:rPr>
        <w:tab/>
        <w:t>DATUM PRVE DOZVOLE/ DATUM OBNOVE DOZVOLE</w:t>
      </w:r>
    </w:p>
    <w:p w:rsidR="00260A70" w:rsidRDefault="00260A70"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8B303D" w:rsidRPr="00747C4B" w:rsidRDefault="008B303D" w:rsidP="008B303D">
      <w:pPr>
        <w:spacing w:after="0" w:line="240" w:lineRule="auto"/>
        <w:jc w:val="both"/>
        <w:rPr>
          <w:rFonts w:ascii="Times New Roman" w:hAnsi="Times New Roman" w:cs="Times New Roman"/>
        </w:rPr>
      </w:pPr>
      <w:r>
        <w:rPr>
          <w:rFonts w:ascii="TimesNewRoman" w:hAnsi="TimesNewRoman" w:cs="TimesNewRoman"/>
        </w:rPr>
        <w:t xml:space="preserve">Tobradex®, kapi za oči, suspenzija, 1 mg/ml + 3 mg/ml, bočica sa kapaljkom, 1x5 ml: </w:t>
      </w:r>
      <w:r w:rsidRPr="00E818E0">
        <w:rPr>
          <w:rFonts w:ascii="TimesNewRoman" w:hAnsi="TimesNewRoman" w:cs="TimesNewRoman"/>
        </w:rPr>
        <w:t>28.02.2017. godine</w:t>
      </w:r>
    </w:p>
    <w:p w:rsidR="008B303D" w:rsidRPr="00260A70" w:rsidRDefault="008B303D" w:rsidP="00260A70">
      <w:pPr>
        <w:tabs>
          <w:tab w:val="left" w:pos="540"/>
          <w:tab w:val="left" w:pos="569"/>
        </w:tabs>
        <w:spacing w:after="0" w:line="240" w:lineRule="auto"/>
        <w:jc w:val="both"/>
        <w:rPr>
          <w:rFonts w:ascii="Times New Roman" w:eastAsia="Times New Roman" w:hAnsi="Times New Roman" w:cs="Times New Roman"/>
          <w:bCs/>
          <w:noProof/>
          <w:lang w:val="sr-Latn-ME"/>
        </w:rPr>
      </w:pPr>
    </w:p>
    <w:p w:rsidR="00260A70" w:rsidRPr="00260A70" w:rsidRDefault="00260A70" w:rsidP="00260A70">
      <w:pPr>
        <w:tabs>
          <w:tab w:val="left" w:pos="540"/>
          <w:tab w:val="left" w:pos="569"/>
        </w:tabs>
        <w:spacing w:after="0" w:line="240" w:lineRule="auto"/>
        <w:ind w:left="540" w:hanging="540"/>
        <w:jc w:val="both"/>
        <w:rPr>
          <w:rFonts w:ascii="Times New Roman" w:eastAsia="Times New Roman" w:hAnsi="Times New Roman" w:cs="Times New Roman"/>
          <w:b/>
          <w:bCs/>
          <w:noProof/>
          <w:lang w:val="sr-Latn-ME"/>
        </w:rPr>
      </w:pPr>
      <w:r w:rsidRPr="00260A70">
        <w:rPr>
          <w:rFonts w:ascii="Times New Roman" w:eastAsia="Times New Roman" w:hAnsi="Times New Roman" w:cs="Times New Roman"/>
          <w:b/>
          <w:bCs/>
          <w:noProof/>
          <w:lang w:val="sr-Latn-ME"/>
        </w:rPr>
        <w:lastRenderedPageBreak/>
        <w:t xml:space="preserve">10. </w:t>
      </w:r>
      <w:r w:rsidRPr="00260A70">
        <w:rPr>
          <w:rFonts w:ascii="Times New Roman" w:eastAsia="Times New Roman" w:hAnsi="Times New Roman" w:cs="Times New Roman"/>
          <w:b/>
          <w:bCs/>
          <w:noProof/>
          <w:lang w:val="sr-Latn-ME"/>
        </w:rPr>
        <w:tab/>
        <w:t>DATUM POSLEDNJE REVIZIJE TEKSTA SAŽETKA OSNOVNIH KARAKTERISTIKA LIJEKA</w:t>
      </w:r>
    </w:p>
    <w:p w:rsidR="008B303D" w:rsidRDefault="008B303D" w:rsidP="008B303D">
      <w:pPr>
        <w:tabs>
          <w:tab w:val="left" w:pos="6150"/>
        </w:tabs>
        <w:spacing w:after="0" w:line="240" w:lineRule="auto"/>
        <w:rPr>
          <w:rFonts w:ascii="Times New Roman" w:hAnsi="Times New Roman" w:cs="Times New Roman"/>
        </w:rPr>
      </w:pPr>
    </w:p>
    <w:p w:rsidR="009318B4" w:rsidRPr="00747C4B" w:rsidRDefault="008B303D" w:rsidP="008B303D">
      <w:pPr>
        <w:tabs>
          <w:tab w:val="left" w:pos="6150"/>
        </w:tabs>
        <w:rPr>
          <w:rFonts w:ascii="Times New Roman" w:hAnsi="Times New Roman" w:cs="Times New Roman"/>
        </w:rPr>
      </w:pPr>
      <w:r>
        <w:rPr>
          <w:rFonts w:ascii="Times New Roman" w:hAnsi="Times New Roman" w:cs="Times New Roman"/>
        </w:rPr>
        <w:t>Februar, 2017. godine</w:t>
      </w:r>
    </w:p>
    <w:p w:rsidR="00F1527C" w:rsidRPr="00747C4B" w:rsidRDefault="00F1527C" w:rsidP="009318B4">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bookmarkStart w:id="0" w:name="_GoBack"/>
      <w:bookmarkEnd w:id="0"/>
    </w:p>
    <w:sectPr w:rsidR="009318B4" w:rsidRPr="00747C4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F75" w:rsidRDefault="00EC7F75" w:rsidP="00FF2B5A">
      <w:pPr>
        <w:spacing w:after="0" w:line="240" w:lineRule="auto"/>
      </w:pPr>
      <w:r>
        <w:separator/>
      </w:r>
    </w:p>
  </w:endnote>
  <w:endnote w:type="continuationSeparator" w:id="0">
    <w:p w:rsidR="00EC7F75" w:rsidRDefault="00EC7F7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F03F0">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F03F0">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F75" w:rsidRDefault="00EC7F75" w:rsidP="00FF2B5A">
      <w:pPr>
        <w:spacing w:after="0" w:line="240" w:lineRule="auto"/>
      </w:pPr>
      <w:r>
        <w:separator/>
      </w:r>
    </w:p>
  </w:footnote>
  <w:footnote w:type="continuationSeparator" w:id="0">
    <w:p w:rsidR="00EC7F75" w:rsidRDefault="00EC7F75"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7763C"/>
    <w:multiLevelType w:val="hybridMultilevel"/>
    <w:tmpl w:val="6C16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3523"/>
    <w:rsid w:val="000A724A"/>
    <w:rsid w:val="00116FE6"/>
    <w:rsid w:val="00260A70"/>
    <w:rsid w:val="00461135"/>
    <w:rsid w:val="005F03F0"/>
    <w:rsid w:val="00662B85"/>
    <w:rsid w:val="00747C4B"/>
    <w:rsid w:val="00883AF2"/>
    <w:rsid w:val="008B303D"/>
    <w:rsid w:val="009318B4"/>
    <w:rsid w:val="00934541"/>
    <w:rsid w:val="009C2F99"/>
    <w:rsid w:val="00A06058"/>
    <w:rsid w:val="00AC79CA"/>
    <w:rsid w:val="00B234CE"/>
    <w:rsid w:val="00B34AF2"/>
    <w:rsid w:val="00B35316"/>
    <w:rsid w:val="00C4240B"/>
    <w:rsid w:val="00D45AFE"/>
    <w:rsid w:val="00E0627A"/>
    <w:rsid w:val="00EB2A93"/>
    <w:rsid w:val="00EC7F75"/>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D49C-53DD-4232-8658-D172BCBC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3</cp:revision>
  <dcterms:created xsi:type="dcterms:W3CDTF">2018-09-04T07:00:00Z</dcterms:created>
  <dcterms:modified xsi:type="dcterms:W3CDTF">2018-09-04T07:03:00Z</dcterms:modified>
</cp:coreProperties>
</file>