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tbl>
      <w:tblPr>
        <w:tblW w:w="9360" w:type="dxa"/>
        <w:jc w:val="center"/>
        <w:tblLayout w:type="fixed"/>
        <w:tblLook w:val="0000" w:firstRow="0" w:lastRow="0" w:firstColumn="0" w:lastColumn="0" w:noHBand="0" w:noVBand="0"/>
      </w:tblPr>
      <w:tblGrid>
        <w:gridCol w:w="2160"/>
        <w:gridCol w:w="7200"/>
      </w:tblGrid>
      <w:tr w:rsidR="00877E67" w:rsidRPr="00877E67" w:rsidTr="00877E67">
        <w:trPr>
          <w:trHeight w:val="530"/>
          <w:jc w:val="center"/>
        </w:trPr>
        <w:tc>
          <w:tcPr>
            <w:tcW w:w="9360" w:type="dxa"/>
            <w:gridSpan w:val="2"/>
            <w:vAlign w:val="center"/>
          </w:tcPr>
          <w:p w:rsidR="00877E67" w:rsidRDefault="00877E67" w:rsidP="00877E67">
            <w:pPr>
              <w:spacing w:after="0" w:line="240" w:lineRule="auto"/>
              <w:jc w:val="center"/>
              <w:rPr>
                <w:rFonts w:ascii="Times New Roman" w:eastAsia="Times New Roman" w:hAnsi="Times New Roman" w:cs="Times New Roman"/>
                <w:b/>
                <w:bCs/>
                <w:iCs/>
                <w:noProof/>
                <w:u w:val="single"/>
                <w:lang w:val="sr-Latn-ME"/>
              </w:rPr>
            </w:pPr>
          </w:p>
          <w:p w:rsidR="00877E67" w:rsidRDefault="00877E67" w:rsidP="00877E67">
            <w:pPr>
              <w:spacing w:after="0" w:line="240" w:lineRule="auto"/>
              <w:jc w:val="center"/>
              <w:rPr>
                <w:rFonts w:ascii="Times New Roman" w:eastAsia="Times New Roman" w:hAnsi="Times New Roman" w:cs="Times New Roman"/>
                <w:b/>
                <w:bCs/>
                <w:iCs/>
                <w:noProof/>
                <w:u w:val="single"/>
                <w:lang w:val="sr-Latn-ME"/>
              </w:rPr>
            </w:pPr>
          </w:p>
          <w:p w:rsidR="00877E67" w:rsidRPr="00877E67" w:rsidRDefault="00877E67" w:rsidP="00877E67">
            <w:pPr>
              <w:spacing w:after="0" w:line="240" w:lineRule="auto"/>
              <w:jc w:val="center"/>
              <w:rPr>
                <w:rFonts w:ascii="Times New Roman" w:eastAsia="Times New Roman" w:hAnsi="Times New Roman" w:cs="Times New Roman"/>
                <w:b/>
                <w:bCs/>
                <w:iCs/>
                <w:noProof/>
                <w:u w:val="single"/>
                <w:lang w:val="sr-Latn-ME"/>
              </w:rPr>
            </w:pPr>
            <w:r w:rsidRPr="00877E67">
              <w:rPr>
                <w:rFonts w:ascii="Times New Roman" w:eastAsia="Times New Roman" w:hAnsi="Times New Roman" w:cs="Times New Roman"/>
                <w:b/>
                <w:bCs/>
                <w:iCs/>
                <w:noProof/>
                <w:u w:val="single"/>
                <w:lang w:val="sr-Latn-ME"/>
              </w:rPr>
              <w:t>SAŽETAK KARAKTERISTIKA LIJEKA</w:t>
            </w:r>
          </w:p>
        </w:tc>
      </w:tr>
      <w:tr w:rsidR="00877E67" w:rsidRPr="00877E67" w:rsidTr="00877E67">
        <w:trPr>
          <w:trHeight w:val="1969"/>
          <w:jc w:val="center"/>
        </w:trPr>
        <w:tc>
          <w:tcPr>
            <w:tcW w:w="9360" w:type="dxa"/>
            <w:gridSpan w:val="2"/>
          </w:tcPr>
          <w:p w:rsidR="00877E67" w:rsidRDefault="00877E67" w:rsidP="00877E67">
            <w:pPr>
              <w:spacing w:after="40" w:line="240" w:lineRule="auto"/>
              <w:jc w:val="center"/>
              <w:rPr>
                <w:rFonts w:ascii="Times New Roman" w:eastAsia="Times New Roman" w:hAnsi="Times New Roman" w:cs="Times New Roman"/>
                <w:b/>
                <w:bCs/>
                <w:noProof/>
                <w:lang w:val="sr-Latn-ME"/>
              </w:rPr>
            </w:pPr>
          </w:p>
          <w:p w:rsidR="00877E67" w:rsidRDefault="00877E67" w:rsidP="00877E67">
            <w:pPr>
              <w:spacing w:after="40" w:line="240" w:lineRule="auto"/>
              <w:jc w:val="center"/>
              <w:rPr>
                <w:rFonts w:ascii="Times New Roman" w:eastAsia="Times New Roman" w:hAnsi="Times New Roman" w:cs="Times New Roman"/>
                <w:b/>
                <w:bCs/>
                <w:noProof/>
                <w:lang w:val="sr-Latn-ME"/>
              </w:rPr>
            </w:pPr>
          </w:p>
          <w:p w:rsidR="00877E67" w:rsidRDefault="00877E67" w:rsidP="00877E67">
            <w:pPr>
              <w:spacing w:after="40" w:line="240" w:lineRule="auto"/>
              <w:jc w:val="center"/>
              <w:rPr>
                <w:rFonts w:ascii="Times New Roman" w:eastAsia="Times New Roman" w:hAnsi="Times New Roman" w:cs="Times New Roman"/>
                <w:b/>
                <w:bCs/>
                <w:noProof/>
                <w:lang w:val="sr-Latn-ME"/>
              </w:rPr>
            </w:pPr>
          </w:p>
          <w:p w:rsidR="00877E67" w:rsidRPr="00877E67" w:rsidRDefault="00877E67" w:rsidP="00877E67">
            <w:pPr>
              <w:spacing w:after="40" w:line="240" w:lineRule="auto"/>
              <w:jc w:val="center"/>
              <w:rPr>
                <w:rFonts w:ascii="Times New Roman" w:eastAsia="Times New Roman" w:hAnsi="Times New Roman" w:cs="Times New Roman"/>
                <w:bCs/>
                <w:noProof/>
                <w:lang w:val="sr-Latn-ME"/>
              </w:rPr>
            </w:pPr>
            <w:r w:rsidRPr="00877E67">
              <w:rPr>
                <w:rFonts w:ascii="Times New Roman" w:eastAsia="Times New Roman" w:hAnsi="Times New Roman" w:cs="Times New Roman"/>
                <w:b/>
                <w:bCs/>
                <w:noProof/>
                <w:lang w:val="sr-Latn-ME"/>
              </w:rPr>
              <w:t>Tobrex</w:t>
            </w:r>
            <w:r w:rsidRPr="00877E67">
              <w:rPr>
                <w:rFonts w:ascii="Times New Roman" w:eastAsia="Times New Roman" w:hAnsi="Times New Roman" w:cs="Times New Roman"/>
                <w:bCs/>
                <w:noProof/>
                <w:lang w:val="sr-Latn-ME"/>
              </w:rPr>
              <w:t>, kapi za oči, rastvor, 3 mg/ml,</w:t>
            </w:r>
          </w:p>
          <w:p w:rsidR="00877E67" w:rsidRPr="00877E67" w:rsidRDefault="00877E67" w:rsidP="00877E67">
            <w:pPr>
              <w:spacing w:after="40" w:line="240" w:lineRule="auto"/>
              <w:jc w:val="center"/>
              <w:rPr>
                <w:rFonts w:ascii="Times New Roman" w:eastAsia="Times New Roman" w:hAnsi="Times New Roman" w:cs="Times New Roman"/>
                <w:b/>
                <w:bCs/>
                <w:noProof/>
                <w:lang w:val="sr-Latn-ME"/>
              </w:rPr>
            </w:pPr>
            <w:r w:rsidRPr="00877E67">
              <w:rPr>
                <w:rFonts w:ascii="Times New Roman" w:eastAsia="Times New Roman" w:hAnsi="Times New Roman" w:cs="Times New Roman"/>
                <w:bCs/>
                <w:noProof/>
                <w:lang w:val="sr-Latn-ME"/>
              </w:rPr>
              <w:t>bočica sa kapaljkom, 1x5 ml</w:t>
            </w:r>
          </w:p>
        </w:tc>
      </w:tr>
      <w:tr w:rsidR="00877E67" w:rsidRPr="00877E67" w:rsidTr="00877E67">
        <w:trPr>
          <w:trHeight w:val="599"/>
          <w:jc w:val="center"/>
        </w:trPr>
        <w:tc>
          <w:tcPr>
            <w:tcW w:w="9360" w:type="dxa"/>
            <w:gridSpan w:val="2"/>
          </w:tcPr>
          <w:p w:rsidR="00877E67" w:rsidRDefault="00877E67" w:rsidP="00877E67">
            <w:pPr>
              <w:keepNext/>
              <w:tabs>
                <w:tab w:val="left" w:pos="284"/>
              </w:tabs>
              <w:spacing w:after="0" w:line="240" w:lineRule="auto"/>
              <w:jc w:val="center"/>
              <w:outlineLvl w:val="1"/>
              <w:rPr>
                <w:rFonts w:ascii="Times New Roman" w:eastAsia="Times New Roman" w:hAnsi="Times New Roman" w:cs="Times New Roman"/>
                <w:i/>
                <w:iCs/>
                <w:noProof/>
                <w:color w:val="808080"/>
                <w:lang w:val="sr-Latn-ME"/>
              </w:rPr>
            </w:pPr>
          </w:p>
          <w:p w:rsidR="00877E67" w:rsidRDefault="00877E67" w:rsidP="00877E67">
            <w:pPr>
              <w:keepNext/>
              <w:tabs>
                <w:tab w:val="left" w:pos="284"/>
              </w:tabs>
              <w:spacing w:after="0" w:line="240" w:lineRule="auto"/>
              <w:jc w:val="center"/>
              <w:outlineLvl w:val="1"/>
              <w:rPr>
                <w:rFonts w:ascii="Times New Roman" w:eastAsia="Times New Roman" w:hAnsi="Times New Roman" w:cs="Times New Roman"/>
                <w:i/>
                <w:iCs/>
                <w:noProof/>
                <w:color w:val="808080"/>
                <w:lang w:val="sr-Latn-ME"/>
              </w:rPr>
            </w:pPr>
          </w:p>
          <w:p w:rsidR="00877E67" w:rsidRDefault="00877E67" w:rsidP="00877E67">
            <w:pPr>
              <w:keepNext/>
              <w:tabs>
                <w:tab w:val="left" w:pos="284"/>
              </w:tabs>
              <w:spacing w:after="0" w:line="240" w:lineRule="auto"/>
              <w:jc w:val="center"/>
              <w:outlineLvl w:val="1"/>
              <w:rPr>
                <w:rFonts w:ascii="Times New Roman" w:eastAsia="Times New Roman" w:hAnsi="Times New Roman" w:cs="Times New Roman"/>
                <w:i/>
                <w:iCs/>
                <w:noProof/>
                <w:color w:val="808080"/>
                <w:lang w:val="sr-Latn-ME"/>
              </w:rPr>
            </w:pPr>
          </w:p>
          <w:p w:rsidR="00877E67" w:rsidRDefault="00877E67" w:rsidP="00877E67">
            <w:pPr>
              <w:keepNext/>
              <w:tabs>
                <w:tab w:val="left" w:pos="284"/>
              </w:tabs>
              <w:spacing w:after="0" w:line="240" w:lineRule="auto"/>
              <w:jc w:val="center"/>
              <w:outlineLvl w:val="1"/>
              <w:rPr>
                <w:rFonts w:ascii="Times New Roman" w:eastAsia="Times New Roman" w:hAnsi="Times New Roman" w:cs="Times New Roman"/>
                <w:i/>
                <w:iCs/>
                <w:noProof/>
                <w:color w:val="808080"/>
                <w:lang w:val="sr-Latn-ME"/>
              </w:rPr>
            </w:pPr>
          </w:p>
          <w:p w:rsidR="00877E67" w:rsidRPr="00877E67" w:rsidRDefault="00877E67" w:rsidP="00877E67">
            <w:pPr>
              <w:keepNext/>
              <w:tabs>
                <w:tab w:val="left" w:pos="284"/>
              </w:tabs>
              <w:spacing w:after="0" w:line="240" w:lineRule="auto"/>
              <w:jc w:val="center"/>
              <w:outlineLvl w:val="1"/>
              <w:rPr>
                <w:rFonts w:ascii="Times New Roman" w:eastAsia="Times New Roman" w:hAnsi="Times New Roman" w:cs="Times New Roman"/>
                <w:i/>
                <w:iCs/>
                <w:noProof/>
                <w:color w:val="808080"/>
                <w:lang w:val="sr-Latn-ME"/>
              </w:rPr>
            </w:pPr>
          </w:p>
        </w:tc>
      </w:tr>
      <w:tr w:rsidR="00877E67" w:rsidRPr="00877E67" w:rsidTr="00877E67">
        <w:trPr>
          <w:jc w:val="center"/>
        </w:trPr>
        <w:tc>
          <w:tcPr>
            <w:tcW w:w="2160" w:type="dxa"/>
            <w:vAlign w:val="bottom"/>
          </w:tcPr>
          <w:p w:rsidR="00877E67" w:rsidRPr="00877E67" w:rsidRDefault="00877E67" w:rsidP="00877E67">
            <w:pPr>
              <w:spacing w:before="200" w:after="0" w:line="240" w:lineRule="auto"/>
              <w:jc w:val="right"/>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Proizvođač:</w:t>
            </w:r>
          </w:p>
        </w:tc>
        <w:tc>
          <w:tcPr>
            <w:tcW w:w="7200" w:type="dxa"/>
            <w:vAlign w:val="bottom"/>
          </w:tcPr>
          <w:p w:rsidR="00877E67" w:rsidRPr="00877E67" w:rsidRDefault="00877E67" w:rsidP="00877E67">
            <w:pPr>
              <w:spacing w:before="200" w:after="0" w:line="240" w:lineRule="auto"/>
              <w:ind w:left="72" w:hanging="72"/>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Alcon-Couvreur N.V.</w:t>
            </w:r>
          </w:p>
        </w:tc>
      </w:tr>
      <w:tr w:rsidR="00877E67" w:rsidRPr="00877E67" w:rsidTr="00877E67">
        <w:trPr>
          <w:jc w:val="center"/>
        </w:trPr>
        <w:tc>
          <w:tcPr>
            <w:tcW w:w="2160" w:type="dxa"/>
            <w:vAlign w:val="bottom"/>
          </w:tcPr>
          <w:p w:rsidR="00877E67" w:rsidRPr="00877E67" w:rsidRDefault="00877E67" w:rsidP="00877E67">
            <w:pPr>
              <w:spacing w:before="200" w:after="0" w:line="240" w:lineRule="auto"/>
              <w:jc w:val="right"/>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Adresa:</w:t>
            </w:r>
          </w:p>
        </w:tc>
        <w:tc>
          <w:tcPr>
            <w:tcW w:w="7200" w:type="dxa"/>
            <w:vAlign w:val="bottom"/>
          </w:tcPr>
          <w:p w:rsidR="00877E67" w:rsidRPr="00877E67" w:rsidRDefault="00877E67" w:rsidP="00877E67">
            <w:pPr>
              <w:spacing w:before="200" w:after="0" w:line="240" w:lineRule="auto"/>
              <w:ind w:left="72" w:hanging="72"/>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Rijksweg 14, Puurs, Antwerpen, B-2870, Belgija</w:t>
            </w:r>
          </w:p>
        </w:tc>
      </w:tr>
      <w:tr w:rsidR="00877E67" w:rsidRPr="00877E67" w:rsidTr="00877E67">
        <w:trPr>
          <w:jc w:val="center"/>
        </w:trPr>
        <w:tc>
          <w:tcPr>
            <w:tcW w:w="2160" w:type="dxa"/>
            <w:vAlign w:val="bottom"/>
          </w:tcPr>
          <w:p w:rsidR="00877E67" w:rsidRPr="00877E67" w:rsidRDefault="00877E67" w:rsidP="00877E67">
            <w:pPr>
              <w:spacing w:before="200" w:after="0" w:line="240" w:lineRule="auto"/>
              <w:jc w:val="right"/>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Podnosilac zahtjeva:</w:t>
            </w:r>
          </w:p>
        </w:tc>
        <w:tc>
          <w:tcPr>
            <w:tcW w:w="7200" w:type="dxa"/>
            <w:vAlign w:val="bottom"/>
          </w:tcPr>
          <w:p w:rsidR="00877E67" w:rsidRPr="00877E67" w:rsidRDefault="001D04A0" w:rsidP="00F00240">
            <w:pPr>
              <w:spacing w:before="200" w:after="0" w:line="240" w:lineRule="auto"/>
              <w:ind w:left="72" w:hanging="72"/>
              <w:rPr>
                <w:rFonts w:ascii="Times New Roman" w:eastAsia="Times New Roman" w:hAnsi="Times New Roman" w:cs="Times New Roman"/>
                <w:b/>
                <w:bCs/>
                <w:noProof/>
                <w:lang w:val="sr-Latn-ME"/>
              </w:rPr>
            </w:pPr>
            <w:r w:rsidRPr="001D04A0">
              <w:rPr>
                <w:rFonts w:ascii="Times New Roman" w:eastAsia="Times New Roman" w:hAnsi="Times New Roman" w:cs="Times New Roman"/>
                <w:b/>
                <w:bCs/>
                <w:lang w:val="sr-Latn-CS"/>
              </w:rPr>
              <w:t>“Novartis Pharma Services AG” dio stranog društva Podgorica</w:t>
            </w:r>
          </w:p>
        </w:tc>
      </w:tr>
      <w:tr w:rsidR="00877E67" w:rsidRPr="00877E67" w:rsidTr="00877E67">
        <w:trPr>
          <w:jc w:val="center"/>
        </w:trPr>
        <w:tc>
          <w:tcPr>
            <w:tcW w:w="2160" w:type="dxa"/>
            <w:vAlign w:val="bottom"/>
          </w:tcPr>
          <w:p w:rsidR="00877E67" w:rsidRPr="00877E67" w:rsidRDefault="00877E67" w:rsidP="00877E67">
            <w:pPr>
              <w:spacing w:before="200" w:after="0" w:line="240" w:lineRule="auto"/>
              <w:jc w:val="right"/>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Adresa:</w:t>
            </w:r>
          </w:p>
        </w:tc>
        <w:tc>
          <w:tcPr>
            <w:tcW w:w="7200" w:type="dxa"/>
            <w:vAlign w:val="bottom"/>
          </w:tcPr>
          <w:p w:rsidR="00877E67" w:rsidRPr="00877E67" w:rsidRDefault="001D04A0" w:rsidP="00877E67">
            <w:pPr>
              <w:spacing w:before="200" w:after="0" w:line="240" w:lineRule="auto"/>
              <w:ind w:left="72" w:hanging="72"/>
              <w:rPr>
                <w:rFonts w:ascii="Times New Roman" w:eastAsia="Times New Roman" w:hAnsi="Times New Roman" w:cs="Times New Roman"/>
                <w:b/>
                <w:bCs/>
                <w:noProof/>
                <w:lang w:val="sr-Latn-ME"/>
              </w:rPr>
            </w:pPr>
            <w:r w:rsidRPr="001D04A0">
              <w:rPr>
                <w:rFonts w:ascii="Times New Roman" w:eastAsia="Times New Roman" w:hAnsi="Times New Roman" w:cs="Times New Roman"/>
                <w:b/>
                <w:bCs/>
                <w:noProof/>
                <w:lang w:val="sr-Latn-ME"/>
              </w:rPr>
              <w:t>ul. Svetlane Kane Radević 3, 81000 Podgorica, Crna Gora</w:t>
            </w:r>
          </w:p>
        </w:tc>
      </w:tr>
    </w:tbl>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b/>
          <w:bCs/>
          <w:i/>
          <w:iCs/>
          <w:noProof/>
          <w:u w:val="single"/>
          <w:lang w:val="sr-Latn-ME"/>
        </w:rPr>
      </w:pPr>
    </w:p>
    <w:p w:rsidR="00877E67" w:rsidRPr="00877E67" w:rsidRDefault="00877E67" w:rsidP="00877E67">
      <w:pPr>
        <w:spacing w:after="0" w:line="240" w:lineRule="auto"/>
        <w:rPr>
          <w:rFonts w:ascii="Times New Roman" w:eastAsia="Times New Roman" w:hAnsi="Times New Roman" w:cs="Times New Roman"/>
          <w:noProof/>
          <w:color w:val="808080"/>
          <w:lang w:val="sr-Latn-ME"/>
        </w:rPr>
      </w:pPr>
    </w:p>
    <w:p w:rsidR="00877E67" w:rsidRPr="00877E67" w:rsidRDefault="00877E67" w:rsidP="00877E67">
      <w:pPr>
        <w:spacing w:after="0" w:line="240" w:lineRule="auto"/>
        <w:rPr>
          <w:rFonts w:ascii="Times New Roman" w:eastAsia="Times New Roman" w:hAnsi="Times New Roman" w:cs="Times New Roman"/>
          <w:i/>
          <w:noProof/>
          <w:color w:val="808080"/>
          <w:lang w:val="sr-Latn-ME"/>
        </w:rPr>
      </w:pPr>
    </w:p>
    <w:p w:rsidR="00877E67" w:rsidRPr="00877E67" w:rsidRDefault="00877E67" w:rsidP="00877E67">
      <w:pPr>
        <w:spacing w:after="0" w:line="240" w:lineRule="auto"/>
        <w:rPr>
          <w:rFonts w:ascii="Times New Roman" w:eastAsia="Times New Roman" w:hAnsi="Times New Roman" w:cs="Times New Roman"/>
          <w:i/>
          <w:noProof/>
          <w:color w:val="808080"/>
          <w:lang w:val="sr-Latn-ME"/>
        </w:rPr>
      </w:pPr>
    </w:p>
    <w:p w:rsidR="00877E67" w:rsidRPr="00877E67" w:rsidRDefault="00877E67" w:rsidP="00877E67">
      <w:pPr>
        <w:spacing w:after="0" w:line="240" w:lineRule="auto"/>
        <w:rPr>
          <w:rFonts w:ascii="Times New Roman" w:eastAsia="Times New Roman" w:hAnsi="Times New Roman" w:cs="Times New Roman"/>
          <w:i/>
          <w:noProof/>
          <w:color w:val="808080"/>
          <w:lang w:val="sr-Latn-ME"/>
        </w:rPr>
      </w:pPr>
    </w:p>
    <w:p w:rsidR="00877E67" w:rsidRPr="00877E67" w:rsidRDefault="00877E67" w:rsidP="00877E67">
      <w:pPr>
        <w:spacing w:after="0" w:line="240" w:lineRule="auto"/>
        <w:rPr>
          <w:rFonts w:ascii="Times New Roman" w:eastAsia="Times New Roman" w:hAnsi="Times New Roman" w:cs="Times New Roman"/>
          <w:i/>
          <w:noProof/>
          <w:color w:val="808080"/>
          <w:lang w:val="sr-Latn-ME"/>
        </w:rPr>
      </w:pPr>
    </w:p>
    <w:p w:rsidR="00877E67" w:rsidRPr="00877E67" w:rsidRDefault="00877E67" w:rsidP="00877E67">
      <w:pPr>
        <w:spacing w:after="0" w:line="240" w:lineRule="auto"/>
        <w:rPr>
          <w:rFonts w:ascii="Times New Roman" w:eastAsia="Times New Roman" w:hAnsi="Times New Roman" w:cs="Times New Roman"/>
          <w:i/>
          <w:noProof/>
          <w:color w:val="808080"/>
          <w:lang w:val="sr-Latn-ME"/>
        </w:rPr>
      </w:pPr>
    </w:p>
    <w:p w:rsidR="00877E67" w:rsidRPr="00877E67" w:rsidRDefault="00877E67" w:rsidP="00877E67">
      <w:pPr>
        <w:spacing w:after="0" w:line="240" w:lineRule="auto"/>
        <w:rPr>
          <w:rFonts w:ascii="Times New Roman" w:eastAsia="Times New Roman" w:hAnsi="Times New Roman" w:cs="Times New Roman"/>
          <w:i/>
          <w:noProof/>
          <w:color w:val="808080"/>
          <w:lang w:val="sr-Latn-ME"/>
        </w:rPr>
      </w:pPr>
    </w:p>
    <w:p w:rsidR="00877E67" w:rsidRDefault="00877E67" w:rsidP="00877E67">
      <w:pPr>
        <w:spacing w:after="0" w:line="240" w:lineRule="auto"/>
        <w:rPr>
          <w:rFonts w:ascii="Times New Roman" w:eastAsia="Times New Roman" w:hAnsi="Times New Roman" w:cs="Times New Roman"/>
          <w:noProof/>
          <w:color w:val="808080"/>
          <w:lang w:val="sr-Latn-ME"/>
        </w:rPr>
      </w:pPr>
    </w:p>
    <w:p w:rsidR="00877E67" w:rsidRDefault="00877E67" w:rsidP="00877E67">
      <w:pPr>
        <w:spacing w:after="0" w:line="240" w:lineRule="auto"/>
        <w:rPr>
          <w:rFonts w:ascii="Times New Roman" w:eastAsia="Times New Roman" w:hAnsi="Times New Roman" w:cs="Times New Roman"/>
          <w:noProof/>
          <w:color w:val="808080"/>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lastRenderedPageBreak/>
        <w:t>1.</w:t>
      </w:r>
      <w:r w:rsidRPr="00877E67">
        <w:rPr>
          <w:rFonts w:ascii="Times New Roman" w:eastAsia="Times New Roman" w:hAnsi="Times New Roman" w:cs="Times New Roman"/>
          <w:b/>
          <w:bCs/>
          <w:noProof/>
          <w:lang w:val="sr-Latn-ME"/>
        </w:rPr>
        <w:tab/>
        <w:t>NAZIV LIJEKA</w:t>
      </w:r>
    </w:p>
    <w:p w:rsidR="00877E67" w:rsidRPr="00877E67" w:rsidRDefault="00877E67" w:rsidP="00877E67">
      <w:pPr>
        <w:spacing w:after="0" w:line="240" w:lineRule="auto"/>
        <w:jc w:val="both"/>
        <w:rPr>
          <w:rFonts w:ascii="Times New Roman" w:eastAsia="Times New Roman" w:hAnsi="Times New Roman" w:cs="Times New Roman"/>
          <w:noProof/>
          <w:lang w:val="sr-Latn-ME"/>
        </w:rPr>
      </w:pPr>
    </w:p>
    <w:p w:rsidR="00877E67" w:rsidRPr="00877E67" w:rsidRDefault="00877E67" w:rsidP="00877E67">
      <w:pPr>
        <w:spacing w:after="0" w:line="240" w:lineRule="auto"/>
        <w:jc w:val="both"/>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Tobrex, 3 mg/ml, kapi za oči, rastvor</w:t>
      </w:r>
    </w:p>
    <w:p w:rsidR="00877E67" w:rsidRPr="00877E67" w:rsidRDefault="00877E67" w:rsidP="00877E67">
      <w:pPr>
        <w:spacing w:after="0" w:line="240" w:lineRule="auto"/>
        <w:jc w:val="both"/>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INN: tobramicin</w:t>
      </w:r>
    </w:p>
    <w:p w:rsidR="00877E67" w:rsidRPr="00877E67" w:rsidRDefault="00877E67" w:rsidP="00877E67">
      <w:pPr>
        <w:spacing w:after="0" w:line="240" w:lineRule="auto"/>
        <w:jc w:val="both"/>
        <w:rPr>
          <w:rFonts w:ascii="Times New Roman" w:eastAsia="Times New Roman" w:hAnsi="Times New Roman" w:cs="Times New Roman"/>
          <w:bCs/>
          <w:noProof/>
          <w:lang w:val="sr-Latn-ME"/>
        </w:rPr>
      </w:pPr>
    </w:p>
    <w:p w:rsidR="00877E67" w:rsidRPr="00877E67" w:rsidRDefault="00877E67" w:rsidP="00877E67">
      <w:pPr>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2. </w:t>
      </w:r>
      <w:r w:rsidRPr="00877E67">
        <w:rPr>
          <w:rFonts w:ascii="Times New Roman" w:eastAsia="Times New Roman" w:hAnsi="Times New Roman" w:cs="Times New Roman"/>
          <w:b/>
          <w:bCs/>
          <w:noProof/>
          <w:lang w:val="sr-Latn-ME"/>
        </w:rPr>
        <w:tab/>
        <w:t>KVALITATIVNI I KVANTITATIVNI SASTAV</w:t>
      </w:r>
    </w:p>
    <w:p w:rsidR="00877E67" w:rsidRPr="00877E67" w:rsidRDefault="00877E67" w:rsidP="00877E67">
      <w:pPr>
        <w:spacing w:after="0" w:line="240" w:lineRule="auto"/>
        <w:jc w:val="both"/>
        <w:rPr>
          <w:rFonts w:ascii="Times New Roman" w:eastAsia="Times New Roman" w:hAnsi="Times New Roman" w:cs="Times New Roman"/>
          <w:noProof/>
          <w:sz w:val="24"/>
          <w:szCs w:val="24"/>
          <w:lang w:val="sr-Latn-ME"/>
        </w:rPr>
      </w:pPr>
    </w:p>
    <w:p w:rsidR="00877E67" w:rsidRPr="00877E67" w:rsidRDefault="00877E67" w:rsidP="00877E67">
      <w:pPr>
        <w:spacing w:after="0" w:line="240" w:lineRule="auto"/>
        <w:jc w:val="both"/>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1 ml rastvora sadrži 3 mg tobramicina.</w:t>
      </w:r>
    </w:p>
    <w:p w:rsidR="00877E67" w:rsidRPr="00877E67" w:rsidRDefault="00877E67" w:rsidP="00877E67">
      <w:pPr>
        <w:spacing w:after="0" w:line="240" w:lineRule="auto"/>
        <w:jc w:val="both"/>
        <w:rPr>
          <w:rFonts w:ascii="Times New Roman" w:eastAsia="Times New Roman" w:hAnsi="Times New Roman" w:cs="Times New Roman"/>
          <w:noProof/>
          <w:lang w:val="sr-Latn-ME"/>
        </w:rPr>
      </w:pPr>
    </w:p>
    <w:p w:rsidR="00877E67" w:rsidRPr="00877E67" w:rsidRDefault="00877E67" w:rsidP="00877E67">
      <w:pPr>
        <w:spacing w:after="0" w:line="240" w:lineRule="auto"/>
        <w:jc w:val="both"/>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Pomoćne supstance: 1 ml rastvora sadrži 0.1 mg benzalkonijum hlorida (konzervans).</w:t>
      </w:r>
    </w:p>
    <w:p w:rsidR="00877E67" w:rsidRPr="00877E67" w:rsidRDefault="00877E67" w:rsidP="00877E67">
      <w:pPr>
        <w:spacing w:after="0" w:line="240" w:lineRule="auto"/>
        <w:jc w:val="both"/>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Za sve pomoćne supstance vidjeti dio 6.1.</w:t>
      </w:r>
    </w:p>
    <w:p w:rsidR="00877E67" w:rsidRPr="00877E67" w:rsidRDefault="00877E67" w:rsidP="00877E67">
      <w:pPr>
        <w:spacing w:after="0" w:line="240" w:lineRule="auto"/>
        <w:jc w:val="both"/>
        <w:rPr>
          <w:rFonts w:ascii="Times New Roman" w:eastAsia="Times New Roman" w:hAnsi="Times New Roman" w:cs="Times New Roman"/>
          <w:noProof/>
          <w:sz w:val="24"/>
          <w:szCs w:val="24"/>
          <w:lang w:val="sr-Latn-ME"/>
        </w:rPr>
      </w:pPr>
    </w:p>
    <w:p w:rsidR="00877E67" w:rsidRPr="00877E67" w:rsidRDefault="00877E67" w:rsidP="00877E67">
      <w:pPr>
        <w:spacing w:after="0" w:line="240" w:lineRule="auto"/>
        <w:jc w:val="both"/>
        <w:rPr>
          <w:rFonts w:ascii="Times New Roman" w:eastAsia="Times New Roman" w:hAnsi="Times New Roman" w:cs="Times New Roman"/>
          <w:noProof/>
          <w:sz w:val="24"/>
          <w:szCs w:val="24"/>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3. </w:t>
      </w:r>
      <w:r w:rsidRPr="00877E67">
        <w:rPr>
          <w:rFonts w:ascii="Times New Roman" w:eastAsia="Times New Roman" w:hAnsi="Times New Roman" w:cs="Times New Roman"/>
          <w:b/>
          <w:bCs/>
          <w:noProof/>
          <w:lang w:val="sr-Latn-ME"/>
        </w:rPr>
        <w:tab/>
        <w:t>FARMACEUTSKI OBLIK</w:t>
      </w:r>
    </w:p>
    <w:p w:rsidR="00877E67" w:rsidRPr="00877E67" w:rsidRDefault="00877E67" w:rsidP="00877E67">
      <w:pPr>
        <w:spacing w:after="0" w:line="240" w:lineRule="auto"/>
        <w:jc w:val="both"/>
        <w:rPr>
          <w:rFonts w:ascii="Times New Roman" w:eastAsia="Times New Roman" w:hAnsi="Times New Roman" w:cs="Times New Roman"/>
          <w:bCs/>
          <w:noProof/>
          <w:lang w:val="sr-Latn-ME"/>
        </w:rPr>
      </w:pPr>
    </w:p>
    <w:p w:rsidR="00877E67" w:rsidRPr="00877E67" w:rsidRDefault="00877E67" w:rsidP="00877E67">
      <w:pPr>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Kapi za oči, rastvor</w:t>
      </w:r>
    </w:p>
    <w:p w:rsidR="00877E67" w:rsidRPr="00877E67" w:rsidRDefault="00877E67" w:rsidP="00877E67">
      <w:pPr>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Lijek Tobrex je bistar, bezbojan do slabo žuti ili slabo braon rastvor, bez mehaničkih onečišćenja.</w:t>
      </w:r>
    </w:p>
    <w:p w:rsidR="00877E67" w:rsidRPr="00877E67" w:rsidRDefault="00877E67" w:rsidP="00877E67">
      <w:pPr>
        <w:spacing w:after="0" w:line="240" w:lineRule="auto"/>
        <w:jc w:val="both"/>
        <w:rPr>
          <w:rFonts w:ascii="Times New Roman" w:eastAsia="Times New Roman" w:hAnsi="Times New Roman" w:cs="Times New Roman"/>
          <w:bCs/>
          <w:noProof/>
          <w:lang w:val="sr-Latn-ME"/>
        </w:rPr>
      </w:pPr>
    </w:p>
    <w:p w:rsidR="00877E67" w:rsidRPr="00877E67" w:rsidRDefault="00877E67" w:rsidP="00877E67">
      <w:pPr>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 </w:t>
      </w:r>
      <w:r w:rsidRPr="00877E67">
        <w:rPr>
          <w:rFonts w:ascii="Times New Roman" w:eastAsia="Times New Roman" w:hAnsi="Times New Roman" w:cs="Times New Roman"/>
          <w:b/>
          <w:bCs/>
          <w:noProof/>
          <w:lang w:val="sr-Latn-ME"/>
        </w:rPr>
        <w:tab/>
        <w:t>KLINIČKI PODACI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4.1. </w:t>
      </w:r>
      <w:r w:rsidRPr="00877E67">
        <w:rPr>
          <w:rFonts w:ascii="Times New Roman" w:eastAsia="Times New Roman" w:hAnsi="Times New Roman" w:cs="Times New Roman"/>
          <w:b/>
          <w:bCs/>
          <w:noProof/>
          <w:lang w:val="sr-Latn-ME"/>
        </w:rPr>
        <w:tab/>
        <w:t>Terapijske indikacije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Lijek Tobrex se upotrebljava za liječenje spoljašnjih infekcija oka, kao što je konjunktivitis, izazvan bakterijama osjetljivim na tobramicin, kod odraslih i djece uzrasta 1 godine i starije.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4.2. </w:t>
      </w:r>
      <w:r w:rsidRPr="00877E67">
        <w:rPr>
          <w:rFonts w:ascii="Times New Roman" w:eastAsia="Times New Roman" w:hAnsi="Times New Roman" w:cs="Times New Roman"/>
          <w:b/>
          <w:bCs/>
          <w:noProof/>
          <w:lang w:val="sr-Latn-ME"/>
        </w:rPr>
        <w:tab/>
        <w:t>Doziranje i način primjene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Preporučena doza je 1 kap lijeka Tobrex u konjunktivalnu kesicu dva puta na dan (ujutro i uveče) tokom 7</w:t>
      </w:r>
      <w:r w:rsidRPr="00877E67">
        <w:rPr>
          <w:rFonts w:ascii="Times New Roman" w:eastAsia="Times New Roman" w:hAnsi="Times New Roman" w:cs="Times New Roman"/>
          <w:bCs/>
          <w:noProof/>
          <w:u w:val="single"/>
          <w:lang w:val="sr-Latn-ME"/>
        </w:rPr>
        <w:t>+</w:t>
      </w:r>
      <w:r w:rsidRPr="00877E67">
        <w:rPr>
          <w:rFonts w:ascii="Times New Roman" w:eastAsia="Times New Roman" w:hAnsi="Times New Roman" w:cs="Times New Roman"/>
          <w:bCs/>
          <w:noProof/>
          <w:lang w:val="sr-Latn-ME"/>
        </w:rPr>
        <w:t>1 dana. Kod težih oboljenja oka: 4 puta na dan tokom prvog dana upotrebe. Nakon prvog dana, 1 kap u svako oko dva puta na dan, do završetka ukupnog trajanja liječenja od 7</w:t>
      </w:r>
      <w:r w:rsidRPr="00877E67">
        <w:rPr>
          <w:rFonts w:ascii="Times New Roman" w:eastAsia="Times New Roman" w:hAnsi="Times New Roman" w:cs="Times New Roman"/>
          <w:bCs/>
          <w:noProof/>
          <w:u w:val="single"/>
          <w:lang w:val="sr-Latn-ME"/>
        </w:rPr>
        <w:t>+</w:t>
      </w:r>
      <w:r w:rsidRPr="00877E67">
        <w:rPr>
          <w:rFonts w:ascii="Times New Roman" w:eastAsia="Times New Roman" w:hAnsi="Times New Roman" w:cs="Times New Roman"/>
          <w:bCs/>
          <w:noProof/>
          <w:lang w:val="sr-Latn-ME"/>
        </w:rPr>
        <w:t>1 dana.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Način primjene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Za okularnu upotrebu.</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Savjetuje se nježno zatvaranje očnog kapka i okluzija nazolakrimalnog kanala nakon ukapavanja lijeka. Ovim može da se smanji sistemska resorpcija medicinskih proizvoda primijenjenih okularnim putem, kao i sistemska neželjena dejstva.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Kako bi se spriječila kontaminacija kapaljke i samog rastvora, mora se paziti da se ne dodirnu kapci, okolna tkiva ili bilo koje druge površine. Čuvati bočicu čvrsto zatvorenu kada nije u upotrebi.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Nakon uklanjanja poklopca, ako je zaštitni prsten olabavljen, uklonite ga prije upotrebe lijeka.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lastRenderedPageBreak/>
        <w:t>U slučaju istovremene terapije sa drugim topikalnim ljekovima za oči, neophodan je interval od 5 do 10 minuta između dvije sukcesivne aplikacije ljekova.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Upotreba kod starijih</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Nije potrebno prilagođavanje doziranja kod starijih pacijenata.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Upotreba u pedijatrijskoj populaciji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Lijek Tobrex, kapi za oči, može da se koristi kod djece uzrasta od 1 godine i starijih u istim dozama kao i kod odraslih. Bezbjednost upotrebe i efikasnost kod djece mlađe od 1 godine nijesu potvrđeni i nema dostupnih podataka.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Upotreba kod pacijenata sa oštećenom funkcijom jetre i bubrega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Okularna upotreba tobramicina daje vrlo slabe sistemske efekte. U slučaju istovremene sistemske terapije aminoglikozidnim antibioticima, moraju se pratiti serumske koncentracije lijeka, radi postizanja adekvatnog terapijskog odgovora.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4.3. </w:t>
      </w:r>
      <w:r w:rsidRPr="00877E67">
        <w:rPr>
          <w:rFonts w:ascii="Times New Roman" w:eastAsia="Times New Roman" w:hAnsi="Times New Roman" w:cs="Times New Roman"/>
          <w:b/>
          <w:bCs/>
          <w:noProof/>
          <w:lang w:val="sr-Latn-ME"/>
        </w:rPr>
        <w:tab/>
        <w:t>Kontraindikacije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Preosjetljivost na tobramicin, bilo koje druge aminoglikozide ili bilo koji od sastojaka lijeka naveden u odjeljku 6.1.</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4.4. </w:t>
      </w:r>
      <w:r w:rsidRPr="00877E67">
        <w:rPr>
          <w:rFonts w:ascii="Times New Roman" w:eastAsia="Times New Roman" w:hAnsi="Times New Roman" w:cs="Times New Roman"/>
          <w:b/>
          <w:bCs/>
          <w:noProof/>
          <w:lang w:val="sr-Latn-ME"/>
        </w:rPr>
        <w:tab/>
        <w:t>Posebna upozorenja i mjere opreza pri upotrebi lijeka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Isključivo za okularnu upotrebu. Nije za injekciju ni ingestiju.</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it-IT"/>
        </w:rPr>
      </w:pPr>
      <w:r w:rsidRPr="00877E67">
        <w:rPr>
          <w:rFonts w:ascii="Times New Roman" w:eastAsia="Times New Roman" w:hAnsi="Times New Roman" w:cs="Times New Roman"/>
          <w:bCs/>
          <w:noProof/>
          <w:lang w:val="it-IT"/>
        </w:rPr>
        <w:t>Kod</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nekih</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pacijenata</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mo</w:t>
      </w:r>
      <w:r w:rsidRPr="00877E67">
        <w:rPr>
          <w:rFonts w:ascii="Times New Roman" w:eastAsia="Times New Roman" w:hAnsi="Times New Roman" w:cs="Times New Roman"/>
          <w:bCs/>
          <w:noProof/>
          <w:lang w:val="sr-Latn-ME"/>
        </w:rPr>
        <w:t>ž</w:t>
      </w:r>
      <w:r w:rsidRPr="00877E67">
        <w:rPr>
          <w:rFonts w:ascii="Times New Roman" w:eastAsia="Times New Roman" w:hAnsi="Times New Roman" w:cs="Times New Roman"/>
          <w:bCs/>
          <w:noProof/>
          <w:lang w:val="it-IT"/>
        </w:rPr>
        <w:t>e</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da</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se</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javi</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osjetljivost</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na</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topikalno</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primijenjene</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aminoglikozide</w:t>
      </w:r>
      <w:r w:rsidRPr="00877E67">
        <w:rPr>
          <w:rFonts w:ascii="Times New Roman" w:eastAsia="Times New Roman" w:hAnsi="Times New Roman" w:cs="Times New Roman"/>
          <w:bCs/>
          <w:noProof/>
          <w:lang w:val="sr-Latn-ME"/>
        </w:rPr>
        <w:t xml:space="preserve">. </w:t>
      </w:r>
      <w:r w:rsidRPr="00877E67">
        <w:rPr>
          <w:rFonts w:ascii="Times New Roman" w:eastAsia="Times New Roman" w:hAnsi="Times New Roman" w:cs="Times New Roman"/>
          <w:bCs/>
          <w:noProof/>
          <w:lang w:val="it-IT"/>
        </w:rPr>
        <w:t>Ukoliko se reakcija osjetljivosti javi, primjena lijeka mora da se obustavi.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it-IT"/>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it-IT"/>
        </w:rPr>
      </w:pPr>
      <w:r w:rsidRPr="00877E67">
        <w:rPr>
          <w:rFonts w:ascii="Times New Roman" w:eastAsia="Times New Roman" w:hAnsi="Times New Roman" w:cs="Times New Roman"/>
          <w:bCs/>
          <w:noProof/>
          <w:lang w:val="it-IT"/>
        </w:rPr>
        <w:t>Može se javiti ukrštena hipersenzitivnost na druge aminoglikozide. Treba razmotriti mogućnost da pacijenti koji su osjetljivi na topikalnu primjenu tobramicina, mogu razviti osjetljivost i na druge topikalne i/ili sistemske aminoglikozide.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it-IT"/>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it-IT"/>
        </w:rPr>
      </w:pPr>
      <w:r w:rsidRPr="00877E67">
        <w:rPr>
          <w:rFonts w:ascii="Times New Roman" w:eastAsia="Times New Roman" w:hAnsi="Times New Roman" w:cs="Times New Roman"/>
          <w:bCs/>
          <w:noProof/>
          <w:lang w:val="it-IT"/>
        </w:rPr>
        <w:t>Kod pacijenata koji su primali sistemski tobramicin javila su se ozbiljna neželjena dejstva, uključujući neurotoksičnost, ototoksičnost i nefrotoksičnost. Savjetuje se oprez kada se koristi istovremeno sa aminoglikozidima.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it-IT"/>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it-IT"/>
        </w:rPr>
      </w:pPr>
      <w:r w:rsidRPr="00877E67">
        <w:rPr>
          <w:rFonts w:ascii="Times New Roman" w:eastAsia="Times New Roman" w:hAnsi="Times New Roman" w:cs="Times New Roman"/>
          <w:bCs/>
          <w:noProof/>
          <w:lang w:val="it-IT"/>
        </w:rPr>
        <w:t>Kao i kod svih antibiotika, produžena upotreba lijeka Tobrex može da dovede do pretjeranog razmnožavanja neosjetljivih organizama, uključujući gljivice. Ukoliko dođe do superinfekcije, neophodno je započeti odgovarajuću terapiju.</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Ne preporučuje se nošenje kontaktnih sočiva tokom liječenja okularnih infekcija, o čemu treba posavjetovati pacijenta.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Rastvor Tobrex, kapi za oči, sadrži konzervans benzalkonijum hlorid, koji može da izazove iritaciju očiju i može da obezboji meka kontaktna sočiva u boji. Treba izbjegavati kontakt sa mekim kontaktnim sočivima. Prema tome, pacijentima se savjetuje da obavezno skinu kontaktna sočiva prije primjene lijeka Tobrex, i da sačekaju najmanje 15 minuta nakon ukapavanja lijeka Tobrex prije stavljanja sočiva.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lastRenderedPageBreak/>
        <w:t xml:space="preserve">4.5. </w:t>
      </w:r>
      <w:r w:rsidRPr="00877E67">
        <w:rPr>
          <w:rFonts w:ascii="Times New Roman" w:eastAsia="Times New Roman" w:hAnsi="Times New Roman" w:cs="Times New Roman"/>
          <w:b/>
          <w:bCs/>
          <w:noProof/>
          <w:lang w:val="sr-Latn-ME"/>
        </w:rPr>
        <w:tab/>
        <w:t>Interakcije sa drugim ljekovima i druge vrste interakcija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Nisu rađene ciljane studije interakcija sa lijekom Tobrex.</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Topikalni kortikosteroidi, kada se koriste u kombinaciji sa tobramicinom 3 mg/ml, mogu maskirati kliničke znake bakterijske, gljivične ili virusne infekcije i mogu prikriti reakciju preosjetljivosti.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U slučaju istovremene terapije sa drugim topikalnim ljekovima za oči, neophodan je interval od najmanje 5 minuta između dvije sukcesivne aplikacije ljekova. Masti za oči se upotrebljavaju posljednje.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4.6. </w:t>
      </w:r>
      <w:r w:rsidRPr="00877E67">
        <w:rPr>
          <w:rFonts w:ascii="Times New Roman" w:eastAsia="Times New Roman" w:hAnsi="Times New Roman" w:cs="Times New Roman"/>
          <w:b/>
          <w:bCs/>
          <w:noProof/>
          <w:lang w:val="sr-Latn-ME"/>
        </w:rPr>
        <w:tab/>
        <w:t>Primjena u periodu trudnoće i dojenja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Fertilitet</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Nisu sprovedene studije na osnovu kojih bi se vršila procjena efekta topikalne okularne upotrebe lijeka Tobrex na fertilitet kod ljudi.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Trudnoća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 xml:space="preserve">Visoke sistemske doze tobramicina, znatno iznad doza koje se primjenjuju pri topikalnoj okularnoj upotrebi, povezane su sa nefrotoksičnošću i ototoksičnošću. Tobramicin prolazi placentu i ulazi u cirkulaciju fetusa i amnionsku tečnost. Studija oralno i parenteralno primijenjenih aminoglikozida (uključujući tobramicin) trudnicama nije pokazala vidljiv rizik po fetus. Smatra se da je sistemska izloženost niska nakon okularne primjene. Tobramicin ne izaziva ototoksičnost tokom izlaganja </w:t>
      </w:r>
      <w:r w:rsidRPr="00877E67">
        <w:rPr>
          <w:rFonts w:ascii="Times New Roman" w:eastAsia="Times New Roman" w:hAnsi="Times New Roman" w:cs="Times New Roman"/>
          <w:bCs/>
          <w:i/>
          <w:noProof/>
          <w:lang w:val="sr-Latn-ME"/>
        </w:rPr>
        <w:t>in utero</w:t>
      </w:r>
      <w:r w:rsidRPr="00877E67">
        <w:rPr>
          <w:rFonts w:ascii="Times New Roman" w:eastAsia="Times New Roman" w:hAnsi="Times New Roman" w:cs="Times New Roman"/>
          <w:bCs/>
          <w:noProof/>
          <w:lang w:val="sr-Latn-ME"/>
        </w:rPr>
        <w:t>.</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Podaci o topikalnoj okularnoj upotrebi tobramicina kod trudnica su ograničeni ili nedostupni.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Studije na životinjama pokazale su reproduktivnu toksičnost (vidjeti odjeljak 5.3).</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Lijek Tobrex se ne preporučuje tokom trudnoće.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Dojenje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Nakon oralne ili parenteralne primjene, tobramicin dospijeva u humano mlijeko. Nakon topikalne okularne upotrebe lijeka Tobrex, malo je vjerovatno da će tobramicin biti detektovan u humanom mlijeku. Međutim, rizik po odojče se ne može isključiti. Odluku o nastavku dojenja ili prestanku terapije lijekom Tobrex treba donijeti na osnovu procjene koristi dojenja za dijete odnosno koristi terapije za majku.</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ind w:left="540" w:hanging="540"/>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4.7. </w:t>
      </w:r>
      <w:r w:rsidRPr="00877E67">
        <w:rPr>
          <w:rFonts w:ascii="Times New Roman" w:eastAsia="Times New Roman" w:hAnsi="Times New Roman" w:cs="Times New Roman"/>
          <w:b/>
          <w:bCs/>
          <w:noProof/>
          <w:lang w:val="sr-Latn-ME"/>
        </w:rPr>
        <w:tab/>
        <w:t>Uticaj na psihofizičke sposobnosti prilikom upravljanja motornim vozilima i rukovanja mašinama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Lijek Tobrex nema ili ima neznatan uticaj na sposobnost upravljanja motornim vozilima ili rukovanje mašinama.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Prolazna zamućenost vida ili drugi poremećaji vida mogu uticati na sposobnost upravljanja motornim vozilom ili rukovanje mašinama. Ukoliko dođe do zamućenja vida prilikom ukapavanja lijeka, pacijent mora da sačeka dok se vid razbistri prije vožnje ili rukovanja mašinama.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4.8. </w:t>
      </w:r>
      <w:r w:rsidRPr="00877E67">
        <w:rPr>
          <w:rFonts w:ascii="Times New Roman" w:eastAsia="Times New Roman" w:hAnsi="Times New Roman" w:cs="Times New Roman"/>
          <w:b/>
          <w:bCs/>
          <w:noProof/>
          <w:lang w:val="sr-Latn-ME"/>
        </w:rPr>
        <w:tab/>
        <w:t>Neželjena dejstva</w:t>
      </w: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Sažetak bezbjednosnog profila lijeka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Tokom kliničkih ispitivanja, najčešće prijavljena neželjena dejstva su bila okularna hiperemija i nelagodnost u oku, javljala su se kod oko 1.4% odnosno 1.2 % pacijenata.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lastRenderedPageBreak/>
        <w:t>Tabelarni prikaz neželjenih dejstava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 xml:space="preserve">Sljedeća neželjena dejstva su klasifikovana prema sledećem pravilu: </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veoma česta (≥1/10), česta (≥1/100 do &lt;1/10), povremena (≥1/1000 do &lt;1/100), rijetka (≥1/10000 do &lt;1/1000), veoma rijetka (&lt;1/10000) ili nepoznata (ne može se utvrditi iz raspoloživih podataka). U svakoj kategoriji učestalosti, neželjena dejstva su poređana prema opadajućoj ozbiljnosti. Neželjena dejstva su dobijena iz kliničkih studija i postmarketinških spontanih prijava. Sljedeće neželjene reakcije su prijavljene nakon okularne upotrebe lijeka Tobrex:</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51"/>
      </w:tblGrid>
      <w:tr w:rsidR="00877E67" w:rsidRPr="00877E67" w:rsidTr="009134EF">
        <w:tc>
          <w:tcPr>
            <w:tcW w:w="4650"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Klasifikacija sistema organa</w:t>
            </w:r>
          </w:p>
        </w:tc>
        <w:tc>
          <w:tcPr>
            <w:tcW w:w="4651"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MedDRA preporučeni termin (v. 15.1)</w:t>
            </w:r>
          </w:p>
        </w:tc>
      </w:tr>
      <w:tr w:rsidR="00877E67" w:rsidRPr="00877E67" w:rsidTr="009134EF">
        <w:tc>
          <w:tcPr>
            <w:tcW w:w="4650"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Poremećaji imunog sistema</w:t>
            </w:r>
          </w:p>
        </w:tc>
        <w:tc>
          <w:tcPr>
            <w:tcW w:w="4651"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i/>
                <w:noProof/>
                <w:lang w:val="sr-Latn-ME"/>
              </w:rPr>
              <w:t>Povremena:</w:t>
            </w:r>
            <w:r w:rsidRPr="00877E67">
              <w:rPr>
                <w:rFonts w:ascii="Times New Roman" w:eastAsia="Times New Roman" w:hAnsi="Times New Roman" w:cs="Times New Roman"/>
                <w:bCs/>
                <w:noProof/>
                <w:lang w:val="sr-Latn-ME"/>
              </w:rPr>
              <w:t xml:space="preserve"> preosjetljivost</w:t>
            </w:r>
          </w:p>
        </w:tc>
      </w:tr>
      <w:tr w:rsidR="00877E67" w:rsidRPr="00877E67" w:rsidTr="009134EF">
        <w:tc>
          <w:tcPr>
            <w:tcW w:w="4650"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Poremećaji nervnog sistema</w:t>
            </w:r>
          </w:p>
        </w:tc>
        <w:tc>
          <w:tcPr>
            <w:tcW w:w="4651"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i/>
                <w:noProof/>
                <w:lang w:val="sr-Latn-ME"/>
              </w:rPr>
              <w:t>Povremena:</w:t>
            </w:r>
            <w:r w:rsidRPr="00877E67">
              <w:rPr>
                <w:rFonts w:ascii="Times New Roman" w:eastAsia="Times New Roman" w:hAnsi="Times New Roman" w:cs="Times New Roman"/>
                <w:bCs/>
                <w:noProof/>
                <w:lang w:val="sr-Latn-ME"/>
              </w:rPr>
              <w:t xml:space="preserve"> glavobolja</w:t>
            </w:r>
          </w:p>
        </w:tc>
      </w:tr>
      <w:tr w:rsidR="00877E67" w:rsidRPr="00877E67" w:rsidTr="009134EF">
        <w:tc>
          <w:tcPr>
            <w:tcW w:w="4650"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noProof/>
                <w:lang w:val="sr-Latn-ME"/>
              </w:rPr>
              <w:t>Poremećaji na nivou oka</w:t>
            </w:r>
          </w:p>
        </w:tc>
        <w:tc>
          <w:tcPr>
            <w:tcW w:w="465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Česta</w:t>
            </w:r>
            <w:r w:rsidRPr="00877E67">
              <w:rPr>
                <w:rFonts w:ascii="Times New Roman" w:eastAsia="Times New Roman" w:hAnsi="Times New Roman" w:cs="Times New Roman"/>
                <w:i/>
                <w:noProof/>
                <w:lang w:val="sr-Latn-ME"/>
              </w:rPr>
              <w:t xml:space="preserve">: </w:t>
            </w:r>
            <w:r w:rsidRPr="00877E67">
              <w:rPr>
                <w:rFonts w:ascii="Times New Roman" w:eastAsia="Times New Roman" w:hAnsi="Times New Roman" w:cs="Times New Roman"/>
                <w:noProof/>
                <w:lang w:val="sr-Latn-ME"/>
              </w:rPr>
              <w:t>nelagodnost u oku, okularna hiperemija, alergija oka, svrab očnih kapaka</w:t>
            </w: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Povremena</w:t>
            </w:r>
            <w:r w:rsidRPr="00877E67">
              <w:rPr>
                <w:rFonts w:ascii="Times New Roman" w:eastAsia="Times New Roman" w:hAnsi="Times New Roman" w:cs="Times New Roman"/>
                <w:noProof/>
                <w:lang w:val="sr-Latn-ME"/>
              </w:rPr>
              <w:t xml:space="preserve">: keratitis, kornealna abrazija, poremećaj vida, zamućen vid, eritem očnih kapaka, sekrecija iz oka, edem konjunktive, edem očnih kapaka, bol u oku, suvo oko, svrab oka, pojačano suzenje </w:t>
            </w: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i/>
                <w:iCs/>
                <w:noProof/>
                <w:lang w:val="sr-Latn-ME"/>
              </w:rPr>
              <w:t>Nepoznata</w:t>
            </w:r>
            <w:r w:rsidRPr="00877E67">
              <w:rPr>
                <w:rFonts w:ascii="Times New Roman" w:eastAsia="Times New Roman" w:hAnsi="Times New Roman" w:cs="Times New Roman"/>
                <w:noProof/>
                <w:lang w:val="sr-Latn-ME"/>
              </w:rPr>
              <w:t>: iritacija oka</w:t>
            </w: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p>
        </w:tc>
      </w:tr>
      <w:tr w:rsidR="00877E67" w:rsidRPr="00877E67" w:rsidTr="009134EF">
        <w:tc>
          <w:tcPr>
            <w:tcW w:w="4650"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noProof/>
                <w:lang w:val="sr-Latn-ME"/>
              </w:rPr>
              <w:t>Poremećaji na nivou kože i potkožnog tkiva</w:t>
            </w:r>
          </w:p>
        </w:tc>
        <w:tc>
          <w:tcPr>
            <w:tcW w:w="4651" w:type="dxa"/>
            <w:shd w:val="clear" w:color="auto" w:fill="auto"/>
          </w:tcPr>
          <w:p w:rsidR="00877E67" w:rsidRPr="00877E67" w:rsidRDefault="00877E67" w:rsidP="00877E67">
            <w:pPr>
              <w:tabs>
                <w:tab w:val="left" w:pos="540"/>
                <w:tab w:val="left" w:pos="569"/>
              </w:tabs>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Povremena</w:t>
            </w:r>
            <w:r w:rsidRPr="00877E67">
              <w:rPr>
                <w:rFonts w:ascii="Times New Roman" w:eastAsia="Times New Roman" w:hAnsi="Times New Roman" w:cs="Times New Roman"/>
                <w:noProof/>
                <w:lang w:val="sr-Latn-ME"/>
              </w:rPr>
              <w:t>: urtikarija. dermatitis, madaroza, leukoderma, svrab, suva koža</w:t>
            </w: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noProof/>
                <w:lang w:val="sr-Latn-ME"/>
              </w:rPr>
            </w:pP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i/>
                <w:noProof/>
                <w:lang w:val="sr-Latn-ME"/>
              </w:rPr>
              <w:t>Nepoznata:</w:t>
            </w:r>
            <w:r w:rsidRPr="00877E67">
              <w:rPr>
                <w:rFonts w:ascii="Times New Roman" w:eastAsia="Times New Roman" w:hAnsi="Times New Roman" w:cs="Times New Roman"/>
                <w:noProof/>
                <w:lang w:val="sr-Latn-ME"/>
              </w:rPr>
              <w:t>osip, eritem</w:t>
            </w:r>
          </w:p>
        </w:tc>
      </w:tr>
    </w:tbl>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es-ES"/>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es-ES"/>
        </w:rPr>
      </w:pPr>
      <w:r w:rsidRPr="00877E67">
        <w:rPr>
          <w:rFonts w:ascii="Times New Roman" w:eastAsia="Times New Roman" w:hAnsi="Times New Roman" w:cs="Times New Roman"/>
          <w:bCs/>
          <w:noProof/>
          <w:u w:val="single"/>
          <w:lang w:val="es-ES"/>
        </w:rPr>
        <w:t>Opis pojedinih neželjenih dejstava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es-ES"/>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es-ES"/>
        </w:rPr>
      </w:pPr>
      <w:r w:rsidRPr="00877E67">
        <w:rPr>
          <w:rFonts w:ascii="Times New Roman" w:eastAsia="Times New Roman" w:hAnsi="Times New Roman" w:cs="Times New Roman"/>
          <w:bCs/>
          <w:noProof/>
          <w:lang w:val="es-ES"/>
        </w:rPr>
        <w:t>Ozbiljna neželjena dejstva uključujući neurotoksičnost, ototoksičnost i nefrotoksičnost su prijavljena kod pacijenata koji su primali sistemsku terapiju tobramicinom (vidjeti dio 4.4 “Posebna upozorenja i mjere opreza pri upotrebi lijeka”).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es-ES"/>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es-ES"/>
        </w:rPr>
      </w:pPr>
      <w:r w:rsidRPr="00877E67">
        <w:rPr>
          <w:rFonts w:ascii="Times New Roman" w:eastAsia="Times New Roman" w:hAnsi="Times New Roman" w:cs="Times New Roman"/>
          <w:bCs/>
          <w:noProof/>
          <w:lang w:val="es-ES"/>
        </w:rPr>
        <w:t>Osjetljivost na topikalno primjenjene aminoglikozide može da se javi kod nekih pacijenata (vidjeti dio 4.4 “Posebna upozorenja i mjere opreza pri upotrebi lijeka”).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spacing w:after="200" w:line="276" w:lineRule="auto"/>
        <w:jc w:val="both"/>
        <w:rPr>
          <w:rFonts w:ascii="Times New Roman" w:eastAsia="Calibri" w:hAnsi="Times New Roman" w:cs="Times New Roman"/>
          <w:noProof/>
          <w:u w:val="single"/>
          <w:lang w:val="sr-Latn-ME"/>
        </w:rPr>
      </w:pPr>
      <w:r w:rsidRPr="00877E67">
        <w:rPr>
          <w:rFonts w:ascii="Times New Roman" w:eastAsia="Calibri" w:hAnsi="Times New Roman" w:cs="Times New Roman"/>
          <w:noProof/>
          <w:u w:val="single"/>
          <w:lang w:val="sr-Latn-ME"/>
        </w:rPr>
        <w:t>Prijavljivanje sumnji na neželjena dejstva</w:t>
      </w:r>
    </w:p>
    <w:p w:rsidR="00877E67" w:rsidRPr="00877E67" w:rsidRDefault="00877E67" w:rsidP="00877E67">
      <w:pPr>
        <w:spacing w:after="200" w:line="240" w:lineRule="auto"/>
        <w:jc w:val="both"/>
        <w:rPr>
          <w:rFonts w:ascii="Times New Roman" w:eastAsia="Calibri" w:hAnsi="Times New Roman" w:cs="Times New Roman"/>
          <w:noProof/>
          <w:lang w:val="sr-Latn-ME"/>
        </w:rPr>
      </w:pPr>
      <w:r w:rsidRPr="00877E67">
        <w:rPr>
          <w:rFonts w:ascii="Times New Roman" w:eastAsia="Calibri" w:hAnsi="Times New Roman" w:cs="Times New Roman"/>
          <w:noProof/>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77E67" w:rsidRPr="00877E67" w:rsidRDefault="00877E67" w:rsidP="00877E67">
      <w:pPr>
        <w:spacing w:after="0" w:line="240" w:lineRule="auto"/>
        <w:jc w:val="both"/>
        <w:rPr>
          <w:rFonts w:ascii="Times New Roman" w:eastAsia="Calibri" w:hAnsi="Times New Roman" w:cs="Times New Roman"/>
          <w:noProof/>
          <w:szCs w:val="24"/>
          <w:lang w:val="sr-Latn-ME"/>
        </w:rPr>
      </w:pPr>
      <w:r w:rsidRPr="00877E67">
        <w:rPr>
          <w:rFonts w:ascii="Times New Roman" w:eastAsia="Calibri" w:hAnsi="Times New Roman" w:cs="Times New Roman"/>
          <w:noProof/>
          <w:szCs w:val="24"/>
          <w:lang w:val="sr-Latn-ME"/>
        </w:rPr>
        <w:t>Agencija za ljekove i medicinska sredstva Crne Gore</w:t>
      </w:r>
    </w:p>
    <w:p w:rsidR="00877E67" w:rsidRPr="00877E67" w:rsidRDefault="00877E67" w:rsidP="00877E67">
      <w:pPr>
        <w:spacing w:after="0" w:line="240" w:lineRule="auto"/>
        <w:jc w:val="both"/>
        <w:rPr>
          <w:rFonts w:ascii="Times New Roman" w:eastAsia="Calibri" w:hAnsi="Times New Roman" w:cs="Times New Roman"/>
          <w:noProof/>
          <w:szCs w:val="24"/>
          <w:lang w:val="sr-Latn-ME"/>
        </w:rPr>
      </w:pPr>
      <w:r w:rsidRPr="00877E67">
        <w:rPr>
          <w:rFonts w:ascii="Times New Roman" w:eastAsia="Calibri" w:hAnsi="Times New Roman" w:cs="Times New Roman"/>
          <w:noProof/>
          <w:szCs w:val="24"/>
          <w:lang w:val="sr-Latn-ME"/>
        </w:rPr>
        <w:t>Odjeljenje za farmakovigilancu</w:t>
      </w:r>
    </w:p>
    <w:p w:rsidR="00877E67" w:rsidRPr="00877E67" w:rsidRDefault="00877E67" w:rsidP="00877E67">
      <w:pPr>
        <w:spacing w:after="0" w:line="240" w:lineRule="auto"/>
        <w:jc w:val="both"/>
        <w:rPr>
          <w:rFonts w:ascii="Times New Roman" w:eastAsia="Calibri" w:hAnsi="Times New Roman" w:cs="Times New Roman"/>
          <w:noProof/>
          <w:szCs w:val="24"/>
          <w:lang w:val="sr-Latn-ME"/>
        </w:rPr>
      </w:pPr>
      <w:r w:rsidRPr="00877E67">
        <w:rPr>
          <w:rFonts w:ascii="Times New Roman" w:eastAsia="Calibri" w:hAnsi="Times New Roman" w:cs="Times New Roman"/>
          <w:noProof/>
          <w:szCs w:val="24"/>
          <w:lang w:val="sr-Latn-ME"/>
        </w:rPr>
        <w:t>Bulevar Ivana Crnojevića 64a, 81000 Podgorica</w:t>
      </w:r>
    </w:p>
    <w:p w:rsidR="00877E67" w:rsidRDefault="00877E67" w:rsidP="00877E67">
      <w:pPr>
        <w:spacing w:after="0" w:line="240" w:lineRule="auto"/>
        <w:jc w:val="both"/>
        <w:rPr>
          <w:rFonts w:ascii="Times New Roman" w:eastAsia="Calibri" w:hAnsi="Times New Roman" w:cs="Times New Roman"/>
          <w:noProof/>
          <w:szCs w:val="24"/>
          <w:lang w:val="sr-Latn-ME"/>
        </w:rPr>
      </w:pPr>
    </w:p>
    <w:p w:rsidR="00386A0F" w:rsidRPr="00877E67" w:rsidRDefault="00386A0F" w:rsidP="00877E67">
      <w:pPr>
        <w:spacing w:after="0" w:line="240" w:lineRule="auto"/>
        <w:jc w:val="both"/>
        <w:rPr>
          <w:rFonts w:ascii="Times New Roman" w:eastAsia="Calibri" w:hAnsi="Times New Roman" w:cs="Times New Roman"/>
          <w:noProof/>
          <w:szCs w:val="24"/>
          <w:lang w:val="sr-Latn-ME"/>
        </w:rPr>
      </w:pPr>
    </w:p>
    <w:p w:rsidR="00877E67" w:rsidRPr="00877E67" w:rsidRDefault="00877E67" w:rsidP="00877E67">
      <w:pPr>
        <w:spacing w:after="0" w:line="240" w:lineRule="auto"/>
        <w:jc w:val="both"/>
        <w:rPr>
          <w:rFonts w:ascii="Times New Roman" w:eastAsia="Calibri" w:hAnsi="Times New Roman" w:cs="Times New Roman"/>
          <w:noProof/>
          <w:szCs w:val="24"/>
          <w:lang w:val="sr-Latn-ME"/>
        </w:rPr>
      </w:pPr>
      <w:r w:rsidRPr="00877E67">
        <w:rPr>
          <w:rFonts w:ascii="Times New Roman" w:eastAsia="Calibri" w:hAnsi="Times New Roman" w:cs="Times New Roman"/>
          <w:noProof/>
          <w:szCs w:val="24"/>
          <w:lang w:val="sr-Latn-ME"/>
        </w:rPr>
        <w:lastRenderedPageBreak/>
        <w:t>tel: +382 (0) 20 310 280</w:t>
      </w:r>
    </w:p>
    <w:p w:rsidR="00877E67" w:rsidRPr="00877E67" w:rsidRDefault="00877E67" w:rsidP="00877E67">
      <w:pPr>
        <w:spacing w:after="0" w:line="240" w:lineRule="auto"/>
        <w:jc w:val="both"/>
        <w:rPr>
          <w:rFonts w:ascii="Times New Roman" w:eastAsia="Calibri" w:hAnsi="Times New Roman" w:cs="Times New Roman"/>
          <w:noProof/>
          <w:szCs w:val="24"/>
          <w:lang w:val="sr-Latn-ME"/>
        </w:rPr>
      </w:pPr>
      <w:r w:rsidRPr="00877E67">
        <w:rPr>
          <w:rFonts w:ascii="Times New Roman" w:eastAsia="Calibri" w:hAnsi="Times New Roman" w:cs="Times New Roman"/>
          <w:noProof/>
          <w:szCs w:val="24"/>
          <w:lang w:val="sr-Latn-ME"/>
        </w:rPr>
        <w:t>fax: +382 (0) 20 310 581</w:t>
      </w:r>
    </w:p>
    <w:p w:rsidR="00877E67" w:rsidRPr="00877E67" w:rsidRDefault="0022570D" w:rsidP="00877E67">
      <w:pPr>
        <w:spacing w:after="0" w:line="240" w:lineRule="auto"/>
        <w:jc w:val="both"/>
        <w:rPr>
          <w:rFonts w:ascii="Times New Roman" w:eastAsia="Calibri" w:hAnsi="Times New Roman" w:cs="Times New Roman"/>
          <w:noProof/>
          <w:szCs w:val="24"/>
          <w:lang w:val="sr-Latn-ME"/>
        </w:rPr>
      </w:pPr>
      <w:hyperlink r:id="rId7" w:history="1">
        <w:r w:rsidR="00877E67" w:rsidRPr="00877E67">
          <w:rPr>
            <w:rFonts w:ascii="Times New Roman" w:eastAsia="Calibri" w:hAnsi="Times New Roman" w:cs="Times New Roman"/>
            <w:noProof/>
            <w:color w:val="0000FF"/>
            <w:szCs w:val="24"/>
            <w:u w:val="single"/>
            <w:lang w:val="sr-Latn-ME"/>
          </w:rPr>
          <w:t>www.calims.me</w:t>
        </w:r>
      </w:hyperlink>
    </w:p>
    <w:p w:rsidR="00877E67" w:rsidRPr="00877E67" w:rsidRDefault="0022570D" w:rsidP="00877E67">
      <w:pPr>
        <w:spacing w:after="0" w:line="240" w:lineRule="auto"/>
        <w:jc w:val="both"/>
        <w:rPr>
          <w:rFonts w:ascii="Times New Roman" w:eastAsia="Calibri" w:hAnsi="Times New Roman" w:cs="Times New Roman"/>
          <w:noProof/>
          <w:color w:val="0000FF"/>
          <w:szCs w:val="24"/>
          <w:u w:val="single"/>
          <w:lang w:val="sr-Latn-ME"/>
        </w:rPr>
      </w:pPr>
      <w:hyperlink r:id="rId8" w:history="1">
        <w:r w:rsidR="00877E67" w:rsidRPr="00877E67">
          <w:rPr>
            <w:rFonts w:ascii="Times New Roman" w:eastAsia="Calibri" w:hAnsi="Times New Roman" w:cs="Times New Roman"/>
            <w:noProof/>
            <w:color w:val="0000FF"/>
            <w:szCs w:val="24"/>
            <w:u w:val="single"/>
            <w:lang w:val="sr-Latn-ME"/>
          </w:rPr>
          <w:t>nezeljenadejstva@calims.me</w:t>
        </w:r>
      </w:hyperlink>
    </w:p>
    <w:p w:rsidR="00877E67" w:rsidRPr="00877E67" w:rsidRDefault="00877E67" w:rsidP="00877E67">
      <w:pPr>
        <w:spacing w:after="0" w:line="240" w:lineRule="auto"/>
        <w:jc w:val="both"/>
        <w:rPr>
          <w:rFonts w:ascii="Times New Roman" w:eastAsia="Calibri" w:hAnsi="Times New Roman" w:cs="Times New Roman"/>
          <w:noProof/>
          <w:szCs w:val="24"/>
          <w:lang w:val="sr-Latn-ME"/>
        </w:rPr>
      </w:pPr>
      <w:r w:rsidRPr="00877E67">
        <w:rPr>
          <w:rFonts w:ascii="Times New Roman" w:eastAsia="Calibri" w:hAnsi="Times New Roman" w:cs="Times New Roman"/>
          <w:noProof/>
          <w:szCs w:val="24"/>
          <w:lang w:val="sr-Latn-ME"/>
        </w:rPr>
        <w:t>putem IS zdravstvene zaštite</w:t>
      </w: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4.9. </w:t>
      </w:r>
      <w:r w:rsidRPr="00877E67">
        <w:rPr>
          <w:rFonts w:ascii="Times New Roman" w:eastAsia="Times New Roman" w:hAnsi="Times New Roman" w:cs="Times New Roman"/>
          <w:b/>
          <w:bCs/>
          <w:noProof/>
          <w:lang w:val="sr-Latn-ME"/>
        </w:rPr>
        <w:tab/>
        <w:t>Predoziranje i mjere koje je potrebno preduzeti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Zbog karakteristika ovog lijeka, ne očekuju se toksični efekti sa predoziranjem prilikom okularne upotrebe lijeka, čak ni u slučaju slučajne ingestije sadržaja bočice.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Klinički manifestni znaci i simptomi predoziranja lijekom Tobrex (tačkasti keratitis, eritem, pojačano suzenje, edem i svrab očnih kapaka) mogu biti slični neželjenim dejstvima koja se javljaju kod nekih pacijenata.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Lokalno predozirani lijek Tobrex može da se ispere iz oka/očiju mlakom vodom.</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5. </w:t>
      </w:r>
      <w:r w:rsidRPr="00877E67">
        <w:rPr>
          <w:rFonts w:ascii="Times New Roman" w:eastAsia="Times New Roman" w:hAnsi="Times New Roman" w:cs="Times New Roman"/>
          <w:b/>
          <w:bCs/>
          <w:noProof/>
          <w:lang w:val="sr-Latn-ME"/>
        </w:rPr>
        <w:tab/>
        <w:t>FARMAKOLOŠKI PODACI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5.1. </w:t>
      </w:r>
      <w:r w:rsidRPr="00877E67">
        <w:rPr>
          <w:rFonts w:ascii="Times New Roman" w:eastAsia="Times New Roman" w:hAnsi="Times New Roman" w:cs="Times New Roman"/>
          <w:b/>
          <w:bCs/>
          <w:noProof/>
          <w:lang w:val="sr-Latn-ME"/>
        </w:rPr>
        <w:tab/>
        <w:t>Farmakodinamski podaci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p>
    <w:p w:rsidR="00877E67" w:rsidRPr="00877E67" w:rsidRDefault="00877E67" w:rsidP="00877E67">
      <w:pPr>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Farmakoterapijska grupa: Ljekovi koji djeluju na oko, antibiotici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ATC kod:</w:t>
      </w:r>
      <w:r w:rsidRPr="00877E67">
        <w:rPr>
          <w:rFonts w:ascii="Times New Roman" w:eastAsia="Times New Roman" w:hAnsi="Times New Roman" w:cs="Times New Roman"/>
          <w:sz w:val="24"/>
          <w:szCs w:val="24"/>
        </w:rPr>
        <w:t xml:space="preserve"> </w:t>
      </w:r>
      <w:r w:rsidRPr="00877E67">
        <w:rPr>
          <w:rFonts w:ascii="Times New Roman" w:eastAsia="Times New Roman" w:hAnsi="Times New Roman" w:cs="Times New Roman"/>
          <w:bCs/>
          <w:noProof/>
          <w:lang w:val="sr-Latn-ME"/>
        </w:rPr>
        <w:t>S01AA12</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Mehanizam dejstva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Lijek sadrži tobramicin, aminoglikozidni antibiotik koji ima brzo baktericidno dejstvo. Primarno dejstvo ima na bakterijske ćelije gdje inhibira nakupljanje i sintezu polipeptida u ribozomima.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Mehanizam rezistencije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Rezistencija na tobramicin se javlja na nekoliko različitih načina, uključujući: (1) alteracije ribozomalne podjedinice u sklopu bakterijske ćelije; (2) interferencija sa transportom tobramicina u ćeliju, i (3) inaktivacija tobramicina enzimima adenilacije, fosforilacije i acetilacije. Genetička informacija za produkciju inaktivišućih enzima može da se nalazi na bakterijskim hromozomima ili plazmidima. Može se javiti ukrštena rezistencija sa ostalim aminoglikozidima.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Granične vrijednosti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 xml:space="preserve">Granične vrijednosti i </w:t>
      </w:r>
      <w:r w:rsidRPr="00877E67">
        <w:rPr>
          <w:rFonts w:ascii="Times New Roman" w:eastAsia="Times New Roman" w:hAnsi="Times New Roman" w:cs="Times New Roman"/>
          <w:bCs/>
          <w:i/>
          <w:noProof/>
          <w:lang w:val="sr-Latn-ME"/>
        </w:rPr>
        <w:t>in vitro</w:t>
      </w:r>
      <w:r w:rsidRPr="00877E67">
        <w:rPr>
          <w:rFonts w:ascii="Times New Roman" w:eastAsia="Times New Roman" w:hAnsi="Times New Roman" w:cs="Times New Roman"/>
          <w:bCs/>
          <w:noProof/>
          <w:lang w:val="sr-Latn-ME"/>
        </w:rPr>
        <w:t xml:space="preserve"> spektar, koji je naveden dolje, se zasnivaju na sistemskoj upotrebi tobramicina. Ove granične vrijednosti ne moraju biti primjenljive za okularnu upotrebu antibiotika, pošto se lokalno postižu više koncentracije i lokalne fizičko-hemijske osobine mogu da utiču na aktivnost lijeka na mjestu primjene. U skladu sa EUCAST, sljedeće granične vrijednosti su definisane za tobramicin:</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 xml:space="preserve">Enterobacteriaceae </w:t>
      </w:r>
      <w:r w:rsidRPr="00877E67">
        <w:rPr>
          <w:rFonts w:ascii="Times New Roman" w:eastAsia="Times New Roman" w:hAnsi="Times New Roman" w:cs="Times New Roman"/>
          <w:noProof/>
          <w:lang w:val="sr-Latn-ME"/>
        </w:rPr>
        <w:tab/>
      </w:r>
      <w:r w:rsidRPr="00877E67">
        <w:rPr>
          <w:rFonts w:ascii="Times New Roman" w:eastAsia="Times New Roman" w:hAnsi="Times New Roman" w:cs="Times New Roman"/>
          <w:noProof/>
          <w:lang w:val="sr-Latn-ME"/>
        </w:rPr>
        <w:tab/>
        <w:t>S ≤ 2 mg/L, R &gt; 4 mg/l</w:t>
      </w: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 xml:space="preserve">Pseudomonas spp. </w:t>
      </w:r>
      <w:r w:rsidRPr="00877E67">
        <w:rPr>
          <w:rFonts w:ascii="Times New Roman" w:eastAsia="Times New Roman" w:hAnsi="Times New Roman" w:cs="Times New Roman"/>
          <w:noProof/>
          <w:lang w:val="sr-Latn-ME"/>
        </w:rPr>
        <w:tab/>
      </w:r>
      <w:r w:rsidRPr="00877E67">
        <w:rPr>
          <w:rFonts w:ascii="Times New Roman" w:eastAsia="Times New Roman" w:hAnsi="Times New Roman" w:cs="Times New Roman"/>
          <w:noProof/>
          <w:lang w:val="sr-Latn-ME"/>
        </w:rPr>
        <w:tab/>
        <w:t>S ≤ 4 mg/L, R &gt; 4 mg/l</w:t>
      </w: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 xml:space="preserve">Acinetobacter spp. </w:t>
      </w:r>
      <w:r w:rsidRPr="00877E67">
        <w:rPr>
          <w:rFonts w:ascii="Times New Roman" w:eastAsia="Times New Roman" w:hAnsi="Times New Roman" w:cs="Times New Roman"/>
          <w:noProof/>
          <w:lang w:val="sr-Latn-ME"/>
        </w:rPr>
        <w:tab/>
      </w:r>
      <w:r w:rsidRPr="00877E67">
        <w:rPr>
          <w:rFonts w:ascii="Times New Roman" w:eastAsia="Times New Roman" w:hAnsi="Times New Roman" w:cs="Times New Roman"/>
          <w:noProof/>
          <w:lang w:val="sr-Latn-ME"/>
        </w:rPr>
        <w:tab/>
        <w:t>S ≤ 4 mg/L, R &gt; 4 mg/l</w:t>
      </w:r>
    </w:p>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noProof/>
          <w:lang w:val="sr-Latn-ME"/>
        </w:rPr>
        <w:t xml:space="preserve">Staphylococcus spp. </w:t>
      </w:r>
      <w:r w:rsidRPr="00877E67">
        <w:rPr>
          <w:rFonts w:ascii="Times New Roman" w:eastAsia="Times New Roman" w:hAnsi="Times New Roman" w:cs="Times New Roman"/>
          <w:noProof/>
          <w:lang w:val="sr-Latn-ME"/>
        </w:rPr>
        <w:tab/>
      </w:r>
      <w:r w:rsidRPr="00877E67">
        <w:rPr>
          <w:rFonts w:ascii="Times New Roman" w:eastAsia="Times New Roman" w:hAnsi="Times New Roman" w:cs="Times New Roman"/>
          <w:noProof/>
          <w:lang w:val="sr-Latn-ME"/>
        </w:rPr>
        <w:tab/>
        <w:t>S ≤ 1 mg/L, R &gt; 1 mg/l</w:t>
      </w: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noProof/>
          <w:lang w:val="sr-Latn-ME"/>
        </w:rPr>
        <w:t xml:space="preserve">Nije povezano sa vrstama </w:t>
      </w:r>
      <w:r w:rsidRPr="00877E67">
        <w:rPr>
          <w:rFonts w:ascii="Times New Roman" w:eastAsia="Times New Roman" w:hAnsi="Times New Roman" w:cs="Times New Roman"/>
          <w:noProof/>
          <w:lang w:val="sr-Latn-ME"/>
        </w:rPr>
        <w:tab/>
        <w:t>S ≤ 2 mg/L, R &gt; 4 mg/l</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lastRenderedPageBreak/>
        <w:t>Informacije koje se nalaze u sljedećem tekstu predstavljaju samo aproksimativni vodič u odlučivanju da li će mikroorganizmi biti osjetljivi na tobramicin. Bakterijski sojevi koji su dobijeni iz spoljašnjih infekcija oka, kao što je konjunktivitis, su prikazani u ovom tekstu.</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Prevalenca stečene rezistencije za sljedeće sojeve može da varira geografski i u vremenu, i poželjne su lokalne informacije o osjetljivosti bakterija, naročito kada se liječe teže infekcije. Ukoliko je potrebno, posavjetujte se sa stručnjakom ako je prevalenca lokalne rezistencije takva da je korist tobramicina kod nekih infekcija upitna.</w:t>
      </w: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877E67" w:rsidRPr="00877E67" w:rsidTr="009134EF">
        <w:tc>
          <w:tcPr>
            <w:tcW w:w="9301" w:type="dxa"/>
            <w:tcBorders>
              <w:top w:val="single" w:sz="12" w:space="0" w:color="auto"/>
              <w:left w:val="single" w:sz="12" w:space="0" w:color="auto"/>
              <w:bottom w:val="single" w:sz="12" w:space="0" w:color="auto"/>
              <w:right w:val="single" w:sz="12" w:space="0" w:color="auto"/>
            </w:tcBorders>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UOBIČAJENO OSJETLJIVI SOJEVI</w:t>
            </w:r>
          </w:p>
        </w:tc>
      </w:tr>
      <w:tr w:rsidR="00877E67" w:rsidRPr="00877E67" w:rsidTr="009134EF">
        <w:tc>
          <w:tcPr>
            <w:tcW w:w="9301" w:type="dxa"/>
            <w:tcBorders>
              <w:top w:val="single" w:sz="12" w:space="0" w:color="auto"/>
            </w:tcBorders>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Aerobni Gram-pozitivni mikroorganizmi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Bacillus megaterium</w:t>
            </w:r>
          </w:p>
        </w:tc>
      </w:tr>
      <w:tr w:rsidR="00877E67" w:rsidRPr="00877E67" w:rsidTr="009134EF">
        <w:tc>
          <w:tcPr>
            <w:tcW w:w="9301" w:type="dxa"/>
            <w:shd w:val="clear" w:color="auto" w:fill="auto"/>
          </w:tcPr>
          <w:p w:rsidR="00877E67" w:rsidRPr="00877E67" w:rsidRDefault="00877E67" w:rsidP="00877E67">
            <w:pPr>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Bacillus pumilus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Corynebacterium accolens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Corynebacterium bovis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Corynebacterium macginleyi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Corynebacterium pseudodiphtheriticum</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Kocuria kristinae</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 xml:space="preserve">Staphylococcus aureus </w:t>
            </w:r>
            <w:r w:rsidRPr="00877E67">
              <w:rPr>
                <w:rFonts w:ascii="Times New Roman" w:eastAsia="Times New Roman" w:hAnsi="Times New Roman" w:cs="Times New Roman"/>
                <w:noProof/>
                <w:lang w:val="sr-Latn-ME"/>
              </w:rPr>
              <w:t>(meticilin osjetljiv – MSSA)</w:t>
            </w:r>
          </w:p>
        </w:tc>
      </w:tr>
      <w:tr w:rsidR="00877E67" w:rsidRPr="00877E67" w:rsidTr="009134EF">
        <w:tc>
          <w:tcPr>
            <w:tcW w:w="9301" w:type="dxa"/>
            <w:shd w:val="clear" w:color="auto" w:fill="auto"/>
          </w:tcPr>
          <w:p w:rsidR="00877E67" w:rsidRPr="00877E67" w:rsidRDefault="00877E67" w:rsidP="00877E67">
            <w:pPr>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 xml:space="preserve">Staphylococcus haemolyticus </w:t>
            </w:r>
            <w:r w:rsidRPr="00877E67">
              <w:rPr>
                <w:rFonts w:ascii="Times New Roman" w:eastAsia="Times New Roman" w:hAnsi="Times New Roman" w:cs="Times New Roman"/>
                <w:noProof/>
                <w:lang w:val="sr-Latn-ME"/>
              </w:rPr>
              <w:t>(meticilin osjetljiv - MSSH)</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Aerobni Gram-negativni mikroorganizmi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Acinetobacter junii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Acinetobacter ursingii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Citrobacter koseri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Escherichia coli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Klebsiella oxytoca</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Klebsiella pneumoniae</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Moraxella catarrhalis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Moraxella oslonensis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Morganella morganii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Neisseria perflava</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Proteus mirabilis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Pseudomonas aeruginosa</w:t>
            </w:r>
          </w:p>
        </w:tc>
      </w:tr>
      <w:tr w:rsidR="00877E67" w:rsidRPr="00877E67" w:rsidTr="009134EF">
        <w:tc>
          <w:tcPr>
            <w:tcW w:w="9301" w:type="dxa"/>
            <w:tcBorders>
              <w:bottom w:val="single" w:sz="12" w:space="0" w:color="auto"/>
            </w:tcBorders>
            <w:shd w:val="clear" w:color="auto" w:fill="auto"/>
          </w:tcPr>
          <w:p w:rsidR="00877E67" w:rsidRPr="00877E67" w:rsidRDefault="00877E67" w:rsidP="00877E67">
            <w:pPr>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Serratia liquifaciens</w:t>
            </w:r>
          </w:p>
        </w:tc>
      </w:tr>
      <w:tr w:rsidR="00877E67" w:rsidRPr="00877E67" w:rsidTr="009134EF">
        <w:trPr>
          <w:trHeight w:val="225"/>
        </w:trPr>
        <w:tc>
          <w:tcPr>
            <w:tcW w:w="9301" w:type="dxa"/>
            <w:tcBorders>
              <w:top w:val="single" w:sz="12" w:space="0" w:color="auto"/>
              <w:left w:val="single" w:sz="12" w:space="0" w:color="auto"/>
              <w:bottom w:val="single" w:sz="12" w:space="0" w:color="auto"/>
              <w:right w:val="single" w:sz="12" w:space="0" w:color="auto"/>
            </w:tcBorders>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VRSTE KOD KOJIH STEČENA REZISTENCIJA MOŽE DA PREDSTAVLJA PROBLEM</w:t>
            </w:r>
          </w:p>
        </w:tc>
      </w:tr>
      <w:tr w:rsidR="00877E67" w:rsidRPr="00877E67" w:rsidTr="009134EF">
        <w:tc>
          <w:tcPr>
            <w:tcW w:w="9301" w:type="dxa"/>
            <w:tcBorders>
              <w:top w:val="single" w:sz="12" w:space="0" w:color="auto"/>
            </w:tcBorders>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Acinetobacter baumanii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Bacillus cereus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Bacillus thuringiensis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Kocuria rhizophila</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 xml:space="preserve">Staphylococcus haemolyticus </w:t>
            </w:r>
            <w:r w:rsidRPr="00877E67">
              <w:rPr>
                <w:rFonts w:ascii="Times New Roman" w:eastAsia="Times New Roman" w:hAnsi="Times New Roman" w:cs="Times New Roman"/>
                <w:noProof/>
                <w:lang w:val="sr-Latn-ME"/>
              </w:rPr>
              <w:t>(meticilin rezistentni –MRSH)</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 xml:space="preserve">Staphylococcus, </w:t>
            </w:r>
            <w:r w:rsidRPr="00877E67">
              <w:rPr>
                <w:rFonts w:ascii="Times New Roman" w:eastAsia="Times New Roman" w:hAnsi="Times New Roman" w:cs="Times New Roman"/>
                <w:noProof/>
                <w:lang w:val="sr-Latn-ME"/>
              </w:rPr>
              <w:t>drugi koagulaza negativni spp</w:t>
            </w:r>
            <w:r w:rsidRPr="00877E67">
              <w:rPr>
                <w:rFonts w:ascii="Times New Roman" w:eastAsia="Times New Roman" w:hAnsi="Times New Roman" w:cs="Times New Roman"/>
                <w:i/>
                <w:iCs/>
                <w:noProof/>
                <w:lang w:val="sr-Latn-ME"/>
              </w:rPr>
              <w:t>.</w:t>
            </w:r>
          </w:p>
        </w:tc>
      </w:tr>
      <w:tr w:rsidR="00877E67" w:rsidRPr="00877E67" w:rsidTr="009134EF">
        <w:tc>
          <w:tcPr>
            <w:tcW w:w="9301" w:type="dxa"/>
            <w:tcBorders>
              <w:bottom w:val="single" w:sz="12" w:space="0" w:color="auto"/>
            </w:tcBorders>
            <w:shd w:val="clear" w:color="auto" w:fill="auto"/>
          </w:tcPr>
          <w:p w:rsidR="00877E67" w:rsidRPr="00877E67" w:rsidRDefault="00877E67" w:rsidP="00877E67">
            <w:pPr>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Serratia marcescens</w:t>
            </w:r>
          </w:p>
        </w:tc>
      </w:tr>
      <w:tr w:rsidR="00877E67" w:rsidRPr="00877E67" w:rsidTr="009134EF">
        <w:tc>
          <w:tcPr>
            <w:tcW w:w="9301" w:type="dxa"/>
            <w:tcBorders>
              <w:top w:val="single" w:sz="12" w:space="0" w:color="auto"/>
              <w:left w:val="single" w:sz="12" w:space="0" w:color="auto"/>
              <w:bottom w:val="single" w:sz="12" w:space="0" w:color="auto"/>
              <w:right w:val="single" w:sz="12" w:space="0" w:color="auto"/>
            </w:tcBorders>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PRIRODNO REZISTENTNI MIKROORGANIZMI</w:t>
            </w:r>
          </w:p>
        </w:tc>
      </w:tr>
      <w:tr w:rsidR="00877E67" w:rsidRPr="00877E67" w:rsidTr="009134EF">
        <w:tc>
          <w:tcPr>
            <w:tcW w:w="9301" w:type="dxa"/>
            <w:tcBorders>
              <w:top w:val="single" w:sz="12" w:space="0" w:color="auto"/>
            </w:tcBorders>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Aerobni Gram-pozitivni mikroorganizmi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Enterococcus faecalis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 xml:space="preserve">Staphylococcus aureus </w:t>
            </w:r>
            <w:r w:rsidRPr="00877E67">
              <w:rPr>
                <w:rFonts w:ascii="Times New Roman" w:eastAsia="Times New Roman" w:hAnsi="Times New Roman" w:cs="Times New Roman"/>
                <w:noProof/>
                <w:lang w:val="sr-Latn-ME"/>
              </w:rPr>
              <w:t>(meticilin rezistentni – MRSA</w:t>
            </w:r>
            <w:r w:rsidRPr="00877E67">
              <w:rPr>
                <w:rFonts w:ascii="Times New Roman" w:eastAsia="Times New Roman" w:hAnsi="Times New Roman" w:cs="Times New Roman"/>
                <w:i/>
                <w:iCs/>
                <w:noProof/>
                <w:lang w:val="sr-Latn-ME"/>
              </w:rPr>
              <w:t>)</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lastRenderedPageBreak/>
              <w:t>Streptococcus mitis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Streptococcus pneumoniae</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Streptococcus pyogenes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Streptococcus sanguis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Aerobni Gram-negativni mikroorganizmi</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Chryseobacterium indologenes</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Haemophilus influenzae</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i/>
                <w:iCs/>
                <w:noProof/>
                <w:lang w:val="sr-Latn-ME"/>
              </w:rPr>
            </w:pPr>
            <w:r w:rsidRPr="00877E67">
              <w:rPr>
                <w:rFonts w:ascii="Times New Roman" w:eastAsia="Times New Roman" w:hAnsi="Times New Roman" w:cs="Times New Roman"/>
                <w:i/>
                <w:iCs/>
                <w:noProof/>
                <w:lang w:val="sr-Latn-ME"/>
              </w:rPr>
              <w:t>Stenotrophomonas maltophilia</w:t>
            </w:r>
          </w:p>
        </w:tc>
      </w:tr>
      <w:tr w:rsidR="00877E67" w:rsidRPr="00877E67" w:rsidTr="009134EF">
        <w:tc>
          <w:tcPr>
            <w:tcW w:w="9301" w:type="dxa"/>
            <w:shd w:val="clear" w:color="auto" w:fill="auto"/>
          </w:tcPr>
          <w:p w:rsidR="00877E67" w:rsidRPr="00877E67" w:rsidRDefault="00877E67" w:rsidP="00877E67">
            <w:pPr>
              <w:autoSpaceDE w:val="0"/>
              <w:autoSpaceDN w:val="0"/>
              <w:adjustRightInd w:val="0"/>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Anaerobne bakterije</w:t>
            </w:r>
          </w:p>
        </w:tc>
      </w:tr>
      <w:tr w:rsidR="00877E67" w:rsidRPr="00877E67" w:rsidTr="009134EF">
        <w:tc>
          <w:tcPr>
            <w:tcW w:w="9301" w:type="dxa"/>
            <w:shd w:val="clear" w:color="auto" w:fill="auto"/>
          </w:tcPr>
          <w:p w:rsidR="00877E67" w:rsidRPr="00877E67" w:rsidRDefault="00877E67" w:rsidP="00877E67">
            <w:pPr>
              <w:spacing w:after="0" w:line="240" w:lineRule="auto"/>
              <w:rPr>
                <w:rFonts w:ascii="Times New Roman" w:eastAsia="Times New Roman" w:hAnsi="Times New Roman" w:cs="Times New Roman"/>
                <w:noProof/>
                <w:lang w:val="sr-Latn-ME"/>
              </w:rPr>
            </w:pPr>
            <w:r w:rsidRPr="00877E67">
              <w:rPr>
                <w:rFonts w:ascii="Times New Roman" w:eastAsia="Times New Roman" w:hAnsi="Times New Roman" w:cs="Times New Roman"/>
                <w:i/>
                <w:iCs/>
                <w:noProof/>
                <w:lang w:val="sr-Latn-ME"/>
              </w:rPr>
              <w:t>Propionibacterium acnes</w:t>
            </w:r>
          </w:p>
        </w:tc>
      </w:tr>
    </w:tbl>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877E67">
        <w:rPr>
          <w:rFonts w:ascii="Times New Roman" w:eastAsia="Times New Roman" w:hAnsi="Times New Roman" w:cs="Times New Roman"/>
          <w:bCs/>
          <w:noProof/>
          <w:u w:val="single"/>
          <w:lang w:val="sr-Latn-ME"/>
        </w:rPr>
        <w:t>Pedijatrijska populacija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Preko 600 pedijatrijskih pacijenata je bilo obuhvaćeno u 10 kliničkih studija u liječenju bakterijskog konjunktivitisa, blefaritisa ili blefarokonjunktivitisa koristeći tobramicin kapi za oči ili tobramicin mast za oči. Ovi pacijenti su bili uzrasta od 1 godine do 18 godina. Sveukupan profil bezbjednosti kod pedijatrijskih pacijenata je bio sličan onom kod odraslih pacijenata. Za djecu mlađu od 1 godine, nema preporuka za upotrebu s obzirom na nedostatak podataka o upotrebi u ovom uzrastu.</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5.2. </w:t>
      </w:r>
      <w:r w:rsidRPr="00877E67">
        <w:rPr>
          <w:rFonts w:ascii="Times New Roman" w:eastAsia="Times New Roman" w:hAnsi="Times New Roman" w:cs="Times New Roman"/>
          <w:b/>
          <w:bCs/>
          <w:noProof/>
          <w:lang w:val="sr-Latn-ME"/>
        </w:rPr>
        <w:tab/>
        <w:t>Farmakokinetički podaci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Tobramicin se slabo resorbuje kroz korneu i konjunktivu, i minimalne količine se resorbuju u oko nakon topikalne upotrebe tobramicina.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5.3. </w:t>
      </w:r>
      <w:r w:rsidRPr="00877E67">
        <w:rPr>
          <w:rFonts w:ascii="Times New Roman" w:eastAsia="Times New Roman" w:hAnsi="Times New Roman" w:cs="Times New Roman"/>
          <w:b/>
          <w:bCs/>
          <w:noProof/>
          <w:lang w:val="sr-Latn-ME"/>
        </w:rPr>
        <w:tab/>
        <w:t xml:space="preserve">Pretklinički podaci o bezbjednosti </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Tobramicin se veoma slabo resorbuje iz gastrointestinalnog trakta. Visoke, parenteralno upotrijebljene doze tobramicina mogu izazvati renalnu toksičnost kod pacova i pasa, i ototoksičnost kod mačaka.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Pretklinička ispitivanja su pokazala da visoke sistemske doze 30 mg/kg i 60 mg/kg tobramicina upotrijebljenog intraperitonealno kod pacova tokom perioda organogeneze mogu izazvati povećanje glomerularne gustine i gubitak kortikalne površine u bubregu kod fetusa i novorođenih pacova. Slično kao i kod drugih laboratorijskih životinja, aminoglikozidni antibiotici se smatraju ototoksičnim. Produžena upotreba tobramicina kod mačaka upotrijebljena subkutano 20, 40 i 80 mg/kg/dan tokom 30 nedjelja dovela je do dozno zavisne degeneracije senzornih receptora audio-vestibularnog sistema i potpornih senzornih struktura u uhu.</w:t>
      </w: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6. </w:t>
      </w:r>
      <w:r w:rsidRPr="00877E67">
        <w:rPr>
          <w:rFonts w:ascii="Times New Roman" w:eastAsia="Times New Roman" w:hAnsi="Times New Roman" w:cs="Times New Roman"/>
          <w:b/>
          <w:bCs/>
          <w:noProof/>
          <w:lang w:val="sr-Latn-ME"/>
        </w:rPr>
        <w:tab/>
        <w:t>FARMACEUTSKI PODACI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6.1. </w:t>
      </w:r>
      <w:r w:rsidRPr="00877E67">
        <w:rPr>
          <w:rFonts w:ascii="Times New Roman" w:eastAsia="Times New Roman" w:hAnsi="Times New Roman" w:cs="Times New Roman"/>
          <w:b/>
          <w:bCs/>
          <w:noProof/>
          <w:lang w:val="sr-Latn-ME"/>
        </w:rPr>
        <w:tab/>
        <w:t>Lista pomoćnih supstanci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Borna kiselina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 xml:space="preserve">Natrijum sulfat, bezvodni </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Natrijum hlorid</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Tiloksapol</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Benzalkonijum hlorid</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Natrijum hidroksid (za podešavanje pH)</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lastRenderedPageBreak/>
        <w:t>Sumporna kiselina (za podešavanje pH)</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Voda, prečišćena.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6.2. </w:t>
      </w:r>
      <w:r w:rsidRPr="00877E67">
        <w:rPr>
          <w:rFonts w:ascii="Times New Roman" w:eastAsia="Times New Roman" w:hAnsi="Times New Roman" w:cs="Times New Roman"/>
          <w:b/>
          <w:bCs/>
          <w:noProof/>
          <w:lang w:val="sr-Latn-ME"/>
        </w:rPr>
        <w:tab/>
        <w:t>Inkompatibilnosti</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Nije primjenljivo.</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6.3.</w:t>
      </w:r>
      <w:r w:rsidRPr="00877E67">
        <w:rPr>
          <w:rFonts w:ascii="Times New Roman" w:eastAsia="Times New Roman" w:hAnsi="Times New Roman" w:cs="Times New Roman"/>
          <w:b/>
          <w:bCs/>
          <w:noProof/>
          <w:lang w:val="sr-Latn-ME"/>
        </w:rPr>
        <w:tab/>
        <w:t>Rok upotrebe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3 godine.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Rok upotrebe nakon prvog otvaranja lijeka je 28 dana.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6.4. </w:t>
      </w:r>
      <w:r w:rsidRPr="00877E67">
        <w:rPr>
          <w:rFonts w:ascii="Times New Roman" w:eastAsia="Times New Roman" w:hAnsi="Times New Roman" w:cs="Times New Roman"/>
          <w:b/>
          <w:bCs/>
          <w:noProof/>
          <w:lang w:val="sr-Latn-ME"/>
        </w:rPr>
        <w:tab/>
        <w:t>Posebne mjere upozorenja pri čuvanju lijeka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autoSpaceDE w:val="0"/>
        <w:autoSpaceDN w:val="0"/>
        <w:adjustRightInd w:val="0"/>
        <w:spacing w:after="0" w:line="240" w:lineRule="auto"/>
        <w:jc w:val="both"/>
        <w:rPr>
          <w:rFonts w:ascii="Times New Roman" w:eastAsia="Times New Roman" w:hAnsi="Times New Roman" w:cs="Times New Roman"/>
          <w:lang w:val="it-IT"/>
        </w:rPr>
      </w:pPr>
      <w:r w:rsidRPr="00877E67">
        <w:rPr>
          <w:rFonts w:ascii="Times New Roman" w:eastAsia="Times New Roman" w:hAnsi="Times New Roman" w:cs="Times New Roman"/>
          <w:lang w:val="it-IT"/>
        </w:rPr>
        <w:t>Čuvati na temperaturi do 25°C.</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rPr>
      </w:pPr>
      <w:r w:rsidRPr="00877E67">
        <w:rPr>
          <w:rFonts w:ascii="Times New Roman" w:eastAsia="Times New Roman" w:hAnsi="Times New Roman" w:cs="Times New Roman"/>
          <w:lang w:val="it-IT"/>
        </w:rPr>
        <w:t>Držati bočicu čvrsto zatvorenu.</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6.5. </w:t>
      </w:r>
      <w:r w:rsidRPr="00877E67">
        <w:rPr>
          <w:rFonts w:ascii="Times New Roman" w:eastAsia="Times New Roman" w:hAnsi="Times New Roman" w:cs="Times New Roman"/>
          <w:b/>
          <w:bCs/>
          <w:noProof/>
          <w:lang w:val="sr-Latn-ME"/>
        </w:rPr>
        <w:tab/>
        <w:t>Vrsta i sadržaj pakovanja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Plastična, posebno zaštićena, bočica sa oznakom otvaranja, koja se sastoji iz LDPE bočice sa kapaljkom i polipropilenskog zatvarača sa navojem sa evidencijom otvaranja.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Dostupno je sledeće pakovanje: kutija koja sadrži jednu bočicu od 5 ml.</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6.6. </w:t>
      </w:r>
      <w:r w:rsidRPr="00877E67">
        <w:rPr>
          <w:rFonts w:ascii="Times New Roman" w:eastAsia="Times New Roman" w:hAnsi="Times New Roman" w:cs="Times New Roman"/>
          <w:b/>
          <w:bCs/>
          <w:noProof/>
          <w:lang w:val="sr-Latn-ME"/>
        </w:rPr>
        <w:tab/>
        <w:t xml:space="preserve">Posebne mjere opreza pri odlaganju materijala koji treba odbaciti nakon primjene lijeka </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Neupotrijebljeni lijek se uništava u skladu sa važećim propisima.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6.7. </w:t>
      </w:r>
      <w:r w:rsidRPr="00877E67">
        <w:rPr>
          <w:rFonts w:ascii="Times New Roman" w:eastAsia="Times New Roman" w:hAnsi="Times New Roman" w:cs="Times New Roman"/>
          <w:b/>
          <w:bCs/>
          <w:noProof/>
          <w:lang w:val="sr-Latn-ME"/>
        </w:rPr>
        <w:tab/>
        <w:t>Režim izdavanja lijeka</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877E67">
        <w:rPr>
          <w:rFonts w:ascii="Times New Roman" w:eastAsia="Times New Roman" w:hAnsi="Times New Roman" w:cs="Times New Roman"/>
          <w:bCs/>
          <w:noProof/>
          <w:lang w:val="sr-Latn-ME"/>
        </w:rPr>
        <w:t>Neobnovljiv (jednokratni) recept.</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7. </w:t>
      </w:r>
      <w:r w:rsidRPr="00877E67">
        <w:rPr>
          <w:rFonts w:ascii="Times New Roman" w:eastAsia="Times New Roman" w:hAnsi="Times New Roman" w:cs="Times New Roman"/>
          <w:b/>
          <w:bCs/>
          <w:noProof/>
          <w:lang w:val="sr-Latn-ME"/>
        </w:rPr>
        <w:tab/>
        <w:t xml:space="preserve">NOSILAC DOZVOLE </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lang w:val="sr-Latn-CS"/>
        </w:rPr>
      </w:pPr>
    </w:p>
    <w:p w:rsidR="00070419" w:rsidRPr="00070419" w:rsidRDefault="00070419" w:rsidP="00070419">
      <w:pPr>
        <w:tabs>
          <w:tab w:val="left" w:pos="540"/>
          <w:tab w:val="left" w:pos="569"/>
        </w:tabs>
        <w:spacing w:after="0" w:line="240" w:lineRule="auto"/>
        <w:jc w:val="both"/>
        <w:rPr>
          <w:rFonts w:ascii="Times New Roman" w:eastAsia="Times New Roman" w:hAnsi="Times New Roman" w:cs="Times New Roman"/>
          <w:lang w:val="sr-Latn-CS"/>
        </w:rPr>
      </w:pPr>
      <w:r w:rsidRPr="00070419">
        <w:rPr>
          <w:rFonts w:ascii="Times New Roman" w:eastAsia="Times New Roman" w:hAnsi="Times New Roman" w:cs="Times New Roman"/>
          <w:lang w:val="sr-Latn-CS"/>
        </w:rPr>
        <w:t xml:space="preserve">“Novartis Pharma Services AG” dio stranog </w:t>
      </w:r>
      <w:bookmarkStart w:id="0" w:name="_GoBack"/>
      <w:bookmarkEnd w:id="0"/>
      <w:r w:rsidRPr="00070419">
        <w:rPr>
          <w:rFonts w:ascii="Times New Roman" w:eastAsia="Times New Roman" w:hAnsi="Times New Roman" w:cs="Times New Roman"/>
          <w:lang w:val="sr-Latn-CS"/>
        </w:rPr>
        <w:t>društva Podgorica</w:t>
      </w:r>
    </w:p>
    <w:p w:rsidR="00877E67" w:rsidRDefault="00070419" w:rsidP="00070419">
      <w:pPr>
        <w:tabs>
          <w:tab w:val="left" w:pos="540"/>
          <w:tab w:val="left" w:pos="569"/>
        </w:tabs>
        <w:spacing w:after="0" w:line="240" w:lineRule="auto"/>
        <w:jc w:val="both"/>
        <w:rPr>
          <w:rFonts w:ascii="Times New Roman" w:eastAsia="Times New Roman" w:hAnsi="Times New Roman" w:cs="Times New Roman"/>
          <w:lang w:val="sr-Latn-CS"/>
        </w:rPr>
      </w:pPr>
      <w:r w:rsidRPr="00070419">
        <w:rPr>
          <w:rFonts w:ascii="Times New Roman" w:eastAsia="Times New Roman" w:hAnsi="Times New Roman" w:cs="Times New Roman"/>
          <w:lang w:val="sr-Latn-CS"/>
        </w:rPr>
        <w:t>ul. Svetlane Kane Radević 3, 81000 Podgorica, Crna Gora</w:t>
      </w:r>
    </w:p>
    <w:p w:rsidR="00070419" w:rsidRPr="00877E67" w:rsidRDefault="00070419" w:rsidP="00070419">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8. </w:t>
      </w:r>
      <w:r w:rsidRPr="00877E67">
        <w:rPr>
          <w:rFonts w:ascii="Times New Roman" w:eastAsia="Times New Roman" w:hAnsi="Times New Roman" w:cs="Times New Roman"/>
          <w:b/>
          <w:bCs/>
          <w:noProof/>
          <w:lang w:val="sr-Latn-ME"/>
        </w:rPr>
        <w:tab/>
        <w:t>BROJ PRVE DOZVOLE/ OBNOVE DOZVOLE</w:t>
      </w:r>
    </w:p>
    <w:p w:rsid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DC4BC0" w:rsidRDefault="00DC4BC0" w:rsidP="00877E67">
      <w:pPr>
        <w:tabs>
          <w:tab w:val="left" w:pos="540"/>
          <w:tab w:val="left" w:pos="569"/>
        </w:tabs>
        <w:spacing w:after="0" w:line="240" w:lineRule="auto"/>
        <w:jc w:val="both"/>
        <w:rPr>
          <w:rFonts w:ascii="Times New Roman" w:eastAsia="Times New Roman" w:hAnsi="Times New Roman" w:cs="Times New Roman"/>
          <w:bCs/>
          <w:noProof/>
          <w:lang w:val="sr-Latn-ME"/>
        </w:rPr>
      </w:pPr>
      <w:r w:rsidRPr="00DC4BC0">
        <w:rPr>
          <w:rFonts w:ascii="Times New Roman" w:eastAsia="Times New Roman" w:hAnsi="Times New Roman" w:cs="Times New Roman"/>
          <w:bCs/>
          <w:noProof/>
          <w:lang w:val="sr-Latn-ME"/>
        </w:rPr>
        <w:t>Tobrex, kapi za oči, rastvor, 3</w:t>
      </w:r>
      <w:r w:rsidR="00FD3603">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mg/ml, bočica sa kapaljkom, 1x5</w:t>
      </w:r>
      <w:r w:rsidR="00FD3603">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ml</w:t>
      </w:r>
      <w:r>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 xml:space="preserve">2030/17/242 </w:t>
      </w:r>
      <w:r>
        <w:rPr>
          <w:rFonts w:ascii="Times New Roman" w:eastAsia="Times New Roman" w:hAnsi="Times New Roman" w:cs="Times New Roman"/>
          <w:bCs/>
          <w:noProof/>
          <w:lang w:val="sr-Latn-ME"/>
        </w:rPr>
        <w:t>–</w:t>
      </w:r>
      <w:r w:rsidRPr="00DC4BC0">
        <w:rPr>
          <w:rFonts w:ascii="Times New Roman" w:eastAsia="Times New Roman" w:hAnsi="Times New Roman" w:cs="Times New Roman"/>
          <w:bCs/>
          <w:noProof/>
          <w:lang w:val="sr-Latn-ME"/>
        </w:rPr>
        <w:t xml:space="preserve"> 7085</w:t>
      </w:r>
    </w:p>
    <w:p w:rsidR="00DC4BC0" w:rsidRPr="00877E67" w:rsidRDefault="00DC4BC0"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t xml:space="preserve">9. </w:t>
      </w:r>
      <w:r w:rsidRPr="00877E67">
        <w:rPr>
          <w:rFonts w:ascii="Times New Roman" w:eastAsia="Times New Roman" w:hAnsi="Times New Roman" w:cs="Times New Roman"/>
          <w:b/>
          <w:bCs/>
          <w:noProof/>
          <w:lang w:val="sr-Latn-ME"/>
        </w:rPr>
        <w:tab/>
        <w:t>DATUM PRVE DOZVOLE/ DATUM OBNOVE DOZVOLE</w:t>
      </w:r>
    </w:p>
    <w:p w:rsidR="00877E67" w:rsidRPr="00877E67" w:rsidRDefault="00877E67" w:rsidP="00877E67">
      <w:pPr>
        <w:tabs>
          <w:tab w:val="left" w:pos="540"/>
          <w:tab w:val="left" w:pos="569"/>
        </w:tabs>
        <w:spacing w:after="0" w:line="240" w:lineRule="auto"/>
        <w:jc w:val="both"/>
        <w:rPr>
          <w:rFonts w:ascii="Times New Roman" w:eastAsia="Times New Roman" w:hAnsi="Times New Roman" w:cs="Times New Roman"/>
          <w:bCs/>
          <w:noProof/>
          <w:lang w:val="sr-Latn-ME"/>
        </w:rPr>
      </w:pPr>
    </w:p>
    <w:p w:rsidR="00DC4BC0" w:rsidRDefault="00DC4BC0" w:rsidP="00DC4BC0">
      <w:pPr>
        <w:tabs>
          <w:tab w:val="left" w:pos="540"/>
          <w:tab w:val="left" w:pos="569"/>
        </w:tabs>
        <w:spacing w:after="0" w:line="240" w:lineRule="auto"/>
        <w:jc w:val="both"/>
        <w:rPr>
          <w:rFonts w:ascii="Times New Roman" w:eastAsia="Times New Roman" w:hAnsi="Times New Roman" w:cs="Times New Roman"/>
          <w:bCs/>
          <w:noProof/>
          <w:lang w:val="sr-Latn-ME"/>
        </w:rPr>
      </w:pPr>
      <w:r w:rsidRPr="00DC4BC0">
        <w:rPr>
          <w:rFonts w:ascii="Times New Roman" w:eastAsia="Times New Roman" w:hAnsi="Times New Roman" w:cs="Times New Roman"/>
          <w:bCs/>
          <w:noProof/>
          <w:lang w:val="sr-Latn-ME"/>
        </w:rPr>
        <w:t>Tobrex, kapi za oči, rastvor, 3</w:t>
      </w:r>
      <w:r w:rsidR="00FD3603">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mg/ml, bočica sa kapaljkom, 1x5</w:t>
      </w:r>
      <w:r w:rsidR="00FD3603">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ml</w:t>
      </w:r>
      <w:r>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28.02.2017. godine</w:t>
      </w:r>
    </w:p>
    <w:p w:rsidR="00DC4BC0" w:rsidRDefault="00877E67" w:rsidP="00DC4BC0">
      <w:pPr>
        <w:tabs>
          <w:tab w:val="left" w:pos="540"/>
          <w:tab w:val="left" w:pos="569"/>
        </w:tabs>
        <w:spacing w:after="0" w:line="240" w:lineRule="auto"/>
        <w:ind w:left="540" w:hanging="540"/>
        <w:jc w:val="both"/>
        <w:rPr>
          <w:rFonts w:ascii="Times New Roman" w:eastAsia="Times New Roman" w:hAnsi="Times New Roman" w:cs="Times New Roman"/>
          <w:b/>
          <w:bCs/>
          <w:noProof/>
          <w:lang w:val="sr-Latn-ME"/>
        </w:rPr>
      </w:pPr>
      <w:r w:rsidRPr="00877E67">
        <w:rPr>
          <w:rFonts w:ascii="Times New Roman" w:eastAsia="Times New Roman" w:hAnsi="Times New Roman" w:cs="Times New Roman"/>
          <w:b/>
          <w:bCs/>
          <w:noProof/>
          <w:lang w:val="sr-Latn-ME"/>
        </w:rPr>
        <w:lastRenderedPageBreak/>
        <w:t xml:space="preserve">10. </w:t>
      </w:r>
      <w:r w:rsidRPr="00877E67">
        <w:rPr>
          <w:rFonts w:ascii="Times New Roman" w:eastAsia="Times New Roman" w:hAnsi="Times New Roman" w:cs="Times New Roman"/>
          <w:b/>
          <w:bCs/>
          <w:noProof/>
          <w:lang w:val="sr-Latn-ME"/>
        </w:rPr>
        <w:tab/>
        <w:t>DATUM POSLEDNJE REVIZIJE TEKSTA SAŽETKA OSNOVNIH KARAKTERISTIKA LIJEKA</w:t>
      </w:r>
    </w:p>
    <w:p w:rsidR="00DC4BC0" w:rsidRDefault="00DC4BC0" w:rsidP="00DC4BC0">
      <w:pPr>
        <w:tabs>
          <w:tab w:val="left" w:pos="540"/>
          <w:tab w:val="left" w:pos="569"/>
        </w:tabs>
        <w:spacing w:after="0" w:line="240" w:lineRule="auto"/>
        <w:ind w:left="540" w:hanging="540"/>
        <w:jc w:val="both"/>
        <w:rPr>
          <w:rFonts w:ascii="Times New Roman" w:eastAsia="Times New Roman" w:hAnsi="Times New Roman" w:cs="Times New Roman"/>
          <w:b/>
          <w:bCs/>
          <w:noProof/>
          <w:lang w:val="sr-Latn-ME"/>
        </w:rPr>
      </w:pPr>
    </w:p>
    <w:p w:rsidR="00DC4BC0" w:rsidRPr="00DC4BC0" w:rsidRDefault="00DC4BC0" w:rsidP="00DC4BC0">
      <w:pPr>
        <w:tabs>
          <w:tab w:val="left" w:pos="540"/>
          <w:tab w:val="left" w:pos="569"/>
        </w:tabs>
        <w:spacing w:after="0" w:line="240" w:lineRule="auto"/>
        <w:ind w:left="540" w:hanging="540"/>
        <w:jc w:val="both"/>
        <w:rPr>
          <w:rFonts w:ascii="Times New Roman" w:eastAsia="Times New Roman" w:hAnsi="Times New Roman" w:cs="Times New Roman"/>
          <w:bCs/>
          <w:noProof/>
          <w:lang w:val="sr-Latn-ME"/>
        </w:rPr>
      </w:pPr>
      <w:r w:rsidRPr="00DC4BC0">
        <w:rPr>
          <w:rFonts w:ascii="Times New Roman" w:eastAsia="Times New Roman" w:hAnsi="Times New Roman" w:cs="Times New Roman"/>
          <w:bCs/>
          <w:noProof/>
          <w:lang w:val="sr-Latn-ME"/>
        </w:rPr>
        <w:t>Fe</w:t>
      </w:r>
      <w:r>
        <w:rPr>
          <w:rFonts w:ascii="Times New Roman" w:eastAsia="Times New Roman" w:hAnsi="Times New Roman" w:cs="Times New Roman"/>
          <w:bCs/>
          <w:noProof/>
          <w:lang w:val="sr-Latn-ME"/>
        </w:rPr>
        <w:t>bruar, 2017. godine</w:t>
      </w: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70D" w:rsidRDefault="0022570D" w:rsidP="00FF2B5A">
      <w:pPr>
        <w:spacing w:after="0" w:line="240" w:lineRule="auto"/>
      </w:pPr>
      <w:r>
        <w:separator/>
      </w:r>
    </w:p>
  </w:endnote>
  <w:endnote w:type="continuationSeparator" w:id="0">
    <w:p w:rsidR="0022570D" w:rsidRDefault="0022570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70419">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70419">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70D" w:rsidRDefault="0022570D" w:rsidP="00FF2B5A">
      <w:pPr>
        <w:spacing w:after="0" w:line="240" w:lineRule="auto"/>
      </w:pPr>
      <w:r>
        <w:separator/>
      </w:r>
    </w:p>
  </w:footnote>
  <w:footnote w:type="continuationSeparator" w:id="0">
    <w:p w:rsidR="0022570D" w:rsidRDefault="0022570D"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70419"/>
    <w:rsid w:val="00116FE6"/>
    <w:rsid w:val="001D04A0"/>
    <w:rsid w:val="0022570D"/>
    <w:rsid w:val="00386A0F"/>
    <w:rsid w:val="003B6E16"/>
    <w:rsid w:val="00461135"/>
    <w:rsid w:val="004D3C05"/>
    <w:rsid w:val="006752AF"/>
    <w:rsid w:val="006F0577"/>
    <w:rsid w:val="00747C4B"/>
    <w:rsid w:val="00877E67"/>
    <w:rsid w:val="00883AF2"/>
    <w:rsid w:val="009318B4"/>
    <w:rsid w:val="00934541"/>
    <w:rsid w:val="00A06058"/>
    <w:rsid w:val="00B234CE"/>
    <w:rsid w:val="00B34AF2"/>
    <w:rsid w:val="00C4240B"/>
    <w:rsid w:val="00D45AFE"/>
    <w:rsid w:val="00DC4BC0"/>
    <w:rsid w:val="00E0627A"/>
    <w:rsid w:val="00EA704D"/>
    <w:rsid w:val="00EB2A93"/>
    <w:rsid w:val="00F00240"/>
    <w:rsid w:val="00F1527C"/>
    <w:rsid w:val="00FD360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11589-2378-484D-8C31-8A627C12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2018-09-04T09:36:00Z</dcterms:created>
  <dcterms:modified xsi:type="dcterms:W3CDTF">2018-09-04T09:43:00Z</dcterms:modified>
</cp:coreProperties>
</file>