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524" w:rsidRPr="0017657C" w:rsidRDefault="00741524" w:rsidP="0017657C">
      <w:pPr>
        <w:tabs>
          <w:tab w:val="left" w:pos="360"/>
        </w:tabs>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tbl>
      <w:tblPr>
        <w:tblW w:w="9360" w:type="dxa"/>
        <w:jc w:val="center"/>
        <w:tblLayout w:type="fixed"/>
        <w:tblLook w:val="0000" w:firstRow="0" w:lastRow="0" w:firstColumn="0" w:lastColumn="0" w:noHBand="0" w:noVBand="0"/>
      </w:tblPr>
      <w:tblGrid>
        <w:gridCol w:w="2160"/>
        <w:gridCol w:w="7200"/>
      </w:tblGrid>
      <w:tr w:rsidR="00741524" w:rsidRPr="0017657C" w:rsidTr="00741524">
        <w:trPr>
          <w:trHeight w:val="530"/>
          <w:jc w:val="center"/>
        </w:trPr>
        <w:tc>
          <w:tcPr>
            <w:tcW w:w="9360" w:type="dxa"/>
            <w:gridSpan w:val="2"/>
            <w:vAlign w:val="center"/>
          </w:tcPr>
          <w:p w:rsidR="00741524" w:rsidRPr="0017657C" w:rsidRDefault="00741524" w:rsidP="0017657C">
            <w:pPr>
              <w:spacing w:after="0" w:line="240" w:lineRule="auto"/>
              <w:jc w:val="center"/>
              <w:rPr>
                <w:rFonts w:ascii="Times New Roman" w:eastAsia="Times New Roman" w:hAnsi="Times New Roman" w:cs="Times New Roman"/>
                <w:b/>
                <w:bCs/>
                <w:iCs/>
                <w:u w:val="single"/>
                <w:lang w:val="sr-Latn-ME"/>
              </w:rPr>
            </w:pPr>
            <w:r w:rsidRPr="0017657C">
              <w:rPr>
                <w:rFonts w:ascii="Times New Roman" w:eastAsia="Times New Roman" w:hAnsi="Times New Roman" w:cs="Times New Roman"/>
                <w:b/>
                <w:bCs/>
                <w:iCs/>
                <w:u w:val="single"/>
                <w:lang w:val="sr-Latn-ME"/>
              </w:rPr>
              <w:t>SAŽETAK KARAKTERISTIKA LIJEKA</w:t>
            </w:r>
          </w:p>
        </w:tc>
      </w:tr>
      <w:tr w:rsidR="00741524" w:rsidRPr="0017657C" w:rsidTr="00741524">
        <w:trPr>
          <w:trHeight w:val="1969"/>
          <w:jc w:val="center"/>
        </w:trPr>
        <w:tc>
          <w:tcPr>
            <w:tcW w:w="9360" w:type="dxa"/>
            <w:gridSpan w:val="2"/>
            <w:vAlign w:val="bottom"/>
          </w:tcPr>
          <w:p w:rsidR="00741524" w:rsidRPr="0017657C" w:rsidRDefault="00741524" w:rsidP="0017657C">
            <w:pPr>
              <w:spacing w:after="40" w:line="240" w:lineRule="auto"/>
              <w:jc w:val="center"/>
              <w:rPr>
                <w:rFonts w:ascii="Times New Roman" w:eastAsia="Times New Roman" w:hAnsi="Times New Roman" w:cs="Times New Roman"/>
                <w:b/>
                <w:bCs/>
                <w:u w:val="single"/>
                <w:lang w:val="sr-Latn-ME"/>
              </w:rPr>
            </w:pPr>
          </w:p>
        </w:tc>
      </w:tr>
      <w:tr w:rsidR="00741524" w:rsidRPr="0017657C" w:rsidTr="00741524">
        <w:trPr>
          <w:trHeight w:val="1225"/>
          <w:jc w:val="center"/>
        </w:trPr>
        <w:tc>
          <w:tcPr>
            <w:tcW w:w="9360" w:type="dxa"/>
            <w:gridSpan w:val="2"/>
          </w:tcPr>
          <w:p w:rsidR="00741524" w:rsidRPr="0017657C" w:rsidRDefault="00741524" w:rsidP="0017657C">
            <w:pPr>
              <w:spacing w:after="0" w:line="240" w:lineRule="auto"/>
              <w:jc w:val="center"/>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Kisqali</w:t>
            </w:r>
            <w:r w:rsidRPr="0017657C">
              <w:rPr>
                <w:rFonts w:ascii="Times New Roman" w:eastAsia="Times New Roman" w:hAnsi="Times New Roman" w:cs="Times New Roman"/>
                <w:b/>
                <w:bCs/>
                <w:vertAlign w:val="superscript"/>
                <w:lang w:val="sr-Latn-ME"/>
              </w:rPr>
              <w:t>®</w:t>
            </w:r>
            <w:r w:rsidRPr="0017657C">
              <w:rPr>
                <w:rFonts w:ascii="Times New Roman" w:eastAsia="Times New Roman" w:hAnsi="Times New Roman" w:cs="Times New Roman"/>
                <w:b/>
                <w:bCs/>
                <w:lang w:val="sr-Latn-ME"/>
              </w:rPr>
              <w:t>, film tableta, 200 mg, blister, 21 (1x21) film tableta</w:t>
            </w:r>
          </w:p>
          <w:p w:rsidR="00741524" w:rsidRPr="0017657C" w:rsidRDefault="00741524" w:rsidP="0017657C">
            <w:pPr>
              <w:spacing w:after="0" w:line="240" w:lineRule="auto"/>
              <w:jc w:val="center"/>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Kisqali</w:t>
            </w:r>
            <w:r w:rsidRPr="0017657C">
              <w:rPr>
                <w:rFonts w:ascii="Times New Roman" w:eastAsia="Times New Roman" w:hAnsi="Times New Roman" w:cs="Times New Roman"/>
                <w:b/>
                <w:bCs/>
                <w:vertAlign w:val="superscript"/>
                <w:lang w:val="sr-Latn-ME"/>
              </w:rPr>
              <w:t>®</w:t>
            </w:r>
            <w:r w:rsidRPr="0017657C">
              <w:rPr>
                <w:rFonts w:ascii="Times New Roman" w:eastAsia="Times New Roman" w:hAnsi="Times New Roman" w:cs="Times New Roman"/>
                <w:b/>
                <w:bCs/>
                <w:lang w:val="sr-Latn-ME"/>
              </w:rPr>
              <w:t>, film tableta, 200 mg, blister, 63 (3x21) film tablete</w:t>
            </w:r>
          </w:p>
          <w:p w:rsidR="00741524" w:rsidRPr="0017657C" w:rsidRDefault="00741524" w:rsidP="0017657C">
            <w:pPr>
              <w:keepNext/>
              <w:tabs>
                <w:tab w:val="left" w:pos="284"/>
              </w:tabs>
              <w:spacing w:after="0" w:line="240" w:lineRule="auto"/>
              <w:jc w:val="center"/>
              <w:outlineLvl w:val="1"/>
              <w:rPr>
                <w:rFonts w:ascii="Times New Roman" w:eastAsia="Times New Roman" w:hAnsi="Times New Roman" w:cs="Times New Roman"/>
                <w:i/>
                <w:iCs/>
                <w:color w:val="808080"/>
                <w:lang w:val="sr-Latn-ME"/>
              </w:rPr>
            </w:pPr>
          </w:p>
        </w:tc>
      </w:tr>
      <w:tr w:rsidR="00741524" w:rsidRPr="0017657C" w:rsidTr="00741524">
        <w:trPr>
          <w:jc w:val="center"/>
        </w:trPr>
        <w:tc>
          <w:tcPr>
            <w:tcW w:w="2160" w:type="dxa"/>
            <w:vAlign w:val="bottom"/>
          </w:tcPr>
          <w:p w:rsidR="00741524" w:rsidRPr="0017657C" w:rsidRDefault="00741524" w:rsidP="0017657C">
            <w:pPr>
              <w:spacing w:before="200" w:after="0" w:line="240" w:lineRule="auto"/>
              <w:jc w:val="right"/>
              <w:rPr>
                <w:rFonts w:ascii="Times New Roman" w:eastAsia="Times New Roman" w:hAnsi="Times New Roman" w:cs="Times New Roman"/>
                <w:lang w:val="sr-Latn-ME"/>
              </w:rPr>
            </w:pPr>
            <w:r w:rsidRPr="0017657C">
              <w:rPr>
                <w:rFonts w:ascii="Times New Roman" w:eastAsia="Times New Roman" w:hAnsi="Times New Roman" w:cs="Times New Roman"/>
                <w:lang w:val="sr-Latn-ME"/>
              </w:rPr>
              <w:t>Proizvođač:</w:t>
            </w:r>
          </w:p>
        </w:tc>
        <w:tc>
          <w:tcPr>
            <w:tcW w:w="7200" w:type="dxa"/>
            <w:vAlign w:val="bottom"/>
          </w:tcPr>
          <w:p w:rsidR="00741524" w:rsidRPr="0017657C" w:rsidRDefault="00741524" w:rsidP="0017657C">
            <w:pPr>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Novartis Pharma Produktions GmbH</w:t>
            </w:r>
          </w:p>
        </w:tc>
      </w:tr>
      <w:tr w:rsidR="00741524" w:rsidRPr="0017657C" w:rsidTr="00741524">
        <w:trPr>
          <w:jc w:val="center"/>
        </w:trPr>
        <w:tc>
          <w:tcPr>
            <w:tcW w:w="2160" w:type="dxa"/>
            <w:vAlign w:val="bottom"/>
          </w:tcPr>
          <w:p w:rsidR="00741524" w:rsidRPr="0017657C" w:rsidRDefault="00741524" w:rsidP="0017657C">
            <w:pPr>
              <w:spacing w:before="200" w:after="0" w:line="240" w:lineRule="auto"/>
              <w:jc w:val="right"/>
              <w:rPr>
                <w:rFonts w:ascii="Times New Roman" w:eastAsia="Times New Roman" w:hAnsi="Times New Roman" w:cs="Times New Roman"/>
                <w:lang w:val="sr-Latn-ME"/>
              </w:rPr>
            </w:pPr>
            <w:r w:rsidRPr="0017657C">
              <w:rPr>
                <w:rFonts w:ascii="Times New Roman" w:eastAsia="Times New Roman" w:hAnsi="Times New Roman" w:cs="Times New Roman"/>
                <w:lang w:val="sr-Latn-ME"/>
              </w:rPr>
              <w:t>Adresa:</w:t>
            </w:r>
          </w:p>
        </w:tc>
        <w:tc>
          <w:tcPr>
            <w:tcW w:w="7200" w:type="dxa"/>
            <w:vAlign w:val="bottom"/>
          </w:tcPr>
          <w:p w:rsidR="00741524" w:rsidRPr="0017657C" w:rsidRDefault="00741524" w:rsidP="0017657C">
            <w:pPr>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Öflinger Strasse 44, 79664 Wehr, Njemačka</w:t>
            </w:r>
          </w:p>
        </w:tc>
      </w:tr>
      <w:tr w:rsidR="00741524" w:rsidRPr="0017657C" w:rsidTr="00741524">
        <w:trPr>
          <w:jc w:val="center"/>
        </w:trPr>
        <w:tc>
          <w:tcPr>
            <w:tcW w:w="2160" w:type="dxa"/>
            <w:vAlign w:val="bottom"/>
          </w:tcPr>
          <w:p w:rsidR="00741524" w:rsidRPr="0017657C" w:rsidRDefault="00741524" w:rsidP="0017657C">
            <w:pPr>
              <w:spacing w:before="200" w:after="0" w:line="240" w:lineRule="auto"/>
              <w:jc w:val="right"/>
              <w:rPr>
                <w:rFonts w:ascii="Times New Roman" w:eastAsia="Times New Roman" w:hAnsi="Times New Roman" w:cs="Times New Roman"/>
                <w:lang w:val="sr-Latn-ME"/>
              </w:rPr>
            </w:pPr>
            <w:r w:rsidRPr="0017657C">
              <w:rPr>
                <w:rFonts w:ascii="Times New Roman" w:eastAsia="Times New Roman" w:hAnsi="Times New Roman" w:cs="Times New Roman"/>
                <w:lang w:val="sr-Latn-ME"/>
              </w:rPr>
              <w:t>Podnosilac zahtjeva:</w:t>
            </w:r>
          </w:p>
        </w:tc>
        <w:tc>
          <w:tcPr>
            <w:tcW w:w="7200" w:type="dxa"/>
            <w:vAlign w:val="bottom"/>
          </w:tcPr>
          <w:p w:rsidR="00741524" w:rsidRPr="0017657C" w:rsidRDefault="00741524" w:rsidP="0017657C">
            <w:pPr>
              <w:spacing w:before="200" w:after="0" w:line="240" w:lineRule="auto"/>
              <w:ind w:left="72" w:hanging="72"/>
              <w:rPr>
                <w:rFonts w:ascii="Times New Roman" w:eastAsia="Times New Roman" w:hAnsi="Times New Roman" w:cs="Times New Roman"/>
                <w:bCs/>
                <w:lang w:val="sr-Latn-ME"/>
              </w:rPr>
            </w:pPr>
            <w:r w:rsidRPr="0017657C">
              <w:rPr>
                <w:rFonts w:ascii="Times New Roman" w:eastAsia="Times New Roman" w:hAnsi="Times New Roman" w:cs="Times New Roman"/>
                <w:lang w:val="sr-Latn-ME"/>
              </w:rPr>
              <w:t>“Novartis Pharma Services AG” dio stranog društva Podgorica</w:t>
            </w:r>
          </w:p>
        </w:tc>
      </w:tr>
      <w:tr w:rsidR="00741524" w:rsidRPr="0017657C" w:rsidTr="00741524">
        <w:trPr>
          <w:jc w:val="center"/>
        </w:trPr>
        <w:tc>
          <w:tcPr>
            <w:tcW w:w="2160" w:type="dxa"/>
            <w:vAlign w:val="bottom"/>
          </w:tcPr>
          <w:p w:rsidR="00741524" w:rsidRPr="0017657C" w:rsidRDefault="00741524" w:rsidP="0017657C">
            <w:pPr>
              <w:spacing w:before="200" w:after="0" w:line="240" w:lineRule="auto"/>
              <w:jc w:val="right"/>
              <w:rPr>
                <w:rFonts w:ascii="Times New Roman" w:eastAsia="Times New Roman" w:hAnsi="Times New Roman" w:cs="Times New Roman"/>
                <w:lang w:val="sr-Latn-ME"/>
              </w:rPr>
            </w:pPr>
            <w:r w:rsidRPr="0017657C">
              <w:rPr>
                <w:rFonts w:ascii="Times New Roman" w:eastAsia="Times New Roman" w:hAnsi="Times New Roman" w:cs="Times New Roman"/>
                <w:lang w:val="sr-Latn-ME"/>
              </w:rPr>
              <w:t>Adresa:</w:t>
            </w:r>
          </w:p>
        </w:tc>
        <w:tc>
          <w:tcPr>
            <w:tcW w:w="7200" w:type="dxa"/>
            <w:vAlign w:val="bottom"/>
          </w:tcPr>
          <w:p w:rsidR="00741524" w:rsidRPr="0017657C" w:rsidRDefault="00741524" w:rsidP="0017657C">
            <w:pPr>
              <w:spacing w:before="200" w:after="0" w:line="240" w:lineRule="auto"/>
              <w:ind w:left="72" w:hanging="72"/>
              <w:rPr>
                <w:rFonts w:ascii="Times New Roman" w:eastAsia="Times New Roman" w:hAnsi="Times New Roman" w:cs="Times New Roman"/>
                <w:b/>
                <w:bCs/>
                <w:lang w:val="sr-Latn-ME"/>
              </w:rPr>
            </w:pPr>
            <w:r w:rsidRPr="0017657C">
              <w:rPr>
                <w:rFonts w:ascii="Times New Roman" w:eastAsia="Times New Roman" w:hAnsi="Times New Roman" w:cs="Times New Roman"/>
                <w:lang w:val="sr-Latn-ME"/>
              </w:rPr>
              <w:t>Ul. Svetlane Kane Radević 3, Podgorica, Crna Gora</w:t>
            </w:r>
          </w:p>
        </w:tc>
      </w:tr>
    </w:tbl>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b/>
          <w:bCs/>
          <w:i/>
          <w:iCs/>
          <w:u w:val="single"/>
          <w:lang w:val="sr-Latn-ME"/>
        </w:rPr>
      </w:pPr>
    </w:p>
    <w:p w:rsidR="00741524" w:rsidRPr="0017657C" w:rsidRDefault="00741524" w:rsidP="0017657C">
      <w:pPr>
        <w:spacing w:after="0" w:line="240" w:lineRule="auto"/>
        <w:rPr>
          <w:rFonts w:ascii="Times New Roman" w:eastAsia="Times New Roman" w:hAnsi="Times New Roman" w:cs="Times New Roman"/>
          <w:color w:val="808080"/>
          <w:lang w:val="sr-Latn-ME"/>
        </w:rPr>
      </w:pPr>
    </w:p>
    <w:p w:rsidR="00741524" w:rsidRPr="0017657C" w:rsidRDefault="00741524" w:rsidP="0017657C">
      <w:pPr>
        <w:spacing w:after="0" w:line="240" w:lineRule="auto"/>
        <w:rPr>
          <w:rFonts w:ascii="Times New Roman" w:eastAsia="Times New Roman" w:hAnsi="Times New Roman" w:cs="Times New Roman"/>
          <w:i/>
          <w:color w:val="808080"/>
          <w:lang w:val="sr-Latn-ME"/>
        </w:rPr>
      </w:pPr>
    </w:p>
    <w:p w:rsidR="00741524" w:rsidRPr="0017657C" w:rsidRDefault="00741524" w:rsidP="0017657C">
      <w:pPr>
        <w:spacing w:after="0" w:line="240" w:lineRule="auto"/>
        <w:rPr>
          <w:rFonts w:ascii="Times New Roman" w:eastAsia="Times New Roman" w:hAnsi="Times New Roman" w:cs="Times New Roman"/>
          <w:i/>
          <w:color w:val="808080"/>
          <w:lang w:val="sr-Latn-ME"/>
        </w:rPr>
      </w:pPr>
    </w:p>
    <w:p w:rsidR="00741524" w:rsidRPr="0017657C" w:rsidRDefault="00741524" w:rsidP="0017657C">
      <w:pPr>
        <w:spacing w:after="0" w:line="240" w:lineRule="auto"/>
        <w:rPr>
          <w:rFonts w:ascii="Times New Roman" w:eastAsia="Times New Roman" w:hAnsi="Times New Roman" w:cs="Times New Roman"/>
          <w:i/>
          <w:color w:val="808080"/>
          <w:lang w:val="sr-Latn-ME"/>
        </w:rPr>
      </w:pPr>
    </w:p>
    <w:p w:rsidR="00741524" w:rsidRPr="0017657C" w:rsidRDefault="00741524" w:rsidP="0017657C">
      <w:pPr>
        <w:spacing w:after="0" w:line="240" w:lineRule="auto"/>
        <w:rPr>
          <w:rFonts w:ascii="Times New Roman" w:eastAsia="Times New Roman" w:hAnsi="Times New Roman" w:cs="Times New Roman"/>
          <w:i/>
          <w:color w:val="808080"/>
          <w:lang w:val="sr-Latn-ME"/>
        </w:rPr>
      </w:pPr>
    </w:p>
    <w:p w:rsidR="00741524" w:rsidRPr="0017657C" w:rsidRDefault="00741524" w:rsidP="0017657C">
      <w:pPr>
        <w:spacing w:after="0" w:line="240" w:lineRule="auto"/>
        <w:rPr>
          <w:rFonts w:ascii="Times New Roman" w:eastAsia="Times New Roman" w:hAnsi="Times New Roman" w:cs="Times New Roman"/>
          <w:i/>
          <w:color w:val="808080"/>
          <w:lang w:val="sr-Latn-ME"/>
        </w:rPr>
      </w:pPr>
    </w:p>
    <w:p w:rsidR="00741524" w:rsidRPr="0017657C" w:rsidRDefault="00741524" w:rsidP="0017657C">
      <w:pPr>
        <w:spacing w:after="0" w:line="240" w:lineRule="auto"/>
        <w:rPr>
          <w:rFonts w:ascii="Times New Roman" w:eastAsia="Times New Roman" w:hAnsi="Times New Roman" w:cs="Times New Roman"/>
          <w:i/>
          <w:color w:val="808080"/>
          <w:lang w:val="sr-Latn-ME"/>
        </w:rPr>
      </w:pPr>
    </w:p>
    <w:p w:rsidR="00741524" w:rsidRPr="0017657C" w:rsidRDefault="00741524" w:rsidP="0017657C">
      <w:pPr>
        <w:spacing w:after="0" w:line="240" w:lineRule="auto"/>
        <w:rPr>
          <w:rFonts w:ascii="Times New Roman" w:eastAsia="Times New Roman" w:hAnsi="Times New Roman" w:cs="Times New Roman"/>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i/>
          <w:lang w:val="sr-Latn-ME"/>
        </w:rPr>
      </w:pPr>
    </w:p>
    <w:p w:rsidR="00741524" w:rsidRPr="0017657C" w:rsidRDefault="00741524" w:rsidP="0017657C">
      <w:pPr>
        <w:spacing w:after="0" w:line="240" w:lineRule="auto"/>
        <w:jc w:val="both"/>
        <w:rPr>
          <w:rFonts w:ascii="Times New Roman" w:eastAsia="Times New Roman" w:hAnsi="Times New Roman" w:cs="Times New Roman"/>
          <w:noProof/>
          <w:lang w:val="sr-Latn-ME"/>
        </w:rPr>
      </w:pPr>
      <w:r w:rsidRPr="0017657C">
        <w:rPr>
          <w:rFonts w:ascii="Times New Roman" w:eastAsia="Times New Roman" w:hAnsi="Times New Roman" w:cs="Times New Roman"/>
          <w:noProof/>
        </w:rPr>
        <w:lastRenderedPageBreak/>
        <w:drawing>
          <wp:inline distT="0" distB="0" distL="0" distR="0">
            <wp:extent cx="171450" cy="142875"/>
            <wp:effectExtent l="0" t="0" r="0" b="9525"/>
            <wp:docPr id="3"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 cy="142875"/>
                    </a:xfrm>
                    <a:prstGeom prst="rect">
                      <a:avLst/>
                    </a:prstGeom>
                    <a:noFill/>
                    <a:ln>
                      <a:noFill/>
                    </a:ln>
                  </pic:spPr>
                </pic:pic>
              </a:graphicData>
            </a:graphic>
          </wp:inline>
        </w:drawing>
      </w:r>
      <w:r w:rsidRPr="0017657C">
        <w:rPr>
          <w:rFonts w:ascii="Times New Roman" w:eastAsia="Times New Roman" w:hAnsi="Times New Roman" w:cs="Times New Roman"/>
          <w:noProof/>
          <w:lang w:val="sr-Latn-ME"/>
        </w:rPr>
        <w:t xml:space="preserve"> Ovaj lijek je pod dodatnim praćenjem.</w:t>
      </w:r>
      <w:r w:rsidRPr="0017657C">
        <w:rPr>
          <w:rFonts w:ascii="Times New Roman" w:eastAsia="Times New Roman" w:hAnsi="Times New Roman" w:cs="Times New Roman"/>
          <w:lang w:val="sr-Latn-ME"/>
        </w:rPr>
        <w:t xml:space="preserve"> </w:t>
      </w:r>
      <w:r w:rsidRPr="0017657C">
        <w:rPr>
          <w:rFonts w:ascii="Times New Roman" w:eastAsia="Times New Roman" w:hAnsi="Times New Roman" w:cs="Times New Roman"/>
          <w:noProof/>
          <w:lang w:val="sr-Latn-ME"/>
        </w:rPr>
        <w:t>Time se omogućava brzo otkrivanje novih bezbjednosnih informacija. Zdravstveni radnici treba da prijave svaku sumnju na neželjeno dejstvo ovog lijeka.</w:t>
      </w:r>
      <w:r w:rsidRPr="0017657C">
        <w:rPr>
          <w:rFonts w:ascii="Times New Roman" w:eastAsia="Times New Roman" w:hAnsi="Times New Roman" w:cs="Times New Roman"/>
          <w:lang w:val="sr-Latn-ME"/>
        </w:rPr>
        <w:t xml:space="preserve"> Za način prijavljivanja neželjenih dejstava vidjeti odjeljak 4.8</w:t>
      </w:r>
      <w:r w:rsidRPr="0017657C">
        <w:rPr>
          <w:rFonts w:ascii="Times New Roman" w:eastAsia="Times New Roman" w:hAnsi="Times New Roman" w:cs="Times New Roman"/>
          <w:noProof/>
          <w:lang w:val="sr-Latn-ME"/>
        </w:rPr>
        <w:t>.</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1.</w:t>
      </w:r>
      <w:r w:rsidRPr="0017657C">
        <w:rPr>
          <w:rFonts w:ascii="Times New Roman" w:eastAsia="Times New Roman" w:hAnsi="Times New Roman" w:cs="Times New Roman"/>
          <w:b/>
          <w:bCs/>
          <w:lang w:val="sr-Latn-ME"/>
        </w:rPr>
        <w:tab/>
        <w:t>NAZIV LIJEKA</w:t>
      </w:r>
    </w:p>
    <w:p w:rsidR="00741524" w:rsidRPr="0017657C" w:rsidRDefault="00741524" w:rsidP="0017657C">
      <w:pPr>
        <w:spacing w:after="0" w:line="240" w:lineRule="auto"/>
        <w:rPr>
          <w:rFonts w:ascii="Times New Roman" w:eastAsia="Times New Roman" w:hAnsi="Times New Roman" w:cs="Times New Roman"/>
          <w:lang w:val="sr-Latn-ME"/>
        </w:rPr>
      </w:pPr>
    </w:p>
    <w:p w:rsidR="00741524" w:rsidRPr="0017657C" w:rsidRDefault="00741524" w:rsidP="0017657C">
      <w:pPr>
        <w:spacing w:after="0" w:line="240" w:lineRule="auto"/>
        <w:rPr>
          <w:rFonts w:ascii="Times New Roman" w:eastAsia="Times New Roman" w:hAnsi="Times New Roman" w:cs="Times New Roman"/>
          <w:bCs/>
          <w:lang w:val="sr-Latn-ME"/>
        </w:rPr>
      </w:pPr>
      <w:r w:rsidRPr="0017657C">
        <w:rPr>
          <w:rFonts w:ascii="Times New Roman" w:eastAsia="Times New Roman" w:hAnsi="Times New Roman" w:cs="Times New Roman"/>
          <w:bCs/>
          <w:lang w:val="sr-Latn-ME"/>
        </w:rPr>
        <w:t>Kisqali</w:t>
      </w:r>
      <w:r w:rsidRPr="0017657C">
        <w:rPr>
          <w:rFonts w:ascii="Times New Roman" w:eastAsia="Times New Roman" w:hAnsi="Times New Roman" w:cs="Times New Roman"/>
          <w:bCs/>
          <w:vertAlign w:val="superscript"/>
          <w:lang w:val="sr-Latn-ME"/>
        </w:rPr>
        <w:t>®</w:t>
      </w:r>
      <w:r w:rsidRPr="0017657C">
        <w:rPr>
          <w:rFonts w:ascii="Times New Roman" w:eastAsia="Times New Roman" w:hAnsi="Times New Roman" w:cs="Times New Roman"/>
          <w:bCs/>
          <w:lang w:val="sr-Latn-ME"/>
        </w:rPr>
        <w:t xml:space="preserve">, 200 mg, film tableta  </w:t>
      </w:r>
    </w:p>
    <w:p w:rsidR="00741524" w:rsidRPr="0017657C" w:rsidRDefault="00741524" w:rsidP="0017657C">
      <w:pPr>
        <w:spacing w:after="0" w:line="240" w:lineRule="auto"/>
        <w:rPr>
          <w:rFonts w:ascii="Times New Roman" w:eastAsia="Times New Roman" w:hAnsi="Times New Roman" w:cs="Times New Roman"/>
          <w:bCs/>
          <w:lang w:val="sr-Latn-ME"/>
        </w:rPr>
      </w:pPr>
    </w:p>
    <w:p w:rsidR="00741524" w:rsidRPr="0017657C" w:rsidRDefault="00741524" w:rsidP="0017657C">
      <w:pPr>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INN: ribociklib</w:t>
      </w:r>
    </w:p>
    <w:p w:rsidR="00741524" w:rsidRDefault="00741524" w:rsidP="0017657C">
      <w:pPr>
        <w:spacing w:after="0" w:line="240" w:lineRule="auto"/>
        <w:rPr>
          <w:rFonts w:ascii="Times New Roman" w:eastAsia="Times New Roman" w:hAnsi="Times New Roman" w:cs="Times New Roman"/>
          <w:bCs/>
          <w:lang w:val="sr-Latn-ME"/>
        </w:rPr>
      </w:pPr>
    </w:p>
    <w:p w:rsidR="00E21E65" w:rsidRPr="0017657C" w:rsidRDefault="00E21E65" w:rsidP="0017657C">
      <w:pPr>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2. </w:t>
      </w:r>
      <w:r w:rsidRPr="0017657C">
        <w:rPr>
          <w:rFonts w:ascii="Times New Roman" w:eastAsia="Times New Roman" w:hAnsi="Times New Roman" w:cs="Times New Roman"/>
          <w:b/>
          <w:bCs/>
          <w:lang w:val="sr-Latn-ME"/>
        </w:rPr>
        <w:tab/>
        <w:t>KVALITATIVNI I KVANTITATIVNI SASTAV</w:t>
      </w: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Jedna film tableta sadrži 200 mg ribocikliba, u obliku ribociklib sukcinata.</w:t>
      </w: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outlineLvl w:val="0"/>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Pomoćne supstance sa potvrđenim dejstvom</w:t>
      </w:r>
    </w:p>
    <w:p w:rsidR="00741524" w:rsidRPr="0017657C" w:rsidRDefault="00741524" w:rsidP="0017657C">
      <w:pPr>
        <w:keepNext/>
        <w:widowControl w:val="0"/>
        <w:spacing w:after="0" w:line="240" w:lineRule="auto"/>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Svaka film tableta sadrži 0,344 mg sojinog lecitina.</w:t>
      </w: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Za listu svih pomoćnih supstanci, vidjeti odjeljak 6.1.</w:t>
      </w:r>
    </w:p>
    <w:p w:rsidR="00741524" w:rsidRPr="0017657C" w:rsidRDefault="00741524" w:rsidP="0017657C">
      <w:pPr>
        <w:spacing w:after="0" w:line="240" w:lineRule="auto"/>
        <w:rPr>
          <w:rFonts w:ascii="Times New Roman" w:eastAsia="Times New Roman" w:hAnsi="Times New Roman" w:cs="Times New Roman"/>
          <w:lang w:val="sr-Latn-ME"/>
        </w:rPr>
      </w:pPr>
    </w:p>
    <w:p w:rsidR="00741524" w:rsidRPr="0017657C" w:rsidRDefault="00741524" w:rsidP="0017657C">
      <w:pPr>
        <w:spacing w:after="0" w:line="240" w:lineRule="auto"/>
        <w:rPr>
          <w:rFonts w:ascii="Times New Roman" w:eastAsia="Times New Roman" w:hAnsi="Times New Roman" w:cs="Times New Roman"/>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3. </w:t>
      </w:r>
      <w:r w:rsidRPr="0017657C">
        <w:rPr>
          <w:rFonts w:ascii="Times New Roman" w:eastAsia="Times New Roman" w:hAnsi="Times New Roman" w:cs="Times New Roman"/>
          <w:b/>
          <w:bCs/>
          <w:lang w:val="sr-Latn-ME"/>
        </w:rPr>
        <w:tab/>
        <w:t>FARMACEUTSKI OBLIK</w:t>
      </w: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Film tableta.</w:t>
      </w: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Svijetlo sivkastoljubičaste boje, bez podione crte, okrugle, sa zaobljenim ivicama (prečnika oko 11,1 mm), sa utisnutom oznakom „RIC“ sa jedne strane i „NVR“ sa druge strane.</w:t>
      </w:r>
    </w:p>
    <w:p w:rsidR="00741524" w:rsidRPr="0017657C" w:rsidRDefault="00741524" w:rsidP="0017657C">
      <w:pPr>
        <w:spacing w:after="0" w:line="240" w:lineRule="auto"/>
        <w:rPr>
          <w:rFonts w:ascii="Times New Roman" w:eastAsia="Times New Roman" w:hAnsi="Times New Roman" w:cs="Times New Roman"/>
          <w:bCs/>
          <w:lang w:val="sr-Latn-ME"/>
        </w:rPr>
      </w:pPr>
    </w:p>
    <w:p w:rsidR="00741524" w:rsidRPr="0017657C" w:rsidRDefault="00741524" w:rsidP="0017657C">
      <w:pPr>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 </w:t>
      </w:r>
      <w:r w:rsidRPr="0017657C">
        <w:rPr>
          <w:rFonts w:ascii="Times New Roman" w:eastAsia="Times New Roman" w:hAnsi="Times New Roman" w:cs="Times New Roman"/>
          <w:b/>
          <w:bCs/>
          <w:lang w:val="sr-Latn-ME"/>
        </w:rPr>
        <w:tab/>
        <w:t>KLINIČKI PODACI</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4.1. </w:t>
      </w:r>
      <w:r w:rsidRPr="0017657C">
        <w:rPr>
          <w:rFonts w:ascii="Times New Roman" w:eastAsia="Times New Roman" w:hAnsi="Times New Roman" w:cs="Times New Roman"/>
          <w:b/>
          <w:bCs/>
          <w:lang w:val="sr-Latn-ME"/>
        </w:rPr>
        <w:tab/>
        <w:t>Terapijske indikacije</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Lijek Kisqali je u kombinaciji sa inhibitorom aromataze indikovan kao početna endokrina terapija za liječenje postmenopauzalnih žena sa lokalno uznapredovalim ili metastatskim  hormon receptor (HR) pozitivnim i HER2 negativnim karcinomom dojke.</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4.2. </w:t>
      </w:r>
      <w:r w:rsidRPr="0017657C">
        <w:rPr>
          <w:rFonts w:ascii="Times New Roman" w:eastAsia="Times New Roman" w:hAnsi="Times New Roman" w:cs="Times New Roman"/>
          <w:b/>
          <w:bCs/>
          <w:lang w:val="sr-Latn-ME"/>
        </w:rPr>
        <w:tab/>
        <w:t>Doziranje i način primjene</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Liječenje lijekom Kisqali mora započeti ljekar sa iskustvom u primjeni terapija protiv raka.</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Doziranje</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Preporučena doza je 600 mg (tri film tablete od 200 mg) ribocikliba jednom dnevno uzastopno 21  dan, nakon čega slijedi 7 dana bez liječenja, čime se dobija potpuni ciklus od 28 dana. Terapiju je potrebno nastaviti sve dok pacijent ima kliničke koristi od nje ili do pojave neprihvatljive toksičnosti.</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lastRenderedPageBreak/>
        <w:t>Lijek Kisqali mora da se uzima zajedno sa 2,5 mg letrozola ili sa drugim inhibitorom aromataze. Inhibitor aromataze treba da se uzima oralno jednom dnevno bez prekida tokom ciklusa od 28 dana. Vidjeti sažetak karakteristika lijeka (SmPC) inhibitora aromataze za dodatne informacije.</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Lijek Kisqali može da se uzima sa hranom ili bez nje (vidjeti odjeljak 4.5). Pacijente treba savjetovati da uzimaju svoju dozu u približno isto vrijeme svakoga dana, po mogućnosti ujutru. Ukoliko pacijent povraća nakon uzimanja doze ili propusti dozu, toga dana se ne smije uzimati dodatna doza. Sljedeću propisanu dozu potrebno je uzeti u uobičajeno vrijeme.</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t>Prilagođavanje doze</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Zbrinjavanje teških ili nepodnošljivih neželjenih reakcija na lijek (NRL) može zahtijevati privremeni prekid terapije, smanjenje doze ili trajni prekid terapije lijekom Kisqali. Ako je potrebno smanjiti dozu, smjernice za smanjenje preporučene doze navedene su u Tabeli 1.</w:t>
      </w:r>
    </w:p>
    <w:p w:rsidR="00741524" w:rsidRPr="0017657C" w:rsidRDefault="00741524" w:rsidP="0017657C">
      <w:pPr>
        <w:widowControl w:val="0"/>
        <w:spacing w:after="0" w:line="240" w:lineRule="auto"/>
        <w:rPr>
          <w:rFonts w:ascii="Times New Roman" w:eastAsia="Times New Roman" w:hAnsi="Times New Roman" w:cs="Times New Roman"/>
          <w:b/>
          <w:lang w:val="sr-Latn-ME"/>
        </w:rPr>
      </w:pPr>
    </w:p>
    <w:p w:rsidR="00741524" w:rsidRPr="0017657C" w:rsidRDefault="00741524" w:rsidP="0017657C">
      <w:pPr>
        <w:keepNext/>
        <w:keepLines/>
        <w:widowControl w:val="0"/>
        <w:tabs>
          <w:tab w:val="left" w:pos="284"/>
        </w:tabs>
        <w:spacing w:after="0" w:line="240" w:lineRule="auto"/>
        <w:jc w:val="both"/>
        <w:outlineLvl w:val="5"/>
        <w:rPr>
          <w:rFonts w:ascii="Times New Roman" w:eastAsia="Times New Roman" w:hAnsi="Times New Roman" w:cs="Times New Roman"/>
          <w:b/>
          <w:lang w:val="sr-Latn-ME"/>
        </w:rPr>
      </w:pPr>
      <w:bookmarkStart w:id="0" w:name="_Toc453062524"/>
      <w:r w:rsidRPr="0017657C">
        <w:rPr>
          <w:rFonts w:ascii="Times New Roman" w:eastAsia="Times New Roman" w:hAnsi="Times New Roman" w:cs="Times New Roman"/>
          <w:b/>
          <w:lang w:val="sr-Latn-ME"/>
        </w:rPr>
        <w:t>Tabela 1</w:t>
      </w:r>
      <w:r w:rsidRPr="0017657C">
        <w:rPr>
          <w:rFonts w:ascii="Times New Roman" w:eastAsia="Times New Roman" w:hAnsi="Times New Roman" w:cs="Times New Roman"/>
          <w:b/>
          <w:lang w:val="sr-Latn-ME"/>
        </w:rPr>
        <w:tab/>
        <w:t>Smjernice za prilagođavanje preporučene doze</w:t>
      </w:r>
      <w:bookmarkEnd w:id="0"/>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bl>
      <w:tblPr>
        <w:tblW w:w="5000" w:type="pct"/>
        <w:jc w:val="center"/>
        <w:tblBorders>
          <w:top w:val="single" w:sz="4" w:space="0" w:color="auto"/>
          <w:bottom w:val="single" w:sz="4" w:space="0" w:color="auto"/>
        </w:tblBorders>
        <w:tblLook w:val="0000" w:firstRow="0" w:lastRow="0" w:firstColumn="0" w:lastColumn="0" w:noHBand="0" w:noVBand="0"/>
      </w:tblPr>
      <w:tblGrid>
        <w:gridCol w:w="3205"/>
        <w:gridCol w:w="3206"/>
        <w:gridCol w:w="3206"/>
      </w:tblGrid>
      <w:tr w:rsidR="00741524" w:rsidRPr="0017657C" w:rsidTr="00741524">
        <w:trPr>
          <w:tblHeader/>
          <w:jc w:val="center"/>
        </w:trPr>
        <w:tc>
          <w:tcPr>
            <w:tcW w:w="1666" w:type="pct"/>
            <w:vMerge w:val="restart"/>
            <w:tcBorders>
              <w:top w:val="single" w:sz="4" w:space="0" w:color="auto"/>
              <w:left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p>
        </w:tc>
        <w:tc>
          <w:tcPr>
            <w:tcW w:w="3334" w:type="pct"/>
            <w:gridSpan w:val="2"/>
            <w:tcBorders>
              <w:top w:val="single" w:sz="4" w:space="0" w:color="auto"/>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Kisqali</w:t>
            </w:r>
          </w:p>
        </w:tc>
      </w:tr>
      <w:tr w:rsidR="00741524" w:rsidRPr="0017657C" w:rsidTr="00741524">
        <w:trPr>
          <w:jc w:val="center"/>
        </w:trPr>
        <w:tc>
          <w:tcPr>
            <w:tcW w:w="1666" w:type="pct"/>
            <w:vMerge/>
            <w:tcBorders>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Doza</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Broj tableta od 200 mg</w:t>
            </w:r>
          </w:p>
        </w:tc>
      </w:tr>
      <w:tr w:rsidR="00741524" w:rsidRPr="0017657C" w:rsidTr="00741524">
        <w:trPr>
          <w:jc w:val="center"/>
        </w:trPr>
        <w:tc>
          <w:tcPr>
            <w:tcW w:w="1666" w:type="pct"/>
            <w:tcBorders>
              <w:top w:val="single" w:sz="4" w:space="0" w:color="auto"/>
              <w:left w:val="single" w:sz="4" w:space="0" w:color="auto"/>
              <w:bottom w:val="nil"/>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Početna doza</w:t>
            </w:r>
          </w:p>
        </w:tc>
        <w:tc>
          <w:tcPr>
            <w:tcW w:w="1667" w:type="pct"/>
            <w:tcBorders>
              <w:top w:val="single" w:sz="4" w:space="0" w:color="auto"/>
              <w:left w:val="single" w:sz="4" w:space="0" w:color="auto"/>
              <w:bottom w:val="nil"/>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600 mg/dan</w:t>
            </w:r>
          </w:p>
        </w:tc>
        <w:tc>
          <w:tcPr>
            <w:tcW w:w="1667" w:type="pct"/>
            <w:tcBorders>
              <w:top w:val="single" w:sz="4" w:space="0" w:color="auto"/>
              <w:left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3</w:t>
            </w:r>
          </w:p>
        </w:tc>
      </w:tr>
      <w:tr w:rsidR="00741524" w:rsidRPr="0017657C" w:rsidTr="00741524">
        <w:trPr>
          <w:jc w:val="center"/>
        </w:trPr>
        <w:tc>
          <w:tcPr>
            <w:tcW w:w="1666" w:type="pct"/>
            <w:tcBorders>
              <w:top w:val="nil"/>
              <w:left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Prvo smanjenje doze</w:t>
            </w:r>
          </w:p>
        </w:tc>
        <w:tc>
          <w:tcPr>
            <w:tcW w:w="1667" w:type="pct"/>
            <w:tcBorders>
              <w:top w:val="nil"/>
              <w:left w:val="single" w:sz="4" w:space="0" w:color="auto"/>
              <w:bottom w:val="nil"/>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400 mg/dan</w:t>
            </w:r>
          </w:p>
        </w:tc>
        <w:tc>
          <w:tcPr>
            <w:tcW w:w="1667" w:type="pct"/>
            <w:tcBorders>
              <w:left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2</w:t>
            </w:r>
          </w:p>
        </w:tc>
      </w:tr>
      <w:tr w:rsidR="00741524" w:rsidRPr="0017657C" w:rsidTr="00741524">
        <w:trPr>
          <w:jc w:val="center"/>
        </w:trPr>
        <w:tc>
          <w:tcPr>
            <w:tcW w:w="1666" w:type="pct"/>
            <w:tcBorders>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Drugo smanjenje doze</w:t>
            </w:r>
          </w:p>
        </w:tc>
        <w:tc>
          <w:tcPr>
            <w:tcW w:w="1667" w:type="pct"/>
            <w:tcBorders>
              <w:top w:val="nil"/>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200 mg*/dan</w:t>
            </w:r>
          </w:p>
        </w:tc>
        <w:tc>
          <w:tcPr>
            <w:tcW w:w="1667" w:type="pct"/>
            <w:tcBorders>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1</w:t>
            </w:r>
          </w:p>
        </w:tc>
      </w:tr>
      <w:tr w:rsidR="00741524" w:rsidRPr="0017657C" w:rsidTr="00741524">
        <w:trPr>
          <w:jc w:val="center"/>
        </w:trPr>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 Ako je potrebno dalje smanjenje doze ispod 200 mg/dan, terapiju treba trajno prekinuti.</w:t>
            </w:r>
          </w:p>
        </w:tc>
      </w:tr>
    </w:tbl>
    <w:p w:rsidR="00741524" w:rsidRPr="0017657C" w:rsidRDefault="00741524" w:rsidP="0017657C">
      <w:pPr>
        <w:widowControl w:val="0"/>
        <w:spacing w:after="0" w:line="240" w:lineRule="auto"/>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U Tabelama 2, 3, 4 i 5 naveden je sažetak preporuka za privremeni prekid terapije, smanjenje doze ili trajni prekid terapije lijekom Kisqali radi zbrinjavanja specifičnih NRL. Plan zbrinjavanja za svakog pacijenta mora da se zasniva na kliničkoj procjeni ljekara koji sprovodi liječenje na osnovu procjene individualnog odnosa koristi i rizika (vidjeti odjeljak 4.4).</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Prije započinjanja liječenja lijekom Kisqali mora se uraditi kompletna krvna slika (KKS). Nakon započinjanja liječenja, KKS je potrebno pratiti svake 2 nedjelje tokom prva 2 ciklusa, na početku svakog od naredna 4 ciklusa, a nakon toga ako je klinički indikovano.</w:t>
      </w:r>
    </w:p>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keepNext/>
        <w:keepLines/>
        <w:widowControl w:val="0"/>
        <w:tabs>
          <w:tab w:val="left" w:pos="284"/>
        </w:tabs>
        <w:spacing w:after="0" w:line="240" w:lineRule="auto"/>
        <w:jc w:val="both"/>
        <w:outlineLvl w:val="5"/>
        <w:rPr>
          <w:rFonts w:ascii="Times New Roman" w:eastAsia="Times New Roman" w:hAnsi="Times New Roman" w:cs="Times New Roman"/>
          <w:b/>
          <w:lang w:val="sr-Latn-ME"/>
        </w:rPr>
      </w:pPr>
      <w:bookmarkStart w:id="1" w:name="_Toc454202970"/>
      <w:r w:rsidRPr="0017657C">
        <w:rPr>
          <w:rFonts w:ascii="Times New Roman" w:eastAsia="Times New Roman" w:hAnsi="Times New Roman" w:cs="Times New Roman"/>
          <w:b/>
          <w:lang w:val="sr-Latn-ME"/>
        </w:rPr>
        <w:lastRenderedPageBreak/>
        <w:t>Tabela 2</w:t>
      </w:r>
      <w:r w:rsidRPr="0017657C">
        <w:rPr>
          <w:rFonts w:ascii="Times New Roman" w:eastAsia="Times New Roman" w:hAnsi="Times New Roman" w:cs="Times New Roman"/>
          <w:b/>
          <w:lang w:val="sr-Latn-ME"/>
        </w:rPr>
        <w:tab/>
        <w:t>Prilagođavanje doze i zbrinjavanje – Neutropenija</w:t>
      </w:r>
      <w:bookmarkEnd w:id="1"/>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2268"/>
        <w:gridCol w:w="1860"/>
        <w:gridCol w:w="1860"/>
        <w:gridCol w:w="1860"/>
      </w:tblGrid>
      <w:tr w:rsidR="00741524" w:rsidRPr="0017657C" w:rsidTr="00741524">
        <w:trPr>
          <w:tblHeader/>
          <w:jc w:val="center"/>
        </w:trPr>
        <w:tc>
          <w:tcPr>
            <w:tcW w:w="1526" w:type="dxa"/>
            <w:tcBorders>
              <w:bottom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p>
        </w:tc>
        <w:tc>
          <w:tcPr>
            <w:tcW w:w="2268"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Stepen 1 ili 2*</w:t>
            </w:r>
          </w:p>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lang w:val="sr-Latn-ME" w:eastAsia="zh-CN"/>
              </w:rPr>
              <w:t>(ABN 1000/mm</w:t>
            </w:r>
            <w:r w:rsidRPr="0017657C">
              <w:rPr>
                <w:rFonts w:ascii="Times New Roman" w:eastAsia="MS Mincho" w:hAnsi="Times New Roman" w:cs="Times New Roman"/>
                <w:vertAlign w:val="superscript"/>
                <w:lang w:val="sr-Latn-ME" w:eastAsia="zh-CN"/>
              </w:rPr>
              <w:t>3</w:t>
            </w:r>
            <w:r w:rsidRPr="0017657C">
              <w:rPr>
                <w:rFonts w:ascii="Times New Roman" w:eastAsia="MS Mincho" w:hAnsi="Times New Roman" w:cs="Times New Roman"/>
                <w:lang w:val="sr-Latn-ME" w:eastAsia="zh-CN"/>
              </w:rPr>
              <w:t xml:space="preserve"> </w:t>
            </w:r>
            <w:r w:rsidRPr="0017657C">
              <w:rPr>
                <w:rFonts w:ascii="Times New Roman" w:eastAsia="MS Mincho" w:hAnsi="Times New Roman" w:cs="Times New Roman"/>
                <w:lang w:val="sr-Latn-ME" w:eastAsia="zh-CN"/>
              </w:rPr>
              <w:noBreakHyphen/>
              <w:t xml:space="preserve"> ≤DGN)</w:t>
            </w:r>
          </w:p>
        </w:tc>
        <w:tc>
          <w:tcPr>
            <w:tcW w:w="1860"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Stepen 3*</w:t>
            </w:r>
          </w:p>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lang w:val="sr-Latn-ME" w:eastAsia="zh-CN"/>
              </w:rPr>
              <w:t xml:space="preserve">(ABN 500 </w:t>
            </w:r>
            <w:r w:rsidRPr="0017657C">
              <w:rPr>
                <w:rFonts w:ascii="Times New Roman" w:eastAsia="MS Mincho" w:hAnsi="Times New Roman" w:cs="Times New Roman"/>
                <w:lang w:val="sr-Latn-ME" w:eastAsia="zh-CN"/>
              </w:rPr>
              <w:noBreakHyphen/>
              <w:t xml:space="preserve"> &lt;1000/mm</w:t>
            </w:r>
            <w:r w:rsidRPr="0017657C">
              <w:rPr>
                <w:rFonts w:ascii="Times New Roman" w:eastAsia="MS Mincho" w:hAnsi="Times New Roman" w:cs="Times New Roman"/>
                <w:vertAlign w:val="superscript"/>
                <w:lang w:val="sr-Latn-ME" w:eastAsia="zh-CN"/>
              </w:rPr>
              <w:t>3</w:t>
            </w:r>
            <w:r w:rsidRPr="0017657C">
              <w:rPr>
                <w:rFonts w:ascii="Times New Roman" w:eastAsia="MS Mincho" w:hAnsi="Times New Roman" w:cs="Times New Roman"/>
                <w:lang w:val="sr-Latn-ME" w:eastAsia="zh-CN"/>
              </w:rPr>
              <w:t>)</w:t>
            </w:r>
          </w:p>
        </w:tc>
        <w:tc>
          <w:tcPr>
            <w:tcW w:w="1860"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Stepen 3* febrilna neutropenija**</w:t>
            </w:r>
          </w:p>
        </w:tc>
        <w:tc>
          <w:tcPr>
            <w:tcW w:w="1860"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Stepen 4*</w:t>
            </w:r>
          </w:p>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(ABN &lt;500/mm</w:t>
            </w:r>
            <w:r w:rsidRPr="0017657C">
              <w:rPr>
                <w:rFonts w:ascii="Times New Roman" w:eastAsia="Times New Roman" w:hAnsi="Times New Roman" w:cs="Times New Roman"/>
                <w:vertAlign w:val="superscript"/>
                <w:lang w:val="sr-Latn-ME"/>
              </w:rPr>
              <w:t>3</w:t>
            </w:r>
            <w:r w:rsidRPr="0017657C">
              <w:rPr>
                <w:rFonts w:ascii="Times New Roman" w:eastAsia="Times New Roman" w:hAnsi="Times New Roman" w:cs="Times New Roman"/>
                <w:lang w:val="sr-Latn-ME"/>
              </w:rPr>
              <w:t>)</w:t>
            </w:r>
          </w:p>
        </w:tc>
      </w:tr>
      <w:tr w:rsidR="00741524" w:rsidRPr="0017657C" w:rsidTr="00741524">
        <w:trPr>
          <w:trHeight w:val="590"/>
          <w:jc w:val="center"/>
        </w:trPr>
        <w:tc>
          <w:tcPr>
            <w:tcW w:w="1526" w:type="dxa"/>
            <w:tcBorders>
              <w:top w:val="single" w:sz="4" w:space="0" w:color="auto"/>
              <w:bottom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Neutropenija</w:t>
            </w:r>
          </w:p>
        </w:tc>
        <w:tc>
          <w:tcPr>
            <w:tcW w:w="2268"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Nije potrebno prilagođavanje doze</w:t>
            </w:r>
          </w:p>
        </w:tc>
        <w:tc>
          <w:tcPr>
            <w:tcW w:w="1860"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Prekid terapije do oporavka na stepen ≤2.</w:t>
            </w:r>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Nastaviti sa lijekom Kisqali u istoj dozi.</w:t>
            </w:r>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Ako se vrati toksičnost stepena 3: prekid terapije do oporavka do stepena ≤2, zatim nastaviti sa lijekom Kisqali i smanjiti dozu za 1 nivo.</w:t>
            </w:r>
          </w:p>
        </w:tc>
        <w:tc>
          <w:tcPr>
            <w:tcW w:w="1860"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Prekid terapije do oporavka na stepen ≤2. Nastaviti sa lijekom Kisqali i smanjiti dozu za 1 nivo.</w:t>
            </w:r>
          </w:p>
        </w:tc>
        <w:tc>
          <w:tcPr>
            <w:tcW w:w="1860"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Prekid terapije do oporavka na stepen ≤2.</w:t>
            </w:r>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Nastaviti sa lijekom Kisqali i smanjiti dozu za 1 nivo.</w:t>
            </w:r>
          </w:p>
        </w:tc>
      </w:tr>
      <w:tr w:rsidR="00741524" w:rsidRPr="0017657C" w:rsidTr="00741524">
        <w:trPr>
          <w:trHeight w:val="353"/>
          <w:jc w:val="center"/>
        </w:trPr>
        <w:tc>
          <w:tcPr>
            <w:tcW w:w="9374" w:type="dxa"/>
            <w:gridSpan w:val="5"/>
            <w:shd w:val="clear" w:color="auto" w:fill="auto"/>
          </w:tcPr>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Određivanje stepena prema CTCAE</w:t>
            </w:r>
            <w:r w:rsidRPr="0017657C">
              <w:rPr>
                <w:rFonts w:ascii="Times New Roman" w:eastAsia="MS Mincho" w:hAnsi="Times New Roman" w:cs="Times New Roman"/>
                <w:lang w:val="sr-Latn-ME" w:eastAsia="zh-CN"/>
              </w:rPr>
              <w:noBreakHyphen/>
              <w:t xml:space="preserve">u verzija 4.03 (CTCAE = engl. </w:t>
            </w:r>
            <w:r w:rsidRPr="0017657C">
              <w:rPr>
                <w:rFonts w:ascii="Times New Roman" w:eastAsia="MS Mincho" w:hAnsi="Times New Roman" w:cs="Times New Roman"/>
                <w:i/>
                <w:lang w:val="sr-Latn-ME" w:eastAsia="zh-CN"/>
              </w:rPr>
              <w:t>Common Terminology Criteria</w:t>
            </w:r>
            <w:r w:rsidRPr="0017657C">
              <w:rPr>
                <w:rFonts w:ascii="Times New Roman" w:eastAsia="MS Mincho" w:hAnsi="Times New Roman" w:cs="Times New Roman"/>
                <w:lang w:val="sr-Latn-ME" w:eastAsia="zh-CN"/>
              </w:rPr>
              <w:t xml:space="preserve"> </w:t>
            </w:r>
            <w:r w:rsidRPr="0017657C">
              <w:rPr>
                <w:rFonts w:ascii="Times New Roman" w:eastAsia="MS Mincho" w:hAnsi="Times New Roman" w:cs="Times New Roman"/>
                <w:i/>
                <w:lang w:val="sr-Latn-ME" w:eastAsia="zh-CN"/>
              </w:rPr>
              <w:t>for Adverse Events</w:t>
            </w:r>
            <w:r w:rsidRPr="0017657C">
              <w:rPr>
                <w:rFonts w:ascii="Times New Roman" w:eastAsia="MS Mincho" w:hAnsi="Times New Roman" w:cs="Times New Roman"/>
                <w:lang w:val="sr-Latn-ME" w:eastAsia="zh-CN"/>
              </w:rPr>
              <w:t xml:space="preserve"> – Zajednički terminološki kriterijumi za neželjene događaje)</w:t>
            </w:r>
          </w:p>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Neutropenija stepena 3 sa jednom povišenom tjelesnom temperaturom &gt;38,3°C (ili iznad 38°C tokom više od jednog sata i/ili istovremena infekcija)</w:t>
            </w:r>
          </w:p>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ABN = apsolutni broj neutrofila; DGN = donja granica normalnih vrijednosti</w:t>
            </w:r>
          </w:p>
        </w:tc>
      </w:tr>
    </w:tbl>
    <w:p w:rsidR="00741524" w:rsidRPr="0017657C" w:rsidRDefault="00741524" w:rsidP="0017657C">
      <w:pPr>
        <w:widowControl w:val="0"/>
        <w:tabs>
          <w:tab w:val="left" w:pos="284"/>
        </w:tabs>
        <w:spacing w:after="0" w:line="240" w:lineRule="auto"/>
        <w:jc w:val="both"/>
        <w:outlineLvl w:val="5"/>
        <w:rPr>
          <w:rFonts w:ascii="Times New Roman" w:eastAsia="Times New Roman" w:hAnsi="Times New Roman" w:cs="Times New Roman"/>
          <w:b/>
          <w:color w:val="243F60"/>
          <w:lang w:val="sr-Latn-ME"/>
        </w:rPr>
      </w:pPr>
      <w:bookmarkStart w:id="2" w:name="_Toc454202971"/>
    </w:p>
    <w:p w:rsidR="00741524" w:rsidRPr="0017657C" w:rsidRDefault="00741524" w:rsidP="0017657C">
      <w:pPr>
        <w:widowControl w:val="0"/>
        <w:tabs>
          <w:tab w:val="left" w:pos="284"/>
        </w:tabs>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Prije započinjanja liječenja lijekom Kisqali potrebno je obaviti ispitivanje funkcije jetre. Nakon započinjanja liječenja, potrebno je sprovoditi ispitivanje funkcije jetre svake 2 nedjelje tokom prva 2 ciklusa, na početku svakog od naredna 4 ciklusa, a nakon toga ako je klinički indikovano. Ukoliko se primijete odstupanja u nalazima stepena ≥2, preporučuje se učestalije praćenje.</w:t>
      </w:r>
    </w:p>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keepNext/>
        <w:keepLines/>
        <w:widowControl w:val="0"/>
        <w:tabs>
          <w:tab w:val="left" w:pos="284"/>
        </w:tabs>
        <w:spacing w:after="0" w:line="240" w:lineRule="auto"/>
        <w:jc w:val="both"/>
        <w:outlineLvl w:val="5"/>
        <w:rPr>
          <w:rFonts w:ascii="Times New Roman" w:eastAsia="Times New Roman" w:hAnsi="Times New Roman" w:cs="Times New Roman"/>
          <w:b/>
          <w:lang w:val="sr-Latn-ME"/>
        </w:rPr>
      </w:pPr>
      <w:r w:rsidRPr="0017657C">
        <w:rPr>
          <w:rFonts w:ascii="Times New Roman" w:eastAsia="Times New Roman" w:hAnsi="Times New Roman" w:cs="Times New Roman"/>
          <w:b/>
          <w:lang w:val="sr-Latn-ME"/>
        </w:rPr>
        <w:lastRenderedPageBreak/>
        <w:t>Tabela 3</w:t>
      </w:r>
      <w:r w:rsidRPr="0017657C">
        <w:rPr>
          <w:rFonts w:ascii="Times New Roman" w:eastAsia="Times New Roman" w:hAnsi="Times New Roman" w:cs="Times New Roman"/>
          <w:b/>
          <w:lang w:val="sr-Latn-ME"/>
        </w:rPr>
        <w:tab/>
        <w:t>Prilagođavanje doze i zbrinjavanje – hepatobilijarna toksičnost</w:t>
      </w:r>
      <w:bookmarkEnd w:id="2"/>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2"/>
        <w:gridCol w:w="1524"/>
        <w:gridCol w:w="2399"/>
        <w:gridCol w:w="2357"/>
        <w:gridCol w:w="1545"/>
      </w:tblGrid>
      <w:tr w:rsidR="00741524" w:rsidRPr="0017657C" w:rsidTr="00741524">
        <w:trPr>
          <w:jc w:val="center"/>
        </w:trPr>
        <w:tc>
          <w:tcPr>
            <w:tcW w:w="944"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p>
        </w:tc>
        <w:tc>
          <w:tcPr>
            <w:tcW w:w="742" w:type="pct"/>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Stepen 1*</w:t>
            </w:r>
          </w:p>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(&gt; GGN – 3 x GGN)</w:t>
            </w:r>
          </w:p>
        </w:tc>
        <w:tc>
          <w:tcPr>
            <w:tcW w:w="1260"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Stepen 2*</w:t>
            </w:r>
          </w:p>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(&gt;3 do 5 x GGN)</w:t>
            </w:r>
          </w:p>
        </w:tc>
        <w:tc>
          <w:tcPr>
            <w:tcW w:w="1238"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Stepen 3*</w:t>
            </w:r>
          </w:p>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(&gt;5 do 20 x GGN)</w:t>
            </w:r>
          </w:p>
        </w:tc>
        <w:tc>
          <w:tcPr>
            <w:tcW w:w="817"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Stepen 4*</w:t>
            </w:r>
          </w:p>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(&gt;20 x GGN)</w:t>
            </w:r>
          </w:p>
        </w:tc>
      </w:tr>
      <w:tr w:rsidR="00741524" w:rsidRPr="0017657C" w:rsidTr="00741524">
        <w:trPr>
          <w:jc w:val="center"/>
        </w:trPr>
        <w:tc>
          <w:tcPr>
            <w:tcW w:w="944" w:type="pct"/>
            <w:vMerge w:val="restar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Porast vrijednosti AST</w:t>
            </w:r>
            <w:r w:rsidRPr="0017657C">
              <w:rPr>
                <w:rFonts w:ascii="Times New Roman" w:eastAsia="MS Mincho" w:hAnsi="Times New Roman" w:cs="Times New Roman"/>
                <w:b/>
                <w:lang w:val="sr-Latn-ME" w:eastAsia="zh-CN"/>
              </w:rPr>
              <w:noBreakHyphen/>
              <w:t>a i/ili ALT</w:t>
            </w:r>
            <w:r w:rsidRPr="0017657C">
              <w:rPr>
                <w:rFonts w:ascii="Times New Roman" w:eastAsia="MS Mincho" w:hAnsi="Times New Roman" w:cs="Times New Roman"/>
                <w:b/>
                <w:lang w:val="sr-Latn-ME" w:eastAsia="zh-CN"/>
              </w:rPr>
              <w:noBreakHyphen/>
              <w:t>a u odnosu na početne** vrijednosti, bez porasta ukupnog bilirubina iznad 2 x GGN</w:t>
            </w:r>
          </w:p>
        </w:tc>
        <w:tc>
          <w:tcPr>
            <w:tcW w:w="742" w:type="pct"/>
            <w:vMerge w:val="restart"/>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Nije potrebno prilagođavanje doze.</w:t>
            </w:r>
          </w:p>
        </w:tc>
        <w:tc>
          <w:tcPr>
            <w:tcW w:w="1260"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Početni stepen &lt;2:</w:t>
            </w:r>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prekid terapije do oporavka na ≤ početni stepen, zatim nastaviti sa lijekom Kisqali u istoj dozi. Ako se vrati stepen 2, nastaviti sa lijekom Kisqali u sljedećoj nižoj dozi.</w:t>
            </w:r>
          </w:p>
        </w:tc>
        <w:tc>
          <w:tcPr>
            <w:tcW w:w="1238" w:type="pct"/>
            <w:vMerge w:val="restar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Prekid terapije lijekom Kisqali do oporavka na ≤ početni stepen, zatim nastaviti u sljedećoj nižoj dozi.</w:t>
            </w:r>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Ako se vrati stepen 3, trajno prekinuti primjenu  lijeka Kisqali.</w:t>
            </w:r>
          </w:p>
        </w:tc>
        <w:tc>
          <w:tcPr>
            <w:tcW w:w="817" w:type="pct"/>
            <w:vMerge w:val="restar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Trajno prekinuti primjenu lijeka Kisqali.</w:t>
            </w:r>
          </w:p>
        </w:tc>
      </w:tr>
      <w:tr w:rsidR="00741524" w:rsidRPr="0017657C" w:rsidTr="00741524">
        <w:trPr>
          <w:jc w:val="center"/>
        </w:trPr>
        <w:tc>
          <w:tcPr>
            <w:tcW w:w="944" w:type="pct"/>
            <w:vMerge/>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p>
        </w:tc>
        <w:tc>
          <w:tcPr>
            <w:tcW w:w="742" w:type="pct"/>
            <w:vMerge/>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c>
        <w:tc>
          <w:tcPr>
            <w:tcW w:w="1260"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Početni stepen = 2:</w:t>
            </w:r>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terapija se ne prekida.</w:t>
            </w:r>
          </w:p>
        </w:tc>
        <w:tc>
          <w:tcPr>
            <w:tcW w:w="1238" w:type="pct"/>
            <w:vMerge/>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c>
        <w:tc>
          <w:tcPr>
            <w:tcW w:w="817" w:type="pct"/>
            <w:vMerge/>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c>
      </w:tr>
      <w:tr w:rsidR="00741524" w:rsidRPr="0017657C" w:rsidTr="00741524">
        <w:trPr>
          <w:jc w:val="center"/>
        </w:trPr>
        <w:tc>
          <w:tcPr>
            <w:tcW w:w="944"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Kombinovani porast vrijednosti AST</w:t>
            </w:r>
            <w:r w:rsidRPr="0017657C">
              <w:rPr>
                <w:rFonts w:ascii="Times New Roman" w:eastAsia="MS Mincho" w:hAnsi="Times New Roman" w:cs="Times New Roman"/>
                <w:b/>
                <w:lang w:val="sr-Latn-ME" w:eastAsia="zh-CN"/>
              </w:rPr>
              <w:noBreakHyphen/>
              <w:t>a i/ili ALT</w:t>
            </w:r>
            <w:r w:rsidRPr="0017657C">
              <w:rPr>
                <w:rFonts w:ascii="Times New Roman" w:eastAsia="MS Mincho" w:hAnsi="Times New Roman" w:cs="Times New Roman"/>
                <w:b/>
                <w:lang w:val="sr-Latn-ME" w:eastAsia="zh-CN"/>
              </w:rPr>
              <w:noBreakHyphen/>
              <w:t>a zajedno sa porastom ukupnog bilirubina, kada holestaza nije prisutna</w:t>
            </w:r>
          </w:p>
        </w:tc>
        <w:tc>
          <w:tcPr>
            <w:tcW w:w="4056" w:type="pct"/>
            <w:gridSpan w:val="4"/>
          </w:tcPr>
          <w:p w:rsidR="00741524" w:rsidRPr="0017657C" w:rsidDel="009712F9"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Ako kod pacijenta dođe do porasta vrijednosti ALT</w:t>
            </w:r>
            <w:r w:rsidRPr="0017657C">
              <w:rPr>
                <w:rFonts w:ascii="Times New Roman" w:eastAsia="MS Mincho" w:hAnsi="Times New Roman" w:cs="Times New Roman"/>
                <w:lang w:val="sr-Latn-ME" w:eastAsia="zh-CN"/>
              </w:rPr>
              <w:noBreakHyphen/>
              <w:t>a i/ili AST</w:t>
            </w:r>
            <w:r w:rsidRPr="0017657C">
              <w:rPr>
                <w:rFonts w:ascii="Times New Roman" w:eastAsia="MS Mincho" w:hAnsi="Times New Roman" w:cs="Times New Roman"/>
                <w:lang w:val="sr-Latn-ME" w:eastAsia="zh-CN"/>
              </w:rPr>
              <w:noBreakHyphen/>
              <w:t>a &gt; 3x GGN uz porast ukupnog bilirubina &gt; 2x GGN bez obzira na početni stepen, trajno prekinuti primjenu lijeka Kisqali.</w:t>
            </w:r>
          </w:p>
        </w:tc>
      </w:tr>
      <w:tr w:rsidR="00741524" w:rsidRPr="0017657C" w:rsidTr="00741524">
        <w:trPr>
          <w:jc w:val="center"/>
        </w:trPr>
        <w:tc>
          <w:tcPr>
            <w:tcW w:w="5000" w:type="pct"/>
            <w:gridSpan w:val="5"/>
            <w:shd w:val="clear" w:color="auto" w:fill="auto"/>
          </w:tcPr>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xml:space="preserve">* Određivanje stepena prema CTCAE-u verzija 4.03 (CTCAE= engl. </w:t>
            </w:r>
            <w:r w:rsidRPr="0017657C">
              <w:rPr>
                <w:rFonts w:ascii="Times New Roman" w:eastAsia="MS Mincho" w:hAnsi="Times New Roman" w:cs="Times New Roman"/>
                <w:i/>
                <w:lang w:val="sr-Latn-ME" w:eastAsia="zh-CN"/>
              </w:rPr>
              <w:t>Common Terminology Criteria</w:t>
            </w:r>
            <w:r w:rsidRPr="0017657C">
              <w:rPr>
                <w:rFonts w:ascii="Times New Roman" w:eastAsia="MS Mincho" w:hAnsi="Times New Roman" w:cs="Times New Roman"/>
                <w:lang w:val="sr-Latn-ME" w:eastAsia="zh-CN"/>
              </w:rPr>
              <w:t xml:space="preserve"> </w:t>
            </w:r>
            <w:r w:rsidRPr="0017657C">
              <w:rPr>
                <w:rFonts w:ascii="Times New Roman" w:eastAsia="MS Mincho" w:hAnsi="Times New Roman" w:cs="Times New Roman"/>
                <w:i/>
                <w:lang w:val="sr-Latn-ME" w:eastAsia="zh-CN"/>
              </w:rPr>
              <w:t>for Adverse Events</w:t>
            </w:r>
            <w:r w:rsidRPr="0017657C">
              <w:rPr>
                <w:rFonts w:ascii="Times New Roman" w:eastAsia="MS Mincho" w:hAnsi="Times New Roman" w:cs="Times New Roman"/>
                <w:lang w:val="sr-Latn-ME" w:eastAsia="zh-CN"/>
              </w:rPr>
              <w:t xml:space="preserve"> – Zajednički terminološki kriterijumi za neželjene događaje)</w:t>
            </w:r>
          </w:p>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Početna vrijednost = prije početka liječenja</w:t>
            </w:r>
          </w:p>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GGN = gornja granica normalnih vrijednosti</w:t>
            </w:r>
          </w:p>
        </w:tc>
      </w:tr>
    </w:tbl>
    <w:p w:rsidR="00741524" w:rsidRPr="0017657C" w:rsidRDefault="00741524" w:rsidP="0017657C">
      <w:pPr>
        <w:widowControl w:val="0"/>
        <w:tabs>
          <w:tab w:val="left" w:pos="284"/>
        </w:tabs>
        <w:spacing w:after="0" w:line="240" w:lineRule="auto"/>
        <w:jc w:val="both"/>
        <w:outlineLvl w:val="5"/>
        <w:rPr>
          <w:rFonts w:ascii="Times New Roman" w:eastAsia="Times New Roman" w:hAnsi="Times New Roman" w:cs="Times New Roman"/>
          <w:b/>
          <w:color w:val="243F60"/>
          <w:lang w:val="sr-Latn-ME"/>
        </w:rPr>
      </w:pPr>
      <w:bookmarkStart w:id="3" w:name="_Toc454202972"/>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EKG je potrebno procijeniti prije započinjanja liječenja lijekom Kisqali. Nakon započinjanja liječenja EKG bi trebalo ponoviti otprilike 14. dana prvog ciklusa i na početku drugog ciklusa, a zatim ako je klinički indikovano. U slučaju produženja QTcF intervala tokom liječenja, preporučuje se učestalije praćenje EKG</w:t>
      </w:r>
      <w:r w:rsidRPr="0017657C">
        <w:rPr>
          <w:rFonts w:ascii="Times New Roman" w:eastAsia="Times New Roman" w:hAnsi="Times New Roman" w:cs="Times New Roman"/>
          <w:lang w:val="sr-Latn-ME"/>
        </w:rPr>
        <w:noBreakHyphen/>
        <w:t>a.</w:t>
      </w:r>
    </w:p>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keepNext/>
        <w:keepLines/>
        <w:widowControl w:val="0"/>
        <w:tabs>
          <w:tab w:val="left" w:pos="284"/>
        </w:tabs>
        <w:spacing w:after="0" w:line="240" w:lineRule="auto"/>
        <w:jc w:val="both"/>
        <w:outlineLvl w:val="5"/>
        <w:rPr>
          <w:rFonts w:ascii="Times New Roman" w:eastAsia="Times New Roman" w:hAnsi="Times New Roman" w:cs="Times New Roman"/>
          <w:b/>
          <w:lang w:val="sr-Latn-ME"/>
        </w:rPr>
      </w:pPr>
      <w:r w:rsidRPr="0017657C">
        <w:rPr>
          <w:rFonts w:ascii="Times New Roman" w:eastAsia="Times New Roman" w:hAnsi="Times New Roman" w:cs="Times New Roman"/>
          <w:b/>
          <w:lang w:val="sr-Latn-ME"/>
        </w:rPr>
        <w:lastRenderedPageBreak/>
        <w:t>Tabela 4</w:t>
      </w:r>
      <w:r w:rsidRPr="0017657C">
        <w:rPr>
          <w:rFonts w:ascii="Times New Roman" w:eastAsia="Times New Roman" w:hAnsi="Times New Roman" w:cs="Times New Roman"/>
          <w:b/>
          <w:lang w:val="sr-Latn-ME"/>
        </w:rPr>
        <w:tab/>
        <w:t>Prilagođavanje doze i zbrinjavanje – produženje QT intervala</w:t>
      </w:r>
      <w:bookmarkEnd w:id="3"/>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9"/>
        <w:gridCol w:w="6708"/>
      </w:tblGrid>
      <w:tr w:rsidR="00741524" w:rsidRPr="0017657C" w:rsidTr="00741524">
        <w:trPr>
          <w:tblHeader/>
          <w:jc w:val="center"/>
        </w:trPr>
        <w:tc>
          <w:tcPr>
            <w:tcW w:w="1171"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EKG nalazi sa QTcF intervalom &gt;480 milisekundi</w:t>
            </w:r>
          </w:p>
        </w:tc>
        <w:tc>
          <w:tcPr>
            <w:tcW w:w="3829" w:type="pct"/>
            <w:shd w:val="clear" w:color="auto" w:fill="auto"/>
          </w:tcPr>
          <w:p w:rsidR="00741524" w:rsidRPr="0017657C" w:rsidRDefault="00741524" w:rsidP="0017657C">
            <w:pPr>
              <w:keepNext/>
              <w:keepLines/>
              <w:widowControl w:val="0"/>
              <w:numPr>
                <w:ilvl w:val="0"/>
                <w:numId w:val="10"/>
              </w:numPr>
              <w:spacing w:after="0" w:line="240" w:lineRule="auto"/>
              <w:ind w:left="519" w:hanging="519"/>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Treba prekinuti uzimanje lijeka.</w:t>
            </w:r>
          </w:p>
          <w:p w:rsidR="00741524" w:rsidRPr="0017657C" w:rsidRDefault="00741524" w:rsidP="0017657C">
            <w:pPr>
              <w:keepNext/>
              <w:keepLines/>
              <w:widowControl w:val="0"/>
              <w:numPr>
                <w:ilvl w:val="0"/>
                <w:numId w:val="10"/>
              </w:numPr>
              <w:spacing w:after="0" w:line="240" w:lineRule="auto"/>
              <w:ind w:left="519" w:hanging="519"/>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Ako se produženje QTcF intervala smanji do &lt;481 milisekundi, nastaviti liječenje sa istom dozom.</w:t>
            </w:r>
          </w:p>
          <w:p w:rsidR="00741524" w:rsidRPr="0017657C" w:rsidRDefault="00741524" w:rsidP="0017657C">
            <w:pPr>
              <w:keepNext/>
              <w:keepLines/>
              <w:widowControl w:val="0"/>
              <w:numPr>
                <w:ilvl w:val="0"/>
                <w:numId w:val="10"/>
              </w:numPr>
              <w:spacing w:after="0" w:line="240" w:lineRule="auto"/>
              <w:ind w:left="519" w:hanging="519"/>
              <w:jc w:val="both"/>
              <w:rPr>
                <w:rFonts w:ascii="Times New Roman" w:eastAsia="MS Mincho" w:hAnsi="Times New Roman" w:cs="Times New Roman"/>
                <w:b/>
                <w:u w:val="single"/>
                <w:lang w:val="sr-Latn-ME" w:eastAsia="zh-CN"/>
              </w:rPr>
            </w:pPr>
            <w:r w:rsidRPr="0017657C">
              <w:rPr>
                <w:rFonts w:ascii="Times New Roman" w:eastAsia="MS Mincho" w:hAnsi="Times New Roman" w:cs="Times New Roman"/>
                <w:lang w:val="sr-Latn-ME" w:eastAsia="zh-CN"/>
              </w:rPr>
              <w:t>Ako se ponovo pojavi QTcF ≥481 milisekundi, prekinuti terapiju dok se QTcF ne smanji na &lt;481 milisekundi i zatim nastaviti sa primjenom lijeka Kisqali u sljedećoj nižoj dozi.</w:t>
            </w:r>
          </w:p>
        </w:tc>
      </w:tr>
      <w:tr w:rsidR="00741524" w:rsidRPr="0017657C" w:rsidTr="00741524">
        <w:trPr>
          <w:tblHeader/>
          <w:jc w:val="center"/>
        </w:trPr>
        <w:tc>
          <w:tcPr>
            <w:tcW w:w="1171" w:type="pc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EKG nalazi sa QTcF intervalom &gt;500 milisekundi</w:t>
            </w:r>
          </w:p>
        </w:tc>
        <w:tc>
          <w:tcPr>
            <w:tcW w:w="3829" w:type="pct"/>
            <w:shd w:val="clear" w:color="auto" w:fill="auto"/>
          </w:tcPr>
          <w:p w:rsidR="00741524" w:rsidRPr="0017657C" w:rsidRDefault="00741524" w:rsidP="0017657C">
            <w:pPr>
              <w:keepNext/>
              <w:keepLines/>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Ako je QTcF veći od 500 milisekundi na barem 2 odvojena EKG</w:t>
            </w:r>
            <w:r w:rsidRPr="0017657C">
              <w:rPr>
                <w:rFonts w:ascii="Times New Roman" w:eastAsia="Times New Roman" w:hAnsi="Times New Roman" w:cs="Times New Roman"/>
                <w:lang w:val="sr-Latn-ME"/>
              </w:rPr>
              <w:noBreakHyphen/>
              <w:t>a, prekinuti primjenu lijeka Kisqali dok QTcF ne bude &lt;481 milisekundi i zatim nastaviti sa primjenom u sljedećoj nižoj dozi.</w:t>
            </w:r>
          </w:p>
          <w:p w:rsidR="00741524" w:rsidRPr="0017657C" w:rsidRDefault="00741524" w:rsidP="0017657C">
            <w:pPr>
              <w:keepNext/>
              <w:keepLines/>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xml:space="preserve">Ako je produženje QTcF intervala veće od 500 milisekundi ili ako se promjena za više od 60 milisekundi u odnosu na početnu vrijednost pojavi zajedno sa </w:t>
            </w:r>
            <w:r w:rsidRPr="0017657C">
              <w:rPr>
                <w:rFonts w:ascii="Times New Roman" w:eastAsia="MS Mincho" w:hAnsi="Times New Roman" w:cs="Times New Roman"/>
                <w:i/>
                <w:lang w:val="sr-Latn-ME" w:eastAsia="zh-CN"/>
              </w:rPr>
              <w:t>torsade de pointes</w:t>
            </w:r>
            <w:r w:rsidRPr="0017657C">
              <w:rPr>
                <w:rFonts w:ascii="Times New Roman" w:eastAsia="MS Mincho" w:hAnsi="Times New Roman" w:cs="Times New Roman"/>
                <w:lang w:val="sr-Latn-ME" w:eastAsia="zh-CN"/>
              </w:rPr>
              <w:t xml:space="preserve"> ili polimorfnom ventrikularnom tahikardijom ili znakovima/simptomima ozbiljne aritmije, treba trajno prekinuti primjenu lijeka Kisqali.</w:t>
            </w:r>
          </w:p>
        </w:tc>
      </w:tr>
    </w:tbl>
    <w:p w:rsidR="00741524" w:rsidRPr="0017657C" w:rsidRDefault="00741524" w:rsidP="0017657C">
      <w:pPr>
        <w:widowControl w:val="0"/>
        <w:tabs>
          <w:tab w:val="left" w:pos="284"/>
        </w:tabs>
        <w:spacing w:after="0" w:line="240" w:lineRule="auto"/>
        <w:jc w:val="both"/>
        <w:outlineLvl w:val="5"/>
        <w:rPr>
          <w:rFonts w:ascii="Times New Roman" w:eastAsia="Times New Roman" w:hAnsi="Times New Roman" w:cs="Times New Roman"/>
          <w:b/>
          <w:color w:val="243F60"/>
          <w:lang w:val="sr-Latn-ME"/>
        </w:rPr>
      </w:pPr>
      <w:bookmarkStart w:id="4" w:name="_Toc454202973"/>
    </w:p>
    <w:p w:rsidR="00741524" w:rsidRPr="0017657C" w:rsidRDefault="00741524" w:rsidP="0017657C">
      <w:pPr>
        <w:keepNext/>
        <w:keepLines/>
        <w:widowControl w:val="0"/>
        <w:tabs>
          <w:tab w:val="left" w:pos="284"/>
        </w:tabs>
        <w:spacing w:after="0" w:line="240" w:lineRule="auto"/>
        <w:jc w:val="both"/>
        <w:outlineLvl w:val="5"/>
        <w:rPr>
          <w:rFonts w:ascii="Times New Roman" w:eastAsia="Times New Roman" w:hAnsi="Times New Roman" w:cs="Times New Roman"/>
          <w:b/>
          <w:lang w:val="sr-Latn-ME"/>
        </w:rPr>
      </w:pPr>
      <w:r w:rsidRPr="0017657C">
        <w:rPr>
          <w:rFonts w:ascii="Times New Roman" w:eastAsia="Times New Roman" w:hAnsi="Times New Roman" w:cs="Times New Roman"/>
          <w:b/>
          <w:lang w:val="sr-Latn-ME"/>
        </w:rPr>
        <w:t>Tabela 5</w:t>
      </w:r>
      <w:r w:rsidRPr="0017657C">
        <w:rPr>
          <w:rFonts w:ascii="Times New Roman" w:eastAsia="Times New Roman" w:hAnsi="Times New Roman" w:cs="Times New Roman"/>
          <w:b/>
          <w:lang w:val="sr-Latn-ME"/>
        </w:rPr>
        <w:tab/>
        <w:t>Prilagođavanje doze i zbrinjavanje – ostale toksičnosti*</w:t>
      </w:r>
      <w:bookmarkEnd w:id="4"/>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4"/>
        <w:gridCol w:w="2325"/>
        <w:gridCol w:w="2325"/>
        <w:gridCol w:w="2325"/>
      </w:tblGrid>
      <w:tr w:rsidR="00741524" w:rsidRPr="0017657C" w:rsidTr="00741524">
        <w:trPr>
          <w:tblHeader/>
          <w:jc w:val="center"/>
        </w:trPr>
        <w:tc>
          <w:tcPr>
            <w:tcW w:w="2324" w:type="dxa"/>
            <w:vMerge w:val="restart"/>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Ostale toksičnosti</w:t>
            </w:r>
          </w:p>
        </w:tc>
        <w:tc>
          <w:tcPr>
            <w:tcW w:w="2325"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Stepen 1 ili 2**</w:t>
            </w:r>
          </w:p>
        </w:tc>
        <w:tc>
          <w:tcPr>
            <w:tcW w:w="2325"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Stepen 3**</w:t>
            </w:r>
          </w:p>
        </w:tc>
        <w:tc>
          <w:tcPr>
            <w:tcW w:w="2325"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Stepen 4**</w:t>
            </w:r>
          </w:p>
        </w:tc>
      </w:tr>
      <w:tr w:rsidR="00741524" w:rsidRPr="0017657C" w:rsidTr="00741524">
        <w:trPr>
          <w:jc w:val="center"/>
        </w:trPr>
        <w:tc>
          <w:tcPr>
            <w:tcW w:w="2324" w:type="dxa"/>
            <w:vMerge/>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c>
        <w:tc>
          <w:tcPr>
            <w:tcW w:w="2325"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Nije potrebno prilagođavanje doze. Započeti odgovarajuću medikamentoznu terapiju i pratiti ako je klinički indikovano.</w:t>
            </w:r>
          </w:p>
        </w:tc>
        <w:tc>
          <w:tcPr>
            <w:tcW w:w="2325"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Prekid liječenja do oporavka na stepen ≤1, zatim nastaviti sa primjenom lijeka Kisqali u istoj dozi.</w:t>
            </w:r>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Ako se vrati stepen 3, nastaviti sa primjenom lijeka Kisqali u sljedećoj nižoj dozi.</w:t>
            </w:r>
          </w:p>
        </w:tc>
        <w:tc>
          <w:tcPr>
            <w:tcW w:w="2325" w:type="dxa"/>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Trajno prekinuti primjenu lijeka Kisqali.</w:t>
            </w:r>
          </w:p>
        </w:tc>
      </w:tr>
      <w:tr w:rsidR="00741524" w:rsidRPr="0017657C" w:rsidTr="00741524">
        <w:trPr>
          <w:trHeight w:val="736"/>
          <w:jc w:val="center"/>
        </w:trPr>
        <w:tc>
          <w:tcPr>
            <w:tcW w:w="9299" w:type="dxa"/>
            <w:gridSpan w:val="4"/>
            <w:shd w:val="clear" w:color="auto" w:fill="auto"/>
          </w:tcPr>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Isključujući neutropeniju, hepatotoksičnost i produženje QT intervala.</w:t>
            </w:r>
          </w:p>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Određivanje stepena prema CTCAE</w:t>
            </w:r>
            <w:r w:rsidRPr="0017657C">
              <w:rPr>
                <w:rFonts w:ascii="Times New Roman" w:eastAsia="MS Mincho" w:hAnsi="Times New Roman" w:cs="Times New Roman"/>
                <w:lang w:val="sr-Latn-ME" w:eastAsia="zh-CN"/>
              </w:rPr>
              <w:noBreakHyphen/>
              <w:t xml:space="preserve">u verzija 4.03 (CTCAE= engl. </w:t>
            </w:r>
            <w:r w:rsidRPr="0017657C">
              <w:rPr>
                <w:rFonts w:ascii="Times New Roman" w:eastAsia="MS Mincho" w:hAnsi="Times New Roman" w:cs="Times New Roman"/>
                <w:i/>
                <w:lang w:val="sr-Latn-ME" w:eastAsia="zh-CN"/>
              </w:rPr>
              <w:t>Common Terminology Criteria</w:t>
            </w:r>
            <w:r w:rsidRPr="0017657C">
              <w:rPr>
                <w:rFonts w:ascii="Times New Roman" w:eastAsia="MS Mincho" w:hAnsi="Times New Roman" w:cs="Times New Roman"/>
                <w:lang w:val="sr-Latn-ME" w:eastAsia="zh-CN"/>
              </w:rPr>
              <w:t xml:space="preserve"> </w:t>
            </w:r>
            <w:r w:rsidRPr="0017657C">
              <w:rPr>
                <w:rFonts w:ascii="Times New Roman" w:eastAsia="MS Mincho" w:hAnsi="Times New Roman" w:cs="Times New Roman"/>
                <w:i/>
                <w:lang w:val="sr-Latn-ME" w:eastAsia="zh-CN"/>
              </w:rPr>
              <w:t>for Adverse Events</w:t>
            </w:r>
            <w:r w:rsidRPr="0017657C">
              <w:rPr>
                <w:rFonts w:ascii="Times New Roman" w:eastAsia="MS Mincho" w:hAnsi="Times New Roman" w:cs="Times New Roman"/>
                <w:lang w:val="sr-Latn-ME" w:eastAsia="zh-CN"/>
              </w:rPr>
              <w:t xml:space="preserve"> – Zajednički terminološki kriterijumi za neželjene događaje)</w:t>
            </w:r>
          </w:p>
        </w:tc>
      </w:tr>
    </w:tbl>
    <w:p w:rsidR="00741524" w:rsidRPr="0017657C" w:rsidRDefault="00741524" w:rsidP="0017657C">
      <w:pPr>
        <w:widowControl w:val="0"/>
        <w:spacing w:after="0" w:line="240" w:lineRule="auto"/>
        <w:rPr>
          <w:rFonts w:ascii="Times New Roman" w:eastAsia="MS Gothic" w:hAnsi="Times New Roman" w:cs="Times New Roman"/>
          <w:lang w:val="sr-Latn-ME" w:eastAsia="zh-CN"/>
        </w:rPr>
      </w:pPr>
    </w:p>
    <w:p w:rsidR="00741524" w:rsidRPr="0017657C" w:rsidRDefault="00741524" w:rsidP="0017657C">
      <w:pPr>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Pogledati sažetak karakteristika lijeka za istovremeno primenjeni inhibitor aromataze za smernice o prilagođavanju doze i ostale relevantne bezbjednosne informacije u slučaju toksičnosti.</w:t>
      </w:r>
    </w:p>
    <w:p w:rsidR="00741524" w:rsidRPr="0017657C" w:rsidRDefault="00741524" w:rsidP="0017657C">
      <w:pPr>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widowControl w:val="0"/>
        <w:spacing w:after="0" w:line="240" w:lineRule="auto"/>
        <w:jc w:val="both"/>
        <w:rPr>
          <w:rFonts w:ascii="Times New Roman" w:eastAsia="MS Gothic" w:hAnsi="Times New Roman" w:cs="Times New Roman"/>
          <w:u w:val="single"/>
          <w:lang w:val="sr-Latn-ME" w:eastAsia="zh-CN"/>
        </w:rPr>
      </w:pPr>
      <w:r w:rsidRPr="0017657C">
        <w:rPr>
          <w:rFonts w:ascii="Times New Roman" w:eastAsia="MS Gothic" w:hAnsi="Times New Roman" w:cs="Times New Roman"/>
          <w:i/>
          <w:u w:val="single"/>
          <w:lang w:val="sr-Latn-ME" w:eastAsia="zh-CN"/>
        </w:rPr>
        <w:t>Prilagođavanje doze kod primjene lijeka Kisqali sa snažnim CYP3A4 inhibitorima</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Potrebno je izbjegavati istovremenu primjenu snažnih CYP3A4 inhibitora i potrebno je razmotriti alternativne ljekove sa manjim potencijalom za inhibiranje CYP3A4 koji se istovremeno primjenjuju. Ukoliko pacijent mora da uzima snažan CYP3A4 inhibitor istovremeno kad i ribociklib, dozu lijeka Kisqali potrebno je smanjiti na 400 mg jednom dnevno (vidjeti odjeljak 4.5).</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Kod pacijenata kojima je doza bila smanjena na 400 mg ribocikliba dnevno i kod kojih se početak istovremene primjene snažnog CYP3A4 inhibitora ne može izbjeći, potrebno je dodatno smanjiti dozu na 200 mg.</w:t>
      </w:r>
    </w:p>
    <w:p w:rsidR="00741524" w:rsidRDefault="00741524" w:rsidP="0017657C">
      <w:pPr>
        <w:widowControl w:val="0"/>
        <w:spacing w:after="0" w:line="240" w:lineRule="auto"/>
        <w:outlineLvl w:val="0"/>
        <w:rPr>
          <w:rFonts w:ascii="Times New Roman" w:eastAsia="Times New Roman" w:hAnsi="Times New Roman" w:cs="Times New Roman"/>
          <w:lang w:val="sr-Latn-ME"/>
        </w:rPr>
      </w:pPr>
    </w:p>
    <w:p w:rsidR="004C011F" w:rsidRPr="0017657C" w:rsidRDefault="004C011F" w:rsidP="0017657C">
      <w:pPr>
        <w:widowControl w:val="0"/>
        <w:spacing w:after="0" w:line="240" w:lineRule="auto"/>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lastRenderedPageBreak/>
        <w:t>Kod pacijenata kojima je doza bila smanjena na 200 mg ribocikliba dnevno i kod kojih se početak istovremene primjene snažnog CYP3A4 inhibitora ne može izbeći, potrebno je prekinuti terapiju lijekom Kisqali.</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Zbog varijabilnosti između pacijenata, preporučena prilagođavanja doza možda nijesu optimalna kod svih pacijenata, pa se zato preporučuje pažljivo praćenje znakova toksičnosti. Ako se prekine primjena snažnog inhibitora, potrebno je promijeniti dozu lijeka Kisqali na dozu koja se primjenjivala prije početka primjene snažnog CYP3A4 inhibitora, nakon najmanje 5 poluvremena eliminacije snažnog CYP3A4 inhibitora (vidjeti odjeljke 4.4, 4.5 i 5.2).</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t>Posebne populacije</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i/>
          <w:lang w:val="sr-Latn-ME"/>
        </w:rPr>
        <w:t>Oštećenje funkcije bubrega</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Nije potrebno prilagođavanje doze kod pacijenata sa blagim ili umjerenim oštećenjem funkcije bubrega (vidjeti odjeljak 5.2). Potreban je oprez kod pacijenata sa teškim oštećenjem funkcije bubrega uz pažljivo praćenje znakova toksičnosti, budući da nema iskustava sa primjenom lijeka Kisqali u ovoj populaciji (vidjeti odjeljak 5.2).</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i/>
          <w:lang w:val="sr-Latn-ME"/>
        </w:rPr>
        <w:t>Oštećenje funkcije jetre</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Na osnovu farmakokinetičkog ispitivanja zdravih ispitanika i ispitanika bez karcinoma sa oštećenom funkcijom jetre, nije potrebno prilagođavanje doze kod pacijenata sa blagim oštećenjem funkcije jetre (</w:t>
      </w:r>
      <w:r w:rsidRPr="0017657C">
        <w:rPr>
          <w:rFonts w:ascii="Times New Roman" w:eastAsia="Times New Roman" w:hAnsi="Times New Roman" w:cs="Times New Roman"/>
          <w:i/>
          <w:lang w:val="sr-Latn-ME"/>
        </w:rPr>
        <w:t>Child</w:t>
      </w:r>
      <w:r w:rsidRPr="0017657C">
        <w:rPr>
          <w:rFonts w:ascii="Times New Roman" w:eastAsia="Times New Roman" w:hAnsi="Times New Roman" w:cs="Times New Roman"/>
          <w:i/>
          <w:lang w:val="sr-Latn-ME"/>
        </w:rPr>
        <w:noBreakHyphen/>
        <w:t>Pugh</w:t>
      </w:r>
      <w:r w:rsidRPr="0017657C">
        <w:rPr>
          <w:rFonts w:ascii="Times New Roman" w:eastAsia="Times New Roman" w:hAnsi="Times New Roman" w:cs="Times New Roman"/>
          <w:lang w:val="sr-Latn-ME"/>
        </w:rPr>
        <w:t xml:space="preserve"> stepen A). Pacijenti sa umjerenim (</w:t>
      </w:r>
      <w:r w:rsidRPr="0017657C">
        <w:rPr>
          <w:rFonts w:ascii="Times New Roman" w:eastAsia="Times New Roman" w:hAnsi="Times New Roman" w:cs="Times New Roman"/>
          <w:i/>
          <w:lang w:val="sr-Latn-ME"/>
        </w:rPr>
        <w:t>Child</w:t>
      </w:r>
      <w:r w:rsidRPr="0017657C">
        <w:rPr>
          <w:rFonts w:ascii="Times New Roman" w:eastAsia="Times New Roman" w:hAnsi="Times New Roman" w:cs="Times New Roman"/>
          <w:i/>
          <w:lang w:val="sr-Latn-ME"/>
        </w:rPr>
        <w:noBreakHyphen/>
        <w:t>Pugh</w:t>
      </w:r>
      <w:r w:rsidRPr="0017657C">
        <w:rPr>
          <w:rFonts w:ascii="Times New Roman" w:eastAsia="Times New Roman" w:hAnsi="Times New Roman" w:cs="Times New Roman"/>
          <w:lang w:val="sr-Latn-ME"/>
        </w:rPr>
        <w:t xml:space="preserve"> stepen B) i teškim oštećenjem funkcije jetre (</w:t>
      </w:r>
      <w:r w:rsidRPr="0017657C">
        <w:rPr>
          <w:rFonts w:ascii="Times New Roman" w:eastAsia="Times New Roman" w:hAnsi="Times New Roman" w:cs="Times New Roman"/>
          <w:i/>
          <w:lang w:val="sr-Latn-ME"/>
        </w:rPr>
        <w:t>Child</w:t>
      </w:r>
      <w:r w:rsidRPr="0017657C">
        <w:rPr>
          <w:rFonts w:ascii="Times New Roman" w:eastAsia="Times New Roman" w:hAnsi="Times New Roman" w:cs="Times New Roman"/>
          <w:i/>
          <w:lang w:val="sr-Latn-ME"/>
        </w:rPr>
        <w:noBreakHyphen/>
        <w:t>Pugh</w:t>
      </w:r>
      <w:r w:rsidRPr="0017657C">
        <w:rPr>
          <w:rFonts w:ascii="Times New Roman" w:eastAsia="Times New Roman" w:hAnsi="Times New Roman" w:cs="Times New Roman"/>
          <w:lang w:val="sr-Latn-ME"/>
        </w:rPr>
        <w:t xml:space="preserve"> stepen C)</w:t>
      </w:r>
      <w:r w:rsidRPr="0017657C" w:rsidDel="003D268F">
        <w:rPr>
          <w:rFonts w:ascii="Times New Roman" w:eastAsia="Times New Roman" w:hAnsi="Times New Roman" w:cs="Times New Roman"/>
          <w:lang w:val="sr-Latn-ME"/>
        </w:rPr>
        <w:t xml:space="preserve"> </w:t>
      </w:r>
      <w:r w:rsidRPr="0017657C">
        <w:rPr>
          <w:rFonts w:ascii="Times New Roman" w:eastAsia="Times New Roman" w:hAnsi="Times New Roman" w:cs="Times New Roman"/>
          <w:lang w:val="sr-Latn-ME"/>
        </w:rPr>
        <w:t>mogu imati povećanu (manje od dva puta) izloženost ribociklibu, pa se preporučuje početna doza od 400 mg lijeka Kisqali jednom dnevno. Ribociklib nije ispitivan kod pacijenata sa karcinomom dojke i sa umjerenim i teškim oštećenjem funkcije jetre (vidjeti odjeljak 5.2).</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i/>
          <w:lang w:val="sr-Latn-ME"/>
        </w:rPr>
        <w:t>Pedijatrijska populacija</w:t>
      </w:r>
    </w:p>
    <w:p w:rsidR="00741524" w:rsidRPr="0017657C" w:rsidRDefault="00741524" w:rsidP="0017657C">
      <w:pPr>
        <w:widowControl w:val="0"/>
        <w:tabs>
          <w:tab w:val="left" w:pos="720"/>
        </w:tabs>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Bezbjednost i efikasnost lijeka Kisqali kod djece i adolescenata uzrasta mlađeg od 18 godina još nijesu</w:t>
      </w:r>
      <w:r w:rsidR="004C011F">
        <w:rPr>
          <w:rFonts w:ascii="Times New Roman" w:eastAsia="Times New Roman" w:hAnsi="Times New Roman" w:cs="Times New Roman"/>
          <w:lang w:val="sr-Latn-ME"/>
        </w:rPr>
        <w:t xml:space="preserve"> </w:t>
      </w:r>
      <w:r w:rsidRPr="0017657C">
        <w:rPr>
          <w:rFonts w:ascii="Times New Roman" w:eastAsia="Times New Roman" w:hAnsi="Times New Roman" w:cs="Times New Roman"/>
          <w:lang w:val="sr-Latn-ME"/>
        </w:rPr>
        <w:t>ustanovljeni. Nema dostupnih podataka.</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i/>
          <w:lang w:val="sr-Latn-ME"/>
        </w:rPr>
        <w:t>Starije osobe</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Nije potrebno prilagođavanje doze kod pacijenata starijih od 65 godina (vidjeti odjeljak 5.2).</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Način primjene</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Lijek Kisqali se uzima oralno jednom dnevno, uz hranu ili bez nje. Tablete je potrebno progutati cijele i ne smiju se žvakati, drobiti ili lomiti prije gutanja. Ne smiju se uzimati tablete koje su slomljene, napukle ili na neki drugi način oštećene.</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4.3. </w:t>
      </w:r>
      <w:r w:rsidRPr="0017657C">
        <w:rPr>
          <w:rFonts w:ascii="Times New Roman" w:eastAsia="Times New Roman" w:hAnsi="Times New Roman" w:cs="Times New Roman"/>
          <w:b/>
          <w:bCs/>
          <w:lang w:val="sr-Latn-ME"/>
        </w:rPr>
        <w:tab/>
        <w:t>Kontraindikacije</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Preosjetljivost na aktivnu supstancu ili na kikiriki, soju ili na bilo koju od pomoćnih supstanci navedenih u odjeljku 6.1.</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4.4. </w:t>
      </w:r>
      <w:r w:rsidRPr="0017657C">
        <w:rPr>
          <w:rFonts w:ascii="Times New Roman" w:eastAsia="Times New Roman" w:hAnsi="Times New Roman" w:cs="Times New Roman"/>
          <w:b/>
          <w:bCs/>
          <w:lang w:val="sr-Latn-ME"/>
        </w:rPr>
        <w:tab/>
        <w:t>Posebna upozorenja i mjere opreza pri upotrebi lijeka</w:t>
      </w:r>
    </w:p>
    <w:p w:rsidR="00741524" w:rsidRPr="0017657C" w:rsidRDefault="00741524" w:rsidP="0017657C">
      <w:pPr>
        <w:keepNext/>
        <w:widowControl w:val="0"/>
        <w:spacing w:after="0" w:line="240" w:lineRule="auto"/>
        <w:ind w:left="567" w:hanging="567"/>
        <w:jc w:val="both"/>
        <w:rPr>
          <w:rFonts w:ascii="Times New Roman" w:eastAsia="Times New Roman" w:hAnsi="Times New Roman" w:cs="Times New Roman"/>
          <w:u w:val="single"/>
          <w:lang w:val="sr-Latn-ME"/>
        </w:rPr>
      </w:pPr>
    </w:p>
    <w:p w:rsidR="00741524" w:rsidRPr="0017657C" w:rsidRDefault="00741524" w:rsidP="0017657C">
      <w:pPr>
        <w:keepNext/>
        <w:widowControl w:val="0"/>
        <w:spacing w:after="0" w:line="240" w:lineRule="auto"/>
        <w:ind w:left="567" w:hanging="567"/>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Kritična visceralna bolest</w:t>
      </w:r>
    </w:p>
    <w:p w:rsidR="00741524" w:rsidRPr="0017657C" w:rsidRDefault="00741524" w:rsidP="0017657C">
      <w:pPr>
        <w:keepNext/>
        <w:widowControl w:val="0"/>
        <w:spacing w:after="0" w:line="240" w:lineRule="auto"/>
        <w:ind w:left="567" w:hanging="567"/>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Efikasnost i bezbjednost ribocikliba nije ispitivana kod pacijenata sa kritičnom visceralnom bolešću.</w:t>
      </w: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lastRenderedPageBreak/>
        <w:t>Neutropenija</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U zavisnosti od težine neutropenije, možda će biti potreban privremen prekid terapije lijekom Kisqali, smanjiti dozu ili trajno prekinuti terapiju kako je opisano u Tabeli 2 (vidjeti odjeljke 4.2 i 4.8).</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Hepatobilijarna toksičnost</w:t>
      </w:r>
    </w:p>
    <w:p w:rsidR="00741524" w:rsidRPr="0017657C" w:rsidRDefault="00741524" w:rsidP="0017657C">
      <w:pPr>
        <w:keepNext/>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Prije započinjanja liječenja lijekom Kisqali potrebno je uraditi ispitivanja funkcije jetre. Nakon započinjanja liječenja potrebno je pratiti funkciju jetre (vidjeti odjeljke 4.2 i 4.8).</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U zavisnosti od toga koliko su porasle vrijednosti transaminaza, možda će biti potrebni privremen prekid terapije lijekom Kisqali, smanjenje doze ili trajni prekid terapije kako je opisano u Tabeli 3 (vidjeti djelove 4.2 i 4.8). Preporuke za pacijente koji imaju povišene početne vrijednosti AST</w:t>
      </w:r>
      <w:r w:rsidRPr="0017657C">
        <w:rPr>
          <w:rFonts w:ascii="Times New Roman" w:eastAsia="MS Mincho" w:hAnsi="Times New Roman" w:cs="Times New Roman"/>
          <w:lang w:val="sr-Latn-ME" w:eastAsia="zh-CN"/>
        </w:rPr>
        <w:noBreakHyphen/>
        <w:t>a/ALT</w:t>
      </w:r>
      <w:r w:rsidRPr="0017657C">
        <w:rPr>
          <w:rFonts w:ascii="Times New Roman" w:eastAsia="MS Mincho" w:hAnsi="Times New Roman" w:cs="Times New Roman"/>
          <w:lang w:val="sr-Latn-ME" w:eastAsia="zh-CN"/>
        </w:rPr>
        <w:noBreakHyphen/>
        <w:t>a stepena ≥3 nijesu utvrđene.</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Produženje QT intervala</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 xml:space="preserve">Prije započinjanja liječenja potrebno je procijeniti EKG. Liječenje lijekom Kisqali smije da se započne samo kod pacijenata koji imaju vrijednosti QTcF intervala manje od 450 milisekundi. EKG je potrebno ponoviti oko 14. dana prvog ciklusa i na početku drugog ciklusa, a zatim ako je klinički indikovano </w:t>
      </w:r>
      <w:r w:rsidRPr="0017657C">
        <w:rPr>
          <w:rFonts w:ascii="Times New Roman" w:eastAsia="MS Mincho" w:hAnsi="Times New Roman" w:cs="Times New Roman"/>
          <w:lang w:val="sr-Latn-ME" w:eastAsia="zh-CN"/>
        </w:rPr>
        <w:t>(vidjeti odjeljke 4.2 i 4.8)</w:t>
      </w:r>
      <w:r w:rsidRPr="0017657C">
        <w:rPr>
          <w:rFonts w:ascii="Times New Roman" w:eastAsia="MS Mincho" w:hAnsi="Times New Roman" w:cs="Times New Roman"/>
          <w:lang w:val="sr-Latn-ME"/>
        </w:rPr>
        <w:t>.</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Odgovarajuće praćenje elektrolita u serumu (uključujući kalijum, kalcijum, fosfor i magnezijum) potrebno je sprovesti prije započinjanja liječenja, na početku prvih 6 ciklusa, a zatim ako je klinički indikovano. Sva odstupanja je potrebno korigovati prije započinjanja liječenja lijekom Kisqali.</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Primjenu lijeka Kisqali potrebno je izbjegavati kod pacijenata koji već imaju produženje QTc intervala ili su pod značajnim rizikom od njegovog nastanka. Ovo uključuje pacijente:</w:t>
      </w:r>
    </w:p>
    <w:p w:rsidR="00741524" w:rsidRPr="0017657C" w:rsidRDefault="00741524" w:rsidP="0017657C">
      <w:pPr>
        <w:widowControl w:val="0"/>
        <w:numPr>
          <w:ilvl w:val="0"/>
          <w:numId w:val="11"/>
        </w:numPr>
        <w:tabs>
          <w:tab w:val="clear" w:pos="357"/>
        </w:tabs>
        <w:spacing w:after="0" w:line="240" w:lineRule="auto"/>
        <w:ind w:left="567" w:hanging="567"/>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sa sindromom dugog QT intervala;</w:t>
      </w:r>
    </w:p>
    <w:p w:rsidR="00741524" w:rsidRPr="0017657C" w:rsidRDefault="00741524" w:rsidP="0017657C">
      <w:pPr>
        <w:widowControl w:val="0"/>
        <w:numPr>
          <w:ilvl w:val="0"/>
          <w:numId w:val="11"/>
        </w:numPr>
        <w:tabs>
          <w:tab w:val="clear" w:pos="357"/>
        </w:tabs>
        <w:spacing w:after="0" w:line="240" w:lineRule="auto"/>
        <w:ind w:left="567" w:hanging="567"/>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sa nekontrolisanom ili značajnom srčanom bolešću, što uključuje nedavni infarkt miokarda, kongestivnu srčanu insuficijenciju, nestabilnu anginu i bradiaritmije;</w:t>
      </w:r>
    </w:p>
    <w:p w:rsidR="00741524" w:rsidRPr="0017657C" w:rsidRDefault="00741524" w:rsidP="0017657C">
      <w:pPr>
        <w:widowControl w:val="0"/>
        <w:numPr>
          <w:ilvl w:val="0"/>
          <w:numId w:val="11"/>
        </w:numPr>
        <w:tabs>
          <w:tab w:val="clear" w:pos="357"/>
        </w:tabs>
        <w:spacing w:after="0" w:line="240" w:lineRule="auto"/>
        <w:ind w:left="567" w:hanging="567"/>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sa poremećenim vrijednostima elektrolita.</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eastAsia="zh-CN"/>
        </w:rPr>
        <w:t>Primjenu lijeka Kisqali sa ljekovima za koje je poznato da produžuju QTc interval i/ili snažnim CYP3A4 inhibitorima je potrebno izbjegavati jer to može da dovede do klinički značajnog produženja QTcF intervala (vidjeti odjeljke 4.2, 4.5 i 5.1</w:t>
      </w:r>
      <w:r w:rsidRPr="0017657C">
        <w:rPr>
          <w:rFonts w:ascii="Times New Roman" w:eastAsia="MS Mincho" w:hAnsi="Times New Roman" w:cs="Times New Roman"/>
          <w:lang w:val="sr-Latn-ME"/>
        </w:rPr>
        <w:t>). Ukoliko liječenje snažnim CYP3A4 inhibitorom ne       može da se izbjegne, dozu treba smanjiti na 400 mg jednom dnevno (vidjeti odjeljke 4.2 i 4.5).</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Na osnovu uočenog produženja QT intervala tokom liječenja, možda će biti potreban privremen prekid, smanjenje ili trajni prekid terapije lijekom Kisqali kako je opisano u Tabeli 4 (vidjeti odjeljke 4.2, 4.8 i 5.2).</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keepNext/>
        <w:widowControl w:val="0"/>
        <w:spacing w:after="0" w:line="240" w:lineRule="auto"/>
        <w:jc w:val="both"/>
        <w:rPr>
          <w:rFonts w:ascii="Times New Roman" w:eastAsia="MS Mincho" w:hAnsi="Times New Roman" w:cs="Times New Roman"/>
          <w:u w:val="single"/>
          <w:lang w:val="sr-Latn-ME"/>
        </w:rPr>
      </w:pPr>
      <w:r w:rsidRPr="0017657C">
        <w:rPr>
          <w:rFonts w:ascii="Times New Roman" w:eastAsia="MS Mincho" w:hAnsi="Times New Roman" w:cs="Times New Roman"/>
          <w:u w:val="single"/>
          <w:lang w:val="sr-Latn-ME"/>
        </w:rPr>
        <w:t>CYP3A4 supstrati</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 xml:space="preserve">Ribociklib je snažan CYP3A4 inhibitor u dozi od 600 mg i umjereni CYP3A4 inhibitor u dozi od 400 mg. Zato ribociklib može da ostvari interakciju sa ljekovima koji se metabolišu putem CYP3A4, što može dovesti do povećanih koncentracija CYP3A4 supstrata u serumu (vidjeti odjeljak 4.5). Preporučuje se oprez u slučaju istovremene primjene sa osjetljivim CYP3A4 supstratima sa uskim terapijskim indeksom i zato je potrebno </w:t>
      </w:r>
      <w:r w:rsidRPr="0017657C">
        <w:rPr>
          <w:rFonts w:ascii="Times New Roman" w:eastAsia="Times New Roman" w:hAnsi="Times New Roman" w:cs="Times New Roman"/>
          <w:lang w:val="sr-Latn-ME"/>
        </w:rPr>
        <w:lastRenderedPageBreak/>
        <w:t>provjeriti SKL drugih ljekova u pogledu preporuka kod istovremene primjene sa CYP3A4 inhibitorima.</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Sojin lecitin</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Lijek Kisqali sadrži sojin lecitin. Pacijenti koji su preosjetljivi na kikiriki ili soju ne smiju da uzimaju lijek Kisqali (vidjeti odjeljak 4.3).</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4.5. </w:t>
      </w:r>
      <w:r w:rsidRPr="0017657C">
        <w:rPr>
          <w:rFonts w:ascii="Times New Roman" w:eastAsia="Times New Roman" w:hAnsi="Times New Roman" w:cs="Times New Roman"/>
          <w:b/>
          <w:bCs/>
          <w:lang w:val="sr-Latn-ME"/>
        </w:rPr>
        <w:tab/>
        <w:t>Interakcije sa drugim ljekovima i druge vrste interakcija</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Supstance koje mogu da povećaju koncentracije ribocikliba u plazmi</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xml:space="preserve">Ribociklib se primarno metaboliše putem CYP3A4. Zbog toga ljekovi koji mogu da utiču na aktivnost CYP3A4 enzima mogu da promijene farmakokinetiku ribocikliba. Istovremena primjena snažnog </w:t>
      </w:r>
      <w:r w:rsidRPr="0017657C">
        <w:rPr>
          <w:rFonts w:ascii="Times New Roman" w:eastAsia="MS Mincho" w:hAnsi="Times New Roman" w:cs="Times New Roman"/>
          <w:lang w:val="sr-Latn-ME"/>
        </w:rPr>
        <w:t>CYP3A4 inhibitora ritonavira (100 mg dva puta dnevno tokom 14 dana) sa pojedinačnom dozom ribocikliba od 400 mg povećala je izloženost ribociklibu (PIK</w:t>
      </w:r>
      <w:r w:rsidRPr="0017657C">
        <w:rPr>
          <w:rFonts w:ascii="Times New Roman" w:eastAsia="MS Mincho" w:hAnsi="Times New Roman" w:cs="Times New Roman"/>
          <w:vertAlign w:val="subscript"/>
          <w:lang w:val="sr-Latn-ME"/>
        </w:rPr>
        <w:t>inf</w:t>
      </w:r>
      <w:r w:rsidRPr="0017657C">
        <w:rPr>
          <w:rFonts w:ascii="Times New Roman" w:eastAsia="MS Mincho" w:hAnsi="Times New Roman" w:cs="Times New Roman"/>
          <w:lang w:val="sr-Latn-ME"/>
        </w:rPr>
        <w:t>) 3,2 puta i maksimalnu koncentraciju (C</w:t>
      </w:r>
      <w:r w:rsidRPr="0017657C">
        <w:rPr>
          <w:rFonts w:ascii="Times New Roman" w:eastAsia="MS Mincho" w:hAnsi="Times New Roman" w:cs="Times New Roman"/>
          <w:vertAlign w:val="subscript"/>
          <w:lang w:val="sr-Latn-ME"/>
        </w:rPr>
        <w:t>max</w:t>
      </w:r>
      <w:r w:rsidRPr="0017657C">
        <w:rPr>
          <w:rFonts w:ascii="Times New Roman" w:eastAsia="MS Mincho" w:hAnsi="Times New Roman" w:cs="Times New Roman"/>
          <w:lang w:val="sr-Latn-ME"/>
        </w:rPr>
        <w:t>) 1,7 puta  kod zdravih ispitanika u poređenju sa pojedinačnom dozom ribocikliba od 400 mg koja je primijenjena sama. C</w:t>
      </w:r>
      <w:r w:rsidRPr="0017657C">
        <w:rPr>
          <w:rFonts w:ascii="Times New Roman" w:eastAsia="MS Mincho" w:hAnsi="Times New Roman" w:cs="Times New Roman"/>
          <w:vertAlign w:val="subscript"/>
          <w:lang w:val="sr-Latn-ME"/>
        </w:rPr>
        <w:t>max</w:t>
      </w:r>
      <w:r w:rsidRPr="0017657C">
        <w:rPr>
          <w:rFonts w:ascii="Times New Roman" w:eastAsia="MS Mincho" w:hAnsi="Times New Roman" w:cs="Times New Roman"/>
          <w:lang w:val="sr-Latn-ME"/>
        </w:rPr>
        <w:t xml:space="preserve"> za LEQ803 (zastupljeni metabolit ribocikliba koji je odgovoran za manje od 10% izloženosti ribociklibu) smanjen je za 96%, a PIK</w:t>
      </w:r>
      <w:r w:rsidRPr="0017657C">
        <w:rPr>
          <w:rFonts w:ascii="Times New Roman" w:eastAsia="MS Mincho" w:hAnsi="Times New Roman" w:cs="Times New Roman"/>
          <w:vertAlign w:val="subscript"/>
          <w:lang w:val="sr-Latn-ME"/>
        </w:rPr>
        <w:t>last</w:t>
      </w:r>
      <w:r w:rsidRPr="0017657C">
        <w:rPr>
          <w:rFonts w:ascii="Times New Roman" w:eastAsia="MS Mincho" w:hAnsi="Times New Roman" w:cs="Times New Roman"/>
          <w:lang w:val="sr-Latn-ME"/>
        </w:rPr>
        <w:t xml:space="preserve"> za 98%.</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Mora da se izbjegava istovremena primjena snažnih CYP3A4 inhibitora uključujući, ali i ne ograničavajući se na sljedeće: klaritromicin, indinavir, itrakonazol, ketokonazol, lopinavir, ritonavir, nefazodon, nelfinavir, posakonazol, sakvinavir, telaprevir, telitromicin, verapamil i vorikonazol (vidjeti odjeljak 4.4). Potrebno je razmotriti alternativne ljekove sa manjim potencijalom za inhibiranje CYP3A4 koji se istovremeno primjenjuju i pratiti pacijente zbog mogućih neželjenih događaja povezanih sa ribociklibom (vidjeti odjeljke 4.2, 4.4 i 5.2).</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Ako istovremena primjena lijeka Kisqali sa snažnim CYP3A4 inhibitorom ne može da se izbjegne, potrebno je smanjiti dozu lijeka Kisqali kako je opisano u odjeljku 4.2</w:t>
      </w:r>
      <w:r w:rsidRPr="0017657C">
        <w:rPr>
          <w:rFonts w:ascii="Times New Roman" w:eastAsia="MS Mincho" w:hAnsi="Times New Roman" w:cs="Times New Roman"/>
          <w:i/>
          <w:lang w:val="sr-Latn-ME"/>
        </w:rPr>
        <w:t xml:space="preserve">. </w:t>
      </w:r>
      <w:r w:rsidRPr="0017657C">
        <w:rPr>
          <w:rFonts w:ascii="Times New Roman" w:eastAsia="MS Mincho" w:hAnsi="Times New Roman" w:cs="Times New Roman"/>
          <w:lang w:val="sr-Latn-ME"/>
        </w:rPr>
        <w:t>Međutim, za ova prilagođavanja doze nema kliničkih podataka. Zbog varijabilnosti između pacijenata, preporučena prilagođavanja doza možda neće biti optimalna kod svih pacijenata, pa se zbog toga preporučuje pažljivo praćenje zbog mogućih neželjenih događaja povezanih sa ribociklibom. U slučaju toksičnosti povezane sa ribociklibom, potrebno je prilagoditi dozu ili prekinuti liječenje dok se toksičnost ne povuče (vidjeti odjeljke 4.2 i 5.2). Ako se trajno prekine primjena snažnog CYP3A4 inhibitora i nakon najmanje 5 poluvremena eliminacije CYP3A4 inhibitora (pogledati sažetak karakteristika lijeka za određeni CYP3A4 inhibitor), primjenu lijeka Kisqali treba nastaviti pri istoj dozi koja se primjenjivala prije početka primjene snažnog CYP3A4 inhibitora.</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Fiziološki zasnovane farmakokinetičke simulacije ukazuju na to da pri dozi ribocikliba od 600 mg, umjereni CYP3A4 inhibitor (eritromicin) može da poveća C</w:t>
      </w:r>
      <w:r w:rsidRPr="0017657C">
        <w:rPr>
          <w:rFonts w:ascii="Times New Roman" w:eastAsia="MS Mincho" w:hAnsi="Times New Roman" w:cs="Times New Roman"/>
          <w:vertAlign w:val="subscript"/>
          <w:lang w:val="sr-Latn-ME"/>
        </w:rPr>
        <w:t>max</w:t>
      </w:r>
      <w:r w:rsidRPr="0017657C">
        <w:rPr>
          <w:rFonts w:ascii="Times New Roman" w:eastAsia="MS Mincho" w:hAnsi="Times New Roman" w:cs="Times New Roman"/>
          <w:lang w:val="sr-Latn-ME"/>
        </w:rPr>
        <w:t xml:space="preserve"> ribocikliba 1,2 puta i PIK 1,3 puta u ravnotežnom stanju. Za pacijente kojima je doza ribocikliba smanjena na 400 mg jednom dnevno, procijenjeno je da se C</w:t>
      </w:r>
      <w:r w:rsidRPr="0017657C">
        <w:rPr>
          <w:rFonts w:ascii="Times New Roman" w:eastAsia="MS Mincho" w:hAnsi="Times New Roman" w:cs="Times New Roman"/>
          <w:vertAlign w:val="subscript"/>
          <w:lang w:val="sr-Latn-ME"/>
        </w:rPr>
        <w:t>max</w:t>
      </w:r>
      <w:r w:rsidRPr="0017657C">
        <w:rPr>
          <w:rFonts w:ascii="Times New Roman" w:eastAsia="MS Mincho" w:hAnsi="Times New Roman" w:cs="Times New Roman"/>
          <w:lang w:val="sr-Latn-ME"/>
        </w:rPr>
        <w:t xml:space="preserve"> povećala 1,4 a PIK 2,1 puta u ravnotežnom stanju. Predviđeno je da će efekat doze od 200 mg jednom dnevno rezultirati povećanjem od 1,7, odnosno od 2,8 puta. Nijesu potrebna prilagođavanja doze ribocikliba na početku liječenja sa blagim ili umjerenim CYP3A4 inhibitorima. Međutim, preporučuje se praćenje neželjenih događaja povezanih sa ribociklibom.</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Pacijente treba savjetovati da izbjegavaju nar ili sok od nara, zatim grejpfrut ili sok od grejpfruta. Za njih je poznato da inhibiraju enzime citohroma CYP3A4 i da mogu da povećaju izloženost ribociklibu.</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lastRenderedPageBreak/>
        <w:t>Supstance koje mogu da smanje koncentracije ribocikliba u plazmi</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Istovremena primjena snažnog CYP3A4 induktora rifampicina (600 mg dnevno tokom 14 dana) sa pojedinačnom dozom ribocikliba od 600 mg smanjila je PIK</w:t>
      </w:r>
      <w:r w:rsidRPr="0017657C">
        <w:rPr>
          <w:rFonts w:ascii="Times New Roman" w:eastAsia="MS Mincho" w:hAnsi="Times New Roman" w:cs="Times New Roman"/>
          <w:vertAlign w:val="subscript"/>
          <w:lang w:val="sr-Latn-ME" w:eastAsia="zh-CN"/>
        </w:rPr>
        <w:t>inf</w:t>
      </w:r>
      <w:r w:rsidRPr="0017657C">
        <w:rPr>
          <w:rFonts w:ascii="Times New Roman" w:eastAsia="MS Mincho" w:hAnsi="Times New Roman" w:cs="Times New Roman"/>
          <w:lang w:val="sr-Latn-ME" w:eastAsia="zh-CN"/>
        </w:rPr>
        <w:t xml:space="preserve"> ribocikliba za 89% i C</w:t>
      </w:r>
      <w:r w:rsidRPr="0017657C">
        <w:rPr>
          <w:rFonts w:ascii="Times New Roman" w:eastAsia="MS Mincho" w:hAnsi="Times New Roman" w:cs="Times New Roman"/>
          <w:vertAlign w:val="subscript"/>
          <w:lang w:val="sr-Latn-ME" w:eastAsia="zh-CN"/>
        </w:rPr>
        <w:t>max</w:t>
      </w:r>
      <w:r w:rsidRPr="0017657C">
        <w:rPr>
          <w:rFonts w:ascii="Times New Roman" w:eastAsia="MS Mincho" w:hAnsi="Times New Roman" w:cs="Times New Roman"/>
          <w:lang w:val="sr-Latn-ME" w:eastAsia="zh-CN"/>
        </w:rPr>
        <w:t xml:space="preserve"> za 81%, u poređenju sa pojedinačnom dozom ribocikliba od 600 mg koja je primijenjena sama kod zdravih ispitanika. C</w:t>
      </w:r>
      <w:r w:rsidRPr="0017657C">
        <w:rPr>
          <w:rFonts w:ascii="Times New Roman" w:eastAsia="MS Mincho" w:hAnsi="Times New Roman" w:cs="Times New Roman"/>
          <w:vertAlign w:val="subscript"/>
          <w:lang w:val="sr-Latn-ME" w:eastAsia="zh-CN"/>
        </w:rPr>
        <w:t>max</w:t>
      </w:r>
      <w:r w:rsidRPr="0017657C">
        <w:rPr>
          <w:rFonts w:ascii="Times New Roman" w:eastAsia="MS Mincho" w:hAnsi="Times New Roman" w:cs="Times New Roman"/>
          <w:lang w:val="sr-Latn-ME" w:eastAsia="zh-CN"/>
        </w:rPr>
        <w:t xml:space="preserve"> za LEQ803 povećala se 1,7 puta, a PIK</w:t>
      </w:r>
      <w:r w:rsidRPr="0017657C">
        <w:rPr>
          <w:rFonts w:ascii="Times New Roman" w:eastAsia="MS Mincho" w:hAnsi="Times New Roman" w:cs="Times New Roman"/>
          <w:vertAlign w:val="subscript"/>
          <w:lang w:val="sr-Latn-ME" w:eastAsia="zh-CN"/>
        </w:rPr>
        <w:t>inf</w:t>
      </w:r>
      <w:r w:rsidRPr="0017657C">
        <w:rPr>
          <w:rFonts w:ascii="Times New Roman" w:eastAsia="MS Mincho" w:hAnsi="Times New Roman" w:cs="Times New Roman"/>
          <w:lang w:val="sr-Latn-ME" w:eastAsia="zh-CN"/>
        </w:rPr>
        <w:t xml:space="preserve"> se smanjio za 27%. Istovremena primjena snažnih CYP3A4 induktora mogla bi zbog toga da dovede do smanjene izloženosti i posljedično do rizika od izostanka efikasnosti. Potrebno je izbjegavati istovremenu primjenu snažnih CYP3A4 induktora, uključujući, ali i ne ograničavajući se na fenitoin, rifampicin, karbamazepin i kantarion</w:t>
      </w:r>
      <w:r w:rsidRPr="0017657C">
        <w:rPr>
          <w:rFonts w:ascii="Times New Roman" w:eastAsia="MS Mincho" w:hAnsi="Times New Roman" w:cs="Times New Roman"/>
          <w:i/>
          <w:lang w:val="sr-Latn-ME" w:eastAsia="zh-CN"/>
        </w:rPr>
        <w:t xml:space="preserve"> (Hypericum perforatum)</w:t>
      </w:r>
      <w:r w:rsidRPr="0017657C">
        <w:rPr>
          <w:rFonts w:ascii="Times New Roman" w:eastAsia="MS Mincho" w:hAnsi="Times New Roman" w:cs="Times New Roman"/>
          <w:lang w:val="sr-Latn-ME" w:eastAsia="zh-CN"/>
        </w:rPr>
        <w:t>. Potrebno je razmotriti alternativne ljekove bez ili sa minimalnim potencijalom za indukciju CYP3A4.</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Efekat umjerenog CYP3A4 induktora na izloženost ribociklibu nije bio ispitivan. Fiziološki zasnovane farmakokinetičke simulacije ukazuju da umjereni CYP3A4 induktor (efavirenz) može smanjiti C</w:t>
      </w:r>
      <w:r w:rsidRPr="0017657C">
        <w:rPr>
          <w:rFonts w:ascii="Times New Roman" w:eastAsia="MS Mincho" w:hAnsi="Times New Roman" w:cs="Times New Roman"/>
          <w:vertAlign w:val="subscript"/>
          <w:lang w:val="sr-Latn-ME" w:eastAsia="zh-CN"/>
        </w:rPr>
        <w:t>max</w:t>
      </w:r>
      <w:r w:rsidRPr="0017657C">
        <w:rPr>
          <w:rFonts w:ascii="Times New Roman" w:eastAsia="MS Mincho" w:hAnsi="Times New Roman" w:cs="Times New Roman"/>
          <w:lang w:val="sr-Latn-ME" w:eastAsia="zh-CN"/>
        </w:rPr>
        <w:t xml:space="preserve"> ribocikliba za 51% i PIK za 70% u stanju dinamičke ravnoteže. Istovremena primjena umjerenih CYP3A4 induktora zbog toga može dovesti do smanjene izloženosti i posljedično do rizika od smanjene efikasnosti, naročito kod pacijenata liječenih ribociklibom u dozi od 400 mg ili 200 mg jednom dnevno.</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Supstance kojima lijek Kisqali može da promijeni koncentracije u plazmi</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Ribociklib je umjeren do snažan CYP3A4 inhibitor i može da ostvari interakciju sa ljekovima supstratima koji se metabolišu putem CYP3A4, što može da dovede do povišenih koncentracija istovremeno primijenjenog lijeka u serumu.</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rPr>
        <w:t xml:space="preserve">Istovremena primjena midazolama (CYP3A4 supstrata) sa višestrukim dozama lijeka Kisqali (400 mg) povećala je izloženost midazolamu za 280% (3,80 puta) kod zdravih ispitanika, u poređenju sa primjenom samog midazolama. </w:t>
      </w:r>
      <w:r w:rsidRPr="0017657C">
        <w:rPr>
          <w:rFonts w:ascii="Times New Roman" w:eastAsia="MS Mincho" w:hAnsi="Times New Roman" w:cs="Times New Roman"/>
          <w:lang w:val="sr-Latn-ME" w:eastAsia="zh-CN"/>
        </w:rPr>
        <w:t>Simulacije korišćenjem fiziološki zasnovanih farmakokinetičkih modela ukazuju na to da se očekuje da će lijek Kisqali primijenjen u klinički relevantnoj dozi od 600 mg povećati PIK midazolama 5,2 puta.</w:t>
      </w:r>
      <w:r w:rsidRPr="0017657C" w:rsidDel="00021176">
        <w:rPr>
          <w:rFonts w:ascii="Times New Roman" w:eastAsia="MS Mincho" w:hAnsi="Times New Roman" w:cs="Times New Roman"/>
          <w:lang w:val="sr-Latn-ME" w:eastAsia="zh-CN"/>
        </w:rPr>
        <w:t xml:space="preserve"> </w:t>
      </w:r>
      <w:r w:rsidRPr="0017657C">
        <w:rPr>
          <w:rFonts w:ascii="Times New Roman" w:eastAsia="MS Mincho" w:hAnsi="Times New Roman" w:cs="Times New Roman"/>
          <w:lang w:val="sr-Latn-ME" w:eastAsia="zh-CN"/>
        </w:rPr>
        <w:t>Zbog toga je, uopšteno, kada se ribociklib primjenjuje istovremeno sa drugim ljekovima, potrebno pročitati SmPC za drugi lijek zbog preporuka kod istovremene primjene sa CYP3A4 inhibitorima. Preporučuje se oprez u slučaju istovremene primjene sa osjetljivim CYP3A4 supstratima sa uskim terapijskim indeksom (vidjeti odjeljak 4.4). Dozu osetljivog CYP3A4 supstrata sa uskim terapijskim indeksom, uključujući ali i ne ograničavajući se na, alfentanil, ciklosporin, everolimus, fentanil, sirolimus i takrolimus, možda će biti potrebno smanjiti budući da ribociklib može da poveća njihovu izloženost.</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Potrebno je izbjegavati istovremenu primjenu ribocikliba u dozi od 600 mg sa sljedećim CYP3A4 supstratima: alfuzosin, amjodaron, cisaprid, pimozid, hinidin, ergotamin, dihidroergotamin, kvetiapin, lovastatin, simvastatin, sildenafil, midazolam, triazolam.</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rPr>
        <w:t xml:space="preserve">Istovremena primjena kofeina (CYP1A2 supstrata) sa višestrukim dozama lijeka Kisqali (400 mg) povećala je izloženost kofeinu za </w:t>
      </w:r>
      <w:r w:rsidRPr="0017657C">
        <w:rPr>
          <w:rFonts w:ascii="Times New Roman" w:eastAsia="MS Mincho" w:hAnsi="Times New Roman" w:cs="Times New Roman"/>
          <w:lang w:val="sr-Latn-ME" w:eastAsia="zh-CN"/>
        </w:rPr>
        <w:t>20% (1,20 puta) kod zdravih ispitanika, u poređenju sa primjenom samog kofeina. Pri klinički relevantnoj dozi od 600 mg, simulacije korišćenjem fiziološki zasnovanog farmakokinetičkog modela predvidjele su samo slabe inhibitorne efekte ribocikliba na CYP1A2 supstrate (povećanje PIK</w:t>
      </w:r>
      <w:r w:rsidRPr="0017657C">
        <w:rPr>
          <w:rFonts w:ascii="Times New Roman" w:eastAsia="MS Mincho" w:hAnsi="Times New Roman" w:cs="Times New Roman"/>
          <w:lang w:val="sr-Latn-ME" w:eastAsia="zh-CN"/>
        </w:rPr>
        <w:noBreakHyphen/>
        <w:t>a &lt;2 puta).</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Trenutno nije poznato da li lijek Kisqali može da smanji efektivnost sistemskih hormonskih kontraceptiva.</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lastRenderedPageBreak/>
        <w:t>Supstance koje su supstrati transporterima</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i/>
          <w:lang w:val="sr-Latn-ME" w:eastAsia="zh-CN"/>
        </w:rPr>
        <w:t>In vitro</w:t>
      </w:r>
      <w:r w:rsidRPr="0017657C">
        <w:rPr>
          <w:rFonts w:ascii="Times New Roman" w:eastAsia="MS Mincho" w:hAnsi="Times New Roman" w:cs="Times New Roman"/>
          <w:lang w:val="sr-Latn-ME" w:eastAsia="zh-CN"/>
        </w:rPr>
        <w:t xml:space="preserve"> procjene su ukazale da ribociklib ima potencijal da inhibira aktivnost transportera ljekova P</w:t>
      </w:r>
      <w:r w:rsidRPr="0017657C">
        <w:rPr>
          <w:rFonts w:ascii="Times New Roman" w:eastAsia="MS Mincho" w:hAnsi="Times New Roman" w:cs="Times New Roman"/>
          <w:lang w:val="sr-Latn-ME" w:eastAsia="zh-CN"/>
        </w:rPr>
        <w:noBreakHyphen/>
        <w:t>gp, BCRP, OATP1B1/1B3, OCT1, OCT2, MATE1 i BSEP. Savjetuju se oprez i praćenje toksičnosti tokom istovremenog liječenja osetljivim supstratima tih transportera koji imaju uski terapijski indeks, uključujući između ostalih digoksin, pitavastatin, pravastatin, rosuvastatin i metformin.</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Interakcije lijeka i hrane</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Lijek Kisqali može da se primjenjuje uz hranu ili bez nje (vidjeti odjeljke 4.2 i 5.2).</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Ljekovi koji povećavaju pH u želucu</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xml:space="preserve">Ribociklib ima visoku rastvorljivost pri pH 4,5 ili nižem i u biorelevantnim medijima (pri pH 5,0 i 6,5). Istovremena primjena ribocikliba sa ljekovima koji povećavaju pH u želucu nije procjenjivana u kliničkom ispitivanju, međutim, u populacionoj farmakokinetičkoj analizi i neprostornoj farmakokinetičkoj analizi (eng. </w:t>
      </w:r>
      <w:r w:rsidRPr="0017657C">
        <w:rPr>
          <w:rFonts w:ascii="Times New Roman" w:eastAsia="MS Mincho" w:hAnsi="Times New Roman" w:cs="Times New Roman"/>
          <w:i/>
          <w:lang w:val="sr-Latn-ME" w:eastAsia="zh-CN"/>
        </w:rPr>
        <w:t>non-compartmental pharmacokinetic analyses</w:t>
      </w:r>
      <w:r w:rsidRPr="0017657C">
        <w:rPr>
          <w:rFonts w:ascii="Times New Roman" w:eastAsia="MS Mincho" w:hAnsi="Times New Roman" w:cs="Times New Roman"/>
          <w:lang w:val="sr-Latn-ME" w:eastAsia="zh-CN"/>
        </w:rPr>
        <w:t>) nije bila uočena promijenjena resorpcija ribocikliba.</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Interakcija između ribocikliba i letrozola</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Podaci iz kliničkog ispitivanja kod pacijenata sa karcinomom dojke i populacionih farmakokinetičkih analiza ukazali su da nema interakcija između ribocikliba i letrozola nakon istovremene primjene tih ljekova.</w:t>
      </w:r>
    </w:p>
    <w:p w:rsidR="00741524" w:rsidRPr="0017657C" w:rsidRDefault="00741524" w:rsidP="0017657C">
      <w:pPr>
        <w:widowControl w:val="0"/>
        <w:tabs>
          <w:tab w:val="left" w:pos="6331"/>
        </w:tabs>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ab/>
      </w: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Očekivane interakcije</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t>Antiaritmici i drugi ljekovi koji mogu produžiti QT interval</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Potrebno je izbjegavati istovremenu primjenu lijeka Kisqali sa ljekovima sa poznatim potencijalom za produžavanje QT intervala kao što su antiaritmici (uključujući, ali ne ograničavajući se na, amjodaron, dizopiramid, prokainamid, hinidin i sotalol), zatim sa drugim ljekovima za koje je poznato da produžavaju QT interval (uključujući, ali ne ograničavajući se na, hlorohin, halofantrin, klaritromicin, haloperidol, metadon, moksifloksacin, bepridil, pimozid i intravenski ondansetron) (vidjeti odjeljak 4.4).</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4.6. </w:t>
      </w:r>
      <w:r w:rsidRPr="0017657C">
        <w:rPr>
          <w:rFonts w:ascii="Times New Roman" w:eastAsia="Times New Roman" w:hAnsi="Times New Roman" w:cs="Times New Roman"/>
          <w:b/>
          <w:bCs/>
          <w:lang w:val="sr-Latn-ME"/>
        </w:rPr>
        <w:tab/>
        <w:t>Primjena u periodu trudnoće i dojenja</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Potrebno je provjeriti da li ste trudni prije početka liječenja lijekom Kisqali.</w:t>
      </w:r>
    </w:p>
    <w:p w:rsidR="00741524" w:rsidRPr="0017657C" w:rsidRDefault="00741524" w:rsidP="0017657C">
      <w:pPr>
        <w:keepNext/>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Na osnovu iskustva na životinjama, ribociklib može da naškodi fetusu kada se daje trudnici (vidjeti odjeljak 5.3).</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Za više informacija o trudnoći, dojenju i plodnosti, vidjeti odjeljak 5.3.</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4.7. </w:t>
      </w:r>
      <w:r w:rsidRPr="0017657C">
        <w:rPr>
          <w:rFonts w:ascii="Times New Roman" w:eastAsia="Times New Roman" w:hAnsi="Times New Roman" w:cs="Times New Roman"/>
          <w:b/>
          <w:bCs/>
          <w:lang w:val="sr-Latn-ME"/>
        </w:rPr>
        <w:tab/>
        <w:t>Uticaj na psihofizičke sposobnosti prilikom upravljanja motornim vozilima i rukovanja mašinama</w:t>
      </w:r>
    </w:p>
    <w:p w:rsidR="00741524" w:rsidRDefault="00741524" w:rsidP="0017657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BB4A90" w:rsidRDefault="00BB4A90" w:rsidP="0017657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BB4A90" w:rsidRPr="0017657C" w:rsidRDefault="00BB4A90" w:rsidP="0017657C">
      <w:pPr>
        <w:tabs>
          <w:tab w:val="left" w:pos="540"/>
          <w:tab w:val="left" w:pos="569"/>
        </w:tabs>
        <w:spacing w:after="0" w:line="240" w:lineRule="auto"/>
        <w:ind w:left="540" w:hanging="540"/>
        <w:jc w:val="both"/>
        <w:rPr>
          <w:rFonts w:ascii="Times New Roman" w:eastAsia="Times New Roman" w:hAnsi="Times New Roman" w:cs="Times New Roman"/>
          <w:b/>
          <w:bCs/>
          <w:lang w:val="sr-Latn-ME"/>
        </w:rPr>
      </w:pPr>
    </w:p>
    <w:p w:rsidR="00741524" w:rsidRPr="00BB4A90" w:rsidRDefault="00741524" w:rsidP="00BB4A90">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lastRenderedPageBreak/>
        <w:t xml:space="preserve">Lijek Kisqali može da ima mali uticaj na sposobnost upravljanja vozilima i rukovanja mašinama. Pacijente treba savjetovati da budu oprezni kada upravljaju vozilima ili rukuju mašinama u slučaju da osjete umor tokom liječenja lijekom </w:t>
      </w:r>
      <w:r w:rsidR="00BB4A90">
        <w:rPr>
          <w:rFonts w:ascii="Times New Roman" w:eastAsia="Times New Roman" w:hAnsi="Times New Roman" w:cs="Times New Roman"/>
          <w:lang w:val="sr-Latn-ME"/>
        </w:rPr>
        <w:t>Kisqali (vidjeti odjeljak 4.8).</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4.8. </w:t>
      </w:r>
      <w:r w:rsidRPr="0017657C">
        <w:rPr>
          <w:rFonts w:ascii="Times New Roman" w:eastAsia="Times New Roman" w:hAnsi="Times New Roman" w:cs="Times New Roman"/>
          <w:b/>
          <w:bCs/>
          <w:lang w:val="sr-Latn-ME"/>
        </w:rPr>
        <w:tab/>
        <w:t>Neželjena dejstva</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p>
    <w:p w:rsidR="00741524" w:rsidRPr="0017657C" w:rsidRDefault="00741524" w:rsidP="0017657C">
      <w:pPr>
        <w:keepNext/>
        <w:widowControl w:val="0"/>
        <w:spacing w:after="0" w:line="240" w:lineRule="auto"/>
        <w:rPr>
          <w:rFonts w:ascii="Times New Roman" w:eastAsia="MS Gothic" w:hAnsi="Times New Roman" w:cs="Times New Roman"/>
          <w:u w:val="single"/>
          <w:lang w:val="sr-Latn-ME" w:eastAsia="zh-CN"/>
        </w:rPr>
      </w:pPr>
      <w:r w:rsidRPr="0017657C">
        <w:rPr>
          <w:rFonts w:ascii="Times New Roman" w:eastAsia="MS Gothic" w:hAnsi="Times New Roman" w:cs="Times New Roman"/>
          <w:u w:val="single"/>
          <w:lang w:val="sr-Latn-ME" w:eastAsia="zh-CN"/>
        </w:rPr>
        <w:t>Sažetak bezbjednosnog profila</w:t>
      </w:r>
    </w:p>
    <w:p w:rsidR="00741524" w:rsidRPr="0017657C" w:rsidRDefault="00741524" w:rsidP="0017657C">
      <w:pPr>
        <w:keepNext/>
        <w:keepLines/>
        <w:widowControl w:val="0"/>
        <w:spacing w:after="0" w:line="240" w:lineRule="auto"/>
        <w:rPr>
          <w:rFonts w:ascii="Times New Roman" w:eastAsia="MS Gothic"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Sveukupna procjena bezbjednosti lijeka Kisqali zasnovana je na podacima od 898 pacijenata, od kojih je 568 bilo izloženo ribociklibu u preporučenoj dozi od 600 mg, koristeći predloženi režim liječenja od 600 mg ribocikliba (od 1. do 21. dana 28</w:t>
      </w:r>
      <w:r w:rsidRPr="0017657C">
        <w:rPr>
          <w:rFonts w:ascii="Times New Roman" w:eastAsia="MS Mincho" w:hAnsi="Times New Roman" w:cs="Times New Roman"/>
          <w:lang w:val="sr-Latn-ME" w:eastAsia="zh-CN"/>
        </w:rPr>
        <w:noBreakHyphen/>
        <w:t>dnevnog ciklusa) i uključujući 381 koji su primali ribociklib u kombinaciji sa letrozolom 2,5 mg jednom dnevno.</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Podaci o bezbjednosti, navedeni u nastavku, zasnivaju se na podacima iz kliničkog ispitivanja faze III sa medijanom trajanja izloženosti ribociklibu sa letrozolom od 13 mjeseci (58,1% pacijenata izloženih ≥12 mjeseci).</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Do smanjenja doze usljed neželjenih događaja, bez obzira na uzrok, došlo je kod 44,</w:t>
      </w:r>
      <w:r w:rsidRPr="0017657C" w:rsidDel="00AE3BE8">
        <w:rPr>
          <w:rFonts w:ascii="Times New Roman" w:eastAsia="MS Mincho" w:hAnsi="Times New Roman" w:cs="Times New Roman"/>
          <w:lang w:val="sr-Latn-ME" w:eastAsia="zh-CN"/>
        </w:rPr>
        <w:t xml:space="preserve">6% </w:t>
      </w:r>
      <w:r w:rsidRPr="0017657C">
        <w:rPr>
          <w:rFonts w:ascii="Times New Roman" w:eastAsia="MS Mincho" w:hAnsi="Times New Roman" w:cs="Times New Roman"/>
          <w:lang w:val="sr-Latn-ME" w:eastAsia="zh-CN"/>
        </w:rPr>
        <w:t xml:space="preserve">pacijenata koji su uzimali lijek </w:t>
      </w:r>
      <w:r w:rsidRPr="0017657C" w:rsidDel="00AE3BE8">
        <w:rPr>
          <w:rFonts w:ascii="Times New Roman" w:eastAsia="MS Mincho" w:hAnsi="Times New Roman" w:cs="Times New Roman"/>
          <w:lang w:val="sr-Latn-ME" w:eastAsia="zh-CN"/>
        </w:rPr>
        <w:t>Kisqali</w:t>
      </w:r>
      <w:r w:rsidRPr="0017657C">
        <w:rPr>
          <w:rFonts w:ascii="Times New Roman" w:eastAsia="MS Mincho" w:hAnsi="Times New Roman" w:cs="Times New Roman"/>
          <w:lang w:val="sr-Latn-ME" w:eastAsia="zh-CN"/>
        </w:rPr>
        <w:t xml:space="preserve"> sa</w:t>
      </w:r>
      <w:r w:rsidRPr="0017657C" w:rsidDel="00AE3BE8">
        <w:rPr>
          <w:rFonts w:ascii="Times New Roman" w:eastAsia="MS Mincho" w:hAnsi="Times New Roman" w:cs="Times New Roman"/>
          <w:lang w:val="sr-Latn-ME" w:eastAsia="zh-CN"/>
        </w:rPr>
        <w:t xml:space="preserve"> letrozol</w:t>
      </w:r>
      <w:r w:rsidRPr="0017657C">
        <w:rPr>
          <w:rFonts w:ascii="Times New Roman" w:eastAsia="MS Mincho" w:hAnsi="Times New Roman" w:cs="Times New Roman"/>
          <w:lang w:val="sr-Latn-ME" w:eastAsia="zh-CN"/>
        </w:rPr>
        <w:t>om, a trajni prekid liječenja bio je zabeležen kod 7,5% pacijenata.</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Najčešće neželjene reakcije (prijavljene sa učestalošću ≥20%), za koje učestalost kod lijeka Kisqali sa letrozolom premašuje učestalost kod placeba sa letrozolom bile su neutropenija, leukopenija, glavobolja, bol u leđima, mučnina, umor, dijareja, povraćanje, konstipacija, alopecija i osip i najčešće neželjene reakcije stepena 3/4 (prijavljene sa učestalošću ≥2%) za koje učestalost kod lijeka Kisqali sa letrozolom premašuje učestalost kod placeba sa letrozolom bile su neutropenija, leukopenija, odstupanja u nalazima ispitivanja funkcije jetre, limfopenija, hipofosfatemija, povraćanje, mučnina, umor i bol u leđima.</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widowControl w:val="0"/>
        <w:spacing w:after="0" w:line="240" w:lineRule="auto"/>
        <w:rPr>
          <w:rFonts w:ascii="Times New Roman" w:eastAsia="MS Mincho" w:hAnsi="Times New Roman" w:cs="Times New Roman"/>
          <w:u w:val="single"/>
          <w:lang w:val="sr-Latn-ME" w:eastAsia="zh-CN"/>
        </w:rPr>
      </w:pPr>
      <w:r w:rsidRPr="0017657C">
        <w:rPr>
          <w:rFonts w:ascii="Times New Roman" w:eastAsia="MS Mincho" w:hAnsi="Times New Roman" w:cs="Times New Roman"/>
          <w:u w:val="single"/>
          <w:lang w:val="sr-Latn-ME" w:eastAsia="zh-CN"/>
        </w:rPr>
        <w:t>Tabelarni prikaz neželjenih reakcija</w:t>
      </w:r>
    </w:p>
    <w:p w:rsidR="00741524" w:rsidRPr="0017657C" w:rsidRDefault="00741524" w:rsidP="0017657C">
      <w:pPr>
        <w:keepNext/>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Neželjene reakcije iz kliničkog ispitivanja faze III (Tabela 6) navedene su prema MedDRA klasifikaciji sistema organa. Unutar svake klase sistema organa neželjene reakciju su poređane po učestalosti, počevši od najučestalijih. Unutar svake grupe po učestalosti neželjene reakcije su prikazane u opadajućem redosledu prema ozbiljnosti. Dodatno, odgovarajuća kategorija učestalosti za svaku neželjenu reakciju zasnovana je prema sljedećoj konvenciji (CIOMS III): veoma često (≥1/10); često (≥1/100 do &lt;1/10); povremeno (≥1/1000 do &lt;1/100); rijetko (≥1/10 000 do &lt;1/1000); veoma rijetko (&lt;1/10 000) i nepoznato (ne može se procijeniti na osnovu dostupnih podataka).</w:t>
      </w:r>
    </w:p>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keepNext/>
        <w:widowControl w:val="0"/>
        <w:tabs>
          <w:tab w:val="left" w:pos="284"/>
        </w:tabs>
        <w:spacing w:after="0" w:line="240" w:lineRule="auto"/>
        <w:ind w:left="1134" w:hanging="1134"/>
        <w:jc w:val="both"/>
        <w:outlineLvl w:val="5"/>
        <w:rPr>
          <w:rFonts w:ascii="Times New Roman" w:eastAsia="Times New Roman" w:hAnsi="Times New Roman" w:cs="Times New Roman"/>
          <w:b/>
          <w:lang w:val="sr-Latn-ME"/>
        </w:rPr>
      </w:pPr>
      <w:r w:rsidRPr="0017657C">
        <w:rPr>
          <w:rFonts w:ascii="Times New Roman" w:eastAsia="Times New Roman" w:hAnsi="Times New Roman" w:cs="Times New Roman"/>
          <w:b/>
          <w:lang w:val="sr-Latn-ME"/>
        </w:rPr>
        <w:lastRenderedPageBreak/>
        <w:t>Tabela 6</w:t>
      </w:r>
      <w:r w:rsidRPr="0017657C">
        <w:rPr>
          <w:rFonts w:ascii="Times New Roman" w:eastAsia="Times New Roman" w:hAnsi="Times New Roman" w:cs="Times New Roman"/>
          <w:b/>
          <w:lang w:val="sr-Latn-ME"/>
        </w:rPr>
        <w:tab/>
        <w:t>Neželjene reakcije na lijek uočene u kliničkom ispitivanju faze III</w:t>
      </w:r>
    </w:p>
    <w:p w:rsidR="00741524" w:rsidRPr="0017657C" w:rsidRDefault="00741524" w:rsidP="0017657C">
      <w:pPr>
        <w:keepNext/>
        <w:widowControl w:val="0"/>
        <w:spacing w:after="0" w:line="240" w:lineRule="auto"/>
        <w:jc w:val="both"/>
        <w:rPr>
          <w:rFonts w:ascii="Times New Roman" w:eastAsia="MS Mincho" w:hAnsi="Times New Roman" w:cs="Times New Roman"/>
          <w:lang w:val="sr-Latn-ME" w:eastAsia="zh-CN"/>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3"/>
        <w:gridCol w:w="2464"/>
      </w:tblGrid>
      <w:tr w:rsidR="00741524" w:rsidRPr="0017657C" w:rsidTr="00741524">
        <w:trPr>
          <w:trHeight w:val="455"/>
          <w:jc w:val="center"/>
        </w:trPr>
        <w:tc>
          <w:tcPr>
            <w:tcW w:w="6433" w:type="dxa"/>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Neželjena reakcija na lijek</w:t>
            </w:r>
          </w:p>
        </w:tc>
        <w:tc>
          <w:tcPr>
            <w:tcW w:w="2464" w:type="dxa"/>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Učestalost</w:t>
            </w:r>
          </w:p>
        </w:tc>
      </w:tr>
      <w:tr w:rsidR="00741524" w:rsidRPr="0017657C" w:rsidTr="00741524">
        <w:trPr>
          <w:jc w:val="center"/>
        </w:trPr>
        <w:tc>
          <w:tcPr>
            <w:tcW w:w="8897" w:type="dxa"/>
            <w:gridSpan w:val="2"/>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Infekcije i infestacije</w:t>
            </w:r>
          </w:p>
        </w:tc>
      </w:tr>
      <w:tr w:rsidR="00741524" w:rsidRPr="0017657C" w:rsidTr="00741524">
        <w:trPr>
          <w:jc w:val="center"/>
        </w:trPr>
        <w:tc>
          <w:tcPr>
            <w:tcW w:w="6433" w:type="dxa"/>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Infekcija urinarnog trakta</w:t>
            </w:r>
          </w:p>
        </w:tc>
        <w:tc>
          <w:tcPr>
            <w:tcW w:w="2464" w:type="dxa"/>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8897" w:type="dxa"/>
            <w:gridSpan w:val="2"/>
            <w:tcBorders>
              <w:bottom w:val="single" w:sz="4" w:space="0" w:color="auto"/>
            </w:tcBorders>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Poremećaji krvi i limfnog sistema</w:t>
            </w:r>
          </w:p>
        </w:tc>
      </w:tr>
      <w:tr w:rsidR="00741524" w:rsidRPr="0017657C" w:rsidTr="00741524">
        <w:trPr>
          <w:trHeight w:val="212"/>
          <w:jc w:val="center"/>
        </w:trPr>
        <w:tc>
          <w:tcPr>
            <w:tcW w:w="6433"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Neutropenija, leukopenija, anemija, limfopenija</w:t>
            </w:r>
          </w:p>
        </w:tc>
        <w:tc>
          <w:tcPr>
            <w:tcW w:w="2464"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6433" w:type="dxa"/>
            <w:tcBorders>
              <w:top w:val="nil"/>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Trombocitopenija, febrilna neutropenija</w:t>
            </w:r>
          </w:p>
        </w:tc>
        <w:tc>
          <w:tcPr>
            <w:tcW w:w="2464" w:type="dxa"/>
            <w:tcBorders>
              <w:top w:val="nil"/>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tcBorders>
              <w:bottom w:val="single" w:sz="4" w:space="0" w:color="auto"/>
            </w:tcBorders>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Poremećaji metabolizma i ishrane</w:t>
            </w:r>
          </w:p>
        </w:tc>
      </w:tr>
      <w:tr w:rsidR="00741524" w:rsidRPr="0017657C" w:rsidTr="00741524">
        <w:trPr>
          <w:jc w:val="center"/>
        </w:trPr>
        <w:tc>
          <w:tcPr>
            <w:tcW w:w="6433"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Smanjeni apetit</w:t>
            </w:r>
          </w:p>
        </w:tc>
        <w:tc>
          <w:tcPr>
            <w:tcW w:w="2464"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6433" w:type="dxa"/>
            <w:tcBorders>
              <w:top w:val="nil"/>
              <w:bottom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Hipokalcemija, hipokalemija, hipofosfatemija</w:t>
            </w:r>
          </w:p>
        </w:tc>
        <w:tc>
          <w:tcPr>
            <w:tcW w:w="2464" w:type="dxa"/>
            <w:tcBorders>
              <w:top w:val="nil"/>
              <w:bottom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tcBorders>
              <w:bottom w:val="single" w:sz="4" w:space="0" w:color="auto"/>
            </w:tcBorders>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Poremećaji nervnog sistema</w:t>
            </w:r>
          </w:p>
        </w:tc>
      </w:tr>
      <w:tr w:rsidR="00741524" w:rsidRPr="0017657C" w:rsidTr="00741524">
        <w:trPr>
          <w:jc w:val="center"/>
        </w:trPr>
        <w:tc>
          <w:tcPr>
            <w:tcW w:w="6433" w:type="dxa"/>
            <w:tcBorders>
              <w:bottom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Glavobolja, nesanica</w:t>
            </w:r>
          </w:p>
        </w:tc>
        <w:tc>
          <w:tcPr>
            <w:tcW w:w="2464" w:type="dxa"/>
            <w:tcBorders>
              <w:bottom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8897" w:type="dxa"/>
            <w:gridSpan w:val="2"/>
            <w:tcBorders>
              <w:bottom w:val="single" w:sz="4" w:space="0" w:color="auto"/>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Poremećaji oka</w:t>
            </w:r>
          </w:p>
        </w:tc>
      </w:tr>
      <w:tr w:rsidR="00741524" w:rsidRPr="0017657C" w:rsidTr="00741524">
        <w:trPr>
          <w:jc w:val="center"/>
        </w:trPr>
        <w:tc>
          <w:tcPr>
            <w:tcW w:w="6433" w:type="dxa"/>
            <w:tcBorders>
              <w:bottom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Pojačano suzenje, suvoća oka</w:t>
            </w:r>
          </w:p>
        </w:tc>
        <w:tc>
          <w:tcPr>
            <w:tcW w:w="2464" w:type="dxa"/>
            <w:tcBorders>
              <w:bottom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Kardiološki poremećaji</w:t>
            </w:r>
          </w:p>
        </w:tc>
      </w:tr>
      <w:tr w:rsidR="00741524" w:rsidRPr="0017657C" w:rsidTr="00741524">
        <w:trPr>
          <w:jc w:val="center"/>
        </w:trPr>
        <w:tc>
          <w:tcPr>
            <w:tcW w:w="6433" w:type="dxa"/>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Sinkopa</w:t>
            </w:r>
          </w:p>
        </w:tc>
        <w:tc>
          <w:tcPr>
            <w:tcW w:w="2464" w:type="dxa"/>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tcBorders>
              <w:bottom w:val="single" w:sz="4" w:space="0" w:color="auto"/>
            </w:tcBorders>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Respiratorni, torakalni i medijastinalni poremećaji</w:t>
            </w:r>
          </w:p>
        </w:tc>
      </w:tr>
      <w:tr w:rsidR="00741524" w:rsidRPr="0017657C" w:rsidTr="00741524">
        <w:trPr>
          <w:jc w:val="center"/>
        </w:trPr>
        <w:tc>
          <w:tcPr>
            <w:tcW w:w="6433"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Dispneja</w:t>
            </w:r>
          </w:p>
        </w:tc>
        <w:tc>
          <w:tcPr>
            <w:tcW w:w="2464"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6433" w:type="dxa"/>
            <w:tcBorders>
              <w:top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Epistaksa</w:t>
            </w:r>
          </w:p>
        </w:tc>
        <w:tc>
          <w:tcPr>
            <w:tcW w:w="2464" w:type="dxa"/>
            <w:tcBorders>
              <w:top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tcBorders>
              <w:bottom w:val="single" w:sz="4" w:space="0" w:color="auto"/>
            </w:tcBorders>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Gastrointestinalni poremećaji</w:t>
            </w:r>
          </w:p>
        </w:tc>
      </w:tr>
      <w:tr w:rsidR="00741524" w:rsidRPr="0017657C" w:rsidTr="00741524">
        <w:trPr>
          <w:jc w:val="center"/>
        </w:trPr>
        <w:tc>
          <w:tcPr>
            <w:tcW w:w="6433"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Mučnina, dijareja, povraćanje, konstipacija, stomatitis, bol u abdomenu</w:t>
            </w:r>
          </w:p>
        </w:tc>
        <w:tc>
          <w:tcPr>
            <w:tcW w:w="2464"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6433" w:type="dxa"/>
            <w:tcBorders>
              <w:top w:val="nil"/>
              <w:bottom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Disgeuzija, dispepsija</w:t>
            </w:r>
          </w:p>
        </w:tc>
        <w:tc>
          <w:tcPr>
            <w:tcW w:w="2464" w:type="dxa"/>
            <w:tcBorders>
              <w:top w:val="nil"/>
              <w:bottom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Hepatobilijarni poremećaji</w:t>
            </w:r>
          </w:p>
        </w:tc>
      </w:tr>
      <w:tr w:rsidR="00741524" w:rsidRPr="0017657C" w:rsidTr="00741524">
        <w:trPr>
          <w:jc w:val="center"/>
        </w:trPr>
        <w:tc>
          <w:tcPr>
            <w:tcW w:w="6433" w:type="dxa"/>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Hepatotoksičnost</w:t>
            </w:r>
            <w:r w:rsidRPr="0017657C">
              <w:rPr>
                <w:rFonts w:ascii="Times New Roman" w:eastAsia="MS Mincho" w:hAnsi="Times New Roman" w:cs="Times New Roman"/>
                <w:vertAlign w:val="superscript"/>
                <w:lang w:val="sr-Latn-ME" w:eastAsia="zh-CN"/>
              </w:rPr>
              <w:t>1</w:t>
            </w:r>
          </w:p>
        </w:tc>
        <w:tc>
          <w:tcPr>
            <w:tcW w:w="2464" w:type="dxa"/>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tcBorders>
              <w:bottom w:val="single" w:sz="4" w:space="0" w:color="auto"/>
            </w:tcBorders>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Poremećaji kože i potkožnog tkiva</w:t>
            </w:r>
          </w:p>
        </w:tc>
      </w:tr>
      <w:tr w:rsidR="00741524" w:rsidRPr="0017657C" w:rsidTr="00741524">
        <w:trPr>
          <w:jc w:val="center"/>
        </w:trPr>
        <w:tc>
          <w:tcPr>
            <w:tcW w:w="6433"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Alopecija, osip</w:t>
            </w:r>
            <w:r w:rsidRPr="0017657C">
              <w:rPr>
                <w:rFonts w:ascii="Times New Roman" w:eastAsia="MS Mincho" w:hAnsi="Times New Roman" w:cs="Times New Roman"/>
                <w:vertAlign w:val="superscript"/>
                <w:lang w:val="sr-Latn-ME" w:eastAsia="zh-CN"/>
              </w:rPr>
              <w:t>2</w:t>
            </w:r>
            <w:r w:rsidRPr="0017657C">
              <w:rPr>
                <w:rFonts w:ascii="Times New Roman" w:eastAsia="MS Mincho" w:hAnsi="Times New Roman" w:cs="Times New Roman"/>
                <w:lang w:val="sr-Latn-ME" w:eastAsia="zh-CN"/>
              </w:rPr>
              <w:t>, pruritus</w:t>
            </w:r>
          </w:p>
        </w:tc>
        <w:tc>
          <w:tcPr>
            <w:tcW w:w="2464"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6433" w:type="dxa"/>
            <w:tcBorders>
              <w:top w:val="nil"/>
            </w:tcBorders>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Eritema</w:t>
            </w:r>
          </w:p>
        </w:tc>
        <w:tc>
          <w:tcPr>
            <w:tcW w:w="2464" w:type="dxa"/>
            <w:tcBorders>
              <w:top w:val="nil"/>
            </w:tcBorders>
            <w:shd w:val="clear" w:color="auto" w:fill="auto"/>
            <w:vAlign w:val="center"/>
          </w:tcPr>
          <w:p w:rsidR="00741524" w:rsidRPr="0017657C" w:rsidRDefault="00741524" w:rsidP="0017657C">
            <w:pPr>
              <w:widowControl w:val="0"/>
              <w:tabs>
                <w:tab w:val="left" w:pos="284"/>
                <w:tab w:val="left" w:pos="1212"/>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bCs/>
                <w:lang w:val="sr-Latn-ME" w:eastAsia="zh-CN"/>
              </w:rPr>
              <w:t>Poremećaji mišićno-koštanog sistema i vezivnog tkiva</w:t>
            </w:r>
          </w:p>
        </w:tc>
      </w:tr>
      <w:tr w:rsidR="00741524" w:rsidRPr="0017657C" w:rsidTr="00741524">
        <w:trPr>
          <w:jc w:val="center"/>
        </w:trPr>
        <w:tc>
          <w:tcPr>
            <w:tcW w:w="6433" w:type="dxa"/>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Bol u leđima</w:t>
            </w:r>
          </w:p>
        </w:tc>
        <w:tc>
          <w:tcPr>
            <w:tcW w:w="2464" w:type="dxa"/>
            <w:shd w:val="clear" w:color="auto" w:fill="auto"/>
            <w:vAlign w:val="center"/>
          </w:tcPr>
          <w:p w:rsidR="00741524" w:rsidRPr="0017657C" w:rsidRDefault="00741524" w:rsidP="0017657C">
            <w:pPr>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8897" w:type="dxa"/>
            <w:gridSpan w:val="2"/>
            <w:tcBorders>
              <w:bottom w:val="single" w:sz="4" w:space="0" w:color="auto"/>
            </w:tcBorders>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Opšti poremećaji i reakcije na mestu primene</w:t>
            </w:r>
          </w:p>
        </w:tc>
      </w:tr>
      <w:tr w:rsidR="00741524" w:rsidRPr="0017657C" w:rsidTr="00741524">
        <w:trPr>
          <w:jc w:val="center"/>
        </w:trPr>
        <w:tc>
          <w:tcPr>
            <w:tcW w:w="6433"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Umor, periferni edem, astenija, pireksija</w:t>
            </w:r>
          </w:p>
        </w:tc>
        <w:tc>
          <w:tcPr>
            <w:tcW w:w="2464" w:type="dxa"/>
            <w:tcBorders>
              <w:bottom w:val="nil"/>
            </w:tcBorders>
            <w:shd w:val="clear" w:color="auto" w:fill="auto"/>
            <w:vAlign w:val="center"/>
          </w:tcPr>
          <w:p w:rsidR="00741524" w:rsidRPr="0017657C" w:rsidRDefault="00741524" w:rsidP="0017657C">
            <w:pPr>
              <w:keepNext/>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8897" w:type="dxa"/>
            <w:gridSpan w:val="2"/>
            <w:tcBorders>
              <w:bottom w:val="single" w:sz="4" w:space="0" w:color="auto"/>
            </w:tcBorders>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bCs/>
                <w:lang w:val="sr-Latn-ME" w:eastAsia="zh-CN"/>
              </w:rPr>
            </w:pPr>
            <w:r w:rsidRPr="0017657C">
              <w:rPr>
                <w:rFonts w:ascii="Times New Roman" w:eastAsia="MS Mincho" w:hAnsi="Times New Roman" w:cs="Times New Roman"/>
                <w:b/>
                <w:bCs/>
                <w:lang w:val="sr-Latn-ME" w:eastAsia="zh-CN"/>
              </w:rPr>
              <w:t>Ispitivanja</w:t>
            </w:r>
          </w:p>
        </w:tc>
      </w:tr>
      <w:tr w:rsidR="00741524" w:rsidRPr="0017657C" w:rsidTr="00741524">
        <w:trPr>
          <w:jc w:val="center"/>
        </w:trPr>
        <w:tc>
          <w:tcPr>
            <w:tcW w:w="6433" w:type="dxa"/>
            <w:tcBorders>
              <w:bottom w:val="nil"/>
            </w:tcBorders>
            <w:shd w:val="clear" w:color="auto" w:fill="auto"/>
            <w:vAlign w:val="center"/>
          </w:tcPr>
          <w:p w:rsidR="00741524" w:rsidRPr="0017657C" w:rsidDel="001925A9"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Odstupanja u nalazima ispitivanja funkcije jetre</w:t>
            </w:r>
            <w:r w:rsidRPr="0017657C">
              <w:rPr>
                <w:rFonts w:ascii="Times New Roman" w:eastAsia="MS Mincho" w:hAnsi="Times New Roman" w:cs="Times New Roman"/>
                <w:vertAlign w:val="superscript"/>
                <w:lang w:val="sr-Latn-ME" w:eastAsia="zh-CN"/>
              </w:rPr>
              <w:t>3</w:t>
            </w:r>
          </w:p>
        </w:tc>
        <w:tc>
          <w:tcPr>
            <w:tcW w:w="2464" w:type="dxa"/>
            <w:tcBorders>
              <w:bottom w:val="nil"/>
            </w:tcBorders>
            <w:shd w:val="clear" w:color="auto" w:fill="auto"/>
            <w:vAlign w:val="center"/>
          </w:tcPr>
          <w:p w:rsidR="00741524" w:rsidRPr="0017657C" w:rsidDel="001925A9"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Veoma često</w:t>
            </w:r>
          </w:p>
        </w:tc>
      </w:tr>
      <w:tr w:rsidR="00741524" w:rsidRPr="0017657C" w:rsidTr="00741524">
        <w:trPr>
          <w:jc w:val="center"/>
        </w:trPr>
        <w:tc>
          <w:tcPr>
            <w:tcW w:w="6433" w:type="dxa"/>
            <w:tcBorders>
              <w:top w:val="nil"/>
              <w:bottom w:val="nil"/>
            </w:tcBorders>
            <w:shd w:val="clear" w:color="auto" w:fill="auto"/>
            <w:vAlign w:val="center"/>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Povišen kreatinin u krvi, smanjena težina, produženi QT na elektrokardiogramu</w:t>
            </w:r>
          </w:p>
        </w:tc>
        <w:tc>
          <w:tcPr>
            <w:tcW w:w="2464" w:type="dxa"/>
            <w:tcBorders>
              <w:top w:val="nil"/>
              <w:bottom w:val="nil"/>
            </w:tcBorders>
            <w:shd w:val="clear" w:color="auto" w:fill="auto"/>
            <w:vAlign w:val="center"/>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Često</w:t>
            </w:r>
          </w:p>
        </w:tc>
      </w:tr>
      <w:tr w:rsidR="00741524" w:rsidRPr="0017657C" w:rsidTr="00741524">
        <w:trPr>
          <w:jc w:val="center"/>
        </w:trPr>
        <w:tc>
          <w:tcPr>
            <w:tcW w:w="8897" w:type="dxa"/>
            <w:gridSpan w:val="2"/>
            <w:shd w:val="clear" w:color="auto" w:fill="auto"/>
            <w:vAlign w:val="center"/>
          </w:tcPr>
          <w:p w:rsidR="00741524" w:rsidRPr="0017657C" w:rsidRDefault="00741524" w:rsidP="0017657C">
            <w:pPr>
              <w:keepNext/>
              <w:keepLines/>
              <w:widowControl w:val="0"/>
              <w:tabs>
                <w:tab w:val="left" w:pos="284"/>
              </w:tabs>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vertAlign w:val="superscript"/>
                <w:lang w:val="sr-Latn-ME" w:eastAsia="zh-CN"/>
              </w:rPr>
              <w:t>1</w:t>
            </w:r>
            <w:r w:rsidRPr="0017657C">
              <w:rPr>
                <w:rFonts w:ascii="Times New Roman" w:eastAsia="MS Mincho" w:hAnsi="Times New Roman" w:cs="Times New Roman"/>
                <w:lang w:val="sr-Latn-ME" w:eastAsia="zh-CN"/>
              </w:rPr>
              <w:t>Hepatotoksičnost: hepatocelularno oštećenje, oštećenje jetre uzrokovano lijekom, hepatotoksičnost, insuficijencija jetre (jedan slučaj bez smrtnog ishoda), autoimuni hepatitis (jedan slučaj).</w:t>
            </w:r>
          </w:p>
          <w:p w:rsidR="00741524" w:rsidRPr="0017657C" w:rsidRDefault="00741524" w:rsidP="0017657C">
            <w:pPr>
              <w:keepNext/>
              <w:keepLines/>
              <w:widowControl w:val="0"/>
              <w:tabs>
                <w:tab w:val="left" w:pos="284"/>
              </w:tabs>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vertAlign w:val="superscript"/>
                <w:lang w:val="sr-Latn-ME" w:eastAsia="zh-CN"/>
              </w:rPr>
              <w:t>2</w:t>
            </w:r>
            <w:r w:rsidRPr="0017657C">
              <w:rPr>
                <w:rFonts w:ascii="Times New Roman" w:eastAsia="MS Mincho" w:hAnsi="Times New Roman" w:cs="Times New Roman"/>
                <w:lang w:val="sr-Latn-ME" w:eastAsia="zh-CN"/>
              </w:rPr>
              <w:t>Osip: osip, makulopapularni osip.</w:t>
            </w:r>
          </w:p>
          <w:p w:rsidR="00741524" w:rsidRPr="0017657C" w:rsidRDefault="00741524" w:rsidP="0017657C">
            <w:pPr>
              <w:keepNext/>
              <w:keepLines/>
              <w:widowControl w:val="0"/>
              <w:tabs>
                <w:tab w:val="left" w:pos="284"/>
              </w:tabs>
              <w:spacing w:after="0" w:line="240" w:lineRule="auto"/>
              <w:jc w:val="both"/>
              <w:rPr>
                <w:rFonts w:ascii="Times New Roman" w:eastAsia="MS Mincho" w:hAnsi="Times New Roman" w:cs="Times New Roman"/>
                <w:vertAlign w:val="superscript"/>
                <w:lang w:val="sr-Latn-ME" w:eastAsia="zh-CN"/>
              </w:rPr>
            </w:pPr>
            <w:r w:rsidRPr="0017657C">
              <w:rPr>
                <w:rFonts w:ascii="Times New Roman" w:eastAsia="MS Mincho" w:hAnsi="Times New Roman" w:cs="Times New Roman"/>
                <w:vertAlign w:val="superscript"/>
                <w:lang w:val="sr-Latn-ME" w:eastAsia="zh-CN"/>
              </w:rPr>
              <w:t>3</w:t>
            </w:r>
            <w:r w:rsidRPr="0017657C">
              <w:rPr>
                <w:rFonts w:ascii="Times New Roman" w:eastAsia="MS Mincho" w:hAnsi="Times New Roman" w:cs="Times New Roman"/>
                <w:lang w:val="sr-Latn-ME" w:eastAsia="zh-CN"/>
              </w:rPr>
              <w:t>Odstupanja u nalazima ispitivanja funkcije jetre: povišene vrijednosti ALT</w:t>
            </w:r>
            <w:r w:rsidRPr="0017657C">
              <w:rPr>
                <w:rFonts w:ascii="Times New Roman" w:eastAsia="MS Mincho" w:hAnsi="Times New Roman" w:cs="Times New Roman"/>
                <w:lang w:val="sr-Latn-ME" w:eastAsia="zh-CN"/>
              </w:rPr>
              <w:noBreakHyphen/>
              <w:t>a, AST</w:t>
            </w:r>
            <w:r w:rsidRPr="0017657C">
              <w:rPr>
                <w:rFonts w:ascii="Times New Roman" w:eastAsia="MS Mincho" w:hAnsi="Times New Roman" w:cs="Times New Roman"/>
                <w:lang w:val="sr-Latn-ME" w:eastAsia="zh-CN"/>
              </w:rPr>
              <w:noBreakHyphen/>
              <w:t>a, bilirubina u krvi.</w:t>
            </w:r>
          </w:p>
        </w:tc>
      </w:tr>
    </w:tbl>
    <w:p w:rsidR="00741524" w:rsidRPr="0017657C" w:rsidRDefault="00741524" w:rsidP="0017657C">
      <w:pPr>
        <w:widowControl w:val="0"/>
        <w:spacing w:after="0" w:line="240" w:lineRule="auto"/>
        <w:rPr>
          <w:rFonts w:ascii="Times New Roman" w:eastAsia="MS Gothic" w:hAnsi="Times New Roman" w:cs="Times New Roman"/>
          <w:lang w:val="sr-Latn-ME" w:eastAsia="zh-CN"/>
        </w:rPr>
      </w:pPr>
    </w:p>
    <w:p w:rsidR="00741524" w:rsidRPr="0017657C" w:rsidRDefault="00741524" w:rsidP="0017657C">
      <w:pPr>
        <w:keepNext/>
        <w:keepLines/>
        <w:widowControl w:val="0"/>
        <w:spacing w:after="0" w:line="240" w:lineRule="auto"/>
        <w:rPr>
          <w:rFonts w:ascii="Times New Roman" w:eastAsia="MS Gothic" w:hAnsi="Times New Roman" w:cs="Times New Roman"/>
          <w:u w:val="single"/>
          <w:lang w:val="sr-Latn-ME" w:eastAsia="zh-CN"/>
        </w:rPr>
      </w:pPr>
      <w:r w:rsidRPr="0017657C">
        <w:rPr>
          <w:rFonts w:ascii="Times New Roman" w:eastAsia="MS Gothic" w:hAnsi="Times New Roman" w:cs="Times New Roman"/>
          <w:u w:val="single"/>
          <w:lang w:val="sr-Latn-ME" w:eastAsia="zh-CN"/>
        </w:rPr>
        <w:lastRenderedPageBreak/>
        <w:t>Opis odabranih neželjenih reakcija</w:t>
      </w:r>
    </w:p>
    <w:p w:rsidR="00741524" w:rsidRPr="0017657C" w:rsidRDefault="00741524" w:rsidP="0017657C">
      <w:pPr>
        <w:keepNext/>
        <w:keepLines/>
        <w:widowControl w:val="0"/>
        <w:spacing w:after="0" w:line="240" w:lineRule="auto"/>
        <w:rPr>
          <w:rFonts w:ascii="Times New Roman" w:eastAsia="MS Gothic" w:hAnsi="Times New Roman" w:cs="Times New Roman"/>
          <w:lang w:val="sr-Latn-ME" w:eastAsia="zh-CN"/>
        </w:rPr>
      </w:pPr>
    </w:p>
    <w:p w:rsidR="00741524" w:rsidRPr="0017657C" w:rsidRDefault="00741524" w:rsidP="0017657C">
      <w:pPr>
        <w:keepNext/>
        <w:keepLines/>
        <w:widowControl w:val="0"/>
        <w:spacing w:after="0" w:line="240" w:lineRule="auto"/>
        <w:jc w:val="both"/>
        <w:rPr>
          <w:rFonts w:ascii="Times New Roman" w:eastAsia="MS Gothic" w:hAnsi="Times New Roman" w:cs="Times New Roman"/>
          <w:u w:val="single"/>
          <w:lang w:val="sr-Latn-ME" w:eastAsia="zh-CN"/>
        </w:rPr>
      </w:pPr>
      <w:r w:rsidRPr="0017657C">
        <w:rPr>
          <w:rFonts w:ascii="Times New Roman" w:eastAsia="MS Gothic" w:hAnsi="Times New Roman" w:cs="Times New Roman"/>
          <w:i/>
          <w:u w:val="single"/>
          <w:lang w:val="sr-Latn-ME" w:eastAsia="zh-CN"/>
        </w:rPr>
        <w:t>Neutropenija</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Neutropenija je bila najčešće prijavljena neželjena reakcija (74,3%)i smanjenje broja neutrofila stepena 3 ili 4 (na osnovu laboratorijskih nalaza) bilo je prijavljeno kod 59,6% pacijenata koji su uzimali lijek Kisqali i letrozol u ispitivanju faze III.</w:t>
      </w: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Među pacijentima koji su imali neutropeniju stepena 2, 3 ili 4, medijana vremena do pojave bila je 16 dana, za one pacijente kod kojih se pojavila neutropenija. Medijana vremena do povlačenja stepena ≥3 (do normalizacije ili stepena &lt;3) bila je 15 dana u terapijskoj grupi koja je primala ribociklib sa letrozolom nakon privremenog prekida liječenja i/ili smanjenja doze i/ili trajnog prekida liječenja. Febrilna neutropenija je bila prijavljena kod oko 1,5% pacijenata izloženih lijeku Kisqali u ispitivanju faze III. Pacijente treba savjetovati da bez odlaganja prijave svaku povišenu tjelesnu temperaturu.</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U zavisnosti od težine, neutropenija je zbrinjavana laboratorijskim praćenjem, privremenim prekidom terapije i/ili prilagođavanjem doze. Prekid terapije zbog neutropenije bio je nizak (0,9%) (vidjeti odjeljke 4.2 i 4.4).</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keepLines/>
        <w:widowControl w:val="0"/>
        <w:spacing w:after="0" w:line="240" w:lineRule="auto"/>
        <w:jc w:val="both"/>
        <w:rPr>
          <w:rFonts w:ascii="Times New Roman" w:eastAsia="MS Gothic" w:hAnsi="Times New Roman" w:cs="Times New Roman"/>
          <w:u w:val="single"/>
          <w:lang w:val="sr-Latn-ME" w:eastAsia="zh-CN"/>
        </w:rPr>
      </w:pPr>
      <w:r w:rsidRPr="0017657C">
        <w:rPr>
          <w:rFonts w:ascii="Times New Roman" w:eastAsia="MS Gothic" w:hAnsi="Times New Roman" w:cs="Times New Roman"/>
          <w:i/>
          <w:u w:val="single"/>
          <w:lang w:val="sr-Latn-ME" w:eastAsia="zh-CN"/>
        </w:rPr>
        <w:t>Hepatobilijarna toksičnost</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U kliničkom ispitivanju faze III, hepatobilijarna toksičnost se javila u većem procentu kod pacijenata u grupi koja je primala ribociklib sa letrozolom u odnosu na grupu koja je primala placebo sa letrozolom (24,0% u odnosu na 13,6%), pri čemu je više neželjenih događaja stepena 3/4 bilo prijavljeno kod pacijenata koji su bili liječeni ribociklibom sa letrozolom (11,4% u odnosu na 3,6%). Uočene su povišene vrijednosti transaminaza. Povećanja vrijednosti ALT</w:t>
      </w:r>
      <w:r w:rsidRPr="0017657C">
        <w:rPr>
          <w:rFonts w:ascii="Times New Roman" w:eastAsia="MS Mincho" w:hAnsi="Times New Roman" w:cs="Times New Roman"/>
          <w:lang w:val="sr-Latn-ME" w:eastAsia="zh-CN"/>
        </w:rPr>
        <w:noBreakHyphen/>
        <w:t>a (10,2% u odnosu na 1,2%), odnosno AST</w:t>
      </w:r>
      <w:r w:rsidRPr="0017657C">
        <w:rPr>
          <w:rFonts w:ascii="Times New Roman" w:eastAsia="MS Mincho" w:hAnsi="Times New Roman" w:cs="Times New Roman"/>
          <w:lang w:val="sr-Latn-ME" w:eastAsia="zh-CN"/>
        </w:rPr>
        <w:noBreakHyphen/>
        <w:t>a (6,9% u odnosu na 1,5%) stepena 3 ili 4, bila su prijavljena u grupama koje su primale ribociklib, odnosno placebo. Istovremena povećanja ALT</w:t>
      </w:r>
      <w:r w:rsidRPr="0017657C">
        <w:rPr>
          <w:rFonts w:ascii="Times New Roman" w:eastAsia="MS Mincho" w:hAnsi="Times New Roman" w:cs="Times New Roman"/>
          <w:lang w:val="sr-Latn-ME" w:eastAsia="zh-CN"/>
        </w:rPr>
        <w:noBreakHyphen/>
        <w:t>a ili AST</w:t>
      </w:r>
      <w:r w:rsidRPr="0017657C">
        <w:rPr>
          <w:rFonts w:ascii="Times New Roman" w:eastAsia="MS Mincho" w:hAnsi="Times New Roman" w:cs="Times New Roman"/>
          <w:lang w:val="sr-Latn-ME" w:eastAsia="zh-CN"/>
        </w:rPr>
        <w:noBreakHyphen/>
        <w:t>a veća od tri puta u odnosu na gornju granicu normalnih vrijednosti i ukupni bilirubin veći od dva puta u odnosu na gornju granicu normalnih vrijednosti, uz normalan nivo alkalne fosfataze i u odsustvu holestaze, javila su se kod 4 (1,2%) pacijenta, a svim pacijentima vratile su se na normalne nivoe unutar 154 dana od prestanka liječenja lijekom Kisqali.</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bCs/>
          <w:lang w:val="sr-Latn-ME" w:eastAsia="zh-CN"/>
        </w:rPr>
      </w:pPr>
      <w:r w:rsidRPr="0017657C">
        <w:rPr>
          <w:rFonts w:ascii="Times New Roman" w:eastAsia="MS Mincho" w:hAnsi="Times New Roman" w:cs="Times New Roman"/>
          <w:bCs/>
          <w:lang w:val="sr-Latn-ME" w:eastAsia="zh-CN"/>
        </w:rPr>
        <w:t>Prekidi liječenja i/ili prilagođavanja doze zbog hepatobilijarne toksičnosti bili su prijavljeni kod 8,4% pacijenata koji su primali ribociklib sa letrozolom, primarno zbog povećanja vrijednosti ALT</w:t>
      </w:r>
      <w:r w:rsidRPr="0017657C">
        <w:rPr>
          <w:rFonts w:ascii="Times New Roman" w:eastAsia="MS Mincho" w:hAnsi="Times New Roman" w:cs="Times New Roman"/>
          <w:bCs/>
          <w:lang w:val="sr-Latn-ME" w:eastAsia="zh-CN"/>
        </w:rPr>
        <w:noBreakHyphen/>
        <w:t>a (5,7%) i/ili AST</w:t>
      </w:r>
      <w:r w:rsidRPr="0017657C">
        <w:rPr>
          <w:rFonts w:ascii="Times New Roman" w:eastAsia="MS Mincho" w:hAnsi="Times New Roman" w:cs="Times New Roman"/>
          <w:bCs/>
          <w:lang w:val="sr-Latn-ME" w:eastAsia="zh-CN"/>
        </w:rPr>
        <w:noBreakHyphen/>
        <w:t xml:space="preserve">a (4,5%). Do prekida liječenja lijekom Kisqali sa letrozolom zbog odstupanja u nalazima ispitivanja funkcije jetre došlo je kod 3,0%, a zbog hepatotoksičnosti kod 0,6% pacijenata </w:t>
      </w:r>
      <w:r w:rsidRPr="0017657C">
        <w:rPr>
          <w:rFonts w:ascii="Times New Roman" w:eastAsia="MS Mincho" w:hAnsi="Times New Roman" w:cs="Times New Roman"/>
          <w:lang w:val="sr-Latn-ME" w:eastAsia="zh-CN"/>
        </w:rPr>
        <w:t>(vidjeti odjeljke 4.2 i 4.4)</w:t>
      </w:r>
      <w:r w:rsidRPr="0017657C">
        <w:rPr>
          <w:rFonts w:ascii="Times New Roman" w:eastAsia="MS Mincho" w:hAnsi="Times New Roman" w:cs="Times New Roman"/>
          <w:bCs/>
          <w:lang w:val="sr-Latn-ME" w:eastAsia="zh-CN"/>
        </w:rPr>
        <w:t>.</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U kliničkom ispitivanju faze III i u ispitivanju faze Ib sa liječenjem ribociklibom sa letrozolom,</w:t>
      </w:r>
      <w:r w:rsidRPr="0017657C" w:rsidDel="00F9208F">
        <w:rPr>
          <w:rFonts w:ascii="Times New Roman" w:eastAsia="MS Mincho" w:hAnsi="Times New Roman" w:cs="Times New Roman"/>
          <w:lang w:val="sr-Latn-ME" w:eastAsia="zh-CN"/>
        </w:rPr>
        <w:t xml:space="preserve"> </w:t>
      </w:r>
      <w:r w:rsidRPr="0017657C">
        <w:rPr>
          <w:rFonts w:ascii="Times New Roman" w:eastAsia="MS Mincho" w:hAnsi="Times New Roman" w:cs="Times New Roman"/>
          <w:lang w:val="sr-Latn-ME" w:eastAsia="zh-CN"/>
        </w:rPr>
        <w:t>83,8% (31/37) događaja povećanja vrijednosti ALT</w:t>
      </w:r>
      <w:r w:rsidRPr="0017657C">
        <w:rPr>
          <w:rFonts w:ascii="Times New Roman" w:eastAsia="MS Mincho" w:hAnsi="Times New Roman" w:cs="Times New Roman"/>
          <w:lang w:val="sr-Latn-ME" w:eastAsia="zh-CN"/>
        </w:rPr>
        <w:noBreakHyphen/>
        <w:t>a ili AST</w:t>
      </w:r>
      <w:r w:rsidRPr="0017657C">
        <w:rPr>
          <w:rFonts w:ascii="Times New Roman" w:eastAsia="MS Mincho" w:hAnsi="Times New Roman" w:cs="Times New Roman"/>
          <w:lang w:val="sr-Latn-ME" w:eastAsia="zh-CN"/>
        </w:rPr>
        <w:noBreakHyphen/>
        <w:t>a stepena 3 ili 4 nastalo je tokom prvih 6 mjeseci liječenja. Među pacijentima koji su imali povećanja vrijednosti ALT</w:t>
      </w:r>
      <w:r w:rsidRPr="0017657C">
        <w:rPr>
          <w:rFonts w:ascii="Times New Roman" w:eastAsia="MS Mincho" w:hAnsi="Times New Roman" w:cs="Times New Roman"/>
          <w:lang w:val="sr-Latn-ME" w:eastAsia="zh-CN"/>
        </w:rPr>
        <w:noBreakHyphen/>
        <w:t>a/AST</w:t>
      </w:r>
      <w:r w:rsidRPr="0017657C">
        <w:rPr>
          <w:rFonts w:ascii="Times New Roman" w:eastAsia="MS Mincho" w:hAnsi="Times New Roman" w:cs="Times New Roman"/>
          <w:lang w:val="sr-Latn-ME" w:eastAsia="zh-CN"/>
        </w:rPr>
        <w:noBreakHyphen/>
        <w:t>a stepena 3 ili 4, medijana vremena do pojave bila je 57 dana za terapijsku grupu koja je primala ribociklib sa letrozolom. Medijana vremena do povlačenja (do normalizacije ili stepena ≤2) bila je 24 dana u grupi koja je primala ribociklib sa letrozolom.</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keepLines/>
        <w:widowControl w:val="0"/>
        <w:spacing w:after="0" w:line="240" w:lineRule="auto"/>
        <w:jc w:val="both"/>
        <w:rPr>
          <w:rFonts w:ascii="Times New Roman" w:eastAsia="MS Gothic" w:hAnsi="Times New Roman" w:cs="Times New Roman"/>
          <w:u w:val="single"/>
          <w:lang w:val="sr-Latn-ME" w:eastAsia="zh-CN"/>
        </w:rPr>
      </w:pPr>
      <w:r w:rsidRPr="0017657C">
        <w:rPr>
          <w:rFonts w:ascii="Times New Roman" w:eastAsia="MS Gothic" w:hAnsi="Times New Roman" w:cs="Times New Roman"/>
          <w:i/>
          <w:u w:val="single"/>
          <w:lang w:val="sr-Latn-ME" w:eastAsia="zh-CN"/>
        </w:rPr>
        <w:t>Produženje QT intervala</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r w:rsidRPr="0017657C">
        <w:rPr>
          <w:rFonts w:ascii="Times New Roman" w:eastAsia="MS Mincho" w:hAnsi="Times New Roman" w:cs="Times New Roman"/>
          <w:lang w:val="sr-Latn-ME"/>
        </w:rPr>
        <w:t>U kliničkom ispitivanju faze III, 7,5% pacijenata u grupi koja je primala ribociklib sa letrozolom i 2,4% onih u grupi koja je primala placebo sa letrozolom imalo je barem jedan događaj produženja QT intervala (uključujući produžen QT na EKG</w:t>
      </w:r>
      <w:r w:rsidRPr="0017657C">
        <w:rPr>
          <w:rFonts w:ascii="Times New Roman" w:eastAsia="MS Mincho" w:hAnsi="Times New Roman" w:cs="Times New Roman"/>
          <w:lang w:val="sr-Latn-ME"/>
        </w:rPr>
        <w:noBreakHyphen/>
        <w:t>u i sinkopu). Pregledom podataka sa EKG</w:t>
      </w:r>
      <w:r w:rsidRPr="0017657C">
        <w:rPr>
          <w:rFonts w:ascii="Times New Roman" w:eastAsia="MS Mincho" w:hAnsi="Times New Roman" w:cs="Times New Roman"/>
          <w:lang w:val="sr-Latn-ME"/>
        </w:rPr>
        <w:noBreakHyphen/>
        <w:t xml:space="preserve">a (prosjek od tri) pokazano je da je 1 pacijent (0,3%) imao vrijednost QTcF intervala &gt;500 milisekundi nakon početnog, a 9 pacijenata (2,7%) imalo je povećanje &gt;60 milisekundi u odnosu na početnu vrijednost QTcF intervala. Nije bilo prijavljenih slučajeva </w:t>
      </w:r>
      <w:r w:rsidRPr="0017657C">
        <w:rPr>
          <w:rFonts w:ascii="Times New Roman" w:eastAsia="MS Mincho" w:hAnsi="Times New Roman" w:cs="Times New Roman"/>
          <w:i/>
          <w:lang w:val="sr-Latn-ME"/>
        </w:rPr>
        <w:t>torsade de pointes</w:t>
      </w:r>
      <w:r w:rsidRPr="0017657C">
        <w:rPr>
          <w:rFonts w:ascii="Times New Roman" w:eastAsia="MS Mincho" w:hAnsi="Times New Roman" w:cs="Times New Roman"/>
          <w:lang w:val="sr-Latn-ME"/>
        </w:rPr>
        <w:t xml:space="preserve">. Privremeni prekidi liječenja/smanjenja doze bili su prijavljeni kod </w:t>
      </w:r>
      <w:r w:rsidRPr="0017657C">
        <w:rPr>
          <w:rFonts w:ascii="Times New Roman" w:eastAsia="MS Mincho" w:hAnsi="Times New Roman" w:cs="Times New Roman"/>
          <w:lang w:val="sr-Latn-ME" w:eastAsia="zh-CN"/>
        </w:rPr>
        <w:lastRenderedPageBreak/>
        <w:t>0,9%</w:t>
      </w:r>
      <w:r w:rsidRPr="0017657C">
        <w:rPr>
          <w:rFonts w:ascii="Times New Roman" w:eastAsia="MS Mincho" w:hAnsi="Times New Roman" w:cs="Times New Roman"/>
          <w:lang w:val="sr-Latn-ME"/>
        </w:rPr>
        <w:t xml:space="preserve"> pacijenata liječenih ribociklibom sa letrozolom zbog produženog QT intervala na elektrokardiogramu i sinkope.</w:t>
      </w:r>
    </w:p>
    <w:p w:rsidR="00741524" w:rsidRPr="0017657C" w:rsidRDefault="00741524" w:rsidP="0017657C">
      <w:pPr>
        <w:widowControl w:val="0"/>
        <w:spacing w:after="0" w:line="240" w:lineRule="auto"/>
        <w:jc w:val="both"/>
        <w:rPr>
          <w:rFonts w:ascii="Times New Roman" w:eastAsia="MS Mincho"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Centralna analiza podatka EKG</w:t>
      </w:r>
      <w:r w:rsidRPr="0017657C">
        <w:rPr>
          <w:rFonts w:ascii="Times New Roman" w:eastAsia="MS Mincho" w:hAnsi="Times New Roman" w:cs="Times New Roman"/>
          <w:lang w:val="sr-Latn-ME" w:eastAsia="zh-CN"/>
        </w:rPr>
        <w:noBreakHyphen/>
        <w:t xml:space="preserve">a (prosek od tri) pokazala je da je </w:t>
      </w:r>
      <w:r w:rsidRPr="0017657C">
        <w:rPr>
          <w:rFonts w:ascii="Times New Roman" w:eastAsia="MS Mincho" w:hAnsi="Times New Roman" w:cs="Times New Roman"/>
          <w:lang w:val="sr-Latn-ME"/>
        </w:rPr>
        <w:t>11 pacijenata (3,3%) imalo barem jedan QTcF &gt;480 milisekundi nakon početnog u grupi koja je primala ribociklib sa letrozolom u odnosu na 1 pacijenta (0,3%) u grupi koja je primala placebo sa letrozolom. Među pacijentima koji su imali produženje QTcF intervala &gt;480 msek, medijana vremena do početka bila je 15 dana i te promjene su bile reverzibilne sa privremenim prekidom doziranja i/ili smanjenjem doze (vidjeti odjeljke 4.2, 4.4 i 5.2).</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6966D5">
      <w:pPr>
        <w:spacing w:after="0" w:line="240" w:lineRule="auto"/>
        <w:jc w:val="both"/>
        <w:rPr>
          <w:rFonts w:ascii="Times New Roman" w:eastAsia="Calibri" w:hAnsi="Times New Roman" w:cs="Times New Roman"/>
          <w:u w:val="single"/>
          <w:lang w:val="sr-Latn-ME"/>
        </w:rPr>
      </w:pPr>
      <w:r w:rsidRPr="0017657C">
        <w:rPr>
          <w:rFonts w:ascii="Times New Roman" w:eastAsia="Calibri" w:hAnsi="Times New Roman" w:cs="Times New Roman"/>
          <w:u w:val="single"/>
          <w:lang w:val="sr-Latn-ME"/>
        </w:rPr>
        <w:t>Prijavljivanje sumnji na neželjena dejstva</w:t>
      </w:r>
    </w:p>
    <w:p w:rsidR="00741524" w:rsidRPr="0017657C" w:rsidRDefault="00741524" w:rsidP="0017657C">
      <w:pPr>
        <w:spacing w:after="200" w:line="240" w:lineRule="auto"/>
        <w:jc w:val="both"/>
        <w:rPr>
          <w:rFonts w:ascii="Times New Roman" w:eastAsia="Calibri" w:hAnsi="Times New Roman" w:cs="Times New Roman"/>
          <w:lang w:val="sr-Latn-ME"/>
        </w:rPr>
      </w:pPr>
      <w:r w:rsidRPr="0017657C">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741524" w:rsidRPr="0017657C" w:rsidRDefault="00741524" w:rsidP="0017657C">
      <w:pPr>
        <w:spacing w:after="0" w:line="240" w:lineRule="auto"/>
        <w:jc w:val="both"/>
        <w:rPr>
          <w:rFonts w:ascii="Times New Roman" w:eastAsia="Calibri" w:hAnsi="Times New Roman" w:cs="Times New Roman"/>
          <w:lang w:val="sr-Latn-ME"/>
        </w:rPr>
      </w:pPr>
      <w:r w:rsidRPr="0017657C">
        <w:rPr>
          <w:rFonts w:ascii="Times New Roman" w:eastAsia="Calibri" w:hAnsi="Times New Roman" w:cs="Times New Roman"/>
          <w:lang w:val="sr-Latn-ME"/>
        </w:rPr>
        <w:t>Agencija za ljekove i medicinska sredstva Crne Gore</w:t>
      </w:r>
    </w:p>
    <w:p w:rsidR="00741524" w:rsidRPr="0017657C" w:rsidRDefault="00741524" w:rsidP="0017657C">
      <w:pPr>
        <w:spacing w:after="0" w:line="240" w:lineRule="auto"/>
        <w:jc w:val="both"/>
        <w:rPr>
          <w:rFonts w:ascii="Times New Roman" w:eastAsia="Calibri" w:hAnsi="Times New Roman" w:cs="Times New Roman"/>
          <w:lang w:val="sr-Latn-ME"/>
        </w:rPr>
      </w:pPr>
      <w:r w:rsidRPr="0017657C">
        <w:rPr>
          <w:rFonts w:ascii="Times New Roman" w:eastAsia="Calibri" w:hAnsi="Times New Roman" w:cs="Times New Roman"/>
          <w:lang w:val="sr-Latn-ME"/>
        </w:rPr>
        <w:t>Odjeljenje za farmakovigilancu</w:t>
      </w:r>
    </w:p>
    <w:p w:rsidR="00741524" w:rsidRPr="0017657C" w:rsidRDefault="00741524" w:rsidP="0017657C">
      <w:pPr>
        <w:spacing w:after="0" w:line="240" w:lineRule="auto"/>
        <w:jc w:val="both"/>
        <w:rPr>
          <w:rFonts w:ascii="Times New Roman" w:eastAsia="Calibri" w:hAnsi="Times New Roman" w:cs="Times New Roman"/>
          <w:lang w:val="sr-Latn-ME"/>
        </w:rPr>
      </w:pPr>
      <w:r w:rsidRPr="0017657C">
        <w:rPr>
          <w:rFonts w:ascii="Times New Roman" w:eastAsia="Calibri" w:hAnsi="Times New Roman" w:cs="Times New Roman"/>
          <w:lang w:val="sr-Latn-ME"/>
        </w:rPr>
        <w:t>Bulevar Ivana Crnojevića 64a, 81000 Podgorica</w:t>
      </w:r>
    </w:p>
    <w:p w:rsidR="00741524" w:rsidRPr="0017657C" w:rsidRDefault="00741524" w:rsidP="0017657C">
      <w:pPr>
        <w:spacing w:after="0" w:line="240" w:lineRule="auto"/>
        <w:jc w:val="both"/>
        <w:rPr>
          <w:rFonts w:ascii="Times New Roman" w:eastAsia="Calibri" w:hAnsi="Times New Roman" w:cs="Times New Roman"/>
          <w:lang w:val="sr-Latn-ME"/>
        </w:rPr>
      </w:pPr>
    </w:p>
    <w:p w:rsidR="00741524" w:rsidRPr="0017657C" w:rsidRDefault="00741524" w:rsidP="0017657C">
      <w:pPr>
        <w:spacing w:after="0" w:line="240" w:lineRule="auto"/>
        <w:jc w:val="both"/>
        <w:rPr>
          <w:rFonts w:ascii="Times New Roman" w:eastAsia="Calibri" w:hAnsi="Times New Roman" w:cs="Times New Roman"/>
          <w:lang w:val="sr-Latn-ME"/>
        </w:rPr>
      </w:pPr>
      <w:r w:rsidRPr="0017657C">
        <w:rPr>
          <w:rFonts w:ascii="Times New Roman" w:eastAsia="Calibri" w:hAnsi="Times New Roman" w:cs="Times New Roman"/>
          <w:lang w:val="sr-Latn-ME"/>
        </w:rPr>
        <w:t>tel: +382 (0) 20 310 280</w:t>
      </w:r>
    </w:p>
    <w:p w:rsidR="00741524" w:rsidRPr="0017657C" w:rsidRDefault="00741524" w:rsidP="0017657C">
      <w:pPr>
        <w:spacing w:after="0" w:line="240" w:lineRule="auto"/>
        <w:jc w:val="both"/>
        <w:rPr>
          <w:rFonts w:ascii="Times New Roman" w:eastAsia="Calibri" w:hAnsi="Times New Roman" w:cs="Times New Roman"/>
          <w:lang w:val="sr-Latn-ME"/>
        </w:rPr>
      </w:pPr>
      <w:r w:rsidRPr="0017657C">
        <w:rPr>
          <w:rFonts w:ascii="Times New Roman" w:eastAsia="Calibri" w:hAnsi="Times New Roman" w:cs="Times New Roman"/>
          <w:lang w:val="sr-Latn-ME"/>
        </w:rPr>
        <w:t>fax: +382 (0) 20 310 581</w:t>
      </w:r>
    </w:p>
    <w:p w:rsidR="00741524" w:rsidRPr="0017657C" w:rsidRDefault="00F20BBA" w:rsidP="0017657C">
      <w:pPr>
        <w:spacing w:after="0" w:line="240" w:lineRule="auto"/>
        <w:jc w:val="both"/>
        <w:rPr>
          <w:rFonts w:ascii="Times New Roman" w:eastAsia="Calibri" w:hAnsi="Times New Roman" w:cs="Times New Roman"/>
          <w:lang w:val="sr-Latn-ME"/>
        </w:rPr>
      </w:pPr>
      <w:hyperlink r:id="rId9" w:history="1">
        <w:r w:rsidR="00741524" w:rsidRPr="0017657C">
          <w:rPr>
            <w:rFonts w:ascii="Times New Roman" w:eastAsia="Calibri" w:hAnsi="Times New Roman" w:cs="Times New Roman"/>
            <w:color w:val="0000FF"/>
            <w:u w:val="single"/>
            <w:lang w:val="sr-Latn-ME"/>
          </w:rPr>
          <w:t>www.calims.me</w:t>
        </w:r>
      </w:hyperlink>
    </w:p>
    <w:p w:rsidR="00741524" w:rsidRPr="0017657C" w:rsidRDefault="00F20BBA" w:rsidP="0017657C">
      <w:pPr>
        <w:spacing w:after="0" w:line="240" w:lineRule="auto"/>
        <w:jc w:val="both"/>
        <w:rPr>
          <w:rFonts w:ascii="Times New Roman" w:eastAsia="Calibri" w:hAnsi="Times New Roman" w:cs="Times New Roman"/>
          <w:color w:val="0000FF"/>
          <w:u w:val="single"/>
          <w:lang w:val="sr-Latn-ME"/>
        </w:rPr>
      </w:pPr>
      <w:hyperlink r:id="rId10" w:history="1">
        <w:r w:rsidR="00741524" w:rsidRPr="0017657C">
          <w:rPr>
            <w:rFonts w:ascii="Times New Roman" w:eastAsia="Calibri" w:hAnsi="Times New Roman" w:cs="Times New Roman"/>
            <w:color w:val="0000FF"/>
            <w:u w:val="single"/>
            <w:lang w:val="sr-Latn-ME"/>
          </w:rPr>
          <w:t>nezeljenadejstva@calims.me</w:t>
        </w:r>
      </w:hyperlink>
    </w:p>
    <w:p w:rsidR="00741524" w:rsidRPr="0017657C" w:rsidRDefault="00741524" w:rsidP="0017657C">
      <w:pPr>
        <w:spacing w:after="0" w:line="240" w:lineRule="auto"/>
        <w:jc w:val="both"/>
        <w:rPr>
          <w:rFonts w:ascii="Times New Roman" w:eastAsia="Calibri" w:hAnsi="Times New Roman" w:cs="Times New Roman"/>
          <w:lang w:val="sr-Latn-ME"/>
        </w:rPr>
      </w:pPr>
      <w:r w:rsidRPr="0017657C">
        <w:rPr>
          <w:rFonts w:ascii="Times New Roman" w:eastAsia="Calibri" w:hAnsi="Times New Roman" w:cs="Times New Roman"/>
          <w:lang w:val="sr-Latn-ME"/>
        </w:rPr>
        <w:t>putem IS zdravstvene zaštite</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4.9. </w:t>
      </w:r>
      <w:r w:rsidRPr="0017657C">
        <w:rPr>
          <w:rFonts w:ascii="Times New Roman" w:eastAsia="Times New Roman" w:hAnsi="Times New Roman" w:cs="Times New Roman"/>
          <w:b/>
          <w:bCs/>
          <w:lang w:val="sr-Latn-ME"/>
        </w:rPr>
        <w:tab/>
        <w:t>Predoziranje i mjere koje je potrebno preduzeti</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 xml:space="preserve">Nema poznatih slučajeva predoziranja lijekom Kisqali. U slučaju predoziranja mogu se pojaviti simptomi kao što su mučnina i povraćanje. Dodatno, može doći do hematološke (npr. neutropenija, trombocitopenija) toksičnosti i mogućeg produženja </w:t>
      </w:r>
      <w:r w:rsidRPr="0017657C">
        <w:rPr>
          <w:rFonts w:ascii="Times New Roman" w:eastAsia="Times New Roman" w:hAnsi="Times New Roman" w:cs="Times New Roman"/>
          <w:iCs/>
          <w:lang w:val="sr-Latn-ME"/>
        </w:rPr>
        <w:t>QTc intervala</w:t>
      </w:r>
      <w:r w:rsidRPr="0017657C">
        <w:rPr>
          <w:rFonts w:ascii="Times New Roman" w:eastAsia="Times New Roman" w:hAnsi="Times New Roman" w:cs="Times New Roman"/>
          <w:lang w:val="sr-Latn-ME"/>
        </w:rPr>
        <w:t>. Potrebno je započeti opšte suportivno liječenje u svim slučajevima predoziranja prema potrebi.</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5. </w:t>
      </w:r>
      <w:r w:rsidRPr="0017657C">
        <w:rPr>
          <w:rFonts w:ascii="Times New Roman" w:eastAsia="Times New Roman" w:hAnsi="Times New Roman" w:cs="Times New Roman"/>
          <w:b/>
          <w:bCs/>
          <w:lang w:val="sr-Latn-ME"/>
        </w:rPr>
        <w:tab/>
        <w:t>FARMAKOLOŠKI PODACI</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5.1. </w:t>
      </w:r>
      <w:r w:rsidRPr="0017657C">
        <w:rPr>
          <w:rFonts w:ascii="Times New Roman" w:eastAsia="Times New Roman" w:hAnsi="Times New Roman" w:cs="Times New Roman"/>
          <w:b/>
          <w:bCs/>
          <w:lang w:val="sr-Latn-ME"/>
        </w:rPr>
        <w:tab/>
        <w:t>Farmakodinamski podaci</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Cs/>
          <w:lang w:val="sr-Latn-ME"/>
        </w:rPr>
      </w:pPr>
      <w:r w:rsidRPr="0017657C">
        <w:rPr>
          <w:rFonts w:ascii="Times New Roman" w:eastAsia="Times New Roman" w:hAnsi="Times New Roman" w:cs="Times New Roman"/>
          <w:bCs/>
          <w:lang w:val="sr-Latn-ME"/>
        </w:rPr>
        <w:t>Farmakoterapijska grupa:</w:t>
      </w:r>
      <w:r w:rsidRPr="0017657C">
        <w:rPr>
          <w:rFonts w:ascii="Times New Roman" w:eastAsia="Times New Roman" w:hAnsi="Times New Roman" w:cs="Times New Roman"/>
          <w:lang w:val="sr-Latn-ME"/>
        </w:rPr>
        <w:t xml:space="preserve"> antineoplastici, inhibitori protein kinaze</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Cs/>
          <w:lang w:val="sr-Latn-ME"/>
        </w:rPr>
      </w:pPr>
    </w:p>
    <w:p w:rsidR="00741524" w:rsidRPr="0017657C" w:rsidRDefault="00741524" w:rsidP="0017657C">
      <w:pPr>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bCs/>
          <w:lang w:val="sr-Latn-ME"/>
        </w:rPr>
        <w:t>ATC kod:</w:t>
      </w:r>
      <w:r w:rsidRPr="0017657C">
        <w:rPr>
          <w:rFonts w:ascii="Times New Roman" w:eastAsia="Times New Roman" w:hAnsi="Times New Roman" w:cs="Times New Roman"/>
          <w:lang w:val="sr-Latn-ME"/>
        </w:rPr>
        <w:t xml:space="preserve"> L01XE42</w:t>
      </w:r>
    </w:p>
    <w:p w:rsidR="00741524" w:rsidRPr="0017657C" w:rsidRDefault="00741524" w:rsidP="0017657C">
      <w:pPr>
        <w:spacing w:after="0" w:line="240" w:lineRule="auto"/>
        <w:jc w:val="both"/>
        <w:rPr>
          <w:rFonts w:ascii="Times New Roman" w:eastAsia="Times New Roman" w:hAnsi="Times New Roman" w:cs="Times New Roman"/>
          <w:b/>
          <w:bCs/>
          <w:lang w:val="sr-Latn-ME"/>
        </w:rPr>
      </w:pPr>
    </w:p>
    <w:p w:rsidR="00741524" w:rsidRPr="0017657C" w:rsidRDefault="00741524" w:rsidP="0017657C">
      <w:pPr>
        <w:keepNext/>
        <w:widowControl w:val="0"/>
        <w:autoSpaceDE w:val="0"/>
        <w:autoSpaceDN w:val="0"/>
        <w:adjustRightInd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Mehanizam dejstva</w:t>
      </w: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Ribociklib je selektivni inhibitor ciklin-zavisne kinaze (CZK) 4 i 6, rezultujući 50% inhibicijom (IC</w:t>
      </w:r>
      <w:r w:rsidRPr="0017657C">
        <w:rPr>
          <w:rFonts w:ascii="Times New Roman" w:eastAsia="Times New Roman" w:hAnsi="Times New Roman" w:cs="Times New Roman"/>
          <w:vertAlign w:val="subscript"/>
          <w:lang w:val="sr-Latn-ME"/>
        </w:rPr>
        <w:t>50</w:t>
      </w:r>
      <w:r w:rsidRPr="0017657C">
        <w:rPr>
          <w:rFonts w:ascii="Times New Roman" w:eastAsia="Times New Roman" w:hAnsi="Times New Roman" w:cs="Times New Roman"/>
          <w:lang w:val="sr-Latn-ME"/>
        </w:rPr>
        <w:t>) vrijednosti 0,01 (4,3 nanograma/ml), odnosno 0,039 mikromola (16,9 nanograma/ml), u biohemijskim testovima. Ove kinaze se aktiviraju nakon vezivanja za D-cikline i igraju ključnu ulogu u signalnim putevima koji dovode do progresije ćelijskog ciklusa i ćelijske proliferacije. Kompleks ciklin D-CDK4/6 reguliše progresiju ćelijskog ciklusa preko fosforilacije retinoblastoma proteina (pRb).</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i/>
          <w:lang w:val="sr-Latn-ME"/>
        </w:rPr>
        <w:lastRenderedPageBreak/>
        <w:t>In vitro</w:t>
      </w:r>
      <w:r w:rsidRPr="0017657C">
        <w:rPr>
          <w:rFonts w:ascii="Times New Roman" w:eastAsia="Times New Roman" w:hAnsi="Times New Roman" w:cs="Times New Roman"/>
          <w:lang w:val="sr-Latn-ME"/>
        </w:rPr>
        <w:t xml:space="preserve">, ribociklib je smanjio fosforilaciju pRb, što je dovelo do zastoja u G1 fazi ćelijskog ciklusa i smanjilo ćelijsku proliferaciju ćelijskih linija karcinoma dojke. </w:t>
      </w:r>
      <w:r w:rsidRPr="0017657C">
        <w:rPr>
          <w:rFonts w:ascii="Times New Roman" w:eastAsia="Times New Roman" w:hAnsi="Times New Roman" w:cs="Times New Roman"/>
          <w:i/>
          <w:lang w:val="sr-Latn-ME"/>
        </w:rPr>
        <w:t>In vivo</w:t>
      </w:r>
      <w:r w:rsidRPr="0017657C">
        <w:rPr>
          <w:rFonts w:ascii="Times New Roman" w:eastAsia="Times New Roman" w:hAnsi="Times New Roman" w:cs="Times New Roman"/>
          <w:lang w:val="sr-Latn-ME"/>
        </w:rPr>
        <w:t>, liječenje ribociklibom, kao monoterapijom, dovelo je do regresija tumora koje su u korelaciji sa inhibicijom fosforilacije pRb.</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 xml:space="preserve">U </w:t>
      </w:r>
      <w:r w:rsidRPr="0017657C">
        <w:rPr>
          <w:rFonts w:ascii="Times New Roman" w:eastAsia="Times New Roman" w:hAnsi="Times New Roman" w:cs="Times New Roman"/>
          <w:i/>
          <w:lang w:val="sr-Latn-ME"/>
        </w:rPr>
        <w:t>in vivo</w:t>
      </w:r>
      <w:r w:rsidRPr="0017657C">
        <w:rPr>
          <w:rFonts w:ascii="Times New Roman" w:eastAsia="Times New Roman" w:hAnsi="Times New Roman" w:cs="Times New Roman"/>
          <w:lang w:val="sr-Latn-ME"/>
        </w:rPr>
        <w:t xml:space="preserve"> ispitivanjima u kojima se koristio model ksenografta pacijenata sa estrogen-pozitivnim karcinomom dojke, kombinacije ribocikliba i antiestrogena (odnosno letrozola) rezultovale su superiornom inhibicijom rasta tumora sa održanom regresijom tumora i odloženim ponovnim rastom tumora nakon prekida primjene u poređenju sa svakim od ljekova kao monoterapijom.</w:t>
      </w:r>
    </w:p>
    <w:p w:rsidR="00741524" w:rsidRPr="0017657C" w:rsidRDefault="00741524" w:rsidP="0017657C">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Kada je bio testiran u panelu ćelijskih linija karcinoma dojke sa poznatim ER statusom, ribociklib se pokazao efikasnijim u ER+ linijama ćelija karcinoma dojke nego u onima koje su bile ER</w:t>
      </w:r>
      <w:r w:rsidRPr="0017657C">
        <w:rPr>
          <w:rFonts w:ascii="Times New Roman" w:eastAsia="Times New Roman" w:hAnsi="Times New Roman" w:cs="Times New Roman"/>
          <w:lang w:val="sr-Latn-ME"/>
        </w:rPr>
        <w:noBreakHyphen/>
        <w:t>.</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keepNext/>
        <w:keepLines/>
        <w:widowControl w:val="0"/>
        <w:spacing w:after="0" w:line="240" w:lineRule="auto"/>
        <w:jc w:val="both"/>
        <w:rPr>
          <w:rFonts w:ascii="Times New Roman" w:eastAsia="MS Gothic" w:hAnsi="Times New Roman" w:cs="Times New Roman"/>
          <w:u w:val="single"/>
          <w:lang w:val="sr-Latn-ME" w:eastAsia="zh-CN"/>
        </w:rPr>
      </w:pPr>
      <w:r w:rsidRPr="0017657C">
        <w:rPr>
          <w:rFonts w:ascii="Times New Roman" w:eastAsia="MS Gothic" w:hAnsi="Times New Roman" w:cs="Times New Roman"/>
          <w:i/>
          <w:u w:val="single"/>
          <w:lang w:val="sr-Latn-ME" w:eastAsia="zh-CN"/>
        </w:rPr>
        <w:t>Srčana elektrofiziologija</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Serijski, trostruki EKG nalazi prikupljani su nakon pojedinačne doze i u ravnotežnom stanju kako bi se procijenio efekat ribocikliba na QTc interval kod pacijenata sa uznapredovalim karcinomom. Farmakokinetičko-farmakodinamska analiza uključivala je ukupno 267 pacijenata liječenih ribociklibom u dozama od 50 do 1200 mg, uključujući 193 pacijenta liječenih ribociklibom od 600 mg. Analiza je ukazala na to da ribociklib uzrokuje povećanja QTc intervala zavisna od koncentracije. Procijenjena srednja promjena za QTcF u odnosu na početnu vrijednost bila je 22,87 milisekundi (90% CI: 21,6; 24,1) pri srednje opaženom C</w:t>
      </w:r>
      <w:r w:rsidRPr="0017657C">
        <w:rPr>
          <w:rFonts w:ascii="Times New Roman" w:eastAsia="MS Mincho" w:hAnsi="Times New Roman" w:cs="Times New Roman"/>
          <w:vertAlign w:val="subscript"/>
          <w:lang w:val="sr-Latn-ME" w:eastAsia="zh-CN"/>
        </w:rPr>
        <w:t>max</w:t>
      </w:r>
      <w:r w:rsidRPr="0017657C">
        <w:rPr>
          <w:rFonts w:ascii="Times New Roman" w:eastAsia="MS Mincho" w:hAnsi="Times New Roman" w:cs="Times New Roman"/>
          <w:lang w:val="sr-Latn-ME" w:eastAsia="zh-CN"/>
        </w:rPr>
        <w:t xml:space="preserve"> u ravnotežnom stanju (2237 nanograma/ml) nakon primjene preporučene doze od 600 mg (vidjeti odjeljak 4.4).</w:t>
      </w:r>
    </w:p>
    <w:p w:rsidR="00741524" w:rsidRPr="0017657C" w:rsidRDefault="00741524" w:rsidP="0017657C">
      <w:pPr>
        <w:widowControl w:val="0"/>
        <w:autoSpaceDE w:val="0"/>
        <w:autoSpaceDN w:val="0"/>
        <w:adjustRightInd w:val="0"/>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autoSpaceDE w:val="0"/>
        <w:autoSpaceDN w:val="0"/>
        <w:adjustRightInd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u w:val="single"/>
          <w:lang w:val="sr-Latn-ME"/>
        </w:rPr>
        <w:t>Klinička efikasnost i bezbjednost</w:t>
      </w:r>
    </w:p>
    <w:p w:rsidR="00741524" w:rsidRPr="0017657C" w:rsidRDefault="00741524" w:rsidP="0017657C">
      <w:pPr>
        <w:keepNext/>
        <w:widowControl w:val="0"/>
        <w:spacing w:after="0" w:line="240" w:lineRule="auto"/>
        <w:jc w:val="both"/>
        <w:rPr>
          <w:rFonts w:ascii="Times New Roman" w:eastAsia="MS Gothic" w:hAnsi="Times New Roman" w:cs="Times New Roman"/>
          <w:lang w:val="sr-Latn-ME" w:eastAsia="zh-CN"/>
        </w:rPr>
      </w:pPr>
    </w:p>
    <w:p w:rsidR="00741524" w:rsidRPr="0017657C" w:rsidRDefault="00741524" w:rsidP="0017657C">
      <w:pPr>
        <w:keepNext/>
        <w:widowControl w:val="0"/>
        <w:spacing w:after="0" w:line="240" w:lineRule="auto"/>
        <w:jc w:val="both"/>
        <w:rPr>
          <w:rFonts w:ascii="Times New Roman" w:eastAsia="MS Gothic" w:hAnsi="Times New Roman" w:cs="Times New Roman"/>
          <w:u w:val="single"/>
          <w:lang w:val="sr-Latn-ME" w:eastAsia="zh-CN"/>
        </w:rPr>
      </w:pPr>
      <w:r w:rsidRPr="0017657C">
        <w:rPr>
          <w:rFonts w:ascii="Times New Roman" w:eastAsia="MS Gothic" w:hAnsi="Times New Roman" w:cs="Times New Roman"/>
          <w:i/>
          <w:u w:val="single"/>
          <w:lang w:val="sr-Latn-ME" w:eastAsia="zh-CN"/>
        </w:rPr>
        <w:t>Ispitivanje CLEE011A2301 (MONALEESA-2)</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Lijek Kisqali je procijenjivan u randomizovanom, dvostruko slijepom, placebom kontrolisanom, multicentričnom kliničkom ispitivanju faze III u kojem se ispitivalo liječenje postmenopauzalnih žena sa uznapredovalim HER2</w:t>
      </w:r>
      <w:r w:rsidRPr="0017657C">
        <w:rPr>
          <w:rFonts w:ascii="Times New Roman" w:eastAsia="MS Mincho" w:hAnsi="Times New Roman" w:cs="Times New Roman"/>
          <w:lang w:val="sr-Latn-ME" w:eastAsia="zh-CN"/>
        </w:rPr>
        <w:noBreakHyphen/>
        <w:t>negativnim karcinomom dojke pozitivnim na hormonski receptor, koje prethodno nijesu primale terapiju za uznapredovalu bolest, u kombinaciji sa letrozolom, u odnosu na liječenje samim letrozolom.</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4A04D3" w:rsidRDefault="00741524" w:rsidP="0017657C">
      <w:pPr>
        <w:widowControl w:val="0"/>
        <w:spacing w:after="0" w:line="240" w:lineRule="auto"/>
        <w:jc w:val="both"/>
        <w:rPr>
          <w:rFonts w:ascii="Times New Roman" w:eastAsia="MS Mincho" w:hAnsi="Times New Roman" w:cs="Times New Roman"/>
          <w:color w:val="000000"/>
          <w:lang w:val="sr-Latn-ME" w:eastAsia="zh-CN"/>
        </w:rPr>
      </w:pPr>
      <w:r w:rsidRPr="0017657C">
        <w:rPr>
          <w:rFonts w:ascii="Times New Roman" w:eastAsia="MS Mincho" w:hAnsi="Times New Roman" w:cs="Times New Roman"/>
          <w:lang w:val="sr-Latn-ME" w:eastAsia="zh-CN"/>
        </w:rPr>
        <w:t>Ukupno je 668 pacijenata bilo randomizovano u odnosu 1:1 da primaju ili lijek Kisqali 600 mg i letrozol (n=334) ili placebo i letrozol (n=334), stratifikovano prema prisutnosti metastaza u jetri i/ili plućima (Da [</w:t>
      </w:r>
      <w:r w:rsidRPr="0017657C">
        <w:rPr>
          <w:rFonts w:ascii="Times New Roman" w:eastAsia="Times New Roman" w:hAnsi="Times New Roman" w:cs="Times New Roman"/>
          <w:lang w:val="sr-Latn-ME"/>
        </w:rPr>
        <w:t>n=292 (44%)]) u odnosu na Ne [n=376 (56%)]</w:t>
      </w:r>
      <w:r w:rsidRPr="0017657C">
        <w:rPr>
          <w:rFonts w:ascii="Times New Roman" w:eastAsia="MS Mincho" w:hAnsi="Times New Roman" w:cs="Times New Roman"/>
          <w:lang w:val="sr-Latn-ME" w:eastAsia="zh-CN"/>
        </w:rPr>
        <w:t>)</w:t>
      </w:r>
      <w:r w:rsidRPr="0017657C">
        <w:rPr>
          <w:rFonts w:ascii="Times New Roman" w:eastAsia="MS Mincho" w:hAnsi="Times New Roman" w:cs="Times New Roman"/>
          <w:i/>
          <w:lang w:val="sr-Latn-ME" w:eastAsia="zh-CN"/>
        </w:rPr>
        <w:t xml:space="preserve">. </w:t>
      </w:r>
      <w:r w:rsidRPr="0017657C">
        <w:rPr>
          <w:rFonts w:ascii="Times New Roman" w:eastAsia="MS Mincho" w:hAnsi="Times New Roman" w:cs="Times New Roman"/>
          <w:lang w:val="sr-Latn-ME" w:eastAsia="zh-CN"/>
        </w:rPr>
        <w:t>Demografske karakteristike i početne karakteristike bolesti bile su uravnotežene i uporedive između ispitivanih grupa.</w:t>
      </w:r>
      <w:r w:rsidRPr="0017657C">
        <w:rPr>
          <w:rFonts w:ascii="Times New Roman" w:eastAsia="MS Mincho" w:hAnsi="Times New Roman" w:cs="Times New Roman"/>
          <w:i/>
          <w:lang w:val="sr-Latn-ME" w:eastAsia="zh-CN"/>
        </w:rPr>
        <w:t xml:space="preserve"> </w:t>
      </w:r>
      <w:r w:rsidRPr="0017657C">
        <w:rPr>
          <w:rFonts w:ascii="Times New Roman" w:eastAsia="MS Mincho" w:hAnsi="Times New Roman" w:cs="Times New Roman"/>
          <w:lang w:val="sr-Latn-ME" w:eastAsia="zh-CN"/>
        </w:rPr>
        <w:t xml:space="preserve">Lijek </w:t>
      </w:r>
      <w:r w:rsidRPr="0017657C">
        <w:rPr>
          <w:rFonts w:ascii="Times New Roman" w:eastAsia="MS Mincho" w:hAnsi="Times New Roman" w:cs="Times New Roman"/>
          <w:color w:val="000000"/>
          <w:lang w:val="sr-Latn-ME" w:eastAsia="zh-CN"/>
        </w:rPr>
        <w:t xml:space="preserve">Kisqali je davan oralno u dozi od 600 mg dnevno uzastopno 21 dan, nakon čega je slijedilo 7 dana bez liječenja u kombinaciji sa letrozolom 2,5 mg jednom dnevno tokom 28 dana. Pacijenti nijesu smjeli da pređu sa placeba na lijek </w:t>
      </w:r>
      <w:r w:rsidRPr="0017657C">
        <w:rPr>
          <w:rFonts w:ascii="Times New Roman" w:eastAsia="MS Mincho" w:hAnsi="Times New Roman" w:cs="Times New Roman"/>
          <w:lang w:val="sr-Latn-ME" w:eastAsia="zh-CN"/>
        </w:rPr>
        <w:t>Kisqali tokom ispitivanja ili nakon progresije bolesti</w:t>
      </w:r>
      <w:r w:rsidR="004A04D3">
        <w:rPr>
          <w:rFonts w:ascii="Times New Roman" w:eastAsia="MS Mincho" w:hAnsi="Times New Roman" w:cs="Times New Roman"/>
          <w:color w:val="000000"/>
          <w:lang w:val="sr-Latn-ME" w:eastAsia="zh-CN"/>
        </w:rPr>
        <w:t>.</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xml:space="preserve">Medijana broja godina pacijenata uključenih u ovo ispitivanje bila je 62 godine (raspon 23 do 91). 44,2% pacijenata bilo je starije od 65 godina, uključujući i 69 pacijenata koji su bili stariji od 75 godina. Uključeni pacijenti bili su bijele rase (82,2%), Azijati (7,6%) i crne rase (2,5%). Svi pacijenti su imali ECOG funkcionalni status 0 ili 1. 43,7% pacijenata prethodno je primalo hemoterapiju kao neoadjuvantnu ili adjuvantnu terapiju, a 52,4% primalo je antihormonsku terapiju kao neoadjuvantnu ili adjuvantnu terapiju prije uključivanja u ispitivanje. 34,1% pacijenata bilo je </w:t>
      </w:r>
      <w:r w:rsidRPr="0017657C">
        <w:rPr>
          <w:rFonts w:ascii="Times New Roman" w:eastAsia="MS Mincho" w:hAnsi="Times New Roman" w:cs="Times New Roman"/>
          <w:i/>
          <w:lang w:val="sr-Latn-ME" w:eastAsia="zh-CN"/>
        </w:rPr>
        <w:t>de novo</w:t>
      </w:r>
      <w:r w:rsidRPr="0017657C">
        <w:rPr>
          <w:rFonts w:ascii="Times New Roman" w:eastAsia="MS Mincho" w:hAnsi="Times New Roman" w:cs="Times New Roman"/>
          <w:lang w:val="sr-Latn-ME" w:eastAsia="zh-CN"/>
        </w:rPr>
        <w:t xml:space="preserve">. 20,7% pacijenata imalo je bolest koja je zahvatala samo kosti, a 59,0% pacijenata je imalo visceralnu bolest. Pacijenti sa prethodnom (neo)adjuvantnom terapijom anastrozolom ili letrozolom morali su da završe tu terapiju najmanje 12 mjeseci prije randomizacije u </w:t>
      </w:r>
      <w:r w:rsidRPr="0017657C">
        <w:rPr>
          <w:rFonts w:ascii="Times New Roman" w:eastAsia="MS Mincho" w:hAnsi="Times New Roman" w:cs="Times New Roman"/>
          <w:lang w:val="sr-Latn-ME" w:eastAsia="zh-CN"/>
        </w:rPr>
        <w:lastRenderedPageBreak/>
        <w:t>ispitivanju.</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xml:space="preserve">Mjera primarnog ishoda ispitivanja ostvarena je u planiranoj interim analizi sprovedenoj nakon uočavanja 80% ciljanih događaja preživljavanja bez progresije (PFS, engl. </w:t>
      </w:r>
      <w:r w:rsidRPr="0017657C">
        <w:rPr>
          <w:rFonts w:ascii="Times New Roman" w:eastAsia="MS Mincho" w:hAnsi="Times New Roman" w:cs="Times New Roman"/>
          <w:i/>
          <w:lang w:val="sr-Latn-ME" w:eastAsia="zh-CN"/>
        </w:rPr>
        <w:t>progression-free survival</w:t>
      </w:r>
      <w:r w:rsidRPr="0017657C">
        <w:rPr>
          <w:rFonts w:ascii="Times New Roman" w:eastAsia="MS Mincho" w:hAnsi="Times New Roman" w:cs="Times New Roman"/>
          <w:lang w:val="sr-Latn-ME" w:eastAsia="zh-CN"/>
        </w:rPr>
        <w:t xml:space="preserve">) koristeći Kriterijume za ocjenjivanje tumora kod solidnih tumora (engl. </w:t>
      </w:r>
      <w:r w:rsidRPr="0017657C">
        <w:rPr>
          <w:rFonts w:ascii="Times New Roman" w:eastAsia="MS Mincho" w:hAnsi="Times New Roman" w:cs="Times New Roman"/>
          <w:i/>
          <w:lang w:val="sr-Latn-ME" w:eastAsia="zh-CN"/>
        </w:rPr>
        <w:t>Response Evaluation Criteria in</w:t>
      </w:r>
      <w:r w:rsidRPr="0017657C">
        <w:rPr>
          <w:rFonts w:ascii="Times New Roman" w:eastAsia="MS Mincho" w:hAnsi="Times New Roman" w:cs="Times New Roman"/>
          <w:lang w:val="sr-Latn-ME" w:eastAsia="zh-CN"/>
        </w:rPr>
        <w:t xml:space="preserve"> </w:t>
      </w:r>
      <w:r w:rsidRPr="0017657C">
        <w:rPr>
          <w:rFonts w:ascii="Times New Roman" w:eastAsia="MS Mincho" w:hAnsi="Times New Roman" w:cs="Times New Roman"/>
          <w:i/>
          <w:lang w:val="sr-Latn-ME" w:eastAsia="zh-CN"/>
        </w:rPr>
        <w:t>Solid Tumors</w:t>
      </w:r>
      <w:r w:rsidRPr="0017657C">
        <w:rPr>
          <w:rFonts w:ascii="Times New Roman" w:eastAsia="MS Mincho" w:hAnsi="Times New Roman" w:cs="Times New Roman"/>
          <w:lang w:val="sr-Latn-ME" w:eastAsia="zh-CN"/>
        </w:rPr>
        <w:t>, RECIST v1.1), na osnovu procjene ispitivača u cjelokupnoj populaciji (svih randomizovanih pacijenata) i potvrđeno maskiranom nezavisnom centralnom radiološkom procjenom.</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Rezultati efikasnosti pokazali su statistički značajno poboljšanje PFS</w:t>
      </w:r>
      <w:r w:rsidRPr="0017657C">
        <w:rPr>
          <w:rFonts w:ascii="Times New Roman" w:eastAsia="MS Mincho" w:hAnsi="Times New Roman" w:cs="Times New Roman"/>
          <w:lang w:val="sr-Latn-ME" w:eastAsia="zh-CN"/>
        </w:rPr>
        <w:noBreakHyphen/>
        <w:t>a kod pacijenata koji su primali lijek Kisqali sa letrozolom u poređenju sa pacijentima koji su primali placebo sa letrozolom u kompletnom setu podataka za analizu (stopa rizika od 0,556, 95% CI: 0,429; 0,720, p</w:t>
      </w:r>
      <w:r w:rsidRPr="0017657C">
        <w:rPr>
          <w:rFonts w:ascii="Times New Roman" w:eastAsia="MS Mincho" w:hAnsi="Times New Roman" w:cs="Times New Roman"/>
          <w:lang w:val="sr-Latn-ME" w:eastAsia="zh-CN"/>
        </w:rPr>
        <w:noBreakHyphen/>
        <w:t>vrijednost jednostranog stratifikovanog log-rang testa 0,00000329) sa klinički važnim terapijskim efektom.</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Podaci o opštem zdravstvenom stanju/kvalitetu života pokazali su da nema značajne razlike između grupe koja je primala lijek Kisqali sa letrozolom i one koja je primala placebo sa letrozolom.</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Kasniji ažurirani podaci o efikasnosti (datum presjeka 2. januar 2017) navedeni su u Tabelama 7 i 8.</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Medijana PFS</w:t>
      </w:r>
      <w:r w:rsidRPr="0017657C">
        <w:rPr>
          <w:rFonts w:ascii="Times New Roman" w:eastAsia="MS Mincho" w:hAnsi="Times New Roman" w:cs="Times New Roman"/>
          <w:lang w:val="sr-Latn-ME" w:eastAsia="zh-CN"/>
        </w:rPr>
        <w:noBreakHyphen/>
        <w:t>a bila je 25,3 mjeseca (95% CI; 23,0; 30,3) za pacijente liječene ribociklibom sa letrozolom i 16,0 mjeseci (95% CI: 13,4; 18,2) za pacijente koji su primali placebo sa letrozolom. Kod 54,7% pacijenata koji su primali ribociklib sa letrozolom procijenjeno je da nije bilo progresije nakon 24 mjeseca u poređenju sa 35,9% u grupi koja je primala placebo sa letrozolom.</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 xml:space="preserve">Nije bilo statistički značajne razlike u ukupnom preživljavanju (OS, engl. </w:t>
      </w:r>
      <w:r w:rsidRPr="0017657C">
        <w:rPr>
          <w:rFonts w:ascii="Times New Roman" w:eastAsia="MS Mincho" w:hAnsi="Times New Roman" w:cs="Times New Roman"/>
          <w:i/>
          <w:lang w:val="sr-Latn-ME" w:eastAsia="zh-CN"/>
        </w:rPr>
        <w:t>overall survival</w:t>
      </w:r>
      <w:r w:rsidRPr="0017657C">
        <w:rPr>
          <w:rFonts w:ascii="Times New Roman" w:eastAsia="MS Mincho" w:hAnsi="Times New Roman" w:cs="Times New Roman"/>
          <w:lang w:val="sr-Latn-ME" w:eastAsia="zh-CN"/>
        </w:rPr>
        <w:t>) između grupe koja je primala lijek Kisqali sa letrozolom i one koja je primala placebo sa letrozolom (HR 0,746 [95% CI 0,517; 1,078]). Podaci o OS</w:t>
      </w:r>
      <w:r w:rsidRPr="0017657C">
        <w:rPr>
          <w:rFonts w:ascii="Times New Roman" w:eastAsia="MS Mincho" w:hAnsi="Times New Roman" w:cs="Times New Roman"/>
          <w:lang w:val="sr-Latn-ME" w:eastAsia="zh-CN"/>
        </w:rPr>
        <w:noBreakHyphen/>
        <w:t>u i dalje nijesu kompletni.</w:t>
      </w:r>
    </w:p>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keepNext/>
        <w:keepLines/>
        <w:widowControl w:val="0"/>
        <w:tabs>
          <w:tab w:val="left" w:pos="284"/>
        </w:tabs>
        <w:spacing w:after="0" w:line="240" w:lineRule="auto"/>
        <w:ind w:left="1134" w:hanging="1134"/>
        <w:jc w:val="both"/>
        <w:outlineLvl w:val="5"/>
        <w:rPr>
          <w:rFonts w:ascii="Times New Roman" w:eastAsia="Times New Roman" w:hAnsi="Times New Roman" w:cs="Times New Roman"/>
          <w:b/>
          <w:lang w:val="sr-Latn-ME"/>
        </w:rPr>
      </w:pPr>
      <w:r w:rsidRPr="0017657C">
        <w:rPr>
          <w:rFonts w:ascii="Times New Roman" w:eastAsia="Times New Roman" w:hAnsi="Times New Roman" w:cs="Times New Roman"/>
          <w:b/>
          <w:lang w:val="sr-Latn-ME"/>
        </w:rPr>
        <w:t>Tabela 7</w:t>
      </w:r>
      <w:r w:rsidRPr="0017657C">
        <w:rPr>
          <w:rFonts w:ascii="Times New Roman" w:eastAsia="Times New Roman" w:hAnsi="Times New Roman" w:cs="Times New Roman"/>
          <w:b/>
          <w:lang w:val="sr-Latn-ME"/>
        </w:rPr>
        <w:tab/>
        <w:t>Rezultati efikasnosti – MONALEESA-2 rezultati primarne efikasnosti (PFS) zasnovani na radiološkoj procjeni istraživača (datum presjeka 2. januar 2017)</w:t>
      </w:r>
    </w:p>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2"/>
        <w:gridCol w:w="3491"/>
        <w:gridCol w:w="2804"/>
      </w:tblGrid>
      <w:tr w:rsidR="00741524" w:rsidRPr="0017657C" w:rsidTr="00741524">
        <w:trPr>
          <w:tblHeader/>
        </w:trPr>
        <w:tc>
          <w:tcPr>
            <w:tcW w:w="1727" w:type="pct"/>
            <w:tcBorders>
              <w:top w:val="single" w:sz="4" w:space="0" w:color="auto"/>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p>
        </w:tc>
        <w:tc>
          <w:tcPr>
            <w:tcW w:w="3273" w:type="pct"/>
            <w:gridSpan w:val="2"/>
            <w:tcBorders>
              <w:top w:val="single" w:sz="4" w:space="0" w:color="auto"/>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Ažurirana analiza (datum presjeka 2. januar 2017)</w:t>
            </w:r>
          </w:p>
        </w:tc>
      </w:tr>
      <w:tr w:rsidR="00741524" w:rsidRPr="0017657C" w:rsidTr="00741524">
        <w:trPr>
          <w:tblHeader/>
        </w:trPr>
        <w:tc>
          <w:tcPr>
            <w:tcW w:w="1727" w:type="pct"/>
            <w:tcBorders>
              <w:top w:val="single" w:sz="4" w:space="0" w:color="auto"/>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p>
        </w:tc>
        <w:tc>
          <w:tcPr>
            <w:tcW w:w="1815" w:type="pct"/>
            <w:tcBorders>
              <w:top w:val="single" w:sz="4" w:space="0" w:color="auto"/>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Kisqali sa letrozolom</w:t>
            </w:r>
          </w:p>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N=334</w:t>
            </w:r>
          </w:p>
        </w:tc>
        <w:tc>
          <w:tcPr>
            <w:tcW w:w="1458" w:type="pct"/>
            <w:tcBorders>
              <w:top w:val="single" w:sz="4" w:space="0" w:color="auto"/>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Placebo sa letrozolom</w:t>
            </w:r>
          </w:p>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N=334</w:t>
            </w:r>
          </w:p>
        </w:tc>
      </w:tr>
      <w:tr w:rsidR="00741524" w:rsidRPr="0017657C" w:rsidTr="00741524">
        <w:tc>
          <w:tcPr>
            <w:tcW w:w="5000" w:type="pct"/>
            <w:gridSpan w:val="3"/>
            <w:tcBorders>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Preživljavanje bez progresije</w:t>
            </w:r>
          </w:p>
        </w:tc>
      </w:tr>
      <w:tr w:rsidR="00741524" w:rsidRPr="0017657C" w:rsidTr="00741524">
        <w:tc>
          <w:tcPr>
            <w:tcW w:w="1727" w:type="pct"/>
            <w:tcBorders>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Medijana PFS</w:t>
            </w:r>
            <w:r w:rsidRPr="0017657C">
              <w:rPr>
                <w:rFonts w:ascii="Times New Roman" w:eastAsia="MS Mincho" w:hAnsi="Times New Roman" w:cs="Times New Roman"/>
                <w:lang w:val="sr-Latn-ME" w:eastAsia="zh-CN"/>
              </w:rPr>
              <w:noBreakHyphen/>
              <w:t>a [mjeseci] (95% CI)</w:t>
            </w:r>
          </w:p>
        </w:tc>
        <w:tc>
          <w:tcPr>
            <w:tcW w:w="1815" w:type="pct"/>
            <w:tcBorders>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25,3 (23,0</w:t>
            </w:r>
            <w:r w:rsidRPr="0017657C">
              <w:rPr>
                <w:rFonts w:ascii="Times New Roman" w:eastAsia="MS Mincho" w:hAnsi="Times New Roman" w:cs="Times New Roman"/>
                <w:lang w:val="sr-Latn-ME" w:eastAsia="zh-CN"/>
              </w:rPr>
              <w:noBreakHyphen/>
              <w:t>30,3)</w:t>
            </w:r>
          </w:p>
        </w:tc>
        <w:tc>
          <w:tcPr>
            <w:tcW w:w="1458" w:type="pct"/>
            <w:tcBorders>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16,0 (13,4</w:t>
            </w:r>
            <w:r w:rsidRPr="0017657C">
              <w:rPr>
                <w:rFonts w:ascii="Times New Roman" w:eastAsia="MS Mincho" w:hAnsi="Times New Roman" w:cs="Times New Roman"/>
                <w:lang w:val="sr-Latn-ME" w:eastAsia="zh-CN"/>
              </w:rPr>
              <w:noBreakHyphen/>
              <w:t>18,2)</w:t>
            </w:r>
          </w:p>
        </w:tc>
      </w:tr>
      <w:tr w:rsidR="00741524" w:rsidRPr="0017657C" w:rsidTr="00741524">
        <w:tc>
          <w:tcPr>
            <w:tcW w:w="1727" w:type="pct"/>
            <w:tcBorders>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Stopa rizika (95% CI)</w:t>
            </w:r>
          </w:p>
        </w:tc>
        <w:tc>
          <w:tcPr>
            <w:tcW w:w="3273" w:type="pct"/>
            <w:gridSpan w:val="2"/>
            <w:tcBorders>
              <w:left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jc w:val="center"/>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0,568 (0,457</w:t>
            </w:r>
            <w:r w:rsidRPr="0017657C">
              <w:rPr>
                <w:rFonts w:ascii="Times New Roman" w:eastAsia="MS Mincho" w:hAnsi="Times New Roman" w:cs="Times New Roman"/>
                <w:lang w:val="sr-Latn-ME" w:eastAsia="zh-CN"/>
              </w:rPr>
              <w:noBreakHyphen/>
              <w:t>0,704)</w:t>
            </w:r>
          </w:p>
        </w:tc>
      </w:tr>
      <w:tr w:rsidR="00741524" w:rsidRPr="0017657C" w:rsidTr="00741524">
        <w:tc>
          <w:tcPr>
            <w:tcW w:w="1727" w:type="pct"/>
            <w:tcBorders>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p</w:t>
            </w:r>
            <w:r w:rsidRPr="0017657C">
              <w:rPr>
                <w:rFonts w:ascii="Times New Roman" w:eastAsia="MS Mincho" w:hAnsi="Times New Roman" w:cs="Times New Roman"/>
                <w:lang w:val="sr-Latn-ME" w:eastAsia="zh-CN"/>
              </w:rPr>
              <w:noBreakHyphen/>
              <w:t>vrijednost</w:t>
            </w:r>
            <w:r w:rsidRPr="0017657C">
              <w:rPr>
                <w:rFonts w:ascii="Times New Roman" w:eastAsia="MS Mincho" w:hAnsi="Times New Roman" w:cs="Times New Roman"/>
                <w:vertAlign w:val="superscript"/>
                <w:lang w:val="sr-Latn-ME" w:eastAsia="zh-CN"/>
              </w:rPr>
              <w:t>a</w:t>
            </w:r>
          </w:p>
        </w:tc>
        <w:tc>
          <w:tcPr>
            <w:tcW w:w="3273" w:type="pct"/>
            <w:gridSpan w:val="2"/>
            <w:tcBorders>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tabs>
                <w:tab w:val="left" w:pos="284"/>
              </w:tabs>
              <w:spacing w:after="0" w:line="240" w:lineRule="auto"/>
              <w:jc w:val="center"/>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9,63×10</w:t>
            </w:r>
            <w:r w:rsidRPr="0017657C">
              <w:rPr>
                <w:rFonts w:ascii="Times New Roman" w:eastAsia="MS Mincho" w:hAnsi="Times New Roman" w:cs="Times New Roman"/>
                <w:vertAlign w:val="superscript"/>
                <w:lang w:val="sr-Latn-ME" w:eastAsia="zh-CN"/>
              </w:rPr>
              <w:t>-8</w:t>
            </w:r>
          </w:p>
        </w:tc>
      </w:tr>
      <w:tr w:rsidR="00741524" w:rsidRPr="0017657C" w:rsidTr="00741524">
        <w:tc>
          <w:tcPr>
            <w:tcW w:w="5000" w:type="pct"/>
            <w:gridSpan w:val="3"/>
            <w:tcBorders>
              <w:left w:val="single" w:sz="4" w:space="0" w:color="auto"/>
              <w:bottom w:val="single" w:sz="4" w:space="0" w:color="auto"/>
              <w:right w:val="single" w:sz="4" w:space="0" w:color="auto"/>
            </w:tcBorders>
            <w:shd w:val="clear" w:color="auto" w:fill="auto"/>
          </w:tcPr>
          <w:p w:rsidR="00741524" w:rsidRPr="0017657C" w:rsidRDefault="00741524" w:rsidP="0017657C">
            <w:pPr>
              <w:keepNext/>
              <w:keepLines/>
              <w:widowControl w:val="0"/>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CI=interval pouzdanosti; N=broj pacijenata;</w:t>
            </w:r>
          </w:p>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vertAlign w:val="superscript"/>
                <w:lang w:val="sr-Latn-ME" w:eastAsia="zh-CN"/>
              </w:rPr>
              <w:t>a</w:t>
            </w:r>
            <w:r w:rsidRPr="0017657C">
              <w:rPr>
                <w:rFonts w:ascii="Times New Roman" w:eastAsia="MS Mincho" w:hAnsi="Times New Roman" w:cs="Times New Roman"/>
                <w:lang w:val="sr-Latn-ME" w:eastAsia="zh-CN"/>
              </w:rPr>
              <w:t>p</w:t>
            </w:r>
            <w:r w:rsidRPr="0017657C">
              <w:rPr>
                <w:rFonts w:ascii="Times New Roman" w:eastAsia="MS Mincho" w:hAnsi="Times New Roman" w:cs="Times New Roman"/>
                <w:lang w:val="sr-Latn-ME" w:eastAsia="zh-CN"/>
              </w:rPr>
              <w:noBreakHyphen/>
              <w:t xml:space="preserve">vrijednost dobijena je iz jednostranog stratifikovanog </w:t>
            </w:r>
            <w:r w:rsidRPr="0017657C">
              <w:rPr>
                <w:rFonts w:ascii="Times New Roman" w:eastAsia="MS Mincho" w:hAnsi="Times New Roman" w:cs="Times New Roman"/>
                <w:i/>
                <w:lang w:val="sr-Latn-ME" w:eastAsia="zh-CN"/>
              </w:rPr>
              <w:t>log-rank</w:t>
            </w:r>
            <w:r w:rsidRPr="0017657C">
              <w:rPr>
                <w:rFonts w:ascii="Times New Roman" w:eastAsia="MS Mincho" w:hAnsi="Times New Roman" w:cs="Times New Roman"/>
                <w:lang w:val="sr-Latn-ME" w:eastAsia="zh-CN"/>
              </w:rPr>
              <w:t xml:space="preserve"> testa.</w:t>
            </w:r>
          </w:p>
        </w:tc>
      </w:tr>
    </w:tbl>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keepNext/>
        <w:keepLines/>
        <w:widowControl w:val="0"/>
        <w:spacing w:after="0" w:line="240" w:lineRule="auto"/>
        <w:ind w:left="1134" w:hanging="1134"/>
        <w:rPr>
          <w:rFonts w:ascii="Times New Roman" w:eastAsia="MS Mincho" w:hAnsi="Times New Roman" w:cs="Times New Roman"/>
          <w:b/>
          <w:lang w:val="sr-Latn-ME" w:eastAsia="zh-CN"/>
        </w:rPr>
      </w:pPr>
    </w:p>
    <w:p w:rsidR="00741524" w:rsidRPr="0017657C" w:rsidRDefault="00741524" w:rsidP="0017657C">
      <w:pPr>
        <w:keepNext/>
        <w:keepLines/>
        <w:widowControl w:val="0"/>
        <w:spacing w:after="0" w:line="240" w:lineRule="auto"/>
        <w:ind w:left="1134" w:hanging="1134"/>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Slika 1</w:t>
      </w:r>
      <w:r w:rsidRPr="0017657C">
        <w:rPr>
          <w:rFonts w:ascii="Times New Roman" w:eastAsia="MS Mincho" w:hAnsi="Times New Roman" w:cs="Times New Roman"/>
          <w:b/>
          <w:lang w:val="sr-Latn-ME" w:eastAsia="zh-CN"/>
        </w:rPr>
        <w:tab/>
        <w:t>Kaplan-Meierov dijagram PFS</w:t>
      </w:r>
      <w:r w:rsidRPr="0017657C">
        <w:rPr>
          <w:rFonts w:ascii="Times New Roman" w:eastAsia="MS Mincho" w:hAnsi="Times New Roman" w:cs="Times New Roman"/>
          <w:b/>
          <w:lang w:val="sr-Latn-ME" w:eastAsia="zh-CN"/>
        </w:rPr>
        <w:noBreakHyphen/>
        <w:t>a zasnovan na procjeni istraživača – MONALEESA-2 (potpuni set podataka za analizu do datuma presjeka 2. januar 2017)</w:t>
      </w:r>
    </w:p>
    <w:p w:rsidR="00741524" w:rsidRPr="0017657C" w:rsidRDefault="00741524" w:rsidP="0017657C">
      <w:pPr>
        <w:keepNext/>
        <w:keepLines/>
        <w:widowControl w:val="0"/>
        <w:spacing w:after="0" w:line="240" w:lineRule="auto"/>
        <w:ind w:left="1134" w:hanging="1134"/>
        <w:rPr>
          <w:rFonts w:ascii="Times New Roman" w:eastAsia="MS Mincho" w:hAnsi="Times New Roman" w:cs="Times New Roman"/>
          <w:lang w:val="sr-Latn-ME" w:eastAsia="zh-CN"/>
        </w:rPr>
      </w:pPr>
    </w:p>
    <w:p w:rsidR="00741524" w:rsidRPr="0017657C" w:rsidRDefault="00741524" w:rsidP="0017657C">
      <w:pPr>
        <w:keepNext/>
        <w:keepLines/>
        <w:widowControl w:val="0"/>
        <w:spacing w:after="0" w:line="240" w:lineRule="auto"/>
        <w:ind w:left="1134" w:hanging="1134"/>
        <w:rPr>
          <w:rFonts w:ascii="Times New Roman" w:eastAsia="MS Mincho" w:hAnsi="Times New Roman" w:cs="Times New Roman"/>
          <w:lang w:val="sr-Latn-ME" w:eastAsia="zh-CN"/>
        </w:rPr>
      </w:pPr>
      <w:r w:rsidRPr="0017657C">
        <w:rPr>
          <w:rFonts w:ascii="Times New Roman" w:eastAsia="MS Mincho"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-98425</wp:posOffset>
                </wp:positionH>
                <wp:positionV relativeFrom="paragraph">
                  <wp:posOffset>2999105</wp:posOffset>
                </wp:positionV>
                <wp:extent cx="6558280" cy="807085"/>
                <wp:effectExtent l="0" t="0" r="13970" b="120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280" cy="807085"/>
                        </a:xfrm>
                        <a:prstGeom prst="rect">
                          <a:avLst/>
                        </a:prstGeom>
                        <a:solidFill>
                          <a:srgbClr val="FFFFFF"/>
                        </a:solidFill>
                        <a:ln w="9525">
                          <a:solidFill>
                            <a:srgbClr val="000000"/>
                          </a:solidFill>
                          <a:miter lim="800000"/>
                          <a:headEnd/>
                          <a:tailEnd/>
                        </a:ln>
                      </wps:spPr>
                      <wps:txbx>
                        <w:txbxContent>
                          <w:p w:rsidR="00741524" w:rsidRPr="002F0620" w:rsidRDefault="00741524" w:rsidP="00741524">
                            <w:pPr>
                              <w:spacing w:line="360" w:lineRule="auto"/>
                              <w:rPr>
                                <w:sz w:val="13"/>
                                <w:szCs w:val="13"/>
                              </w:rPr>
                            </w:pPr>
                            <w:r w:rsidRPr="002F0620">
                              <w:rPr>
                                <w:sz w:val="13"/>
                                <w:szCs w:val="13"/>
                              </w:rPr>
                              <w:t xml:space="preserve">                     Broj pacijenata koji su još uv</w:t>
                            </w:r>
                            <w:r>
                              <w:rPr>
                                <w:sz w:val="13"/>
                                <w:szCs w:val="13"/>
                              </w:rPr>
                              <w:t>ij</w:t>
                            </w:r>
                            <w:r w:rsidRPr="002F0620">
                              <w:rPr>
                                <w:sz w:val="13"/>
                                <w:szCs w:val="13"/>
                              </w:rPr>
                              <w:t>ek pod rizikom</w:t>
                            </w:r>
                          </w:p>
                          <w:p w:rsidR="00741524" w:rsidRPr="002F0620" w:rsidRDefault="00741524" w:rsidP="00741524">
                            <w:pPr>
                              <w:spacing w:line="360" w:lineRule="auto"/>
                              <w:rPr>
                                <w:sz w:val="13"/>
                                <w:szCs w:val="13"/>
                              </w:rPr>
                            </w:pPr>
                            <w:r>
                              <w:rPr>
                                <w:sz w:val="13"/>
                                <w:szCs w:val="13"/>
                              </w:rPr>
                              <w:t>Vrij</w:t>
                            </w:r>
                            <w:r w:rsidRPr="002F0620">
                              <w:rPr>
                                <w:sz w:val="13"/>
                                <w:szCs w:val="13"/>
                              </w:rPr>
                              <w:t xml:space="preserve">eme   </w:t>
                            </w:r>
                            <w:r>
                              <w:rPr>
                                <w:sz w:val="13"/>
                                <w:szCs w:val="13"/>
                              </w:rPr>
                              <w:t xml:space="preserve"> </w:t>
                            </w:r>
                            <w:r w:rsidRPr="002F0620">
                              <w:rPr>
                                <w:sz w:val="13"/>
                                <w:szCs w:val="13"/>
                              </w:rPr>
                              <w:t xml:space="preserve">       0              2               4              6              8             10            12             14            16            18            20            22             24            26             28            30            32            34</w:t>
                            </w:r>
                          </w:p>
                          <w:p w:rsidR="00741524" w:rsidRPr="002F0620" w:rsidRDefault="00741524" w:rsidP="00741524">
                            <w:pPr>
                              <w:spacing w:line="360" w:lineRule="auto"/>
                              <w:rPr>
                                <w:sz w:val="13"/>
                                <w:szCs w:val="13"/>
                              </w:rPr>
                            </w:pPr>
                            <w:r w:rsidRPr="002F0620">
                              <w:rPr>
                                <w:sz w:val="13"/>
                                <w:szCs w:val="13"/>
                              </w:rPr>
                              <w:t xml:space="preserve">Ribociklib  </w:t>
                            </w:r>
                            <w:r>
                              <w:rPr>
                                <w:sz w:val="13"/>
                                <w:szCs w:val="13"/>
                              </w:rPr>
                              <w:t xml:space="preserve"> </w:t>
                            </w:r>
                            <w:r w:rsidRPr="002F0620">
                              <w:rPr>
                                <w:sz w:val="13"/>
                                <w:szCs w:val="13"/>
                              </w:rPr>
                              <w:t xml:space="preserve"> 334         294            277          257          240          227          207           196          188          176          164          132            97            46             17            11              1              0</w:t>
                            </w:r>
                          </w:p>
                          <w:p w:rsidR="00741524" w:rsidRPr="002F0620" w:rsidRDefault="00741524" w:rsidP="00741524">
                            <w:pPr>
                              <w:spacing w:line="360" w:lineRule="auto"/>
                              <w:rPr>
                                <w:sz w:val="13"/>
                                <w:szCs w:val="13"/>
                                <w:lang w:val="sr-Latn-RS"/>
                              </w:rPr>
                            </w:pPr>
                            <w:r w:rsidRPr="002F0620">
                              <w:rPr>
                                <w:sz w:val="13"/>
                                <w:szCs w:val="13"/>
                              </w:rPr>
                              <w:t xml:space="preserve">Placebo       </w:t>
                            </w:r>
                            <w:r>
                              <w:rPr>
                                <w:sz w:val="13"/>
                                <w:szCs w:val="13"/>
                              </w:rPr>
                              <w:t xml:space="preserve"> </w:t>
                            </w:r>
                            <w:r w:rsidRPr="002F0620">
                              <w:rPr>
                                <w:sz w:val="13"/>
                                <w:szCs w:val="13"/>
                              </w:rPr>
                              <w:t>334         279            265          239          219          196          179           156          138          124          110           93             63            34             10             7               2              0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7.75pt;margin-top:236.15pt;width:516.4pt;height:6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">
                <v:textbox>
                  <w:txbxContent>
                    <w:p w:rsidR="00741524" w:rsidRPr="002F0620" w:rsidRDefault="00741524" w:rsidP="00741524">
                      <w:pPr>
                        <w:spacing w:line="360" w:lineRule="auto"/>
                        <w:rPr>
                          <w:sz w:val="13"/>
                          <w:szCs w:val="13"/>
                        </w:rPr>
                      </w:pPr>
                      <w:r w:rsidRPr="002F0620">
                        <w:rPr>
                          <w:sz w:val="13"/>
                          <w:szCs w:val="13"/>
                        </w:rPr>
                        <w:t xml:space="preserve">                     Broj pacijenata koji su još uv</w:t>
                      </w:r>
                      <w:r>
                        <w:rPr>
                          <w:sz w:val="13"/>
                          <w:szCs w:val="13"/>
                        </w:rPr>
                        <w:t>ij</w:t>
                      </w:r>
                      <w:r w:rsidRPr="002F0620">
                        <w:rPr>
                          <w:sz w:val="13"/>
                          <w:szCs w:val="13"/>
                        </w:rPr>
                        <w:t>ek pod rizikom</w:t>
                      </w:r>
                    </w:p>
                    <w:p w:rsidR="00741524" w:rsidRPr="002F0620" w:rsidRDefault="00741524" w:rsidP="00741524">
                      <w:pPr>
                        <w:spacing w:line="360" w:lineRule="auto"/>
                        <w:rPr>
                          <w:sz w:val="13"/>
                          <w:szCs w:val="13"/>
                        </w:rPr>
                      </w:pPr>
                      <w:r>
                        <w:rPr>
                          <w:sz w:val="13"/>
                          <w:szCs w:val="13"/>
                        </w:rPr>
                        <w:t>Vrij</w:t>
                      </w:r>
                      <w:r w:rsidRPr="002F0620">
                        <w:rPr>
                          <w:sz w:val="13"/>
                          <w:szCs w:val="13"/>
                        </w:rPr>
                        <w:t xml:space="preserve">eme   </w:t>
                      </w:r>
                      <w:r>
                        <w:rPr>
                          <w:sz w:val="13"/>
                          <w:szCs w:val="13"/>
                        </w:rPr>
                        <w:t xml:space="preserve"> </w:t>
                      </w:r>
                      <w:r w:rsidRPr="002F0620">
                        <w:rPr>
                          <w:sz w:val="13"/>
                          <w:szCs w:val="13"/>
                        </w:rPr>
                        <w:t xml:space="preserve">       0              2               4              6              8             10            12             14            16            18            20            22             24            26             28            30            32            34</w:t>
                      </w:r>
                    </w:p>
                    <w:p w:rsidR="00741524" w:rsidRPr="002F0620" w:rsidRDefault="00741524" w:rsidP="00741524">
                      <w:pPr>
                        <w:spacing w:line="360" w:lineRule="auto"/>
                        <w:rPr>
                          <w:sz w:val="13"/>
                          <w:szCs w:val="13"/>
                        </w:rPr>
                      </w:pPr>
                      <w:r w:rsidRPr="002F0620">
                        <w:rPr>
                          <w:sz w:val="13"/>
                          <w:szCs w:val="13"/>
                        </w:rPr>
                        <w:t xml:space="preserve">Ribociklib  </w:t>
                      </w:r>
                      <w:r>
                        <w:rPr>
                          <w:sz w:val="13"/>
                          <w:szCs w:val="13"/>
                        </w:rPr>
                        <w:t xml:space="preserve"> </w:t>
                      </w:r>
                      <w:r w:rsidRPr="002F0620">
                        <w:rPr>
                          <w:sz w:val="13"/>
                          <w:szCs w:val="13"/>
                        </w:rPr>
                        <w:t xml:space="preserve"> 334         294            277          257          240          227          207           196          188          176          164          132            97            46             17            11              1              0</w:t>
                      </w:r>
                    </w:p>
                    <w:p w:rsidR="00741524" w:rsidRPr="002F0620" w:rsidRDefault="00741524" w:rsidP="00741524">
                      <w:pPr>
                        <w:spacing w:line="360" w:lineRule="auto"/>
                        <w:rPr>
                          <w:sz w:val="13"/>
                          <w:szCs w:val="13"/>
                          <w:lang w:val="sr-Latn-RS"/>
                        </w:rPr>
                      </w:pPr>
                      <w:r w:rsidRPr="002F0620">
                        <w:rPr>
                          <w:sz w:val="13"/>
                          <w:szCs w:val="13"/>
                        </w:rPr>
                        <w:t xml:space="preserve">Placebo       </w:t>
                      </w:r>
                      <w:r>
                        <w:rPr>
                          <w:sz w:val="13"/>
                          <w:szCs w:val="13"/>
                        </w:rPr>
                        <w:t xml:space="preserve"> </w:t>
                      </w:r>
                      <w:r w:rsidRPr="002F0620">
                        <w:rPr>
                          <w:sz w:val="13"/>
                          <w:szCs w:val="13"/>
                        </w:rPr>
                        <w:t>334         279            265          239          219          196          179           156          138          124          110           93             63            34             10             7               2              0</w:t>
                      </w:r>
                    </w:p>
                  </w:txbxContent>
                </v:textbox>
              </v:shape>
            </w:pict>
          </mc:Fallback>
        </mc:AlternateContent>
      </w:r>
      <w:r w:rsidRPr="0017657C">
        <w:rPr>
          <w:rFonts w:ascii="Times New Roman" w:eastAsia="MS Mincho"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471170</wp:posOffset>
                </wp:positionH>
                <wp:positionV relativeFrom="paragraph">
                  <wp:posOffset>1558925</wp:posOffset>
                </wp:positionV>
                <wp:extent cx="3346450" cy="891540"/>
                <wp:effectExtent l="0" t="0" r="6350" b="381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6450" cy="891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524" w:rsidRPr="00650975" w:rsidRDefault="00741524" w:rsidP="00741524">
                            <w:pPr>
                              <w:rPr>
                                <w:sz w:val="16"/>
                                <w:szCs w:val="16"/>
                              </w:rPr>
                            </w:pPr>
                            <w:r w:rsidRPr="00650975">
                              <w:rPr>
                                <w:sz w:val="16"/>
                                <w:szCs w:val="16"/>
                              </w:rPr>
                              <w:t>Broj događaja-   ribociklib: 140, placebo: 205</w:t>
                            </w:r>
                          </w:p>
                          <w:p w:rsidR="00741524" w:rsidRPr="00650975" w:rsidRDefault="00741524" w:rsidP="00741524">
                            <w:pPr>
                              <w:rPr>
                                <w:sz w:val="16"/>
                                <w:szCs w:val="16"/>
                              </w:rPr>
                            </w:pPr>
                            <w:r>
                              <w:rPr>
                                <w:sz w:val="16"/>
                                <w:szCs w:val="16"/>
                              </w:rPr>
                              <w:t>Stopa rizika</w:t>
                            </w:r>
                            <w:r w:rsidRPr="00650975">
                              <w:rPr>
                                <w:sz w:val="16"/>
                                <w:szCs w:val="16"/>
                              </w:rPr>
                              <w:t xml:space="preserve"> = 0,568; 95% CI [0,475; 0,704]</w:t>
                            </w:r>
                          </w:p>
                          <w:p w:rsidR="00741524" w:rsidRPr="00650975" w:rsidRDefault="00741524" w:rsidP="00741524">
                            <w:pPr>
                              <w:rPr>
                                <w:sz w:val="16"/>
                                <w:szCs w:val="16"/>
                              </w:rPr>
                            </w:pPr>
                            <w:r w:rsidRPr="00650975">
                              <w:rPr>
                                <w:sz w:val="16"/>
                                <w:szCs w:val="16"/>
                              </w:rPr>
                              <w:t>Kaplan-Meierov medijan</w:t>
                            </w:r>
                            <w:r>
                              <w:rPr>
                                <w:sz w:val="16"/>
                                <w:szCs w:val="16"/>
                              </w:rPr>
                              <w:t>a</w:t>
                            </w:r>
                            <w:r w:rsidRPr="00650975">
                              <w:rPr>
                                <w:sz w:val="16"/>
                                <w:szCs w:val="16"/>
                              </w:rPr>
                              <w:t xml:space="preserve"> - riboci</w:t>
                            </w:r>
                            <w:r>
                              <w:rPr>
                                <w:sz w:val="16"/>
                                <w:szCs w:val="16"/>
                              </w:rPr>
                              <w:t>klib: 25,3 mjeseca; placebo: 16,0 mjese</w:t>
                            </w:r>
                            <w:r w:rsidRPr="00650975">
                              <w:rPr>
                                <w:sz w:val="16"/>
                                <w:szCs w:val="16"/>
                              </w:rPr>
                              <w:t>ci</w:t>
                            </w:r>
                          </w:p>
                          <w:p w:rsidR="00741524" w:rsidRPr="00650975" w:rsidRDefault="00741524" w:rsidP="00741524">
                            <w:pPr>
                              <w:rPr>
                                <w:sz w:val="16"/>
                                <w:szCs w:val="16"/>
                              </w:rPr>
                            </w:pPr>
                            <w:r w:rsidRPr="005557D4">
                              <w:rPr>
                                <w:i/>
                                <w:sz w:val="16"/>
                                <w:szCs w:val="16"/>
                              </w:rPr>
                              <w:t>Log rank</w:t>
                            </w:r>
                            <w:r>
                              <w:rPr>
                                <w:sz w:val="16"/>
                                <w:szCs w:val="16"/>
                              </w:rPr>
                              <w:t xml:space="preserve"> p-vrij</w:t>
                            </w:r>
                            <w:r w:rsidRPr="00650975">
                              <w:rPr>
                                <w:sz w:val="16"/>
                                <w:szCs w:val="16"/>
                              </w:rPr>
                              <w:t>ednost = 9,63*10^(-8)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37.1pt;margin-top:122.75pt;width:263.5pt;height:7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" stroked="f">
                <v:textbox>
                  <w:txbxContent>
                    <w:p w:rsidR="00741524" w:rsidRPr="00650975" w:rsidRDefault="00741524" w:rsidP="00741524">
                      <w:pPr>
                        <w:rPr>
                          <w:sz w:val="16"/>
                          <w:szCs w:val="16"/>
                        </w:rPr>
                      </w:pPr>
                      <w:r w:rsidRPr="00650975">
                        <w:rPr>
                          <w:sz w:val="16"/>
                          <w:szCs w:val="16"/>
                        </w:rPr>
                        <w:t>Broj događaja-   ribociklib: 140, placebo: 205</w:t>
                      </w:r>
                    </w:p>
                    <w:p w:rsidR="00741524" w:rsidRPr="00650975" w:rsidRDefault="00741524" w:rsidP="00741524">
                      <w:pPr>
                        <w:rPr>
                          <w:sz w:val="16"/>
                          <w:szCs w:val="16"/>
                        </w:rPr>
                      </w:pPr>
                      <w:r>
                        <w:rPr>
                          <w:sz w:val="16"/>
                          <w:szCs w:val="16"/>
                        </w:rPr>
                        <w:t>Stopa rizika</w:t>
                      </w:r>
                      <w:r w:rsidRPr="00650975">
                        <w:rPr>
                          <w:sz w:val="16"/>
                          <w:szCs w:val="16"/>
                        </w:rPr>
                        <w:t xml:space="preserve"> = 0,568; 95% CI [0,475; 0,704]</w:t>
                      </w:r>
                    </w:p>
                    <w:p w:rsidR="00741524" w:rsidRPr="00650975" w:rsidRDefault="00741524" w:rsidP="00741524">
                      <w:pPr>
                        <w:rPr>
                          <w:sz w:val="16"/>
                          <w:szCs w:val="16"/>
                        </w:rPr>
                      </w:pPr>
                      <w:r w:rsidRPr="00650975">
                        <w:rPr>
                          <w:sz w:val="16"/>
                          <w:szCs w:val="16"/>
                        </w:rPr>
                        <w:t>Kaplan-Meierov medijan</w:t>
                      </w:r>
                      <w:r>
                        <w:rPr>
                          <w:sz w:val="16"/>
                          <w:szCs w:val="16"/>
                        </w:rPr>
                        <w:t>a</w:t>
                      </w:r>
                      <w:r w:rsidRPr="00650975">
                        <w:rPr>
                          <w:sz w:val="16"/>
                          <w:szCs w:val="16"/>
                        </w:rPr>
                        <w:t xml:space="preserve"> - riboci</w:t>
                      </w:r>
                      <w:r>
                        <w:rPr>
                          <w:sz w:val="16"/>
                          <w:szCs w:val="16"/>
                        </w:rPr>
                        <w:t>klib: 25,3 mjeseca; placebo: 16,0 mjese</w:t>
                      </w:r>
                      <w:r w:rsidRPr="00650975">
                        <w:rPr>
                          <w:sz w:val="16"/>
                          <w:szCs w:val="16"/>
                        </w:rPr>
                        <w:t>ci</w:t>
                      </w:r>
                    </w:p>
                    <w:p w:rsidR="00741524" w:rsidRPr="00650975" w:rsidRDefault="00741524" w:rsidP="00741524">
                      <w:pPr>
                        <w:rPr>
                          <w:sz w:val="16"/>
                          <w:szCs w:val="16"/>
                        </w:rPr>
                      </w:pPr>
                      <w:r w:rsidRPr="005557D4">
                        <w:rPr>
                          <w:i/>
                          <w:sz w:val="16"/>
                          <w:szCs w:val="16"/>
                        </w:rPr>
                        <w:t>Log rank</w:t>
                      </w:r>
                      <w:r>
                        <w:rPr>
                          <w:sz w:val="16"/>
                          <w:szCs w:val="16"/>
                        </w:rPr>
                        <w:t xml:space="preserve"> p-vrij</w:t>
                      </w:r>
                      <w:r w:rsidRPr="00650975">
                        <w:rPr>
                          <w:sz w:val="16"/>
                          <w:szCs w:val="16"/>
                        </w:rPr>
                        <w:t>ednost = 9,63*10^(-8)</w:t>
                      </w:r>
                    </w:p>
                  </w:txbxContent>
                </v:textbox>
              </v:shape>
            </w:pict>
          </mc:Fallback>
        </mc:AlternateContent>
      </w:r>
      <w:r w:rsidRPr="0017657C">
        <w:rPr>
          <w:rFonts w:ascii="Times New Roman" w:eastAsia="MS Mincho"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876300</wp:posOffset>
                </wp:positionH>
                <wp:positionV relativeFrom="paragraph">
                  <wp:posOffset>985520</wp:posOffset>
                </wp:positionV>
                <wp:extent cx="966470" cy="410210"/>
                <wp:effectExtent l="0" t="0" r="508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524" w:rsidRPr="00650975" w:rsidRDefault="00741524" w:rsidP="00741524">
                            <w:pPr>
                              <w:rPr>
                                <w:sz w:val="14"/>
                                <w:szCs w:val="14"/>
                              </w:rPr>
                            </w:pPr>
                            <w:r w:rsidRPr="00650975">
                              <w:rPr>
                                <w:sz w:val="14"/>
                                <w:szCs w:val="14"/>
                              </w:rPr>
                              <w:t>Vr</w:t>
                            </w:r>
                            <w:r>
                              <w:rPr>
                                <w:sz w:val="14"/>
                                <w:szCs w:val="14"/>
                              </w:rPr>
                              <w:t>ij</w:t>
                            </w:r>
                            <w:r w:rsidRPr="00650975">
                              <w:rPr>
                                <w:sz w:val="14"/>
                                <w:szCs w:val="14"/>
                              </w:rPr>
                              <w:t>eme cenzuri</w:t>
                            </w:r>
                            <w:r>
                              <w:rPr>
                                <w:sz w:val="14"/>
                                <w:szCs w:val="14"/>
                              </w:rPr>
                              <w:t>s</w:t>
                            </w:r>
                            <w:r w:rsidRPr="00650975">
                              <w:rPr>
                                <w:sz w:val="14"/>
                                <w:szCs w:val="14"/>
                              </w:rPr>
                              <w:t>anja</w:t>
                            </w:r>
                          </w:p>
                          <w:p w:rsidR="00741524" w:rsidRPr="00650975" w:rsidRDefault="00741524" w:rsidP="00741524">
                            <w:pPr>
                              <w:rPr>
                                <w:sz w:val="14"/>
                                <w:szCs w:val="14"/>
                              </w:rPr>
                            </w:pPr>
                            <w:r w:rsidRPr="00650975">
                              <w:rPr>
                                <w:sz w:val="14"/>
                                <w:szCs w:val="14"/>
                              </w:rPr>
                              <w:t>Ribociklib (N=334)</w:t>
                            </w:r>
                          </w:p>
                          <w:p w:rsidR="00741524" w:rsidRPr="00E478C8" w:rsidRDefault="00741524" w:rsidP="00741524">
                            <w:pPr>
                              <w:rPr>
                                <w:sz w:val="10"/>
                              </w:rPr>
                            </w:pPr>
                            <w:r w:rsidRPr="00650975">
                              <w:rPr>
                                <w:sz w:val="14"/>
                                <w:szCs w:val="14"/>
                              </w:rPr>
                              <w:t>Placebo (N=334)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69pt;margin-top:77.6pt;width:76.1pt;height:3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" stroked="f">
                <v:textbox>
                  <w:txbxContent>
                    <w:p w:rsidR="00741524" w:rsidRPr="00650975" w:rsidRDefault="00741524" w:rsidP="00741524">
                      <w:pPr>
                        <w:rPr>
                          <w:sz w:val="14"/>
                          <w:szCs w:val="14"/>
                        </w:rPr>
                      </w:pPr>
                      <w:r w:rsidRPr="00650975">
                        <w:rPr>
                          <w:sz w:val="14"/>
                          <w:szCs w:val="14"/>
                        </w:rPr>
                        <w:t>Vr</w:t>
                      </w:r>
                      <w:r>
                        <w:rPr>
                          <w:sz w:val="14"/>
                          <w:szCs w:val="14"/>
                        </w:rPr>
                        <w:t>ij</w:t>
                      </w:r>
                      <w:r w:rsidRPr="00650975">
                        <w:rPr>
                          <w:sz w:val="14"/>
                          <w:szCs w:val="14"/>
                        </w:rPr>
                        <w:t>eme cenzuri</w:t>
                      </w:r>
                      <w:r>
                        <w:rPr>
                          <w:sz w:val="14"/>
                          <w:szCs w:val="14"/>
                        </w:rPr>
                        <w:t>s</w:t>
                      </w:r>
                      <w:r w:rsidRPr="00650975">
                        <w:rPr>
                          <w:sz w:val="14"/>
                          <w:szCs w:val="14"/>
                        </w:rPr>
                        <w:t>anja</w:t>
                      </w:r>
                    </w:p>
                    <w:p w:rsidR="00741524" w:rsidRPr="00650975" w:rsidRDefault="00741524" w:rsidP="00741524">
                      <w:pPr>
                        <w:rPr>
                          <w:sz w:val="14"/>
                          <w:szCs w:val="14"/>
                        </w:rPr>
                      </w:pPr>
                      <w:r w:rsidRPr="00650975">
                        <w:rPr>
                          <w:sz w:val="14"/>
                          <w:szCs w:val="14"/>
                        </w:rPr>
                        <w:t>Ribociklib (N=334)</w:t>
                      </w:r>
                    </w:p>
                    <w:p w:rsidR="00741524" w:rsidRPr="00E478C8" w:rsidRDefault="00741524" w:rsidP="00741524">
                      <w:pPr>
                        <w:rPr>
                          <w:sz w:val="10"/>
                        </w:rPr>
                      </w:pPr>
                      <w:r w:rsidRPr="00650975">
                        <w:rPr>
                          <w:sz w:val="14"/>
                          <w:szCs w:val="14"/>
                        </w:rPr>
                        <w:t>Placebo (N=334)</w:t>
                      </w:r>
                    </w:p>
                  </w:txbxContent>
                </v:textbox>
              </v:shape>
            </w:pict>
          </mc:Fallback>
        </mc:AlternateContent>
      </w:r>
      <w:r w:rsidRPr="0017657C">
        <w:rPr>
          <w:rFonts w:ascii="Times New Roman" w:eastAsia="MS Mincho"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2581275</wp:posOffset>
                </wp:positionH>
                <wp:positionV relativeFrom="paragraph">
                  <wp:posOffset>2722245</wp:posOffset>
                </wp:positionV>
                <wp:extent cx="1236345" cy="31432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3143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524" w:rsidRPr="00D36888" w:rsidRDefault="00741524" w:rsidP="00741524">
                            <w:pPr>
                              <w:rPr>
                                <w:sz w:val="18"/>
                                <w:szCs w:val="18"/>
                              </w:rPr>
                            </w:pPr>
                            <w:r>
                              <w:rPr>
                                <w:sz w:val="18"/>
                                <w:szCs w:val="18"/>
                              </w:rPr>
                              <w:t>Vrijeme</w:t>
                            </w:r>
                            <w:r w:rsidRPr="00D36888">
                              <w:rPr>
                                <w:sz w:val="18"/>
                                <w:szCs w:val="18"/>
                              </w:rPr>
                              <w:t xml:space="preserve"> (</w:t>
                            </w:r>
                            <w:r>
                              <w:rPr>
                                <w:sz w:val="18"/>
                                <w:szCs w:val="18"/>
                              </w:rPr>
                              <w:t>mjeseci</w:t>
                            </w:r>
                            <w:r w:rsidRPr="00D36888">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9" type="#_x0000_t202" style="position:absolute;left:0;text-align:left;margin-left:203.25pt;margin-top:214.35pt;width:97.3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" stroked="f">
                <v:fill opacity="0"/>
                <v:textbox>
                  <w:txbxContent>
                    <w:p w:rsidR="00741524" w:rsidRPr="00D36888" w:rsidRDefault="00741524" w:rsidP="00741524">
                      <w:pPr>
                        <w:rPr>
                          <w:sz w:val="18"/>
                          <w:szCs w:val="18"/>
                        </w:rPr>
                      </w:pPr>
                      <w:r>
                        <w:rPr>
                          <w:sz w:val="18"/>
                          <w:szCs w:val="18"/>
                        </w:rPr>
                        <w:t>Vrijeme</w:t>
                      </w:r>
                      <w:r w:rsidRPr="00D36888">
                        <w:rPr>
                          <w:sz w:val="18"/>
                          <w:szCs w:val="18"/>
                        </w:rPr>
                        <w:t xml:space="preserve"> (</w:t>
                      </w:r>
                      <w:r>
                        <w:rPr>
                          <w:sz w:val="18"/>
                          <w:szCs w:val="18"/>
                        </w:rPr>
                        <w:t>mjeseci</w:t>
                      </w:r>
                      <w:r w:rsidRPr="00D36888">
                        <w:rPr>
                          <w:sz w:val="18"/>
                          <w:szCs w:val="18"/>
                        </w:rPr>
                        <w:t>)</w:t>
                      </w:r>
                    </w:p>
                  </w:txbxContent>
                </v:textbox>
              </v:shape>
            </w:pict>
          </mc:Fallback>
        </mc:AlternateContent>
      </w:r>
      <w:r w:rsidRPr="0017657C">
        <w:rPr>
          <w:rFonts w:ascii="Times New Roman" w:eastAsia="MS Mincho"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-98425</wp:posOffset>
                </wp:positionH>
                <wp:positionV relativeFrom="paragraph">
                  <wp:posOffset>238125</wp:posOffset>
                </wp:positionV>
                <wp:extent cx="368300" cy="185928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592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41524" w:rsidRPr="00D36888" w:rsidRDefault="00741524" w:rsidP="00741524">
                            <w:pPr>
                              <w:rPr>
                                <w:sz w:val="18"/>
                                <w:szCs w:val="18"/>
                              </w:rPr>
                            </w:pPr>
                            <w:r>
                              <w:rPr>
                                <w:sz w:val="18"/>
                                <w:szCs w:val="18"/>
                              </w:rPr>
                              <w:t>Vjerovatnoća izostanka događaja</w:t>
                            </w:r>
                            <w:r w:rsidRPr="00D36888">
                              <w:rPr>
                                <w:sz w:val="18"/>
                                <w:szCs w:val="18"/>
                              </w:rPr>
                              <w:t xml:space="preserve"> (%)</w:t>
                            </w:r>
                          </w:p>
                          <w:p w:rsidR="00741524" w:rsidRPr="00D36888" w:rsidRDefault="00741524" w:rsidP="00741524">
                            <w:pPr>
                              <w:rPr>
                                <w:sz w:val="18"/>
                                <w:szCs w:val="18"/>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0" type="#_x0000_t202" style="position:absolute;left:0;text-align:left;margin-left:-7.75pt;margin-top:18.75pt;width:29pt;height:14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" stroked="f">
                <v:fill opacity="0"/>
                <v:textbox style="layout-flow:vertical;mso-layout-flow-alt:bottom-to-top">
                  <w:txbxContent>
                    <w:p w:rsidR="00741524" w:rsidRPr="00D36888" w:rsidRDefault="00741524" w:rsidP="00741524">
                      <w:pPr>
                        <w:rPr>
                          <w:sz w:val="18"/>
                          <w:szCs w:val="18"/>
                        </w:rPr>
                      </w:pPr>
                      <w:r>
                        <w:rPr>
                          <w:sz w:val="18"/>
                          <w:szCs w:val="18"/>
                        </w:rPr>
                        <w:t>Vjerovatnoća izostanka događaja</w:t>
                      </w:r>
                      <w:r w:rsidRPr="00D36888">
                        <w:rPr>
                          <w:sz w:val="18"/>
                          <w:szCs w:val="18"/>
                        </w:rPr>
                        <w:t xml:space="preserve"> (%)</w:t>
                      </w:r>
                    </w:p>
                    <w:p w:rsidR="00741524" w:rsidRPr="00D36888" w:rsidRDefault="00741524" w:rsidP="00741524">
                      <w:pPr>
                        <w:rPr>
                          <w:sz w:val="18"/>
                          <w:szCs w:val="18"/>
                        </w:rPr>
                      </w:pPr>
                    </w:p>
                  </w:txbxContent>
                </v:textbox>
              </v:shape>
            </w:pict>
          </mc:Fallback>
        </mc:AlternateContent>
      </w:r>
      <w:r w:rsidRPr="0017657C">
        <w:rPr>
          <w:rFonts w:ascii="Times New Roman" w:eastAsia="MS Mincho" w:hAnsi="Times New Roman" w:cs="Times New Roman"/>
          <w:noProof/>
        </w:rPr>
        <w:drawing>
          <wp:inline distT="0" distB="0" distL="0" distR="0">
            <wp:extent cx="5753100" cy="3267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3267075"/>
                    </a:xfrm>
                    <a:prstGeom prst="rect">
                      <a:avLst/>
                    </a:prstGeom>
                    <a:noFill/>
                    <a:ln>
                      <a:noFill/>
                    </a:ln>
                  </pic:spPr>
                </pic:pic>
              </a:graphicData>
            </a:graphic>
          </wp:inline>
        </w:drawing>
      </w:r>
    </w:p>
    <w:p w:rsidR="00741524" w:rsidRPr="0017657C" w:rsidRDefault="00741524" w:rsidP="0017657C">
      <w:pPr>
        <w:keepNext/>
        <w:keepLines/>
        <w:widowControl w:val="0"/>
        <w:spacing w:after="0" w:line="240" w:lineRule="auto"/>
        <w:ind w:left="1134" w:hanging="1134"/>
        <w:rPr>
          <w:rFonts w:ascii="Times New Roman" w:eastAsia="MS Mincho" w:hAnsi="Times New Roman" w:cs="Times New Roman"/>
          <w:lang w:val="sr-Latn-ME" w:eastAsia="zh-CN"/>
        </w:rPr>
      </w:pPr>
    </w:p>
    <w:p w:rsidR="00741524" w:rsidRPr="0017657C" w:rsidRDefault="00741524" w:rsidP="0017657C">
      <w:pPr>
        <w:keepNext/>
        <w:keepLines/>
        <w:widowControl w:val="0"/>
        <w:spacing w:after="0" w:line="240" w:lineRule="auto"/>
        <w:ind w:left="1134" w:hanging="1134"/>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Serija analiza PFS</w:t>
      </w:r>
      <w:r w:rsidRPr="0017657C">
        <w:rPr>
          <w:rFonts w:ascii="Times New Roman" w:eastAsia="MS Mincho" w:hAnsi="Times New Roman" w:cs="Times New Roman"/>
          <w:lang w:val="sr-Latn-ME" w:eastAsia="zh-CN"/>
        </w:rPr>
        <w:noBreakHyphen/>
        <w:t>a za unaprijed određene podgrupe sprovedena je na osnovu prognostičkih faktora i početnih karakteristika kako bi se istražila interna dosljednost terapijskog efekta. Uočeno je smanjenje rizika od progresije bolesti ili smrti u korist grupe koja je primala ribociklib sa letrozolom u svim pojedinačnim podgrupama pacijenata prema godinama, rasi, prethodnoj adjuvantnoj ili neoadjuvantnoj hemoterapiji ili hormonskim terapijama, zahvaćenosti jetre i/ili pluća i metastatskoj bolesti koja zahvata samo kosti. Ovo je bilo evidentno za pacijente sa metastazama na jetri i/ili plućima (HR od 0,561 [95% CI: 0,424; 0,743], medijana preživljavanja bez progresije [mPFS] 24,8 mjeseci za ribociklib sa letrozolom u odnosu na 13,4 mjeseca za sam letrozol), ili bez metastaza na jetri i/ili plućima (HR od 0,597 [95% CI: 0,426; 0,837], mPFS 27,6 mjeseci, u odnosu na 18,2 mjeseca).</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Ažurirani rezultati za stope ukupnog odgovora i kliničke koristi prikazani su u Tabeli 8.</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keepLines/>
        <w:widowControl w:val="0"/>
        <w:tabs>
          <w:tab w:val="left" w:pos="284"/>
        </w:tabs>
        <w:spacing w:after="0" w:line="240" w:lineRule="auto"/>
        <w:ind w:left="1134" w:hanging="1134"/>
        <w:jc w:val="both"/>
        <w:outlineLvl w:val="5"/>
        <w:rPr>
          <w:rFonts w:ascii="Times New Roman" w:eastAsia="Times New Roman" w:hAnsi="Times New Roman" w:cs="Times New Roman"/>
          <w:b/>
          <w:lang w:val="sr-Latn-ME"/>
        </w:rPr>
      </w:pPr>
      <w:bookmarkStart w:id="5" w:name="_Toc456680085"/>
    </w:p>
    <w:p w:rsidR="00741524" w:rsidRPr="0017657C" w:rsidRDefault="00741524" w:rsidP="0017657C">
      <w:pPr>
        <w:keepNext/>
        <w:keepLines/>
        <w:widowControl w:val="0"/>
        <w:tabs>
          <w:tab w:val="left" w:pos="284"/>
        </w:tabs>
        <w:spacing w:after="0" w:line="240" w:lineRule="auto"/>
        <w:ind w:left="1134" w:hanging="1134"/>
        <w:jc w:val="both"/>
        <w:outlineLvl w:val="5"/>
        <w:rPr>
          <w:rFonts w:ascii="Times New Roman" w:eastAsia="Times New Roman" w:hAnsi="Times New Roman" w:cs="Times New Roman"/>
          <w:b/>
          <w:lang w:val="sr-Latn-ME"/>
        </w:rPr>
      </w:pPr>
      <w:r w:rsidRPr="0017657C">
        <w:rPr>
          <w:rFonts w:ascii="Times New Roman" w:eastAsia="Times New Roman" w:hAnsi="Times New Roman" w:cs="Times New Roman"/>
          <w:b/>
          <w:lang w:val="sr-Latn-ME"/>
        </w:rPr>
        <w:t>Tabela 8</w:t>
      </w:r>
      <w:r w:rsidRPr="0017657C">
        <w:rPr>
          <w:rFonts w:ascii="Times New Roman" w:eastAsia="Times New Roman" w:hAnsi="Times New Roman" w:cs="Times New Roman"/>
          <w:b/>
          <w:lang w:val="sr-Latn-ME"/>
        </w:rPr>
        <w:tab/>
        <w:t>Rezultati efikasnosti u ispitivanju MONALEESA-2 (ORR, CBR) zasnovani na procjen</w:t>
      </w:r>
      <w:bookmarkEnd w:id="5"/>
      <w:r w:rsidRPr="0017657C">
        <w:rPr>
          <w:rFonts w:ascii="Times New Roman" w:eastAsia="Times New Roman" w:hAnsi="Times New Roman" w:cs="Times New Roman"/>
          <w:b/>
          <w:lang w:val="sr-Latn-ME"/>
        </w:rPr>
        <w:t>i istraživača  (datum presjeka 2. januar 2017)</w:t>
      </w:r>
    </w:p>
    <w:p w:rsidR="00741524" w:rsidRPr="0017657C" w:rsidRDefault="00741524" w:rsidP="0017657C">
      <w:pPr>
        <w:keepNext/>
        <w:keepLines/>
        <w:widowControl w:val="0"/>
        <w:spacing w:before="120" w:after="0" w:line="240" w:lineRule="auto"/>
        <w:rPr>
          <w:rFonts w:ascii="Times New Roman" w:eastAsia="MS Mincho" w:hAnsi="Times New Roman" w:cs="Times New Roman"/>
          <w:lang w:val="sr-Latn-ME"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4"/>
        <w:gridCol w:w="2343"/>
        <w:gridCol w:w="2341"/>
        <w:gridCol w:w="2339"/>
      </w:tblGrid>
      <w:tr w:rsidR="00741524" w:rsidRPr="0017657C" w:rsidTr="00741524">
        <w:tc>
          <w:tcPr>
            <w:tcW w:w="1349" w:type="pct"/>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Analiza</w:t>
            </w:r>
          </w:p>
        </w:tc>
        <w:tc>
          <w:tcPr>
            <w:tcW w:w="1218" w:type="pct"/>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Kisqali + letrozol</w:t>
            </w:r>
          </w:p>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b/>
                <w:lang w:val="sr-Latn-ME"/>
              </w:rPr>
              <w:t>(%, 95% CI)</w:t>
            </w:r>
          </w:p>
        </w:tc>
        <w:tc>
          <w:tcPr>
            <w:tcW w:w="1217" w:type="pct"/>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Placebo + letrozol</w:t>
            </w:r>
          </w:p>
          <w:p w:rsidR="00741524" w:rsidRPr="0017657C" w:rsidRDefault="00741524" w:rsidP="0017657C">
            <w:pPr>
              <w:keepNext/>
              <w:keepLines/>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b/>
                <w:lang w:val="sr-Latn-ME"/>
              </w:rPr>
              <w:t>(%, 95% CI)</w:t>
            </w:r>
          </w:p>
        </w:tc>
        <w:tc>
          <w:tcPr>
            <w:tcW w:w="1216" w:type="pct"/>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p</w:t>
            </w:r>
            <w:r w:rsidRPr="0017657C">
              <w:rPr>
                <w:rFonts w:ascii="Times New Roman" w:eastAsia="MS Mincho" w:hAnsi="Times New Roman" w:cs="Times New Roman"/>
                <w:b/>
                <w:lang w:val="sr-Latn-ME" w:eastAsia="zh-CN"/>
              </w:rPr>
              <w:noBreakHyphen/>
              <w:t>vrijednost</w:t>
            </w:r>
            <w:r w:rsidRPr="0017657C">
              <w:rPr>
                <w:rFonts w:ascii="Times New Roman" w:eastAsia="MS Mincho" w:hAnsi="Times New Roman" w:cs="Times New Roman"/>
                <w:b/>
                <w:vertAlign w:val="superscript"/>
                <w:lang w:val="sr-Latn-ME" w:eastAsia="zh-CN"/>
              </w:rPr>
              <w:t>c</w:t>
            </w:r>
          </w:p>
        </w:tc>
      </w:tr>
      <w:tr w:rsidR="00741524" w:rsidRPr="0017657C" w:rsidTr="00741524">
        <w:tc>
          <w:tcPr>
            <w:tcW w:w="1349" w:type="pct"/>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Potpuni set podataka za analizu</w:t>
            </w:r>
          </w:p>
        </w:tc>
        <w:tc>
          <w:tcPr>
            <w:tcW w:w="1218" w:type="pct"/>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N=334</w:t>
            </w:r>
          </w:p>
        </w:tc>
        <w:tc>
          <w:tcPr>
            <w:tcW w:w="1217" w:type="pct"/>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N=334</w:t>
            </w:r>
          </w:p>
        </w:tc>
        <w:tc>
          <w:tcPr>
            <w:tcW w:w="1216" w:type="pct"/>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p>
        </w:tc>
      </w:tr>
      <w:tr w:rsidR="00741524" w:rsidRPr="0017657C" w:rsidTr="00741524">
        <w:tc>
          <w:tcPr>
            <w:tcW w:w="1349" w:type="pct"/>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Stopa ukupnog odgovora</w:t>
            </w:r>
            <w:r w:rsidRPr="0017657C">
              <w:rPr>
                <w:rFonts w:ascii="Times New Roman" w:eastAsia="MS Mincho" w:hAnsi="Times New Roman" w:cs="Times New Roman"/>
                <w:b/>
                <w:vertAlign w:val="superscript"/>
                <w:lang w:val="sr-Latn-ME" w:eastAsia="zh-CN"/>
              </w:rPr>
              <w:t>a</w:t>
            </w:r>
          </w:p>
        </w:tc>
        <w:tc>
          <w:tcPr>
            <w:tcW w:w="1218" w:type="pct"/>
            <w:shd w:val="clear" w:color="auto" w:fill="auto"/>
          </w:tcPr>
          <w:p w:rsidR="00741524" w:rsidRPr="0017657C" w:rsidRDefault="00741524" w:rsidP="0017657C">
            <w:pPr>
              <w:keepNext/>
              <w:keepLines/>
              <w:widowControl w:val="0"/>
              <w:tabs>
                <w:tab w:val="left" w:pos="284"/>
              </w:tabs>
              <w:spacing w:after="0" w:line="240" w:lineRule="auto"/>
              <w:ind w:right="-135"/>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42,5 (37,2; 47,8)</w:t>
            </w:r>
          </w:p>
        </w:tc>
        <w:tc>
          <w:tcPr>
            <w:tcW w:w="1217" w:type="pct"/>
            <w:shd w:val="clear" w:color="auto" w:fill="auto"/>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28,7 (23,9; 33,6)</w:t>
            </w:r>
          </w:p>
        </w:tc>
        <w:tc>
          <w:tcPr>
            <w:tcW w:w="1216" w:type="pct"/>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9,18 × 10</w:t>
            </w:r>
            <w:r w:rsidRPr="0017657C">
              <w:rPr>
                <w:rFonts w:ascii="Times New Roman" w:eastAsia="MS Mincho" w:hAnsi="Times New Roman" w:cs="Times New Roman"/>
                <w:vertAlign w:val="superscript"/>
                <w:lang w:val="sr-Latn-ME" w:eastAsia="zh-CN"/>
              </w:rPr>
              <w:t>-5</w:t>
            </w:r>
            <w:r w:rsidRPr="0017657C">
              <w:rPr>
                <w:rFonts w:ascii="Times New Roman" w:eastAsia="MS Mincho" w:hAnsi="Times New Roman" w:cs="Times New Roman"/>
                <w:lang w:val="sr-Latn-ME" w:eastAsia="zh-CN"/>
              </w:rPr>
              <w:t> </w:t>
            </w:r>
          </w:p>
        </w:tc>
      </w:tr>
      <w:tr w:rsidR="00741524" w:rsidRPr="0017657C" w:rsidTr="00741524">
        <w:tc>
          <w:tcPr>
            <w:tcW w:w="1349" w:type="pct"/>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Stopa kliničke koristi</w:t>
            </w:r>
            <w:r w:rsidRPr="0017657C">
              <w:rPr>
                <w:rFonts w:ascii="Times New Roman" w:eastAsia="MS Mincho" w:hAnsi="Times New Roman" w:cs="Times New Roman"/>
                <w:b/>
                <w:vertAlign w:val="superscript"/>
                <w:lang w:val="sr-Latn-ME" w:eastAsia="zh-CN"/>
              </w:rPr>
              <w:t>b</w:t>
            </w:r>
          </w:p>
        </w:tc>
        <w:tc>
          <w:tcPr>
            <w:tcW w:w="1218" w:type="pct"/>
            <w:shd w:val="clear" w:color="auto" w:fill="auto"/>
          </w:tcPr>
          <w:p w:rsidR="00741524" w:rsidRPr="0017657C" w:rsidRDefault="00741524" w:rsidP="0017657C">
            <w:pPr>
              <w:keepNext/>
              <w:keepLines/>
              <w:widowControl w:val="0"/>
              <w:tabs>
                <w:tab w:val="left" w:pos="284"/>
              </w:tabs>
              <w:spacing w:after="0" w:line="240" w:lineRule="auto"/>
              <w:ind w:right="-135"/>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79,9 (75,6; 84,2)</w:t>
            </w:r>
          </w:p>
        </w:tc>
        <w:tc>
          <w:tcPr>
            <w:tcW w:w="1217" w:type="pct"/>
            <w:shd w:val="clear" w:color="auto" w:fill="auto"/>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73,1 (68,3; 77,8)</w:t>
            </w:r>
          </w:p>
        </w:tc>
        <w:tc>
          <w:tcPr>
            <w:tcW w:w="1216" w:type="pct"/>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0,018</w:t>
            </w:r>
          </w:p>
        </w:tc>
      </w:tr>
      <w:tr w:rsidR="00741524" w:rsidRPr="0017657C" w:rsidTr="00741524">
        <w:tc>
          <w:tcPr>
            <w:tcW w:w="1349" w:type="pct"/>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Pacijenti sa merljivom bolešću</w:t>
            </w:r>
          </w:p>
        </w:tc>
        <w:tc>
          <w:tcPr>
            <w:tcW w:w="1218" w:type="pct"/>
            <w:shd w:val="clear" w:color="auto" w:fill="auto"/>
          </w:tcPr>
          <w:p w:rsidR="00741524" w:rsidRPr="0017657C" w:rsidRDefault="00741524" w:rsidP="0017657C">
            <w:pPr>
              <w:keepNext/>
              <w:keepLines/>
              <w:widowControl w:val="0"/>
              <w:tabs>
                <w:tab w:val="left" w:pos="284"/>
              </w:tabs>
              <w:spacing w:after="0" w:line="240" w:lineRule="auto"/>
              <w:ind w:right="-135"/>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N=257</w:t>
            </w:r>
          </w:p>
        </w:tc>
        <w:tc>
          <w:tcPr>
            <w:tcW w:w="1217" w:type="pct"/>
            <w:shd w:val="clear" w:color="auto" w:fill="auto"/>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b/>
                <w:lang w:val="sr-Latn-ME" w:eastAsia="zh-CN"/>
              </w:rPr>
            </w:pPr>
            <w:r w:rsidRPr="0017657C">
              <w:rPr>
                <w:rFonts w:ascii="Times New Roman" w:eastAsia="MS Mincho" w:hAnsi="Times New Roman" w:cs="Times New Roman"/>
                <w:b/>
                <w:lang w:val="sr-Latn-ME" w:eastAsia="zh-CN"/>
              </w:rPr>
              <w:t>N=245</w:t>
            </w:r>
          </w:p>
        </w:tc>
        <w:tc>
          <w:tcPr>
            <w:tcW w:w="1216" w:type="pct"/>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p>
        </w:tc>
      </w:tr>
      <w:tr w:rsidR="00741524" w:rsidRPr="0017657C" w:rsidTr="00741524">
        <w:tc>
          <w:tcPr>
            <w:tcW w:w="1349" w:type="pct"/>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Stopa ukupnog odgovora</w:t>
            </w:r>
            <w:r w:rsidRPr="0017657C">
              <w:rPr>
                <w:rFonts w:ascii="Times New Roman" w:eastAsia="MS Mincho" w:hAnsi="Times New Roman" w:cs="Times New Roman"/>
                <w:b/>
                <w:vertAlign w:val="superscript"/>
                <w:lang w:val="sr-Latn-ME" w:eastAsia="zh-CN"/>
              </w:rPr>
              <w:t>a</w:t>
            </w:r>
          </w:p>
        </w:tc>
        <w:tc>
          <w:tcPr>
            <w:tcW w:w="1218" w:type="pct"/>
            <w:shd w:val="clear" w:color="auto" w:fill="auto"/>
          </w:tcPr>
          <w:p w:rsidR="00741524" w:rsidRPr="0017657C" w:rsidRDefault="00741524" w:rsidP="0017657C">
            <w:pPr>
              <w:keepNext/>
              <w:keepLines/>
              <w:widowControl w:val="0"/>
              <w:tabs>
                <w:tab w:val="left" w:pos="284"/>
              </w:tabs>
              <w:spacing w:after="0" w:line="240" w:lineRule="auto"/>
              <w:ind w:right="-135"/>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54,5 (48,4; 60,6)</w:t>
            </w:r>
          </w:p>
        </w:tc>
        <w:tc>
          <w:tcPr>
            <w:tcW w:w="1217" w:type="pct"/>
            <w:shd w:val="clear" w:color="auto" w:fill="auto"/>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38,8 (32,7; 44,9)</w:t>
            </w:r>
          </w:p>
        </w:tc>
        <w:tc>
          <w:tcPr>
            <w:tcW w:w="1216" w:type="pct"/>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2,54 × 10</w:t>
            </w:r>
            <w:r w:rsidRPr="0017657C">
              <w:rPr>
                <w:rFonts w:ascii="Times New Roman" w:eastAsia="MS Mincho" w:hAnsi="Times New Roman" w:cs="Times New Roman"/>
                <w:vertAlign w:val="superscript"/>
                <w:lang w:val="sr-Latn-ME" w:eastAsia="zh-CN"/>
              </w:rPr>
              <w:t>-4</w:t>
            </w:r>
          </w:p>
        </w:tc>
      </w:tr>
      <w:tr w:rsidR="00741524" w:rsidRPr="0017657C" w:rsidTr="00741524">
        <w:tc>
          <w:tcPr>
            <w:tcW w:w="1349" w:type="pct"/>
            <w:shd w:val="clear" w:color="auto" w:fill="auto"/>
          </w:tcPr>
          <w:p w:rsidR="00741524" w:rsidRPr="0017657C" w:rsidRDefault="00741524" w:rsidP="0017657C">
            <w:pPr>
              <w:keepNext/>
              <w:keepLines/>
              <w:widowControl w:val="0"/>
              <w:tabs>
                <w:tab w:val="left" w:pos="284"/>
              </w:tabs>
              <w:spacing w:after="0" w:line="240" w:lineRule="auto"/>
              <w:rPr>
                <w:rFonts w:ascii="Times New Roman" w:eastAsia="MS Mincho" w:hAnsi="Times New Roman" w:cs="Times New Roman"/>
                <w:lang w:val="sr-Latn-ME" w:eastAsia="zh-CN"/>
              </w:rPr>
            </w:pPr>
            <w:r w:rsidRPr="0017657C">
              <w:rPr>
                <w:rFonts w:ascii="Times New Roman" w:eastAsia="MS Mincho" w:hAnsi="Times New Roman" w:cs="Times New Roman"/>
                <w:b/>
                <w:lang w:val="sr-Latn-ME" w:eastAsia="zh-CN"/>
              </w:rPr>
              <w:t>Stopa kliničke koristi</w:t>
            </w:r>
            <w:r w:rsidRPr="0017657C">
              <w:rPr>
                <w:rFonts w:ascii="Times New Roman" w:eastAsia="MS Mincho" w:hAnsi="Times New Roman" w:cs="Times New Roman"/>
                <w:b/>
                <w:vertAlign w:val="superscript"/>
                <w:lang w:val="sr-Latn-ME" w:eastAsia="zh-CN"/>
              </w:rPr>
              <w:t>b</w:t>
            </w:r>
            <w:r w:rsidRPr="0017657C">
              <w:rPr>
                <w:rFonts w:ascii="Times New Roman" w:eastAsia="MS Mincho" w:hAnsi="Times New Roman" w:cs="Times New Roman"/>
                <w:b/>
                <w:lang w:val="sr-Latn-ME" w:eastAsia="zh-CN"/>
              </w:rPr>
              <w:t xml:space="preserve"> </w:t>
            </w:r>
          </w:p>
        </w:tc>
        <w:tc>
          <w:tcPr>
            <w:tcW w:w="1218" w:type="pct"/>
            <w:shd w:val="clear" w:color="auto" w:fill="auto"/>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80,2 (75,3; 85,0)</w:t>
            </w:r>
          </w:p>
        </w:tc>
        <w:tc>
          <w:tcPr>
            <w:tcW w:w="1217" w:type="pct"/>
            <w:shd w:val="clear" w:color="auto" w:fill="auto"/>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71,8 (66,2; 77,5)</w:t>
            </w:r>
          </w:p>
        </w:tc>
        <w:tc>
          <w:tcPr>
            <w:tcW w:w="1216" w:type="pct"/>
          </w:tcPr>
          <w:p w:rsidR="00741524" w:rsidRPr="0017657C" w:rsidRDefault="00741524" w:rsidP="0017657C">
            <w:pPr>
              <w:keepNext/>
              <w:keepLines/>
              <w:widowControl w:val="0"/>
              <w:tabs>
                <w:tab w:val="left" w:pos="284"/>
              </w:tabs>
              <w:spacing w:after="0" w:line="240" w:lineRule="auto"/>
              <w:ind w:right="-102"/>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0,018</w:t>
            </w:r>
          </w:p>
        </w:tc>
      </w:tr>
      <w:tr w:rsidR="00741524" w:rsidRPr="0017657C" w:rsidTr="00741524">
        <w:trPr>
          <w:trHeight w:val="1021"/>
        </w:trPr>
        <w:tc>
          <w:tcPr>
            <w:tcW w:w="5000" w:type="pct"/>
            <w:gridSpan w:val="4"/>
            <w:shd w:val="clear" w:color="auto" w:fill="auto"/>
          </w:tcPr>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vertAlign w:val="superscript"/>
                <w:lang w:val="sr-Latn-ME" w:eastAsia="zh-CN"/>
              </w:rPr>
              <w:t>a</w:t>
            </w:r>
            <w:r w:rsidRPr="0017657C">
              <w:rPr>
                <w:rFonts w:ascii="Times New Roman" w:eastAsia="MS Mincho" w:hAnsi="Times New Roman" w:cs="Times New Roman"/>
                <w:lang w:val="sr-Latn-ME" w:eastAsia="zh-CN"/>
              </w:rPr>
              <w:t xml:space="preserve"> ORR (engl. </w:t>
            </w:r>
            <w:r w:rsidRPr="0017657C">
              <w:rPr>
                <w:rFonts w:ascii="Times New Roman" w:eastAsia="MS Mincho" w:hAnsi="Times New Roman" w:cs="Times New Roman"/>
                <w:i/>
                <w:lang w:val="sr-Latn-ME" w:eastAsia="zh-CN"/>
              </w:rPr>
              <w:t>overall response rate</w:t>
            </w:r>
            <w:r w:rsidRPr="0017657C">
              <w:rPr>
                <w:rFonts w:ascii="Times New Roman" w:eastAsia="MS Mincho" w:hAnsi="Times New Roman" w:cs="Times New Roman"/>
                <w:lang w:val="sr-Latn-ME" w:eastAsia="zh-CN"/>
              </w:rPr>
              <w:t>): Stopa ukupnog odgovora = procenat pacijenata sa potpunim odgovorom + djelimičnim odgovorom</w:t>
            </w:r>
          </w:p>
          <w:p w:rsidR="00741524" w:rsidRPr="0017657C" w:rsidRDefault="00741524" w:rsidP="0017657C">
            <w:pPr>
              <w:keepNext/>
              <w:keepLines/>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vertAlign w:val="superscript"/>
                <w:lang w:val="sr-Latn-ME" w:eastAsia="zh-CN"/>
              </w:rPr>
              <w:t>b</w:t>
            </w:r>
            <w:r w:rsidRPr="0017657C">
              <w:rPr>
                <w:rFonts w:ascii="Times New Roman" w:eastAsia="MS Mincho" w:hAnsi="Times New Roman" w:cs="Times New Roman"/>
                <w:lang w:val="sr-Latn-ME" w:eastAsia="zh-CN"/>
              </w:rPr>
              <w:t xml:space="preserve"> CBR (engl. </w:t>
            </w:r>
            <w:r w:rsidRPr="0017657C">
              <w:rPr>
                <w:rFonts w:ascii="Times New Roman" w:eastAsia="MS Mincho" w:hAnsi="Times New Roman" w:cs="Times New Roman"/>
                <w:i/>
                <w:lang w:val="sr-Latn-ME" w:eastAsia="zh-CN"/>
              </w:rPr>
              <w:t>clinical benefit rate</w:t>
            </w:r>
            <w:r w:rsidRPr="0017657C">
              <w:rPr>
                <w:rFonts w:ascii="Times New Roman" w:eastAsia="MS Mincho" w:hAnsi="Times New Roman" w:cs="Times New Roman"/>
                <w:lang w:val="sr-Latn-ME" w:eastAsia="zh-CN"/>
              </w:rPr>
              <w:t>): Stopa kliničke koristi = procenat pacijenata sa potpunim odgovorom + djelimičnim odgovorom (+ stabilna bolest ili nepotpuni odgovor/neprogresivna bolest ≥24 nedjelja)</w:t>
            </w:r>
          </w:p>
          <w:p w:rsidR="00741524" w:rsidRPr="0017657C" w:rsidRDefault="00741524" w:rsidP="0017657C">
            <w:pPr>
              <w:keepNext/>
              <w:keepLines/>
              <w:widowControl w:val="0"/>
              <w:tabs>
                <w:tab w:val="left" w:pos="284"/>
              </w:tabs>
              <w:spacing w:after="0" w:line="240" w:lineRule="auto"/>
              <w:ind w:right="-102"/>
              <w:jc w:val="both"/>
              <w:rPr>
                <w:rFonts w:ascii="Times New Roman" w:eastAsia="MS Mincho" w:hAnsi="Times New Roman" w:cs="Times New Roman"/>
                <w:lang w:val="sr-Latn-ME" w:eastAsia="zh-CN"/>
              </w:rPr>
            </w:pPr>
            <w:r w:rsidRPr="0017657C">
              <w:rPr>
                <w:rFonts w:ascii="Times New Roman" w:eastAsia="MS Mincho" w:hAnsi="Times New Roman" w:cs="Times New Roman"/>
                <w:vertAlign w:val="superscript"/>
                <w:lang w:val="sr-Latn-ME" w:eastAsia="zh-CN"/>
              </w:rPr>
              <w:t>c</w:t>
            </w:r>
            <w:r w:rsidRPr="0017657C">
              <w:rPr>
                <w:rFonts w:ascii="Times New Roman" w:eastAsia="MS Mincho" w:hAnsi="Times New Roman" w:cs="Times New Roman"/>
                <w:lang w:val="sr-Latn-ME" w:eastAsia="zh-CN"/>
              </w:rPr>
              <w:t xml:space="preserve"> p</w:t>
            </w:r>
            <w:r w:rsidRPr="0017657C">
              <w:rPr>
                <w:rFonts w:ascii="Times New Roman" w:eastAsia="MS Mincho" w:hAnsi="Times New Roman" w:cs="Times New Roman"/>
                <w:lang w:val="sr-Latn-ME" w:eastAsia="zh-CN"/>
              </w:rPr>
              <w:noBreakHyphen/>
              <w:t xml:space="preserve">vrijednosti dobijene su iz jednostranog </w:t>
            </w:r>
            <w:r w:rsidRPr="0017657C">
              <w:rPr>
                <w:rFonts w:ascii="Times New Roman" w:eastAsia="MS Mincho" w:hAnsi="Times New Roman" w:cs="Times New Roman"/>
                <w:i/>
                <w:lang w:val="sr-Latn-ME" w:eastAsia="zh-CN"/>
              </w:rPr>
              <w:t>Cochran-Mantel-Haenszelovog</w:t>
            </w:r>
            <w:r w:rsidRPr="0017657C">
              <w:rPr>
                <w:rFonts w:ascii="Times New Roman" w:eastAsia="MS Mincho" w:hAnsi="Times New Roman" w:cs="Times New Roman"/>
                <w:lang w:val="sr-Latn-ME" w:eastAsia="zh-CN"/>
              </w:rPr>
              <w:t xml:space="preserve"> hi-kvadrat testa</w:t>
            </w:r>
          </w:p>
        </w:tc>
      </w:tr>
    </w:tbl>
    <w:p w:rsidR="00741524" w:rsidRPr="0017657C" w:rsidRDefault="00741524" w:rsidP="0017657C">
      <w:pPr>
        <w:widowControl w:val="0"/>
        <w:spacing w:after="0" w:line="240" w:lineRule="auto"/>
        <w:rPr>
          <w:rFonts w:ascii="Times New Roman" w:eastAsia="MS Mincho" w:hAnsi="Times New Roman" w:cs="Times New Roman"/>
          <w:lang w:val="sr-Latn-ME" w:eastAsia="zh-CN"/>
        </w:rPr>
      </w:pPr>
    </w:p>
    <w:p w:rsidR="00741524" w:rsidRPr="0017657C" w:rsidRDefault="00741524" w:rsidP="0017657C">
      <w:pPr>
        <w:keepNext/>
        <w:widowControl w:val="0"/>
        <w:spacing w:after="0" w:line="240" w:lineRule="auto"/>
        <w:jc w:val="both"/>
        <w:rPr>
          <w:rFonts w:ascii="Times New Roman" w:eastAsia="Times New Roman" w:hAnsi="Times New Roman" w:cs="Times New Roman"/>
          <w:bCs/>
          <w:iCs/>
          <w:lang w:val="sr-Latn-ME"/>
        </w:rPr>
      </w:pPr>
      <w:r w:rsidRPr="0017657C">
        <w:rPr>
          <w:rFonts w:ascii="Times New Roman" w:eastAsia="Times New Roman" w:hAnsi="Times New Roman" w:cs="Times New Roman"/>
          <w:bCs/>
          <w:iCs/>
          <w:u w:val="single"/>
          <w:lang w:val="sr-Latn-ME"/>
        </w:rPr>
        <w:t>Pedijatrijska populacija</w:t>
      </w:r>
    </w:p>
    <w:p w:rsidR="00741524" w:rsidRPr="0017657C" w:rsidRDefault="00741524" w:rsidP="0017657C">
      <w:pPr>
        <w:keepNext/>
        <w:widowControl w:val="0"/>
        <w:spacing w:after="0" w:line="240" w:lineRule="auto"/>
        <w:ind w:left="567" w:hanging="567"/>
        <w:jc w:val="both"/>
        <w:outlineLvl w:val="0"/>
        <w:rPr>
          <w:rFonts w:ascii="Times New Roman" w:eastAsia="Times New Roman" w:hAnsi="Times New Roman" w:cs="Times New Roman"/>
          <w:iCs/>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Evropska agencija za ljekove izuzela je obavezu podnošenja rezultata ispitivanja lijeka Kisqali u svim podgrupama pedijatrijske populacije za karcinom dojke (vidjeti odjeljak 4.2 za informacije o pedijatrijskoj primjeni).</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5.2. </w:t>
      </w:r>
      <w:r w:rsidRPr="0017657C">
        <w:rPr>
          <w:rFonts w:ascii="Times New Roman" w:eastAsia="Times New Roman" w:hAnsi="Times New Roman" w:cs="Times New Roman"/>
          <w:b/>
          <w:bCs/>
          <w:lang w:val="sr-Latn-ME"/>
        </w:rPr>
        <w:tab/>
        <w:t>Farmakokinetički podaci</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Farmakokinetika ribocikliba ispitivana je kod pacijenata sa uznapredovalim karcinomom nakon oralnih svakodnevnih doza od 50 mg do 1200 mg. Zdravi ispitanici primali su pojedinačne oralne doze u rasponu od 400 mg do 600 mg ili ponovljene dnevne doze (8 dana) od 400 mg.</w:t>
      </w: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Resorpcija</w:t>
      </w:r>
    </w:p>
    <w:p w:rsidR="00741524" w:rsidRPr="0017657C" w:rsidRDefault="00741524" w:rsidP="0017657C">
      <w:pPr>
        <w:keepNext/>
        <w:widowControl w:val="0"/>
        <w:tabs>
          <w:tab w:val="left" w:pos="720"/>
        </w:tabs>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tabs>
          <w:tab w:val="left" w:pos="1304"/>
        </w:tabs>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Apsolutna bioraspoloživost ribocikliba nije poznata.</w:t>
      </w: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Vrijeme do postizanja C</w:t>
      </w:r>
      <w:r w:rsidRPr="0017657C">
        <w:rPr>
          <w:rFonts w:ascii="Times New Roman" w:eastAsia="Times New Roman" w:hAnsi="Times New Roman" w:cs="Times New Roman"/>
          <w:vertAlign w:val="subscript"/>
          <w:lang w:val="sr-Latn-ME"/>
        </w:rPr>
        <w:t>max</w:t>
      </w:r>
      <w:r w:rsidRPr="0017657C">
        <w:rPr>
          <w:rFonts w:ascii="Times New Roman" w:eastAsia="Times New Roman" w:hAnsi="Times New Roman" w:cs="Times New Roman"/>
          <w:lang w:val="sr-Latn-ME"/>
        </w:rPr>
        <w:t xml:space="preserve"> (T</w:t>
      </w:r>
      <w:r w:rsidRPr="0017657C">
        <w:rPr>
          <w:rFonts w:ascii="Times New Roman" w:eastAsia="Times New Roman" w:hAnsi="Times New Roman" w:cs="Times New Roman"/>
          <w:vertAlign w:val="subscript"/>
          <w:lang w:val="sr-Latn-ME"/>
        </w:rPr>
        <w:t>max</w:t>
      </w:r>
      <w:r w:rsidRPr="0017657C">
        <w:rPr>
          <w:rFonts w:ascii="Times New Roman" w:eastAsia="Times New Roman" w:hAnsi="Times New Roman" w:cs="Times New Roman"/>
          <w:lang w:val="sr-Latn-ME"/>
        </w:rPr>
        <w:t>) nakon oralne primjene ribocikliba bilo je između 1 i 4 sata. Ribociklib je pokazao povećanja izloženosti (C</w:t>
      </w:r>
      <w:r w:rsidRPr="0017657C">
        <w:rPr>
          <w:rFonts w:ascii="Times New Roman" w:eastAsia="Times New Roman" w:hAnsi="Times New Roman" w:cs="Times New Roman"/>
          <w:vertAlign w:val="subscript"/>
          <w:lang w:val="sr-Latn-ME"/>
        </w:rPr>
        <w:t>max</w:t>
      </w:r>
      <w:r w:rsidRPr="0017657C">
        <w:rPr>
          <w:rFonts w:ascii="Times New Roman" w:eastAsia="Times New Roman" w:hAnsi="Times New Roman" w:cs="Times New Roman"/>
          <w:lang w:val="sr-Latn-ME"/>
        </w:rPr>
        <w:t xml:space="preserve"> i PIK) neznatno veća od proporcionalnih u ispitivanom rasponu doza (50 do 1200 mg). Nakon ponovljenog doziranja jednom dnevno, ravnotežno stanje uopšteno je bilo postignuto nakon 8 dana, a ribociklib se akumulirao uz geometrijsku srednju vrijednost stope akumulacije od 2,51 (raspon: 0,97 do 6,40).</w:t>
      </w:r>
    </w:p>
    <w:p w:rsidR="00741524" w:rsidRDefault="00741524" w:rsidP="0017657C">
      <w:pPr>
        <w:widowControl w:val="0"/>
        <w:spacing w:after="0" w:line="240" w:lineRule="auto"/>
        <w:jc w:val="both"/>
        <w:outlineLvl w:val="0"/>
        <w:rPr>
          <w:rFonts w:ascii="Times New Roman" w:eastAsia="Times New Roman" w:hAnsi="Times New Roman" w:cs="Times New Roman"/>
          <w:lang w:val="sr-Latn-ME"/>
        </w:rPr>
      </w:pPr>
    </w:p>
    <w:p w:rsidR="00A26794" w:rsidRPr="0017657C" w:rsidRDefault="00A2679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lastRenderedPageBreak/>
        <w:t>Efekat hrane</w:t>
      </w:r>
    </w:p>
    <w:p w:rsidR="00741524" w:rsidRPr="0017657C" w:rsidRDefault="00741524" w:rsidP="0017657C">
      <w:pPr>
        <w:widowControl w:val="0"/>
        <w:numPr>
          <w:ilvl w:val="12"/>
          <w:numId w:val="0"/>
        </w:numPr>
        <w:spacing w:after="0" w:line="240" w:lineRule="auto"/>
        <w:ind w:right="-2"/>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U poređenju sa stanjem natašte, oralna primjena pojedinačne doze film tableta od 600 mg ribocikliba uz obrok sa visokim udjelom masti i visokom kalorijskom vrijednošću nije uticala na brzinu i obim resorpcije ribocikliba.</w:t>
      </w:r>
    </w:p>
    <w:p w:rsidR="00741524" w:rsidRPr="0017657C" w:rsidRDefault="00741524" w:rsidP="0017657C">
      <w:pPr>
        <w:widowControl w:val="0"/>
        <w:numPr>
          <w:ilvl w:val="12"/>
          <w:numId w:val="0"/>
        </w:numPr>
        <w:spacing w:after="0" w:line="240" w:lineRule="auto"/>
        <w:ind w:right="-2"/>
        <w:jc w:val="both"/>
        <w:rPr>
          <w:rFonts w:ascii="Times New Roman" w:eastAsia="Times New Roman" w:hAnsi="Times New Roman" w:cs="Times New Roman"/>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Distribucija</w:t>
      </w: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numPr>
          <w:ilvl w:val="12"/>
          <w:numId w:val="0"/>
        </w:numPr>
        <w:spacing w:after="0" w:line="240" w:lineRule="auto"/>
        <w:ind w:right="-2"/>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 xml:space="preserve">Vezivanje ribocikliba za proteine ljudske plazme </w:t>
      </w:r>
      <w:r w:rsidRPr="0017657C">
        <w:rPr>
          <w:rFonts w:ascii="Times New Roman" w:eastAsia="Times New Roman" w:hAnsi="Times New Roman" w:cs="Times New Roman"/>
          <w:i/>
          <w:lang w:val="sr-Latn-ME"/>
        </w:rPr>
        <w:t>in vitro</w:t>
      </w:r>
      <w:r w:rsidRPr="0017657C">
        <w:rPr>
          <w:rFonts w:ascii="Times New Roman" w:eastAsia="Times New Roman" w:hAnsi="Times New Roman" w:cs="Times New Roman"/>
          <w:lang w:val="sr-Latn-ME"/>
        </w:rPr>
        <w:t xml:space="preserve"> iznosilo je oko 70% i bilo je nezavisno od koncentracije (10 do 10 000 nanograma/ml). Ribociklib je bio jednako raspodijeljen između crvenih krvnih ćelija i plazme uz srednji </w:t>
      </w:r>
      <w:r w:rsidRPr="0017657C">
        <w:rPr>
          <w:rFonts w:ascii="Times New Roman" w:eastAsia="Times New Roman" w:hAnsi="Times New Roman" w:cs="Times New Roman"/>
          <w:i/>
          <w:lang w:val="sr-Latn-ME"/>
        </w:rPr>
        <w:t>in vivo</w:t>
      </w:r>
      <w:r w:rsidRPr="0017657C">
        <w:rPr>
          <w:rFonts w:ascii="Times New Roman" w:eastAsia="Times New Roman" w:hAnsi="Times New Roman" w:cs="Times New Roman"/>
          <w:lang w:val="sr-Latn-ME"/>
        </w:rPr>
        <w:t xml:space="preserve"> odnos krv-plazma od 1,04. Prividni volumen distribucije u ravnotežnom stanju (Vss/F) bio je 1090 l na osnovu popula</w:t>
      </w:r>
      <w:r w:rsidR="00A26794">
        <w:rPr>
          <w:rFonts w:ascii="Times New Roman" w:eastAsia="Times New Roman" w:hAnsi="Times New Roman" w:cs="Times New Roman"/>
          <w:lang w:val="sr-Latn-ME"/>
        </w:rPr>
        <w:t>cione farmakokinetičke analize.</w:t>
      </w: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u w:val="single"/>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Biotransformacija</w:t>
      </w: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i/>
          <w:lang w:val="sr-Latn-ME" w:eastAsia="zh-CN"/>
        </w:rPr>
        <w:t>In vitro</w:t>
      </w:r>
      <w:r w:rsidRPr="0017657C">
        <w:rPr>
          <w:rFonts w:ascii="Times New Roman" w:eastAsia="MS Mincho" w:hAnsi="Times New Roman" w:cs="Times New Roman"/>
          <w:lang w:val="sr-Latn-ME" w:eastAsia="zh-CN"/>
        </w:rPr>
        <w:t xml:space="preserve"> i </w:t>
      </w:r>
      <w:r w:rsidRPr="0017657C">
        <w:rPr>
          <w:rFonts w:ascii="Times New Roman" w:eastAsia="MS Mincho" w:hAnsi="Times New Roman" w:cs="Times New Roman"/>
          <w:i/>
          <w:lang w:val="sr-Latn-ME" w:eastAsia="zh-CN"/>
        </w:rPr>
        <w:t>in vivo</w:t>
      </w:r>
      <w:r w:rsidRPr="0017657C">
        <w:rPr>
          <w:rFonts w:ascii="Times New Roman" w:eastAsia="MS Mincho" w:hAnsi="Times New Roman" w:cs="Times New Roman"/>
          <w:lang w:val="sr-Latn-ME" w:eastAsia="zh-CN"/>
        </w:rPr>
        <w:t xml:space="preserve"> ispitivanja ukazala su na to da se ribociklib kod ljudi eliminiše primarno putem hepatičkog metabolizma uglavnom putem CYP3A4. Nakon oralne primjene pojedinačne doze od 600 mg [</w:t>
      </w:r>
      <w:r w:rsidRPr="0017657C">
        <w:rPr>
          <w:rFonts w:ascii="Times New Roman" w:eastAsia="MS Mincho" w:hAnsi="Times New Roman" w:cs="Times New Roman"/>
          <w:vertAlign w:val="superscript"/>
          <w:lang w:val="sr-Latn-ME" w:eastAsia="zh-CN"/>
        </w:rPr>
        <w:t>14</w:t>
      </w:r>
      <w:r w:rsidRPr="0017657C">
        <w:rPr>
          <w:rFonts w:ascii="Times New Roman" w:eastAsia="MS Mincho" w:hAnsi="Times New Roman" w:cs="Times New Roman"/>
          <w:lang w:val="sr-Latn-ME" w:eastAsia="zh-CN"/>
        </w:rPr>
        <w:t>C] ribocikliba kod ljudi, primarni metabolički putevi za ribociklib uključivali su oksidaciju (dealkilaciju, C i/ili N</w:t>
      </w:r>
      <w:r w:rsidRPr="0017657C">
        <w:rPr>
          <w:rFonts w:ascii="Times New Roman" w:eastAsia="MS Mincho" w:hAnsi="Times New Roman" w:cs="Times New Roman"/>
          <w:lang w:val="sr-Latn-ME" w:eastAsia="zh-CN"/>
        </w:rPr>
        <w:noBreakHyphen/>
        <w:t>oksigenaciju, oksidaciju (-2H)) i njihove kombinacije. Konjugati faze II metabolita ribocikliba faze I uključivali su N</w:t>
      </w:r>
      <w:r w:rsidRPr="0017657C">
        <w:rPr>
          <w:rFonts w:ascii="Times New Roman" w:eastAsia="MS Mincho" w:hAnsi="Times New Roman" w:cs="Times New Roman"/>
          <w:lang w:val="sr-Latn-ME" w:eastAsia="zh-CN"/>
        </w:rPr>
        <w:noBreakHyphen/>
        <w:t>acetilovanje, sulfonovanje, konjugaciju cisteina, glikozilaciju i glukuronidaciju. Ribociklib je bio glavno cirkulišuće jedinjenje u plazmi nastalo iz lijeka. Glavni cirkulišući metaboliti uključivali su metabolit M13 (CCI284, N</w:t>
      </w:r>
      <w:r w:rsidRPr="0017657C">
        <w:rPr>
          <w:rFonts w:ascii="Times New Roman" w:eastAsia="MS Mincho" w:hAnsi="Times New Roman" w:cs="Times New Roman"/>
          <w:lang w:val="sr-Latn-ME" w:eastAsia="zh-CN"/>
        </w:rPr>
        <w:noBreakHyphen/>
        <w:t>hidroksilacija), M4 (LEQ803, N</w:t>
      </w:r>
      <w:r w:rsidRPr="0017657C">
        <w:rPr>
          <w:rFonts w:ascii="Times New Roman" w:eastAsia="MS Mincho" w:hAnsi="Times New Roman" w:cs="Times New Roman"/>
          <w:lang w:val="sr-Latn-ME" w:eastAsia="zh-CN"/>
        </w:rPr>
        <w:noBreakHyphen/>
        <w:t>demetilacija) i M1 (sekundarni glukuronid). Klinička aktivnost (farmakološka i bezbjednosna) ribocikliba je primarno od osnovnog lijeka, uz zanemarljiv doprinos cirkulišućih metabolita</w:t>
      </w:r>
      <w:r w:rsidRPr="0017657C">
        <w:rPr>
          <w:rFonts w:ascii="Times New Roman" w:eastAsia="MS Mincho" w:hAnsi="Times New Roman" w:cs="Times New Roman"/>
          <w:color w:val="000000"/>
          <w:lang w:val="sr-Latn-ME" w:eastAsia="zh-CN"/>
        </w:rPr>
        <w:t>.</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Ribociklib se ekstenzivno metabolisao, pri čemu je nepromijenjeni lijek predstavljao 17,3% doze u fecesu, odnosno 12,1% doze u urinu. Metabolit LEQ803 bio je značajan metabolit u ekskretima i predstavljao je oko 13,9% primiijenjene doze u fecesu, odnosno 3,74% primijenjene doze u urinu. Brojni drugi metaboliti bili su detektovani i u fecesu i u urinu u manjim količinama (≤2,78% primijenjene doze).</w:t>
      </w:r>
    </w:p>
    <w:p w:rsidR="00741524" w:rsidRPr="0017657C" w:rsidRDefault="00741524" w:rsidP="0017657C">
      <w:pPr>
        <w:widowControl w:val="0"/>
        <w:numPr>
          <w:ilvl w:val="12"/>
          <w:numId w:val="0"/>
        </w:numPr>
        <w:spacing w:after="0" w:line="240" w:lineRule="auto"/>
        <w:ind w:right="-2"/>
        <w:jc w:val="both"/>
        <w:rPr>
          <w:rFonts w:ascii="Times New Roman" w:eastAsia="Times New Roman" w:hAnsi="Times New Roman" w:cs="Times New Roman"/>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Eliminacija</w:t>
      </w: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Geometrijska srednja vrijednost efektivnog poluvremena eliminacije u plazmi (zasnovanu na stopi akumulacije) bila je 32,0 sata (63% CV), a geometrijska srednja vrijednost prividnog oralnog klirensa (CL/F) bila je 25,5 l/h (66% CV) u ravnotežnom stanju uz 600 mg kod pacijenata sa uznapredovalim karcinomom. Geometrijska srednja vrijednost prividnog terminalnog poluvremena eliminacije (T</w:t>
      </w:r>
      <w:r w:rsidRPr="0017657C">
        <w:rPr>
          <w:rFonts w:ascii="Times New Roman" w:eastAsia="MS Mincho" w:hAnsi="Times New Roman" w:cs="Times New Roman"/>
          <w:vertAlign w:val="subscript"/>
          <w:lang w:val="sr-Latn-ME" w:eastAsia="zh-CN"/>
        </w:rPr>
        <w:t>1/2</w:t>
      </w:r>
      <w:r w:rsidRPr="0017657C">
        <w:rPr>
          <w:rFonts w:ascii="Times New Roman" w:eastAsia="MS Mincho" w:hAnsi="Times New Roman" w:cs="Times New Roman"/>
          <w:lang w:val="sr-Latn-ME" w:eastAsia="zh-CN"/>
        </w:rPr>
        <w:t>) ribocikliba u plazmi kretala se u rasponu od 29,7 do 54,7 sati, a geometrijska srednja vrijednost CL/F ribocikliba bila je u rasponu od 39,9 do 77,5 l/h uz 600 mg u svim ispitivanjima zdravih ispitanika.</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Ribociklib i njegovi metaboliti se eliminišu uglavnom fecesom, a malim dijelom putem bubrega. Kod 6 zdravih muških ispitanika, nakon pojedinačne oralne doze [</w:t>
      </w:r>
      <w:r w:rsidRPr="0017657C">
        <w:rPr>
          <w:rFonts w:ascii="Times New Roman" w:eastAsia="MS Mincho" w:hAnsi="Times New Roman" w:cs="Times New Roman"/>
          <w:vertAlign w:val="superscript"/>
          <w:lang w:val="sr-Latn-ME" w:eastAsia="zh-CN"/>
        </w:rPr>
        <w:t>14</w:t>
      </w:r>
      <w:r w:rsidRPr="0017657C">
        <w:rPr>
          <w:rFonts w:ascii="Times New Roman" w:eastAsia="MS Mincho" w:hAnsi="Times New Roman" w:cs="Times New Roman"/>
          <w:lang w:val="sr-Latn-ME" w:eastAsia="zh-CN"/>
        </w:rPr>
        <w:t>C] ribocikliba, 91,7% ukupne primijenjene radioaktivne doze izlučilo se tokom 22 dana; feces je bio glavni put eliminacije (69,1%), a 22,6% doze eliminisalo se urinom.</w:t>
      </w:r>
    </w:p>
    <w:p w:rsidR="00741524" w:rsidRPr="0017657C" w:rsidRDefault="00741524" w:rsidP="0017657C">
      <w:pPr>
        <w:widowControl w:val="0"/>
        <w:numPr>
          <w:ilvl w:val="12"/>
          <w:numId w:val="0"/>
        </w:numPr>
        <w:spacing w:after="0" w:line="240" w:lineRule="auto"/>
        <w:ind w:right="-2"/>
        <w:jc w:val="both"/>
        <w:rPr>
          <w:rFonts w:ascii="Times New Roman" w:eastAsia="Times New Roman" w:hAnsi="Times New Roman" w:cs="Times New Roman"/>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u w:val="single"/>
          <w:lang w:val="sr-Latn-ME"/>
        </w:rPr>
        <w:t>Linearnost</w:t>
      </w:r>
      <w:r w:rsidRPr="0017657C">
        <w:rPr>
          <w:rFonts w:ascii="Times New Roman" w:eastAsia="Times New Roman" w:hAnsi="Times New Roman" w:cs="Times New Roman"/>
          <w:iCs/>
          <w:u w:val="single"/>
          <w:lang w:val="sr-Latn-ME"/>
        </w:rPr>
        <w:t>/nelinearnost</w:t>
      </w:r>
    </w:p>
    <w:p w:rsidR="00A26794" w:rsidRPr="0017657C" w:rsidRDefault="00A26794" w:rsidP="0017657C">
      <w:pPr>
        <w:keepNext/>
        <w:widowControl w:val="0"/>
        <w:numPr>
          <w:ilvl w:val="12"/>
          <w:numId w:val="0"/>
        </w:numPr>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Ribociklib je pokazao neznatno veća povećanja izloženosti (C</w:t>
      </w:r>
      <w:r w:rsidRPr="0017657C">
        <w:rPr>
          <w:rFonts w:ascii="Times New Roman" w:eastAsia="Times New Roman" w:hAnsi="Times New Roman" w:cs="Times New Roman"/>
          <w:vertAlign w:val="subscript"/>
          <w:lang w:val="sr-Latn-ME"/>
        </w:rPr>
        <w:t>max</w:t>
      </w:r>
      <w:r w:rsidRPr="0017657C">
        <w:rPr>
          <w:rFonts w:ascii="Times New Roman" w:eastAsia="Times New Roman" w:hAnsi="Times New Roman" w:cs="Times New Roman"/>
          <w:lang w:val="sr-Latn-ME"/>
        </w:rPr>
        <w:t xml:space="preserve"> i PIK) od proporcionalnih u rasponu doze od 50 mg do 1200 mg i nakon pojedinačne doze i nakon ponovljenih doza. Ova analiza je ograničena malom </w:t>
      </w:r>
      <w:r w:rsidRPr="0017657C">
        <w:rPr>
          <w:rFonts w:ascii="Times New Roman" w:eastAsia="Times New Roman" w:hAnsi="Times New Roman" w:cs="Times New Roman"/>
          <w:lang w:val="sr-Latn-ME"/>
        </w:rPr>
        <w:lastRenderedPageBreak/>
        <w:t>veličinom uzorka za većinu kohorti prema dozama, pri čemu većina podataka dolazi iz kohorte koja je primala dozu od 600 mg.</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iCs/>
          <w:u w:val="single"/>
          <w:lang w:val="sr-Latn-ME"/>
        </w:rPr>
      </w:pPr>
      <w:r w:rsidRPr="0017657C">
        <w:rPr>
          <w:rFonts w:ascii="Times New Roman" w:eastAsia="Times New Roman" w:hAnsi="Times New Roman" w:cs="Times New Roman"/>
          <w:iCs/>
          <w:u w:val="single"/>
          <w:lang w:val="sr-Latn-ME"/>
        </w:rPr>
        <w:t>Posebne populacije</w:t>
      </w: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t>Oštećenje funkcije bubrega</w:t>
      </w:r>
    </w:p>
    <w:p w:rsidR="00741524" w:rsidRPr="0017657C" w:rsidRDefault="00741524" w:rsidP="0017657C">
      <w:pPr>
        <w:widowControl w:val="0"/>
        <w:tabs>
          <w:tab w:val="left" w:pos="720"/>
        </w:tabs>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Na osnovu populacione farmakokinetičke analize koja je uključivala 77 pacijenta sa normalnom funkcijom bubrega (eGFR ≥90 ml/min/1,73 m</w:t>
      </w:r>
      <w:r w:rsidRPr="0017657C">
        <w:rPr>
          <w:rFonts w:ascii="Times New Roman" w:eastAsia="Times New Roman" w:hAnsi="Times New Roman" w:cs="Times New Roman"/>
          <w:vertAlign w:val="superscript"/>
          <w:lang w:val="sr-Latn-ME"/>
        </w:rPr>
        <w:t>2</w:t>
      </w:r>
      <w:r w:rsidRPr="0017657C">
        <w:rPr>
          <w:rFonts w:ascii="Times New Roman" w:eastAsia="Times New Roman" w:hAnsi="Times New Roman" w:cs="Times New Roman"/>
          <w:lang w:val="sr-Latn-ME"/>
        </w:rPr>
        <w:t>), 76 pacijenata sa blagim oštećenjem funkcije bubrega (eGFR 60 do &lt;90 ml/min/1,73 m</w:t>
      </w:r>
      <w:r w:rsidRPr="0017657C">
        <w:rPr>
          <w:rFonts w:ascii="Times New Roman" w:eastAsia="Times New Roman" w:hAnsi="Times New Roman" w:cs="Times New Roman"/>
          <w:vertAlign w:val="superscript"/>
          <w:lang w:val="sr-Latn-ME"/>
        </w:rPr>
        <w:t>2</w:t>
      </w:r>
      <w:r w:rsidRPr="0017657C">
        <w:rPr>
          <w:rFonts w:ascii="Times New Roman" w:eastAsia="Times New Roman" w:hAnsi="Times New Roman" w:cs="Times New Roman"/>
          <w:lang w:val="sr-Latn-ME"/>
        </w:rPr>
        <w:t>) i 35 pacijenta sa umjerenim oštećenjem funkcije bubrega (eGFR 30 do &lt;60 ml/min/1,73 m</w:t>
      </w:r>
      <w:r w:rsidRPr="0017657C">
        <w:rPr>
          <w:rFonts w:ascii="Times New Roman" w:eastAsia="Times New Roman" w:hAnsi="Times New Roman" w:cs="Times New Roman"/>
          <w:vertAlign w:val="superscript"/>
          <w:lang w:val="sr-Latn-ME"/>
        </w:rPr>
        <w:t>2</w:t>
      </w:r>
      <w:r w:rsidRPr="0017657C">
        <w:rPr>
          <w:rFonts w:ascii="Times New Roman" w:eastAsia="Times New Roman" w:hAnsi="Times New Roman" w:cs="Times New Roman"/>
          <w:lang w:val="sr-Latn-ME"/>
        </w:rPr>
        <w:t>), blago i umjereno oštećenje funkcije bubrega nije imalo efekta na izloženost ribociklibu (vidjeti odjeljak 4.2).</w:t>
      </w:r>
      <w:r w:rsidRPr="0017657C">
        <w:rPr>
          <w:rFonts w:ascii="Times New Roman" w:eastAsia="Times New Roman" w:hAnsi="Times New Roman" w:cs="Times New Roman"/>
          <w:color w:val="000000"/>
          <w:lang w:val="sr-Latn-ME"/>
        </w:rPr>
        <w:t xml:space="preserve"> </w:t>
      </w:r>
      <w:r w:rsidRPr="0017657C">
        <w:rPr>
          <w:rFonts w:ascii="Times New Roman" w:eastAsia="Times New Roman" w:hAnsi="Times New Roman" w:cs="Times New Roman"/>
          <w:lang w:val="sr-Latn-ME"/>
        </w:rPr>
        <w:t>Farmakokinetika ribocikliba kod pacijenata sa teškim oštećenjem funkcije bubrega nije bila ispitivana.</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t>Oštećenje funkcije jetre</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Na osnovu farmakokinetičkog ispitivanja kod pacijenata sa oštećenjem funkcije jetre, blago oštećenje funkcije jetre nije imalo efekta na izloženost ribociklibu (vidjeti odjeljak 4.2). Srednja vrijednost izloženosti ribociklibu bila je povišena manje nego dvostruko kod pacijenata sa umjerenim (odnos geometrijskih srednjih vrijednosti [GMR]: 1,50 za C</w:t>
      </w:r>
      <w:r w:rsidRPr="0017657C">
        <w:rPr>
          <w:rFonts w:ascii="Times New Roman" w:eastAsia="Times New Roman" w:hAnsi="Times New Roman" w:cs="Times New Roman"/>
          <w:vertAlign w:val="subscript"/>
          <w:lang w:val="sr-Latn-ME"/>
        </w:rPr>
        <w:t>max</w:t>
      </w:r>
      <w:r w:rsidRPr="0017657C">
        <w:rPr>
          <w:rFonts w:ascii="Times New Roman" w:eastAsia="Times New Roman" w:hAnsi="Times New Roman" w:cs="Times New Roman"/>
          <w:lang w:val="sr-Latn-ME"/>
        </w:rPr>
        <w:t>; 1,32 za PIK</w:t>
      </w:r>
      <w:r w:rsidRPr="0017657C">
        <w:rPr>
          <w:rFonts w:ascii="Times New Roman" w:eastAsia="Times New Roman" w:hAnsi="Times New Roman" w:cs="Times New Roman"/>
          <w:vertAlign w:val="subscript"/>
          <w:lang w:val="sr-Latn-ME"/>
        </w:rPr>
        <w:t>inf</w:t>
      </w:r>
      <w:r w:rsidRPr="0017657C">
        <w:rPr>
          <w:rFonts w:ascii="Times New Roman" w:eastAsia="Times New Roman" w:hAnsi="Times New Roman" w:cs="Times New Roman"/>
          <w:lang w:val="sr-Latn-ME"/>
        </w:rPr>
        <w:t>) i teškim (GMR: 1,34 za C</w:t>
      </w:r>
      <w:r w:rsidRPr="0017657C">
        <w:rPr>
          <w:rFonts w:ascii="Times New Roman" w:eastAsia="Times New Roman" w:hAnsi="Times New Roman" w:cs="Times New Roman"/>
          <w:vertAlign w:val="subscript"/>
          <w:lang w:val="sr-Latn-ME"/>
        </w:rPr>
        <w:t>max</w:t>
      </w:r>
      <w:r w:rsidRPr="0017657C">
        <w:rPr>
          <w:rFonts w:ascii="Times New Roman" w:eastAsia="Times New Roman" w:hAnsi="Times New Roman" w:cs="Times New Roman"/>
          <w:lang w:val="sr-Latn-ME"/>
        </w:rPr>
        <w:t>; 1,29 za PIK</w:t>
      </w:r>
      <w:r w:rsidRPr="0017657C">
        <w:rPr>
          <w:rFonts w:ascii="Times New Roman" w:eastAsia="Times New Roman" w:hAnsi="Times New Roman" w:cs="Times New Roman"/>
          <w:vertAlign w:val="subscript"/>
          <w:lang w:val="sr-Latn-ME"/>
        </w:rPr>
        <w:t>inf</w:t>
      </w:r>
      <w:r w:rsidRPr="0017657C">
        <w:rPr>
          <w:rFonts w:ascii="Times New Roman" w:eastAsia="Times New Roman" w:hAnsi="Times New Roman" w:cs="Times New Roman"/>
          <w:lang w:val="sr-Latn-ME"/>
        </w:rPr>
        <w:t>) oštećenjem funkcije jetre. Na osnovu populacione farmakokinetičke analize koja je uključivala 160 pacijenata sa karcinomom dojke sa normalnom funkcijom jetre i 47 pacijenata sa blagim oštećenjem funkcije jetre, blago oštećenje jetre nije imalo efekat na izloženost ribociklibu, što dodatno podržava rezultate iz specifičnih ispitivanja oštećenja funkcije jetre (vidjeti odjeljak 4.2).</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t>Efekat godina, tjelesne mase, pola i rase</w:t>
      </w:r>
    </w:p>
    <w:p w:rsidR="00741524" w:rsidRPr="0017657C" w:rsidRDefault="00741524" w:rsidP="0017657C">
      <w:pPr>
        <w:widowControl w:val="0"/>
        <w:tabs>
          <w:tab w:val="left" w:pos="720"/>
        </w:tabs>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t>Populaciona farmakokinetička analiza pokazala je da nema klinički značajnih efekata godina, tjelesne mase ili pola na sistemsku izloženost ribociklibu zbog kojih bi bilo potrebno prilagođavanje doze. Ograničeni su podaci o razlici u farmakokinetici koja je uzrokovana rasom kako bi se mogli izvesti zaključci.</w:t>
      </w:r>
    </w:p>
    <w:p w:rsidR="00741524" w:rsidRPr="0017657C" w:rsidRDefault="00741524" w:rsidP="0017657C">
      <w:pPr>
        <w:widowControl w:val="0"/>
        <w:tabs>
          <w:tab w:val="left" w:pos="720"/>
        </w:tabs>
        <w:spacing w:after="0" w:line="240" w:lineRule="auto"/>
        <w:jc w:val="both"/>
        <w:rPr>
          <w:rFonts w:ascii="Times New Roman" w:eastAsia="Times New Roman" w:hAnsi="Times New Roman" w:cs="Times New Roman"/>
          <w:lang w:val="sr-Latn-ME"/>
        </w:rPr>
      </w:pPr>
    </w:p>
    <w:p w:rsidR="00741524" w:rsidRPr="0017657C" w:rsidRDefault="00741524" w:rsidP="0017657C">
      <w:pPr>
        <w:keepNext/>
        <w:widowControl w:val="0"/>
        <w:tabs>
          <w:tab w:val="left" w:pos="720"/>
        </w:tabs>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u w:val="single"/>
          <w:lang w:val="sr-Latn-ME"/>
        </w:rPr>
        <w:t>Podaci o i</w:t>
      </w:r>
      <w:r w:rsidRPr="0017657C">
        <w:rPr>
          <w:rFonts w:ascii="Times New Roman" w:eastAsia="Times New Roman" w:hAnsi="Times New Roman" w:cs="Times New Roman"/>
          <w:i/>
          <w:u w:val="single"/>
          <w:lang w:val="sr-Latn-ME"/>
        </w:rPr>
        <w:t>n vitro</w:t>
      </w:r>
      <w:r w:rsidRPr="0017657C">
        <w:rPr>
          <w:rFonts w:ascii="Times New Roman" w:eastAsia="Times New Roman" w:hAnsi="Times New Roman" w:cs="Times New Roman"/>
          <w:u w:val="single"/>
          <w:lang w:val="sr-Latn-ME"/>
        </w:rPr>
        <w:t xml:space="preserve"> interakcijama</w:t>
      </w:r>
    </w:p>
    <w:p w:rsidR="00741524" w:rsidRPr="0017657C" w:rsidRDefault="00741524" w:rsidP="0017657C">
      <w:pPr>
        <w:keepNext/>
        <w:widowControl w:val="0"/>
        <w:numPr>
          <w:ilvl w:val="12"/>
          <w:numId w:val="0"/>
        </w:numPr>
        <w:spacing w:after="0" w:line="240" w:lineRule="auto"/>
        <w:ind w:right="-2"/>
        <w:jc w:val="both"/>
        <w:rPr>
          <w:rFonts w:ascii="Times New Roman" w:eastAsia="Times New Roman" w:hAnsi="Times New Roman" w:cs="Times New Roman"/>
          <w:iCs/>
          <w:lang w:val="sr-Latn-ME"/>
        </w:rPr>
      </w:pPr>
    </w:p>
    <w:p w:rsidR="00741524" w:rsidRPr="0017657C" w:rsidRDefault="00741524" w:rsidP="0017657C">
      <w:pPr>
        <w:keepNext/>
        <w:widowControl w:val="0"/>
        <w:spacing w:after="0" w:line="240" w:lineRule="auto"/>
        <w:jc w:val="both"/>
        <w:rPr>
          <w:rFonts w:ascii="Times New Roman" w:eastAsia="MS Mincho" w:hAnsi="Times New Roman" w:cs="Times New Roman"/>
          <w:color w:val="000000"/>
          <w:u w:val="single"/>
          <w:lang w:val="sr-Latn-ME" w:eastAsia="zh-CN"/>
        </w:rPr>
      </w:pPr>
      <w:r w:rsidRPr="0017657C">
        <w:rPr>
          <w:rFonts w:ascii="Times New Roman" w:eastAsia="MS Mincho" w:hAnsi="Times New Roman" w:cs="Times New Roman"/>
          <w:i/>
          <w:color w:val="000000"/>
          <w:u w:val="single"/>
          <w:lang w:val="sr-Latn-ME" w:eastAsia="zh-CN"/>
        </w:rPr>
        <w:t xml:space="preserve">Efekat ribocikliba na citohrom </w:t>
      </w:r>
      <w:r w:rsidRPr="0017657C">
        <w:rPr>
          <w:rFonts w:ascii="Times New Roman" w:eastAsia="MS Mincho" w:hAnsi="Times New Roman" w:cs="Times New Roman"/>
          <w:i/>
          <w:u w:val="single"/>
          <w:lang w:val="sr-Latn-ME" w:eastAsia="zh-CN"/>
        </w:rPr>
        <w:t>P450 enzime</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i/>
          <w:lang w:val="sr-Latn-ME" w:eastAsia="zh-CN"/>
        </w:rPr>
        <w:t>In vitro,</w:t>
      </w:r>
      <w:r w:rsidRPr="0017657C">
        <w:rPr>
          <w:rFonts w:ascii="Times New Roman" w:eastAsia="MS Mincho" w:hAnsi="Times New Roman" w:cs="Times New Roman"/>
          <w:lang w:val="sr-Latn-ME" w:eastAsia="zh-CN"/>
        </w:rPr>
        <w:t xml:space="preserve"> pri klinički značajnim koncentracijama ribociklib je reverzibilni CYP1A2, CYP2E1 i CYP3A4/5 inhibitor i vremenski zavisan CYP3A4/5 inhibitor. </w:t>
      </w:r>
      <w:r w:rsidRPr="0017657C">
        <w:rPr>
          <w:rFonts w:ascii="Times New Roman" w:eastAsia="MS Mincho" w:hAnsi="Times New Roman" w:cs="Times New Roman"/>
          <w:i/>
          <w:lang w:val="sr-Latn-ME" w:eastAsia="zh-CN"/>
        </w:rPr>
        <w:t>In vitro</w:t>
      </w:r>
      <w:r w:rsidRPr="0017657C">
        <w:rPr>
          <w:rFonts w:ascii="Times New Roman" w:eastAsia="MS Mincho" w:hAnsi="Times New Roman" w:cs="Times New Roman"/>
          <w:lang w:val="sr-Latn-ME" w:eastAsia="zh-CN"/>
        </w:rPr>
        <w:t xml:space="preserve"> procjene su ukazale da ribociklib nema potencijal inhibiranja aktivnosti CYP2A6, CYP2B6, CYP2C8, CYP2C9, CYP2C19 i CYP2D6 u klinički značajnim koncentracijama. Ribociklib nema potencijal za vremenski zavisnu inhibiciju CYP1A2, CYP2C9 i CYP2D6. </w:t>
      </w:r>
    </w:p>
    <w:p w:rsidR="00741524" w:rsidRPr="0017657C" w:rsidRDefault="00741524" w:rsidP="0017657C">
      <w:pPr>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i/>
          <w:lang w:val="sr-Latn-ME"/>
        </w:rPr>
        <w:t>In vitro</w:t>
      </w:r>
      <w:r w:rsidRPr="0017657C">
        <w:rPr>
          <w:rFonts w:ascii="Times New Roman" w:eastAsia="Times New Roman" w:hAnsi="Times New Roman" w:cs="Times New Roman"/>
          <w:lang w:val="sr-Latn-ME"/>
        </w:rPr>
        <w:t xml:space="preserve"> podaci ukazuju na to da ribociklib nema potencijal indukovanja UGT enzima ili CYP enzima CYP2C9, CYP2C19 i CYP3A4 putem PXR receptora. Zato je malo vjerovatno da će lijek Kisqali imati uticaj na supstrate tih enzima. </w:t>
      </w:r>
      <w:r w:rsidRPr="0017657C">
        <w:rPr>
          <w:rFonts w:ascii="Times New Roman" w:eastAsia="Times New Roman" w:hAnsi="Times New Roman" w:cs="Times New Roman"/>
          <w:i/>
          <w:lang w:val="sr-Latn-ME"/>
        </w:rPr>
        <w:t>In vitro</w:t>
      </w:r>
      <w:r w:rsidRPr="0017657C">
        <w:rPr>
          <w:rFonts w:ascii="Times New Roman" w:eastAsia="Times New Roman" w:hAnsi="Times New Roman" w:cs="Times New Roman"/>
          <w:lang w:val="sr-Latn-ME"/>
        </w:rPr>
        <w:t xml:space="preserve"> podaci nijesu dovoljni da bi se isključio potencijal ribocikliba za indukovanje CYP2B6 putem CAR receptora.</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t>Efekat transportera na ribociklib</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lang w:val="sr-Latn-ME" w:eastAsia="zh-CN"/>
        </w:rPr>
        <w:t>Ribociklib je supstrat za P</w:t>
      </w:r>
      <w:r w:rsidRPr="0017657C">
        <w:rPr>
          <w:rFonts w:ascii="Times New Roman" w:eastAsia="MS Mincho" w:hAnsi="Times New Roman" w:cs="Times New Roman"/>
          <w:lang w:val="sr-Latn-ME" w:eastAsia="zh-CN"/>
        </w:rPr>
        <w:noBreakHyphen/>
        <w:t xml:space="preserve">gp </w:t>
      </w:r>
      <w:r w:rsidRPr="0017657C">
        <w:rPr>
          <w:rFonts w:ascii="Times New Roman" w:eastAsia="MS Mincho" w:hAnsi="Times New Roman" w:cs="Times New Roman"/>
          <w:i/>
          <w:lang w:val="sr-Latn-ME" w:eastAsia="zh-CN"/>
        </w:rPr>
        <w:t>in vitro</w:t>
      </w:r>
      <w:r w:rsidRPr="0017657C">
        <w:rPr>
          <w:rFonts w:ascii="Times New Roman" w:eastAsia="MS Mincho" w:hAnsi="Times New Roman" w:cs="Times New Roman"/>
          <w:lang w:val="sr-Latn-ME" w:eastAsia="zh-CN"/>
        </w:rPr>
        <w:t>, ali na osnovu podataka o ravnoteži mase malo je vjerovatno da će inhibicija P</w:t>
      </w:r>
      <w:r w:rsidRPr="0017657C">
        <w:rPr>
          <w:rFonts w:ascii="Times New Roman" w:eastAsia="MS Mincho" w:hAnsi="Times New Roman" w:cs="Times New Roman"/>
          <w:lang w:val="sr-Latn-ME" w:eastAsia="zh-CN"/>
        </w:rPr>
        <w:noBreakHyphen/>
        <w:t>gp ili BCRP imati uticaj na izloženost ribociklibu pri terapijskim dozama. Ribociklib nije supstrat za transportere preuzimanja u jetri OATP1B1, OATP1B3 ili OCT</w:t>
      </w:r>
      <w:r w:rsidRPr="0017657C">
        <w:rPr>
          <w:rFonts w:ascii="Times New Roman" w:eastAsia="MS Mincho" w:hAnsi="Times New Roman" w:cs="Times New Roman"/>
          <w:lang w:val="sr-Latn-ME" w:eastAsia="zh-CN"/>
        </w:rPr>
        <w:noBreakHyphen/>
        <w:t xml:space="preserve">1 </w:t>
      </w:r>
      <w:r w:rsidRPr="0017657C">
        <w:rPr>
          <w:rFonts w:ascii="Times New Roman" w:eastAsia="MS Mincho" w:hAnsi="Times New Roman" w:cs="Times New Roman"/>
          <w:i/>
          <w:lang w:val="sr-Latn-ME" w:eastAsia="zh-CN"/>
        </w:rPr>
        <w:t>in vitro</w:t>
      </w:r>
      <w:r w:rsidRPr="0017657C">
        <w:rPr>
          <w:rFonts w:ascii="Times New Roman" w:eastAsia="MS Mincho" w:hAnsi="Times New Roman" w:cs="Times New Roman"/>
          <w:lang w:val="sr-Latn-ME" w:eastAsia="zh-CN"/>
        </w:rPr>
        <w:t>.</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p>
    <w:p w:rsidR="00741524" w:rsidRPr="0017657C" w:rsidRDefault="00741524" w:rsidP="0017657C">
      <w:pPr>
        <w:keepNext/>
        <w:widowControl w:val="0"/>
        <w:spacing w:after="0" w:line="240" w:lineRule="auto"/>
        <w:jc w:val="both"/>
        <w:rPr>
          <w:rFonts w:ascii="Times New Roman" w:eastAsia="Times New Roman" w:hAnsi="Times New Roman" w:cs="Times New Roman"/>
          <w:u w:val="single"/>
          <w:lang w:val="sr-Latn-ME"/>
        </w:rPr>
      </w:pPr>
      <w:r w:rsidRPr="0017657C">
        <w:rPr>
          <w:rFonts w:ascii="Times New Roman" w:eastAsia="Times New Roman" w:hAnsi="Times New Roman" w:cs="Times New Roman"/>
          <w:i/>
          <w:u w:val="single"/>
          <w:lang w:val="sr-Latn-ME"/>
        </w:rPr>
        <w:lastRenderedPageBreak/>
        <w:t xml:space="preserve">Efekat ribocikliba na transportere </w:t>
      </w:r>
    </w:p>
    <w:p w:rsidR="00741524" w:rsidRPr="0017657C" w:rsidRDefault="00741524" w:rsidP="0017657C">
      <w:pPr>
        <w:widowControl w:val="0"/>
        <w:spacing w:after="0" w:line="240" w:lineRule="auto"/>
        <w:jc w:val="both"/>
        <w:rPr>
          <w:rFonts w:ascii="Times New Roman" w:eastAsia="MS Mincho" w:hAnsi="Times New Roman" w:cs="Times New Roman"/>
          <w:lang w:val="sr-Latn-ME" w:eastAsia="zh-CN"/>
        </w:rPr>
      </w:pPr>
      <w:r w:rsidRPr="0017657C">
        <w:rPr>
          <w:rFonts w:ascii="Times New Roman" w:eastAsia="MS Mincho" w:hAnsi="Times New Roman" w:cs="Times New Roman"/>
          <w:i/>
          <w:lang w:val="sr-Latn-ME" w:eastAsia="zh-CN"/>
        </w:rPr>
        <w:t>In vitro</w:t>
      </w:r>
      <w:r w:rsidRPr="0017657C">
        <w:rPr>
          <w:rFonts w:ascii="Times New Roman" w:eastAsia="MS Mincho" w:hAnsi="Times New Roman" w:cs="Times New Roman"/>
          <w:lang w:val="sr-Latn-ME" w:eastAsia="zh-CN"/>
        </w:rPr>
        <w:t xml:space="preserve"> procjene su ukazale da ribociklib ima potencijal da inhibira aktivnosti transportera lijeka P</w:t>
      </w:r>
      <w:r w:rsidRPr="0017657C">
        <w:rPr>
          <w:rFonts w:ascii="Times New Roman" w:eastAsia="MS Mincho" w:hAnsi="Times New Roman" w:cs="Times New Roman"/>
          <w:lang w:val="sr-Latn-ME" w:eastAsia="zh-CN"/>
        </w:rPr>
        <w:noBreakHyphen/>
        <w:t xml:space="preserve">gp, BCRP, OATP1B1/1B3, OCT1, OCT2, MATE1 i BSEP. Ribociklib nije inhibirao OAT1, OAT3 ili MRP2 u klinički relevantnim koncentracijama </w:t>
      </w:r>
      <w:r w:rsidRPr="0017657C">
        <w:rPr>
          <w:rFonts w:ascii="Times New Roman" w:eastAsia="MS Mincho" w:hAnsi="Times New Roman" w:cs="Times New Roman"/>
          <w:i/>
          <w:lang w:val="sr-Latn-ME" w:eastAsia="zh-CN"/>
        </w:rPr>
        <w:t>in vitro</w:t>
      </w:r>
      <w:r w:rsidRPr="0017657C">
        <w:rPr>
          <w:rFonts w:ascii="Times New Roman" w:eastAsia="MS Mincho" w:hAnsi="Times New Roman" w:cs="Times New Roman"/>
          <w:lang w:val="sr-Latn-ME" w:eastAsia="zh-CN"/>
        </w:rPr>
        <w:t>.</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5.3. </w:t>
      </w:r>
      <w:r w:rsidRPr="0017657C">
        <w:rPr>
          <w:rFonts w:ascii="Times New Roman" w:eastAsia="Times New Roman" w:hAnsi="Times New Roman" w:cs="Times New Roman"/>
          <w:b/>
          <w:bCs/>
          <w:lang w:val="sr-Latn-ME"/>
        </w:rPr>
        <w:tab/>
        <w:t xml:space="preserve">Pretklinički podaci o bezbjednosti </w:t>
      </w:r>
    </w:p>
    <w:p w:rsidR="00741524" w:rsidRPr="0017657C" w:rsidRDefault="00741524" w:rsidP="0017657C">
      <w:pPr>
        <w:tabs>
          <w:tab w:val="left" w:pos="540"/>
          <w:tab w:val="left" w:pos="569"/>
        </w:tabs>
        <w:spacing w:after="0" w:line="240" w:lineRule="auto"/>
        <w:jc w:val="both"/>
        <w:rPr>
          <w:rFonts w:ascii="Times New Roman" w:eastAsia="Times New Roman" w:hAnsi="Times New Roman" w:cs="Times New Roman"/>
          <w:b/>
          <w:bCs/>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iCs/>
          <w:u w:val="single"/>
          <w:lang w:val="sr-Latn-ME"/>
        </w:rPr>
      </w:pPr>
      <w:r w:rsidRPr="0017657C">
        <w:rPr>
          <w:rFonts w:ascii="Times New Roman" w:eastAsia="Times New Roman" w:hAnsi="Times New Roman" w:cs="Times New Roman"/>
          <w:iCs/>
          <w:u w:val="single"/>
          <w:lang w:val="sr-Latn-ME"/>
        </w:rPr>
        <w:t>Bezbjednosna farmakologija</w:t>
      </w: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i/>
          <w:lang w:val="sr-Latn-ME"/>
        </w:rPr>
        <w:t>In vivo</w:t>
      </w:r>
      <w:r w:rsidRPr="0017657C">
        <w:rPr>
          <w:rFonts w:ascii="Times New Roman" w:eastAsia="Times New Roman" w:hAnsi="Times New Roman" w:cs="Times New Roman"/>
          <w:lang w:val="sr-Latn-ME"/>
        </w:rPr>
        <w:t xml:space="preserve"> ispitivanja bezbjednosti primjene za srce sprovedena na psima pokazala su produženje QTc intervala koje je povezano sa dozom i koncentracijom sa izloženošću za koje bi se očekivalo da će se postići kod pacijenata nakon preporučene doze od 600 mg. Takođe, postoji potencijal indukovanja učestalosti preuranjenih ventrikularnih kontrakcija (PVC) pri povišenim izloženostima (otprilike 5 puta većim od predviđenog kliničkog C</w:t>
      </w:r>
      <w:r w:rsidRPr="0017657C">
        <w:rPr>
          <w:rFonts w:ascii="Times New Roman" w:eastAsia="Times New Roman" w:hAnsi="Times New Roman" w:cs="Times New Roman"/>
          <w:vertAlign w:val="subscript"/>
          <w:lang w:val="sr-Latn-ME"/>
        </w:rPr>
        <w:t>max</w:t>
      </w:r>
      <w:r w:rsidRPr="0017657C">
        <w:rPr>
          <w:rFonts w:ascii="Times New Roman" w:eastAsia="Times New Roman" w:hAnsi="Times New Roman" w:cs="Times New Roman"/>
          <w:lang w:val="sr-Latn-ME"/>
        </w:rPr>
        <w:t>).</w:t>
      </w:r>
    </w:p>
    <w:p w:rsidR="00741524" w:rsidRPr="0017657C" w:rsidRDefault="00741524" w:rsidP="0017657C">
      <w:pPr>
        <w:widowControl w:val="0"/>
        <w:numPr>
          <w:ilvl w:val="12"/>
          <w:numId w:val="0"/>
        </w:numPr>
        <w:spacing w:after="0" w:line="240" w:lineRule="auto"/>
        <w:ind w:right="-2"/>
        <w:jc w:val="both"/>
        <w:rPr>
          <w:rFonts w:ascii="Times New Roman" w:eastAsia="Times New Roman" w:hAnsi="Times New Roman" w:cs="Times New Roman"/>
          <w:iCs/>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iCs/>
          <w:u w:val="single"/>
          <w:lang w:val="sr-Latn-ME"/>
        </w:rPr>
      </w:pPr>
      <w:r w:rsidRPr="0017657C">
        <w:rPr>
          <w:rFonts w:ascii="Times New Roman" w:eastAsia="Times New Roman" w:hAnsi="Times New Roman" w:cs="Times New Roman"/>
          <w:iCs/>
          <w:u w:val="single"/>
          <w:lang w:val="sr-Latn-ME"/>
        </w:rPr>
        <w:t>Toksičnost ponovljenih doza</w:t>
      </w: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Ispitivanjima toksičnosti ponovljenih doza (raspored liječenja od 3 nedjelje uzimanja lijeka/1 nedjelja bez lijeka) u trajanju do 27 nedjelja kod pacova i u trajanju do 39 nedjelja kod pasa, otkriveno je da je primarni ciljni organ toksičnosti ribocikliba hepatobilijarni sistem (proliferativne promjene, holestaza, žučni kamenci koji liče na pijesak i zgusnuta žuč). Ciljni organi povezani sa farmakološkom aktivnošću ribocikliba u ispitivanjima ponovljenih doza uključuju kostnu srž (hipocelularnost), limfni sistem (limfoidna deplecija), intestinalnu mukozu (atrofija), kožu (atrofija), kosti (smanjeno stvaranje kostiju), bubreg (istovremena degeneracija i regeneracija tubularnih epitelnih ćelija) i testise (atrofija). Pored atrofijskih promjena uočenih u testisima, koje su pokazivale trend ka reverzibilnosti, sve druge promjene bile su u potpunosti reverzibilne nakon 4 nedjelje bez liječenja. Izloženost ribociklibu kod životinja u ispitivanjima toksičnosti bila je uopšteno manja ili jednaka onoj uočenoj kod pacijenata koji su primili ponovljene doze od 600 mg/dan (na osnovu PIK</w:t>
      </w:r>
      <w:r w:rsidRPr="0017657C">
        <w:rPr>
          <w:rFonts w:ascii="Times New Roman" w:eastAsia="Times New Roman" w:hAnsi="Times New Roman" w:cs="Times New Roman"/>
          <w:lang w:val="sr-Latn-ME"/>
        </w:rPr>
        <w:noBreakHyphen/>
        <w:t>a).</w:t>
      </w:r>
    </w:p>
    <w:p w:rsidR="00741524" w:rsidRPr="0017657C" w:rsidRDefault="00741524" w:rsidP="0017657C">
      <w:pPr>
        <w:widowControl w:val="0"/>
        <w:numPr>
          <w:ilvl w:val="12"/>
          <w:numId w:val="0"/>
        </w:numPr>
        <w:spacing w:after="0" w:line="240" w:lineRule="auto"/>
        <w:ind w:right="-2"/>
        <w:jc w:val="both"/>
        <w:rPr>
          <w:rFonts w:ascii="Times New Roman" w:eastAsia="Times New Roman" w:hAnsi="Times New Roman" w:cs="Times New Roman"/>
          <w:iCs/>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iCs/>
          <w:u w:val="single"/>
          <w:lang w:val="sr-Latn-ME"/>
        </w:rPr>
      </w:pPr>
      <w:r w:rsidRPr="0017657C">
        <w:rPr>
          <w:rFonts w:ascii="Times New Roman" w:eastAsia="Times New Roman" w:hAnsi="Times New Roman" w:cs="Times New Roman"/>
          <w:iCs/>
          <w:u w:val="single"/>
          <w:lang w:val="sr-Latn-ME"/>
        </w:rPr>
        <w:t>Reproduktivna toksičnost/plodnost</w:t>
      </w: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Ribociklib je pokazao fetotoksičnost i teratogenost pri dozama koje nijesu pokazale toksičnost za majku kod pacova i kunića. Kod pacova je uočena smanjena fetalna težina praćena promjenama skeleta za koje se smatralo da su prolazne i/ili povezane sa nižim fetalnim težinama. Kod kunića je bilo neželjenih efekata na embriofetalni razvoj, što je bilo vidljivo iz povećanih incidenci fetalnih abnormalnosti (anomalija i spoljašnjih, visceralnih i skeletnih varijacija) i fetalnog rasta (nižih fetalnih težina). Ovi nalazi su uključivali smanjene/male plućne režnjeve i dodatni krvni sud na aortnom luku i dijafragmalnu herniju, izostanak dopunskog režnja ili (djelimično) spojene plućne režnjeve i smanjeni/mali dopunski plućni režanj (30 i 60 mg/kg), dodatna/rudimentarna trinaesta rebra i deformisanu podjezičnu kost i smanjeni broj falangi u nožnom palcu. Nije bilo dokaza o embriofetalnom mortalitetu.</w:t>
      </w: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Ribociklib nije procjenjivan u ispitivanjima plodnosti. Međutim, ispitivanja hronične toksičnosti kod pacova i pasa otkrila su atrofijske promjene testisa nakon histopatološke procjene. Ovi efekti mogu da se povežu sa direktnim antiproliferativnim efektima na germinativnim ćelijama testisa koji dovode do atrofije sjemenih kanalića.</w:t>
      </w:r>
    </w:p>
    <w:p w:rsidR="00741524" w:rsidRDefault="00741524" w:rsidP="0017657C">
      <w:pPr>
        <w:widowControl w:val="0"/>
        <w:tabs>
          <w:tab w:val="left" w:pos="720"/>
        </w:tabs>
        <w:spacing w:after="0" w:line="240" w:lineRule="auto"/>
        <w:jc w:val="both"/>
        <w:rPr>
          <w:rFonts w:ascii="Times New Roman" w:eastAsia="Times New Roman" w:hAnsi="Times New Roman" w:cs="Times New Roman"/>
          <w:lang w:val="sr-Latn-ME"/>
        </w:rPr>
      </w:pPr>
    </w:p>
    <w:p w:rsidR="00A26794" w:rsidRPr="0017657C" w:rsidRDefault="00A26794" w:rsidP="0017657C">
      <w:pPr>
        <w:widowControl w:val="0"/>
        <w:tabs>
          <w:tab w:val="left" w:pos="720"/>
        </w:tabs>
        <w:spacing w:after="0" w:line="240" w:lineRule="auto"/>
        <w:jc w:val="both"/>
        <w:rPr>
          <w:rFonts w:ascii="Times New Roman" w:eastAsia="Times New Roman" w:hAnsi="Times New Roman" w:cs="Times New Roman"/>
          <w:lang w:val="sr-Latn-ME"/>
        </w:rPr>
      </w:pPr>
    </w:p>
    <w:p w:rsidR="00741524" w:rsidRPr="0017657C" w:rsidRDefault="00741524" w:rsidP="0017657C">
      <w:pPr>
        <w:widowControl w:val="0"/>
        <w:numPr>
          <w:ilvl w:val="12"/>
          <w:numId w:val="0"/>
        </w:numPr>
        <w:spacing w:after="0" w:line="240" w:lineRule="auto"/>
        <w:jc w:val="both"/>
        <w:rPr>
          <w:rFonts w:ascii="Times New Roman" w:eastAsia="Times New Roman" w:hAnsi="Times New Roman" w:cs="Times New Roman"/>
          <w:lang w:val="sr-Latn-ME"/>
        </w:rPr>
      </w:pPr>
      <w:r w:rsidRPr="0017657C">
        <w:rPr>
          <w:rFonts w:ascii="Times New Roman" w:eastAsia="Times New Roman" w:hAnsi="Times New Roman" w:cs="Times New Roman"/>
          <w:lang w:val="sr-Latn-ME"/>
        </w:rPr>
        <w:lastRenderedPageBreak/>
        <w:t>Ribociklib i njegovi metaboliti lako prelaze u mlijeko pacova. Izloženost ribociklibu bila je veća u mlijeku nego u plazmi.</w:t>
      </w:r>
    </w:p>
    <w:p w:rsidR="00741524" w:rsidRPr="0017657C" w:rsidRDefault="00741524" w:rsidP="0017657C">
      <w:pPr>
        <w:widowControl w:val="0"/>
        <w:numPr>
          <w:ilvl w:val="12"/>
          <w:numId w:val="0"/>
        </w:numPr>
        <w:spacing w:after="0" w:line="240" w:lineRule="auto"/>
        <w:ind w:right="-2"/>
        <w:jc w:val="both"/>
        <w:rPr>
          <w:rFonts w:ascii="Times New Roman" w:eastAsia="Times New Roman" w:hAnsi="Times New Roman" w:cs="Times New Roman"/>
          <w:iCs/>
          <w:lang w:val="sr-Latn-ME"/>
        </w:rPr>
      </w:pPr>
    </w:p>
    <w:p w:rsidR="00741524" w:rsidRPr="0017657C" w:rsidRDefault="00741524" w:rsidP="0017657C">
      <w:pPr>
        <w:keepNext/>
        <w:widowControl w:val="0"/>
        <w:numPr>
          <w:ilvl w:val="12"/>
          <w:numId w:val="0"/>
        </w:numPr>
        <w:spacing w:after="0" w:line="240" w:lineRule="auto"/>
        <w:jc w:val="both"/>
        <w:rPr>
          <w:rFonts w:ascii="Times New Roman" w:eastAsia="Times New Roman" w:hAnsi="Times New Roman" w:cs="Times New Roman"/>
          <w:iCs/>
          <w:u w:val="single"/>
          <w:lang w:val="sr-Latn-ME"/>
        </w:rPr>
      </w:pPr>
      <w:r w:rsidRPr="0017657C">
        <w:rPr>
          <w:rFonts w:ascii="Times New Roman" w:eastAsia="Times New Roman" w:hAnsi="Times New Roman" w:cs="Times New Roman"/>
          <w:iCs/>
          <w:u w:val="single"/>
          <w:lang w:val="sr-Latn-ME"/>
        </w:rPr>
        <w:t>Genotoksičnost</w:t>
      </w:r>
    </w:p>
    <w:p w:rsidR="00741524" w:rsidRPr="0017657C" w:rsidRDefault="00741524" w:rsidP="0017657C">
      <w:pPr>
        <w:keepNext/>
        <w:widowControl w:val="0"/>
        <w:spacing w:after="0" w:line="240" w:lineRule="auto"/>
        <w:jc w:val="both"/>
        <w:outlineLvl w:val="0"/>
        <w:rPr>
          <w:rFonts w:ascii="Times New Roman" w:eastAsia="Times New Roman" w:hAnsi="Times New Roman" w:cs="Times New Roman"/>
          <w:lang w:val="sr-Latn-ME"/>
        </w:rPr>
      </w:pPr>
    </w:p>
    <w:p w:rsidR="00741524" w:rsidRPr="0017657C" w:rsidRDefault="00741524" w:rsidP="0017657C">
      <w:pPr>
        <w:widowControl w:val="0"/>
        <w:spacing w:after="0" w:line="240" w:lineRule="auto"/>
        <w:jc w:val="both"/>
        <w:outlineLvl w:val="0"/>
        <w:rPr>
          <w:rFonts w:ascii="Times New Roman" w:eastAsia="Times New Roman" w:hAnsi="Times New Roman" w:cs="Times New Roman"/>
          <w:lang w:val="sr-Latn-ME"/>
        </w:rPr>
      </w:pPr>
      <w:r w:rsidRPr="0017657C">
        <w:rPr>
          <w:rFonts w:ascii="Times New Roman" w:eastAsia="Times New Roman" w:hAnsi="Times New Roman" w:cs="Times New Roman"/>
          <w:lang w:val="sr-Latn-ME"/>
        </w:rPr>
        <w:t xml:space="preserve">Ispitivanja genotoksičnosti u bakterijskim </w:t>
      </w:r>
      <w:r w:rsidRPr="0017657C">
        <w:rPr>
          <w:rFonts w:ascii="Times New Roman" w:eastAsia="Times New Roman" w:hAnsi="Times New Roman" w:cs="Times New Roman"/>
          <w:i/>
          <w:lang w:val="sr-Latn-ME"/>
        </w:rPr>
        <w:t>in vitro</w:t>
      </w:r>
      <w:r w:rsidRPr="0017657C">
        <w:rPr>
          <w:rFonts w:ascii="Times New Roman" w:eastAsia="Times New Roman" w:hAnsi="Times New Roman" w:cs="Times New Roman"/>
          <w:lang w:val="sr-Latn-ME"/>
        </w:rPr>
        <w:t xml:space="preserve"> sistemima i u </w:t>
      </w:r>
      <w:r w:rsidRPr="0017657C">
        <w:rPr>
          <w:rFonts w:ascii="Times New Roman" w:eastAsia="Times New Roman" w:hAnsi="Times New Roman" w:cs="Times New Roman"/>
          <w:i/>
          <w:lang w:val="sr-Latn-ME"/>
        </w:rPr>
        <w:t>in vitro</w:t>
      </w:r>
      <w:r w:rsidRPr="0017657C">
        <w:rPr>
          <w:rFonts w:ascii="Times New Roman" w:eastAsia="Times New Roman" w:hAnsi="Times New Roman" w:cs="Times New Roman"/>
          <w:lang w:val="sr-Latn-ME"/>
        </w:rPr>
        <w:t xml:space="preserve"> i </w:t>
      </w:r>
      <w:r w:rsidRPr="0017657C">
        <w:rPr>
          <w:rFonts w:ascii="Times New Roman" w:eastAsia="Times New Roman" w:hAnsi="Times New Roman" w:cs="Times New Roman"/>
          <w:i/>
          <w:lang w:val="sr-Latn-ME"/>
        </w:rPr>
        <w:t>in vivo</w:t>
      </w:r>
      <w:r w:rsidRPr="0017657C">
        <w:rPr>
          <w:rFonts w:ascii="Times New Roman" w:eastAsia="Times New Roman" w:hAnsi="Times New Roman" w:cs="Times New Roman"/>
          <w:lang w:val="sr-Latn-ME"/>
        </w:rPr>
        <w:t xml:space="preserve"> sistemima sisara sa i bez metaboličke aktivacije nijesu otkrila nikakve dokaze o genotoksičnom potencijalu ribocikliba.</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6. </w:t>
      </w:r>
      <w:r w:rsidRPr="0017657C">
        <w:rPr>
          <w:rFonts w:ascii="Times New Roman" w:eastAsia="Times New Roman" w:hAnsi="Times New Roman" w:cs="Times New Roman"/>
          <w:b/>
          <w:bCs/>
          <w:lang w:val="sr-Latn-ME"/>
        </w:rPr>
        <w:tab/>
        <w:t>FARMACEUTSKI PODACI</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6.1. </w:t>
      </w:r>
      <w:r w:rsidRPr="0017657C">
        <w:rPr>
          <w:rFonts w:ascii="Times New Roman" w:eastAsia="Times New Roman" w:hAnsi="Times New Roman" w:cs="Times New Roman"/>
          <w:b/>
          <w:bCs/>
          <w:lang w:val="sr-Latn-ME"/>
        </w:rPr>
        <w:tab/>
        <w:t>Lista pomoćnih supstanci</w:t>
      </w:r>
    </w:p>
    <w:p w:rsidR="00741524" w:rsidRPr="0017657C" w:rsidRDefault="00741524" w:rsidP="0017657C">
      <w:pPr>
        <w:keepNext/>
        <w:widowControl w:val="0"/>
        <w:spacing w:after="0" w:line="240" w:lineRule="auto"/>
        <w:rPr>
          <w:rFonts w:ascii="Times New Roman" w:eastAsia="Times New Roman" w:hAnsi="Times New Roman" w:cs="Times New Roman"/>
          <w:u w:val="single"/>
          <w:lang w:val="sr-Latn-ME"/>
        </w:rPr>
      </w:pP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u w:val="single"/>
          <w:lang w:val="sr-Latn-ME"/>
        </w:rPr>
        <w:t>Jezgro tablete:</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celuloza, mikrokristalna</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krospovidon, tip A</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hidroksipropilceluloza, niskosupstituisana</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magnezijum stearat</w:t>
      </w:r>
    </w:p>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silicijum dioksid, koloidni, bezvodni</w:t>
      </w:r>
    </w:p>
    <w:p w:rsidR="00741524" w:rsidRPr="0017657C" w:rsidRDefault="00741524" w:rsidP="0017657C">
      <w:pPr>
        <w:widowControl w:val="0"/>
        <w:spacing w:after="0" w:line="240" w:lineRule="auto"/>
        <w:rPr>
          <w:rFonts w:ascii="Times New Roman" w:eastAsia="Times New Roman" w:hAnsi="Times New Roman" w:cs="Times New Roman"/>
          <w:lang w:val="sr-Latn-ME"/>
        </w:rPr>
      </w:pP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u w:val="single"/>
          <w:lang w:val="sr-Latn-ME"/>
        </w:rPr>
        <w:t>Film obloga:</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gvožđe (III) oksid, crni (E172)</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gvožđe (III) oksid, crveni (E172)</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soja lecitin (E322)</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polivinil alkohol (djelimično hidrolizovan)</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talk</w:t>
      </w:r>
    </w:p>
    <w:p w:rsidR="00741524" w:rsidRPr="0017657C" w:rsidRDefault="00741524" w:rsidP="0017657C">
      <w:pPr>
        <w:keepNext/>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titan dioksid (E171)</w:t>
      </w:r>
    </w:p>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ksantan guma</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6.2. </w:t>
      </w:r>
      <w:r w:rsidRPr="0017657C">
        <w:rPr>
          <w:rFonts w:ascii="Times New Roman" w:eastAsia="Times New Roman" w:hAnsi="Times New Roman" w:cs="Times New Roman"/>
          <w:b/>
          <w:bCs/>
          <w:lang w:val="sr-Latn-ME"/>
        </w:rPr>
        <w:tab/>
        <w:t>Inkompatibilnosti</w:t>
      </w:r>
    </w:p>
    <w:p w:rsidR="00741524" w:rsidRPr="0017657C" w:rsidRDefault="00741524" w:rsidP="0017657C">
      <w:pPr>
        <w:widowControl w:val="0"/>
        <w:spacing w:after="0" w:line="240" w:lineRule="auto"/>
        <w:rPr>
          <w:rFonts w:ascii="Times New Roman" w:eastAsia="Times New Roman" w:hAnsi="Times New Roman" w:cs="Times New Roman"/>
          <w:lang w:val="sr-Latn-ME"/>
        </w:rPr>
      </w:pPr>
    </w:p>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Nije primjenljivo.</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6.3.</w:t>
      </w:r>
      <w:r w:rsidRPr="0017657C">
        <w:rPr>
          <w:rFonts w:ascii="Times New Roman" w:eastAsia="Times New Roman" w:hAnsi="Times New Roman" w:cs="Times New Roman"/>
          <w:b/>
          <w:bCs/>
          <w:lang w:val="sr-Latn-ME"/>
        </w:rPr>
        <w:tab/>
        <w:t>Rok upotrebe</w:t>
      </w:r>
    </w:p>
    <w:p w:rsidR="00741524" w:rsidRPr="0017657C" w:rsidRDefault="00741524" w:rsidP="0017657C">
      <w:pPr>
        <w:widowControl w:val="0"/>
        <w:spacing w:after="0" w:line="240" w:lineRule="auto"/>
        <w:rPr>
          <w:rFonts w:ascii="Times New Roman" w:eastAsia="Times New Roman" w:hAnsi="Times New Roman" w:cs="Times New Roman"/>
          <w:lang w:val="sr-Latn-ME"/>
        </w:rPr>
      </w:pPr>
    </w:p>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2 godine.</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6.4. </w:t>
      </w:r>
      <w:r w:rsidRPr="0017657C">
        <w:rPr>
          <w:rFonts w:ascii="Times New Roman" w:eastAsia="Times New Roman" w:hAnsi="Times New Roman" w:cs="Times New Roman"/>
          <w:b/>
          <w:bCs/>
          <w:lang w:val="sr-Latn-ME"/>
        </w:rPr>
        <w:tab/>
        <w:t>Posebne mjere upozorenja pri čuvanju lijeka</w:t>
      </w:r>
    </w:p>
    <w:p w:rsidR="00741524" w:rsidRPr="0017657C" w:rsidRDefault="00741524" w:rsidP="0017657C">
      <w:pPr>
        <w:widowControl w:val="0"/>
        <w:spacing w:after="0" w:line="240" w:lineRule="auto"/>
        <w:rPr>
          <w:rFonts w:ascii="Times New Roman" w:eastAsia="Times New Roman" w:hAnsi="Times New Roman" w:cs="Times New Roman"/>
          <w:lang w:val="sr-Latn-ME"/>
        </w:rPr>
      </w:pPr>
    </w:p>
    <w:p w:rsidR="00741524" w:rsidRPr="0017657C" w:rsidRDefault="00741524" w:rsidP="0017657C">
      <w:pPr>
        <w:widowControl w:val="0"/>
        <w:spacing w:after="0" w:line="240" w:lineRule="auto"/>
        <w:rPr>
          <w:rFonts w:ascii="Times New Roman" w:eastAsia="Times New Roman" w:hAnsi="Times New Roman" w:cs="Times New Roman"/>
          <w:strike/>
          <w:lang w:val="sr-Latn-ME"/>
        </w:rPr>
      </w:pPr>
      <w:r w:rsidRPr="0017657C">
        <w:rPr>
          <w:rFonts w:ascii="Times New Roman" w:eastAsia="Times New Roman" w:hAnsi="Times New Roman" w:cs="Times New Roman"/>
          <w:lang w:val="sr-Latn-ME"/>
        </w:rPr>
        <w:t>Lijek ne zahtijeva posebne uslove čuvanja.</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6.5. </w:t>
      </w:r>
      <w:r w:rsidRPr="0017657C">
        <w:rPr>
          <w:rFonts w:ascii="Times New Roman" w:eastAsia="Times New Roman" w:hAnsi="Times New Roman" w:cs="Times New Roman"/>
          <w:b/>
          <w:bCs/>
          <w:lang w:val="sr-Latn-ME"/>
        </w:rPr>
        <w:tab/>
        <w:t>Vrsta i sadržaj pakovanja</w:t>
      </w:r>
    </w:p>
    <w:p w:rsidR="00741524" w:rsidRPr="0017657C" w:rsidRDefault="00741524" w:rsidP="0017657C">
      <w:pPr>
        <w:widowControl w:val="0"/>
        <w:spacing w:after="0" w:line="240" w:lineRule="auto"/>
        <w:rPr>
          <w:rFonts w:ascii="Times New Roman" w:eastAsia="Times New Roman" w:hAnsi="Times New Roman" w:cs="Times New Roman"/>
          <w:lang w:val="sr-Latn-ME"/>
        </w:rPr>
      </w:pPr>
    </w:p>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 xml:space="preserve">PVC/PCTFE </w:t>
      </w:r>
      <w:r w:rsidRPr="0017657C">
        <w:rPr>
          <w:rFonts w:ascii="Times New Roman" w:eastAsia="SimSun" w:hAnsi="Times New Roman" w:cs="Times New Roman"/>
          <w:lang w:val="sr-Latn-ME"/>
        </w:rPr>
        <w:t>(polivinilhlorid/polihlorotrifluoroetilen)</w:t>
      </w:r>
      <w:r w:rsidRPr="0017657C">
        <w:rPr>
          <w:rFonts w:ascii="Times New Roman" w:eastAsia="Times New Roman" w:hAnsi="Times New Roman" w:cs="Times New Roman"/>
          <w:lang w:val="sr-Latn-ME"/>
        </w:rPr>
        <w:t xml:space="preserve"> ili PA/Al/PVC (</w:t>
      </w:r>
      <w:r w:rsidRPr="0017657C">
        <w:rPr>
          <w:rFonts w:ascii="Times New Roman" w:eastAsia="SimSun" w:hAnsi="Times New Roman" w:cs="Times New Roman"/>
          <w:lang w:val="sr-Latn-ME"/>
        </w:rPr>
        <w:t xml:space="preserve">poliamid/aluminijum/polivinilhlorid) </w:t>
      </w:r>
      <w:r w:rsidRPr="0017657C">
        <w:rPr>
          <w:rFonts w:ascii="Times New Roman" w:eastAsia="Times New Roman" w:hAnsi="Times New Roman" w:cs="Times New Roman"/>
          <w:lang w:val="sr-Latn-ME"/>
        </w:rPr>
        <w:t xml:space="preserve">blister koji sadrži 21 film tabletu. </w:t>
      </w:r>
    </w:p>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Pakovanje od 21 film tablete sadrži 1 blister sa 21 film tabletom.</w:t>
      </w:r>
    </w:p>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Pakovanje od 63 film tablete sadrži 3 blistera sa po 21 film tabletom.</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lastRenderedPageBreak/>
        <w:t xml:space="preserve">6.6. </w:t>
      </w:r>
      <w:r w:rsidRPr="0017657C">
        <w:rPr>
          <w:rFonts w:ascii="Times New Roman" w:eastAsia="Times New Roman" w:hAnsi="Times New Roman" w:cs="Times New Roman"/>
          <w:b/>
          <w:bCs/>
          <w:lang w:val="sr-Latn-ME"/>
        </w:rPr>
        <w:tab/>
        <w:t xml:space="preserve">Posebne mjere opreza pri odlaganju materijala koji treba odbaciti nakon primjene lijeka </w:t>
      </w:r>
    </w:p>
    <w:p w:rsidR="00741524" w:rsidRPr="0017657C" w:rsidRDefault="00741524" w:rsidP="0017657C">
      <w:pPr>
        <w:widowControl w:val="0"/>
        <w:spacing w:after="0" w:line="240" w:lineRule="auto"/>
        <w:rPr>
          <w:rFonts w:ascii="Times New Roman" w:eastAsia="Times New Roman" w:hAnsi="Times New Roman" w:cs="Times New Roman"/>
          <w:lang w:val="sr-Latn-ME"/>
        </w:rPr>
      </w:pPr>
    </w:p>
    <w:p w:rsidR="00741524" w:rsidRPr="0017657C" w:rsidRDefault="00741524" w:rsidP="0017657C">
      <w:pPr>
        <w:widowControl w:val="0"/>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Svu neiskorišćenu količinu lijeka ili otpadnog materijala nakon njegove upotrebe treba ukloniti, u skladu sa važećim propisima.</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6.7. </w:t>
      </w:r>
      <w:r w:rsidRPr="0017657C">
        <w:rPr>
          <w:rFonts w:ascii="Times New Roman" w:eastAsia="Times New Roman" w:hAnsi="Times New Roman" w:cs="Times New Roman"/>
          <w:b/>
          <w:bCs/>
          <w:lang w:val="sr-Latn-ME"/>
        </w:rPr>
        <w:tab/>
        <w:t>Režim izdavanja lijeka</w:t>
      </w:r>
    </w:p>
    <w:p w:rsidR="00741524" w:rsidRPr="0017657C" w:rsidRDefault="00741524" w:rsidP="0017657C">
      <w:pPr>
        <w:spacing w:after="0" w:line="240" w:lineRule="auto"/>
        <w:rPr>
          <w:rFonts w:ascii="Times New Roman" w:eastAsia="Times New Roman" w:hAnsi="Times New Roman" w:cs="Times New Roman"/>
          <w:lang w:val="sr-Latn-ME"/>
        </w:rPr>
      </w:pPr>
    </w:p>
    <w:p w:rsidR="00741524" w:rsidRPr="0017657C" w:rsidRDefault="00741524" w:rsidP="0017657C">
      <w:pPr>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Ograničen recept.</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7. </w:t>
      </w:r>
      <w:r w:rsidRPr="0017657C">
        <w:rPr>
          <w:rFonts w:ascii="Times New Roman" w:eastAsia="Times New Roman" w:hAnsi="Times New Roman" w:cs="Times New Roman"/>
          <w:b/>
          <w:bCs/>
          <w:lang w:val="sr-Latn-ME"/>
        </w:rPr>
        <w:tab/>
        <w:t xml:space="preserve">NOSILAC DOZVOLE </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lang w:val="sr-Latn-ME"/>
        </w:rPr>
        <w:t>“Novartis Pharma Services AG” dio stranog društva Podgorica</w:t>
      </w:r>
      <w:r w:rsidRPr="0017657C">
        <w:rPr>
          <w:rFonts w:ascii="Times New Roman" w:eastAsia="Times New Roman" w:hAnsi="Times New Roman" w:cs="Times New Roman"/>
          <w:b/>
          <w:bCs/>
          <w:lang w:val="sr-Latn-ME"/>
        </w:rPr>
        <w:tab/>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Ul. Svetlane Kane Radević 3, Podgorica, Crna Gora</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8. </w:t>
      </w:r>
      <w:r w:rsidRPr="0017657C">
        <w:rPr>
          <w:rFonts w:ascii="Times New Roman" w:eastAsia="Times New Roman" w:hAnsi="Times New Roman" w:cs="Times New Roman"/>
          <w:b/>
          <w:bCs/>
          <w:lang w:val="sr-Latn-ME"/>
        </w:rPr>
        <w:tab/>
        <w:t>BROJ PRVE DOZVOLE/ OBNOVE DOZVOLE</w:t>
      </w:r>
    </w:p>
    <w:p w:rsidR="00741524" w:rsidRPr="0017657C" w:rsidRDefault="00741524" w:rsidP="0017657C">
      <w:pPr>
        <w:spacing w:after="0" w:line="240" w:lineRule="auto"/>
        <w:rPr>
          <w:rFonts w:ascii="Times New Roman" w:eastAsia="Times New Roman" w:hAnsi="Times New Roman" w:cs="Times New Roman"/>
          <w:lang w:val="sr-Latn-ME"/>
        </w:rPr>
      </w:pPr>
    </w:p>
    <w:p w:rsidR="00741524" w:rsidRPr="0017657C" w:rsidRDefault="00741524" w:rsidP="0017657C">
      <w:pPr>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Kisqali®, film tableta, 200 mg, blister, 21 (1x21) film tableta:</w:t>
      </w:r>
      <w:r w:rsidR="00C203A1" w:rsidRPr="00C203A1">
        <w:t xml:space="preserve"> </w:t>
      </w:r>
      <w:r w:rsidR="00C203A1" w:rsidRPr="00C203A1">
        <w:rPr>
          <w:rFonts w:ascii="Times New Roman" w:eastAsia="Times New Roman" w:hAnsi="Times New Roman" w:cs="Times New Roman"/>
          <w:lang w:val="sr-Latn-ME"/>
        </w:rPr>
        <w:t>2030/18/323 - 5141</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Kisqali®, film tableta, 200 mg, blister, 63 (3x21) film tablete:</w:t>
      </w:r>
      <w:r w:rsidR="00C203A1" w:rsidRPr="00C203A1">
        <w:t xml:space="preserve"> </w:t>
      </w:r>
      <w:r w:rsidR="00C203A1" w:rsidRPr="00C203A1">
        <w:rPr>
          <w:rFonts w:ascii="Times New Roman" w:eastAsia="Times New Roman" w:hAnsi="Times New Roman" w:cs="Times New Roman"/>
          <w:lang w:val="sr-Latn-ME"/>
        </w:rPr>
        <w:t>2030/18/324 - 5142</w:t>
      </w:r>
      <w:bookmarkStart w:id="6" w:name="_GoBack"/>
      <w:bookmarkEnd w:id="6"/>
    </w:p>
    <w:p w:rsidR="00741524"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3C627C" w:rsidRPr="0017657C" w:rsidRDefault="003C627C"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b/>
          <w:bCs/>
          <w:lang w:val="sr-Latn-ME"/>
        </w:rPr>
      </w:pPr>
      <w:r w:rsidRPr="0017657C">
        <w:rPr>
          <w:rFonts w:ascii="Times New Roman" w:eastAsia="Times New Roman" w:hAnsi="Times New Roman" w:cs="Times New Roman"/>
          <w:b/>
          <w:bCs/>
          <w:lang w:val="sr-Latn-ME"/>
        </w:rPr>
        <w:t xml:space="preserve">9. </w:t>
      </w:r>
      <w:r w:rsidRPr="0017657C">
        <w:rPr>
          <w:rFonts w:ascii="Times New Roman" w:eastAsia="Times New Roman" w:hAnsi="Times New Roman" w:cs="Times New Roman"/>
          <w:b/>
          <w:bCs/>
          <w:lang w:val="sr-Latn-ME"/>
        </w:rPr>
        <w:tab/>
        <w:t>DATUM PRVE DOZVOLE/ DATUM OBNOVE DOZVOLE</w:t>
      </w:r>
    </w:p>
    <w:p w:rsidR="00741524" w:rsidRPr="0017657C" w:rsidRDefault="00741524" w:rsidP="0017657C">
      <w:pPr>
        <w:spacing w:after="0" w:line="240" w:lineRule="auto"/>
        <w:rPr>
          <w:rFonts w:ascii="Times New Roman" w:eastAsia="Times New Roman" w:hAnsi="Times New Roman" w:cs="Times New Roman"/>
          <w:lang w:val="sr-Latn-ME"/>
        </w:rPr>
      </w:pPr>
    </w:p>
    <w:p w:rsidR="00741524" w:rsidRPr="0017657C" w:rsidRDefault="00741524" w:rsidP="0017657C">
      <w:pPr>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Kisqali®, film tableta, 200 mg, blister, 21 (1x21) film tableta:</w:t>
      </w:r>
      <w:r w:rsidR="00C203A1" w:rsidRPr="00C203A1">
        <w:t xml:space="preserve"> </w:t>
      </w:r>
      <w:r w:rsidR="00C203A1" w:rsidRPr="00C203A1">
        <w:rPr>
          <w:rFonts w:ascii="Times New Roman" w:eastAsia="Times New Roman" w:hAnsi="Times New Roman" w:cs="Times New Roman"/>
          <w:lang w:val="sr-Latn-ME"/>
        </w:rPr>
        <w:t>10.09.2018. godine</w:t>
      </w:r>
    </w:p>
    <w:p w:rsidR="00741524" w:rsidRPr="0017657C" w:rsidRDefault="00741524" w:rsidP="0017657C">
      <w:pPr>
        <w:tabs>
          <w:tab w:val="left" w:pos="540"/>
          <w:tab w:val="left" w:pos="569"/>
        </w:tabs>
        <w:spacing w:after="0" w:line="240" w:lineRule="auto"/>
        <w:rPr>
          <w:rFonts w:ascii="Times New Roman" w:eastAsia="Times New Roman" w:hAnsi="Times New Roman" w:cs="Times New Roman"/>
          <w:lang w:val="sr-Latn-ME"/>
        </w:rPr>
      </w:pPr>
      <w:r w:rsidRPr="0017657C">
        <w:rPr>
          <w:rFonts w:ascii="Times New Roman" w:eastAsia="Times New Roman" w:hAnsi="Times New Roman" w:cs="Times New Roman"/>
          <w:lang w:val="sr-Latn-ME"/>
        </w:rPr>
        <w:t>Kisqali®, film tableta, 200 mg, blister, 63 (3x21) film tablete:</w:t>
      </w:r>
      <w:r w:rsidR="00C203A1" w:rsidRPr="00C203A1">
        <w:t xml:space="preserve"> </w:t>
      </w:r>
      <w:r w:rsidR="00C203A1" w:rsidRPr="00C203A1">
        <w:rPr>
          <w:rFonts w:ascii="Times New Roman" w:eastAsia="Times New Roman" w:hAnsi="Times New Roman" w:cs="Times New Roman"/>
          <w:lang w:val="sr-Latn-ME"/>
        </w:rPr>
        <w:t>10.09.2018. godine</w:t>
      </w:r>
    </w:p>
    <w:p w:rsidR="00741524" w:rsidRDefault="00741524" w:rsidP="0017657C">
      <w:pPr>
        <w:tabs>
          <w:tab w:val="left" w:pos="540"/>
          <w:tab w:val="left" w:pos="569"/>
        </w:tabs>
        <w:spacing w:after="0" w:line="240" w:lineRule="auto"/>
        <w:rPr>
          <w:rFonts w:ascii="Times New Roman" w:eastAsia="Times New Roman" w:hAnsi="Times New Roman" w:cs="Times New Roman"/>
          <w:bCs/>
          <w:lang w:val="sr-Latn-ME"/>
        </w:rPr>
      </w:pPr>
    </w:p>
    <w:p w:rsidR="003C627C" w:rsidRPr="0017657C" w:rsidRDefault="003C627C" w:rsidP="0017657C">
      <w:pPr>
        <w:tabs>
          <w:tab w:val="left" w:pos="540"/>
          <w:tab w:val="left" w:pos="569"/>
        </w:tabs>
        <w:spacing w:after="0" w:line="240" w:lineRule="auto"/>
        <w:rPr>
          <w:rFonts w:ascii="Times New Roman" w:eastAsia="Times New Roman" w:hAnsi="Times New Roman" w:cs="Times New Roman"/>
          <w:bCs/>
          <w:lang w:val="sr-Latn-ME"/>
        </w:rPr>
      </w:pPr>
    </w:p>
    <w:p w:rsidR="00741524" w:rsidRPr="0017657C" w:rsidRDefault="00741524" w:rsidP="0017657C">
      <w:pPr>
        <w:tabs>
          <w:tab w:val="left" w:pos="540"/>
          <w:tab w:val="left" w:pos="569"/>
        </w:tabs>
        <w:spacing w:after="0" w:line="240" w:lineRule="auto"/>
        <w:ind w:left="540" w:hanging="540"/>
        <w:rPr>
          <w:rFonts w:ascii="Times New Roman" w:eastAsia="Times New Roman" w:hAnsi="Times New Roman" w:cs="Times New Roman"/>
          <w:b/>
          <w:noProof/>
          <w:lang w:val="sr-Latn-ME"/>
        </w:rPr>
      </w:pPr>
      <w:r w:rsidRPr="0017657C">
        <w:rPr>
          <w:rFonts w:ascii="Times New Roman" w:eastAsia="Times New Roman" w:hAnsi="Times New Roman" w:cs="Times New Roman"/>
          <w:b/>
          <w:bCs/>
          <w:lang w:val="sr-Latn-ME"/>
        </w:rPr>
        <w:t xml:space="preserve">10. </w:t>
      </w:r>
      <w:r w:rsidRPr="0017657C">
        <w:rPr>
          <w:rFonts w:ascii="Times New Roman" w:eastAsia="Times New Roman" w:hAnsi="Times New Roman" w:cs="Times New Roman"/>
          <w:b/>
          <w:bCs/>
          <w:lang w:val="sr-Latn-ME"/>
        </w:rPr>
        <w:tab/>
        <w:t>DATUM POSLEDNJE REVIZIJE TEKSTA SAŽETKA OSNOVNIH KARAKTERISTIKA LIJEKA</w:t>
      </w:r>
      <w:r w:rsidRPr="0017657C">
        <w:rPr>
          <w:rFonts w:ascii="Times New Roman" w:eastAsia="Times New Roman" w:hAnsi="Times New Roman" w:cs="Times New Roman"/>
          <w:b/>
          <w:lang w:val="sr-Latn-ME"/>
        </w:rPr>
        <w:t xml:space="preserve"> </w:t>
      </w:r>
    </w:p>
    <w:p w:rsidR="00741524" w:rsidRPr="0017657C" w:rsidRDefault="00741524" w:rsidP="0017657C">
      <w:pPr>
        <w:spacing w:after="0" w:line="240" w:lineRule="auto"/>
        <w:rPr>
          <w:rFonts w:ascii="Times New Roman" w:eastAsia="Times New Roman" w:hAnsi="Times New Roman" w:cs="Times New Roman"/>
          <w:lang w:val="sr-Latn-ME"/>
        </w:rPr>
      </w:pPr>
    </w:p>
    <w:p w:rsidR="00F1527C" w:rsidRPr="0017657C" w:rsidRDefault="00C203A1" w:rsidP="0017657C">
      <w:pPr>
        <w:spacing w:line="240" w:lineRule="auto"/>
        <w:rPr>
          <w:rFonts w:ascii="Times New Roman" w:hAnsi="Times New Roman" w:cs="Times New Roman"/>
          <w:lang w:val="sr-Latn-ME"/>
        </w:rPr>
      </w:pPr>
      <w:r>
        <w:rPr>
          <w:rFonts w:ascii="Times New Roman" w:hAnsi="Times New Roman" w:cs="Times New Roman"/>
          <w:lang w:val="sr-Latn-ME"/>
        </w:rPr>
        <w:t>Septembar, 2018. godine</w:t>
      </w:r>
    </w:p>
    <w:p w:rsidR="00F1527C" w:rsidRPr="0017657C" w:rsidRDefault="00F1527C" w:rsidP="0017657C">
      <w:pPr>
        <w:spacing w:line="240" w:lineRule="auto"/>
        <w:rPr>
          <w:rFonts w:ascii="Times New Roman" w:hAnsi="Times New Roman" w:cs="Times New Roman"/>
          <w:lang w:val="sr-Latn-ME"/>
        </w:rPr>
      </w:pPr>
    </w:p>
    <w:p w:rsidR="00F1527C" w:rsidRPr="0017657C" w:rsidRDefault="00F1527C" w:rsidP="0017657C">
      <w:pPr>
        <w:spacing w:line="240" w:lineRule="auto"/>
        <w:rPr>
          <w:rFonts w:ascii="Times New Roman" w:hAnsi="Times New Roman" w:cs="Times New Roman"/>
          <w:lang w:val="sr-Latn-ME"/>
        </w:rPr>
      </w:pPr>
    </w:p>
    <w:p w:rsidR="00F1527C" w:rsidRPr="0017657C" w:rsidRDefault="00F1527C" w:rsidP="0017657C">
      <w:pPr>
        <w:tabs>
          <w:tab w:val="left" w:pos="2751"/>
        </w:tabs>
        <w:spacing w:line="240" w:lineRule="auto"/>
        <w:rPr>
          <w:rFonts w:ascii="Times New Roman" w:hAnsi="Times New Roman" w:cs="Times New Roman"/>
          <w:lang w:val="sr-Latn-ME"/>
        </w:rPr>
      </w:pPr>
    </w:p>
    <w:p w:rsidR="00F1527C" w:rsidRPr="0017657C" w:rsidRDefault="00F1527C" w:rsidP="0017657C">
      <w:pPr>
        <w:tabs>
          <w:tab w:val="left" w:pos="2751"/>
        </w:tabs>
        <w:spacing w:line="240" w:lineRule="auto"/>
        <w:rPr>
          <w:rFonts w:ascii="Times New Roman" w:hAnsi="Times New Roman" w:cs="Times New Roman"/>
          <w:lang w:val="sr-Latn-ME"/>
        </w:rPr>
      </w:pPr>
    </w:p>
    <w:p w:rsidR="00F1527C" w:rsidRPr="0017657C" w:rsidRDefault="00F1527C" w:rsidP="0017657C">
      <w:pPr>
        <w:tabs>
          <w:tab w:val="left" w:pos="2751"/>
        </w:tabs>
        <w:spacing w:line="240" w:lineRule="auto"/>
        <w:rPr>
          <w:rFonts w:ascii="Times New Roman" w:hAnsi="Times New Roman" w:cs="Times New Roman"/>
          <w:lang w:val="sr-Latn-ME"/>
        </w:rPr>
      </w:pPr>
    </w:p>
    <w:p w:rsidR="009318B4" w:rsidRPr="0017657C" w:rsidRDefault="00F1527C" w:rsidP="0017657C">
      <w:pPr>
        <w:tabs>
          <w:tab w:val="left" w:pos="2751"/>
        </w:tabs>
        <w:spacing w:line="240" w:lineRule="auto"/>
        <w:rPr>
          <w:rFonts w:ascii="Times New Roman" w:hAnsi="Times New Roman" w:cs="Times New Roman"/>
          <w:lang w:val="sr-Latn-ME"/>
        </w:rPr>
      </w:pPr>
      <w:r w:rsidRPr="0017657C">
        <w:rPr>
          <w:rFonts w:ascii="Times New Roman" w:hAnsi="Times New Roman" w:cs="Times New Roman"/>
          <w:lang w:val="sr-Latn-ME"/>
        </w:rPr>
        <w:tab/>
      </w:r>
    </w:p>
    <w:sectPr w:rsidR="009318B4" w:rsidRPr="0017657C" w:rsidSect="00B34AF2">
      <w:headerReference w:type="default" r:id="rId12"/>
      <w:footerReference w:type="default" r:id="rId13"/>
      <w:headerReference w:type="first" r:id="rId14"/>
      <w:footerReference w:type="first" r:id="rId15"/>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0BBA" w:rsidRDefault="00F20BBA" w:rsidP="00FF2B5A">
      <w:pPr>
        <w:spacing w:after="0" w:line="240" w:lineRule="auto"/>
      </w:pPr>
      <w:r>
        <w:separator/>
      </w:r>
    </w:p>
  </w:endnote>
  <w:endnote w:type="continuationSeparator" w:id="0">
    <w:p w:rsidR="00F20BBA" w:rsidRDefault="00F20BBA"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24" w:rsidRPr="00F1527C" w:rsidRDefault="00741524"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741524" w:rsidRPr="00F1527C" w:rsidRDefault="00741524"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741524" w:rsidRPr="00F1527C" w:rsidRDefault="00741524"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741524" w:rsidRPr="00F1527C" w:rsidRDefault="00741524"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741524" w:rsidRPr="00F1527C" w:rsidRDefault="00741524"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741524" w:rsidRPr="009318B4" w:rsidRDefault="00741524"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C203A1">
      <w:rPr>
        <w:rFonts w:ascii="Times New Roman" w:eastAsia="Times New Roman" w:hAnsi="Times New Roman" w:cs="Times New Roman"/>
        <w:noProof/>
        <w:sz w:val="20"/>
        <w:szCs w:val="20"/>
        <w:lang w:val="sr-Latn-ME"/>
      </w:rPr>
      <w:t>13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C203A1">
      <w:rPr>
        <w:rFonts w:ascii="Times New Roman" w:eastAsia="Times New Roman" w:hAnsi="Times New Roman" w:cs="Times New Roman"/>
        <w:noProof/>
        <w:sz w:val="20"/>
        <w:szCs w:val="20"/>
        <w:lang w:val="sr-Latn-ME"/>
      </w:rPr>
      <w:t>24</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24" w:rsidRPr="00F1527C" w:rsidRDefault="00741524"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741524" w:rsidRPr="00F1527C" w:rsidRDefault="00741524"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741524" w:rsidRPr="00F1527C" w:rsidRDefault="00741524"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741524" w:rsidRPr="00F1527C" w:rsidRDefault="00741524"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741524" w:rsidRPr="00F1527C" w:rsidRDefault="00741524"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741524" w:rsidRPr="009318B4" w:rsidRDefault="00741524"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0BBA" w:rsidRDefault="00F20BBA" w:rsidP="00FF2B5A">
      <w:pPr>
        <w:spacing w:after="0" w:line="240" w:lineRule="auto"/>
      </w:pPr>
      <w:r>
        <w:separator/>
      </w:r>
    </w:p>
  </w:footnote>
  <w:footnote w:type="continuationSeparator" w:id="0">
    <w:p w:rsidR="00F20BBA" w:rsidRDefault="00F20BBA"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24" w:rsidRDefault="00741524" w:rsidP="009318B4">
    <w:pPr>
      <w:pStyle w:val="Header"/>
      <w:rPr>
        <w:sz w:val="16"/>
        <w:szCs w:val="16"/>
      </w:rPr>
    </w:pPr>
  </w:p>
  <w:p w:rsidR="00741524" w:rsidRDefault="00741524" w:rsidP="009E78A2">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009E78A2">
      <w:rPr>
        <w:sz w:val="16"/>
        <w:szCs w:val="16"/>
      </w:rPr>
      <w:tab/>
    </w:r>
  </w:p>
  <w:p w:rsidR="009E78A2" w:rsidRPr="009E78A2" w:rsidRDefault="009E78A2" w:rsidP="009E78A2">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24" w:rsidRDefault="00741524" w:rsidP="009318B4">
    <w:pPr>
      <w:pStyle w:val="Header"/>
      <w:rPr>
        <w:sz w:val="16"/>
        <w:szCs w:val="16"/>
      </w:rPr>
    </w:pPr>
  </w:p>
  <w:p w:rsidR="00741524" w:rsidRDefault="0074152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741524" w:rsidRDefault="007415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2E2F0D96"/>
    <w:multiLevelType w:val="hybridMultilevel"/>
    <w:tmpl w:val="EF70631A"/>
    <w:lvl w:ilvl="0" w:tplc="5BF43B48">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DE55910"/>
    <w:multiLevelType w:val="singleLevel"/>
    <w:tmpl w:val="FCA4E8EE"/>
    <w:lvl w:ilvl="0">
      <w:start w:val="1"/>
      <w:numFmt w:val="bullet"/>
      <w:lvlText w:val=""/>
      <w:lvlJc w:val="left"/>
      <w:pPr>
        <w:tabs>
          <w:tab w:val="num" w:pos="357"/>
        </w:tabs>
        <w:ind w:left="357" w:hanging="357"/>
      </w:pPr>
      <w:rPr>
        <w:rFonts w:ascii="Symbol" w:hAnsi="Symbol" w:hint="default"/>
      </w:rPr>
    </w:lvl>
  </w:abstractNum>
  <w:abstractNum w:abstractNumId="1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0"/>
  </w:num>
  <w:num w:numId="4">
    <w:abstractNumId w:val="8"/>
  </w:num>
  <w:num w:numId="5">
    <w:abstractNumId w:val="4"/>
  </w:num>
  <w:num w:numId="6">
    <w:abstractNumId w:val="1"/>
  </w:num>
  <w:num w:numId="7">
    <w:abstractNumId w:val="7"/>
  </w:num>
  <w:num w:numId="8">
    <w:abstractNumId w:val="3"/>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17657C"/>
    <w:rsid w:val="00234E80"/>
    <w:rsid w:val="00236C3E"/>
    <w:rsid w:val="0031146A"/>
    <w:rsid w:val="003C627C"/>
    <w:rsid w:val="00452701"/>
    <w:rsid w:val="00461135"/>
    <w:rsid w:val="004A04D3"/>
    <w:rsid w:val="004C011F"/>
    <w:rsid w:val="005B3A9A"/>
    <w:rsid w:val="006966D5"/>
    <w:rsid w:val="00737091"/>
    <w:rsid w:val="00741524"/>
    <w:rsid w:val="00747C4B"/>
    <w:rsid w:val="00790D8C"/>
    <w:rsid w:val="00805838"/>
    <w:rsid w:val="00883AF2"/>
    <w:rsid w:val="008F0A34"/>
    <w:rsid w:val="009318B4"/>
    <w:rsid w:val="00934541"/>
    <w:rsid w:val="009E78A2"/>
    <w:rsid w:val="00A06058"/>
    <w:rsid w:val="00A26794"/>
    <w:rsid w:val="00B234CE"/>
    <w:rsid w:val="00B34AF2"/>
    <w:rsid w:val="00BB4A90"/>
    <w:rsid w:val="00C203A1"/>
    <w:rsid w:val="00C4240B"/>
    <w:rsid w:val="00CC0CA5"/>
    <w:rsid w:val="00D45AFE"/>
    <w:rsid w:val="00E0627A"/>
    <w:rsid w:val="00E21E65"/>
    <w:rsid w:val="00EB2A93"/>
    <w:rsid w:val="00F1527C"/>
    <w:rsid w:val="00F20BBA"/>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741524"/>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6">
    <w:name w:val="heading 6"/>
    <w:basedOn w:val="Normal"/>
    <w:next w:val="Normal"/>
    <w:link w:val="Heading6Char"/>
    <w:semiHidden/>
    <w:unhideWhenUsed/>
    <w:qFormat/>
    <w:rsid w:val="00741524"/>
    <w:pPr>
      <w:keepNext/>
      <w:keepLines/>
      <w:tabs>
        <w:tab w:val="left" w:pos="284"/>
      </w:tabs>
      <w:spacing w:before="40" w:after="0" w:line="240" w:lineRule="auto"/>
      <w:jc w:val="both"/>
      <w:outlineLvl w:val="5"/>
    </w:pPr>
    <w:rPr>
      <w:rFonts w:ascii="Cambria" w:eastAsia="Times New Roman" w:hAnsi="Cambria" w:cs="Times New Roman"/>
      <w:color w:val="243F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2Char">
    <w:name w:val="Heading 2 Char"/>
    <w:basedOn w:val="DefaultParagraphFont"/>
    <w:link w:val="Heading2"/>
    <w:rsid w:val="00741524"/>
    <w:rPr>
      <w:rFonts w:ascii="Arial" w:eastAsia="Times New Roman" w:hAnsi="Arial" w:cs="Arial"/>
      <w:i/>
      <w:iCs/>
      <w:color w:val="999999"/>
      <w:sz w:val="18"/>
      <w:szCs w:val="24"/>
    </w:rPr>
  </w:style>
  <w:style w:type="character" w:customStyle="1" w:styleId="Heading6Char">
    <w:name w:val="Heading 6 Char"/>
    <w:basedOn w:val="DefaultParagraphFont"/>
    <w:link w:val="Heading6"/>
    <w:semiHidden/>
    <w:rsid w:val="00741524"/>
    <w:rPr>
      <w:rFonts w:ascii="Cambria" w:eastAsia="Times New Roman" w:hAnsi="Cambria" w:cs="Times New Roman"/>
      <w:color w:val="243F60"/>
      <w:szCs w:val="24"/>
    </w:rPr>
  </w:style>
  <w:style w:type="numbering" w:customStyle="1" w:styleId="NoList1">
    <w:name w:val="No List1"/>
    <w:next w:val="NoList"/>
    <w:semiHidden/>
    <w:rsid w:val="00741524"/>
  </w:style>
  <w:style w:type="character" w:styleId="PageNumber">
    <w:name w:val="page number"/>
    <w:basedOn w:val="DefaultParagraphFont"/>
    <w:rsid w:val="00741524"/>
  </w:style>
  <w:style w:type="numbering" w:styleId="111111">
    <w:name w:val="Outline List 2"/>
    <w:basedOn w:val="NoList"/>
    <w:rsid w:val="00741524"/>
    <w:pPr>
      <w:numPr>
        <w:numId w:val="3"/>
      </w:numPr>
    </w:pPr>
  </w:style>
  <w:style w:type="character" w:styleId="CommentReference">
    <w:name w:val="annotation reference"/>
    <w:semiHidden/>
    <w:rsid w:val="00741524"/>
    <w:rPr>
      <w:sz w:val="16"/>
      <w:szCs w:val="16"/>
    </w:rPr>
  </w:style>
  <w:style w:type="paragraph" w:styleId="CommentText">
    <w:name w:val="annotation text"/>
    <w:aliases w:val="Comment Text Char1 Char,Comment Text Char Char Char,Comment Text Char1"/>
    <w:basedOn w:val="Normal"/>
    <w:link w:val="CommentTextChar"/>
    <w:uiPriority w:val="99"/>
    <w:rsid w:val="00741524"/>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omment Text Char1 Char Char,Comment Text Char Char Char Char,Comment Text Char1 Char1"/>
    <w:basedOn w:val="DefaultParagraphFont"/>
    <w:link w:val="CommentText"/>
    <w:uiPriority w:val="99"/>
    <w:rsid w:val="007415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741524"/>
    <w:rPr>
      <w:b/>
      <w:bCs/>
    </w:rPr>
  </w:style>
  <w:style w:type="character" w:customStyle="1" w:styleId="CommentSubjectChar">
    <w:name w:val="Comment Subject Char"/>
    <w:basedOn w:val="CommentTextChar"/>
    <w:link w:val="CommentSubject"/>
    <w:semiHidden/>
    <w:rsid w:val="0074152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74152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741524"/>
    <w:rPr>
      <w:rFonts w:ascii="Tahoma" w:eastAsia="Times New Roman" w:hAnsi="Tahoma" w:cs="Tahoma"/>
      <w:sz w:val="16"/>
      <w:szCs w:val="16"/>
    </w:rPr>
  </w:style>
  <w:style w:type="paragraph" w:styleId="NoSpacing">
    <w:name w:val="No Spacing"/>
    <w:uiPriority w:val="1"/>
    <w:qFormat/>
    <w:rsid w:val="00741524"/>
    <w:pPr>
      <w:spacing w:after="0" w:line="240" w:lineRule="auto"/>
    </w:pPr>
    <w:rPr>
      <w:rFonts w:ascii="Times New Roman" w:eastAsia="Times New Roman" w:hAnsi="Times New Roman" w:cs="Times New Roman"/>
      <w:sz w:val="24"/>
      <w:szCs w:val="24"/>
    </w:rPr>
  </w:style>
  <w:style w:type="paragraph" w:customStyle="1" w:styleId="Text">
    <w:name w:val="Text"/>
    <w:aliases w:val="Graphic,Graphic Char Char,Graphic Char Char Char Char Char,Graphic Char Char Char Char Char Char Char C"/>
    <w:basedOn w:val="Normal"/>
    <w:link w:val="TextChar"/>
    <w:qFormat/>
    <w:rsid w:val="00741524"/>
    <w:pPr>
      <w:spacing w:before="120" w:after="0" w:line="240" w:lineRule="auto"/>
      <w:jc w:val="both"/>
    </w:pPr>
    <w:rPr>
      <w:rFonts w:ascii="Times New Roman" w:eastAsia="MS Mincho" w:hAnsi="Times New Roman" w:cs="Times New Roman"/>
      <w:sz w:val="24"/>
      <w:szCs w:val="20"/>
      <w:lang w:val="x-none" w:eastAsia="zh-CN"/>
    </w:rPr>
  </w:style>
  <w:style w:type="character" w:customStyle="1" w:styleId="TextChar">
    <w:name w:val="Text Char"/>
    <w:aliases w:val="Graphic Char"/>
    <w:link w:val="Text"/>
    <w:rsid w:val="00741524"/>
    <w:rPr>
      <w:rFonts w:ascii="Times New Roman" w:eastAsia="MS Mincho" w:hAnsi="Times New Roman" w:cs="Times New Roman"/>
      <w:sz w:val="24"/>
      <w:szCs w:val="20"/>
      <w:lang w:val="x-none" w:eastAsia="zh-CN"/>
    </w:rPr>
  </w:style>
  <w:style w:type="paragraph" w:customStyle="1" w:styleId="Nottoc-headings">
    <w:name w:val="Not toc-headings"/>
    <w:basedOn w:val="Normal"/>
    <w:next w:val="Text"/>
    <w:link w:val="Nottoc-headingsChar"/>
    <w:rsid w:val="00741524"/>
    <w:pPr>
      <w:keepNext/>
      <w:keepLines/>
      <w:spacing w:before="240" w:after="60" w:line="240" w:lineRule="auto"/>
    </w:pPr>
    <w:rPr>
      <w:rFonts w:ascii="Arial" w:eastAsia="MS Gothic" w:hAnsi="Arial" w:cs="Times New Roman"/>
      <w:b/>
      <w:sz w:val="24"/>
      <w:szCs w:val="24"/>
      <w:lang w:val="x-none" w:eastAsia="zh-CN"/>
    </w:rPr>
  </w:style>
  <w:style w:type="character" w:customStyle="1" w:styleId="Nottoc-headingsChar">
    <w:name w:val="Not toc-headings Char"/>
    <w:link w:val="Nottoc-headings"/>
    <w:rsid w:val="00741524"/>
    <w:rPr>
      <w:rFonts w:ascii="Arial" w:eastAsia="MS Gothic" w:hAnsi="Arial" w:cs="Times New Roman"/>
      <w:b/>
      <w:sz w:val="24"/>
      <w:szCs w:val="24"/>
      <w:lang w:val="x-none" w:eastAsia="zh-CN"/>
    </w:rPr>
  </w:style>
  <w:style w:type="paragraph" w:customStyle="1" w:styleId="Listlevel1">
    <w:name w:val="List level 1"/>
    <w:basedOn w:val="Normal"/>
    <w:link w:val="Listlevel1Char"/>
    <w:rsid w:val="00741524"/>
    <w:pPr>
      <w:spacing w:before="40" w:after="0" w:line="240" w:lineRule="auto"/>
      <w:ind w:left="425" w:hanging="425"/>
    </w:pPr>
    <w:rPr>
      <w:rFonts w:ascii="Times New Roman" w:eastAsia="MS Mincho" w:hAnsi="Times New Roman" w:cs="Times New Roman"/>
      <w:sz w:val="24"/>
      <w:szCs w:val="20"/>
      <w:lang w:val="x-none" w:eastAsia="zh-CN"/>
    </w:rPr>
  </w:style>
  <w:style w:type="paragraph" w:customStyle="1" w:styleId="Table">
    <w:name w:val="Table"/>
    <w:aliases w:val="10 pt  Bold,9 pt,10 pt,9pt,Table + (Latin) Courier New,Before:  0 pt,After:  0 pt,Comment + (Latin) Courier New,Not Italic,Auto,Table pt,table text 10 pt + Arial,Bold,Normal + (Latin) Arial,(Complex) Arial,legendpt,Normal + Courier New,Courier New"/>
    <w:basedOn w:val="Nottoc-headings"/>
    <w:link w:val="TableChar"/>
    <w:qFormat/>
    <w:rsid w:val="00741524"/>
    <w:pPr>
      <w:keepNext w:val="0"/>
      <w:tabs>
        <w:tab w:val="left" w:pos="284"/>
      </w:tabs>
      <w:spacing w:before="40" w:after="20"/>
    </w:pPr>
    <w:rPr>
      <w:rFonts w:eastAsia="MS Mincho"/>
      <w:b w:val="0"/>
      <w:sz w:val="20"/>
    </w:rPr>
  </w:style>
  <w:style w:type="character" w:customStyle="1" w:styleId="TableChar">
    <w:name w:val="Table Char"/>
    <w:aliases w:val="10 pt  Bold Char,9 pt Char,10 pt Char,Normal + Courier New Char,Italic Char,Justified Char,Left:  0&quot; Char,Hanging:  0.67&quot; Char,Be... Char,Table pt Char,table text 10 pt + Arial Char,Bold Char,Normal + (Latin) Arial Char,9 Char,9pt Char"/>
    <w:link w:val="Table"/>
    <w:rsid w:val="00741524"/>
    <w:rPr>
      <w:rFonts w:ascii="Arial" w:eastAsia="MS Mincho" w:hAnsi="Arial" w:cs="Times New Roman"/>
      <w:sz w:val="20"/>
      <w:szCs w:val="24"/>
      <w:lang w:val="x-none" w:eastAsia="zh-CN"/>
    </w:rPr>
  </w:style>
  <w:style w:type="character" w:customStyle="1" w:styleId="sup2">
    <w:name w:val="sup2"/>
    <w:rsid w:val="00741524"/>
    <w:rPr>
      <w:sz w:val="19"/>
      <w:szCs w:val="19"/>
    </w:rPr>
  </w:style>
  <w:style w:type="character" w:customStyle="1" w:styleId="Listlevel1Char">
    <w:name w:val="List level 1 Char"/>
    <w:link w:val="Listlevel1"/>
    <w:rsid w:val="00741524"/>
    <w:rPr>
      <w:rFonts w:ascii="Times New Roman" w:eastAsia="MS Mincho" w:hAnsi="Times New Roman" w:cs="Times New Roman"/>
      <w:sz w:val="24"/>
      <w:szCs w:val="20"/>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ezeljenadejstva@calims.me" TargetMode="External"/><Relationship Id="rId4" Type="http://schemas.openxmlformats.org/officeDocument/2006/relationships/settings" Target="settings.xml"/><Relationship Id="rId9" Type="http://schemas.openxmlformats.org/officeDocument/2006/relationships/hyperlink" Target="http://www.calims.m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0616D-E3EA-4419-ABCC-9698B0BC2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24</Pages>
  <Words>8223</Words>
  <Characters>46874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54988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17</cp:revision>
  <dcterms:created xsi:type="dcterms:W3CDTF">2017-06-23T09:30:00Z</dcterms:created>
  <dcterms:modified xsi:type="dcterms:W3CDTF">2018-10-25T14:05:00Z</dcterms:modified>
</cp:coreProperties>
</file>