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216"/>
        <w:tblW w:w="9360" w:type="dxa"/>
        <w:tblLayout w:type="fixed"/>
        <w:tblLook w:val="0000" w:firstRow="0" w:lastRow="0" w:firstColumn="0" w:lastColumn="0" w:noHBand="0" w:noVBand="0"/>
      </w:tblPr>
      <w:tblGrid>
        <w:gridCol w:w="2160"/>
        <w:gridCol w:w="7200"/>
      </w:tblGrid>
      <w:tr w:rsidR="00C92000" w:rsidRPr="00C92000" w:rsidTr="00C92000">
        <w:trPr>
          <w:trHeight w:val="530"/>
        </w:trPr>
        <w:tc>
          <w:tcPr>
            <w:tcW w:w="9360" w:type="dxa"/>
            <w:gridSpan w:val="2"/>
            <w:vAlign w:val="center"/>
          </w:tcPr>
          <w:p w:rsidR="00C92000" w:rsidRPr="00963272" w:rsidRDefault="00C92000" w:rsidP="00C92000">
            <w:pPr>
              <w:spacing w:after="0" w:line="240" w:lineRule="auto"/>
              <w:jc w:val="center"/>
              <w:rPr>
                <w:rFonts w:ascii="Times New Roman" w:eastAsia="Times New Roman" w:hAnsi="Times New Roman" w:cs="Times New Roman"/>
                <w:b/>
                <w:bCs/>
                <w:iCs/>
                <w:u w:val="single"/>
              </w:rPr>
            </w:pPr>
            <w:r w:rsidRPr="00963272">
              <w:rPr>
                <w:rFonts w:ascii="Times New Roman" w:eastAsia="Times New Roman" w:hAnsi="Times New Roman" w:cs="Times New Roman"/>
                <w:b/>
                <w:bCs/>
                <w:iCs/>
                <w:u w:val="single"/>
              </w:rPr>
              <w:t>SAŽETAK KARAKTERISTIKA LIJEKA</w:t>
            </w:r>
          </w:p>
        </w:tc>
      </w:tr>
      <w:tr w:rsidR="00C92000" w:rsidRPr="00C92000" w:rsidTr="00C92000">
        <w:trPr>
          <w:trHeight w:val="1969"/>
        </w:trPr>
        <w:tc>
          <w:tcPr>
            <w:tcW w:w="9360" w:type="dxa"/>
            <w:gridSpan w:val="2"/>
            <w:vAlign w:val="bottom"/>
          </w:tcPr>
          <w:p w:rsidR="00C92000" w:rsidRPr="00963272" w:rsidRDefault="00C92000" w:rsidP="00C92000">
            <w:pPr>
              <w:spacing w:after="40" w:line="240" w:lineRule="auto"/>
              <w:jc w:val="center"/>
              <w:rPr>
                <w:rFonts w:ascii="Times New Roman" w:eastAsia="Times New Roman" w:hAnsi="Times New Roman" w:cs="Times New Roman"/>
                <w:b/>
                <w:bCs/>
              </w:rPr>
            </w:pPr>
            <w:bookmarkStart w:id="0" w:name="_Hlk533512281"/>
            <w:bookmarkStart w:id="1" w:name="_GoBack"/>
            <w:r w:rsidRPr="00963272">
              <w:rPr>
                <w:rFonts w:ascii="Times New Roman" w:eastAsia="Times New Roman" w:hAnsi="Times New Roman" w:cs="Times New Roman"/>
                <w:b/>
                <w:bCs/>
              </w:rPr>
              <w:t>Nevotens</w:t>
            </w:r>
            <w:r w:rsidRPr="00963272">
              <w:rPr>
                <w:rFonts w:ascii="Times New Roman" w:eastAsia="Times New Roman" w:hAnsi="Times New Roman" w:cs="Times New Roman"/>
                <w:b/>
                <w:bCs/>
                <w:vertAlign w:val="superscript"/>
                <w:lang w:val="sr-Latn-CS"/>
              </w:rPr>
              <w:t>®</w:t>
            </w:r>
            <w:bookmarkEnd w:id="0"/>
            <w:r w:rsidRPr="00963272">
              <w:rPr>
                <w:rFonts w:ascii="Times New Roman" w:eastAsia="Times New Roman" w:hAnsi="Times New Roman" w:cs="Times New Roman"/>
                <w:b/>
                <w:bCs/>
              </w:rPr>
              <w:t>, tableta, 5 mg, blister, 30 (3x10) tableta</w:t>
            </w:r>
            <w:bookmarkEnd w:id="1"/>
          </w:p>
        </w:tc>
      </w:tr>
      <w:tr w:rsidR="00C92000" w:rsidRPr="00C92000" w:rsidTr="00C92000">
        <w:trPr>
          <w:trHeight w:val="1225"/>
        </w:trPr>
        <w:tc>
          <w:tcPr>
            <w:tcW w:w="9360" w:type="dxa"/>
            <w:gridSpan w:val="2"/>
          </w:tcPr>
          <w:p w:rsidR="00C92000" w:rsidRPr="00C92000" w:rsidRDefault="00C92000" w:rsidP="00C92000">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C92000" w:rsidRPr="00C92000" w:rsidTr="00C92000">
        <w:tc>
          <w:tcPr>
            <w:tcW w:w="2160" w:type="dxa"/>
          </w:tcPr>
          <w:p w:rsidR="00C92000" w:rsidRPr="00C92000" w:rsidRDefault="00C92000" w:rsidP="00C92000">
            <w:pPr>
              <w:spacing w:before="200" w:after="0" w:line="240" w:lineRule="auto"/>
              <w:jc w:val="right"/>
              <w:rPr>
                <w:rFonts w:ascii="Times New Roman" w:eastAsia="Times New Roman" w:hAnsi="Times New Roman" w:cs="Times New Roman"/>
              </w:rPr>
            </w:pPr>
            <w:r w:rsidRPr="00C92000">
              <w:rPr>
                <w:rFonts w:ascii="Times New Roman" w:eastAsia="Times New Roman" w:hAnsi="Times New Roman" w:cs="Times New Roman"/>
                <w:lang w:val="sr-Latn-CS"/>
              </w:rPr>
              <w:t>Proizvođač:</w:t>
            </w:r>
          </w:p>
        </w:tc>
        <w:tc>
          <w:tcPr>
            <w:tcW w:w="7200" w:type="dxa"/>
            <w:vAlign w:val="bottom"/>
          </w:tcPr>
          <w:p w:rsidR="00C92000" w:rsidRPr="00C92000" w:rsidRDefault="00963272" w:rsidP="00182BC3">
            <w:pPr>
              <w:numPr>
                <w:ilvl w:val="0"/>
                <w:numId w:val="1"/>
              </w:numPr>
              <w:spacing w:before="200" w:after="0" w:line="240" w:lineRule="auto"/>
              <w:rPr>
                <w:rFonts w:ascii="Times New Roman" w:eastAsia="Times New Roman" w:hAnsi="Times New Roman" w:cs="Times New Roman"/>
                <w:b/>
                <w:bCs/>
              </w:rPr>
            </w:pPr>
            <w:r>
              <w:rPr>
                <w:rFonts w:ascii="Times New Roman" w:eastAsia="Times New Roman" w:hAnsi="Times New Roman" w:cs="Times New Roman"/>
                <w:b/>
                <w:bCs/>
              </w:rPr>
              <w:t>Actavis Ltd</w:t>
            </w:r>
          </w:p>
          <w:p w:rsidR="00C92000" w:rsidRPr="00C92000" w:rsidRDefault="00C92000" w:rsidP="00182BC3">
            <w:pPr>
              <w:numPr>
                <w:ilvl w:val="0"/>
                <w:numId w:val="1"/>
              </w:numPr>
              <w:spacing w:before="200" w:after="0" w:line="240" w:lineRule="auto"/>
              <w:rPr>
                <w:rFonts w:ascii="Times New Roman" w:eastAsia="Times New Roman" w:hAnsi="Times New Roman" w:cs="Times New Roman"/>
                <w:b/>
                <w:bCs/>
              </w:rPr>
            </w:pPr>
            <w:r w:rsidRPr="00C92000">
              <w:rPr>
                <w:rFonts w:ascii="Times New Roman" w:eastAsia="Times New Roman" w:hAnsi="Times New Roman" w:cs="Times New Roman"/>
                <w:b/>
                <w:bCs/>
              </w:rPr>
              <w:t>Balkanpharma Dupnitsa AD</w:t>
            </w:r>
          </w:p>
        </w:tc>
      </w:tr>
      <w:tr w:rsidR="00C92000" w:rsidRPr="00C92000" w:rsidTr="00C92000">
        <w:tc>
          <w:tcPr>
            <w:tcW w:w="2160" w:type="dxa"/>
          </w:tcPr>
          <w:p w:rsidR="00C92000" w:rsidRPr="00C92000" w:rsidRDefault="00C92000" w:rsidP="00C92000">
            <w:pPr>
              <w:spacing w:before="200" w:after="0" w:line="240" w:lineRule="auto"/>
              <w:jc w:val="right"/>
              <w:rPr>
                <w:rFonts w:ascii="Times New Roman" w:eastAsia="Times New Roman" w:hAnsi="Times New Roman" w:cs="Times New Roman"/>
              </w:rPr>
            </w:pPr>
            <w:r w:rsidRPr="00C92000">
              <w:rPr>
                <w:rFonts w:ascii="Times New Roman" w:eastAsia="Times New Roman" w:hAnsi="Times New Roman" w:cs="Times New Roman"/>
              </w:rPr>
              <w:t>Adresa:</w:t>
            </w:r>
          </w:p>
        </w:tc>
        <w:tc>
          <w:tcPr>
            <w:tcW w:w="7200" w:type="dxa"/>
            <w:vAlign w:val="bottom"/>
          </w:tcPr>
          <w:p w:rsidR="00C92000" w:rsidRPr="00C92000" w:rsidRDefault="00C92000" w:rsidP="00182BC3">
            <w:pPr>
              <w:numPr>
                <w:ilvl w:val="0"/>
                <w:numId w:val="2"/>
              </w:numPr>
              <w:spacing w:before="200" w:after="0" w:line="240" w:lineRule="auto"/>
              <w:rPr>
                <w:rFonts w:ascii="Times New Roman" w:eastAsia="Times New Roman" w:hAnsi="Times New Roman" w:cs="Times New Roman"/>
                <w:b/>
                <w:bCs/>
              </w:rPr>
            </w:pPr>
            <w:r w:rsidRPr="00C92000">
              <w:rPr>
                <w:rFonts w:ascii="Times New Roman" w:eastAsia="Times New Roman" w:hAnsi="Times New Roman" w:cs="Times New Roman"/>
                <w:b/>
                <w:bCs/>
              </w:rPr>
              <w:t>BLB016, Bulebel Industrial Estate, Zejtun, Malta</w:t>
            </w:r>
          </w:p>
          <w:p w:rsidR="00C92000" w:rsidRPr="00C92000" w:rsidRDefault="00C92000" w:rsidP="00182BC3">
            <w:pPr>
              <w:numPr>
                <w:ilvl w:val="0"/>
                <w:numId w:val="2"/>
              </w:numPr>
              <w:spacing w:before="200" w:after="0" w:line="240" w:lineRule="auto"/>
              <w:rPr>
                <w:rFonts w:ascii="Times New Roman" w:eastAsia="Times New Roman" w:hAnsi="Times New Roman" w:cs="Times New Roman"/>
                <w:b/>
                <w:bCs/>
              </w:rPr>
            </w:pPr>
            <w:r w:rsidRPr="00C92000">
              <w:rPr>
                <w:rFonts w:ascii="Times New Roman" w:eastAsia="Times New Roman" w:hAnsi="Times New Roman" w:cs="Times New Roman"/>
                <w:b/>
                <w:bCs/>
              </w:rPr>
              <w:t>3 Samokovsko Shosse Str., Dupnitsa 2600, Bugarska</w:t>
            </w:r>
          </w:p>
        </w:tc>
      </w:tr>
      <w:tr w:rsidR="00C92000" w:rsidRPr="00C92000" w:rsidTr="00C92000">
        <w:tc>
          <w:tcPr>
            <w:tcW w:w="2160" w:type="dxa"/>
          </w:tcPr>
          <w:p w:rsidR="00C92000" w:rsidRPr="00C92000" w:rsidRDefault="00C92000" w:rsidP="00C92000">
            <w:pPr>
              <w:spacing w:before="200" w:after="0" w:line="240" w:lineRule="auto"/>
              <w:jc w:val="right"/>
              <w:rPr>
                <w:rFonts w:ascii="Times New Roman" w:eastAsia="Times New Roman" w:hAnsi="Times New Roman" w:cs="Times New Roman"/>
              </w:rPr>
            </w:pPr>
            <w:r w:rsidRPr="00C92000">
              <w:rPr>
                <w:rFonts w:ascii="Times New Roman" w:eastAsia="Times New Roman" w:hAnsi="Times New Roman" w:cs="Times New Roman"/>
                <w:lang w:val="sr-Latn-CS"/>
              </w:rPr>
              <w:t>Podnosilac zahtjeva</w:t>
            </w:r>
            <w:r w:rsidRPr="00C92000">
              <w:rPr>
                <w:rFonts w:ascii="Times New Roman" w:eastAsia="Times New Roman" w:hAnsi="Times New Roman" w:cs="Times New Roman"/>
              </w:rPr>
              <w:t>:</w:t>
            </w:r>
          </w:p>
        </w:tc>
        <w:tc>
          <w:tcPr>
            <w:tcW w:w="7200" w:type="dxa"/>
            <w:vAlign w:val="bottom"/>
          </w:tcPr>
          <w:p w:rsidR="00C92000" w:rsidRPr="00C92000" w:rsidRDefault="00C92000" w:rsidP="00C92000">
            <w:pPr>
              <w:spacing w:before="200" w:after="0" w:line="240" w:lineRule="auto"/>
              <w:ind w:left="72" w:hanging="72"/>
              <w:rPr>
                <w:rFonts w:ascii="Times New Roman" w:eastAsia="Times New Roman" w:hAnsi="Times New Roman" w:cs="Times New Roman"/>
                <w:b/>
                <w:bCs/>
              </w:rPr>
            </w:pPr>
            <w:r w:rsidRPr="00C92000">
              <w:rPr>
                <w:rFonts w:ascii="Times New Roman" w:eastAsia="Times New Roman" w:hAnsi="Times New Roman" w:cs="Times New Roman"/>
                <w:b/>
                <w:bCs/>
              </w:rPr>
              <w:t>Evropa Lek Pharma d.o.o. Podgorica</w:t>
            </w:r>
          </w:p>
        </w:tc>
      </w:tr>
      <w:tr w:rsidR="00C92000" w:rsidRPr="00C92000" w:rsidTr="00C92000">
        <w:tc>
          <w:tcPr>
            <w:tcW w:w="2160" w:type="dxa"/>
            <w:vAlign w:val="bottom"/>
          </w:tcPr>
          <w:p w:rsidR="00C92000" w:rsidRPr="00C92000" w:rsidRDefault="00C92000" w:rsidP="00C92000">
            <w:pPr>
              <w:spacing w:before="200" w:after="0" w:line="240" w:lineRule="auto"/>
              <w:jc w:val="right"/>
              <w:rPr>
                <w:rFonts w:ascii="Times New Roman" w:eastAsia="Times New Roman" w:hAnsi="Times New Roman" w:cs="Times New Roman"/>
              </w:rPr>
            </w:pPr>
            <w:r w:rsidRPr="00C92000">
              <w:rPr>
                <w:rFonts w:ascii="Times New Roman" w:eastAsia="Times New Roman" w:hAnsi="Times New Roman" w:cs="Times New Roman"/>
                <w:lang w:val="sr-Latn-CS"/>
              </w:rPr>
              <w:t>Adresa:</w:t>
            </w:r>
          </w:p>
        </w:tc>
        <w:tc>
          <w:tcPr>
            <w:tcW w:w="7200" w:type="dxa"/>
            <w:vAlign w:val="bottom"/>
          </w:tcPr>
          <w:p w:rsidR="00C92000" w:rsidRPr="00C92000" w:rsidRDefault="00C92000" w:rsidP="00C92000">
            <w:pPr>
              <w:spacing w:before="200" w:after="0" w:line="240" w:lineRule="auto"/>
              <w:ind w:left="72" w:hanging="72"/>
              <w:rPr>
                <w:rFonts w:ascii="Times New Roman" w:eastAsia="Times New Roman" w:hAnsi="Times New Roman" w:cs="Times New Roman"/>
                <w:b/>
                <w:bCs/>
              </w:rPr>
            </w:pPr>
            <w:r w:rsidRPr="00C92000">
              <w:rPr>
                <w:rFonts w:ascii="Times New Roman" w:eastAsia="Times New Roman" w:hAnsi="Times New Roman" w:cs="Times New Roman"/>
                <w:b/>
                <w:bCs/>
              </w:rPr>
              <w:t>Kritskog odreda 4/1, 81000 Podgorica, Crna Gora</w:t>
            </w:r>
          </w:p>
        </w:tc>
      </w:tr>
    </w:tbl>
    <w:p w:rsidR="009318B4" w:rsidRPr="00C92000" w:rsidRDefault="009318B4"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lastRenderedPageBreak/>
        <w:t>1.</w:t>
      </w:r>
      <w:r w:rsidRPr="00C92000">
        <w:rPr>
          <w:rFonts w:ascii="Times New Roman" w:eastAsia="Times New Roman" w:hAnsi="Times New Roman" w:cs="Times New Roman"/>
          <w:b/>
          <w:bCs/>
        </w:rPr>
        <w:tab/>
        <w:t>NAZIV LIJEKA</w:t>
      </w:r>
    </w:p>
    <w:p w:rsidR="00C92000" w:rsidRPr="00C92000" w:rsidRDefault="00C92000" w:rsidP="00C92000">
      <w:pPr>
        <w:spacing w:after="0" w:line="240" w:lineRule="auto"/>
        <w:jc w:val="both"/>
        <w:rPr>
          <w:rFonts w:ascii="Times New Roman" w:eastAsia="Times New Roman" w:hAnsi="Times New Roman" w:cs="Times New Roman"/>
          <w:lang w:val="pl-PL"/>
        </w:rPr>
      </w:pPr>
    </w:p>
    <w:p w:rsidR="00C92000" w:rsidRPr="00C92000" w:rsidRDefault="00C92000" w:rsidP="00C92000">
      <w:pPr>
        <w:spacing w:after="0" w:line="240" w:lineRule="auto"/>
        <w:jc w:val="both"/>
        <w:rPr>
          <w:rFonts w:ascii="Times New Roman" w:eastAsia="Times New Roman" w:hAnsi="Times New Roman" w:cs="Times New Roman"/>
          <w:lang w:val="sv-SE"/>
        </w:rPr>
      </w:pPr>
      <w:r w:rsidRPr="00C92000">
        <w:rPr>
          <w:rFonts w:ascii="Times New Roman" w:eastAsia="Times New Roman" w:hAnsi="Times New Roman" w:cs="Times New Roman"/>
          <w:lang w:val="sv-SE"/>
        </w:rPr>
        <w:t>Nevotens</w:t>
      </w:r>
      <w:r w:rsidRPr="00C92000">
        <w:rPr>
          <w:rFonts w:ascii="Times New Roman" w:eastAsia="Times New Roman" w:hAnsi="Times New Roman" w:cs="Times New Roman"/>
          <w:b/>
          <w:vertAlign w:val="superscript"/>
          <w:lang w:val="sr-Latn-CS"/>
        </w:rPr>
        <w:t>®</w:t>
      </w:r>
    </w:p>
    <w:p w:rsidR="00C92000" w:rsidRPr="00C92000" w:rsidRDefault="00C92000" w:rsidP="00C92000">
      <w:pPr>
        <w:spacing w:after="0" w:line="240" w:lineRule="auto"/>
        <w:jc w:val="both"/>
        <w:rPr>
          <w:rFonts w:ascii="Times New Roman" w:eastAsia="Times New Roman" w:hAnsi="Times New Roman" w:cs="Times New Roman"/>
          <w:lang w:val="sv-SE"/>
        </w:rPr>
      </w:pPr>
    </w:p>
    <w:p w:rsidR="00C92000" w:rsidRPr="00C92000" w:rsidRDefault="00C92000" w:rsidP="00C92000">
      <w:pPr>
        <w:spacing w:after="0" w:line="240" w:lineRule="auto"/>
        <w:jc w:val="both"/>
        <w:rPr>
          <w:rFonts w:ascii="Times New Roman" w:eastAsia="Times New Roman" w:hAnsi="Times New Roman" w:cs="Times New Roman"/>
          <w:lang w:val="sr-Latn-CS"/>
        </w:rPr>
      </w:pPr>
      <w:r w:rsidRPr="00C92000">
        <w:rPr>
          <w:rFonts w:ascii="Times New Roman" w:eastAsia="Times New Roman" w:hAnsi="Times New Roman" w:cs="Times New Roman"/>
          <w:lang w:val="sv-SE"/>
        </w:rPr>
        <w:t>INN: nebivolol</w:t>
      </w:r>
    </w:p>
    <w:p w:rsidR="00C92000" w:rsidRDefault="00C92000" w:rsidP="00C92000">
      <w:pPr>
        <w:spacing w:after="0" w:line="240" w:lineRule="auto"/>
        <w:jc w:val="both"/>
        <w:rPr>
          <w:rFonts w:ascii="Times New Roman" w:eastAsia="Times New Roman" w:hAnsi="Times New Roman" w:cs="Times New Roman"/>
          <w:bCs/>
          <w:lang w:val="sv-SE"/>
        </w:rPr>
      </w:pPr>
    </w:p>
    <w:p w:rsidR="00C92000" w:rsidRPr="00C92000" w:rsidRDefault="00C92000" w:rsidP="00C92000">
      <w:pPr>
        <w:spacing w:after="0" w:line="240" w:lineRule="auto"/>
        <w:jc w:val="both"/>
        <w:rPr>
          <w:rFonts w:ascii="Times New Roman" w:eastAsia="Times New Roman" w:hAnsi="Times New Roman" w:cs="Times New Roman"/>
          <w:bCs/>
          <w:lang w:val="sv-SE"/>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2. </w:t>
      </w:r>
      <w:r w:rsidRPr="00C92000">
        <w:rPr>
          <w:rFonts w:ascii="Times New Roman" w:eastAsia="Times New Roman" w:hAnsi="Times New Roman" w:cs="Times New Roman"/>
          <w:b/>
          <w:bCs/>
        </w:rPr>
        <w:tab/>
        <w:t>KVALITATIVNI I KVANTITATIVNI SASTAV</w:t>
      </w:r>
    </w:p>
    <w:p w:rsidR="00C92000" w:rsidRPr="00C92000" w:rsidRDefault="00C92000" w:rsidP="00C92000">
      <w:pPr>
        <w:spacing w:after="0" w:line="240" w:lineRule="auto"/>
        <w:jc w:val="both"/>
        <w:rPr>
          <w:rFonts w:ascii="Times New Roman" w:eastAsia="Times New Roman" w:hAnsi="Times New Roman" w:cs="Times New Roman"/>
          <w:lang w:val="sr-Latn-CS"/>
        </w:rPr>
      </w:pPr>
    </w:p>
    <w:p w:rsidR="00C92000" w:rsidRPr="00C92000" w:rsidRDefault="00C92000" w:rsidP="00C92000">
      <w:pPr>
        <w:spacing w:after="0" w:line="240" w:lineRule="auto"/>
        <w:jc w:val="both"/>
        <w:rPr>
          <w:rFonts w:ascii="Times New Roman" w:eastAsia="Times New Roman" w:hAnsi="Times New Roman" w:cs="Times New Roman"/>
          <w:lang w:val="en-GB"/>
        </w:rPr>
      </w:pPr>
      <w:r w:rsidRPr="00C92000">
        <w:rPr>
          <w:rFonts w:ascii="Times New Roman" w:eastAsia="Times New Roman" w:hAnsi="Times New Roman" w:cs="Times New Roman"/>
          <w:lang w:val="en-GB"/>
        </w:rPr>
        <w:t>Jedna tableta sadrži 5 mg nebivolola (u obliku 5,45 mg nebivolol hidrohlorida).</w:t>
      </w:r>
    </w:p>
    <w:p w:rsidR="00C92000" w:rsidRPr="00C92000" w:rsidRDefault="00C92000" w:rsidP="00C92000">
      <w:pPr>
        <w:spacing w:after="0" w:line="240" w:lineRule="auto"/>
        <w:jc w:val="both"/>
        <w:rPr>
          <w:rFonts w:ascii="Times New Roman" w:eastAsia="Times New Roman" w:hAnsi="Times New Roman" w:cs="Times New Roman"/>
          <w:lang w:val="en-GB"/>
        </w:rPr>
      </w:pPr>
    </w:p>
    <w:p w:rsidR="00C92000" w:rsidRPr="00C92000" w:rsidRDefault="00C92000" w:rsidP="00C92000">
      <w:pPr>
        <w:spacing w:after="0" w:line="240" w:lineRule="auto"/>
        <w:jc w:val="both"/>
        <w:rPr>
          <w:rFonts w:ascii="Times New Roman" w:eastAsia="Times New Roman" w:hAnsi="Times New Roman" w:cs="Times New Roman"/>
          <w:lang w:val="en-GB"/>
        </w:rPr>
      </w:pPr>
      <w:r w:rsidRPr="00C92000">
        <w:rPr>
          <w:rFonts w:ascii="Times New Roman" w:eastAsia="Times New Roman" w:hAnsi="Times New Roman" w:cs="Times New Roman"/>
          <w:lang w:val="en-GB"/>
        </w:rPr>
        <w:t xml:space="preserve">Jedna tableta sadrži 192,4 mg laktoze, monohidrata. </w:t>
      </w:r>
    </w:p>
    <w:p w:rsidR="00C92000" w:rsidRPr="00C92000" w:rsidRDefault="00C92000" w:rsidP="00C92000">
      <w:pPr>
        <w:spacing w:after="0" w:line="240" w:lineRule="auto"/>
        <w:jc w:val="both"/>
        <w:rPr>
          <w:rFonts w:ascii="Times New Roman" w:eastAsia="Times New Roman" w:hAnsi="Times New Roman" w:cs="Times New Roman"/>
          <w:lang w:val="en-GB"/>
        </w:rPr>
      </w:pPr>
      <w:r w:rsidRPr="00C92000">
        <w:rPr>
          <w:rFonts w:ascii="Times New Roman" w:eastAsia="Times New Roman" w:hAnsi="Times New Roman" w:cs="Times New Roman"/>
          <w:lang w:val="en-GB"/>
        </w:rPr>
        <w:t>Za listu svih pomoćnih supstanci, vidjeti odjeljak 6.1.</w:t>
      </w:r>
    </w:p>
    <w:p w:rsidR="00C92000" w:rsidRDefault="00C92000" w:rsidP="00C92000">
      <w:pPr>
        <w:spacing w:after="0" w:line="240" w:lineRule="auto"/>
        <w:jc w:val="both"/>
        <w:rPr>
          <w:rFonts w:ascii="Times New Roman" w:eastAsia="Times New Roman" w:hAnsi="Times New Roman" w:cs="Times New Roman"/>
          <w:lang w:val="sr-Latn-CS"/>
        </w:rPr>
      </w:pPr>
    </w:p>
    <w:p w:rsidR="00C92000" w:rsidRPr="00C92000" w:rsidRDefault="00C92000" w:rsidP="00C92000">
      <w:pPr>
        <w:spacing w:after="0" w:line="240" w:lineRule="auto"/>
        <w:jc w:val="both"/>
        <w:rPr>
          <w:rFonts w:ascii="Times New Roman" w:eastAsia="Times New Roman" w:hAnsi="Times New Roman" w:cs="Times New Roman"/>
          <w:lang w:val="sr-Latn-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3. </w:t>
      </w:r>
      <w:r w:rsidRPr="00C92000">
        <w:rPr>
          <w:rFonts w:ascii="Times New Roman" w:eastAsia="Times New Roman" w:hAnsi="Times New Roman" w:cs="Times New Roman"/>
          <w:b/>
          <w:bCs/>
        </w:rPr>
        <w:tab/>
        <w:t>FARMACEUTSKI OBLIK</w:t>
      </w:r>
    </w:p>
    <w:p w:rsidR="00C92000" w:rsidRPr="00C92000" w:rsidRDefault="00C92000" w:rsidP="00C92000">
      <w:pPr>
        <w:spacing w:after="0" w:line="240" w:lineRule="auto"/>
        <w:jc w:val="both"/>
        <w:rPr>
          <w:rFonts w:ascii="Times New Roman" w:eastAsia="Times New Roman" w:hAnsi="Times New Roman" w:cs="Times New Roman"/>
          <w:bCs/>
          <w:lang w:val="sr-Latn-CS"/>
        </w:rPr>
      </w:pPr>
    </w:p>
    <w:p w:rsidR="00C92000" w:rsidRPr="00C92000" w:rsidRDefault="00C92000" w:rsidP="00C92000">
      <w:pPr>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Tableta.</w:t>
      </w:r>
    </w:p>
    <w:p w:rsidR="00C92000" w:rsidRPr="00C92000" w:rsidRDefault="00C92000" w:rsidP="00C92000">
      <w:pPr>
        <w:spacing w:after="0" w:line="240" w:lineRule="auto"/>
        <w:jc w:val="both"/>
        <w:rPr>
          <w:rFonts w:ascii="Times New Roman" w:eastAsia="Times New Roman" w:hAnsi="Times New Roman" w:cs="Times New Roman"/>
          <w:bCs/>
          <w:lang w:val="en-GB"/>
        </w:rPr>
      </w:pPr>
    </w:p>
    <w:p w:rsidR="00C92000" w:rsidRPr="00C92000" w:rsidRDefault="00C92000" w:rsidP="00C92000">
      <w:pPr>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Nevotens tablete su bijele, okrugle, konveksne tablete sa dvije unakrsne podione crte na jednoj strani i utisnutom oznakom N5 na drugoj strani.</w:t>
      </w:r>
    </w:p>
    <w:p w:rsidR="00C92000" w:rsidRDefault="00C92000" w:rsidP="00C92000">
      <w:pPr>
        <w:spacing w:after="0" w:line="240" w:lineRule="auto"/>
        <w:jc w:val="both"/>
        <w:rPr>
          <w:rFonts w:ascii="Times New Roman" w:eastAsia="Times New Roman" w:hAnsi="Times New Roman" w:cs="Times New Roman"/>
          <w:bCs/>
          <w:lang w:val="sr-Latn-CS"/>
        </w:rPr>
      </w:pPr>
    </w:p>
    <w:p w:rsidR="00C92000" w:rsidRPr="00C92000" w:rsidRDefault="00C92000" w:rsidP="00C92000">
      <w:pPr>
        <w:spacing w:after="0" w:line="240" w:lineRule="auto"/>
        <w:jc w:val="both"/>
        <w:rPr>
          <w:rFonts w:ascii="Times New Roman" w:eastAsia="Times New Roman" w:hAnsi="Times New Roman" w:cs="Times New Roman"/>
          <w:bCs/>
          <w:lang w:val="sr-Latn-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 </w:t>
      </w:r>
      <w:r w:rsidRPr="00C92000">
        <w:rPr>
          <w:rFonts w:ascii="Times New Roman" w:eastAsia="Times New Roman" w:hAnsi="Times New Roman" w:cs="Times New Roman"/>
          <w:b/>
          <w:bCs/>
        </w:rPr>
        <w:tab/>
        <w:t>KLINIČKI PODACI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4.1. </w:t>
      </w:r>
      <w:r w:rsidRPr="00C92000">
        <w:rPr>
          <w:rFonts w:ascii="Times New Roman" w:eastAsia="Times New Roman" w:hAnsi="Times New Roman" w:cs="Times New Roman"/>
          <w:b/>
          <w:bCs/>
        </w:rPr>
        <w:tab/>
        <w:t>Terapijske indikacije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182BC3">
      <w:pPr>
        <w:numPr>
          <w:ilvl w:val="0"/>
          <w:numId w:val="5"/>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Hipertenzija – terapija esencijalne hipertenzije.</w:t>
      </w:r>
    </w:p>
    <w:p w:rsidR="00C92000" w:rsidRPr="00C92000" w:rsidRDefault="00C92000" w:rsidP="00182BC3">
      <w:pPr>
        <w:numPr>
          <w:ilvl w:val="0"/>
          <w:numId w:val="5"/>
        </w:num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lang w:val="en-GB"/>
        </w:rPr>
        <w:t>Hronična insuficijencija srca – terapija stabilne blage i umjerene hronične srčane insuficijencije, kao dodatak standardnoj terapiji kod starijih pacijenta (≥ 70 godina).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4.2. </w:t>
      </w:r>
      <w:r w:rsidRPr="00C92000">
        <w:rPr>
          <w:rFonts w:ascii="Times New Roman" w:eastAsia="Times New Roman" w:hAnsi="Times New Roman" w:cs="Times New Roman"/>
          <w:b/>
          <w:bCs/>
        </w:rPr>
        <w:tab/>
        <w:t>Doziranje i način primjene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u w:val="single"/>
          <w:lang w:val="en-GB"/>
        </w:rPr>
      </w:pPr>
      <w:r w:rsidRPr="00C92000">
        <w:rPr>
          <w:rFonts w:ascii="Times New Roman" w:eastAsia="Times New Roman" w:hAnsi="Times New Roman" w:cs="Times New Roman"/>
          <w:bCs/>
          <w:u w:val="single"/>
          <w:lang w:val="en-GB"/>
        </w:rPr>
        <w:t>Doziranje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Hipertenzija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Odrasli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Uzima se jedna tableta (5 mg) dnevno, po mogućnosti u isto doba dana. Efekat sniženja krvnog pritiska postaje primjetan nakon 1-2 nedjelje od početka terapije. Ponekad, optimalni efekt se postiže tek nakon 4 nedjelje.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Kombinacija sa drugim antihipertenzivima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Beta blokatori se mogu primjenjivati kao monoterapija ili u kombinaciji sa drugim antihipertenzivima. Do sada, dodatni antihipertenzivni efekt je primijećen samo prilikom kombinovane primjene lijeka </w:t>
      </w:r>
      <w:r w:rsidRPr="00C92000">
        <w:rPr>
          <w:rFonts w:ascii="Times New Roman" w:eastAsia="Times New Roman" w:hAnsi="Times New Roman" w:cs="Times New Roman"/>
          <w:bCs/>
        </w:rPr>
        <w:t>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i hidrohlorotiazida (12,5-25 mg).</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Pacijenti sa insuficijencijom bubrega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Kod pacijenata sa insuficijencijom bubrega, preporučena početna dnevna doza lijeka iznosi 2,5 mg. Ako je potrebno, dnevna doza se može povećati na 5 mg.</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Pacijenti sa insuficijencijom jetre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Ograničeni su podaci o primjeni nebivolola kod pacijenata sa insuficijencijom jetre ili sa oslabljenom funkcijom jetre. Zbog toga je kontraindikovana primjena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kod ovih pacijenata.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Starije osobe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starijih od 65 godina, preporučuje se početna doza od 2,5 mg na dan. Ako je potrebno, dnevna doza se može povećati na 5 mg. Međutim, s obzirom na ograničeno iskustvo sa primjenom</w:t>
      </w:r>
      <w:r w:rsidRPr="00C92000">
        <w:rPr>
          <w:rFonts w:ascii="Times New Roman" w:eastAsia="Times New Roman" w:hAnsi="Times New Roman" w:cs="Times New Roman"/>
          <w:w w:val="105"/>
          <w:lang w:val="en-GB" w:eastAsia="en-GB"/>
        </w:rPr>
        <w:t xml:space="preserve"> </w:t>
      </w:r>
      <w:r w:rsidRPr="00C92000">
        <w:rPr>
          <w:rFonts w:ascii="Times New Roman" w:eastAsia="Times New Roman" w:hAnsi="Times New Roman" w:cs="Times New Roman"/>
          <w:bCs/>
          <w:lang w:val="en-GB"/>
        </w:rPr>
        <w:t>kod pacijenata starijih od 75 godina, treba biti posebno oprezan i pažljivo pratiti te pacijente.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Pedijatrijska populacija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Nijesu sprovođene studije primjene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kod djece i adolescenata mlađih od 18 godina. Nema dostupnih podataka. Stoga, primjena kod djece i adolescenata se ne preporučuje.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Hronična srčana insuficijencija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Liječenje stabilne hronične srčane insuficijencije treba započeti postepenim povećanjem doze sve dok se ne postigne optimalna doza održavanja za svakog pacijenta.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Pacijenti bi trebalo da imaju stabilnu hroničnu srčanu insuficijenciju, bez akutnog napada u prethodnih 6 nedjelja. Preporučuje se da terapiju određuje ljekar koji ima iskustva u liječenju hronične srčane insuficijencije.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Pacijentima koji primaju druge kardiovaskularne ljekove, uključujući diuretike i/ili digoksin i/ili ACE inhibitore i/ili antagoniste receptora za angiotenzin II, treba ustaliti doziranje ovih ljekova 2 nedjelje prije početka primjene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Početnu titraciju doze treba sprovesti prema sljedećim fazama u intervalima od 1 do 2 nedjelje u zavisnosti od toga kako pacijent podnosi lijek:</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dozu od 1,25 mg nebivolola povećati na 2,5 mg nebivolola jednom dnevno, zatim na 5 mg jednom dnevno, a zatim na 10 mg jednom dnevno.</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Maksimalna preporučena dnevna doza nebivolola iznosi 10 mg.</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Na početku liječenja i prilikom svakog povećanje doze, pacijent treba da bude pod nadzorom iskusnog ljekara u vremenskom periodu od najmanje dva sata od uzimanja lijeka, kako bi bili sigurni da je klinički status bolesnika i dalje stabilan (to se posebno odnosi na krvni pritisak, srčanu frekvencu, poremećaje sprovođenja, znake pogoršanja srčane insuficijencije).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Pojava neželjenih dejstava može spriječiti primjenu lijeka u maksimalnoj preporučenoj dozi kod svih pacijenata. Ako je neophodno, postignuta doza se takođe može postepeno smanjivati i po potrebi ponovo uvesti u terapiju.</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Tokom faze titracije doza, u slučaju da dođe do pogoršanja srčane insuficijencije ili intolerancije, preporučuje se da se prvo smanji doza nebivolola, ili odmah prekine primjena lijeka ako je to neophodno (u slučaju teške </w:t>
      </w:r>
      <w:r w:rsidRPr="00C92000">
        <w:rPr>
          <w:rFonts w:ascii="Times New Roman" w:eastAsia="Times New Roman" w:hAnsi="Times New Roman" w:cs="Times New Roman"/>
          <w:bCs/>
          <w:lang w:val="en-GB"/>
        </w:rPr>
        <w:lastRenderedPageBreak/>
        <w:t>hipotenzije, pogoršanja insuficijencije srca sa akutnim edemom pluća, kardiogenog šoka, simptomatske bradikardije ili postojanja AV bloka).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Liječenje stabilne hronične srčane insuficijencije nebivololom generalno se smatra dugotrajnim.</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 preporučuje se nagli prekid primjene nebivolola, zbog toga što može doći do prolaznog pogoršanja srčane insuficijencije. Ako je prekid terapije neophodan, doza nebivolola se mora postepeno smanjivati na polovinu od prethodne u razmaku od nedjelju dana.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Pacijenti sa insuficijencijom bubrega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 potrebno prilagođavanje doza kod pacijenata sa blagim do umjerenim oblikom bubrežne insuficijencije, jer se procesom titracije doza lijeka povećava do najveće podnošljive za svakog pacijenta ponaosob. Nema iskustava sa primjenom lijeka kod pacijenata sa teškim oblikom insuficijencije bubrega (serumski kreatinin ≥ 250 µmol/L). Zbog toga se kod ovih pacijenata ne preporučuje primjena 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Pacijenti sa insuficijencijom jetre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Ograničeni su podaci o primjeni nebivolola kod pacijenata sa insuficijencijom jetre. Zbog toga je kontraindikovana primjena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kod ovih pacijenata.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Starije osobe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 potrebno prilagođavanje doze, pošto se titracija do maksimalno podnošljive doze sprovodi za svakog pacijenta ponaosob.</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Pedijatrijska populacija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Nijesu sprovedene studije sa nebivololom kod djece i adolescenata mlađih od 18 godina. Zbog toga se ne preporučuje primjena lijeka kod ovih pacijenata. Nema dostupnih podataka.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u w:val="single"/>
          <w:lang w:val="en-GB"/>
        </w:rPr>
      </w:pPr>
      <w:r w:rsidRPr="00C92000">
        <w:rPr>
          <w:rFonts w:ascii="Times New Roman" w:eastAsia="Times New Roman" w:hAnsi="Times New Roman" w:cs="Times New Roman"/>
          <w:bCs/>
          <w:u w:val="single"/>
          <w:lang w:val="en-GB"/>
        </w:rPr>
        <w:t>Način primjene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Oralna primjena.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Tablete se mogu uzimati uz obroke.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4.3. </w:t>
      </w:r>
      <w:r w:rsidRPr="00C92000">
        <w:rPr>
          <w:rFonts w:ascii="Times New Roman" w:eastAsia="Times New Roman" w:hAnsi="Times New Roman" w:cs="Times New Roman"/>
          <w:b/>
          <w:bCs/>
        </w:rPr>
        <w:tab/>
        <w:t>Kontraindikacije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Preosjetljivost na aktivnu supstancu ili na bilo koju od pomoćnih supstanci (navedene u odjeljku 6.1).</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Insuficijencija jetre ili narušena funkcija jetre.</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Akutna insuficijencija srca, kardiogeni šok ili epizode dekompenzacije kod srčane insuficijencije koje zahtijevaju intravensku primjenu inotropnih ljekova.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Pored toga, kao i kod ostalih beta blokatora, primjena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je kontraindikovana u sljedećim slučajevima:</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Sindrom bolesnog sinusnog čvora, uključujući i sinoatrijalni blok.</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Srčani blok II I III stepena (bez pejsmejkera).</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Bronhospazam i bronhijalna astma u anamnezi.</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Neliječeni feohromocitom.</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Metabolička acidoza.</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Bradikardija (srčana frekvenca &lt; od 60 otkucaja/min, prije početka liječenja).</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Hipotenzija (sistolni krvni pritisak &lt; od 90 mmHg).</w:t>
      </w:r>
    </w:p>
    <w:p w:rsidR="00C92000" w:rsidRPr="00C92000" w:rsidRDefault="00C92000" w:rsidP="00182BC3">
      <w:pPr>
        <w:numPr>
          <w:ilvl w:val="2"/>
          <w:numId w:val="4"/>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Teški poremećaji periferne cirkulacije.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4.4. </w:t>
      </w:r>
      <w:r w:rsidRPr="00C92000">
        <w:rPr>
          <w:rFonts w:ascii="Times New Roman" w:eastAsia="Times New Roman" w:hAnsi="Times New Roman" w:cs="Times New Roman"/>
          <w:b/>
          <w:bCs/>
        </w:rPr>
        <w:tab/>
        <w:t>Posebna upozorenja i mjere opreza pri upotrebi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Vidjeti odjeljak 4.8 Neželjena dejstva.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Sljedeća upozorenja i mjere opreza generalno se odnose na beta-blokatore.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Anestezija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Kontinuirana blokada beta adrenergičkih receptora smanjuje rizik za nastanak aritmija tokom indukcije i intubacije. Ukoliko je potrebno, tokom pripreme za hiruršku intervenciju, primjenu beta blokatora treba prekinuti najmanje 24 h ranije.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Treba biti oprezan tokom primjene određenih anestetika koji izazivaju depresiju miokarda. Pacijenti se mogu zaštiti od reakcije vagusa intravenskom primjenom atropina.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Kardiovaskularna upozorenja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Uopšteno, blokatore beta adrenergičkih receptora ne treba primjenjivati kod pacijenata sa neliječenom kongestivnom srčanom insuficijencijom sve dok se stanje njihove bolesti ne stabilizuje.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sa ishemijskom bolešću srca, liječenje blokatorima beta adrenergičkih receptora treba prekinuti postepeno, tj. u toku 1 do 2 nedjelje. Ako je neophodno, istovremeno u terapiju treba uvesti druge ljekove kako ne bi došlo do egzacerbacije angine pektoris.</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Beta blokatori mogu izazvati bradikardiju: ako se broj otkucaja srca u stanju mirovanja smanji ispod 50 do 55 otkucaja u minutu ili se kod pacijenta pojave simptomi koji ukazuju na bradikardiju, dozu lijeka treba smanjiti.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Beta blokatore treba primjenjivati sa oprezom:</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182BC3">
      <w:pPr>
        <w:numPr>
          <w:ilvl w:val="0"/>
          <w:numId w:val="7"/>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sa poremećajima periferne cirkulacije (</w:t>
      </w:r>
      <w:r w:rsidRPr="00C92000">
        <w:rPr>
          <w:rFonts w:ascii="Times New Roman" w:eastAsia="Times New Roman" w:hAnsi="Times New Roman" w:cs="Times New Roman"/>
          <w:bCs/>
          <w:i/>
          <w:iCs/>
          <w:lang w:val="en-GB"/>
        </w:rPr>
        <w:t>Raynaud</w:t>
      </w:r>
      <w:r w:rsidRPr="00C92000">
        <w:rPr>
          <w:rFonts w:ascii="Times New Roman" w:eastAsia="Times New Roman" w:hAnsi="Times New Roman" w:cs="Times New Roman"/>
          <w:bCs/>
          <w:lang w:val="en-GB"/>
        </w:rPr>
        <w:t>-ova bolest ili sindrom, intermitentna klaudikacija) jer može doći do pogoršanja ovih poremećaja;</w:t>
      </w:r>
    </w:p>
    <w:p w:rsidR="00C92000" w:rsidRPr="00C92000" w:rsidRDefault="00C92000" w:rsidP="00182BC3">
      <w:pPr>
        <w:numPr>
          <w:ilvl w:val="0"/>
          <w:numId w:val="7"/>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sa srčanim blokom I stepena, zbog negativnog efekta beta blokatora na vrijeme sprovođenja impulsa;</w:t>
      </w:r>
    </w:p>
    <w:p w:rsidR="00C92000" w:rsidRPr="00C92000" w:rsidRDefault="00C92000" w:rsidP="00182BC3">
      <w:pPr>
        <w:numPr>
          <w:ilvl w:val="0"/>
          <w:numId w:val="7"/>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kod pacijenata sa </w:t>
      </w:r>
      <w:r w:rsidRPr="00C92000">
        <w:rPr>
          <w:rFonts w:ascii="Times New Roman" w:eastAsia="Times New Roman" w:hAnsi="Times New Roman" w:cs="Times New Roman"/>
          <w:bCs/>
          <w:i/>
          <w:iCs/>
          <w:lang w:val="en-GB"/>
        </w:rPr>
        <w:t>Prinzmetal</w:t>
      </w:r>
      <w:r w:rsidRPr="00C92000">
        <w:rPr>
          <w:rFonts w:ascii="Times New Roman" w:eastAsia="Times New Roman" w:hAnsi="Times New Roman" w:cs="Times New Roman"/>
          <w:bCs/>
          <w:lang w:val="en-GB"/>
        </w:rPr>
        <w:t>-ovom anginom pektoris zbog vazokonstrikcije koronarnih arterija posredovane aktivacijom alfa receptora: beta blokatori mogu povećati broj anginoznih napada kao i dužinu njihovog trajanja.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 preporučuje se kombinacija nebivolola sa blokatorima kalcijumovih kanala kao što su verapamil i diltiazem, sa antiaritmicima klase I, kao i sa centralno djelujućim antihipertenzivima. Za detalje pogledati dio 4.5.</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Metabolički/endokrinološki poremećaji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Lijek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ne utiče na koncentraciju glukoze kod pacijenata sa dijabetesom. Međutim, kod ovih pacijenata je u svakom slučaju potreban povećan oprez, s obzirom na to da nebivolol može maskirati postojanje određenih simptoma hipoglikemije (tahikardija, palpitacije).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Blokatori beta adrenergičkih receptora mogu maskirati simptome tahikardije kod pacijenata sa hipertireozom. Nagli prekid uzimanja lijeka može pojačati simptome.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Respiratorni poremećaji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sa hroničnom opstruktivnom bolešću pluća, antagoniste beta adrenergičkih receptora treba primjenjivati uz povećan oprez, jer se može pogoršati konstrikcija disajnih puteva.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Ostala upozorenja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Pacijenti sa psorijazom u anamnezi mogu koristiti beta blokatore samo poslije pažljive procjene. Beta blokatori mogu povećati osjetljivost na alergene i intenzitet anafilaktičkih reakcija.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Početak liječenja hronične srčane insuficijencije primjenom nebivolola zahtijeva redovno praćenje. Za doziranje i način primjene vidjeti odjeljak 4.2. Liječenje se ne smije naglo prekinuti, izuzev kada je to jasno indikovano. Za više informacija, vidjeti odjeljak 4.2.</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Ovaj lijek sadrži laktozu. Pacijenti sa rijetkim nasljednim oboljenjem intolerancije na galaktozu, nedostatkom Lapp laktaze ili glukozno-galaktoznom malapsorpcijom, ne smiju koristiti ovaj lijek.</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4.5. </w:t>
      </w:r>
      <w:r w:rsidRPr="00C92000">
        <w:rPr>
          <w:rFonts w:ascii="Times New Roman" w:eastAsia="Times New Roman" w:hAnsi="Times New Roman" w:cs="Times New Roman"/>
          <w:b/>
          <w:bCs/>
        </w:rPr>
        <w:tab/>
        <w:t>Interakcije sa drugim ljekovima i druge vrste interakcija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Farmakodinamske interakcije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Sljedeće interakcije generalno važe za beta-blokatore.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Kombinacije koje se ne preporučuju</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Antiaritmici klase I (hinidin, hidrohinidin, cibenzolin, flekainid, dizopiramid, lidokain, meksiletin, propafenon)</w:t>
      </w:r>
      <w:r w:rsidRPr="00C92000">
        <w:rPr>
          <w:rFonts w:ascii="Times New Roman" w:eastAsia="Times New Roman" w:hAnsi="Times New Roman" w:cs="Times New Roman"/>
          <w:bCs/>
          <w:lang w:val="en-GB"/>
        </w:rPr>
        <w:t>: potencira se efekat na atrioventrikularno vrijeme sprovođenja i pojačava se negativni inotropni efekat (vidjeti odjeljak 4.4).</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Blokatori kalcijumskih kanala tipa verapamila i diltiazema</w:t>
      </w:r>
      <w:r w:rsidRPr="00C92000">
        <w:rPr>
          <w:rFonts w:ascii="Times New Roman" w:eastAsia="Times New Roman" w:hAnsi="Times New Roman" w:cs="Times New Roman"/>
          <w:bCs/>
          <w:lang w:val="en-GB"/>
        </w:rPr>
        <w:t>: negativan uticaj na kontraktilnost i atrioventrikularno sprovođenje. Intravenska primjena verapamila kod pacijenata koji su na terapiji beta blokatorima, može izazvati značajnu hipotenziju i atrioventrikularni blok (vidjeti odjeljak 4.4).</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Antihipertenzivi centralnog dejstva (klonidin, guanfacin, moksonidin, metildopa, rilmenidin)</w:t>
      </w:r>
      <w:r w:rsidRPr="00C92000">
        <w:rPr>
          <w:rFonts w:ascii="Times New Roman" w:eastAsia="Times New Roman" w:hAnsi="Times New Roman" w:cs="Times New Roman"/>
          <w:bCs/>
          <w:lang w:val="en-GB"/>
        </w:rPr>
        <w:t>: istovremena primjena antihipertenzivnih ljekova sa centralnim dejstvom može pogoršati srčanu insuficijenciju smanjenjem centralnog simpatičkog tonusa (smanjenje srčanog ritma i sistolnog volumena, vazodilatacija) (vidjeti odjeljak 4.4). Nagli prekid terapije, posebno prije prestanka primjene beta blokatora, može da poveća rizik za nastanak „</w:t>
      </w:r>
      <w:r w:rsidRPr="00C92000">
        <w:rPr>
          <w:rFonts w:ascii="Times New Roman" w:eastAsia="Times New Roman" w:hAnsi="Times New Roman" w:cs="Times New Roman"/>
          <w:bCs/>
          <w:i/>
          <w:iCs/>
          <w:lang w:val="en-GB"/>
        </w:rPr>
        <w:t>rebound</w:t>
      </w:r>
      <w:r w:rsidRPr="00C92000">
        <w:rPr>
          <w:rFonts w:ascii="Times New Roman" w:eastAsia="Times New Roman" w:hAnsi="Times New Roman" w:cs="Times New Roman"/>
          <w:bCs/>
          <w:lang w:val="en-GB"/>
        </w:rPr>
        <w:t>“ hipertenzije.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Kombinacije koje zahtijevaju oprez</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Antiaritmici klase III (amjodaron)</w:t>
      </w:r>
      <w:r w:rsidRPr="00C92000">
        <w:rPr>
          <w:rFonts w:ascii="Times New Roman" w:eastAsia="Times New Roman" w:hAnsi="Times New Roman" w:cs="Times New Roman"/>
          <w:bCs/>
          <w:lang w:val="en-GB"/>
        </w:rPr>
        <w:t>: potencira se uticaj na vrijeme atrioventrikularnog sprovođenja impulsa.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Anestetici – isparljivi halogenovani</w:t>
      </w:r>
      <w:r w:rsidRPr="00C92000">
        <w:rPr>
          <w:rFonts w:ascii="Times New Roman" w:eastAsia="Times New Roman" w:hAnsi="Times New Roman" w:cs="Times New Roman"/>
          <w:bCs/>
          <w:lang w:val="en-GB"/>
        </w:rPr>
        <w:t>: istovremena primjena beta blokatora i anestetika može oslabiti pojavu refleksne tahikardije i povećati rizik za nastanak hipotenzije (vidjeti odjeljak 4.4). Po pravilu, treba izbjegavati nagli prestanak primjene beta blokatora. Anesteziologa treba obavijestiti ako pacijent uzima lijek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Insulin i oralni antidijabetici</w:t>
      </w:r>
      <w:r w:rsidRPr="00C92000">
        <w:rPr>
          <w:rFonts w:ascii="Times New Roman" w:eastAsia="Times New Roman" w:hAnsi="Times New Roman" w:cs="Times New Roman"/>
          <w:bCs/>
          <w:lang w:val="en-GB"/>
        </w:rPr>
        <w:t>: iako nebivolol ne utiče na koncentraciju glukoze, njegova istovremena primjena sa ovim ljekovima može maskirati određene simptome hipoglikemije (palpitacije, tahikardije).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lastRenderedPageBreak/>
        <w:t>Baklofen (miorelaksans), amifostin (citoprotektor – dodatak antineoplastičnim koktelima)</w:t>
      </w:r>
      <w:r w:rsidRPr="00C92000">
        <w:rPr>
          <w:rFonts w:ascii="Times New Roman" w:eastAsia="Times New Roman" w:hAnsi="Times New Roman" w:cs="Times New Roman"/>
          <w:bCs/>
          <w:lang w:val="en-GB"/>
        </w:rPr>
        <w:t>: istovremena primjena sa antihipertenzivima može dovesti do većeg pada krvnog pritiska, te shodno tome treba prilagoditi dozu antihipertenzivnih ljekova.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Kombinacije koje zahtijevaju razmatranje prije uvođenja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Glikozidi digitalisa</w:t>
      </w:r>
      <w:r w:rsidRPr="00C92000">
        <w:rPr>
          <w:rFonts w:ascii="Times New Roman" w:eastAsia="Times New Roman" w:hAnsi="Times New Roman" w:cs="Times New Roman"/>
          <w:bCs/>
          <w:lang w:val="en-GB"/>
        </w:rPr>
        <w:t>: istovremena primjena može produžiti vrijeme atrio-ventrikularnog sprovođenja impulsa. Klinička ispitivanja sa nebivololom nijesu pokazala bilo kakve kliničke znake interakcije. Nebivolol ne utiče na kinetiku digoksina.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Blokatori kalcijumovih kanala dihidropiridinskog tipa (amlodipin, felodipin, lacidipin, nifedipin, nikardipin, nimodipin, nitrendipin)</w:t>
      </w:r>
      <w:r w:rsidRPr="00C92000">
        <w:rPr>
          <w:rFonts w:ascii="Times New Roman" w:eastAsia="Times New Roman" w:hAnsi="Times New Roman" w:cs="Times New Roman"/>
          <w:bCs/>
          <w:lang w:val="en-GB"/>
        </w:rPr>
        <w:t>: istovremena primjena može povećati rizik za nastanak hipotenzije, pa se ne može isključiti povećanje rizika od daljeg pogoršanja kontraktilne sposobnosti komora, kod pacijenata sa srčanom insuficijencijom.</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Antipsihotici, antidepresivi (triciklici, barbiturati i fenotiazini)</w:t>
      </w:r>
      <w:r w:rsidRPr="00C92000">
        <w:rPr>
          <w:rFonts w:ascii="Times New Roman" w:eastAsia="Times New Roman" w:hAnsi="Times New Roman" w:cs="Times New Roman"/>
          <w:bCs/>
          <w:lang w:val="en-GB"/>
        </w:rPr>
        <w:t>: istovremena primjena može potencirati hipotenzivni efekat beta blokatora (aditivni efekat).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Nesteroidni antiinflamatorni ljekovi (NSAIL)</w:t>
      </w:r>
      <w:r w:rsidRPr="00C92000">
        <w:rPr>
          <w:rFonts w:ascii="Times New Roman" w:eastAsia="Times New Roman" w:hAnsi="Times New Roman" w:cs="Times New Roman"/>
          <w:bCs/>
          <w:lang w:val="en-GB"/>
        </w:rPr>
        <w:t>: nema uticaja na hipotenzivni efekat 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Simpatikomimetici</w:t>
      </w:r>
      <w:r w:rsidRPr="00C92000">
        <w:rPr>
          <w:rFonts w:ascii="Times New Roman" w:eastAsia="Times New Roman" w:hAnsi="Times New Roman" w:cs="Times New Roman"/>
          <w:bCs/>
          <w:lang w:val="en-GB"/>
        </w:rPr>
        <w:t>: istovremena primjena može da ima efekat suprotan beta blokatororima. Beta adrenergički ljekovi mogu dovesti do pojačanja alfa adrenergičke aktivnosti simpatikomimetika sa istovremenim alfa i beta adrenergičkim efektima (rizik od nastanka hipertenzije, izražene bradikardije i srčanog bloka).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Farmakokinetičke interakcije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Kako je u metabolizam nebivolola uključen CYP2D6 izoenzim, istovremena primjena ljekova koji mogu da inhibiraju ovaj enzim, posebno paroksetina, fluoksetina, tioridazina i hinidina može dovesti do porasta koncentracije nebivolola u plazmi i povećanog rizika za pojavu izražene bradikardije i neželjenih dejstava.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Istovremena primjena cimetidina povećava koncentraciju nebivolola u plazmi, ali ne mijenja kliničke efekte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Istovremena primjena ranitidina ne utiče na farmakokinetiku nebivolola. Ako se tablete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uzimaju sa hranom, a antacid između obroka, mogu se propisati oba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Kombinacija nebivolola i nikardipina ima za posljedicu blagi porast koncentracije oba lijeka u plazmi, bez promjene u kliničkim efektima. Istovremena primjena alkohola, furosemida ili hidrohlorotiazida ne utiče na farmakokinetiku nebivolola. Nebivolol ne mijenja farkakokinetiku i farmakodinamiku varfarina.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4.6. </w:t>
      </w:r>
      <w:r w:rsidRPr="00C92000">
        <w:rPr>
          <w:rFonts w:ascii="Times New Roman" w:eastAsia="Times New Roman" w:hAnsi="Times New Roman" w:cs="Times New Roman"/>
          <w:b/>
          <w:bCs/>
        </w:rPr>
        <w:tab/>
        <w:t>Primjena u periodu trudnoće i dojenja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Primjena u trudnoći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Farmakološki efekti nebivolola mogu štetno djelovati na trudnoću i/ili fetus ili novorođenče. Uopšteno, beta blokatori smanjuju perfuziju placente, što se povezuje sa zastojem u razvoju, intrauterinom smrću, abortusom ili prijevremenim porođajem. Neželjeni efekti (npr. hipoglikemija i bradikardija) se mogu pojaviti kod fetusa i novorođenčeta. Ako je primjena beta blokatora u trudnoći neophodna, preporučuje se liječenje selektivnim blokatorima β</w:t>
      </w:r>
      <w:r w:rsidRPr="00C92000">
        <w:rPr>
          <w:rFonts w:ascii="Times New Roman" w:eastAsia="Times New Roman" w:hAnsi="Times New Roman" w:cs="Times New Roman"/>
          <w:bCs/>
          <w:vertAlign w:val="subscript"/>
          <w:lang w:val="en-GB"/>
        </w:rPr>
        <w:t>1</w:t>
      </w:r>
      <w:r w:rsidRPr="00C92000">
        <w:rPr>
          <w:rFonts w:ascii="Times New Roman" w:eastAsia="Times New Roman" w:hAnsi="Times New Roman" w:cs="Times New Roman"/>
          <w:bCs/>
          <w:lang w:val="en-GB"/>
        </w:rPr>
        <w:t>- adreneregičkih receptora.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Nebivolol ne treba uzimati u trudnoći, osim ako to nije izrazito neophodno. Ako se smatra da je primjena nebivolola neophodna, treba pratiti uteroplacentalni protok krvi, kao i rast fetusa. U slučaju pojave štetnih efekata na trudnoću ili fetus, treba razmotriti alternativnu terapiju. Novorođenče se mora pažljivo pratiti. Pojava simptoma hipoglikemije i bradikardije se očekuje tokom prva 3 dana.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Primjena tokom dojenja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Ispitivanja na životinjima su pokazala da se nebivolol izlučuje u mlijeko. Nije poznato da li se nebivolol izlučuje i u humano mlijeko. Većina beta blokatora, posebno lipofilni kao što su nebivolol i njegovi aktivni metaboliti, u različitom stepenu prelaze u majčino mlijeko. Zbog toga se ne preporučuje dojenje tokom primjene 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4.7. </w:t>
      </w:r>
      <w:r w:rsidRPr="00C92000">
        <w:rPr>
          <w:rFonts w:ascii="Times New Roman" w:eastAsia="Times New Roman" w:hAnsi="Times New Roman" w:cs="Times New Roman"/>
          <w:b/>
          <w:bCs/>
        </w:rPr>
        <w:tab/>
        <w:t>Uticaj na psihofizičke sposobnosti prilikom upravljanja motornim vozilima i rukovanja mašinama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Nijesu sprovedena ispitivanja uticaja nebivolola na sposobnost upravljanja motornim vozilima i rukovanja mašinama. Farmakodinamska ispitivanja pokazala su da nebivolol u dozi od 5 mg ne utiče na psihomotorne funkcije. Prilikom upravljanja motornim vozilima ili rukovanja mašinama treba voditi računa da povremeno može doći do vrtoglavice i zamora.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4.8. </w:t>
      </w:r>
      <w:r w:rsidRPr="00C92000">
        <w:rPr>
          <w:rFonts w:ascii="Times New Roman" w:eastAsia="Times New Roman" w:hAnsi="Times New Roman" w:cs="Times New Roman"/>
          <w:b/>
          <w:bCs/>
        </w:rPr>
        <w:tab/>
        <w:t>Neželjena dejstva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Odvojeno su prikazana neželjena dejstva kod pacijenata sa hipertenzijom i hroničnom insuficijencijom srca, zbog razlika koje proizilaze iz osnovne bolesti.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Hipertenzija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Zabilježena neželjena dejstva, koja su u većini slučajeva bila blagog do umjerenog intenziteta, prikazana su u donjoj tabeli prema sistemima organa i prema učestalosti:</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rPr>
      </w:pPr>
    </w:p>
    <w:tbl>
      <w:tblPr>
        <w:tblW w:w="0" w:type="auto"/>
        <w:jc w:val="center"/>
        <w:tblLayout w:type="fixed"/>
        <w:tblCellMar>
          <w:left w:w="0" w:type="dxa"/>
          <w:right w:w="0" w:type="dxa"/>
        </w:tblCellMar>
        <w:tblLook w:val="0000" w:firstRow="0" w:lastRow="0" w:firstColumn="0" w:lastColumn="0" w:noHBand="0" w:noVBand="0"/>
      </w:tblPr>
      <w:tblGrid>
        <w:gridCol w:w="2117"/>
        <w:gridCol w:w="1483"/>
        <w:gridCol w:w="2097"/>
        <w:gridCol w:w="1790"/>
        <w:gridCol w:w="1562"/>
      </w:tblGrid>
      <w:tr w:rsidR="00C92000" w:rsidRPr="00C92000" w:rsidTr="003669D2">
        <w:trPr>
          <w:trHeight w:val="474"/>
          <w:jc w:val="center"/>
        </w:trPr>
        <w:tc>
          <w:tcPr>
            <w:tcW w:w="2117"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r w:rsidRPr="00C92000">
              <w:rPr>
                <w:rFonts w:ascii="Times New Roman" w:eastAsia="Times New Roman" w:hAnsi="Times New Roman" w:cs="Times New Roman"/>
                <w:b/>
                <w:bCs/>
                <w:lang w:val="en-GB"/>
              </w:rPr>
              <w:t xml:space="preserve"> Sistem organa</w:t>
            </w:r>
          </w:p>
        </w:tc>
        <w:tc>
          <w:tcPr>
            <w:tcW w:w="1483"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r w:rsidRPr="00C92000">
              <w:rPr>
                <w:rFonts w:ascii="Times New Roman" w:eastAsia="Times New Roman" w:hAnsi="Times New Roman" w:cs="Times New Roman"/>
                <w:b/>
                <w:bCs/>
                <w:lang w:val="en-GB"/>
              </w:rPr>
              <w:t xml:space="preserve"> Često</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
                <w:bCs/>
                <w:lang w:val="en-GB"/>
              </w:rPr>
              <w:t xml:space="preserve"> </w:t>
            </w:r>
            <w:r w:rsidRPr="00C92000">
              <w:rPr>
                <w:rFonts w:ascii="Times New Roman" w:eastAsia="Times New Roman" w:hAnsi="Times New Roman" w:cs="Times New Roman"/>
                <w:bCs/>
                <w:lang w:val="en-GB"/>
              </w:rPr>
              <w:t>(≥1/100 do          &lt; 1/10)</w:t>
            </w:r>
          </w:p>
        </w:tc>
        <w:tc>
          <w:tcPr>
            <w:tcW w:w="2097"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r w:rsidRPr="00C92000">
              <w:rPr>
                <w:rFonts w:ascii="Times New Roman" w:eastAsia="Times New Roman" w:hAnsi="Times New Roman" w:cs="Times New Roman"/>
                <w:b/>
                <w:bCs/>
                <w:lang w:val="en-GB"/>
              </w:rPr>
              <w:t xml:space="preserve"> Povremeno</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
                <w:bCs/>
                <w:lang w:val="en-GB"/>
              </w:rPr>
              <w:t xml:space="preserve"> </w:t>
            </w:r>
            <w:r w:rsidRPr="00C92000">
              <w:rPr>
                <w:rFonts w:ascii="Times New Roman" w:eastAsia="Times New Roman" w:hAnsi="Times New Roman" w:cs="Times New Roman"/>
                <w:bCs/>
                <w:lang w:val="en-GB"/>
              </w:rPr>
              <w:t>(≥1/1000 do &lt;1/100)</w:t>
            </w:r>
          </w:p>
        </w:tc>
        <w:tc>
          <w:tcPr>
            <w:tcW w:w="1790"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r w:rsidRPr="00C92000">
              <w:rPr>
                <w:rFonts w:ascii="Times New Roman" w:eastAsia="Times New Roman" w:hAnsi="Times New Roman" w:cs="Times New Roman"/>
                <w:b/>
                <w:bCs/>
                <w:lang w:val="en-GB"/>
              </w:rPr>
              <w:t xml:space="preserve"> Veoma rijetko </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 (≤ 1/10000)</w:t>
            </w:r>
          </w:p>
        </w:tc>
        <w:tc>
          <w:tcPr>
            <w:tcW w:w="1562" w:type="dxa"/>
            <w:tcBorders>
              <w:top w:val="single" w:sz="4" w:space="0" w:color="000000"/>
              <w:left w:val="single" w:sz="4" w:space="0" w:color="000000"/>
              <w:bottom w:val="single" w:sz="2"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lang w:val="en-GB"/>
              </w:rPr>
            </w:pPr>
            <w:r w:rsidRPr="00C92000">
              <w:rPr>
                <w:rFonts w:ascii="Times New Roman" w:eastAsia="Times New Roman" w:hAnsi="Times New Roman" w:cs="Times New Roman"/>
                <w:b/>
                <w:bCs/>
                <w:lang w:val="en-GB"/>
              </w:rPr>
              <w:t xml:space="preserve"> Nepoznato</w:t>
            </w:r>
          </w:p>
        </w:tc>
      </w:tr>
      <w:tr w:rsidR="00C92000" w:rsidRPr="00C92000" w:rsidTr="003669D2">
        <w:trPr>
          <w:trHeight w:val="714"/>
          <w:jc w:val="center"/>
        </w:trPr>
        <w:tc>
          <w:tcPr>
            <w:tcW w:w="2117"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Imunološki poremećaji</w:t>
            </w:r>
          </w:p>
        </w:tc>
        <w:tc>
          <w:tcPr>
            <w:tcW w:w="1483"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790"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2"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angioneurotski edem,</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preosjetljivost</w:t>
            </w:r>
          </w:p>
        </w:tc>
      </w:tr>
      <w:tr w:rsidR="00C92000" w:rsidRPr="00C92000" w:rsidTr="003669D2">
        <w:trPr>
          <w:trHeight w:val="474"/>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Psihijatrijski</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poremećaji</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noćne more, depresija</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714"/>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Poremećaji nervnog sistema</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glavobolja,</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vrtoglavica, parestezije</w:t>
            </w: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sinkopa</w:t>
            </w: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470"/>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 xml:space="preserve">Poremećaji </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oka</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oslabljen vid</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954"/>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Kardiološki poremećaji</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bradikardija, srčana insuficijencija, usporeno AV</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sprovođenje/AV blok</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950"/>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lastRenderedPageBreak/>
              <w:t>Vaskularni poremećaji</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hipotenzija, (pogoršanje) intermitentne</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klaudikacije</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710"/>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Respiratorni, torakalni i medijastinalni</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poremećaji</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dispnea</w:t>
            </w: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bronhospazam</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719"/>
          <w:jc w:val="center"/>
        </w:trPr>
        <w:tc>
          <w:tcPr>
            <w:tcW w:w="2117"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Gastrointestinalni poremećaji</w:t>
            </w:r>
          </w:p>
        </w:tc>
        <w:tc>
          <w:tcPr>
            <w:tcW w:w="1483"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opstipacija, nauzeja, dijareja</w:t>
            </w:r>
          </w:p>
        </w:tc>
        <w:tc>
          <w:tcPr>
            <w:tcW w:w="2097"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dispepsija, nadimanje, povraćanje</w:t>
            </w:r>
          </w:p>
        </w:tc>
        <w:tc>
          <w:tcPr>
            <w:tcW w:w="1790" w:type="dxa"/>
            <w:tcBorders>
              <w:top w:val="single" w:sz="4" w:space="0" w:color="000000"/>
              <w:left w:val="single" w:sz="4" w:space="0" w:color="000000"/>
              <w:bottom w:val="single" w:sz="2"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2"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474"/>
          <w:jc w:val="center"/>
        </w:trPr>
        <w:tc>
          <w:tcPr>
            <w:tcW w:w="2117"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 xml:space="preserve">Poremećaji </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kože i potkožnog tkiva</w:t>
            </w:r>
          </w:p>
        </w:tc>
        <w:tc>
          <w:tcPr>
            <w:tcW w:w="1483"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svrab, eritematozna</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ospa</w:t>
            </w:r>
          </w:p>
        </w:tc>
        <w:tc>
          <w:tcPr>
            <w:tcW w:w="1790" w:type="dxa"/>
            <w:tcBorders>
              <w:top w:val="single" w:sz="2"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pogoršanje</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psorijaze</w:t>
            </w:r>
          </w:p>
        </w:tc>
        <w:tc>
          <w:tcPr>
            <w:tcW w:w="1562" w:type="dxa"/>
            <w:tcBorders>
              <w:top w:val="single" w:sz="2"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urtikarija</w:t>
            </w:r>
          </w:p>
        </w:tc>
      </w:tr>
      <w:tr w:rsidR="00C92000" w:rsidRPr="00C92000" w:rsidTr="003669D2">
        <w:trPr>
          <w:trHeight w:val="950"/>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Poremećaji reproduktivnog</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sistema i na nivou dojki</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impotencija</w:t>
            </w: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r w:rsidR="00C92000" w:rsidRPr="00C92000" w:rsidTr="003669D2">
        <w:trPr>
          <w:trHeight w:val="714"/>
          <w:jc w:val="center"/>
        </w:trPr>
        <w:tc>
          <w:tcPr>
            <w:tcW w:w="211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Opšti poremećaji i</w:t>
            </w:r>
          </w:p>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reakcije na mjestu primjene</w:t>
            </w:r>
          </w:p>
        </w:tc>
        <w:tc>
          <w:tcPr>
            <w:tcW w:w="1483"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umor, edemi</w:t>
            </w:r>
          </w:p>
        </w:tc>
        <w:tc>
          <w:tcPr>
            <w:tcW w:w="2097"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790" w:type="dxa"/>
            <w:tcBorders>
              <w:top w:val="single" w:sz="4" w:space="0" w:color="000000"/>
              <w:left w:val="single" w:sz="4" w:space="0" w:color="000000"/>
              <w:bottom w:val="single" w:sz="4" w:space="0" w:color="000000"/>
              <w:right w:val="single" w:sz="4"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c>
          <w:tcPr>
            <w:tcW w:w="1562" w:type="dxa"/>
            <w:tcBorders>
              <w:top w:val="single" w:sz="4" w:space="0" w:color="000000"/>
              <w:left w:val="single" w:sz="4" w:space="0" w:color="000000"/>
              <w:bottom w:val="single" w:sz="4" w:space="0" w:color="000000"/>
              <w:right w:val="single" w:sz="2" w:space="0" w:color="000000"/>
            </w:tcBorders>
            <w:vAlign w:val="center"/>
          </w:tcPr>
          <w:p w:rsidR="00C92000" w:rsidRPr="00C92000" w:rsidRDefault="00C92000" w:rsidP="00C92000">
            <w:pPr>
              <w:tabs>
                <w:tab w:val="left" w:pos="540"/>
                <w:tab w:val="left" w:pos="569"/>
              </w:tabs>
              <w:spacing w:after="0" w:line="240" w:lineRule="auto"/>
              <w:rPr>
                <w:rFonts w:ascii="Times New Roman" w:eastAsia="Times New Roman" w:hAnsi="Times New Roman" w:cs="Times New Roman"/>
                <w:bCs/>
                <w:lang w:val="en-GB"/>
              </w:rPr>
            </w:pPr>
          </w:p>
        </w:tc>
      </w:tr>
    </w:tbl>
    <w:p w:rsidR="00C92000" w:rsidRPr="00C92000" w:rsidRDefault="00C92000" w:rsidP="00C92000">
      <w:pPr>
        <w:tabs>
          <w:tab w:val="left" w:pos="540"/>
          <w:tab w:val="left" w:pos="569"/>
        </w:tabs>
        <w:spacing w:after="0" w:line="240" w:lineRule="auto"/>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Sljedeća neželjena dejstva su takođe zabilježena prilikom uzimanja nekih beta blokatora: halucinacije, psihoze, konfuznost, hladni/cijanotični ekstremiteti, </w:t>
      </w:r>
      <w:r w:rsidRPr="00C92000">
        <w:rPr>
          <w:rFonts w:ascii="Times New Roman" w:eastAsia="Times New Roman" w:hAnsi="Times New Roman" w:cs="Times New Roman"/>
          <w:bCs/>
          <w:i/>
          <w:iCs/>
          <w:lang w:val="en-GB"/>
        </w:rPr>
        <w:t>Raynaud</w:t>
      </w:r>
      <w:r w:rsidRPr="00C92000">
        <w:rPr>
          <w:rFonts w:ascii="Times New Roman" w:eastAsia="Times New Roman" w:hAnsi="Times New Roman" w:cs="Times New Roman"/>
          <w:bCs/>
          <w:lang w:val="en-GB"/>
        </w:rPr>
        <w:t>-ov fenomen, suvoća očiju i okulo-mukokutana toksičnost kao kod praktolola.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u w:val="single"/>
          <w:lang w:val="en-GB"/>
        </w:rPr>
        <w:t>Hronična srčana insuficijencija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Podaci o neželjenim dejstvama kod pacijenata sa hroničnom insuficijencijom srca su dobijeni u jednom placebo kontrolisanom kliničkom ispitivanju u kome je 1067 pacijenata primalo nebivolol, a 1061 je dobijalo placebo. U navedenom ispitivanju, 449 pacijenata (42,1%) koji su primali nebivolol prijavilo je neželjena dejstva koja su vjerovatno uzročno povezana sa uzimanjem lijeka, dok su to učinila 334 pacijenta koja su primala placebo (31,5%). Najčešće zabilježena neželjena dejstva u grupi pacijenata koji su dobijali nebivolol</w:t>
      </w:r>
      <w:r w:rsidRPr="00C92000">
        <w:rPr>
          <w:rFonts w:ascii="Times New Roman" w:eastAsia="Times New Roman" w:hAnsi="Times New Roman" w:cs="Times New Roman"/>
          <w:w w:val="105"/>
          <w:lang w:val="en-GB" w:eastAsia="en-GB"/>
        </w:rPr>
        <w:t xml:space="preserve"> </w:t>
      </w:r>
      <w:r w:rsidRPr="00C92000">
        <w:rPr>
          <w:rFonts w:ascii="Times New Roman" w:eastAsia="Times New Roman" w:hAnsi="Times New Roman" w:cs="Times New Roman"/>
          <w:bCs/>
          <w:lang w:val="en-GB"/>
        </w:rPr>
        <w:t>bila su bradikardija i vrtoglavica, koje su se pojavile kod približno 11% pacijenata. Učestalost ovih neželjenih dejstava kod pacijenata koji su dobijali placebo, bila je približno 2% odnosno 7%.</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Zabilježena je sljedeća učestalost neželjenih dejstava (dovedenih u vezu sa uzimanjem lijeka) koja se smatraju posebno značajnim tokom terapije hronične srčane insuficijencije:</w:t>
      </w:r>
    </w:p>
    <w:p w:rsidR="00C92000" w:rsidRPr="00C92000" w:rsidRDefault="00C92000" w:rsidP="00182BC3">
      <w:pPr>
        <w:numPr>
          <w:ilvl w:val="0"/>
          <w:numId w:val="6"/>
        </w:numPr>
        <w:tabs>
          <w:tab w:val="left" w:pos="569"/>
          <w:tab w:val="left" w:pos="606"/>
        </w:tabs>
        <w:spacing w:after="0" w:line="240" w:lineRule="auto"/>
        <w:ind w:left="567" w:hanging="425"/>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pogoršanje insuficijencije srca se javilo kod 5,8% pacijenata koji su dobijali nebivolol u poređenju sa 5,2% pacijenata koji su primali placebo;</w:t>
      </w:r>
    </w:p>
    <w:p w:rsidR="00C92000" w:rsidRPr="00C92000" w:rsidRDefault="00C92000" w:rsidP="00182BC3">
      <w:pPr>
        <w:numPr>
          <w:ilvl w:val="0"/>
          <w:numId w:val="6"/>
        </w:numPr>
        <w:tabs>
          <w:tab w:val="left" w:pos="569"/>
          <w:tab w:val="left" w:pos="606"/>
        </w:tabs>
        <w:spacing w:after="0" w:line="240" w:lineRule="auto"/>
        <w:ind w:left="567" w:hanging="425"/>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posturalna hipotenzija je zabilježena u kod 2,1% pacijenata koji su uzimali nebivolol, a kod 1% pacijenata koji su bili na placebu;</w:t>
      </w:r>
    </w:p>
    <w:p w:rsidR="00C92000" w:rsidRPr="00C92000" w:rsidRDefault="00C92000" w:rsidP="00182BC3">
      <w:pPr>
        <w:numPr>
          <w:ilvl w:val="0"/>
          <w:numId w:val="6"/>
        </w:numPr>
        <w:tabs>
          <w:tab w:val="left" w:pos="569"/>
          <w:tab w:val="left" w:pos="606"/>
        </w:tabs>
        <w:spacing w:after="0" w:line="240" w:lineRule="auto"/>
        <w:ind w:left="567" w:hanging="425"/>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loša podnošljivost lijeka se javljala kod 1,6% pacijenata koji su dobijali nebivolol u poređenju sa 0,8% pacijenata koji su bili na placebu;</w:t>
      </w:r>
    </w:p>
    <w:p w:rsidR="00C92000" w:rsidRPr="00C92000" w:rsidRDefault="00C92000" w:rsidP="00182BC3">
      <w:pPr>
        <w:numPr>
          <w:ilvl w:val="0"/>
          <w:numId w:val="6"/>
        </w:numPr>
        <w:tabs>
          <w:tab w:val="left" w:pos="569"/>
          <w:tab w:val="left" w:pos="606"/>
        </w:tabs>
        <w:spacing w:after="0" w:line="240" w:lineRule="auto"/>
        <w:ind w:left="567" w:hanging="425"/>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atrioventrikularni blok I stepena se javljao kod 1,4% pacijenata koji su dobijali nebivolol u poređenju sa 0,9% pacijenata koji su bili na placebu;</w:t>
      </w:r>
    </w:p>
    <w:p w:rsidR="00C92000" w:rsidRPr="00C92000" w:rsidRDefault="00C92000" w:rsidP="00182BC3">
      <w:pPr>
        <w:numPr>
          <w:ilvl w:val="0"/>
          <w:numId w:val="6"/>
        </w:numPr>
        <w:tabs>
          <w:tab w:val="left" w:pos="569"/>
          <w:tab w:val="left" w:pos="606"/>
        </w:tabs>
        <w:spacing w:after="0" w:line="240" w:lineRule="auto"/>
        <w:ind w:left="567" w:hanging="425"/>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edem donjih ekstremiteta zabilježen je kod 1% pacijenata koji su dobijali nebivolol u poređenju sa 0,2% pacijenata koji su bili na placebu.</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Default="00C92000" w:rsidP="00C92000">
      <w:pPr>
        <w:spacing w:after="200" w:line="276" w:lineRule="auto"/>
        <w:jc w:val="both"/>
        <w:rPr>
          <w:rFonts w:ascii="Times New Roman" w:eastAsia="Calibri" w:hAnsi="Times New Roman" w:cs="Times New Roman"/>
          <w:u w:val="single"/>
          <w:lang w:val="sr-Latn-RS"/>
        </w:rPr>
      </w:pPr>
    </w:p>
    <w:p w:rsidR="00C92000" w:rsidRPr="00C92000" w:rsidRDefault="00C92000" w:rsidP="00C92000">
      <w:pPr>
        <w:spacing w:after="200" w:line="276" w:lineRule="auto"/>
        <w:jc w:val="both"/>
        <w:rPr>
          <w:rFonts w:ascii="Times New Roman" w:eastAsia="Calibri" w:hAnsi="Times New Roman" w:cs="Times New Roman"/>
          <w:u w:val="single"/>
          <w:lang w:val="sr-Latn-RS"/>
        </w:rPr>
      </w:pPr>
      <w:r w:rsidRPr="00C92000">
        <w:rPr>
          <w:rFonts w:ascii="Times New Roman" w:eastAsia="Calibri" w:hAnsi="Times New Roman" w:cs="Times New Roman"/>
          <w:u w:val="single"/>
          <w:lang w:val="sr-Latn-RS"/>
        </w:rPr>
        <w:lastRenderedPageBreak/>
        <w:t>Prijavljivanje sumnji na neželjena dejstva</w:t>
      </w:r>
    </w:p>
    <w:p w:rsidR="00C92000" w:rsidRPr="00C92000" w:rsidRDefault="00C92000" w:rsidP="00C92000">
      <w:pPr>
        <w:spacing w:after="20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Agencija za ljekove i medicinska sredstva Crne Gore</w:t>
      </w:r>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Odjeljenje za farmakovigilancu</w:t>
      </w:r>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Bulevar Ivana Crnojevića 64a, 81000 Podgorica</w:t>
      </w:r>
    </w:p>
    <w:p w:rsidR="00C92000" w:rsidRPr="00C92000" w:rsidRDefault="00C92000" w:rsidP="00C92000">
      <w:pPr>
        <w:spacing w:after="0" w:line="240" w:lineRule="auto"/>
        <w:jc w:val="both"/>
        <w:rPr>
          <w:rFonts w:ascii="Times New Roman" w:eastAsia="Calibri" w:hAnsi="Times New Roman" w:cs="Times New Roman"/>
          <w:lang w:val="sr-Latn-RS"/>
        </w:rPr>
      </w:pPr>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tel: +382 (0) 20 310 280</w:t>
      </w:r>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fax: +382 (0) 20 310 581</w:t>
      </w:r>
    </w:p>
    <w:p w:rsidR="00C92000" w:rsidRPr="00C92000" w:rsidRDefault="006D497A" w:rsidP="00C92000">
      <w:pPr>
        <w:spacing w:after="0" w:line="240" w:lineRule="auto"/>
        <w:jc w:val="both"/>
        <w:rPr>
          <w:rFonts w:ascii="Times New Roman" w:eastAsia="Calibri" w:hAnsi="Times New Roman" w:cs="Times New Roman"/>
          <w:lang w:val="sr-Latn-RS"/>
        </w:rPr>
      </w:pPr>
      <w:hyperlink r:id="rId8" w:history="1">
        <w:r w:rsidR="00C92000" w:rsidRPr="00C92000">
          <w:rPr>
            <w:rFonts w:ascii="Times New Roman" w:eastAsia="Calibri" w:hAnsi="Times New Roman" w:cs="Times New Roman"/>
            <w:color w:val="0000FF"/>
            <w:u w:val="single"/>
            <w:lang w:val="sr-Latn-RS"/>
          </w:rPr>
          <w:t>www.calims.me</w:t>
        </w:r>
      </w:hyperlink>
    </w:p>
    <w:p w:rsidR="00C92000" w:rsidRPr="00C92000" w:rsidRDefault="006D497A" w:rsidP="00C92000">
      <w:pPr>
        <w:spacing w:after="0" w:line="240" w:lineRule="auto"/>
        <w:jc w:val="both"/>
        <w:rPr>
          <w:rFonts w:ascii="Times New Roman" w:eastAsia="Calibri" w:hAnsi="Times New Roman" w:cs="Times New Roman"/>
          <w:color w:val="0000FF"/>
          <w:u w:val="single"/>
          <w:lang w:val="sr-Latn-RS"/>
        </w:rPr>
      </w:pPr>
      <w:hyperlink r:id="rId9" w:history="1">
        <w:r w:rsidR="00C92000" w:rsidRPr="00C92000">
          <w:rPr>
            <w:rFonts w:ascii="Times New Roman" w:eastAsia="Calibri" w:hAnsi="Times New Roman" w:cs="Times New Roman"/>
            <w:color w:val="0000FF"/>
            <w:u w:val="single"/>
            <w:lang w:val="sr-Latn-RS"/>
          </w:rPr>
          <w:t>nezeljenadejstva@calims.me</w:t>
        </w:r>
      </w:hyperlink>
    </w:p>
    <w:p w:rsidR="00C92000" w:rsidRPr="00C92000" w:rsidRDefault="00C92000" w:rsidP="00C92000">
      <w:pPr>
        <w:spacing w:after="0" w:line="240" w:lineRule="auto"/>
        <w:jc w:val="both"/>
        <w:rPr>
          <w:rFonts w:ascii="Times New Roman" w:eastAsia="Calibri" w:hAnsi="Times New Roman" w:cs="Times New Roman"/>
          <w:lang w:val="sr-Latn-RS"/>
        </w:rPr>
      </w:pPr>
      <w:r w:rsidRPr="00C92000">
        <w:rPr>
          <w:rFonts w:ascii="Times New Roman" w:eastAsia="Calibri" w:hAnsi="Times New Roman" w:cs="Times New Roman"/>
          <w:lang w:val="sr-Latn-RS"/>
        </w:rPr>
        <w:t>putem IS zdravstvene zaštite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4.9. </w:t>
      </w:r>
      <w:r w:rsidRPr="00C92000">
        <w:rPr>
          <w:rFonts w:ascii="Times New Roman" w:eastAsia="Times New Roman" w:hAnsi="Times New Roman" w:cs="Times New Roman"/>
          <w:b/>
          <w:bCs/>
        </w:rPr>
        <w:tab/>
        <w:t>Predoziranje i mjere koje je potrebno preduzeti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Nema dostupnih podataka o predoziranju nebivololom.</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Simptomi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Simptomi predoziranja beta blokatorima su sljedeći: bradikardija, hipotenzija, bronhospazam i akutna srčana insuficijencija.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i/>
          <w:iCs/>
          <w:lang w:val="en-GB"/>
        </w:rPr>
      </w:pPr>
      <w:r w:rsidRPr="00C92000">
        <w:rPr>
          <w:rFonts w:ascii="Times New Roman" w:eastAsia="Times New Roman" w:hAnsi="Times New Roman" w:cs="Times New Roman"/>
          <w:bCs/>
          <w:i/>
          <w:iCs/>
          <w:lang w:val="en-GB"/>
        </w:rPr>
        <w:t>Liječenje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 slučaju predoziranja ili preosjetljivosti, pacijenta treba pažljivo pratiti i liječiti na odjeljenjima intenzivne njege. Treba kontrolisati koncentraciju glukoze u krvi. Resorpcija ostataka lijeka, koji je još prisutan u gastrointestinalnom traktu, može se spriječiti ispiranjem želuca i primjenom medicinskog uglja i laksativa. Može biti potrebno i vještačko disanje. Bradikardiju ili jaku reakciju vagusa treba liječiti atropinom ili metilatropinom. Hipotenziju i šok treba liječiti primjenom plazme ili zamjenama za plazmu, i ako je neophodno, kateholaminima. Efekti beta blokatora mogu biti spriječeni sporom intravenskom primjenom izoprenalin hidrohlorida sa početnom dozom od približno 5µg/min, ili dobutamina sa početnom dozom od 2,5 µg/min, dok se ne postigne željeni efekat. U refraktornim slučajevima, izoprenalin se može kombinovati sa dopaminom. Ako se sa ovim ne postigne željeni efekat, dolazi u obzir intravenska primjena glukagona u dozi od 50-100 µg/kg. Ako je potrebno, injekciju treba ponovo primijeniti u roku od jednog sata, a zatim, ako je potrebno, dati intravensku infuziju glukagona u dozi od 70 µg/kg/h. U ekstremnim slučajevima</w:t>
      </w:r>
      <w:r w:rsidRPr="00C92000">
        <w:rPr>
          <w:rFonts w:ascii="Times New Roman" w:eastAsia="Times New Roman" w:hAnsi="Times New Roman" w:cs="Times New Roman"/>
          <w:w w:val="105"/>
          <w:lang w:val="en-GB" w:eastAsia="en-GB"/>
        </w:rPr>
        <w:t xml:space="preserve"> </w:t>
      </w:r>
      <w:r w:rsidRPr="00C92000">
        <w:rPr>
          <w:rFonts w:ascii="Times New Roman" w:eastAsia="Times New Roman" w:hAnsi="Times New Roman" w:cs="Times New Roman"/>
          <w:bCs/>
          <w:lang w:val="en-GB"/>
        </w:rPr>
        <w:t>bradikardije koja je rezistentna na terapiju, može se ugraditi pejsmejsker.</w:t>
      </w:r>
    </w:p>
    <w:p w:rsid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5. </w:t>
      </w:r>
      <w:r w:rsidRPr="00C92000">
        <w:rPr>
          <w:rFonts w:ascii="Times New Roman" w:eastAsia="Times New Roman" w:hAnsi="Times New Roman" w:cs="Times New Roman"/>
          <w:b/>
          <w:bCs/>
        </w:rPr>
        <w:tab/>
        <w:t>FARMAKOLOŠKI PODACI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5.1. </w:t>
      </w:r>
      <w:r w:rsidRPr="00C92000">
        <w:rPr>
          <w:rFonts w:ascii="Times New Roman" w:eastAsia="Times New Roman" w:hAnsi="Times New Roman" w:cs="Times New Roman"/>
          <w:b/>
          <w:bCs/>
        </w:rPr>
        <w:tab/>
        <w:t>Farmakodinamski podaci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rPr>
        <w:t xml:space="preserve">Farmakoterapijska grupa: </w:t>
      </w:r>
      <w:r w:rsidRPr="00C92000">
        <w:rPr>
          <w:rFonts w:ascii="Times New Roman" w:eastAsia="Times New Roman" w:hAnsi="Times New Roman" w:cs="Times New Roman"/>
          <w:bCs/>
          <w:lang w:val="en-GB"/>
        </w:rPr>
        <w:t>Blokatori beta adrenergičkih receptora, selektivni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rPr>
        <w:t>ATC kod:</w:t>
      </w:r>
      <w:r w:rsidRPr="00C92000">
        <w:rPr>
          <w:rFonts w:ascii="Times New Roman" w:eastAsia="Times New Roman" w:hAnsi="Times New Roman" w:cs="Times New Roman"/>
          <w:w w:val="105"/>
          <w:lang w:val="en-GB" w:eastAsia="en-GB"/>
        </w:rPr>
        <w:t xml:space="preserve"> </w:t>
      </w:r>
      <w:r w:rsidRPr="00C92000">
        <w:rPr>
          <w:rFonts w:ascii="Times New Roman" w:eastAsia="Times New Roman" w:hAnsi="Times New Roman" w:cs="Times New Roman"/>
          <w:bCs/>
          <w:lang w:val="en-GB"/>
        </w:rPr>
        <w:t>C07AB12</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Nebivolol je racemska smješa dva enantiomera, SRRR-nebivolola (ili d-nebivolola) i RSSS-nebivolola (ili l- 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Ispoljava dva farmakološka svojstva:</w:t>
      </w:r>
    </w:p>
    <w:p w:rsidR="00C92000" w:rsidRPr="00C92000" w:rsidRDefault="00C92000" w:rsidP="00182BC3">
      <w:pPr>
        <w:numPr>
          <w:ilvl w:val="0"/>
          <w:numId w:val="7"/>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kompetitivan je i selektivan antagonista beta adrenergičkih receptora: ovaj efekat se pripisuje SRRR enantiomeru (d-enantiomer),</w:t>
      </w:r>
    </w:p>
    <w:p w:rsidR="00C92000" w:rsidRPr="00C92000" w:rsidRDefault="00C92000" w:rsidP="00182BC3">
      <w:pPr>
        <w:numPr>
          <w:ilvl w:val="0"/>
          <w:numId w:val="7"/>
        </w:num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posjeduje blaga vazodilatatorna svojstva, zbog interakcije sa metaboličkim putem L-arginin/azot oksid.</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Pojedinačne i ponovljene doze nebivolola smanjuju srčanu frekvencu i vrijednost arterijskog krvnog pritiska u mirovanju i tokom napora, kako kod osoba sa normalnim krvnim pritiskom, tako i kod pacijenata sa hipertenzijom. Ovaj antihipertenzivni efekt se održava tokom hroničnog liječenja.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 terapijskim dozama, nebivolol nema sposobnost blokade alfa adrenergičkih receptora.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Tokom akutne i hronične primjene nebivolola kod pacijenata sa hipertenzijom, dolazi do smanjenja sistemske vaskularne rezistencije. Uprkos smanjenju srčane frekvence, smanjenje minutnog volumena u mirovanju i naporu može biti ograničeno zbog povećanja udarnog volumena. Klinički značaj ovih hemodinamskih razlika u odnosu na druge selektivne blokatore beta-1 adrenergičkih receptora nije u potpunosti utvrđen.</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pacijenata sa hipertenzijom, nebivolol povećava vaskularni odgovor (čiji je medijator NO) krvnog suda na acetilholin, koji je smanjen kod pacijenata sa disfunkcijom endotela.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 jednom placebo kontrolisanom kliničkom ispitivanju mortaliteta-morbiditeta, bilo je uključeno 2128 pacijenata &gt; 70 godina (prosječna starost 75,2 godine) sa stabilnom hroničnom insuficijencijom sa ili bez pogoršane ejekcione frakcije lijeve komore (srednji LVEF: 36 ± 12,3% i to raspoređen na sljedeći način: LVEF manji od 35% kod 56% bolesnika; LVEF između 35% i 45% kod 25% pacijenata, i LVEF veći od 45% kod 19% pacijenata); tokom perioda praćenja od prosječno 20 mjeseci, nebivolol je, uz standardnu terapiju, značajno produžavao vrijeme do nastupanja smrti ili hospitalizacije usljed kardiovaskularnih uzroka (primarni parametar efikasnosti), i to sa smanjenjem relativnog rizika od 14% (apsolutno smanjenje rizika je iznosilo 4,2%). Ovo smanjenje rizika je postignuto poslije 6 mjeseci liječenja i održavalo se sve vrijeme trajanja liječenja (prosječno trajanje je bilo 18 mjeseci). Efekat nebivolola je bio nezavisan od pola i starosti pacijenata, kao i od ejekcione frakcije lijeve komore kod populacije u ovoj studiji. Korist u smislu smanjenja mortaliteta usljed svih uzroka nije dostigla statistički značaj u poređenju sa placebom (apsolutno smanjenje rizika od 2,3%).</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 grupi koja je liječena nebivololom, moglo se primijetiti procentualno smanjenje incidence iznenadne smrti (4,1% prema 6,6%, relativno smanjenje rizika od 38%).</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 xml:space="preserve">In vitro </w:t>
      </w:r>
      <w:r w:rsidRPr="00C92000">
        <w:rPr>
          <w:rFonts w:ascii="Times New Roman" w:eastAsia="Times New Roman" w:hAnsi="Times New Roman" w:cs="Times New Roman"/>
          <w:bCs/>
          <w:lang w:val="en-GB"/>
        </w:rPr>
        <w:t xml:space="preserve">i </w:t>
      </w:r>
      <w:r w:rsidRPr="00C92000">
        <w:rPr>
          <w:rFonts w:ascii="Times New Roman" w:eastAsia="Times New Roman" w:hAnsi="Times New Roman" w:cs="Times New Roman"/>
          <w:bCs/>
          <w:i/>
          <w:iCs/>
          <w:lang w:val="en-GB"/>
        </w:rPr>
        <w:t xml:space="preserve">in vivo </w:t>
      </w:r>
      <w:r w:rsidRPr="00C92000">
        <w:rPr>
          <w:rFonts w:ascii="Times New Roman" w:eastAsia="Times New Roman" w:hAnsi="Times New Roman" w:cs="Times New Roman"/>
          <w:bCs/>
          <w:lang w:val="en-GB"/>
        </w:rPr>
        <w:t>eksperimenti na životinjama su pokazali da nebivolol ne posjeduje intrinzičku simpatomimetsku aktivnost.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i/>
          <w:i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i/>
          <w:iCs/>
          <w:lang w:val="en-GB"/>
        </w:rPr>
        <w:t xml:space="preserve">In vitro </w:t>
      </w:r>
      <w:r w:rsidRPr="00C92000">
        <w:rPr>
          <w:rFonts w:ascii="Times New Roman" w:eastAsia="Times New Roman" w:hAnsi="Times New Roman" w:cs="Times New Roman"/>
          <w:bCs/>
          <w:lang w:val="en-GB"/>
        </w:rPr>
        <w:t xml:space="preserve">i </w:t>
      </w:r>
      <w:r w:rsidRPr="00C92000">
        <w:rPr>
          <w:rFonts w:ascii="Times New Roman" w:eastAsia="Times New Roman" w:hAnsi="Times New Roman" w:cs="Times New Roman"/>
          <w:bCs/>
          <w:i/>
          <w:iCs/>
          <w:lang w:val="en-GB"/>
        </w:rPr>
        <w:t xml:space="preserve">in vivo </w:t>
      </w:r>
      <w:r w:rsidRPr="00C92000">
        <w:rPr>
          <w:rFonts w:ascii="Times New Roman" w:eastAsia="Times New Roman" w:hAnsi="Times New Roman" w:cs="Times New Roman"/>
          <w:bCs/>
          <w:lang w:val="en-GB"/>
        </w:rPr>
        <w:t>eksperimenti na životinjama su pokazali da nebivolol u farmakološkim dozama ne ispoljava efekat stabilizacije membrane.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Primijenjen kod zdravih dobrovoljaca, nebivolol ne ispoljava značajne efekte na maksimalnu sposobnost ili izdržljivost pri fizičkoj aktivnosti.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lastRenderedPageBreak/>
        <w:t>Dostupni pretklinički i klinički podaci hipertenzivnih pacijenata nisu pokazali značajno djelovanje nebivolola na erektilnu funkciju.</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5.2. </w:t>
      </w:r>
      <w:r w:rsidRPr="00C92000">
        <w:rPr>
          <w:rFonts w:ascii="Times New Roman" w:eastAsia="Times New Roman" w:hAnsi="Times New Roman" w:cs="Times New Roman"/>
          <w:b/>
          <w:bCs/>
        </w:rPr>
        <w:tab/>
        <w:t>Farmakokinetički podaci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Oba enantiomera nebivolola se brzo resorbuju nakon oralne primjene. Na resorpciju nebivolola ne utiče prisustvo hrane; nebivolol se može uzimati nezavisno od obroka.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Nebivolol se u velikoj mjeri metaboliše, a samo djelimično u aktivne hidroksi metabolite. Nebivolol se metaboliše alicikličnom i aromatičnom hidroksilacijom, N-dealkilacijom i glukuronidacijom; pored toga, stvaraju se glukuronidi hidroksi metabolita. Metabolizam nebivolola aromatičnom oksidacijom je posljedica CYP2D6 zavisnog genetskog oksidativnog polimorfizma. Bioraspoloživost nebivolola poslije oralne primjene iznosi prosječno 12% kod osoba sa brzim metabolisanjem lijeka i skoro je potpuna kod osoba koje sporo metabolišu lijek. U stanju ravnoteže i pri istom doznom nivou, maksimalna koncentracija nepromijenjenog nebivolola u plazmi je otprilike 23 puta veća kod osoba sa sporim u odnosu na osobe sa brzim metabolisanjem lijeka. Kada se uzmu u obzir nepromijenjeni lijek plus aktivni metaboliti, razlika u maksimalnim koncentracijama u plazmi je 1,3 do 1,4 puta. Zbog postojanja varijacija u brzini metabolisanja lijeka, dozu lijeka Nevotens</w:t>
      </w:r>
      <w:r w:rsidRPr="00C92000">
        <w:rPr>
          <w:rFonts w:ascii="Times New Roman" w:eastAsia="Times New Roman" w:hAnsi="Times New Roman" w:cs="Times New Roman"/>
          <w:bCs/>
          <w:vertAlign w:val="superscript"/>
          <w:lang w:val="sr-Latn-CS"/>
        </w:rPr>
        <w:t>®</w:t>
      </w:r>
      <w:r w:rsidRPr="00C92000">
        <w:rPr>
          <w:rFonts w:ascii="Times New Roman" w:eastAsia="Times New Roman" w:hAnsi="Times New Roman" w:cs="Times New Roman"/>
          <w:bCs/>
          <w:lang w:val="en-GB"/>
        </w:rPr>
        <w:t xml:space="preserve"> treba uvijek prilagoditi za svakog pacijenta ponaosob: osobama koje sporo metabolišu lijek biće potrebna manja doza.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Kod osoba sa brzim metabolisanjem lijeka, poluvrijeme eliminacije enantiomera nebivolola iznosi prosječno 10 sati. Kod osoba koje sporo metabolišu lijek, poluvrijeme eliminacije je 3-5 puta duže. Kod osoba koje brzo metabolišu lijek, koncentracije RSSS enenatiomera u plazmi su nešto više nego SRRR enantiomera. Kod osoba sa sporim metabolisanjem, ova razlika je veća. Kod osoba sa brzim metabolisanjem, poluvrijeme eliminacije hidroksi metabolita oba enantiomera iznosi prosječno 24 sata, a otprilike dva puta je duže kod osoba koje sporo metabolišu lijek.</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Stanje ravnoteže nebivolola u plazmi kod većine osoba (brzi metabolizeri) postiže se u roku od 24 h, a hidroksi metabolita u roku od nekoliko dana.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Koncentracija u plazmi je proporcionalna dozi u rasponu od 1 do 30 mg. Godine starosti ne utiču na farmakokinetiku 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 plazmi, oba enantiomera nebivolola su najvećim dijelom vezana za albumin.</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Za proteine plazme je vezano 98,1% SRRR-nebivolola i 97,9% RSSS-nebivolola.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Nedjelju dana nakon primjene lijeka, 38% doze se ekskretuje urinom, a 48% fecesom. Urinarna ekskrecija nepromijenjenog nebivolola manja je od 0,5% primijenjene doze.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5.3. </w:t>
      </w:r>
      <w:r w:rsidRPr="00C92000">
        <w:rPr>
          <w:rFonts w:ascii="Times New Roman" w:eastAsia="Times New Roman" w:hAnsi="Times New Roman" w:cs="Times New Roman"/>
          <w:b/>
          <w:bCs/>
        </w:rPr>
        <w:tab/>
        <w:t xml:space="preserve">Pretklinički podaci o bezbjednosti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Pretklinički podaci ne ukazuju na postojanje povećanog rizika za ljude na osnovu rezultata konvencionalnih studija genotoksičnosti i karcinogenosti.</w:t>
      </w:r>
    </w:p>
    <w:p w:rsid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lastRenderedPageBreak/>
        <w:t xml:space="preserve">6. </w:t>
      </w:r>
      <w:r w:rsidRPr="00C92000">
        <w:rPr>
          <w:rFonts w:ascii="Times New Roman" w:eastAsia="Times New Roman" w:hAnsi="Times New Roman" w:cs="Times New Roman"/>
          <w:b/>
          <w:bCs/>
        </w:rPr>
        <w:tab/>
        <w:t>FARMACEUTSKI PODACI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6.1. </w:t>
      </w:r>
      <w:r w:rsidRPr="00C92000">
        <w:rPr>
          <w:rFonts w:ascii="Times New Roman" w:eastAsia="Times New Roman" w:hAnsi="Times New Roman" w:cs="Times New Roman"/>
          <w:b/>
          <w:bCs/>
        </w:rPr>
        <w:tab/>
        <w:t>Lista pomoćnih supstanci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Silicijum dioksid, koloidni, bezvodni;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Magnezijum stearat;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Kroskarmeloza natrijum;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 xml:space="preserve">Makrogol 6000;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Laktoza, monohidrat.</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6.2. </w:t>
      </w:r>
      <w:r w:rsidRPr="00C92000">
        <w:rPr>
          <w:rFonts w:ascii="Times New Roman" w:eastAsia="Times New Roman" w:hAnsi="Times New Roman" w:cs="Times New Roman"/>
          <w:b/>
          <w:bCs/>
        </w:rPr>
        <w:tab/>
        <w:t>Inkompatibilnosti</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Nije primjenjivo.</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6.3.</w:t>
      </w:r>
      <w:r w:rsidRPr="00C92000">
        <w:rPr>
          <w:rFonts w:ascii="Times New Roman" w:eastAsia="Times New Roman" w:hAnsi="Times New Roman" w:cs="Times New Roman"/>
          <w:b/>
          <w:bCs/>
        </w:rPr>
        <w:tab/>
        <w:t>Rok upotrebe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lang w:val="en-GB"/>
        </w:rPr>
        <w:t>3 godine.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6.4. </w:t>
      </w:r>
      <w:r w:rsidRPr="00C92000">
        <w:rPr>
          <w:rFonts w:ascii="Times New Roman" w:eastAsia="Times New Roman" w:hAnsi="Times New Roman" w:cs="Times New Roman"/>
          <w:b/>
          <w:bCs/>
        </w:rPr>
        <w:tab/>
        <w:t>Posebne mjere upozorenja pri čuvanju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Lijek ne zahtijeva posebne uslove čuvanja.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Lijek ne treba koristiti poslije isteka datuma koji je naznačen na spoljnjem pakovanju.</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6.5. </w:t>
      </w:r>
      <w:r w:rsidRPr="00C92000">
        <w:rPr>
          <w:rFonts w:ascii="Times New Roman" w:eastAsia="Times New Roman" w:hAnsi="Times New Roman" w:cs="Times New Roman"/>
          <w:b/>
          <w:bCs/>
        </w:rPr>
        <w:tab/>
        <w:t>Vrsta i sadržaj pakovanja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Unutrašnje pakovanje: Al/PVDC blister sa po 10 tableta. U kutiji se nalaze tri blistera. Spoljnje pakovanje: Kartonska kutija i Uputstvo za pacijenta.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6.6. </w:t>
      </w:r>
      <w:r w:rsidRPr="00C92000">
        <w:rPr>
          <w:rFonts w:ascii="Times New Roman" w:eastAsia="Times New Roman" w:hAnsi="Times New Roman" w:cs="Times New Roman"/>
          <w:b/>
          <w:bCs/>
        </w:rPr>
        <w:tab/>
        <w:t xml:space="preserve">Posebne mjere opreza pri odlaganju materijala koji treba odbaciti nakon primjene lijeka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lang w:val="en-GB"/>
        </w:rPr>
      </w:pPr>
      <w:r w:rsidRPr="00C92000">
        <w:rPr>
          <w:rFonts w:ascii="Times New Roman" w:eastAsia="Times New Roman" w:hAnsi="Times New Roman" w:cs="Times New Roman"/>
          <w:bCs/>
          <w:lang w:val="en-GB"/>
        </w:rPr>
        <w:t>Neupotrebljeni lijek se uništava u skladu sa važećim propisima.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6.7. </w:t>
      </w:r>
      <w:r w:rsidRPr="00C92000">
        <w:rPr>
          <w:rFonts w:ascii="Times New Roman" w:eastAsia="Times New Roman" w:hAnsi="Times New Roman" w:cs="Times New Roman"/>
          <w:b/>
          <w:bCs/>
        </w:rPr>
        <w:tab/>
        <w:t>Režim izdavanja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rPr>
        <w:t>Obnovljiv (višekratni) recept.</w:t>
      </w:r>
    </w:p>
    <w:p w:rsid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7. </w:t>
      </w:r>
      <w:r w:rsidRPr="00C92000">
        <w:rPr>
          <w:rFonts w:ascii="Times New Roman" w:eastAsia="Times New Roman" w:hAnsi="Times New Roman" w:cs="Times New Roman"/>
          <w:b/>
          <w:bCs/>
        </w:rPr>
        <w:tab/>
        <w:t xml:space="preserve">NOSILAC DOZVOLE </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
          <w:bCs/>
        </w:rPr>
        <w:tab/>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rPr>
        <w:t>Evropa Lek Pharma d.o.o. Podgorica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rPr>
        <w:t>Kritskog odreda 4/1, 81000 Podgorica, Crna Gora</w:t>
      </w:r>
    </w:p>
    <w:p w:rsid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8. </w:t>
      </w:r>
      <w:r w:rsidRPr="00C92000">
        <w:rPr>
          <w:rFonts w:ascii="Times New Roman" w:eastAsia="Times New Roman" w:hAnsi="Times New Roman" w:cs="Times New Roman"/>
          <w:b/>
          <w:bCs/>
        </w:rPr>
        <w:tab/>
        <w:t>BROJ PRVE DOZVOLE/ OBNOVE DOZVOLE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7D4E92" w:rsidP="00C92000">
      <w:pPr>
        <w:autoSpaceDE w:val="0"/>
        <w:autoSpaceDN w:val="0"/>
        <w:adjustRightInd w:val="0"/>
        <w:spacing w:after="0" w:line="240" w:lineRule="auto"/>
        <w:rPr>
          <w:rFonts w:ascii="TimesNewRomanBold" w:hAnsi="TimesNewRomanBold" w:cs="TimesNewRomanBold"/>
          <w:bCs/>
        </w:rPr>
      </w:pPr>
      <w:r w:rsidRPr="007D4E92">
        <w:rPr>
          <w:rFonts w:ascii="Times New Roman" w:eastAsia="Times New Roman" w:hAnsi="Times New Roman" w:cs="Times New Roman"/>
          <w:bCs/>
        </w:rPr>
        <w:t>Nevotens</w:t>
      </w:r>
      <w:r w:rsidRPr="007D4E92">
        <w:rPr>
          <w:rFonts w:ascii="Times New Roman" w:eastAsia="Times New Roman" w:hAnsi="Times New Roman" w:cs="Times New Roman"/>
          <w:bCs/>
          <w:vertAlign w:val="superscript"/>
          <w:lang w:val="sr-Latn-CS"/>
        </w:rPr>
        <w:t>®</w:t>
      </w:r>
      <w:r w:rsidRPr="007D4E92">
        <w:rPr>
          <w:rFonts w:ascii="Times New Roman" w:eastAsia="Times New Roman" w:hAnsi="Times New Roman" w:cs="Times New Roman"/>
          <w:bCs/>
        </w:rPr>
        <w:t>, tableta, 5 mg, blister, 30 (3x10) tableta</w:t>
      </w:r>
      <w:r w:rsidRPr="007D4E92">
        <w:rPr>
          <w:rFonts w:ascii="TimesNewRomanBold" w:hAnsi="TimesNewRomanBold" w:cs="TimesNewRomanBold"/>
          <w:bCs/>
        </w:rPr>
        <w:t xml:space="preserve"> </w:t>
      </w:r>
      <w:r>
        <w:rPr>
          <w:rFonts w:ascii="TimesNewRomanBold" w:hAnsi="TimesNewRomanBold" w:cs="TimesNewRomanBold"/>
          <w:bCs/>
        </w:rPr>
        <w:t>:</w:t>
      </w:r>
      <w:r w:rsidR="002A2D4C">
        <w:rPr>
          <w:rFonts w:ascii="TimesNewRomanBold" w:hAnsi="TimesNewRomanBold" w:cs="TimesNewRomanBold"/>
          <w:bCs/>
        </w:rPr>
        <w:t xml:space="preserve"> </w:t>
      </w:r>
      <w:r w:rsidR="00C92000" w:rsidRPr="007A32EF">
        <w:rPr>
          <w:rFonts w:ascii="Times New Roman" w:eastAsia="Times New Roman" w:hAnsi="Times New Roman" w:cs="Times New Roman"/>
          <w:bCs/>
        </w:rPr>
        <w:t>2030/18/447 - 1881</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lastRenderedPageBreak/>
        <w:t xml:space="preserve">9. </w:t>
      </w:r>
      <w:r w:rsidRPr="00C92000">
        <w:rPr>
          <w:rFonts w:ascii="Times New Roman" w:eastAsia="Times New Roman" w:hAnsi="Times New Roman" w:cs="Times New Roman"/>
          <w:b/>
          <w:bCs/>
        </w:rPr>
        <w:tab/>
        <w:t>DATUM PRVE DOZVOLE/ DATUM OBNOVE DOZVOLE</w:t>
      </w:r>
    </w:p>
    <w:p w:rsid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Default="007D4E92" w:rsidP="00C92000">
      <w:pPr>
        <w:tabs>
          <w:tab w:val="left" w:pos="540"/>
          <w:tab w:val="left" w:pos="569"/>
        </w:tabs>
        <w:spacing w:after="0" w:line="240" w:lineRule="auto"/>
        <w:jc w:val="both"/>
        <w:rPr>
          <w:rFonts w:ascii="Times New Roman" w:eastAsia="Times New Roman" w:hAnsi="Times New Roman" w:cs="Times New Roman"/>
          <w:bCs/>
        </w:rPr>
      </w:pPr>
      <w:r w:rsidRPr="007D4E92">
        <w:rPr>
          <w:rFonts w:ascii="Times New Roman" w:eastAsia="Times New Roman" w:hAnsi="Times New Roman" w:cs="Times New Roman"/>
          <w:bCs/>
        </w:rPr>
        <w:t>Nevotens</w:t>
      </w:r>
      <w:r w:rsidRPr="007D4E92">
        <w:rPr>
          <w:rFonts w:ascii="Times New Roman" w:eastAsia="Times New Roman" w:hAnsi="Times New Roman" w:cs="Times New Roman"/>
          <w:bCs/>
          <w:vertAlign w:val="superscript"/>
          <w:lang w:val="sr-Latn-CS"/>
        </w:rPr>
        <w:t>®</w:t>
      </w:r>
      <w:r w:rsidRPr="007D4E92">
        <w:rPr>
          <w:rFonts w:ascii="Times New Roman" w:eastAsia="Times New Roman" w:hAnsi="Times New Roman" w:cs="Times New Roman"/>
          <w:bCs/>
        </w:rPr>
        <w:t>, tableta, 5 mg, blister, 30 (3x10) tableta</w:t>
      </w:r>
      <w:r w:rsidRPr="007D4E92">
        <w:rPr>
          <w:rFonts w:ascii="TimesNewRomanBold" w:hAnsi="TimesNewRomanBold" w:cs="TimesNewRomanBold"/>
          <w:bCs/>
        </w:rPr>
        <w:t xml:space="preserve"> </w:t>
      </w:r>
      <w:r>
        <w:rPr>
          <w:rFonts w:ascii="TimesNewRomanBold" w:hAnsi="TimesNewRomanBold" w:cs="TimesNewRomanBold"/>
          <w:bCs/>
        </w:rPr>
        <w:t xml:space="preserve">: </w:t>
      </w:r>
      <w:r w:rsidR="00C92000">
        <w:rPr>
          <w:rFonts w:ascii="TimesNewRoman" w:hAnsi="TimesNewRoman" w:cs="TimesNewRoman"/>
        </w:rPr>
        <w:t>03.12.2018. godine</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
          <w:bCs/>
        </w:rPr>
      </w:pPr>
      <w:r w:rsidRPr="00C92000">
        <w:rPr>
          <w:rFonts w:ascii="Times New Roman" w:eastAsia="Times New Roman" w:hAnsi="Times New Roman" w:cs="Times New Roman"/>
          <w:b/>
          <w:bCs/>
        </w:rPr>
        <w:t xml:space="preserve">10. </w:t>
      </w:r>
      <w:r w:rsidRPr="00C92000">
        <w:rPr>
          <w:rFonts w:ascii="Times New Roman" w:eastAsia="Times New Roman" w:hAnsi="Times New Roman" w:cs="Times New Roman"/>
          <w:b/>
          <w:bCs/>
        </w:rPr>
        <w:tab/>
        <w:t>DATUM POSLEDNJE REVIZIJE TEKSTA SAŽETKA OSNOVNIH KARAKTERISTIKA LIJEKA</w:t>
      </w: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p>
    <w:p w:rsidR="00C92000" w:rsidRPr="00C92000" w:rsidRDefault="00C92000" w:rsidP="00C92000">
      <w:pPr>
        <w:tabs>
          <w:tab w:val="left" w:pos="540"/>
          <w:tab w:val="left" w:pos="569"/>
        </w:tabs>
        <w:spacing w:after="0" w:line="240" w:lineRule="auto"/>
        <w:jc w:val="both"/>
        <w:rPr>
          <w:rFonts w:ascii="Times New Roman" w:eastAsia="Times New Roman" w:hAnsi="Times New Roman" w:cs="Times New Roman"/>
          <w:bCs/>
        </w:rPr>
      </w:pPr>
      <w:r w:rsidRPr="00C92000">
        <w:rPr>
          <w:rFonts w:ascii="Times New Roman" w:eastAsia="Times New Roman" w:hAnsi="Times New Roman" w:cs="Times New Roman"/>
          <w:bCs/>
        </w:rPr>
        <w:t>Decembar, 2018.</w:t>
      </w:r>
      <w:r>
        <w:rPr>
          <w:rFonts w:ascii="Times New Roman" w:eastAsia="Times New Roman" w:hAnsi="Times New Roman" w:cs="Times New Roman"/>
          <w:bCs/>
        </w:rPr>
        <w:t xml:space="preserve"> godine</w:t>
      </w: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p w:rsidR="00C92000" w:rsidRPr="00C92000" w:rsidRDefault="00C92000" w:rsidP="00A862F7">
      <w:pPr>
        <w:autoSpaceDE w:val="0"/>
        <w:autoSpaceDN w:val="0"/>
        <w:adjustRightInd w:val="0"/>
        <w:spacing w:after="0" w:line="240" w:lineRule="auto"/>
        <w:jc w:val="both"/>
        <w:rPr>
          <w:rFonts w:ascii="Times New Roman" w:eastAsia="Times New Roman" w:hAnsi="Times New Roman" w:cs="Times New Roman"/>
          <w:lang w:val="sr-Latn-RS"/>
        </w:rPr>
      </w:pPr>
    </w:p>
    <w:sectPr w:rsidR="00C92000" w:rsidRPr="00C92000"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497A" w:rsidRDefault="006D497A" w:rsidP="00FF2B5A">
      <w:pPr>
        <w:spacing w:after="0" w:line="240" w:lineRule="auto"/>
      </w:pPr>
      <w:r>
        <w:separator/>
      </w:r>
    </w:p>
  </w:endnote>
  <w:endnote w:type="continuationSeparator" w:id="0">
    <w:p w:rsidR="006D497A" w:rsidRDefault="006D497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207" w:usb1="08070000" w:usb2="00000010" w:usb3="00000000" w:csb0="00020007"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963272">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963272">
      <w:rPr>
        <w:rFonts w:ascii="Times New Roman" w:eastAsia="Times New Roman" w:hAnsi="Times New Roman" w:cs="Times New Roman"/>
        <w:noProof/>
        <w:sz w:val="20"/>
        <w:szCs w:val="20"/>
        <w:lang w:val="sr-Latn-ME"/>
      </w:rPr>
      <w:t>14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497A" w:rsidRDefault="006D497A" w:rsidP="00FF2B5A">
      <w:pPr>
        <w:spacing w:after="0" w:line="240" w:lineRule="auto"/>
      </w:pPr>
      <w:r>
        <w:separator/>
      </w:r>
    </w:p>
  </w:footnote>
  <w:footnote w:type="continuationSeparator" w:id="0">
    <w:p w:rsidR="006D497A" w:rsidRDefault="006D497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4"/>
      <w:numFmt w:val="decimal"/>
      <w:lvlText w:val="%1"/>
      <w:lvlJc w:val="left"/>
      <w:pPr>
        <w:ind w:left="568" w:hanging="365"/>
      </w:pPr>
    </w:lvl>
    <w:lvl w:ilvl="1">
      <w:start w:val="1"/>
      <w:numFmt w:val="decimal"/>
      <w:lvlText w:val="%1.%2."/>
      <w:lvlJc w:val="left"/>
      <w:pPr>
        <w:ind w:left="568" w:hanging="365"/>
      </w:pPr>
      <w:rPr>
        <w:rFonts w:ascii="Times New Roman" w:hAnsi="Times New Roman" w:cs="Times New Roman"/>
        <w:b/>
        <w:bCs/>
        <w:w w:val="103"/>
        <w:sz w:val="20"/>
        <w:szCs w:val="20"/>
      </w:rPr>
    </w:lvl>
    <w:lvl w:ilvl="2">
      <w:numFmt w:val="bullet"/>
      <w:lvlText w:val=""/>
      <w:lvlJc w:val="left"/>
      <w:pPr>
        <w:ind w:left="880" w:hanging="341"/>
      </w:pPr>
      <w:rPr>
        <w:rFonts w:ascii="Symbol" w:hAnsi="Symbol" w:cs="Symbol"/>
        <w:b w:val="0"/>
        <w:bCs w:val="0"/>
        <w:w w:val="103"/>
        <w:sz w:val="20"/>
        <w:szCs w:val="20"/>
      </w:rPr>
    </w:lvl>
    <w:lvl w:ilvl="3">
      <w:numFmt w:val="bullet"/>
      <w:lvlText w:val="•"/>
      <w:lvlJc w:val="left"/>
      <w:pPr>
        <w:ind w:left="2060" w:hanging="341"/>
      </w:pPr>
    </w:lvl>
    <w:lvl w:ilvl="4">
      <w:numFmt w:val="bullet"/>
      <w:lvlText w:val="•"/>
      <w:lvlJc w:val="left"/>
      <w:pPr>
        <w:ind w:left="3120" w:hanging="341"/>
      </w:pPr>
    </w:lvl>
    <w:lvl w:ilvl="5">
      <w:numFmt w:val="bullet"/>
      <w:lvlText w:val="•"/>
      <w:lvlJc w:val="left"/>
      <w:pPr>
        <w:ind w:left="4180" w:hanging="341"/>
      </w:pPr>
    </w:lvl>
    <w:lvl w:ilvl="6">
      <w:numFmt w:val="bullet"/>
      <w:lvlText w:val="•"/>
      <w:lvlJc w:val="left"/>
      <w:pPr>
        <w:ind w:left="5240" w:hanging="341"/>
      </w:pPr>
    </w:lvl>
    <w:lvl w:ilvl="7">
      <w:numFmt w:val="bullet"/>
      <w:lvlText w:val="•"/>
      <w:lvlJc w:val="left"/>
      <w:pPr>
        <w:ind w:left="6300" w:hanging="341"/>
      </w:pPr>
    </w:lvl>
    <w:lvl w:ilvl="8">
      <w:numFmt w:val="bullet"/>
      <w:lvlText w:val="•"/>
      <w:lvlJc w:val="left"/>
      <w:pPr>
        <w:ind w:left="7360" w:hanging="341"/>
      </w:pPr>
    </w:lvl>
  </w:abstractNum>
  <w:abstractNum w:abstractNumId="1" w15:restartNumberingAfterBreak="0">
    <w:nsid w:val="00000404"/>
    <w:multiLevelType w:val="multilevel"/>
    <w:tmpl w:val="00000887"/>
    <w:lvl w:ilvl="0">
      <w:numFmt w:val="bullet"/>
      <w:lvlText w:val=""/>
      <w:lvlJc w:val="left"/>
      <w:pPr>
        <w:ind w:left="1000" w:hanging="394"/>
      </w:pPr>
      <w:rPr>
        <w:rFonts w:ascii="Symbol" w:hAnsi="Symbol" w:cs="Symbol"/>
        <w:b w:val="0"/>
        <w:bCs w:val="0"/>
        <w:w w:val="103"/>
        <w:sz w:val="20"/>
        <w:szCs w:val="20"/>
      </w:rPr>
    </w:lvl>
    <w:lvl w:ilvl="1">
      <w:numFmt w:val="bullet"/>
      <w:lvlText w:val="•"/>
      <w:lvlJc w:val="left"/>
      <w:pPr>
        <w:ind w:left="1848" w:hanging="394"/>
      </w:pPr>
    </w:lvl>
    <w:lvl w:ilvl="2">
      <w:numFmt w:val="bullet"/>
      <w:lvlText w:val="•"/>
      <w:lvlJc w:val="left"/>
      <w:pPr>
        <w:ind w:left="2696" w:hanging="394"/>
      </w:pPr>
    </w:lvl>
    <w:lvl w:ilvl="3">
      <w:numFmt w:val="bullet"/>
      <w:lvlText w:val="•"/>
      <w:lvlJc w:val="left"/>
      <w:pPr>
        <w:ind w:left="3544" w:hanging="394"/>
      </w:pPr>
    </w:lvl>
    <w:lvl w:ilvl="4">
      <w:numFmt w:val="bullet"/>
      <w:lvlText w:val="•"/>
      <w:lvlJc w:val="left"/>
      <w:pPr>
        <w:ind w:left="4392" w:hanging="394"/>
      </w:pPr>
    </w:lvl>
    <w:lvl w:ilvl="5">
      <w:numFmt w:val="bullet"/>
      <w:lvlText w:val="•"/>
      <w:lvlJc w:val="left"/>
      <w:pPr>
        <w:ind w:left="5240" w:hanging="394"/>
      </w:pPr>
    </w:lvl>
    <w:lvl w:ilvl="6">
      <w:numFmt w:val="bullet"/>
      <w:lvlText w:val="•"/>
      <w:lvlJc w:val="left"/>
      <w:pPr>
        <w:ind w:left="6088" w:hanging="394"/>
      </w:pPr>
    </w:lvl>
    <w:lvl w:ilvl="7">
      <w:numFmt w:val="bullet"/>
      <w:lvlText w:val="•"/>
      <w:lvlJc w:val="left"/>
      <w:pPr>
        <w:ind w:left="6936" w:hanging="394"/>
      </w:pPr>
    </w:lvl>
    <w:lvl w:ilvl="8">
      <w:numFmt w:val="bullet"/>
      <w:lvlText w:val="•"/>
      <w:lvlJc w:val="left"/>
      <w:pPr>
        <w:ind w:left="7784" w:hanging="394"/>
      </w:p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A1541DD"/>
    <w:multiLevelType w:val="hybridMultilevel"/>
    <w:tmpl w:val="17C0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F60BF"/>
    <w:multiLevelType w:val="hybridMultilevel"/>
    <w:tmpl w:val="86DE9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BE0E35"/>
    <w:multiLevelType w:val="hybridMultilevel"/>
    <w:tmpl w:val="7D2C96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465598"/>
    <w:multiLevelType w:val="hybridMultilevel"/>
    <w:tmpl w:val="F5542436"/>
    <w:lvl w:ilvl="0" w:tplc="04A8EDE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B16EE"/>
    <w:rsid w:val="00116FE6"/>
    <w:rsid w:val="0012530E"/>
    <w:rsid w:val="00182BC3"/>
    <w:rsid w:val="002A2D4C"/>
    <w:rsid w:val="00434681"/>
    <w:rsid w:val="00461135"/>
    <w:rsid w:val="006D497A"/>
    <w:rsid w:val="006E39FC"/>
    <w:rsid w:val="00747C4B"/>
    <w:rsid w:val="00760A03"/>
    <w:rsid w:val="0079088F"/>
    <w:rsid w:val="007A32EF"/>
    <w:rsid w:val="007D4E92"/>
    <w:rsid w:val="007F11CE"/>
    <w:rsid w:val="00883AF2"/>
    <w:rsid w:val="009318B4"/>
    <w:rsid w:val="00934541"/>
    <w:rsid w:val="00963272"/>
    <w:rsid w:val="00A06058"/>
    <w:rsid w:val="00A862F7"/>
    <w:rsid w:val="00B234CE"/>
    <w:rsid w:val="00B34AF2"/>
    <w:rsid w:val="00B424DD"/>
    <w:rsid w:val="00B55441"/>
    <w:rsid w:val="00B95FCF"/>
    <w:rsid w:val="00C4240B"/>
    <w:rsid w:val="00C92000"/>
    <w:rsid w:val="00D45AFE"/>
    <w:rsid w:val="00E0627A"/>
    <w:rsid w:val="00EB2A93"/>
    <w:rsid w:val="00F06281"/>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B16EE"/>
    <w:pPr>
      <w:keepNext/>
      <w:spacing w:before="240" w:after="60" w:line="240" w:lineRule="auto"/>
      <w:outlineLvl w:val="0"/>
    </w:pPr>
    <w:rPr>
      <w:rFonts w:ascii="Cambria" w:eastAsia="Times New Roman" w:hAnsi="Cambria" w:cs="Times New Roman"/>
      <w:b/>
      <w:bCs/>
      <w:kern w:val="32"/>
      <w:sz w:val="32"/>
      <w:szCs w:val="32"/>
      <w:lang w:val="sr-Latn-RS"/>
    </w:rPr>
  </w:style>
  <w:style w:type="paragraph" w:styleId="Heading2">
    <w:name w:val="heading 2"/>
    <w:basedOn w:val="Normal"/>
    <w:next w:val="Normal"/>
    <w:link w:val="Heading2Char"/>
    <w:qFormat/>
    <w:rsid w:val="000B16EE"/>
    <w:pPr>
      <w:keepNext/>
      <w:spacing w:before="240" w:after="60" w:line="240" w:lineRule="auto"/>
      <w:outlineLvl w:val="1"/>
    </w:pPr>
    <w:rPr>
      <w:rFonts w:ascii="Arial" w:eastAsia="Times New Roman" w:hAnsi="Arial" w:cs="Arial"/>
      <w:b/>
      <w:bCs/>
      <w:i/>
      <w:iCs/>
      <w:sz w:val="28"/>
      <w:szCs w:val="28"/>
      <w:lang w:val="sr-Latn-RS"/>
    </w:rPr>
  </w:style>
  <w:style w:type="paragraph" w:styleId="Heading8">
    <w:name w:val="heading 8"/>
    <w:basedOn w:val="Normal"/>
    <w:next w:val="Normal"/>
    <w:link w:val="Heading8Char"/>
    <w:qFormat/>
    <w:rsid w:val="000B16EE"/>
    <w:pPr>
      <w:spacing w:before="240" w:after="60" w:line="240" w:lineRule="auto"/>
      <w:outlineLvl w:val="7"/>
    </w:pPr>
    <w:rPr>
      <w:rFonts w:ascii="Times New Roman" w:eastAsia="Times New Roman" w:hAnsi="Times New Roman" w:cs="Times New Roman"/>
      <w:i/>
      <w:iCs/>
      <w:sz w:val="24"/>
      <w:szCs w:val="24"/>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0B16EE"/>
    <w:rPr>
      <w:rFonts w:ascii="Cambria" w:eastAsia="Times New Roman" w:hAnsi="Cambria" w:cs="Times New Roman"/>
      <w:b/>
      <w:bCs/>
      <w:kern w:val="32"/>
      <w:sz w:val="32"/>
      <w:szCs w:val="32"/>
      <w:lang w:val="sr-Latn-RS"/>
    </w:rPr>
  </w:style>
  <w:style w:type="character" w:customStyle="1" w:styleId="Heading2Char">
    <w:name w:val="Heading 2 Char"/>
    <w:basedOn w:val="DefaultParagraphFont"/>
    <w:link w:val="Heading2"/>
    <w:rsid w:val="000B16EE"/>
    <w:rPr>
      <w:rFonts w:ascii="Arial" w:eastAsia="Times New Roman" w:hAnsi="Arial" w:cs="Arial"/>
      <w:b/>
      <w:bCs/>
      <w:i/>
      <w:iCs/>
      <w:sz w:val="28"/>
      <w:szCs w:val="28"/>
      <w:lang w:val="sr-Latn-RS"/>
    </w:rPr>
  </w:style>
  <w:style w:type="character" w:customStyle="1" w:styleId="Heading8Char">
    <w:name w:val="Heading 8 Char"/>
    <w:basedOn w:val="DefaultParagraphFont"/>
    <w:link w:val="Heading8"/>
    <w:rsid w:val="000B16EE"/>
    <w:rPr>
      <w:rFonts w:ascii="Times New Roman" w:eastAsia="Times New Roman" w:hAnsi="Times New Roman" w:cs="Times New Roman"/>
      <w:i/>
      <w:iCs/>
      <w:sz w:val="24"/>
      <w:szCs w:val="24"/>
      <w:lang w:val="sr-Latn-RS"/>
    </w:rPr>
  </w:style>
  <w:style w:type="numbering" w:customStyle="1" w:styleId="NoList1">
    <w:name w:val="No List1"/>
    <w:next w:val="NoList"/>
    <w:semiHidden/>
    <w:rsid w:val="000B16EE"/>
  </w:style>
  <w:style w:type="paragraph" w:styleId="Title">
    <w:name w:val="Title"/>
    <w:basedOn w:val="Normal"/>
    <w:link w:val="TitleChar"/>
    <w:qFormat/>
    <w:rsid w:val="000B16EE"/>
    <w:pPr>
      <w:spacing w:after="0" w:line="240" w:lineRule="auto"/>
      <w:jc w:val="center"/>
    </w:pPr>
    <w:rPr>
      <w:rFonts w:ascii="Times New Roman" w:eastAsia="Times New Roman" w:hAnsi="Times New Roman" w:cs="Times New Roman"/>
      <w:b/>
      <w:sz w:val="24"/>
      <w:szCs w:val="24"/>
    </w:rPr>
  </w:style>
  <w:style w:type="character" w:customStyle="1" w:styleId="TitleChar">
    <w:name w:val="Title Char"/>
    <w:basedOn w:val="DefaultParagraphFont"/>
    <w:link w:val="Title"/>
    <w:rsid w:val="000B16EE"/>
    <w:rPr>
      <w:rFonts w:ascii="Times New Roman" w:eastAsia="Times New Roman" w:hAnsi="Times New Roman" w:cs="Times New Roman"/>
      <w:b/>
      <w:sz w:val="24"/>
      <w:szCs w:val="24"/>
    </w:rPr>
  </w:style>
  <w:style w:type="paragraph" w:styleId="EndnoteText">
    <w:name w:val="endnote text"/>
    <w:basedOn w:val="Normal"/>
    <w:link w:val="EndnoteTextChar"/>
    <w:semiHidden/>
    <w:rsid w:val="000B16EE"/>
    <w:pPr>
      <w:spacing w:after="0" w:line="240" w:lineRule="auto"/>
    </w:pPr>
    <w:rPr>
      <w:rFonts w:ascii="TmsRmn 12pt" w:eastAsia="Times New Roman" w:hAnsi="TmsRmn 12pt" w:cs="Times New Roman"/>
      <w:sz w:val="24"/>
      <w:szCs w:val="24"/>
    </w:rPr>
  </w:style>
  <w:style w:type="character" w:customStyle="1" w:styleId="EndnoteTextChar">
    <w:name w:val="Endnote Text Char"/>
    <w:basedOn w:val="DefaultParagraphFont"/>
    <w:link w:val="EndnoteText"/>
    <w:semiHidden/>
    <w:rsid w:val="000B16EE"/>
    <w:rPr>
      <w:rFonts w:ascii="TmsRmn 12pt" w:eastAsia="Times New Roman" w:hAnsi="TmsRmn 12pt" w:cs="Times New Roman"/>
      <w:sz w:val="24"/>
      <w:szCs w:val="24"/>
    </w:rPr>
  </w:style>
  <w:style w:type="paragraph" w:styleId="BodyTextIndent2">
    <w:name w:val="Body Text Indent 2"/>
    <w:basedOn w:val="Normal"/>
    <w:link w:val="BodyTextIndent2Char"/>
    <w:rsid w:val="000B16EE"/>
    <w:pPr>
      <w:spacing w:after="0" w:line="240" w:lineRule="auto"/>
      <w:ind w:left="1440"/>
    </w:pPr>
    <w:rPr>
      <w:rFonts w:ascii="Times New Roman" w:eastAsia="Times New Roman" w:hAnsi="Times New Roman" w:cs="Times New Roman"/>
      <w:i/>
      <w:sz w:val="24"/>
      <w:szCs w:val="24"/>
    </w:rPr>
  </w:style>
  <w:style w:type="character" w:customStyle="1" w:styleId="BodyTextIndent2Char">
    <w:name w:val="Body Text Indent 2 Char"/>
    <w:basedOn w:val="DefaultParagraphFont"/>
    <w:link w:val="BodyTextIndent2"/>
    <w:rsid w:val="000B16EE"/>
    <w:rPr>
      <w:rFonts w:ascii="Times New Roman" w:eastAsia="Times New Roman" w:hAnsi="Times New Roman" w:cs="Times New Roman"/>
      <w:i/>
      <w:sz w:val="24"/>
      <w:szCs w:val="24"/>
    </w:rPr>
  </w:style>
  <w:style w:type="table" w:styleId="TableGrid">
    <w:name w:val="Table Grid"/>
    <w:basedOn w:val="TableNormal"/>
    <w:rsid w:val="000B1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0B16EE"/>
    <w:pPr>
      <w:spacing w:after="0" w:line="240" w:lineRule="auto"/>
      <w:jc w:val="both"/>
    </w:pPr>
    <w:rPr>
      <w:rFonts w:ascii="Times New Roman" w:eastAsia="Times New Roman" w:hAnsi="Times New Roman" w:cs="Times New Roman"/>
      <w:b/>
      <w:sz w:val="24"/>
      <w:szCs w:val="24"/>
      <w:lang w:val="sr-Latn-RS"/>
    </w:rPr>
  </w:style>
  <w:style w:type="character" w:styleId="PageNumber">
    <w:name w:val="page number"/>
    <w:basedOn w:val="DefaultParagraphFont"/>
    <w:rsid w:val="000B16EE"/>
  </w:style>
  <w:style w:type="paragraph" w:styleId="BodyText">
    <w:name w:val="Body Text"/>
    <w:basedOn w:val="Normal"/>
    <w:link w:val="BodyTextChar"/>
    <w:rsid w:val="000B16EE"/>
    <w:pPr>
      <w:spacing w:after="120" w:line="240" w:lineRule="auto"/>
    </w:pPr>
    <w:rPr>
      <w:rFonts w:ascii="Times New Roman" w:eastAsia="Times New Roman" w:hAnsi="Times New Roman" w:cs="Times New Roman"/>
      <w:sz w:val="20"/>
      <w:szCs w:val="20"/>
      <w:lang w:val="sr-Latn-RS"/>
    </w:rPr>
  </w:style>
  <w:style w:type="character" w:customStyle="1" w:styleId="BodyTextChar">
    <w:name w:val="Body Text Char"/>
    <w:basedOn w:val="DefaultParagraphFont"/>
    <w:link w:val="BodyText"/>
    <w:rsid w:val="000B16EE"/>
    <w:rPr>
      <w:rFonts w:ascii="Times New Roman" w:eastAsia="Times New Roman" w:hAnsi="Times New Roman" w:cs="Times New Roman"/>
      <w:sz w:val="20"/>
      <w:szCs w:val="20"/>
      <w:lang w:val="sr-Latn-RS"/>
    </w:rPr>
  </w:style>
  <w:style w:type="paragraph" w:styleId="BodyTextIndent3">
    <w:name w:val="Body Text Indent 3"/>
    <w:basedOn w:val="Normal"/>
    <w:link w:val="BodyTextIndent3Char"/>
    <w:rsid w:val="000B16EE"/>
    <w:pPr>
      <w:spacing w:after="120" w:line="240" w:lineRule="auto"/>
      <w:ind w:left="360"/>
    </w:pPr>
    <w:rPr>
      <w:rFonts w:ascii="Times New Roman" w:eastAsia="Times New Roman" w:hAnsi="Times New Roman" w:cs="Times New Roman"/>
      <w:sz w:val="16"/>
      <w:szCs w:val="16"/>
      <w:lang w:val="sr-Latn-RS"/>
    </w:rPr>
  </w:style>
  <w:style w:type="character" w:customStyle="1" w:styleId="BodyTextIndent3Char">
    <w:name w:val="Body Text Indent 3 Char"/>
    <w:basedOn w:val="DefaultParagraphFont"/>
    <w:link w:val="BodyTextIndent3"/>
    <w:rsid w:val="000B16EE"/>
    <w:rPr>
      <w:rFonts w:ascii="Times New Roman" w:eastAsia="Times New Roman" w:hAnsi="Times New Roman" w:cs="Times New Roman"/>
      <w:sz w:val="16"/>
      <w:szCs w:val="16"/>
      <w:lang w:val="sr-Latn-RS"/>
    </w:rPr>
  </w:style>
  <w:style w:type="paragraph" w:styleId="BodyTextIndent">
    <w:name w:val="Body Text Indent"/>
    <w:basedOn w:val="Normal"/>
    <w:link w:val="BodyTextIndentChar"/>
    <w:rsid w:val="000B16EE"/>
    <w:pPr>
      <w:spacing w:after="120" w:line="240" w:lineRule="auto"/>
      <w:ind w:left="360"/>
    </w:pPr>
    <w:rPr>
      <w:rFonts w:ascii="Times New Roman" w:eastAsia="Times New Roman" w:hAnsi="Times New Roman" w:cs="Times New Roman"/>
      <w:sz w:val="20"/>
      <w:szCs w:val="20"/>
      <w:lang w:val="sr-Latn-RS"/>
    </w:rPr>
  </w:style>
  <w:style w:type="character" w:customStyle="1" w:styleId="BodyTextIndentChar">
    <w:name w:val="Body Text Indent Char"/>
    <w:basedOn w:val="DefaultParagraphFont"/>
    <w:link w:val="BodyTextIndent"/>
    <w:rsid w:val="000B16EE"/>
    <w:rPr>
      <w:rFonts w:ascii="Times New Roman" w:eastAsia="Times New Roman" w:hAnsi="Times New Roman" w:cs="Times New Roman"/>
      <w:sz w:val="20"/>
      <w:szCs w:val="20"/>
      <w:lang w:val="sr-Latn-RS"/>
    </w:rPr>
  </w:style>
  <w:style w:type="character" w:styleId="Strong">
    <w:name w:val="Strong"/>
    <w:qFormat/>
    <w:rsid w:val="000B16EE"/>
    <w:rPr>
      <w:b/>
      <w:bCs w:val="0"/>
    </w:rPr>
  </w:style>
  <w:style w:type="paragraph" w:styleId="BalloonText">
    <w:name w:val="Balloon Text"/>
    <w:basedOn w:val="Normal"/>
    <w:link w:val="BalloonTextChar"/>
    <w:semiHidden/>
    <w:rsid w:val="000B16EE"/>
    <w:pPr>
      <w:spacing w:after="0" w:line="240" w:lineRule="auto"/>
    </w:pPr>
    <w:rPr>
      <w:rFonts w:ascii="Tahoma" w:eastAsia="Times New Roman" w:hAnsi="Tahoma" w:cs="Tahoma"/>
      <w:sz w:val="16"/>
      <w:szCs w:val="16"/>
      <w:lang w:val="sr-Latn-RS"/>
    </w:rPr>
  </w:style>
  <w:style w:type="character" w:customStyle="1" w:styleId="BalloonTextChar">
    <w:name w:val="Balloon Text Char"/>
    <w:basedOn w:val="DefaultParagraphFont"/>
    <w:link w:val="BalloonText"/>
    <w:semiHidden/>
    <w:rsid w:val="000B16EE"/>
    <w:rPr>
      <w:rFonts w:ascii="Tahoma" w:eastAsia="Times New Roman" w:hAnsi="Tahoma" w:cs="Tahoma"/>
      <w:sz w:val="16"/>
      <w:szCs w:val="16"/>
      <w:lang w:val="sr-Latn-RS"/>
    </w:rPr>
  </w:style>
  <w:style w:type="character" w:styleId="CommentReference">
    <w:name w:val="annotation reference"/>
    <w:semiHidden/>
    <w:rsid w:val="000B16EE"/>
    <w:rPr>
      <w:sz w:val="16"/>
      <w:szCs w:val="16"/>
    </w:rPr>
  </w:style>
  <w:style w:type="paragraph" w:styleId="CommentText">
    <w:name w:val="annotation text"/>
    <w:basedOn w:val="Normal"/>
    <w:link w:val="CommentTextChar"/>
    <w:semiHidden/>
    <w:rsid w:val="000B16EE"/>
    <w:pPr>
      <w:spacing w:after="0" w:line="240" w:lineRule="auto"/>
    </w:pPr>
    <w:rPr>
      <w:rFonts w:ascii="Times New Roman" w:eastAsia="Times New Roman" w:hAnsi="Times New Roman" w:cs="Times New Roman"/>
      <w:sz w:val="20"/>
      <w:szCs w:val="20"/>
      <w:lang w:val="sr-Latn-RS"/>
    </w:rPr>
  </w:style>
  <w:style w:type="character" w:customStyle="1" w:styleId="CommentTextChar">
    <w:name w:val="Comment Text Char"/>
    <w:basedOn w:val="DefaultParagraphFont"/>
    <w:link w:val="CommentText"/>
    <w:semiHidden/>
    <w:rsid w:val="000B16EE"/>
    <w:rPr>
      <w:rFonts w:ascii="Times New Roman" w:eastAsia="Times New Roman" w:hAnsi="Times New Roman" w:cs="Times New Roman"/>
      <w:sz w:val="20"/>
      <w:szCs w:val="20"/>
      <w:lang w:val="sr-Latn-RS"/>
    </w:rPr>
  </w:style>
  <w:style w:type="paragraph" w:styleId="CommentSubject">
    <w:name w:val="annotation subject"/>
    <w:basedOn w:val="CommentText"/>
    <w:next w:val="CommentText"/>
    <w:link w:val="CommentSubjectChar"/>
    <w:semiHidden/>
    <w:rsid w:val="000B16EE"/>
    <w:rPr>
      <w:b/>
      <w:bCs/>
    </w:rPr>
  </w:style>
  <w:style w:type="character" w:customStyle="1" w:styleId="CommentSubjectChar">
    <w:name w:val="Comment Subject Char"/>
    <w:basedOn w:val="CommentTextChar"/>
    <w:link w:val="CommentSubject"/>
    <w:semiHidden/>
    <w:rsid w:val="000B16EE"/>
    <w:rPr>
      <w:rFonts w:ascii="Times New Roman" w:eastAsia="Times New Roman" w:hAnsi="Times New Roman" w:cs="Times New Roman"/>
      <w:b/>
      <w:bCs/>
      <w:sz w:val="20"/>
      <w:szCs w:val="20"/>
      <w:lang w:val="sr-Latn-RS"/>
    </w:rPr>
  </w:style>
  <w:style w:type="paragraph" w:styleId="NoSpacing">
    <w:name w:val="No Spacing"/>
    <w:uiPriority w:val="1"/>
    <w:qFormat/>
    <w:rsid w:val="000B16EE"/>
    <w:pPr>
      <w:spacing w:after="0" w:line="240" w:lineRule="auto"/>
    </w:pPr>
    <w:rPr>
      <w:rFonts w:ascii="Times New Roman" w:eastAsia="Times New Roman" w:hAnsi="Times New Roman" w:cs="Times New Roman"/>
      <w:sz w:val="20"/>
      <w:szCs w:val="20"/>
    </w:rPr>
  </w:style>
  <w:style w:type="numbering" w:customStyle="1" w:styleId="NoList2">
    <w:name w:val="No List2"/>
    <w:next w:val="NoList"/>
    <w:semiHidden/>
    <w:rsid w:val="00C92000"/>
  </w:style>
  <w:style w:type="numbering" w:styleId="111111">
    <w:name w:val="Outline List 2"/>
    <w:basedOn w:val="NoList"/>
    <w:rsid w:val="00C9200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84A3A-2AF0-44DC-8187-99B1C517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4319</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6</cp:revision>
  <dcterms:created xsi:type="dcterms:W3CDTF">2019-01-22T11:50:00Z</dcterms:created>
  <dcterms:modified xsi:type="dcterms:W3CDTF">2019-01-23T09:00:00Z</dcterms:modified>
</cp:coreProperties>
</file>