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69" w:rsidRPr="00563B69" w:rsidRDefault="00DA1FB0" w:rsidP="00563B69">
      <w:pPr>
        <w:spacing w:after="0" w:line="240" w:lineRule="auto"/>
        <w:rPr>
          <w:rFonts w:ascii="Times New Roman" w:hAnsi="Times New Roman" w:cs="Times New Roman"/>
          <w:lang w:val="sr-Latn-ME"/>
        </w:rPr>
      </w:pPr>
      <w:r w:rsidRPr="00563B69">
        <w:rPr>
          <w:rFonts w:ascii="Times New Roman" w:hAnsi="Times New Roman" w:cs="Times New Roman"/>
          <w:lang w:val="sr-Latn-ME"/>
        </w:rPr>
        <w:t xml:space="preserve"> </w:t>
      </w:r>
    </w:p>
    <w:tbl>
      <w:tblPr>
        <w:tblpPr w:leftFromText="180" w:rightFromText="180" w:vertAnchor="page" w:horzAnchor="margin" w:tblpY="3976"/>
        <w:tblW w:w="9360" w:type="dxa"/>
        <w:tblLayout w:type="fixed"/>
        <w:tblLook w:val="04A0" w:firstRow="1" w:lastRow="0" w:firstColumn="1" w:lastColumn="0" w:noHBand="0" w:noVBand="1"/>
      </w:tblPr>
      <w:tblGrid>
        <w:gridCol w:w="2160"/>
        <w:gridCol w:w="7200"/>
      </w:tblGrid>
      <w:tr w:rsidR="00563B69" w:rsidRPr="00563B69" w:rsidTr="00563B69">
        <w:trPr>
          <w:trHeight w:val="530"/>
        </w:trPr>
        <w:tc>
          <w:tcPr>
            <w:tcW w:w="9360" w:type="dxa"/>
            <w:gridSpan w:val="2"/>
            <w:vAlign w:val="center"/>
            <w:hideMark/>
          </w:tcPr>
          <w:p w:rsidR="00E43839" w:rsidRDefault="00E43839" w:rsidP="00563B69">
            <w:pPr>
              <w:spacing w:after="0" w:line="240" w:lineRule="auto"/>
              <w:jc w:val="center"/>
              <w:rPr>
                <w:rFonts w:ascii="Times New Roman" w:eastAsia="Times New Roman" w:hAnsi="Times New Roman" w:cs="Times New Roman"/>
                <w:b/>
                <w:bCs/>
                <w:iCs/>
                <w:u w:val="single"/>
                <w:lang w:val="sr-Latn-ME" w:eastAsia="sl-SI"/>
              </w:rPr>
            </w:pPr>
          </w:p>
          <w:p w:rsidR="00E43839" w:rsidRDefault="00E43839" w:rsidP="00563B69">
            <w:pPr>
              <w:spacing w:after="0" w:line="240" w:lineRule="auto"/>
              <w:jc w:val="center"/>
              <w:rPr>
                <w:rFonts w:ascii="Times New Roman" w:eastAsia="Times New Roman" w:hAnsi="Times New Roman" w:cs="Times New Roman"/>
                <w:b/>
                <w:bCs/>
                <w:iCs/>
                <w:u w:val="single"/>
                <w:lang w:val="sr-Latn-ME" w:eastAsia="sl-SI"/>
              </w:rPr>
            </w:pPr>
          </w:p>
          <w:p w:rsidR="00E43839" w:rsidRDefault="00E43839" w:rsidP="00563B69">
            <w:pPr>
              <w:spacing w:after="0" w:line="240" w:lineRule="auto"/>
              <w:jc w:val="center"/>
              <w:rPr>
                <w:rFonts w:ascii="Times New Roman" w:eastAsia="Times New Roman" w:hAnsi="Times New Roman" w:cs="Times New Roman"/>
                <w:b/>
                <w:bCs/>
                <w:iCs/>
                <w:u w:val="single"/>
                <w:lang w:val="sr-Latn-ME" w:eastAsia="sl-SI"/>
              </w:rPr>
            </w:pPr>
          </w:p>
          <w:p w:rsidR="00E43839" w:rsidRDefault="00E43839" w:rsidP="00563B69">
            <w:pPr>
              <w:spacing w:after="0" w:line="240" w:lineRule="auto"/>
              <w:jc w:val="center"/>
              <w:rPr>
                <w:rFonts w:ascii="Times New Roman" w:eastAsia="Times New Roman" w:hAnsi="Times New Roman" w:cs="Times New Roman"/>
                <w:b/>
                <w:bCs/>
                <w:iCs/>
                <w:u w:val="single"/>
                <w:lang w:val="sr-Latn-ME" w:eastAsia="sl-SI"/>
              </w:rPr>
            </w:pPr>
          </w:p>
          <w:p w:rsidR="00E43839" w:rsidRDefault="00E43839" w:rsidP="00563B69">
            <w:pPr>
              <w:spacing w:after="0" w:line="240" w:lineRule="auto"/>
              <w:jc w:val="center"/>
              <w:rPr>
                <w:rFonts w:ascii="Times New Roman" w:eastAsia="Times New Roman" w:hAnsi="Times New Roman" w:cs="Times New Roman"/>
                <w:b/>
                <w:bCs/>
                <w:iCs/>
                <w:u w:val="single"/>
                <w:lang w:val="sr-Latn-ME" w:eastAsia="sl-SI"/>
              </w:rPr>
            </w:pPr>
          </w:p>
          <w:p w:rsidR="00563B69" w:rsidRPr="00563B69" w:rsidRDefault="00563B69" w:rsidP="00563B69">
            <w:pPr>
              <w:spacing w:after="0" w:line="240" w:lineRule="auto"/>
              <w:jc w:val="center"/>
              <w:rPr>
                <w:rFonts w:ascii="Times New Roman" w:eastAsia="Times New Roman" w:hAnsi="Times New Roman" w:cs="Times New Roman"/>
                <w:b/>
                <w:bCs/>
                <w:iCs/>
                <w:u w:val="single"/>
                <w:lang w:val="sr-Latn-ME"/>
              </w:rPr>
            </w:pPr>
            <w:r w:rsidRPr="00563B69">
              <w:rPr>
                <w:rFonts w:ascii="Times New Roman" w:eastAsia="Times New Roman" w:hAnsi="Times New Roman" w:cs="Times New Roman"/>
                <w:b/>
                <w:bCs/>
                <w:iCs/>
                <w:u w:val="single"/>
                <w:lang w:val="sr-Latn-ME" w:eastAsia="sl-SI"/>
              </w:rPr>
              <w:t>SAŽETAK KARAKTERISTIKA LIJEKA</w:t>
            </w:r>
          </w:p>
        </w:tc>
      </w:tr>
      <w:tr w:rsidR="00563B69" w:rsidRPr="00563B69" w:rsidTr="00563B69">
        <w:trPr>
          <w:trHeight w:val="1969"/>
        </w:trPr>
        <w:tc>
          <w:tcPr>
            <w:tcW w:w="9360" w:type="dxa"/>
            <w:gridSpan w:val="2"/>
            <w:vAlign w:val="bottom"/>
          </w:tcPr>
          <w:p w:rsidR="00563B69" w:rsidRDefault="00563B69" w:rsidP="00563B69">
            <w:pPr>
              <w:spacing w:after="0" w:line="240" w:lineRule="auto"/>
              <w:rPr>
                <w:rFonts w:ascii="Times New Roman" w:eastAsia="Times New Roman" w:hAnsi="Times New Roman" w:cs="Times New Roman"/>
                <w:b/>
                <w:bCs/>
                <w:u w:val="single"/>
                <w:lang w:val="sr-Latn-ME"/>
              </w:rPr>
            </w:pPr>
          </w:p>
          <w:p w:rsidR="00E43839" w:rsidRPr="00563B69" w:rsidRDefault="00E43839" w:rsidP="00563B69">
            <w:pPr>
              <w:spacing w:after="0" w:line="240" w:lineRule="auto"/>
              <w:rPr>
                <w:rFonts w:ascii="Times New Roman" w:eastAsia="Times New Roman" w:hAnsi="Times New Roman" w:cs="Times New Roman"/>
                <w:b/>
                <w:bCs/>
                <w:u w:val="single"/>
                <w:lang w:val="sr-Latn-ME"/>
              </w:rPr>
            </w:pPr>
          </w:p>
        </w:tc>
      </w:tr>
      <w:tr w:rsidR="00563B69" w:rsidRPr="00563B69" w:rsidTr="00563B69">
        <w:trPr>
          <w:trHeight w:val="1225"/>
        </w:trPr>
        <w:tc>
          <w:tcPr>
            <w:tcW w:w="9360" w:type="dxa"/>
            <w:gridSpan w:val="2"/>
          </w:tcPr>
          <w:p w:rsidR="00E43839" w:rsidRDefault="00E43839" w:rsidP="00563B69">
            <w:pPr>
              <w:widowControl w:val="0"/>
              <w:spacing w:after="0" w:line="240" w:lineRule="auto"/>
              <w:jc w:val="center"/>
              <w:rPr>
                <w:rFonts w:ascii="Times New Roman" w:eastAsia="Times New Roman" w:hAnsi="Times New Roman" w:cs="Times New Roman"/>
                <w:b/>
                <w:bCs/>
                <w:noProof/>
                <w:snapToGrid w:val="0"/>
                <w:color w:val="FF0000"/>
                <w:lang w:val="sr-Latn-ME" w:eastAsia="sl-SI"/>
              </w:rPr>
            </w:pPr>
          </w:p>
          <w:p w:rsidR="00563B69" w:rsidRPr="00563B69" w:rsidRDefault="00563B69" w:rsidP="00563B69">
            <w:pPr>
              <w:widowControl w:val="0"/>
              <w:spacing w:after="0" w:line="240" w:lineRule="auto"/>
              <w:jc w:val="center"/>
              <w:rPr>
                <w:rFonts w:ascii="Times New Roman" w:eastAsia="Times New Roman" w:hAnsi="Times New Roman" w:cs="Times New Roman"/>
                <w:bCs/>
                <w:lang w:val="sr-Latn-ME" w:eastAsia="sl-SI"/>
              </w:rPr>
            </w:pPr>
            <w:r w:rsidRPr="00563B69">
              <w:rPr>
                <w:rFonts w:ascii="Times New Roman" w:eastAsia="Times New Roman" w:hAnsi="Times New Roman" w:cs="Times New Roman"/>
                <w:b/>
                <w:bCs/>
                <w:noProof/>
                <w:snapToGrid w:val="0"/>
                <w:color w:val="FF0000"/>
                <w:lang w:val="sr-Latn-ME" w:eastAsia="sl-SI"/>
              </w:rPr>
              <w:t>▲</w:t>
            </w:r>
            <w:r w:rsidRPr="00563B69">
              <w:rPr>
                <w:rFonts w:ascii="Times New Roman" w:eastAsia="Times New Roman" w:hAnsi="Times New Roman" w:cs="Times New Roman"/>
                <w:b/>
                <w:bCs/>
                <w:noProof/>
                <w:snapToGrid w:val="0"/>
                <w:lang w:val="sr-Latn-ME" w:eastAsia="sl-SI"/>
              </w:rPr>
              <w:t xml:space="preserve"> </w:t>
            </w:r>
            <w:r w:rsidRPr="00563B69">
              <w:rPr>
                <w:rFonts w:ascii="Times New Roman" w:eastAsia="Times New Roman" w:hAnsi="Times New Roman" w:cs="Times New Roman"/>
                <w:b/>
                <w:bCs/>
                <w:lang w:val="sr-Latn-ME" w:eastAsia="sl-SI"/>
              </w:rPr>
              <w:t>Helex</w:t>
            </w:r>
            <w:r w:rsidRPr="00563B69">
              <w:rPr>
                <w:rFonts w:ascii="Times New Roman" w:eastAsia="Times New Roman" w:hAnsi="Times New Roman" w:cs="Times New Roman"/>
                <w:b/>
                <w:bCs/>
                <w:vertAlign w:val="superscript"/>
                <w:lang w:val="sr-Latn-ME" w:eastAsia="sl-SI"/>
              </w:rPr>
              <w:t>®</w:t>
            </w:r>
            <w:r w:rsidRPr="00563B69">
              <w:rPr>
                <w:rFonts w:ascii="Times New Roman" w:eastAsia="Times New Roman" w:hAnsi="Times New Roman" w:cs="Times New Roman"/>
                <w:bCs/>
                <w:lang w:val="sr-Latn-ME" w:eastAsia="sl-SI"/>
              </w:rPr>
              <w:t>, tableta, 0,25 mg,</w:t>
            </w:r>
          </w:p>
          <w:p w:rsidR="00563B69" w:rsidRPr="00563B69" w:rsidRDefault="00563B69" w:rsidP="00563B69">
            <w:pPr>
              <w:widowControl w:val="0"/>
              <w:spacing w:after="0" w:line="240" w:lineRule="auto"/>
              <w:jc w:val="center"/>
              <w:rPr>
                <w:rFonts w:ascii="Times New Roman" w:eastAsia="Times New Roman" w:hAnsi="Times New Roman" w:cs="Times New Roman"/>
                <w:bCs/>
                <w:lang w:val="sr-Latn-ME" w:eastAsia="sl-SI"/>
              </w:rPr>
            </w:pPr>
            <w:r w:rsidRPr="00563B69">
              <w:rPr>
                <w:rFonts w:ascii="Times New Roman" w:eastAsia="Times New Roman" w:hAnsi="Times New Roman" w:cs="Times New Roman"/>
                <w:bCs/>
                <w:lang w:val="sr-Latn-ME" w:eastAsia="sl-SI"/>
              </w:rPr>
              <w:t xml:space="preserve">blister, 30 (2x15) tableta </w:t>
            </w:r>
          </w:p>
          <w:p w:rsidR="00563B69" w:rsidRPr="00563B69" w:rsidRDefault="00563B69" w:rsidP="00563B69">
            <w:pPr>
              <w:widowControl w:val="0"/>
              <w:spacing w:after="0" w:line="240" w:lineRule="auto"/>
              <w:jc w:val="center"/>
              <w:rPr>
                <w:rFonts w:ascii="Times New Roman" w:eastAsia="Times New Roman" w:hAnsi="Times New Roman" w:cs="Times New Roman"/>
                <w:b/>
                <w:bCs/>
                <w:lang w:val="sr-Latn-ME" w:eastAsia="sl-SI"/>
              </w:rPr>
            </w:pPr>
          </w:p>
          <w:p w:rsidR="00563B69" w:rsidRPr="00563B69" w:rsidRDefault="00563B69" w:rsidP="00563B69">
            <w:pPr>
              <w:widowControl w:val="0"/>
              <w:spacing w:after="0" w:line="240" w:lineRule="auto"/>
              <w:jc w:val="center"/>
              <w:rPr>
                <w:rFonts w:ascii="Times New Roman" w:eastAsia="Times New Roman" w:hAnsi="Times New Roman" w:cs="Times New Roman"/>
                <w:bCs/>
                <w:lang w:val="sr-Latn-ME" w:eastAsia="sl-SI"/>
              </w:rPr>
            </w:pPr>
            <w:r w:rsidRPr="00563B69">
              <w:rPr>
                <w:rFonts w:ascii="Times New Roman" w:eastAsia="Times New Roman" w:hAnsi="Times New Roman" w:cs="Times New Roman"/>
                <w:b/>
                <w:bCs/>
                <w:noProof/>
                <w:snapToGrid w:val="0"/>
                <w:color w:val="FF0000"/>
                <w:lang w:val="sr-Latn-ME" w:eastAsia="sl-SI"/>
              </w:rPr>
              <w:t>▲</w:t>
            </w:r>
            <w:r w:rsidRPr="00563B69">
              <w:rPr>
                <w:rFonts w:ascii="Times New Roman" w:eastAsia="Times New Roman" w:hAnsi="Times New Roman" w:cs="Times New Roman"/>
                <w:b/>
                <w:bCs/>
                <w:noProof/>
                <w:snapToGrid w:val="0"/>
                <w:lang w:val="sr-Latn-ME" w:eastAsia="sl-SI"/>
              </w:rPr>
              <w:t xml:space="preserve"> </w:t>
            </w:r>
            <w:r w:rsidRPr="00563B69">
              <w:rPr>
                <w:rFonts w:ascii="Times New Roman" w:eastAsia="Times New Roman" w:hAnsi="Times New Roman" w:cs="Times New Roman"/>
                <w:b/>
                <w:bCs/>
                <w:lang w:val="sr-Latn-ME" w:eastAsia="sl-SI"/>
              </w:rPr>
              <w:t>Helex</w:t>
            </w:r>
            <w:r w:rsidRPr="00563B69">
              <w:rPr>
                <w:rFonts w:ascii="Times New Roman" w:eastAsia="Times New Roman" w:hAnsi="Times New Roman" w:cs="Times New Roman"/>
                <w:b/>
                <w:bCs/>
                <w:vertAlign w:val="superscript"/>
                <w:lang w:val="sr-Latn-ME" w:eastAsia="sl-SI"/>
              </w:rPr>
              <w:t>®</w:t>
            </w:r>
            <w:r w:rsidRPr="00563B69">
              <w:rPr>
                <w:rFonts w:ascii="Times New Roman" w:eastAsia="Times New Roman" w:hAnsi="Times New Roman" w:cs="Times New Roman"/>
                <w:bCs/>
                <w:lang w:val="sr-Latn-ME" w:eastAsia="sl-SI"/>
              </w:rPr>
              <w:t xml:space="preserve">, tableta, 0,5 mg, </w:t>
            </w:r>
          </w:p>
          <w:p w:rsidR="00563B69" w:rsidRPr="00563B69" w:rsidRDefault="00563B69" w:rsidP="00563B69">
            <w:pPr>
              <w:widowControl w:val="0"/>
              <w:spacing w:after="0" w:line="240" w:lineRule="auto"/>
              <w:jc w:val="center"/>
              <w:rPr>
                <w:rFonts w:ascii="Times New Roman" w:eastAsia="Times New Roman" w:hAnsi="Times New Roman" w:cs="Times New Roman"/>
                <w:bCs/>
                <w:lang w:val="sr-Latn-ME" w:eastAsia="sl-SI"/>
              </w:rPr>
            </w:pPr>
            <w:r w:rsidRPr="00563B69">
              <w:rPr>
                <w:rFonts w:ascii="Times New Roman" w:eastAsia="Times New Roman" w:hAnsi="Times New Roman" w:cs="Times New Roman"/>
                <w:bCs/>
                <w:lang w:val="sr-Latn-ME" w:eastAsia="sl-SI"/>
              </w:rPr>
              <w:t xml:space="preserve">blister, 30 (2x15) tableta </w:t>
            </w:r>
          </w:p>
          <w:p w:rsidR="00563B69" w:rsidRPr="00563B69" w:rsidRDefault="00563B69" w:rsidP="00563B69">
            <w:pPr>
              <w:widowControl w:val="0"/>
              <w:spacing w:after="0" w:line="240" w:lineRule="auto"/>
              <w:jc w:val="center"/>
              <w:rPr>
                <w:rFonts w:ascii="Times New Roman" w:eastAsia="Times New Roman" w:hAnsi="Times New Roman" w:cs="Times New Roman"/>
                <w:bCs/>
                <w:lang w:val="sr-Latn-ME" w:eastAsia="sl-SI"/>
              </w:rPr>
            </w:pPr>
          </w:p>
          <w:p w:rsidR="00563B69" w:rsidRPr="00563B69" w:rsidRDefault="00563B69" w:rsidP="00563B69">
            <w:pPr>
              <w:widowControl w:val="0"/>
              <w:spacing w:after="0" w:line="240" w:lineRule="auto"/>
              <w:rPr>
                <w:rFonts w:ascii="Times New Roman" w:eastAsia="Times New Roman" w:hAnsi="Times New Roman" w:cs="Times New Roman"/>
                <w:bCs/>
                <w:lang w:val="sr-Latn-ME" w:eastAsia="sl-SI"/>
              </w:rPr>
            </w:pPr>
          </w:p>
          <w:p w:rsidR="00563B69" w:rsidRPr="00563B69" w:rsidRDefault="00563B69" w:rsidP="00563B69">
            <w:pPr>
              <w:widowControl w:val="0"/>
              <w:spacing w:after="0" w:line="240" w:lineRule="auto"/>
              <w:jc w:val="center"/>
              <w:rPr>
                <w:rFonts w:ascii="Times New Roman" w:eastAsia="Times New Roman" w:hAnsi="Times New Roman" w:cs="Times New Roman"/>
                <w:color w:val="808080"/>
                <w:lang w:val="sr-Latn-ME"/>
              </w:rPr>
            </w:pPr>
          </w:p>
        </w:tc>
      </w:tr>
      <w:tr w:rsidR="00563B69" w:rsidRPr="00563B69" w:rsidTr="00563B69">
        <w:trPr>
          <w:trHeight w:val="435"/>
        </w:trPr>
        <w:tc>
          <w:tcPr>
            <w:tcW w:w="2160" w:type="dxa"/>
            <w:vAlign w:val="bottom"/>
            <w:hideMark/>
          </w:tcPr>
          <w:p w:rsidR="00563B69" w:rsidRPr="00563B69" w:rsidRDefault="00563B69" w:rsidP="00563B69">
            <w:pPr>
              <w:spacing w:after="0" w:line="240" w:lineRule="auto"/>
              <w:jc w:val="right"/>
              <w:rPr>
                <w:rFonts w:ascii="Times New Roman" w:eastAsia="Times New Roman" w:hAnsi="Times New Roman" w:cs="Times New Roman"/>
                <w:lang w:val="sr-Latn-ME"/>
              </w:rPr>
            </w:pPr>
            <w:r w:rsidRPr="00563B69">
              <w:rPr>
                <w:rFonts w:ascii="Times New Roman" w:eastAsia="Times New Roman" w:hAnsi="Times New Roman" w:cs="Times New Roman"/>
                <w:lang w:val="sr-Latn-ME" w:eastAsia="sl-SI"/>
              </w:rPr>
              <w:t>Proizvođač:</w:t>
            </w:r>
          </w:p>
        </w:tc>
        <w:tc>
          <w:tcPr>
            <w:tcW w:w="7200" w:type="dxa"/>
            <w:vAlign w:val="bottom"/>
          </w:tcPr>
          <w:p w:rsidR="00563B69" w:rsidRPr="00563B69" w:rsidRDefault="00563B69" w:rsidP="00563B69">
            <w:pPr>
              <w:widowControl w:val="0"/>
              <w:spacing w:after="0" w:line="240" w:lineRule="auto"/>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KRKA, d.d., Novo mesto</w:t>
            </w:r>
          </w:p>
        </w:tc>
      </w:tr>
      <w:tr w:rsidR="00563B69" w:rsidRPr="00563B69" w:rsidTr="00563B69">
        <w:trPr>
          <w:trHeight w:val="360"/>
        </w:trPr>
        <w:tc>
          <w:tcPr>
            <w:tcW w:w="2160" w:type="dxa"/>
            <w:vAlign w:val="bottom"/>
            <w:hideMark/>
          </w:tcPr>
          <w:p w:rsidR="00563B69" w:rsidRPr="00563B69" w:rsidRDefault="00563B69" w:rsidP="00563B69">
            <w:pPr>
              <w:spacing w:after="0" w:line="240" w:lineRule="auto"/>
              <w:jc w:val="right"/>
              <w:rPr>
                <w:rFonts w:ascii="Times New Roman" w:eastAsia="Times New Roman" w:hAnsi="Times New Roman" w:cs="Times New Roman"/>
                <w:lang w:val="sr-Latn-ME"/>
              </w:rPr>
            </w:pPr>
            <w:r w:rsidRPr="00563B69">
              <w:rPr>
                <w:rFonts w:ascii="Times New Roman" w:eastAsia="Times New Roman" w:hAnsi="Times New Roman" w:cs="Times New Roman"/>
                <w:lang w:val="sr-Latn-ME" w:eastAsia="sl-SI"/>
              </w:rPr>
              <w:t>Adresa:</w:t>
            </w:r>
          </w:p>
        </w:tc>
        <w:tc>
          <w:tcPr>
            <w:tcW w:w="7200" w:type="dxa"/>
            <w:vAlign w:val="bottom"/>
          </w:tcPr>
          <w:p w:rsidR="00563B69" w:rsidRPr="00563B69" w:rsidRDefault="00563B69" w:rsidP="00563B69">
            <w:pPr>
              <w:widowControl w:val="0"/>
              <w:spacing w:after="0" w:line="240" w:lineRule="auto"/>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Šmarješka cesta 6, 8501 Novo mesto, Slovenija</w:t>
            </w:r>
          </w:p>
        </w:tc>
      </w:tr>
      <w:tr w:rsidR="00563B69" w:rsidRPr="00563B69" w:rsidTr="00563B69">
        <w:trPr>
          <w:trHeight w:val="356"/>
        </w:trPr>
        <w:tc>
          <w:tcPr>
            <w:tcW w:w="2160" w:type="dxa"/>
            <w:vAlign w:val="bottom"/>
            <w:hideMark/>
          </w:tcPr>
          <w:p w:rsidR="00563B69" w:rsidRPr="00563B69" w:rsidRDefault="00563B69" w:rsidP="00563B69">
            <w:pPr>
              <w:spacing w:after="0" w:line="240" w:lineRule="auto"/>
              <w:jc w:val="right"/>
              <w:rPr>
                <w:rFonts w:ascii="Times New Roman" w:eastAsia="Times New Roman" w:hAnsi="Times New Roman" w:cs="Times New Roman"/>
                <w:lang w:val="sr-Latn-ME"/>
              </w:rPr>
            </w:pPr>
            <w:r w:rsidRPr="00563B69">
              <w:rPr>
                <w:rFonts w:ascii="Times New Roman" w:eastAsia="Times New Roman" w:hAnsi="Times New Roman" w:cs="Times New Roman"/>
                <w:lang w:val="sr-Latn-ME" w:eastAsia="sl-SI"/>
              </w:rPr>
              <w:t>Podnosilac zahtjeva:</w:t>
            </w:r>
          </w:p>
        </w:tc>
        <w:tc>
          <w:tcPr>
            <w:tcW w:w="7200" w:type="dxa"/>
            <w:vAlign w:val="bottom"/>
          </w:tcPr>
          <w:p w:rsidR="00563B69" w:rsidRPr="00563B69" w:rsidRDefault="00563B69" w:rsidP="00563B69">
            <w:pPr>
              <w:autoSpaceDE w:val="0"/>
              <w:autoSpaceDN w:val="0"/>
              <w:adjustRightInd w:val="0"/>
              <w:spacing w:after="0" w:line="240" w:lineRule="auto"/>
              <w:ind w:left="1985" w:hanging="1985"/>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D.S.D. „KRKA, d.d., Novo mesto“ - predstavništvo Podgorica</w:t>
            </w:r>
          </w:p>
        </w:tc>
      </w:tr>
      <w:tr w:rsidR="00563B69" w:rsidRPr="00563B69" w:rsidTr="00563B69">
        <w:trPr>
          <w:trHeight w:val="353"/>
        </w:trPr>
        <w:tc>
          <w:tcPr>
            <w:tcW w:w="2160" w:type="dxa"/>
            <w:vAlign w:val="bottom"/>
            <w:hideMark/>
          </w:tcPr>
          <w:p w:rsidR="00563B69" w:rsidRPr="00563B69" w:rsidRDefault="00563B69" w:rsidP="00563B69">
            <w:pPr>
              <w:spacing w:after="0" w:line="240" w:lineRule="auto"/>
              <w:jc w:val="right"/>
              <w:rPr>
                <w:rFonts w:ascii="Times New Roman" w:eastAsia="Times New Roman" w:hAnsi="Times New Roman" w:cs="Times New Roman"/>
                <w:lang w:val="sr-Latn-ME"/>
              </w:rPr>
            </w:pPr>
            <w:r w:rsidRPr="00563B69">
              <w:rPr>
                <w:rFonts w:ascii="Times New Roman" w:eastAsia="Times New Roman" w:hAnsi="Times New Roman" w:cs="Times New Roman"/>
                <w:lang w:val="sr-Latn-ME" w:eastAsia="sl-SI"/>
              </w:rPr>
              <w:t>Adresa:</w:t>
            </w:r>
          </w:p>
        </w:tc>
        <w:tc>
          <w:tcPr>
            <w:tcW w:w="7200" w:type="dxa"/>
            <w:vAlign w:val="bottom"/>
          </w:tcPr>
          <w:p w:rsidR="00563B69" w:rsidRPr="00563B69" w:rsidRDefault="00563B69" w:rsidP="00563B69">
            <w:pPr>
              <w:autoSpaceDE w:val="0"/>
              <w:autoSpaceDN w:val="0"/>
              <w:adjustRightInd w:val="0"/>
              <w:spacing w:after="0" w:line="240" w:lineRule="auto"/>
              <w:ind w:right="71"/>
              <w:rPr>
                <w:rFonts w:ascii="Times New Roman" w:eastAsia="Times New Roman" w:hAnsi="Times New Roman" w:cs="Times New Roman"/>
                <w:b/>
                <w:bCs/>
                <w:lang w:val="sr-Latn-ME"/>
              </w:rPr>
            </w:pPr>
            <w:r w:rsidRPr="00563B69">
              <w:rPr>
                <w:rFonts w:ascii="Times New Roman" w:eastAsia="Times New Roman" w:hAnsi="Times New Roman" w:cs="Times New Roman"/>
                <w:lang w:val="sr-Latn-ME" w:eastAsia="sl-SI"/>
              </w:rPr>
              <w:t>Svetlane Kane Radević br. 3, 81000 Podgorica, Crna Gora</w:t>
            </w:r>
          </w:p>
        </w:tc>
      </w:tr>
    </w:tbl>
    <w:p w:rsidR="00DA1FB0" w:rsidRPr="00563B69" w:rsidRDefault="00DA1FB0"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P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Default="00563B69" w:rsidP="00563B69">
      <w:pPr>
        <w:spacing w:after="0" w:line="240" w:lineRule="auto"/>
        <w:rPr>
          <w:rFonts w:ascii="Times New Roman" w:hAnsi="Times New Roman" w:cs="Times New Roman"/>
          <w:lang w:val="sr-Latn-ME"/>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lastRenderedPageBreak/>
        <w:t>1.</w:t>
      </w:r>
      <w:r w:rsidRPr="00563B69">
        <w:rPr>
          <w:rFonts w:ascii="Times New Roman" w:eastAsia="Times New Roman" w:hAnsi="Times New Roman" w:cs="Times New Roman"/>
          <w:b/>
          <w:bCs/>
          <w:lang w:val="sr-Latn-ME" w:eastAsia="ar-SA"/>
        </w:rPr>
        <w:tab/>
        <w:t>NAZIV LIJEKA</w:t>
      </w:r>
    </w:p>
    <w:p w:rsidR="00563B69" w:rsidRPr="00563B69" w:rsidRDefault="00563B69" w:rsidP="00E43839">
      <w:pPr>
        <w:suppressAutoHyphens/>
        <w:spacing w:after="0" w:line="240" w:lineRule="auto"/>
        <w:ind w:left="360"/>
        <w:jc w:val="both"/>
        <w:rPr>
          <w:rFonts w:ascii="Times New Roman" w:eastAsia="Times New Roman" w:hAnsi="Times New Roman" w:cs="Times New Roman"/>
          <w:lang w:val="sr-Latn-ME" w:eastAsia="ar-SA"/>
        </w:rPr>
      </w:pPr>
    </w:p>
    <w:p w:rsidR="00563B69" w:rsidRPr="00563B69" w:rsidRDefault="00E43839" w:rsidP="00E43839">
      <w:pPr>
        <w:tabs>
          <w:tab w:val="left" w:pos="567"/>
        </w:tabs>
        <w:suppressAutoHyphens/>
        <w:spacing w:after="0" w:line="240" w:lineRule="auto"/>
        <w:jc w:val="both"/>
        <w:rPr>
          <w:rFonts w:ascii="Times New Roman" w:eastAsia="Times New Roman" w:hAnsi="Times New Roman" w:cs="Times New Roman"/>
          <w:lang w:val="sr-Latn-ME" w:eastAsia="ar-SA"/>
        </w:rPr>
      </w:pPr>
      <w:r>
        <w:rPr>
          <w:rFonts w:ascii="Times New Roman" w:eastAsia="Times New Roman" w:hAnsi="Times New Roman" w:cs="Times New Roman"/>
          <w:b/>
          <w:bCs/>
          <w:noProof/>
          <w:snapToGrid w:val="0"/>
          <w:color w:val="FF0000"/>
          <w:lang w:val="sr-Latn-ME" w:eastAsia="sl-SI"/>
        </w:rPr>
        <w:t xml:space="preserve">▲ </w:t>
      </w:r>
      <w:r w:rsidR="00563B69" w:rsidRPr="00563B69">
        <w:rPr>
          <w:rFonts w:ascii="Times New Roman" w:eastAsia="Times New Roman" w:hAnsi="Times New Roman" w:cs="Times New Roman"/>
          <w:lang w:val="sr-Latn-ME" w:eastAsia="ar-SA"/>
        </w:rPr>
        <w:t>Helex 0,25 mg tableta</w:t>
      </w:r>
    </w:p>
    <w:p w:rsidR="00563B69" w:rsidRPr="00563B69" w:rsidRDefault="00E43839" w:rsidP="00E43839">
      <w:pPr>
        <w:tabs>
          <w:tab w:val="left" w:pos="567"/>
        </w:tabs>
        <w:suppressAutoHyphens/>
        <w:spacing w:after="0" w:line="240" w:lineRule="auto"/>
        <w:jc w:val="both"/>
        <w:rPr>
          <w:rFonts w:ascii="Times New Roman" w:eastAsia="Times New Roman" w:hAnsi="Times New Roman" w:cs="Times New Roman"/>
          <w:lang w:val="sr-Latn-ME" w:eastAsia="ar-SA"/>
        </w:rPr>
      </w:pPr>
      <w:r>
        <w:rPr>
          <w:rFonts w:ascii="Times New Roman" w:eastAsia="Times New Roman" w:hAnsi="Times New Roman" w:cs="Times New Roman"/>
          <w:b/>
          <w:bCs/>
          <w:noProof/>
          <w:snapToGrid w:val="0"/>
          <w:color w:val="FF0000"/>
          <w:lang w:val="sr-Latn-ME" w:eastAsia="sl-SI"/>
        </w:rPr>
        <w:t xml:space="preserve">▲ </w:t>
      </w:r>
      <w:r w:rsidR="00563B69" w:rsidRPr="00563B69">
        <w:rPr>
          <w:rFonts w:ascii="Times New Roman" w:eastAsia="Times New Roman" w:hAnsi="Times New Roman" w:cs="Times New Roman"/>
          <w:lang w:val="sr-Latn-ME" w:eastAsia="ar-SA"/>
        </w:rPr>
        <w:t>Helex 0,5 mg tableta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INN: alprazolam</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2.</w:t>
      </w:r>
      <w:r w:rsidRPr="00563B69">
        <w:rPr>
          <w:rFonts w:ascii="Times New Roman" w:eastAsia="Times New Roman" w:hAnsi="Times New Roman" w:cs="Times New Roman"/>
          <w:b/>
          <w:bCs/>
          <w:lang w:val="sr-Latn-ME" w:eastAsia="ar-SA"/>
        </w:rPr>
        <w:tab/>
        <w:t>KVALITATIVNI I KVANTITATIVNI SASTAV</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1 tableta sadrži 0,25 mg ili 0,5 mg alprazolama.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Pomoćne supstance sa potvrđenim dejstvom (laktoza monohidrat izračunata kao laktoza):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2"/>
        <w:gridCol w:w="2322"/>
        <w:gridCol w:w="2278"/>
      </w:tblGrid>
      <w:tr w:rsidR="00563B69" w:rsidRPr="00563B69" w:rsidTr="00693AED">
        <w:tc>
          <w:tcPr>
            <w:tcW w:w="2322" w:type="dxa"/>
          </w:tcPr>
          <w:p w:rsidR="00563B69" w:rsidRPr="00563B69" w:rsidRDefault="00563B69" w:rsidP="00E43839">
            <w:pPr>
              <w:suppressAutoHyphens/>
              <w:snapToGrid w:val="0"/>
              <w:spacing w:after="0" w:line="240" w:lineRule="auto"/>
              <w:jc w:val="both"/>
              <w:rPr>
                <w:rFonts w:ascii="Times New Roman" w:eastAsia="Times New Roman" w:hAnsi="Times New Roman" w:cs="Times New Roman"/>
                <w:lang w:val="sr-Latn-ME" w:eastAsia="ar-SA"/>
              </w:rPr>
            </w:pPr>
          </w:p>
        </w:tc>
        <w:tc>
          <w:tcPr>
            <w:tcW w:w="2322" w:type="dxa"/>
          </w:tcPr>
          <w:p w:rsidR="00563B69" w:rsidRPr="00563B69" w:rsidRDefault="00563B69" w:rsidP="00E43839">
            <w:pPr>
              <w:suppressAutoHyphens/>
              <w:snapToGrid w:val="0"/>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0,25 mg tablete</w:t>
            </w:r>
          </w:p>
        </w:tc>
        <w:tc>
          <w:tcPr>
            <w:tcW w:w="2278" w:type="dxa"/>
          </w:tcPr>
          <w:p w:rsidR="00563B69" w:rsidRPr="00563B69" w:rsidRDefault="00563B69" w:rsidP="00E43839">
            <w:pPr>
              <w:suppressAutoHyphens/>
              <w:snapToGrid w:val="0"/>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0,5 mg tablete</w:t>
            </w:r>
          </w:p>
        </w:tc>
      </w:tr>
      <w:tr w:rsidR="00563B69" w:rsidRPr="00563B69" w:rsidTr="00693AED">
        <w:tc>
          <w:tcPr>
            <w:tcW w:w="2322" w:type="dxa"/>
          </w:tcPr>
          <w:p w:rsidR="00563B69" w:rsidRPr="00563B69" w:rsidRDefault="00563B69" w:rsidP="00E43839">
            <w:pPr>
              <w:suppressAutoHyphens/>
              <w:snapToGrid w:val="0"/>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laktoza</w:t>
            </w:r>
          </w:p>
        </w:tc>
        <w:tc>
          <w:tcPr>
            <w:tcW w:w="2322" w:type="dxa"/>
          </w:tcPr>
          <w:p w:rsidR="00563B69" w:rsidRPr="00563B69" w:rsidRDefault="00563B69" w:rsidP="00E43839">
            <w:pPr>
              <w:suppressAutoHyphens/>
              <w:snapToGrid w:val="0"/>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85,98 mg</w:t>
            </w:r>
          </w:p>
        </w:tc>
        <w:tc>
          <w:tcPr>
            <w:tcW w:w="2278" w:type="dxa"/>
          </w:tcPr>
          <w:p w:rsidR="00563B69" w:rsidRPr="00563B69" w:rsidRDefault="00563B69" w:rsidP="00E43839">
            <w:pPr>
              <w:suppressAutoHyphens/>
              <w:snapToGrid w:val="0"/>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87,31 mg</w:t>
            </w:r>
          </w:p>
        </w:tc>
      </w:tr>
    </w:tbl>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pacing w:after="0" w:line="240" w:lineRule="auto"/>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Za spisak svih ekscipijenasa, pogledati dio 6.1.</w:t>
      </w:r>
    </w:p>
    <w:p w:rsidR="00563B69" w:rsidRDefault="00563B69" w:rsidP="00E43839">
      <w:pPr>
        <w:suppressAutoHyphens/>
        <w:spacing w:after="0" w:line="240" w:lineRule="auto"/>
        <w:ind w:firstLine="708"/>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ind w:firstLine="708"/>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3.</w:t>
      </w:r>
      <w:r w:rsidRPr="00563B69">
        <w:rPr>
          <w:rFonts w:ascii="Times New Roman" w:eastAsia="Times New Roman" w:hAnsi="Times New Roman" w:cs="Times New Roman"/>
          <w:b/>
          <w:bCs/>
          <w:lang w:val="sr-Latn-ME" w:eastAsia="ar-SA"/>
        </w:rPr>
        <w:tab/>
        <w:t>FARMACEUTSKI OBLIK</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Tableta.</w:t>
      </w:r>
    </w:p>
    <w:p w:rsidR="00E43839" w:rsidRDefault="00E4383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0,25 mg: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Bijele do skoro bijele, okrugle, bikonveksne tablete kosih ivica. Tableta je prečnika 7 mm, na jednoj strani sadrži podionu crtu dok je na drugoj strani ugravirana oznaka 0.25. Podiona crta je namijenjena kako bi se olakšalo lomljenje tablete radi lakšeg gutanja i nije namijenjena podjeli tablete na jednake doze.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0,5 mg: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fi-FI"/>
        </w:rPr>
      </w:pPr>
      <w:r w:rsidRPr="00563B69">
        <w:rPr>
          <w:rFonts w:ascii="Times New Roman" w:eastAsia="Times New Roman" w:hAnsi="Times New Roman" w:cs="Times New Roman"/>
          <w:lang w:val="sr-Latn-ME" w:eastAsia="fi-FI"/>
        </w:rPr>
        <w:t>Blijedo roze, mramorne, okrugle, bikonveksne tablete kosih ivica. Tableta je prečnika 7 mm, na jednoj strani sadrži podionu crtu dok je na drugoj strani ugravirana oznaka 0.5. Podiona crta je namijenjena kako bi se olakšalo lomljenje tablete radi lakšeg gutanja i nije namijenjena podjeli tablete na jednake doze.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w:t>
      </w:r>
      <w:r w:rsidRPr="00563B69">
        <w:rPr>
          <w:rFonts w:ascii="Times New Roman" w:eastAsia="Times New Roman" w:hAnsi="Times New Roman" w:cs="Times New Roman"/>
          <w:b/>
          <w:bCs/>
          <w:lang w:val="sr-Latn-ME" w:eastAsia="ar-SA"/>
        </w:rPr>
        <w:tab/>
        <w:t>KLINIČKI PODACI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4.1</w:t>
      </w:r>
      <w:r w:rsidRPr="00563B69">
        <w:rPr>
          <w:rFonts w:ascii="Times New Roman" w:eastAsia="Times New Roman" w:hAnsi="Times New Roman" w:cs="Times New Roman"/>
          <w:b/>
          <w:bCs/>
          <w:lang w:val="sr-Latn-ME" w:eastAsia="ar-SA"/>
        </w:rPr>
        <w:tab/>
        <w:t>Terapijske indikacije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Anksioznost</w:t>
      </w:r>
    </w:p>
    <w:p w:rsidR="00E43839" w:rsidRDefault="00E4383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Benzodiazepini su indikovani </w:t>
      </w:r>
      <w:r w:rsidRPr="00563B69">
        <w:rPr>
          <w:rFonts w:ascii="Times New Roman" w:eastAsia="Times New Roman" w:hAnsi="Times New Roman" w:cs="Times New Roman"/>
          <w:bCs/>
          <w:lang w:val="sr-Latn-ME" w:eastAsia="ar-SA"/>
        </w:rPr>
        <w:t xml:space="preserve">isključivo za liječenje teškog anksioznog </w:t>
      </w:r>
      <w:r w:rsidRPr="00563B69">
        <w:rPr>
          <w:rFonts w:ascii="Times New Roman" w:eastAsia="Times New Roman" w:hAnsi="Times New Roman" w:cs="Times New Roman"/>
          <w:lang w:val="sr-Latn-ME" w:eastAsia="ar-SA"/>
        </w:rPr>
        <w:t>poremećaja koji onesposobljava osobu u svakodnevnim aktivnostima ili je izlaže ekstremnoj patnji</w:t>
      </w:r>
      <w:r w:rsidRPr="00563B69">
        <w:rPr>
          <w:rFonts w:ascii="Times New Roman" w:eastAsia="Times New Roman" w:hAnsi="Times New Roman" w:cs="Times New Roman"/>
          <w:bCs/>
          <w:lang w:val="sr-Latn-ME" w:eastAsia="ar-SA"/>
        </w:rPr>
        <w:t xml:space="preserve">.  </w:t>
      </w:r>
    </w:p>
    <w:p w:rsidR="00563B69" w:rsidRPr="00563B69" w:rsidRDefault="00563B69" w:rsidP="00E43839">
      <w:pPr>
        <w:suppressAutoHyphens/>
        <w:spacing w:after="0" w:line="240" w:lineRule="auto"/>
        <w:ind w:left="360"/>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4.2</w:t>
      </w:r>
      <w:r w:rsidRPr="00563B69">
        <w:rPr>
          <w:rFonts w:ascii="Times New Roman" w:eastAsia="Times New Roman" w:hAnsi="Times New Roman" w:cs="Times New Roman"/>
          <w:b/>
          <w:bCs/>
          <w:lang w:val="sr-Latn-ME" w:eastAsia="ar-SA"/>
        </w:rPr>
        <w:tab/>
        <w:t>Doziranje i način primjene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E43839" w:rsidRDefault="00E43839" w:rsidP="00E43839">
      <w:pPr>
        <w:suppressAutoHyphens/>
        <w:spacing w:after="0" w:line="240" w:lineRule="auto"/>
        <w:jc w:val="both"/>
        <w:rPr>
          <w:rFonts w:ascii="Times New Roman" w:eastAsia="Times New Roman" w:hAnsi="Times New Roman" w:cs="Times New Roman"/>
          <w:u w:val="single"/>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u w:val="single"/>
          <w:lang w:val="sr-Latn-ME" w:eastAsia="ar-SA"/>
        </w:rPr>
      </w:pPr>
      <w:r w:rsidRPr="00563B69">
        <w:rPr>
          <w:rFonts w:ascii="Times New Roman" w:eastAsia="Times New Roman" w:hAnsi="Times New Roman" w:cs="Times New Roman"/>
          <w:u w:val="single"/>
          <w:lang w:val="sr-Latn-ME" w:eastAsia="ar-SA"/>
        </w:rPr>
        <w:lastRenderedPageBreak/>
        <w:t>Doziranje</w:t>
      </w: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Anksioznost</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Terapija treba da bude što je moguće kraća. Ukupno trajanje terapije ne bi trebalo da bude duže od 8 do 12 nedjelja, uključujući period smanjenja doze. Preporučuje se redovno praćenje stanja pacijenta, kako bi se procijenila potreba za nastavkom liječenja, posebno u slučaju kada pacijent nema simptoma.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lang w:val="sr-Latn-ME" w:eastAsia="ar-SA"/>
        </w:rPr>
        <w:t>Liječenje se obično započinje primjenom 0,5 mg do 1,0 mg u podijeljenim dozama, sa povećanjem doze (ne više od 1mg svakih 3-4 dana), do nivoa optimalne kontrole koji se obično postiže dozom od 3 do 4 mg dnevno.</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Liječenje treba prekinuti postepeno. Dozu lijeka treba postepeno smanjivati u skladu sa dobrom ljekarskom praksom. Savjetuje se da dnevnu dozu treba smanjivati za ne više od 0,5 mg svaka tri dana. Kod nekih pacijenata može biti potrebno čak i postepenije smanjivanje doze (vidjeti odjeljak 4.4).</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r w:rsidRPr="00563B69">
        <w:rPr>
          <w:rFonts w:ascii="Times New Roman" w:eastAsia="Times New Roman" w:hAnsi="Times New Roman" w:cs="Times New Roman"/>
          <w:i/>
          <w:lang w:val="sr-Latn-ME" w:eastAsia="ar-SA"/>
        </w:rPr>
        <w:t>Stariji pacijenti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Kod starijih ili iscrpljenih pacijentata uobičajena početna doza iznosi 0,25 mg data 2 puta dnevno. Ukoliko je neophodno i ukoliko pacijent podnosi, ova doza se može povećati.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i/>
          <w:lang w:val="sr-Latn-ME" w:eastAsia="ar-SA"/>
        </w:rPr>
        <w:t>Pedijatrijska populacija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Ne preporučuje se primjena kod djece, s obzirom na to da bezbjednost i efikasnost kod mlađih od 18 godina nije utvrđena.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u w:val="single"/>
          <w:lang w:val="sr-Latn-ME" w:eastAsia="ar-SA"/>
        </w:rPr>
      </w:pPr>
      <w:r w:rsidRPr="00563B69">
        <w:rPr>
          <w:rFonts w:ascii="Times New Roman" w:eastAsia="Times New Roman" w:hAnsi="Times New Roman" w:cs="Times New Roman"/>
          <w:u w:val="single"/>
          <w:lang w:val="sr-Latn-ME" w:eastAsia="ar-SA"/>
        </w:rPr>
        <w:t>Način primjene: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Za oralnu upotrebu</w:t>
      </w:r>
    </w:p>
    <w:p w:rsidR="00563B69" w:rsidRPr="00563B69" w:rsidRDefault="00563B69" w:rsidP="00E43839">
      <w:pPr>
        <w:suppressAutoHyphens/>
        <w:spacing w:after="0" w:line="240" w:lineRule="auto"/>
        <w:jc w:val="both"/>
        <w:rPr>
          <w:rFonts w:ascii="Times New Roman" w:eastAsia="Times New Roman" w:hAnsi="Times New Roman" w:cs="Times New Roman"/>
          <w:u w:val="single"/>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Terapiju treba započeti nižim preporučenim dozama. Maksimalne doza ne smije se prekoračiti.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Početne doze mogu se dati pred spavanje, kako bi se smanjila letargija u toku dana. U slučaju pojave neželjenih efekata nakon primjene početnih doza, doza se mora smanjiti.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U pojedinim slučajevima može biti neophodno da se period liječenja produži iznad maksimalno preporučenog trajanja terapije. U tom slučaju mora se uraditi ponovni pregleda pacijenta.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4.3</w:t>
      </w:r>
      <w:r w:rsidRPr="00563B69">
        <w:rPr>
          <w:rFonts w:ascii="Times New Roman" w:eastAsia="Times New Roman" w:hAnsi="Times New Roman" w:cs="Times New Roman"/>
          <w:b/>
          <w:bCs/>
          <w:lang w:val="sr-Latn-ME" w:eastAsia="ar-SA"/>
        </w:rPr>
        <w:tab/>
        <w:t>Kontraindikacije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Alprazolam je kontraindikovan kod pacijenata koji su preosjetljivi na benzodiazepine, alprazolam ili bilo koju pomoćnu supstancu navedenu u odjeljku 6.1. Benzodiazepini su takođe kontraindikovani kod pacijenata sa miastenijom gravis, teškom respiratornom insuficijencijom, sindromom noćne apneje, teškim oboljenjem jetre.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4.4</w:t>
      </w:r>
      <w:r w:rsidRPr="00563B69">
        <w:rPr>
          <w:rFonts w:ascii="Times New Roman" w:eastAsia="Times New Roman" w:hAnsi="Times New Roman" w:cs="Times New Roman"/>
          <w:b/>
          <w:bCs/>
          <w:lang w:val="sr-Latn-ME" w:eastAsia="ar-SA"/>
        </w:rPr>
        <w:tab/>
        <w:t>Posebna upozorenja i mjere opreza</w:t>
      </w:r>
      <w:r w:rsidRPr="00563B69">
        <w:rPr>
          <w:rFonts w:ascii="Times New Roman" w:eastAsia="Times New Roman" w:hAnsi="Times New Roman" w:cs="Times New Roman"/>
          <w:b/>
          <w:bCs/>
          <w:lang w:val="sr-Latn-ME" w:eastAsia="sl-SI"/>
        </w:rPr>
        <w:t xml:space="preserve"> </w:t>
      </w:r>
      <w:r w:rsidRPr="00563B69">
        <w:rPr>
          <w:rFonts w:ascii="Times New Roman" w:eastAsia="Times New Roman" w:hAnsi="Times New Roman" w:cs="Times New Roman"/>
          <w:b/>
          <w:bCs/>
          <w:lang w:val="sr-Latn-ME" w:eastAsia="ar-SA"/>
        </w:rPr>
        <w:t xml:space="preserve">pri upotrebi lijeka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Neophodan je oprez kod pacijenata sa oštećenom funkcijom bubrega ili blagim do umjerenim oštećenjem funkcije jetre.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Benzodiazepine i srodne ljekove ne treba propisivati samostalno u terapiji depresije ili anksioznosti udružene sa depresijom, jer kod ovih pacijenata mogu provocirati suicid. Kod teško depresivnih ili suicidalnih pacijenata alprazolam treba primjenjivati uz odgovarajuće mjere opreza i propisivati odgovarajuću količinu lijeka na receptima.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lastRenderedPageBreak/>
        <w:t>Ne preporučuje se primjena kod djece, s obzirom da bezbjednost i efikasnost kod mlađih od 18 godina nije utvrđena.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Benzodiazepine treba ekstremno pažljivo primjenjivati kod pacijenata koji su zloupotrebljavali alkohol ili droge (vidjeti odjeljak 4.5).</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Manje doze takođe se preporučuju kod pacijenata sa hroničnom respiratornom insuficijencijom, zbog rizika od respiratorne depresije.</w:t>
      </w:r>
    </w:p>
    <w:p w:rsidR="00E43839" w:rsidRDefault="00E43839" w:rsidP="00E43839">
      <w:pPr>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pacing w:after="0" w:line="240" w:lineRule="auto"/>
        <w:jc w:val="both"/>
        <w:rPr>
          <w:rFonts w:ascii="Times New Roman" w:eastAsia="Times New Roman" w:hAnsi="Times New Roman" w:cs="Times New Roman"/>
          <w:color w:val="000000"/>
          <w:lang w:val="sr-Latn-ME" w:eastAsia="sl-SI"/>
        </w:rPr>
      </w:pPr>
      <w:r w:rsidRPr="00563B69">
        <w:rPr>
          <w:rFonts w:ascii="Times New Roman" w:eastAsia="Times New Roman" w:hAnsi="Times New Roman" w:cs="Times New Roman"/>
          <w:lang w:val="sr-Latn-ME" w:eastAsia="ar-SA"/>
        </w:rPr>
        <w:t xml:space="preserve">Istovremena upotreba lijeka Helex sa opioidima može izazvati sedaciju, respiratornu depresiju, komu i smrt. Zbog ovih rizika, istovremeno propisivanje sedativa kao što su benzodiazepini ili lijeka Helex sa opioidnim ljekovima </w:t>
      </w:r>
      <w:r w:rsidRPr="00563B69">
        <w:rPr>
          <w:rFonts w:ascii="Times New Roman" w:eastAsia="Times New Roman" w:hAnsi="Times New Roman" w:cs="Times New Roman"/>
          <w:color w:val="000000"/>
          <w:lang w:val="sr-Latn-ME" w:eastAsia="sl-SI"/>
        </w:rPr>
        <w:t>treba rezervisati samo za pacijente za koje alternativne mogućnosti liječenja nijesu moguće. Ako je donešena odluka da se lijek Helex propiše istovremeno sa opioidima, trebalo bi upotrijebiti najnižu efektivnu dozu i trajanje terapije bi trebalo da bude što je moguće kraće (vidjeti odjeljak 4.2).</w:t>
      </w:r>
    </w:p>
    <w:p w:rsidR="00563B69" w:rsidRPr="00563B69" w:rsidRDefault="00563B69" w:rsidP="00E43839">
      <w:pPr>
        <w:spacing w:after="0" w:line="240" w:lineRule="auto"/>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Pacijente treba pažljivo pratiti zbog znakova i simptoma respiratorne depresije i sedacije. U tom smislu, strogo se preporučuje da se pacijenti i njihovi staratelji informišu (gdje je to moguće) da bi bili svjesni ovih simptoma ( vidjeti odjeljak 4.5).</w:t>
      </w:r>
    </w:p>
    <w:p w:rsidR="00563B69" w:rsidRPr="00563B69" w:rsidRDefault="00563B69" w:rsidP="00E43839">
      <w:pPr>
        <w:spacing w:after="0" w:line="240" w:lineRule="auto"/>
        <w:jc w:val="both"/>
        <w:rPr>
          <w:rFonts w:ascii="Times New Roman" w:eastAsia="Times New Roman" w:hAnsi="Times New Roman" w:cs="Times New Roman"/>
          <w:lang w:val="sr-Latn-ME" w:eastAsia="sl-SI"/>
        </w:rPr>
      </w:pP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Stariji pacijenti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rPr>
        <w:t>Benzodiazepine i slične ljekove, starije osobe treba da koriste sa oprezom, zbog rizika od pojave sedacije i/ili mišićno-kostne slabosti koja može izazvati padove, često sa ozbiljnim posljedicama kod ove populacije.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Kod starijih i/ili iscrpljenih osoba primjenjuje se terapija najmanjim efikasnim dozama, kako bi se spriječio razvoj ataksije i pretjerane sedacije.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Zavisnost</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Upotreba benzodiazepina može dovesti do psihičke i fizičke zavisnosti na ove ljekove. Rizik od nastanka zavisnosti raste sa povećanjem doze i dužine trajanja terapije. Rizik je veći kod  pacijenata  koji su skloni zloupotrebi ljekova ili alkohola. Farmakološka zavisnost se može razviti u toku primjene terapijskih doza i/ili kod pacijenata bez faktora rizika. Rizik od razvoja farmakološke zavisnosti se povećava pri kombinovanoj primjeni benzodiazepina bez obzira na indikacije (anksiolitičko ili hipnotičko dejstvo). Zabilježeni su i slučajevi zloupotrebe ovog lijeka.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Simptomi obustave lijeka: Kada se fizička zavisnost jednom razvije, naglo obustavljanje terapije može biti praćeno apstinencijalnim simptomima. Oni obuhvataju: glavobolju, bol u mišićima, ekstremnu anksioznost, napetost, nemir, konfuziju, razdražljivost i nesanicu. U teškim slučajevima mogu se javiti sljedeći simptomi: derealizacija, depersonalizacija, hiperakuzija, sanjivost, bockanje u ekstremitetima, preosjetljivost na svjetlost, buku i fizički kontakt, halucinacije ili epileptički napadi (vidjeti odjeljak 4.2).</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Doza lijeka se postepeno smanjuje u skladu sa dobrom ljekarskom praksom. Savjetuje se da dnevnu dozu treba smanjivati za ne više od 0,5 mg svaka tri dana. Kod nekih pacijenata može biti potrebno čak i postepenije smanjivanje doze.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Povratna anksioznost i nesanica: Poslije prekida terapije može se razviti prolazni sindrom u kome se javljaju isti simptomi zbog kojih je uvedena terapija benzodiazepinima, samo u pogoršanom obliku. Ova pojava može biti praćena drugim reakcijama, uključujući promjene raspoloženja, anksioznost, nemir ili poremećaj sna, grčeve u stomaku i mišićima, povraćanje, znojenje, tremor i uznemirenost. Pošto su  apstinencijalni simptomi izraženiji poslije naglog obustavljanja terapije, preporuka je  postepeno smanjivanje doze (vidjeti odjeljak 4.2).  </w:t>
      </w: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lastRenderedPageBreak/>
        <w:t>Trajanje terapije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Savjetuje se da pacijent na početku terapije dobije informaciju o njenom ograničenom trajanju i da mu se objasne pojedinosti o postepenom smanjivanju doza. Važno je da pacijent bude upoznat sa mogućnošću pojave povratnog efekta, kako bi se smanjila pacijentova anksioznost vezana za eventualnu pojavu ovih simptoma kod prekidanja primjene lijeka. </w:t>
      </w:r>
      <w:r w:rsidRPr="00563B69">
        <w:rPr>
          <w:rFonts w:ascii="Times New Roman" w:eastAsia="Times New Roman" w:hAnsi="Times New Roman" w:cs="Times New Roman"/>
          <w:iCs/>
          <w:lang w:val="sr-Latn-ME" w:eastAsia="ar-SA"/>
        </w:rPr>
        <w:t xml:space="preserve">Postoje indicije, da se u slučaju primjene kratkodjelujućih benzodiazepina, klinički manifestni simptomi obustave lijeka mogu javiti unutar doznog intervala, naročito pri visokim dozama. </w:t>
      </w:r>
      <w:r w:rsidRPr="00563B69">
        <w:rPr>
          <w:rFonts w:ascii="Times New Roman" w:eastAsia="Times New Roman" w:hAnsi="Times New Roman" w:cs="Times New Roman"/>
          <w:lang w:val="sr-Latn-ME" w:eastAsia="ar-SA"/>
        </w:rPr>
        <w:t xml:space="preserve">Kada se liječe dugodjelujućim benzodiazepinima, pacijenti moraju biti obaviješteni da ne smiju da zamijene lijek kratkodjelujućim benzodiazepinima, jer se mogu javiti apstinencijalni simptomi. </w:t>
      </w:r>
    </w:p>
    <w:p w:rsidR="00563B69" w:rsidRPr="00563B69" w:rsidRDefault="00563B69" w:rsidP="00E43839">
      <w:pPr>
        <w:suppressAutoHyphens/>
        <w:spacing w:after="0" w:line="240" w:lineRule="auto"/>
        <w:jc w:val="both"/>
        <w:rPr>
          <w:rFonts w:ascii="Times New Roman" w:eastAsia="Times New Roman" w:hAnsi="Times New Roman" w:cs="Times New Roman"/>
          <w:b/>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Amnezija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Benzodiazepini mogu da indukuju anterogradnu amneziju. Ovo stanje obično se javlja nekoliko sati poslije uzimanja lijeka. Stoga, da bi se smanjio ovaj rizik potrebno je kontrolisati da li pacijent spava neprekidno 7-8 sati (vidjeti odjeljak 4.8).</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Psihijatrijske i paradoksalne reakcije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Kao i sa ostalim benzodiazepinima, mogu se javiti paradoksalne reakcije, na primjer: nemir, agitiranost, razdražljivost, agresivnost, sumanute misli, bijes, košmarni snovi, halucinacije, psihoze, promjene ponašanja i drugi neželjeni poremećaji ponašanja za koje je poznato da se javljaju tokom upotrebe benzodiazepina. Ukoliko se bilo koji od navedenih događaja pojavi, alprazolam treba prekinuti. Ove reakcije češće su kod djece i starijih osoba.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Tolerancija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Poslije nekoliko nedjelja kontinuirane upotrebe može doći do određenog gubitka hipnotičkog dejstva benzodiazepina.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Pacijentima sa teškom depresijom i suicidalnim pacijentima, lijek treba propisivati s posebnim oprezom i u odgovarajućoj veličini pakovanja.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Prijavljeni su slučajevi hipomanije i manije kod pacijenata sa depresijom koji su primali alprazolam.</w:t>
      </w:r>
    </w:p>
    <w:p w:rsidR="00563B69" w:rsidRPr="00563B69" w:rsidRDefault="00563B69" w:rsidP="00E43839">
      <w:pPr>
        <w:tabs>
          <w:tab w:val="left" w:pos="8505"/>
        </w:tabs>
        <w:suppressAutoHyphens/>
        <w:spacing w:after="0" w:line="240" w:lineRule="auto"/>
        <w:ind w:right="-2"/>
        <w:jc w:val="both"/>
        <w:rPr>
          <w:rFonts w:ascii="Times New Roman" w:eastAsia="Times New Roman" w:hAnsi="Times New Roman" w:cs="Times New Roman"/>
          <w:lang w:val="sr-Latn-ME" w:eastAsia="ar-SA"/>
        </w:rPr>
      </w:pPr>
    </w:p>
    <w:p w:rsidR="00563B69" w:rsidRPr="00563B69" w:rsidRDefault="00563B69" w:rsidP="00E43839">
      <w:pPr>
        <w:tabs>
          <w:tab w:val="left" w:pos="8505"/>
        </w:tabs>
        <w:suppressAutoHyphens/>
        <w:spacing w:after="0" w:line="240" w:lineRule="auto"/>
        <w:ind w:right="-2"/>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Lijek Helex sadrži laktozu. Pacijenti sa rijetkom nasljednom intolerancijom na galaktozu, Lappovim oblikom smanjene aktivnosti laktaze ili malapsorpcijom glukoze/galaktoze ne smiju uzimati ovaj lijek.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4.5</w:t>
      </w:r>
      <w:r w:rsidRPr="00563B69">
        <w:rPr>
          <w:rFonts w:ascii="Times New Roman" w:eastAsia="Times New Roman" w:hAnsi="Times New Roman" w:cs="Times New Roman"/>
          <w:b/>
          <w:bCs/>
          <w:lang w:val="sr-Latn-ME" w:eastAsia="ar-SA"/>
        </w:rPr>
        <w:tab/>
        <w:t>Interakcije sa drugim ljekovima i druge vrste interakcija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r w:rsidRPr="00563B69">
        <w:rPr>
          <w:rFonts w:ascii="Times New Roman" w:eastAsia="Times New Roman" w:hAnsi="Times New Roman" w:cs="Times New Roman"/>
          <w:i/>
          <w:lang w:val="sr-Latn-ME" w:eastAsia="ar-SA"/>
        </w:rPr>
        <w:t>Opioidi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Istovremena upotreba sedativa kao što su benzodiazepini ili srodnih ljekova kao što je lijek Helex sa opioidima, povećava rizik od sedacije, respiratorne depresije, kome i smrti zbog aditivnih depresornih dejstava centralnog nervnog sistema (CNS). Doza i trajanje istovremene upotrebe moraju biti ograničeni (vidjeti odjeljak 4.4). Istovremena upotreba sa alkohol se ne preporučuje. Alprazolam treba koristiti sa oprezom kada se kombinuje sa CNS depresorima.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Centralno depresivno dejstvo se pojačava ako se alprazolam istovremeno primjenjuje sa antipsihoticima (neurolepticima), hipnoticima, anksioliticima/sedativima, antidepresivima, narkotičkim analgeticima, antiepilepticima, anesteticima, sedativnim antihistaminicima i ostalim sedativnim ljekovima. U slučaju narkotičkih analgetika, može se javiti pojačana euforija koja vodi ka porastu psihičke zavisnosti.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r w:rsidRPr="00563B69">
        <w:rPr>
          <w:rFonts w:ascii="Times New Roman" w:eastAsia="Times New Roman" w:hAnsi="Times New Roman" w:cs="Times New Roman"/>
          <w:i/>
          <w:lang w:val="sr-Latn-ME" w:eastAsia="ar-SA"/>
        </w:rPr>
        <w:lastRenderedPageBreak/>
        <w:t>CYP3A inhibitori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Supstance koje inhibiraju određene enzime jetre (naročito citohrom P450 3A4) mogu povećati koncentraciju i pojačati dejstvo benzodiazepina. Rezultati kliničkih i </w:t>
      </w:r>
      <w:r w:rsidRPr="00563B69">
        <w:rPr>
          <w:rFonts w:ascii="Times New Roman" w:eastAsia="Times New Roman" w:hAnsi="Times New Roman" w:cs="Times New Roman"/>
          <w:i/>
          <w:lang w:val="sr-Latn-ME" w:eastAsia="ar-SA"/>
        </w:rPr>
        <w:t>in vitro</w:t>
      </w:r>
      <w:r w:rsidRPr="00563B69">
        <w:rPr>
          <w:rFonts w:ascii="Times New Roman" w:eastAsia="Times New Roman" w:hAnsi="Times New Roman" w:cs="Times New Roman"/>
          <w:lang w:val="sr-Latn-ME" w:eastAsia="ar-SA"/>
        </w:rPr>
        <w:t xml:space="preserve"> studija sa alprazolamom i kliničkih studija sa drugim ljekovima koji se metabolišu slično kao i alprazolam, ukazuju na različit stepen interakcija i moguće interakcije alprazolama sa brojnim ljekovima. Na osnovu stepena interakcija i raspoloživih podataka, napravljene su i sljedeće preporuke:</w:t>
      </w:r>
    </w:p>
    <w:p w:rsidR="00563B69" w:rsidRPr="00563B69" w:rsidRDefault="00563B69" w:rsidP="00E43839">
      <w:pPr>
        <w:numPr>
          <w:ilvl w:val="0"/>
          <w:numId w:val="1"/>
        </w:num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Ne preporučuje se istovremena primjena alprazolama sa ketokonazolom, itrakonazolom i drugim azolskim antimikoticima. </w:t>
      </w:r>
    </w:p>
    <w:p w:rsidR="00563B69" w:rsidRPr="00563B69" w:rsidRDefault="00563B69" w:rsidP="00E43839">
      <w:pPr>
        <w:numPr>
          <w:ilvl w:val="0"/>
          <w:numId w:val="1"/>
        </w:num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Istovremena primjena nefazodona ili fluvoksamina povećava PIK alprazolama približno 2 puta, tako da se preporučuje oprez ili smanjenje doze kada se alprazolam daje zajedno sa nefazodonom, fluvoksaminom i cimetidinom.</w:t>
      </w:r>
    </w:p>
    <w:p w:rsidR="00563B69" w:rsidRPr="00563B69" w:rsidRDefault="00563B69" w:rsidP="00E43839">
      <w:pPr>
        <w:numPr>
          <w:ilvl w:val="0"/>
          <w:numId w:val="1"/>
        </w:num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Preporučuje se oprez prilikom istovremene primjene alprazolama sa fluoksetinom, propoksifenom, oralnim kontraceptivima, diltiazemom ili makrolidnim antibioticima kao što su eritromicin, klaritromicin i troleandomicin.</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r w:rsidRPr="00563B69">
        <w:rPr>
          <w:rFonts w:ascii="Times New Roman" w:eastAsia="Times New Roman" w:hAnsi="Times New Roman" w:cs="Times New Roman"/>
          <w:i/>
          <w:lang w:val="sr-Latn-ME" w:eastAsia="ar-SA"/>
        </w:rPr>
        <w:t>CYP3A4 induktori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S obzirom da se alprzolam metaboliše putem CYP3A4 izoenzima, induktori ovih enzima mogu ubrzati metabolizam alprazolama. Interakcije između inhibitora HIV proteaze (npr. ritonavir) i alprazolama su kompleksne i vremenski zavisne. Kratkotrajno, male doze ritonavira dovele su do velikog poremećaja klirensa alprazolama, produženog poluvremena eliminacije i pojačavanja njegovih kliničkih efekata, ali poslije duže primjene ritonavira, indukcija CYP3A kompenzovala je ovu inhibiciju. Ova interakcija zahtjeva korekciju doze ili prekid primjene alprazolama.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r w:rsidRPr="00563B69">
        <w:rPr>
          <w:rFonts w:ascii="Times New Roman" w:eastAsia="Times New Roman" w:hAnsi="Times New Roman" w:cs="Times New Roman"/>
          <w:i/>
          <w:lang w:val="sr-Latn-ME" w:eastAsia="ar-SA"/>
        </w:rPr>
        <w:t>Digoksin</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Postoje izvještaji o povišenim koncentracijama digoksina nakon davanja alprazolama, posebno kod starijih osoba (&gt; 65 godina). Stoga, kod pacijenata koji primaju alprazolam i digoksin treba pratiti znakove i simptome toksičnosti digoksina.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4.6</w:t>
      </w:r>
      <w:r w:rsidRPr="00563B69">
        <w:rPr>
          <w:rFonts w:ascii="Times New Roman" w:eastAsia="Times New Roman" w:hAnsi="Times New Roman" w:cs="Times New Roman"/>
          <w:b/>
          <w:bCs/>
          <w:lang w:val="sr-Latn-ME" w:eastAsia="ar-SA"/>
        </w:rPr>
        <w:tab/>
        <w:t>Primjena u periodu trudnoće i dojenja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bCs/>
          <w:u w:val="single"/>
          <w:lang w:val="sr-Latn-ME" w:eastAsia="ar-SA"/>
        </w:rPr>
        <w:t>Trudnoća</w:t>
      </w:r>
      <w:r w:rsidRPr="00563B69" w:rsidDel="00D82CF9">
        <w:rPr>
          <w:rFonts w:ascii="Times New Roman" w:eastAsia="Times New Roman" w:hAnsi="Times New Roman" w:cs="Times New Roman"/>
          <w:lang w:val="sr-Latn-ME" w:eastAsia="ar-SA"/>
        </w:rPr>
        <w:t xml:space="preserv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Podaci koji se odnose na teratogenost i efekte na postnatalni razvoj i ponašanje nakon primjene benzodiazepina nijesu konzistentni. Veliki broj podataka baziranih na kohortnim studijama, ukazuje da primjena benzodiazepina u prvom trimestru trudnoće nije povezana sa većim rizikom od razvoja velikih kongenitalnih malformacija. Međutim, podaci iz nekih ranijih </w:t>
      </w:r>
      <w:r w:rsidRPr="00563B69">
        <w:rPr>
          <w:rFonts w:ascii="Times New Roman" w:eastAsia="Times New Roman" w:hAnsi="Times New Roman" w:cs="Times New Roman"/>
          <w:i/>
          <w:lang w:val="sr-Latn-ME" w:eastAsia="ar-SA"/>
        </w:rPr>
        <w:t>case-control</w:t>
      </w:r>
      <w:r w:rsidRPr="00563B69">
        <w:rPr>
          <w:rFonts w:ascii="Times New Roman" w:eastAsia="Times New Roman" w:hAnsi="Times New Roman" w:cs="Times New Roman"/>
          <w:lang w:val="sr-Latn-ME" w:eastAsia="ar-SA"/>
        </w:rPr>
        <w:t xml:space="preserve"> epidemioloških studija, ukazuju na dvostruko veći rizik od pojave rascjepa nepca.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r w:rsidRPr="00563B69">
        <w:rPr>
          <w:rFonts w:ascii="Times New Roman" w:eastAsia="Times New Roman" w:hAnsi="Times New Roman" w:cs="Times New Roman"/>
          <w:lang w:val="sr-Latn-ME" w:eastAsia="ar-SA"/>
        </w:rPr>
        <w:t xml:space="preserve">Benzodiazepine, uključujući alprazolam treba koristiti tokom trudnoće i dojenja samo ukoliko ljekar smatra da je to neophodno. Ispitivanja na životinjama su pokazala manje efekte na fetus, dok je nekoliko studija pokazalo kasniji poremećaj u ponašanju kod potomaka izloženih benzodiazepinima </w:t>
      </w:r>
      <w:r w:rsidRPr="00563B69">
        <w:rPr>
          <w:rFonts w:ascii="Times New Roman" w:eastAsia="Times New Roman" w:hAnsi="Times New Roman" w:cs="Times New Roman"/>
          <w:i/>
          <w:lang w:val="sr-Latn-ME" w:eastAsia="ar-SA"/>
        </w:rPr>
        <w:t>in utero.</w:t>
      </w:r>
    </w:p>
    <w:p w:rsidR="00563B69" w:rsidRPr="00563B69" w:rsidRDefault="00563B69" w:rsidP="00E43839">
      <w:pPr>
        <w:suppressAutoHyphens/>
        <w:spacing w:after="0" w:line="240" w:lineRule="auto"/>
        <w:jc w:val="both"/>
        <w:rPr>
          <w:rFonts w:ascii="Times New Roman" w:eastAsia="Times New Roman" w:hAnsi="Times New Roman" w:cs="Times New Roman"/>
          <w:i/>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Primjena benzodiazepina u visokim dozama, u toku drugog i/ili trećeg trimestra trudnoće, može dovesti do smanjenja aktivnih pokreta i poremećaja srčanog ritma fetusa.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Ukoliko je iz opravdanih medicinskih razloga, neophodna primjena benzodiazepina u toku kasne trudnoće (čak i u malim dozama), može doći do razvoja sindroma mlitavog odojčeta. Ovaj sindrom se manifestuje </w:t>
      </w:r>
      <w:r w:rsidRPr="00563B69">
        <w:rPr>
          <w:rFonts w:ascii="Times New Roman" w:eastAsia="Times New Roman" w:hAnsi="Times New Roman" w:cs="Times New Roman"/>
          <w:lang w:val="sr-Latn-ME" w:eastAsia="ar-SA"/>
        </w:rPr>
        <w:lastRenderedPageBreak/>
        <w:t>aksijalnom hipotonijom i poremećajima sisanja koji dovode do sporog napredovanja djeteta. Ovi znaci su reverzibilni, ali mogu trajati od 1 do 3 nedjelje, zbog poluvremena eliminacije alprazolama. U toku primjene visokih doza, kod novorođenčeta može doći do razvoja respiratorne depresije ili apneje i hipotermije. Nekoliko dana poslije porođaja kod novorođenčadi može doći do pojave apstinencijalnog sindroma (hiperekscitabilnost, agitacija i tremor), čak i ako se prethodno nije razvio sindrom mlitavog odojčeta. Pojava apstinencijalnog sindroma nakon rođenja zavisi od poluvremena eliminacije lijeka.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Alprazolam ne treba koristiti u toku trudnoće, osim ukoliko je klinički opravdano. Pacijentkinje, ukoliko su trudne ili planiraju trudnoću, moraju biti obaviještene o potencijalnim štetnim dejstvima alprazolama na fetus.</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Ukoliko je neophodna primjena alprazolama u toku posljednjeg trimestra trudnoće ili u toku porođaja, neophodno je izbjegavati visoke doze. Takođe, neophodano je pažljivo praćenje novorođenčeta zbog moguće pojave apstinencijalnog sindroma i/ili sindrom mlitavog odojčeta.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u w:val="single"/>
          <w:lang w:val="sr-Latn-ME" w:eastAsia="ar-SA"/>
        </w:rPr>
      </w:pPr>
      <w:r w:rsidRPr="00563B69">
        <w:rPr>
          <w:rFonts w:ascii="Times New Roman" w:eastAsia="Times New Roman" w:hAnsi="Times New Roman" w:cs="Times New Roman"/>
          <w:u w:val="single"/>
          <w:lang w:val="sr-Latn-ME" w:eastAsia="ar-SA"/>
        </w:rPr>
        <w:t>Dojenje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Alprazolam se u maloj količini izlučuje u majčino mlijeko. Stoga, primjena alprazolama se ne preporučuje u toku perioda dojenja.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4.7</w:t>
      </w:r>
      <w:r w:rsidRPr="00563B69">
        <w:rPr>
          <w:rFonts w:ascii="Times New Roman" w:eastAsia="Times New Roman" w:hAnsi="Times New Roman" w:cs="Times New Roman"/>
          <w:b/>
          <w:bCs/>
          <w:lang w:val="sr-Latn-ME" w:eastAsia="ar-SA"/>
        </w:rPr>
        <w:tab/>
        <w:t>Uticaj na psihofizičke sposobnosti prilikom upravljanja motornim vozilima i rukovanja mašinama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Sedacija, amnezija, smanjenje koncentracije i mišićnih funkcija može negativno uticati na sposobnost pacijenata da voze ili upravljaju mašinama. Ukoliko trajanje sna nije zadovoljavajuće, poremećaj opreznosti će vjerovatno biti izražen (vidjeti odjeljak 4.5).</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Ove efekte pojačava alkohol (vidjeti odjeljak 4.5.). Pacijente treba upozoriti na oprez prilikom upravljanja motornim vozilima ili preduzimanja drugih opasnih aktivnosti tokom primjene lijeka alprazolam.</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4.8</w:t>
      </w:r>
      <w:r w:rsidRPr="00563B69">
        <w:rPr>
          <w:rFonts w:ascii="Times New Roman" w:eastAsia="Times New Roman" w:hAnsi="Times New Roman" w:cs="Times New Roman"/>
          <w:b/>
          <w:bCs/>
          <w:lang w:val="sr-Latn-ME" w:eastAsia="ar-SA"/>
        </w:rPr>
        <w:tab/>
        <w:t>Neželjena dejstva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Neželjeni događaji, ukoliko se ispolje, uglavnom se zapažaju na samom početku terapije i obično nestaju u toku kontinuiranog liječenja ili smanjenja doze lijeka.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Slijede neželjena dejstva koja su primijećena i prijavljena tokom liječenja alprazolamom, sa sljedećom učestalošću ispoljavanja: veoma česta (≥1/10); česta (≥1/100 i &lt;1/10); povremena (≥1/1.000 i &lt;1/100); rijetka (≥1/10.000 i &lt;1/1.000); veoma rijetka (&lt;1/10.000), nije poznata (ne može se procijeniti na osnovu raspoloživih podataka).</w:t>
      </w: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lang w:val="sr-Latn-ME"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01"/>
        <w:gridCol w:w="3216"/>
      </w:tblGrid>
      <w:tr w:rsidR="00563B69" w:rsidRPr="00563B69" w:rsidTr="00693AED">
        <w:trPr>
          <w:trHeight w:val="146"/>
        </w:trPr>
        <w:tc>
          <w:tcPr>
            <w:tcW w:w="1664"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
                <w:bCs/>
                <w:iCs/>
                <w:lang w:val="sr-Latn-ME" w:eastAsia="ar-SA"/>
              </w:rPr>
            </w:pPr>
            <w:r w:rsidRPr="00563B69">
              <w:rPr>
                <w:rFonts w:ascii="Times New Roman" w:eastAsia="Times New Roman" w:hAnsi="Times New Roman" w:cs="Times New Roman"/>
                <w:b/>
                <w:bCs/>
                <w:iCs/>
                <w:lang w:val="sr-Latn-ME" w:eastAsia="ar-SA"/>
              </w:rPr>
              <w:t>MedDRA Klasifikacija sistema organa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
                <w:bCs/>
                <w:iCs/>
                <w:lang w:val="sr-Latn-ME" w:eastAsia="ar-SA"/>
              </w:rPr>
            </w:pPr>
            <w:r w:rsidRPr="00563B69">
              <w:rPr>
                <w:rFonts w:ascii="Times New Roman" w:eastAsia="Times New Roman" w:hAnsi="Times New Roman" w:cs="Times New Roman"/>
                <w:b/>
                <w:bCs/>
                <w:iCs/>
                <w:lang w:val="sr-Latn-ME" w:eastAsia="ar-SA"/>
              </w:rPr>
              <w:t>Učestalost</w:t>
            </w:r>
          </w:p>
        </w:tc>
        <w:tc>
          <w:tcPr>
            <w:tcW w:w="1672"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
                <w:bCs/>
                <w:iCs/>
                <w:lang w:val="sr-Latn-ME" w:eastAsia="ar-SA"/>
              </w:rPr>
            </w:pPr>
            <w:r w:rsidRPr="00563B69">
              <w:rPr>
                <w:rFonts w:ascii="Times New Roman" w:eastAsia="Times New Roman" w:hAnsi="Times New Roman" w:cs="Times New Roman"/>
                <w:b/>
                <w:bCs/>
                <w:iCs/>
                <w:lang w:val="sr-Latn-ME" w:eastAsia="ar-SA"/>
              </w:rPr>
              <w:t>Neželjena dejstva</w:t>
            </w:r>
          </w:p>
        </w:tc>
      </w:tr>
      <w:tr w:rsidR="00563B69" w:rsidRPr="00563B69" w:rsidTr="00693AED">
        <w:trPr>
          <w:trHeight w:val="143"/>
        </w:trPr>
        <w:tc>
          <w:tcPr>
            <w:tcW w:w="1664"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Endokrinološki poremećaji</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Hiperprolaktinemija</w:t>
            </w:r>
          </w:p>
        </w:tc>
      </w:tr>
      <w:tr w:rsidR="00563B69" w:rsidRPr="00563B69" w:rsidTr="00693AED">
        <w:trPr>
          <w:trHeight w:val="421"/>
        </w:trPr>
        <w:tc>
          <w:tcPr>
            <w:tcW w:w="1664"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metabolizma i ishrane</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Smanjenje apetita</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Psihijatrijski poremećaji</w:t>
            </w: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Veoma 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Depresija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Konfuzija, dezorijentacija, smanjenje libida, anksioznost, insomnija, nervoza, povećanje libida*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Povremeno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Manija* (vidjeti odjeljak 4.4), halucinacije*, bijes*, agitacija*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Hipomanija*, agresija*, odbojnost*, nenormalno razmišljanje*, psihomotorna hiperaktivnost*</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nervnog sistema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Veoma 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Sedacija, somnolencija, ataksija, poremećaj memorije, dizartrija, ošamućenost, glavobolja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ravnoteže, poremećaj koordinacije pokreta,  poremećaj pažnje, hipersomnija, letargija, tremor</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Povremeno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Amnezija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 funkcionisanja autonomnog nervnog sistema*,  distonija*</w:t>
            </w:r>
          </w:p>
        </w:tc>
      </w:tr>
      <w:tr w:rsidR="00563B69" w:rsidRPr="00563B69" w:rsidTr="00693AED">
        <w:trPr>
          <w:trHeight w:val="146"/>
        </w:trPr>
        <w:tc>
          <w:tcPr>
            <w:tcW w:w="1664"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na nivou oka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Zamućen vid</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Gastrointestinalni poremećaji</w:t>
            </w: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Veoma 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Zatvor, suva usta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Nauzeja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GIT-a*</w:t>
            </w:r>
          </w:p>
        </w:tc>
      </w:tr>
      <w:tr w:rsidR="00563B69" w:rsidRPr="00563B69" w:rsidTr="00693AED">
        <w:trPr>
          <w:trHeight w:val="146"/>
        </w:trPr>
        <w:tc>
          <w:tcPr>
            <w:tcW w:w="1664"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Hepatobilijarni poremećaji</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Hepatitis*, poremećaj funkcionisanja jetre*, žutica*</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na nivou kože i potkožnog tkiva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Dermatitis*</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Angioedem*, fotosenzitivna reakcija*</w:t>
            </w:r>
          </w:p>
        </w:tc>
      </w:tr>
      <w:tr w:rsidR="00563B69" w:rsidRPr="00563B69" w:rsidTr="00693AED">
        <w:trPr>
          <w:trHeight w:val="146"/>
        </w:trPr>
        <w:tc>
          <w:tcPr>
            <w:tcW w:w="1664"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mišićno-skeletnog i vezivnog tkiva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Povremeno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Mišićna slabost</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na nivou bubrega i urinarnog sistema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Povremeno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Inkontinencija*</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Retencija urina*</w:t>
            </w:r>
          </w:p>
        </w:tc>
      </w:tr>
      <w:tr w:rsidR="00563B69" w:rsidRPr="00563B69" w:rsidTr="00693AED">
        <w:trPr>
          <w:trHeight w:val="324"/>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Poremećaji reproduktivnog sistema i na nivou dojki</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Seksualni poremećaji*</w:t>
            </w:r>
          </w:p>
        </w:tc>
      </w:tr>
      <w:tr w:rsidR="00563B69" w:rsidRPr="00563B69" w:rsidTr="00693AED">
        <w:trPr>
          <w:trHeight w:val="324"/>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Povremeno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Nepravilni menstrualni ciklusi*</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Opšti poremećaji i reakcije na mjestu primjene</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Veoma 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Umor, razdražljivost</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Periferni edem*</w:t>
            </w:r>
          </w:p>
        </w:tc>
      </w:tr>
      <w:tr w:rsidR="00563B69" w:rsidRPr="00563B69" w:rsidTr="00693AED">
        <w:trPr>
          <w:trHeight w:val="146"/>
        </w:trPr>
        <w:tc>
          <w:tcPr>
            <w:tcW w:w="1664" w:type="pct"/>
            <w:vMerge w:val="restar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Ispitivanja</w:t>
            </w:r>
          </w:p>
        </w:tc>
        <w:tc>
          <w:tcPr>
            <w:tcW w:w="1664" w:type="pct"/>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Često</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lang w:val="sr-Latn-ME" w:eastAsia="ar-SA"/>
              </w:rPr>
              <w:t>Povećanje tjelesne mase, smanjenje tjelesne mase</w:t>
            </w:r>
          </w:p>
        </w:tc>
      </w:tr>
      <w:tr w:rsidR="00563B69" w:rsidRPr="00563B69" w:rsidTr="00693AED">
        <w:trPr>
          <w:trHeight w:val="146"/>
        </w:trPr>
        <w:tc>
          <w:tcPr>
            <w:tcW w:w="1664" w:type="pct"/>
            <w:vMerge/>
          </w:tcPr>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p>
        </w:tc>
        <w:tc>
          <w:tcPr>
            <w:tcW w:w="1664" w:type="pct"/>
          </w:tcPr>
          <w:p w:rsidR="00563B69" w:rsidRPr="00563B69" w:rsidDel="000D0B4F" w:rsidRDefault="00563B69" w:rsidP="00563B6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Nepoznata učestalost</w:t>
            </w:r>
          </w:p>
        </w:tc>
        <w:tc>
          <w:tcPr>
            <w:tcW w:w="1672" w:type="pct"/>
          </w:tcPr>
          <w:p w:rsidR="00563B69" w:rsidRPr="00563B69" w:rsidRDefault="00563B69" w:rsidP="00563B69">
            <w:pPr>
              <w:tabs>
                <w:tab w:val="left" w:pos="567"/>
              </w:tabs>
              <w:suppressAutoHyphens/>
              <w:spacing w:after="0" w:line="240" w:lineRule="auto"/>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Povišen intraokularni pritisak*</w:t>
            </w:r>
          </w:p>
        </w:tc>
      </w:tr>
    </w:tbl>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Postmarketinški identifikovana neželjena dejstva</w:t>
      </w:r>
    </w:p>
    <w:p w:rsidR="00563B69" w:rsidRPr="00563B69" w:rsidRDefault="00563B69" w:rsidP="00563B69">
      <w:pPr>
        <w:tabs>
          <w:tab w:val="left" w:pos="567"/>
        </w:tabs>
        <w:suppressAutoHyphens/>
        <w:spacing w:after="0" w:line="240" w:lineRule="auto"/>
        <w:jc w:val="both"/>
        <w:rPr>
          <w:rFonts w:ascii="Times New Roman" w:eastAsia="Times New Roman" w:hAnsi="Times New Roman" w:cs="Times New Roman"/>
          <w:u w:val="single"/>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i/>
          <w:iCs/>
          <w:lang w:val="sr-Latn-ME" w:eastAsia="ar-SA"/>
        </w:rPr>
      </w:pPr>
      <w:r w:rsidRPr="00563B69">
        <w:rPr>
          <w:rFonts w:ascii="Times New Roman" w:eastAsia="Times New Roman" w:hAnsi="Times New Roman" w:cs="Times New Roman"/>
          <w:b/>
          <w:bCs/>
          <w:i/>
          <w:iCs/>
          <w:lang w:val="sr-Latn-ME" w:eastAsia="ar-SA"/>
        </w:rPr>
        <w:t xml:space="preserve">Simptomi obustave lijeka </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Cs/>
          <w:iCs/>
          <w:lang w:val="sr-Latn-ME" w:eastAsia="ar-SA"/>
        </w:rPr>
      </w:pPr>
      <w:r w:rsidRPr="00563B69">
        <w:rPr>
          <w:rFonts w:ascii="Times New Roman" w:eastAsia="Times New Roman" w:hAnsi="Times New Roman" w:cs="Times New Roman"/>
          <w:bCs/>
          <w:iCs/>
          <w:lang w:val="sr-Latn-ME" w:eastAsia="ar-SA"/>
        </w:rPr>
        <w:t xml:space="preserve">Simptomi obustave lijeka se javljaju nakon naglog smanjenja doze ili naglog prekida primjene benzodiazepina, uključujući i alprazolam. Ovi simptomi variraju od blage disforije i insomnije, pa sve do razvoja teških </w:t>
      </w:r>
      <w:r w:rsidRPr="00563B69">
        <w:rPr>
          <w:rFonts w:ascii="Times New Roman" w:eastAsia="Times New Roman" w:hAnsi="Times New Roman" w:cs="Times New Roman"/>
          <w:bCs/>
          <w:iCs/>
          <w:lang w:val="sr-Latn-ME" w:eastAsia="ar-SA"/>
        </w:rPr>
        <w:lastRenderedPageBreak/>
        <w:t>simptoma kao što su abdominalne kolike i mišićni grčevi, povraćanje, znojenje, tremor, i konvulzije. Takođe, mogu se javiti epi napadi nakon naglog smanjenja doze ili naglog prekida terapije.</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u w:val="single"/>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Amnezija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Anterogradna amnezija se može javiti prilikom primjene terapijskih doza. Rizik se povećava sa povećanjem doze. Dejstva amnezije mogu biti povezana sa neprilagođenim ponašanjem (vidjeti odjeljak 4.4.). </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Depresija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Za vrijeme liječenja benzodiazepinima, prethodno nezapažena depresija može postati očigledna.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Psihijatrijske i paradoksalne reakcije</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Benzodiazepini i benzodiazepinima slična jedinjenja mogu izazvati reakcije kao što su nemir, agitiranost, iritabilnost, agresivnost, sumanute ideje, bijes, košmarni snovi, halucinacije, psihoze, bihejvioralni poremećaji. Ove reakcije mogu biti prilično teške. Češće se javljaju kod djece i starijih osoba.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i/>
          <w:lang w:val="sr-Latn-ME" w:eastAsia="ar-SA"/>
        </w:rPr>
      </w:pPr>
      <w:r w:rsidRPr="00563B69">
        <w:rPr>
          <w:rFonts w:ascii="Times New Roman" w:eastAsia="Times New Roman" w:hAnsi="Times New Roman" w:cs="Times New Roman"/>
          <w:b/>
          <w:i/>
          <w:lang w:val="sr-Latn-ME" w:eastAsia="ar-SA"/>
        </w:rPr>
        <w:t>Zavisnost</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Upotreba benzodiazepina (čak i u terapijskim dozama) može dovesti do fizičke zavisnosti: prekid terapije može dovesti do pogoršanja simptoma ili apstinencijalnih reakcija (vidjeti odjeljak 4.4). Takođe se može javiti psihička zavisnost. Opisana je zloupotreba benzodiazepina.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u w:val="single"/>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u w:val="single"/>
          <w:lang w:val="sr-Latn-ME" w:eastAsia="ar-SA"/>
        </w:rPr>
      </w:pPr>
      <w:r w:rsidRPr="00563B69">
        <w:rPr>
          <w:rFonts w:ascii="Times New Roman" w:eastAsia="Times New Roman" w:hAnsi="Times New Roman" w:cs="Times New Roman"/>
          <w:u w:val="single"/>
          <w:lang w:val="sr-Latn-ME" w:eastAsia="ar-SA"/>
        </w:rPr>
        <w:t>Prijavljivanje sumnji na neželjena dejstva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Agencija za ljekove i medicinska sredstva Crne Gore</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Odjeljenje za farmakovigilancu</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Bulevar Ivana Crnojevića 64a, 81000 Podgorica</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tel: +382 (0) 20 310 280</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fax: +382 (0) 20 310 581</w:t>
      </w:r>
    </w:p>
    <w:p w:rsidR="00563B69" w:rsidRPr="00563B69" w:rsidRDefault="00796A3E" w:rsidP="00E43839">
      <w:pPr>
        <w:tabs>
          <w:tab w:val="left" w:pos="567"/>
        </w:tabs>
        <w:suppressAutoHyphens/>
        <w:spacing w:after="0" w:line="240" w:lineRule="auto"/>
        <w:jc w:val="both"/>
        <w:rPr>
          <w:rFonts w:ascii="Times New Roman" w:eastAsia="Times New Roman" w:hAnsi="Times New Roman" w:cs="Times New Roman"/>
          <w:lang w:val="sr-Latn-ME" w:eastAsia="ar-SA"/>
        </w:rPr>
      </w:pPr>
      <w:hyperlink r:id="rId8" w:history="1">
        <w:r w:rsidR="00563B69" w:rsidRPr="00563B69">
          <w:rPr>
            <w:rFonts w:ascii="Times New Roman" w:eastAsia="Times New Roman" w:hAnsi="Times New Roman" w:cs="Times New Roman"/>
            <w:u w:val="single"/>
            <w:lang w:val="sr-Latn-ME" w:eastAsia="ar-SA"/>
          </w:rPr>
          <w:t>www.calims.me</w:t>
        </w:r>
      </w:hyperlink>
    </w:p>
    <w:p w:rsidR="00563B69" w:rsidRPr="00563B69" w:rsidRDefault="00796A3E" w:rsidP="00E43839">
      <w:pPr>
        <w:tabs>
          <w:tab w:val="left" w:pos="567"/>
        </w:tabs>
        <w:suppressAutoHyphens/>
        <w:spacing w:after="0" w:line="240" w:lineRule="auto"/>
        <w:jc w:val="both"/>
        <w:rPr>
          <w:rFonts w:ascii="Times New Roman" w:eastAsia="Times New Roman" w:hAnsi="Times New Roman" w:cs="Times New Roman"/>
          <w:u w:val="single"/>
          <w:lang w:val="sr-Latn-ME" w:eastAsia="ar-SA"/>
        </w:rPr>
      </w:pPr>
      <w:hyperlink r:id="rId9" w:history="1">
        <w:r w:rsidR="00563B69" w:rsidRPr="00563B69">
          <w:rPr>
            <w:rFonts w:ascii="Times New Roman" w:eastAsia="Times New Roman" w:hAnsi="Times New Roman" w:cs="Times New Roman"/>
            <w:u w:val="single"/>
            <w:lang w:val="sr-Latn-ME" w:eastAsia="ar-SA"/>
          </w:rPr>
          <w:t>nezeljenadejstva@calims.me</w:t>
        </w:r>
      </w:hyperlink>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putem IS zdravstvene zaštite</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4.9</w:t>
      </w:r>
      <w:r w:rsidRPr="00563B69">
        <w:rPr>
          <w:rFonts w:ascii="Times New Roman" w:eastAsia="Times New Roman" w:hAnsi="Times New Roman" w:cs="Times New Roman"/>
          <w:b/>
          <w:bCs/>
          <w:lang w:val="sr-Latn-ME" w:eastAsia="ar-SA"/>
        </w:rPr>
        <w:tab/>
        <w:t>Predoziranje i mjere koje je potrebno preduzeti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Kao i sa drugim benzodiazepinima, predoziranje obično ne ugrožava život, osim kada se istovremeno upotrijebe depresori CNS-a (uključujući alkohol).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Prilikom liječenja predoziranja bilo kojim lijekom treba imati na umu mogućnost da je istovremeno uzeto više ljekova.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Poslije oralnog predoziranja benzodiazepinima treba izazvati povraćanje (u roku od sat vremena) ukoliko je pacijent svjestan ili gastričnu lavažu ukoliko je bez svijesti, pri čemu se mora obezbijediti prohodnost disajnih puteva. Ukoliko pražnjenje želuca ne dovede do poboljšanja, potrebno je dati aktivni ugalj da bi se smanjila </w:t>
      </w:r>
      <w:r w:rsidRPr="00563B69">
        <w:rPr>
          <w:rFonts w:ascii="Times New Roman" w:eastAsia="Times New Roman" w:hAnsi="Times New Roman" w:cs="Times New Roman"/>
          <w:lang w:val="sr-Latn-ME" w:eastAsia="ar-SA"/>
        </w:rPr>
        <w:lastRenderedPageBreak/>
        <w:t xml:space="preserve">resorpcija lijeka. Značaj dijalize nije utvrđen. Posebnu pažnju treba obratiti na respiratorne i kardiovaskularne funkcije za vrijeme urgentne terapije.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Manifestacije predoziranja benzodiazepinima obično obuhvataju depresiju CNS-a u različitom stepenu, počev od pomućenja svijesti do kome. U blagim slučajevima simptomi obuhvataju: pomućenje svijesti, mentalnu konfuziju i letargiju, a u težim ataksiju, hipotoniju, hipotenziju, respiratornu depresiju, rijetko komu i u veoma rijetkim slučajevima smrt.</w:t>
      </w:r>
    </w:p>
    <w:p w:rsidR="00D417B2" w:rsidRDefault="00D417B2" w:rsidP="00E43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val="sr-Latn-ME" w:eastAsia="sr-Latn-RS"/>
        </w:rPr>
      </w:pPr>
    </w:p>
    <w:p w:rsidR="00563B69" w:rsidRPr="00563B69" w:rsidRDefault="00563B69" w:rsidP="00E43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val="sr-Latn-ME" w:eastAsia="sr-Latn-RS"/>
        </w:rPr>
      </w:pPr>
      <w:r w:rsidRPr="00563B69">
        <w:rPr>
          <w:rFonts w:ascii="Times New Roman" w:eastAsia="Times New Roman" w:hAnsi="Times New Roman" w:cs="Times New Roman"/>
          <w:color w:val="000000"/>
          <w:lang w:val="sr-Latn-ME" w:eastAsia="sr-Latn-RS"/>
        </w:rPr>
        <w:t>Flumazenil se može koristiti kao dodatak liječenju respiratorne i kardiovaskularne funkcije povezane s predoziranjem.</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5.</w:t>
      </w:r>
      <w:r w:rsidRPr="00563B69">
        <w:rPr>
          <w:rFonts w:ascii="Times New Roman" w:eastAsia="Times New Roman" w:hAnsi="Times New Roman" w:cs="Times New Roman"/>
          <w:b/>
          <w:bCs/>
          <w:lang w:val="sr-Latn-ME" w:eastAsia="ar-SA"/>
        </w:rPr>
        <w:tab/>
        <w:t>FARMAKOLOŠKA PODACI</w:t>
      </w: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5.1</w:t>
      </w:r>
      <w:r w:rsidRPr="00563B69">
        <w:rPr>
          <w:rFonts w:ascii="Times New Roman" w:eastAsia="Times New Roman" w:hAnsi="Times New Roman" w:cs="Times New Roman"/>
          <w:b/>
          <w:bCs/>
          <w:lang w:val="sr-Latn-ME" w:eastAsia="ar-SA"/>
        </w:rPr>
        <w:tab/>
        <w:t>Farmakodinamski podaci</w:t>
      </w:r>
    </w:p>
    <w:p w:rsidR="00563B69" w:rsidRPr="00563B69" w:rsidRDefault="00563B69" w:rsidP="00E43839">
      <w:pPr>
        <w:suppressAutoHyphens/>
        <w:spacing w:after="0" w:line="240" w:lineRule="auto"/>
        <w:ind w:left="360"/>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Farmakoterapijska grupa: anksiolitici; derivati benzodiazepina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ATC kod: N05BA12</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Alprazolam, kao i drugi benzodiazepini, ima jak afinitet za benzodiazepinske receptore u mozgu. Alprazolam olakšava inhibitornu neurotransmitersku aktivnost gama-aminobuterne kiseline, koja je medijator pre i post sinaptičke inhibicije u centralnom nervnom sistemu.</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5.2</w:t>
      </w:r>
      <w:r w:rsidRPr="00563B69">
        <w:rPr>
          <w:rFonts w:ascii="Times New Roman" w:eastAsia="Times New Roman" w:hAnsi="Times New Roman" w:cs="Times New Roman"/>
          <w:b/>
          <w:bCs/>
          <w:lang w:val="sr-Latn-ME" w:eastAsia="ar-SA"/>
        </w:rPr>
        <w:tab/>
        <w:t>Farmakokinetički podaci</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Poslije oralnog uzimanja, maksimalne koncentracije u plazmi pojavljuju se nakon 1,7. Nakon uzimanja pojedinačne doze od 0,5 mg, prosječna maksimalna koncentracija je iznosila 7,1 nanograma/ml. Postoji linearan odnos između doze i koncentracije lijeka u plazmi. Najmanje 80% oralno unijete doze se resorbuje. Oko 70% resorbovane doze veže se za proteine plazme. Alprazolam se ekstenzivno metaboliše u jetri, primarno do hidroksilovanih metabolita, dok se oko 20% doze izlučuje nepromijenjeno. Eliminacija se odvija uglavnom putem bubrega; 80% doze izlučuje se urinom a samo 7% fecesom. Prosječno poluvrijeme eliminacije iznosi 10-12 sati.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5.3</w:t>
      </w:r>
      <w:r w:rsidRPr="00563B69">
        <w:rPr>
          <w:rFonts w:ascii="Times New Roman" w:eastAsia="Times New Roman" w:hAnsi="Times New Roman" w:cs="Times New Roman"/>
          <w:b/>
          <w:bCs/>
          <w:lang w:val="sr-Latn-ME" w:eastAsia="ar-SA"/>
        </w:rPr>
        <w:tab/>
        <w:t>Pretklinički podaci o bezbjednosti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 xml:space="preserve">Alprazolam nije pokazao mutagenost u Ames-ovom testu. Alprazolam nije izazvao hromozomske aberacije u </w:t>
      </w:r>
      <w:r w:rsidRPr="00563B69">
        <w:rPr>
          <w:rFonts w:ascii="Times New Roman" w:eastAsia="Times New Roman" w:hAnsi="Times New Roman" w:cs="Times New Roman"/>
          <w:i/>
          <w:lang w:val="sr-Latn-ME" w:eastAsia="ar-SA"/>
        </w:rPr>
        <w:t>in vivo</w:t>
      </w:r>
      <w:r w:rsidRPr="00563B69">
        <w:rPr>
          <w:rFonts w:ascii="Times New Roman" w:eastAsia="Times New Roman" w:hAnsi="Times New Roman" w:cs="Times New Roman"/>
          <w:lang w:val="sr-Latn-ME" w:eastAsia="ar-SA"/>
        </w:rPr>
        <w:t xml:space="preserve"> mikronukleusnom testu kod pacova pri primjeni maksimalne doze od 100 mg/kg, što je 500 puta veća doza od maksimalne preporučene dnevne doze kod ljudi od 10 mg/dan.</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Nije bilo dokaza o kancerogenom potencijalu tokom dvogodišnjih ispitivanja na životinjskim bioesejima kod pacova u dozama do 30 mg/kg/dan (150 puta većim dozama od  maksimalne preporučene dnevne doze kod ljudi od 10 mg/dan) i kod miševa u dozama do 10 mg/kg/dan (50 puta većim dozama od maksimalne preporučene dnevne doze kod ljudi od 10 mg/dan).</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Alprazolam nije smanjio fertilnost kod pacova u testiranim dozama do 5 mg/kg/dan, što je 25 puta veća doza od maksimalne preporučene dnevne doze kod ljudi od 10 mg/dan.</w:t>
      </w:r>
    </w:p>
    <w:p w:rsidR="00563B69" w:rsidRPr="00563B69" w:rsidRDefault="00563B69" w:rsidP="00E43839">
      <w:pPr>
        <w:suppressAutoHyphens/>
        <w:spacing w:after="0" w:line="240" w:lineRule="auto"/>
        <w:jc w:val="both"/>
        <w:rPr>
          <w:rFonts w:ascii="Times New Roman" w:eastAsia="Times New Roman" w:hAnsi="Times New Roman" w:cs="Times New Roman"/>
          <w:vertAlign w:val="subscript"/>
          <w:lang w:val="sr-Latn-ME" w:eastAsia="ar-SA"/>
        </w:rPr>
      </w:pPr>
      <w:bookmarkStart w:id="0" w:name="_GoBack"/>
      <w:bookmarkEnd w:id="0"/>
      <w:r w:rsidRPr="00563B69">
        <w:rPr>
          <w:rFonts w:ascii="Times New Roman" w:eastAsia="Times New Roman" w:hAnsi="Times New Roman" w:cs="Times New Roman"/>
          <w:lang w:val="sr-Latn-ME" w:eastAsia="ar-SA"/>
        </w:rPr>
        <w:lastRenderedPageBreak/>
        <w:t>Kod pacova koji su tretirani oralnim dozama alprazolama od 3, 10 i 30 mg/kg/dan (15-150 puta većim dozama od maksimalne preporučene dnevne doze kod ljudi od 10 mg/dan) tokom 2 godine, uočena je tendencija dozno zavisnog povećanja u broju opaženih katarakti kod ženki i kornealnih vaskularizacija kod mužjaka. Ove lezije se nijesu pojavljivale u toku prvih 11 mjeseci tretmana.</w:t>
      </w:r>
      <w:r w:rsidRPr="00563B69">
        <w:rPr>
          <w:rFonts w:ascii="Times New Roman" w:eastAsia="Times New Roman" w:hAnsi="Times New Roman" w:cs="Times New Roman"/>
          <w:vertAlign w:val="subscript"/>
          <w:lang w:val="sr-Latn-ME" w:eastAsia="ar-SA"/>
        </w:rPr>
        <w:t xml:space="preserv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563B6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w:t>
      </w:r>
      <w:r w:rsidRPr="00563B69">
        <w:rPr>
          <w:rFonts w:ascii="Times New Roman" w:eastAsia="Times New Roman" w:hAnsi="Times New Roman" w:cs="Times New Roman"/>
          <w:b/>
          <w:bCs/>
          <w:lang w:val="sr-Latn-ME" w:eastAsia="ar-SA"/>
        </w:rPr>
        <w:tab/>
        <w:t>FARMACEUTSKI PODACI</w:t>
      </w: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6.1</w:t>
      </w:r>
      <w:r w:rsidRPr="00563B69">
        <w:rPr>
          <w:rFonts w:ascii="Times New Roman" w:eastAsia="Times New Roman" w:hAnsi="Times New Roman" w:cs="Times New Roman"/>
          <w:b/>
          <w:bCs/>
          <w:lang w:val="sr-Latn-ME" w:eastAsia="ar-SA"/>
        </w:rPr>
        <w:tab/>
        <w:t>Lista pomoćnih supstanci</w:t>
      </w:r>
    </w:p>
    <w:p w:rsidR="00563B69" w:rsidRPr="00563B69" w:rsidRDefault="00563B69" w:rsidP="00E43839">
      <w:pPr>
        <w:suppressAutoHyphens/>
        <w:spacing w:after="0" w:line="240" w:lineRule="auto"/>
        <w:ind w:left="360"/>
        <w:jc w:val="both"/>
        <w:rPr>
          <w:rFonts w:ascii="Times New Roman" w:eastAsia="Times New Roman" w:hAnsi="Times New Roman" w:cs="Times New Roman"/>
          <w:lang w:val="sr-Latn-ME" w:eastAsia="ar-SA"/>
        </w:rPr>
      </w:pPr>
    </w:p>
    <w:p w:rsidR="00563B69" w:rsidRPr="00563B69" w:rsidRDefault="00563B69" w:rsidP="00E43839">
      <w:pPr>
        <w:keepNext/>
        <w:tabs>
          <w:tab w:val="num" w:pos="432"/>
        </w:tabs>
        <w:suppressAutoHyphens/>
        <w:spacing w:after="0" w:line="240" w:lineRule="auto"/>
        <w:ind w:left="432" w:hanging="432"/>
        <w:jc w:val="both"/>
        <w:outlineLvl w:val="0"/>
        <w:rPr>
          <w:rFonts w:ascii="Times New Roman" w:eastAsia="Times New Roman" w:hAnsi="Times New Roman" w:cs="Times New Roman"/>
          <w:b/>
          <w:bCs/>
          <w:kern w:val="1"/>
          <w:lang w:val="sr-Latn-ME" w:eastAsia="ar-SA"/>
        </w:rPr>
      </w:pPr>
      <w:r w:rsidRPr="00563B69">
        <w:rPr>
          <w:rFonts w:ascii="Times New Roman" w:eastAsia="Times New Roman" w:hAnsi="Times New Roman" w:cs="Times New Roman"/>
          <w:b/>
          <w:bCs/>
          <w:kern w:val="1"/>
          <w:lang w:val="sr-Latn-ME" w:eastAsia="ar-SA"/>
        </w:rPr>
        <w:t>Tablete od 0,25 mg</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laktoza monohidrat</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polisorbat 80</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povidon K25</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krospovidon (tip 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kukuruzni skrob</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magnezijum stearat</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keepNext/>
        <w:numPr>
          <w:ilvl w:val="1"/>
          <w:numId w:val="0"/>
        </w:numPr>
        <w:tabs>
          <w:tab w:val="num" w:pos="576"/>
          <w:tab w:val="left" w:pos="4300"/>
          <w:tab w:val="left" w:pos="5940"/>
          <w:tab w:val="left" w:pos="8180"/>
        </w:tabs>
        <w:suppressAutoHyphens/>
        <w:spacing w:after="0" w:line="240" w:lineRule="auto"/>
        <w:ind w:left="576" w:hanging="576"/>
        <w:jc w:val="both"/>
        <w:outlineLvl w:val="1"/>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Tablete od 0,5 mg</w:t>
      </w:r>
    </w:p>
    <w:p w:rsidR="00563B69" w:rsidRPr="00563B69" w:rsidRDefault="00563B69" w:rsidP="00E43839">
      <w:pPr>
        <w:tabs>
          <w:tab w:val="center" w:pos="4320"/>
          <w:tab w:val="right" w:pos="8640"/>
        </w:tabs>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laktoza monohidrat</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polisorbat 80</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povidon K25</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krospovidon (tip 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kukuruzni skrob</w:t>
      </w:r>
    </w:p>
    <w:p w:rsidR="00563B69" w:rsidRPr="00563B69" w:rsidRDefault="00563B69" w:rsidP="00E43839">
      <w:pPr>
        <w:widowControl w:val="0"/>
        <w:spacing w:after="0" w:line="240" w:lineRule="auto"/>
        <w:jc w:val="both"/>
        <w:outlineLvl w:val="0"/>
        <w:rPr>
          <w:rFonts w:ascii="Times New Roman" w:eastAsia="Times New Roman" w:hAnsi="Times New Roman" w:cs="Times New Roman"/>
          <w:noProof/>
          <w:lang w:val="sr-Latn-ME"/>
        </w:rPr>
      </w:pPr>
      <w:r w:rsidRPr="00563B69">
        <w:rPr>
          <w:rFonts w:ascii="Times New Roman" w:eastAsia="Times New Roman" w:hAnsi="Times New Roman" w:cs="Times New Roman"/>
          <w:noProof/>
          <w:lang w:val="sr-Latn-ME"/>
        </w:rPr>
        <w:t>boja karmin (E120)</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magnezijum stearat</w:t>
      </w:r>
    </w:p>
    <w:p w:rsidR="00563B69" w:rsidRPr="00563B69" w:rsidRDefault="00563B69" w:rsidP="00E43839">
      <w:pPr>
        <w:suppressAutoHyphens/>
        <w:spacing w:after="0" w:line="240" w:lineRule="auto"/>
        <w:ind w:left="360"/>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6.2</w:t>
      </w:r>
      <w:r w:rsidRPr="00563B69">
        <w:rPr>
          <w:rFonts w:ascii="Times New Roman" w:eastAsia="Times New Roman" w:hAnsi="Times New Roman" w:cs="Times New Roman"/>
          <w:b/>
          <w:bCs/>
          <w:lang w:val="sr-Latn-ME" w:eastAsia="ar-SA"/>
        </w:rPr>
        <w:tab/>
        <w:t>Inkompatibilnosti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Nije primjenljivo.</w:t>
      </w:r>
    </w:p>
    <w:p w:rsidR="00563B69" w:rsidRPr="00563B69" w:rsidRDefault="00563B69" w:rsidP="00E43839">
      <w:pPr>
        <w:suppressAutoHyphens/>
        <w:spacing w:after="0" w:line="240" w:lineRule="auto"/>
        <w:jc w:val="both"/>
        <w:rPr>
          <w:rFonts w:ascii="Times New Roman" w:eastAsia="Times New Roman" w:hAnsi="Times New Roman" w:cs="Times New Roman"/>
          <w:color w:val="FF0000"/>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6.3</w:t>
      </w:r>
      <w:r w:rsidRPr="00563B69">
        <w:rPr>
          <w:rFonts w:ascii="Times New Roman" w:eastAsia="Times New Roman" w:hAnsi="Times New Roman" w:cs="Times New Roman"/>
          <w:b/>
          <w:bCs/>
          <w:lang w:val="sr-Latn-ME" w:eastAsia="ar-SA"/>
        </w:rPr>
        <w:tab/>
        <w:t>Rok upotrebe</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24 mjeseca.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6.4</w:t>
      </w:r>
      <w:r w:rsidRPr="00563B69">
        <w:rPr>
          <w:rFonts w:ascii="Times New Roman" w:eastAsia="Times New Roman" w:hAnsi="Times New Roman" w:cs="Times New Roman"/>
          <w:b/>
          <w:bCs/>
          <w:lang w:val="sr-Latn-ME" w:eastAsia="ar-SA"/>
        </w:rPr>
        <w:tab/>
        <w:t>Posebne mjere upozorenja pri čuvanju lijeka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sl-SI"/>
        </w:rPr>
      </w:pPr>
      <w:bookmarkStart w:id="1" w:name="OLE_LINK2"/>
      <w:r w:rsidRPr="00563B69">
        <w:rPr>
          <w:rFonts w:ascii="Times New Roman" w:eastAsia="Times New Roman" w:hAnsi="Times New Roman" w:cs="Times New Roman"/>
          <w:lang w:val="sr-Latn-ME" w:eastAsia="sl-SI"/>
        </w:rPr>
        <w:t>Nisu potrebni posebni temperaturni uslovi čuvanja.</w:t>
      </w:r>
    </w:p>
    <w:bookmarkEnd w:id="1"/>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6.5</w:t>
      </w:r>
      <w:r w:rsidRPr="00563B69">
        <w:rPr>
          <w:rFonts w:ascii="Times New Roman" w:eastAsia="Times New Roman" w:hAnsi="Times New Roman" w:cs="Times New Roman"/>
          <w:b/>
          <w:bCs/>
          <w:lang w:val="sr-Latn-ME" w:eastAsia="ar-SA"/>
        </w:rPr>
        <w:tab/>
        <w:t>Vrsta i sadržaj pakovanja: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Blister (Al-folija, PVC/PE/PVDC-folija): 30 tableta od 0,25 mg u blisteru (2 blistera po 15 tableta), u kutiji.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r w:rsidRPr="00563B69">
        <w:rPr>
          <w:rFonts w:ascii="Times New Roman" w:eastAsia="Times New Roman" w:hAnsi="Times New Roman" w:cs="Times New Roman"/>
          <w:lang w:val="sr-Latn-ME" w:eastAsia="ar-SA"/>
        </w:rPr>
        <w:t>Blister (Al-folija, PVC/PE/PVDC-folija): 30 tableta od 0,5 mg u blisteru (2 blistera po 15 tableta), u kutiji.</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6.6</w:t>
      </w:r>
      <w:r w:rsidRPr="00563B69">
        <w:rPr>
          <w:rFonts w:ascii="Times New Roman" w:eastAsia="Times New Roman" w:hAnsi="Times New Roman" w:cs="Times New Roman"/>
          <w:b/>
          <w:bCs/>
          <w:lang w:val="sr-Latn-ME" w:eastAsia="ar-SA"/>
        </w:rPr>
        <w:tab/>
      </w:r>
      <w:r w:rsidRPr="00563B69">
        <w:rPr>
          <w:rFonts w:ascii="Times New Roman" w:eastAsia="Times New Roman" w:hAnsi="Times New Roman" w:cs="Times New Roman"/>
          <w:b/>
          <w:bCs/>
          <w:lang w:val="sr-Latn-ME" w:eastAsia="sl-SI"/>
        </w:rPr>
        <w:t>Posebne mjere opreza pri odlaganju materijala koji treba odbaciti nakon primjene lijeka</w:t>
      </w:r>
      <w:r w:rsidRPr="00563B69">
        <w:rPr>
          <w:rFonts w:ascii="Times New Roman" w:eastAsia="Times New Roman" w:hAnsi="Times New Roman" w:cs="Times New Roman"/>
          <w:b/>
          <w:bCs/>
          <w:lang w:val="sr-Latn-ME" w:eastAsia="ar-SA"/>
        </w:rPr>
        <w:t xml:space="preserv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Neupotrijebljeni lijek se uništava u skladu sa važećim propisima.</w:t>
      </w:r>
    </w:p>
    <w:p w:rsidR="00563B69" w:rsidRPr="00563B69" w:rsidRDefault="00563B69" w:rsidP="00E43839">
      <w:pPr>
        <w:tabs>
          <w:tab w:val="left" w:pos="284"/>
          <w:tab w:val="center" w:pos="4320"/>
          <w:tab w:val="right" w:pos="8640"/>
        </w:tabs>
        <w:spacing w:after="0" w:line="240" w:lineRule="auto"/>
        <w:jc w:val="both"/>
        <w:rPr>
          <w:rFonts w:ascii="Times New Roman" w:eastAsia="Times New Roman" w:hAnsi="Times New Roman" w:cs="Times New Roman"/>
          <w:b/>
          <w:lang w:val="sr-Latn-ME" w:eastAsia="sl-SI"/>
        </w:rPr>
      </w:pPr>
      <w:r w:rsidRPr="00563B69">
        <w:rPr>
          <w:rFonts w:ascii="Times New Roman" w:eastAsia="Times New Roman" w:hAnsi="Times New Roman" w:cs="Times New Roman"/>
          <w:b/>
          <w:lang w:val="sr-Latn-ME" w:eastAsia="sl-SI"/>
        </w:rPr>
        <w:lastRenderedPageBreak/>
        <w:t>6.7. Režim izdavanja lijeka</w:t>
      </w:r>
    </w:p>
    <w:p w:rsidR="00563B69" w:rsidRPr="00563B69" w:rsidRDefault="00563B69" w:rsidP="00E43839">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lang w:val="sr-Latn-ME" w:eastAsia="ar-SA"/>
        </w:rPr>
        <w:t>Neobnovljiv (jednokratni) recept.</w:t>
      </w: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7.</w:t>
      </w:r>
      <w:r w:rsidRPr="00563B69">
        <w:rPr>
          <w:rFonts w:ascii="Times New Roman" w:eastAsia="Times New Roman" w:hAnsi="Times New Roman" w:cs="Times New Roman"/>
          <w:b/>
          <w:bCs/>
          <w:lang w:val="sr-Latn-ME" w:eastAsia="ar-SA"/>
        </w:rPr>
        <w:tab/>
        <w:t xml:space="preserve">NOSILAC DOZVOLE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autoSpaceDE w:val="0"/>
        <w:autoSpaceDN w:val="0"/>
        <w:adjustRightInd w:val="0"/>
        <w:spacing w:after="0" w:line="240" w:lineRule="auto"/>
        <w:ind w:left="1985" w:hanging="1985"/>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D.S.D. „KRKA, d.d., Novo mesto“ - predstavništvo Podgorica,</w:t>
      </w:r>
    </w:p>
    <w:p w:rsidR="00563B69" w:rsidRPr="00563B69" w:rsidRDefault="00563B69" w:rsidP="00E43839">
      <w:pPr>
        <w:autoSpaceDE w:val="0"/>
        <w:autoSpaceDN w:val="0"/>
        <w:adjustRightInd w:val="0"/>
        <w:spacing w:after="0" w:line="240" w:lineRule="auto"/>
        <w:ind w:right="71"/>
        <w:jc w:val="both"/>
        <w:rPr>
          <w:rFonts w:ascii="Times New Roman" w:eastAsia="Times New Roman" w:hAnsi="Times New Roman" w:cs="Times New Roman"/>
          <w:lang w:val="sr-Latn-ME" w:eastAsia="sl-SI"/>
        </w:rPr>
      </w:pPr>
      <w:r w:rsidRPr="00563B69">
        <w:rPr>
          <w:rFonts w:ascii="Times New Roman" w:eastAsia="Times New Roman" w:hAnsi="Times New Roman" w:cs="Times New Roman"/>
          <w:lang w:val="sr-Latn-ME" w:eastAsia="sl-SI"/>
        </w:rPr>
        <w:t>Svetlane Kane Radević br. 3, 81000 Podgorica, Crna Gora</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8.</w:t>
      </w:r>
      <w:r w:rsidRPr="00563B69">
        <w:rPr>
          <w:rFonts w:ascii="Times New Roman" w:eastAsia="Times New Roman" w:hAnsi="Times New Roman" w:cs="Times New Roman"/>
          <w:b/>
          <w:bCs/>
          <w:lang w:val="sr-Latn-ME" w:eastAsia="ar-SA"/>
        </w:rPr>
        <w:tab/>
      </w:r>
      <w:r w:rsidRPr="00563B69">
        <w:rPr>
          <w:rFonts w:ascii="Times New Roman" w:eastAsia="Times New Roman" w:hAnsi="Times New Roman" w:cs="Times New Roman"/>
          <w:b/>
          <w:bCs/>
          <w:lang w:val="sr-Latn-ME" w:eastAsia="sl-SI"/>
        </w:rPr>
        <w:t>BROJ DOZVOLE ZA STAVLJANJE LIJEKA U PROMET</w:t>
      </w:r>
      <w:r w:rsidRPr="00563B69" w:rsidDel="001C354E">
        <w:rPr>
          <w:rFonts w:ascii="Times New Roman" w:eastAsia="Times New Roman" w:hAnsi="Times New Roman" w:cs="Times New Roman"/>
          <w:b/>
          <w:bCs/>
          <w:lang w:val="sr-Latn-ME" w:eastAsia="ar-SA"/>
        </w:rPr>
        <w:t xml:space="preserve"> </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Cs/>
          <w:lang w:val="sr-Latn-ME" w:eastAsia="sl-SI"/>
        </w:rPr>
      </w:pPr>
      <w:r w:rsidRPr="00563B69">
        <w:rPr>
          <w:rFonts w:ascii="Times New Roman" w:eastAsia="Times New Roman" w:hAnsi="Times New Roman" w:cs="Times New Roman"/>
          <w:b/>
          <w:bCs/>
          <w:noProof/>
          <w:snapToGrid w:val="0"/>
          <w:color w:val="FF0000"/>
          <w:lang w:val="sr-Latn-ME" w:eastAsia="sl-SI"/>
        </w:rPr>
        <w:t>▲</w:t>
      </w:r>
      <w:r w:rsidR="00E43839">
        <w:rPr>
          <w:rFonts w:ascii="Times New Roman" w:eastAsia="Times New Roman" w:hAnsi="Times New Roman" w:cs="Times New Roman"/>
          <w:b/>
          <w:bCs/>
          <w:noProof/>
          <w:snapToGrid w:val="0"/>
          <w:color w:val="FF0000"/>
          <w:lang w:val="sr-Latn-ME" w:eastAsia="sl-SI"/>
        </w:rPr>
        <w:t xml:space="preserve"> </w:t>
      </w:r>
      <w:r w:rsidRPr="00563B69">
        <w:rPr>
          <w:rFonts w:ascii="Times New Roman" w:eastAsia="Times New Roman" w:hAnsi="Times New Roman" w:cs="Times New Roman"/>
          <w:bCs/>
          <w:lang w:val="sr-Latn-ME" w:eastAsia="ar-SA"/>
        </w:rPr>
        <w:t xml:space="preserve">Helex, </w:t>
      </w:r>
      <w:r w:rsidRPr="00563B69">
        <w:rPr>
          <w:rFonts w:ascii="Times New Roman" w:eastAsia="Times New Roman" w:hAnsi="Times New Roman" w:cs="Times New Roman"/>
          <w:bCs/>
          <w:lang w:val="sr-Latn-ME" w:eastAsia="sl-SI"/>
        </w:rPr>
        <w:t>tableta, 0,25 mg, blister, 30 (2x15) tableta:</w:t>
      </w:r>
      <w:r w:rsidR="00461B44">
        <w:rPr>
          <w:rFonts w:ascii="Times New Roman" w:eastAsia="Times New Roman" w:hAnsi="Times New Roman" w:cs="Times New Roman"/>
          <w:bCs/>
          <w:lang w:val="sr-Latn-ME" w:eastAsia="sl-SI"/>
        </w:rPr>
        <w:t xml:space="preserve"> </w:t>
      </w:r>
      <w:r w:rsidR="00461B44" w:rsidRPr="00461B44">
        <w:rPr>
          <w:rFonts w:ascii="Times New Roman" w:eastAsia="Times New Roman" w:hAnsi="Times New Roman" w:cs="Times New Roman"/>
          <w:bCs/>
          <w:lang w:val="sr-Latn-ME" w:eastAsia="sl-SI"/>
        </w:rPr>
        <w:t>2030/18/465 - 1357</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Cs/>
          <w:lang w:val="sr-Latn-ME" w:eastAsia="sl-SI"/>
        </w:rPr>
      </w:pPr>
      <w:r w:rsidRPr="00563B69">
        <w:rPr>
          <w:rFonts w:ascii="Times New Roman" w:eastAsia="Times New Roman" w:hAnsi="Times New Roman" w:cs="Times New Roman"/>
          <w:b/>
          <w:bCs/>
          <w:noProof/>
          <w:snapToGrid w:val="0"/>
          <w:color w:val="FF0000"/>
          <w:lang w:val="sr-Latn-ME" w:eastAsia="sl-SI"/>
        </w:rPr>
        <w:t>▲</w:t>
      </w:r>
      <w:r w:rsidR="00E43839">
        <w:rPr>
          <w:rFonts w:ascii="Times New Roman" w:eastAsia="Times New Roman" w:hAnsi="Times New Roman" w:cs="Times New Roman"/>
          <w:b/>
          <w:bCs/>
          <w:noProof/>
          <w:snapToGrid w:val="0"/>
          <w:color w:val="FF0000"/>
          <w:lang w:val="sr-Latn-ME" w:eastAsia="sl-SI"/>
        </w:rPr>
        <w:t xml:space="preserve"> </w:t>
      </w:r>
      <w:r w:rsidRPr="00563B69">
        <w:rPr>
          <w:rFonts w:ascii="Times New Roman" w:eastAsia="Times New Roman" w:hAnsi="Times New Roman" w:cs="Times New Roman"/>
          <w:bCs/>
          <w:lang w:val="sr-Latn-ME" w:eastAsia="ar-SA"/>
        </w:rPr>
        <w:t xml:space="preserve">Helex, </w:t>
      </w:r>
      <w:r w:rsidRPr="00563B69">
        <w:rPr>
          <w:rFonts w:ascii="Times New Roman" w:eastAsia="Times New Roman" w:hAnsi="Times New Roman" w:cs="Times New Roman"/>
          <w:bCs/>
          <w:lang w:val="sr-Latn-ME" w:eastAsia="sl-SI"/>
        </w:rPr>
        <w:t>tableta, 0,5 mg, blister, 30 (2x15) tableta:</w:t>
      </w:r>
      <w:r w:rsidR="00461B44">
        <w:rPr>
          <w:rFonts w:ascii="Times New Roman" w:eastAsia="Times New Roman" w:hAnsi="Times New Roman" w:cs="Times New Roman"/>
          <w:bCs/>
          <w:lang w:val="sr-Latn-ME" w:eastAsia="sl-SI"/>
        </w:rPr>
        <w:t xml:space="preserve"> </w:t>
      </w:r>
      <w:r w:rsidR="00461B44" w:rsidRPr="00461B44">
        <w:rPr>
          <w:rFonts w:ascii="Times New Roman" w:eastAsia="Times New Roman" w:hAnsi="Times New Roman" w:cs="Times New Roman"/>
          <w:bCs/>
          <w:lang w:val="sr-Latn-ME" w:eastAsia="sl-SI"/>
        </w:rPr>
        <w:t>2030/18/466 - 1358</w:t>
      </w: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563B69" w:rsidRPr="00563B69" w:rsidRDefault="00563B69" w:rsidP="00E43839">
      <w:pPr>
        <w:suppressAutoHyphens/>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9.</w:t>
      </w:r>
      <w:r w:rsidRPr="00563B69">
        <w:rPr>
          <w:rFonts w:ascii="Times New Roman" w:eastAsia="Times New Roman" w:hAnsi="Times New Roman" w:cs="Times New Roman"/>
          <w:b/>
          <w:bCs/>
          <w:lang w:val="sr-Latn-ME" w:eastAsia="ar-SA"/>
        </w:rPr>
        <w:tab/>
        <w:t>DATUM PRVE DOZVOLE/OBNOVE DOZVOLE ZA STAVLJANJE LIJEKA U PROMET</w:t>
      </w:r>
    </w:p>
    <w:p w:rsidR="00563B69" w:rsidRPr="00563B69" w:rsidRDefault="00563B69" w:rsidP="00E43839">
      <w:pPr>
        <w:suppressAutoHyphens/>
        <w:spacing w:after="0" w:line="240" w:lineRule="auto"/>
        <w:jc w:val="both"/>
        <w:rPr>
          <w:rFonts w:ascii="Times New Roman" w:eastAsia="Times New Roman" w:hAnsi="Times New Roman" w:cs="Times New Roman"/>
          <w:lang w:val="sr-Latn-ME" w:eastAsia="ar-SA"/>
        </w:rPr>
      </w:pP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Cs/>
          <w:lang w:val="sr-Latn-ME" w:eastAsia="sl-SI"/>
        </w:rPr>
      </w:pPr>
      <w:r w:rsidRPr="00563B69">
        <w:rPr>
          <w:rFonts w:ascii="Times New Roman" w:eastAsia="Times New Roman" w:hAnsi="Times New Roman" w:cs="Times New Roman"/>
          <w:b/>
          <w:bCs/>
          <w:noProof/>
          <w:snapToGrid w:val="0"/>
          <w:color w:val="FF0000"/>
          <w:lang w:val="sr-Latn-ME" w:eastAsia="sl-SI"/>
        </w:rPr>
        <w:t>▲</w:t>
      </w:r>
      <w:r w:rsidR="00E43839">
        <w:rPr>
          <w:rFonts w:ascii="Times New Roman" w:eastAsia="Times New Roman" w:hAnsi="Times New Roman" w:cs="Times New Roman"/>
          <w:b/>
          <w:bCs/>
          <w:noProof/>
          <w:snapToGrid w:val="0"/>
          <w:color w:val="FF0000"/>
          <w:lang w:val="sr-Latn-ME" w:eastAsia="sl-SI"/>
        </w:rPr>
        <w:t xml:space="preserve"> </w:t>
      </w:r>
      <w:r w:rsidRPr="00563B69">
        <w:rPr>
          <w:rFonts w:ascii="Times New Roman" w:eastAsia="Times New Roman" w:hAnsi="Times New Roman" w:cs="Times New Roman"/>
          <w:bCs/>
          <w:lang w:val="sr-Latn-ME" w:eastAsia="ar-SA"/>
        </w:rPr>
        <w:t xml:space="preserve">Helex, </w:t>
      </w:r>
      <w:r w:rsidRPr="00563B69">
        <w:rPr>
          <w:rFonts w:ascii="Times New Roman" w:eastAsia="Times New Roman" w:hAnsi="Times New Roman" w:cs="Times New Roman"/>
          <w:bCs/>
          <w:lang w:val="sr-Latn-ME" w:eastAsia="sl-SI"/>
        </w:rPr>
        <w:t>tableta, 0,25 mg, blister, 30 (2x15) tableta:</w:t>
      </w:r>
      <w:r w:rsidR="00461B44">
        <w:rPr>
          <w:rFonts w:ascii="Times New Roman" w:eastAsia="Times New Roman" w:hAnsi="Times New Roman" w:cs="Times New Roman"/>
          <w:bCs/>
          <w:lang w:val="sr-Latn-ME" w:eastAsia="sl-SI"/>
        </w:rPr>
        <w:t xml:space="preserve"> </w:t>
      </w:r>
      <w:r w:rsidR="00461B44">
        <w:rPr>
          <w:rFonts w:ascii="TimesNewRoman" w:hAnsi="TimesNewRoman" w:cs="TimesNewRoman"/>
        </w:rPr>
        <w:t>03.12.2018. godine</w:t>
      </w:r>
    </w:p>
    <w:p w:rsidR="00563B69" w:rsidRPr="00563B69" w:rsidRDefault="00563B69" w:rsidP="00E43839">
      <w:pPr>
        <w:tabs>
          <w:tab w:val="left" w:pos="567"/>
        </w:tabs>
        <w:suppressAutoHyphens/>
        <w:spacing w:after="0" w:line="240" w:lineRule="auto"/>
        <w:jc w:val="both"/>
        <w:rPr>
          <w:rFonts w:ascii="Times New Roman" w:eastAsia="Times New Roman" w:hAnsi="Times New Roman" w:cs="Times New Roman"/>
          <w:bCs/>
          <w:lang w:val="sr-Latn-ME" w:eastAsia="sl-SI"/>
        </w:rPr>
      </w:pPr>
      <w:r w:rsidRPr="00563B69">
        <w:rPr>
          <w:rFonts w:ascii="Times New Roman" w:eastAsia="Times New Roman" w:hAnsi="Times New Roman" w:cs="Times New Roman"/>
          <w:b/>
          <w:bCs/>
          <w:noProof/>
          <w:snapToGrid w:val="0"/>
          <w:color w:val="FF0000"/>
          <w:lang w:val="sr-Latn-ME" w:eastAsia="sl-SI"/>
        </w:rPr>
        <w:t>▲</w:t>
      </w:r>
      <w:r w:rsidR="00E43839">
        <w:rPr>
          <w:rFonts w:ascii="Times New Roman" w:eastAsia="Times New Roman" w:hAnsi="Times New Roman" w:cs="Times New Roman"/>
          <w:b/>
          <w:bCs/>
          <w:noProof/>
          <w:snapToGrid w:val="0"/>
          <w:color w:val="FF0000"/>
          <w:lang w:val="sr-Latn-ME" w:eastAsia="sl-SI"/>
        </w:rPr>
        <w:t xml:space="preserve"> </w:t>
      </w:r>
      <w:r w:rsidRPr="00563B69">
        <w:rPr>
          <w:rFonts w:ascii="Times New Roman" w:eastAsia="Times New Roman" w:hAnsi="Times New Roman" w:cs="Times New Roman"/>
          <w:bCs/>
          <w:lang w:val="sr-Latn-ME" w:eastAsia="ar-SA"/>
        </w:rPr>
        <w:t xml:space="preserve">Helex, </w:t>
      </w:r>
      <w:r w:rsidRPr="00563B69">
        <w:rPr>
          <w:rFonts w:ascii="Times New Roman" w:eastAsia="Times New Roman" w:hAnsi="Times New Roman" w:cs="Times New Roman"/>
          <w:bCs/>
          <w:lang w:val="sr-Latn-ME" w:eastAsia="sl-SI"/>
        </w:rPr>
        <w:t>tableta, 0,5 mg, blister, 30 (2x15) tableta:</w:t>
      </w:r>
      <w:r w:rsidR="00461B44" w:rsidRPr="00461B44">
        <w:rPr>
          <w:rFonts w:ascii="TimesNewRoman" w:hAnsi="TimesNewRoman" w:cs="TimesNewRoman"/>
        </w:rPr>
        <w:t xml:space="preserve"> </w:t>
      </w:r>
      <w:r w:rsidR="00461B44">
        <w:rPr>
          <w:rFonts w:ascii="TimesNewRoman" w:hAnsi="TimesNewRoman" w:cs="TimesNewRoman"/>
        </w:rPr>
        <w:t>03.12.2018. godine</w:t>
      </w:r>
    </w:p>
    <w:p w:rsidR="00563B69" w:rsidRDefault="00563B69" w:rsidP="00E43839">
      <w:pPr>
        <w:suppressAutoHyphens/>
        <w:spacing w:after="0" w:line="240" w:lineRule="auto"/>
        <w:jc w:val="both"/>
        <w:rPr>
          <w:rFonts w:ascii="Times New Roman" w:eastAsia="Times New Roman" w:hAnsi="Times New Roman" w:cs="Times New Roman"/>
          <w:b/>
          <w:bCs/>
          <w:lang w:val="sr-Latn-ME" w:eastAsia="ar-SA"/>
        </w:rPr>
      </w:pPr>
    </w:p>
    <w:p w:rsidR="00461B44" w:rsidRPr="00563B69" w:rsidRDefault="00461B44" w:rsidP="00E43839">
      <w:pPr>
        <w:suppressAutoHyphens/>
        <w:spacing w:after="0" w:line="240" w:lineRule="auto"/>
        <w:jc w:val="both"/>
        <w:rPr>
          <w:rFonts w:ascii="Times New Roman" w:eastAsia="Times New Roman" w:hAnsi="Times New Roman" w:cs="Times New Roman"/>
          <w:b/>
          <w:bCs/>
          <w:lang w:val="sr-Latn-ME" w:eastAsia="ar-SA"/>
        </w:rPr>
      </w:pPr>
    </w:p>
    <w:p w:rsidR="00563B69" w:rsidRDefault="00563B69" w:rsidP="00E43839">
      <w:pPr>
        <w:spacing w:after="0" w:line="240" w:lineRule="auto"/>
        <w:jc w:val="both"/>
        <w:rPr>
          <w:rFonts w:ascii="Times New Roman" w:eastAsia="Times New Roman" w:hAnsi="Times New Roman" w:cs="Times New Roman"/>
          <w:b/>
          <w:bCs/>
          <w:lang w:val="sr-Latn-ME" w:eastAsia="ar-SA"/>
        </w:rPr>
      </w:pPr>
      <w:r w:rsidRPr="00563B69">
        <w:rPr>
          <w:rFonts w:ascii="Times New Roman" w:eastAsia="Times New Roman" w:hAnsi="Times New Roman" w:cs="Times New Roman"/>
          <w:b/>
          <w:bCs/>
          <w:lang w:val="sr-Latn-ME" w:eastAsia="ar-SA"/>
        </w:rPr>
        <w:t>10.</w:t>
      </w:r>
      <w:r w:rsidRPr="00563B69">
        <w:rPr>
          <w:rFonts w:ascii="Times New Roman" w:eastAsia="Times New Roman" w:hAnsi="Times New Roman" w:cs="Times New Roman"/>
          <w:b/>
          <w:bCs/>
          <w:lang w:val="sr-Latn-ME" w:eastAsia="ar-SA"/>
        </w:rPr>
        <w:tab/>
        <w:t>DATUM REVIZIJE TEKSTA</w:t>
      </w:r>
    </w:p>
    <w:p w:rsidR="00461B44" w:rsidRDefault="00461B44" w:rsidP="00E43839">
      <w:pPr>
        <w:spacing w:after="0" w:line="240" w:lineRule="auto"/>
        <w:jc w:val="both"/>
        <w:rPr>
          <w:rFonts w:ascii="Times New Roman" w:eastAsia="Times New Roman" w:hAnsi="Times New Roman" w:cs="Times New Roman"/>
          <w:b/>
          <w:bCs/>
          <w:lang w:val="sr-Latn-ME" w:eastAsia="ar-SA"/>
        </w:rPr>
      </w:pPr>
    </w:p>
    <w:p w:rsidR="00461B44" w:rsidRDefault="00461B44" w:rsidP="00E43839">
      <w:pPr>
        <w:spacing w:after="0" w:line="240" w:lineRule="auto"/>
        <w:jc w:val="both"/>
        <w:rPr>
          <w:rFonts w:ascii="Times New Roman" w:eastAsia="Times New Roman" w:hAnsi="Times New Roman" w:cs="Times New Roman"/>
          <w:bCs/>
          <w:lang w:val="sr-Latn-ME" w:eastAsia="ar-SA"/>
        </w:rPr>
      </w:pPr>
      <w:r w:rsidRPr="00461B44">
        <w:rPr>
          <w:rFonts w:ascii="Times New Roman" w:eastAsia="Times New Roman" w:hAnsi="Times New Roman" w:cs="Times New Roman"/>
          <w:bCs/>
          <w:lang w:val="sr-Latn-ME" w:eastAsia="ar-SA"/>
        </w:rPr>
        <w:t>Decembar, 2018. godine</w:t>
      </w:r>
    </w:p>
    <w:p w:rsidR="00461B44" w:rsidRPr="00461B44" w:rsidRDefault="00461B44" w:rsidP="00E43839">
      <w:pPr>
        <w:spacing w:after="0" w:line="240" w:lineRule="auto"/>
        <w:jc w:val="both"/>
        <w:rPr>
          <w:rFonts w:ascii="Times New Roman" w:eastAsia="Times New Roman" w:hAnsi="Times New Roman" w:cs="Times New Roman"/>
          <w:bCs/>
          <w:lang w:val="sr-Latn-ME" w:eastAsia="ar-SA"/>
        </w:rPr>
      </w:pPr>
    </w:p>
    <w:sectPr w:rsidR="00461B44" w:rsidRPr="00461B44"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3E" w:rsidRDefault="00796A3E" w:rsidP="00FF2B5A">
      <w:pPr>
        <w:spacing w:after="0" w:line="240" w:lineRule="auto"/>
      </w:pPr>
      <w:r>
        <w:separator/>
      </w:r>
    </w:p>
  </w:endnote>
  <w:endnote w:type="continuationSeparator" w:id="0">
    <w:p w:rsidR="00796A3E" w:rsidRDefault="00796A3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417B2">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417B2">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3E" w:rsidRDefault="00796A3E" w:rsidP="00FF2B5A">
      <w:pPr>
        <w:spacing w:after="0" w:line="240" w:lineRule="auto"/>
      </w:pPr>
      <w:r>
        <w:separator/>
      </w:r>
    </w:p>
  </w:footnote>
  <w:footnote w:type="continuationSeparator" w:id="0">
    <w:p w:rsidR="00796A3E" w:rsidRDefault="00796A3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27913"/>
    <w:multiLevelType w:val="hybridMultilevel"/>
    <w:tmpl w:val="21C27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461135"/>
    <w:rsid w:val="00461B44"/>
    <w:rsid w:val="00563B69"/>
    <w:rsid w:val="00747C4B"/>
    <w:rsid w:val="00796A3E"/>
    <w:rsid w:val="00805838"/>
    <w:rsid w:val="0087033C"/>
    <w:rsid w:val="00883AF2"/>
    <w:rsid w:val="009318B4"/>
    <w:rsid w:val="00934541"/>
    <w:rsid w:val="00A06058"/>
    <w:rsid w:val="00AF30B1"/>
    <w:rsid w:val="00B234CE"/>
    <w:rsid w:val="00B34AF2"/>
    <w:rsid w:val="00C4240B"/>
    <w:rsid w:val="00C606D3"/>
    <w:rsid w:val="00D417B2"/>
    <w:rsid w:val="00D45AFE"/>
    <w:rsid w:val="00DA1FB0"/>
    <w:rsid w:val="00E0627A"/>
    <w:rsid w:val="00E43839"/>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25FA-C0F4-4322-8791-D5EC53B0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3755</Words>
  <Characters>21409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7</cp:revision>
  <dcterms:created xsi:type="dcterms:W3CDTF">2017-06-23T09:30:00Z</dcterms:created>
  <dcterms:modified xsi:type="dcterms:W3CDTF">2019-03-08T06:36:00Z</dcterms:modified>
</cp:coreProperties>
</file>