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484" w:rsidRPr="0073562A" w:rsidRDefault="00AC4484" w:rsidP="00AC4484">
      <w:pPr>
        <w:tabs>
          <w:tab w:val="left" w:pos="0"/>
          <w:tab w:val="left" w:pos="360"/>
        </w:tabs>
        <w:spacing w:after="0" w:line="240" w:lineRule="auto"/>
        <w:rPr>
          <w:rFonts w:ascii="Times New Roman" w:eastAsia="Times New Roman" w:hAnsi="Times New Roman" w:cs="Times New Roman"/>
          <w:b/>
          <w:bCs/>
          <w:i/>
          <w:iCs/>
          <w:u w:val="single"/>
          <w:lang w:val="sr-Latn-ME"/>
        </w:rPr>
      </w:pPr>
      <w:bookmarkStart w:id="0" w:name="_GoBack"/>
      <w:bookmarkEnd w:id="0"/>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AC4484" w:rsidRPr="0073562A" w:rsidTr="008E17AF">
        <w:trPr>
          <w:trHeight w:val="530"/>
          <w:jc w:val="center"/>
        </w:trPr>
        <w:tc>
          <w:tcPr>
            <w:tcW w:w="9360" w:type="dxa"/>
            <w:gridSpan w:val="2"/>
            <w:vAlign w:val="center"/>
          </w:tcPr>
          <w:p w:rsidR="00AC4484" w:rsidRPr="0073562A" w:rsidRDefault="00AC4484" w:rsidP="00AC4484">
            <w:pPr>
              <w:tabs>
                <w:tab w:val="left" w:pos="0"/>
              </w:tabs>
              <w:spacing w:after="0" w:line="240" w:lineRule="auto"/>
              <w:jc w:val="center"/>
              <w:rPr>
                <w:rFonts w:ascii="Times New Roman" w:eastAsia="Times New Roman" w:hAnsi="Times New Roman" w:cs="Times New Roman"/>
                <w:b/>
                <w:bCs/>
                <w:iCs/>
                <w:u w:val="single"/>
                <w:lang w:val="sr-Latn-ME"/>
              </w:rPr>
            </w:pPr>
            <w:r w:rsidRPr="0073562A">
              <w:rPr>
                <w:rFonts w:ascii="Times New Roman" w:eastAsia="Times New Roman" w:hAnsi="Times New Roman" w:cs="Times New Roman"/>
                <w:b/>
                <w:bCs/>
                <w:iCs/>
                <w:u w:val="single"/>
                <w:lang w:val="sr-Latn-ME"/>
              </w:rPr>
              <w:t>SAŽETAK KARAKTERISTIKA LIJEKA</w:t>
            </w:r>
          </w:p>
        </w:tc>
      </w:tr>
      <w:tr w:rsidR="00AC4484" w:rsidRPr="0073562A" w:rsidTr="008E17AF">
        <w:trPr>
          <w:trHeight w:val="1969"/>
          <w:jc w:val="center"/>
        </w:trPr>
        <w:tc>
          <w:tcPr>
            <w:tcW w:w="9360" w:type="dxa"/>
            <w:gridSpan w:val="2"/>
            <w:vAlign w:val="bottom"/>
          </w:tcPr>
          <w:p w:rsidR="00AC4484" w:rsidRPr="0073562A" w:rsidRDefault="00AC4484" w:rsidP="00AC4484">
            <w:pPr>
              <w:tabs>
                <w:tab w:val="left" w:pos="0"/>
              </w:tabs>
              <w:spacing w:after="40" w:line="240" w:lineRule="auto"/>
              <w:jc w:val="center"/>
              <w:rPr>
                <w:rFonts w:ascii="Times New Roman" w:eastAsia="Times New Roman" w:hAnsi="Times New Roman" w:cs="Times New Roman"/>
                <w:b/>
                <w:bCs/>
                <w:u w:val="single"/>
                <w:lang w:val="sr-Latn-ME"/>
              </w:rPr>
            </w:pPr>
            <w:r w:rsidRPr="0073562A">
              <w:rPr>
                <w:rFonts w:ascii="Times New Roman" w:eastAsia="Times New Roman" w:hAnsi="Times New Roman" w:cs="Times New Roman"/>
                <w:b/>
                <w:bCs/>
                <w:lang w:val="sr-Latn-ME"/>
              </w:rPr>
              <w:t>Δ Tylolfen</w:t>
            </w:r>
            <w:r w:rsidRPr="0073562A">
              <w:rPr>
                <w:rFonts w:ascii="Times New Roman" w:eastAsia="Times New Roman" w:hAnsi="Times New Roman" w:cs="Times New Roman"/>
                <w:b/>
                <w:bCs/>
                <w:vertAlign w:val="superscript"/>
                <w:lang w:val="sr-Latn-ME"/>
              </w:rPr>
              <w:t xml:space="preserve">® </w:t>
            </w:r>
            <w:r w:rsidRPr="0073562A">
              <w:rPr>
                <w:rFonts w:ascii="Times New Roman" w:eastAsia="Times New Roman" w:hAnsi="Times New Roman" w:cs="Times New Roman"/>
                <w:b/>
                <w:bCs/>
                <w:lang w:val="sr-Latn-ME"/>
              </w:rPr>
              <w:t>Hot, šumeće granule, 500mg + 10mg + 4mg, kesica, 12 x 20g</w:t>
            </w:r>
          </w:p>
        </w:tc>
      </w:tr>
      <w:tr w:rsidR="00AC4484" w:rsidRPr="0073562A" w:rsidTr="008E17AF">
        <w:trPr>
          <w:trHeight w:val="1225"/>
          <w:jc w:val="center"/>
        </w:trPr>
        <w:tc>
          <w:tcPr>
            <w:tcW w:w="9360" w:type="dxa"/>
            <w:gridSpan w:val="2"/>
          </w:tcPr>
          <w:p w:rsidR="00AC4484" w:rsidRPr="0073562A" w:rsidRDefault="00AC4484" w:rsidP="00AC4484">
            <w:pPr>
              <w:keepNext/>
              <w:tabs>
                <w:tab w:val="left" w:pos="0"/>
                <w:tab w:val="left" w:pos="284"/>
              </w:tabs>
              <w:spacing w:after="0" w:line="240" w:lineRule="auto"/>
              <w:jc w:val="center"/>
              <w:outlineLvl w:val="1"/>
              <w:rPr>
                <w:rFonts w:ascii="Times New Roman" w:eastAsia="Times New Roman" w:hAnsi="Times New Roman" w:cs="Times New Roman"/>
                <w:iCs/>
                <w:color w:val="808080"/>
                <w:lang w:val="sr-Latn-ME"/>
              </w:rPr>
            </w:pPr>
          </w:p>
        </w:tc>
      </w:tr>
      <w:tr w:rsidR="00AC4484" w:rsidRPr="0073562A" w:rsidTr="008E17AF">
        <w:trPr>
          <w:jc w:val="center"/>
        </w:trPr>
        <w:tc>
          <w:tcPr>
            <w:tcW w:w="2160" w:type="dxa"/>
            <w:vAlign w:val="bottom"/>
          </w:tcPr>
          <w:p w:rsidR="00AC4484" w:rsidRPr="0073562A" w:rsidRDefault="00AC4484" w:rsidP="00AC4484">
            <w:pPr>
              <w:tabs>
                <w:tab w:val="left" w:pos="0"/>
              </w:tabs>
              <w:spacing w:before="200" w:after="0" w:line="240" w:lineRule="auto"/>
              <w:jc w:val="right"/>
              <w:rPr>
                <w:rFonts w:ascii="Times New Roman" w:eastAsia="Times New Roman" w:hAnsi="Times New Roman" w:cs="Times New Roman"/>
                <w:lang w:val="sr-Latn-ME"/>
              </w:rPr>
            </w:pPr>
            <w:r w:rsidRPr="0073562A">
              <w:rPr>
                <w:rFonts w:ascii="Times New Roman" w:eastAsia="Times New Roman" w:hAnsi="Times New Roman" w:cs="Times New Roman"/>
                <w:lang w:val="sr-Latn-ME"/>
              </w:rPr>
              <w:t>Proizvođač:</w:t>
            </w:r>
          </w:p>
        </w:tc>
        <w:tc>
          <w:tcPr>
            <w:tcW w:w="7200" w:type="dxa"/>
            <w:vAlign w:val="bottom"/>
          </w:tcPr>
          <w:p w:rsidR="00AC4484" w:rsidRPr="0073562A" w:rsidRDefault="00AC4484" w:rsidP="00AC4484">
            <w:pPr>
              <w:tabs>
                <w:tab w:val="left" w:pos="0"/>
              </w:tabs>
              <w:spacing w:before="200" w:after="0" w:line="240" w:lineRule="auto"/>
              <w:ind w:left="72" w:hanging="72"/>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NOBEL ILAC SANAYII VE TICARET A.S.</w:t>
            </w:r>
          </w:p>
        </w:tc>
      </w:tr>
      <w:tr w:rsidR="00AC4484" w:rsidRPr="0073562A" w:rsidTr="008E17AF">
        <w:trPr>
          <w:jc w:val="center"/>
        </w:trPr>
        <w:tc>
          <w:tcPr>
            <w:tcW w:w="2160" w:type="dxa"/>
            <w:vAlign w:val="bottom"/>
          </w:tcPr>
          <w:p w:rsidR="00AC4484" w:rsidRPr="0073562A" w:rsidRDefault="00AC4484" w:rsidP="00AC4484">
            <w:pPr>
              <w:tabs>
                <w:tab w:val="left" w:pos="0"/>
              </w:tabs>
              <w:spacing w:before="200" w:after="0" w:line="240" w:lineRule="auto"/>
              <w:jc w:val="right"/>
              <w:rPr>
                <w:rFonts w:ascii="Times New Roman" w:eastAsia="Times New Roman" w:hAnsi="Times New Roman" w:cs="Times New Roman"/>
                <w:lang w:val="sr-Latn-ME"/>
              </w:rPr>
            </w:pPr>
            <w:r w:rsidRPr="0073562A">
              <w:rPr>
                <w:rFonts w:ascii="Times New Roman" w:eastAsia="Times New Roman" w:hAnsi="Times New Roman" w:cs="Times New Roman"/>
                <w:lang w:val="sr-Latn-ME"/>
              </w:rPr>
              <w:t>Adresa:</w:t>
            </w:r>
          </w:p>
        </w:tc>
        <w:tc>
          <w:tcPr>
            <w:tcW w:w="7200" w:type="dxa"/>
            <w:vAlign w:val="bottom"/>
          </w:tcPr>
          <w:p w:rsidR="00AC4484" w:rsidRPr="0073562A" w:rsidRDefault="00AC4484" w:rsidP="008324EF">
            <w:pPr>
              <w:tabs>
                <w:tab w:val="left" w:pos="0"/>
              </w:tabs>
              <w:spacing w:before="200" w:after="0" w:line="240" w:lineRule="auto"/>
              <w:ind w:left="72" w:hanging="72"/>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Sancaklar Mh. Eski Akcakoca Cad. No</w:t>
            </w:r>
            <w:r w:rsidR="008324EF">
              <w:rPr>
                <w:rFonts w:ascii="Times New Roman" w:eastAsia="Times New Roman" w:hAnsi="Times New Roman" w:cs="Times New Roman"/>
                <w:b/>
                <w:bCs/>
                <w:lang w:val="sr-Latn-ME"/>
              </w:rPr>
              <w:t>.</w:t>
            </w:r>
            <w:r w:rsidRPr="0073562A">
              <w:rPr>
                <w:rFonts w:ascii="Times New Roman" w:eastAsia="Times New Roman" w:hAnsi="Times New Roman" w:cs="Times New Roman"/>
                <w:b/>
                <w:bCs/>
                <w:lang w:val="sr-Latn-ME"/>
              </w:rPr>
              <w:t xml:space="preserve"> 299, 81100 Duzce, Turska</w:t>
            </w:r>
          </w:p>
        </w:tc>
      </w:tr>
      <w:tr w:rsidR="00AC4484" w:rsidRPr="0073562A" w:rsidTr="008E17AF">
        <w:trPr>
          <w:jc w:val="center"/>
        </w:trPr>
        <w:tc>
          <w:tcPr>
            <w:tcW w:w="2160" w:type="dxa"/>
            <w:vAlign w:val="bottom"/>
          </w:tcPr>
          <w:p w:rsidR="00AC4484" w:rsidRPr="0073562A" w:rsidRDefault="00AC4484" w:rsidP="00AC4484">
            <w:pPr>
              <w:tabs>
                <w:tab w:val="left" w:pos="0"/>
              </w:tabs>
              <w:spacing w:before="200" w:after="0" w:line="240" w:lineRule="auto"/>
              <w:jc w:val="right"/>
              <w:rPr>
                <w:rFonts w:ascii="Times New Roman" w:eastAsia="Times New Roman" w:hAnsi="Times New Roman" w:cs="Times New Roman"/>
                <w:lang w:val="sr-Latn-ME"/>
              </w:rPr>
            </w:pPr>
            <w:r w:rsidRPr="0073562A">
              <w:rPr>
                <w:rFonts w:ascii="Times New Roman" w:eastAsia="Times New Roman" w:hAnsi="Times New Roman" w:cs="Times New Roman"/>
                <w:lang w:val="sr-Latn-ME"/>
              </w:rPr>
              <w:t>Podnosilac zahtjeva:</w:t>
            </w:r>
          </w:p>
        </w:tc>
        <w:tc>
          <w:tcPr>
            <w:tcW w:w="7200" w:type="dxa"/>
            <w:vAlign w:val="bottom"/>
          </w:tcPr>
          <w:p w:rsidR="00AC4484" w:rsidRPr="0073562A" w:rsidRDefault="00AC4484" w:rsidP="00AC4484">
            <w:pPr>
              <w:tabs>
                <w:tab w:val="left" w:pos="0"/>
              </w:tabs>
              <w:spacing w:before="200" w:after="0" w:line="240" w:lineRule="auto"/>
              <w:ind w:left="72" w:hanging="72"/>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“NOBEL’’ D.O.O. PODGORICA</w:t>
            </w:r>
          </w:p>
        </w:tc>
      </w:tr>
      <w:tr w:rsidR="00AC4484" w:rsidRPr="0073562A" w:rsidTr="008E17AF">
        <w:trPr>
          <w:jc w:val="center"/>
        </w:trPr>
        <w:tc>
          <w:tcPr>
            <w:tcW w:w="2160" w:type="dxa"/>
            <w:vAlign w:val="bottom"/>
          </w:tcPr>
          <w:p w:rsidR="00AC4484" w:rsidRPr="0073562A" w:rsidRDefault="00AC4484" w:rsidP="00AC4484">
            <w:pPr>
              <w:tabs>
                <w:tab w:val="left" w:pos="0"/>
              </w:tabs>
              <w:spacing w:before="200" w:after="0" w:line="240" w:lineRule="auto"/>
              <w:jc w:val="right"/>
              <w:rPr>
                <w:rFonts w:ascii="Times New Roman" w:eastAsia="Times New Roman" w:hAnsi="Times New Roman" w:cs="Times New Roman"/>
                <w:lang w:val="sr-Latn-ME"/>
              </w:rPr>
            </w:pPr>
            <w:r w:rsidRPr="0073562A">
              <w:rPr>
                <w:rFonts w:ascii="Times New Roman" w:eastAsia="Times New Roman" w:hAnsi="Times New Roman" w:cs="Times New Roman"/>
                <w:lang w:val="sr-Latn-ME"/>
              </w:rPr>
              <w:t>Adresa:</w:t>
            </w:r>
          </w:p>
        </w:tc>
        <w:tc>
          <w:tcPr>
            <w:tcW w:w="7200" w:type="dxa"/>
            <w:vAlign w:val="bottom"/>
          </w:tcPr>
          <w:p w:rsidR="00AC4484" w:rsidRPr="0073562A" w:rsidRDefault="00AC4484" w:rsidP="00AC4484">
            <w:pPr>
              <w:tabs>
                <w:tab w:val="left" w:pos="0"/>
              </w:tabs>
              <w:spacing w:before="200" w:after="0" w:line="240" w:lineRule="auto"/>
              <w:ind w:left="72" w:hanging="72"/>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Aerodromska b.b., Podgorica, Crna Gora</w:t>
            </w:r>
          </w:p>
        </w:tc>
      </w:tr>
    </w:tbl>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i/>
          <w:iCs/>
          <w:u w:val="single"/>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color w:val="808080"/>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i/>
          <w:color w:val="808080"/>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i/>
          <w:color w:val="808080"/>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i/>
          <w:color w:val="808080"/>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i/>
          <w:color w:val="808080"/>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i/>
          <w:color w:val="808080"/>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i/>
          <w:color w:val="808080"/>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color w:val="808080"/>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color w:val="808080"/>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lastRenderedPageBreak/>
        <w:t>1.</w:t>
      </w:r>
      <w:r w:rsidRPr="0073562A">
        <w:rPr>
          <w:rFonts w:ascii="Times New Roman" w:eastAsia="Times New Roman" w:hAnsi="Times New Roman" w:cs="Times New Roman"/>
          <w:b/>
          <w:bCs/>
          <w:lang w:val="sr-Latn-ME"/>
        </w:rPr>
        <w:tab/>
        <w:t>NAZIV LIJEKA</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
          <w:bCs/>
          <w:u w:val="single"/>
          <w:lang w:val="sr-Latn-ME"/>
        </w:rPr>
      </w:pPr>
      <w:r w:rsidRPr="0073562A">
        <w:rPr>
          <w:rFonts w:ascii="Times New Roman" w:eastAsia="Times New Roman" w:hAnsi="Times New Roman" w:cs="Times New Roman"/>
          <w:bCs/>
          <w:lang w:val="sr-Latn-ME"/>
        </w:rPr>
        <w:t>Δ Tylolfen</w:t>
      </w:r>
      <w:r w:rsidRPr="0073562A">
        <w:rPr>
          <w:rFonts w:ascii="Times New Roman" w:eastAsia="Times New Roman" w:hAnsi="Times New Roman" w:cs="Times New Roman"/>
          <w:bCs/>
          <w:vertAlign w:val="superscript"/>
          <w:lang w:val="sr-Latn-ME"/>
        </w:rPr>
        <w:t xml:space="preserve">® </w:t>
      </w:r>
      <w:r w:rsidRPr="0073562A">
        <w:rPr>
          <w:rFonts w:ascii="Times New Roman" w:eastAsia="Times New Roman" w:hAnsi="Times New Roman" w:cs="Times New Roman"/>
          <w:bCs/>
          <w:lang w:val="sr-Latn-ME"/>
        </w:rPr>
        <w:t>Hot, 500mg + 10mg + 4mg, šumeće granule</w:t>
      </w:r>
    </w:p>
    <w:p w:rsidR="00AC4484" w:rsidRPr="0073562A" w:rsidRDefault="00AC4484" w:rsidP="00AC4484">
      <w:pPr>
        <w:tabs>
          <w:tab w:val="left" w:pos="0"/>
        </w:tabs>
        <w:spacing w:after="0" w:line="240" w:lineRule="auto"/>
        <w:rPr>
          <w:rFonts w:ascii="Times New Roman" w:eastAsia="Times New Roman" w:hAnsi="Times New Roman" w:cs="Times New Roman"/>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i/>
          <w:lang w:val="sr-Latn-ME"/>
        </w:rPr>
      </w:pPr>
      <w:r w:rsidRPr="0073562A">
        <w:rPr>
          <w:rFonts w:ascii="Times New Roman" w:eastAsia="Times New Roman" w:hAnsi="Times New Roman" w:cs="Times New Roman"/>
          <w:lang w:val="sr-Latn-ME"/>
        </w:rPr>
        <w:t>INN:</w:t>
      </w:r>
      <w:r w:rsidRPr="0073562A">
        <w:rPr>
          <w:rFonts w:ascii="Times New Roman" w:eastAsia="Microsoft Sans Serif" w:hAnsi="Times New Roman" w:cs="Times New Roman"/>
          <w:i/>
          <w:lang w:val="sr-Latn-ME"/>
        </w:rPr>
        <w:t xml:space="preserve"> </w:t>
      </w:r>
      <w:r w:rsidRPr="0073562A">
        <w:rPr>
          <w:rFonts w:ascii="Times New Roman" w:eastAsia="Times New Roman" w:hAnsi="Times New Roman" w:cs="Times New Roman"/>
          <w:lang w:val="sr-Latn-ME"/>
        </w:rPr>
        <w:t>paracetamol, fenilefrin, hlorfenamin</w:t>
      </w:r>
    </w:p>
    <w:p w:rsidR="00AC4484" w:rsidRPr="0073562A" w:rsidRDefault="00AC4484" w:rsidP="00AC4484">
      <w:pPr>
        <w:tabs>
          <w:tab w:val="left" w:pos="0"/>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2. </w:t>
      </w:r>
      <w:r w:rsidRPr="0073562A">
        <w:rPr>
          <w:rFonts w:ascii="Times New Roman" w:eastAsia="Times New Roman" w:hAnsi="Times New Roman" w:cs="Times New Roman"/>
          <w:b/>
          <w:bCs/>
          <w:lang w:val="sr-Latn-ME"/>
        </w:rPr>
        <w:tab/>
        <w:t>KVALITATIVNI I KVANTITATIVNI SASTAV</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lang w:val="sr-Latn-ME"/>
        </w:rPr>
      </w:pPr>
      <w:r w:rsidRPr="0073562A">
        <w:rPr>
          <w:rFonts w:ascii="Times New Roman" w:eastAsia="Times New Roman" w:hAnsi="Times New Roman" w:cs="Times New Roman"/>
          <w:lang w:val="sr-Latn-ME"/>
        </w:rPr>
        <w:t>Jedna kesica lijeka Tylolfen Hot sadrži 500 mg paracetamola, 10 mg fenilefrin hidrohlorida i 4 mg hlorfenamin maleata.</w:t>
      </w:r>
    </w:p>
    <w:p w:rsidR="00AC4484" w:rsidRPr="0073562A" w:rsidRDefault="00AC4484" w:rsidP="00AC4484">
      <w:pPr>
        <w:tabs>
          <w:tab w:val="left" w:pos="0"/>
        </w:tabs>
        <w:spacing w:after="0" w:line="240" w:lineRule="auto"/>
        <w:rPr>
          <w:rFonts w:ascii="Times New Roman" w:eastAsia="Times New Roman" w:hAnsi="Times New Roman" w:cs="Times New Roman"/>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3. </w:t>
      </w:r>
      <w:r w:rsidRPr="0073562A">
        <w:rPr>
          <w:rFonts w:ascii="Times New Roman" w:eastAsia="Times New Roman" w:hAnsi="Times New Roman" w:cs="Times New Roman"/>
          <w:b/>
          <w:bCs/>
          <w:lang w:val="sr-Latn-ME"/>
        </w:rPr>
        <w:tab/>
        <w:t>FARMACEUTSKI OBLIK</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Šumeće granule.</w:t>
      </w:r>
    </w:p>
    <w:p w:rsidR="00AC4484" w:rsidRPr="0073562A" w:rsidRDefault="00AC4484" w:rsidP="00AC4484">
      <w:pPr>
        <w:tabs>
          <w:tab w:val="left" w:pos="0"/>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Granulirani prašak bjeličasto-žute boje, mirisa na limun.</w:t>
      </w:r>
    </w:p>
    <w:p w:rsidR="00AC4484" w:rsidRPr="0073562A" w:rsidRDefault="00AC4484" w:rsidP="00AC4484">
      <w:pPr>
        <w:tabs>
          <w:tab w:val="left" w:pos="0"/>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4. </w:t>
      </w:r>
      <w:r w:rsidRPr="0073562A">
        <w:rPr>
          <w:rFonts w:ascii="Times New Roman" w:eastAsia="Times New Roman" w:hAnsi="Times New Roman" w:cs="Times New Roman"/>
          <w:b/>
          <w:bCs/>
          <w:lang w:val="sr-Latn-ME"/>
        </w:rPr>
        <w:tab/>
        <w:t>KLINIČKI PODACI</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4.1. </w:t>
      </w:r>
      <w:r w:rsidRPr="0073562A">
        <w:rPr>
          <w:rFonts w:ascii="Times New Roman" w:eastAsia="Times New Roman" w:hAnsi="Times New Roman" w:cs="Times New Roman"/>
          <w:b/>
          <w:bCs/>
          <w:lang w:val="sr-Latn-ME"/>
        </w:rPr>
        <w:tab/>
        <w:t>Terapijske indikacije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Lijek Tylolfen Hot</w:t>
      </w:r>
      <w:r w:rsidRPr="0073562A">
        <w:rPr>
          <w:rFonts w:ascii="Times New Roman" w:eastAsia="Times New Roman" w:hAnsi="Times New Roman" w:cs="Times New Roman"/>
          <w:b/>
          <w:bCs/>
          <w:lang w:val="sr-Latn-ME"/>
        </w:rPr>
        <w:t xml:space="preserve"> </w:t>
      </w:r>
      <w:r w:rsidRPr="0073562A">
        <w:rPr>
          <w:rFonts w:ascii="Times New Roman" w:eastAsia="Times New Roman" w:hAnsi="Times New Roman" w:cs="Times New Roman"/>
          <w:bCs/>
          <w:lang w:val="sr-Latn-ME"/>
        </w:rPr>
        <w:t>je indikovan za ublažavanje simptoma prehlade i gripa.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4.2. </w:t>
      </w:r>
      <w:r w:rsidRPr="0073562A">
        <w:rPr>
          <w:rFonts w:ascii="Times New Roman" w:eastAsia="Times New Roman" w:hAnsi="Times New Roman" w:cs="Times New Roman"/>
          <w:b/>
          <w:bCs/>
          <w:lang w:val="sr-Latn-ME"/>
        </w:rPr>
        <w:tab/>
        <w:t>Doziranje i način primjene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Tylolfen Hot se uzima oralno, kao što je dolje navedeno:</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 xml:space="preserve">Sadržaj svake kesice treba rastvoriti u 160 ml vruće vode (= šolja standardne veličine) i popiti odmah, bez čekanja. U slučaju ponovne primjene, potrebno je napraviti razmak od 6 sati. Preporučena maksimalna dnevna doza je </w:t>
      </w:r>
      <w:r w:rsidRPr="0073562A">
        <w:rPr>
          <w:rFonts w:ascii="Times New Roman" w:eastAsia="Times New Roman" w:hAnsi="Times New Roman" w:cs="Times New Roman"/>
          <w:b/>
          <w:bCs/>
          <w:lang w:val="sr-Latn-ME"/>
        </w:rPr>
        <w:t>4 kesice</w:t>
      </w:r>
      <w:r w:rsidRPr="0073562A">
        <w:rPr>
          <w:rFonts w:ascii="Times New Roman" w:eastAsia="Times New Roman" w:hAnsi="Times New Roman" w:cs="Times New Roman"/>
          <w:bCs/>
          <w:lang w:val="sr-Latn-ME"/>
        </w:rPr>
        <w:t>.</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Lijek Tylolfen Hot nije namijenjen djeci mlađoj od 12 godina.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Ukoliko se simptomi zadrže nakon 3 dana primjene, konsultovati se sa ljekarom.</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4.3. </w:t>
      </w:r>
      <w:r w:rsidRPr="0073562A">
        <w:rPr>
          <w:rFonts w:ascii="Times New Roman" w:eastAsia="Times New Roman" w:hAnsi="Times New Roman" w:cs="Times New Roman"/>
          <w:b/>
          <w:bCs/>
          <w:lang w:val="sr-Latn-ME"/>
        </w:rPr>
        <w:tab/>
        <w:t>Kontraindikacije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numPr>
          <w:ilvl w:val="0"/>
          <w:numId w:val="1"/>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Preosjetljivost na paracetamol, fenilefrin, hlorfenamin ili bilo koju od pomoćnih supstanci.</w:t>
      </w:r>
    </w:p>
    <w:p w:rsidR="00AC4484" w:rsidRPr="0073562A" w:rsidRDefault="00AC4484" w:rsidP="00AC4484">
      <w:pPr>
        <w:numPr>
          <w:ilvl w:val="0"/>
          <w:numId w:val="1"/>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Preosjetljivost na antihistaminike</w:t>
      </w:r>
    </w:p>
    <w:p w:rsidR="00AC4484" w:rsidRPr="0073562A" w:rsidRDefault="00AC4484" w:rsidP="00AC4484">
      <w:pPr>
        <w:numPr>
          <w:ilvl w:val="0"/>
          <w:numId w:val="1"/>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 xml:space="preserve">Istovremena primjena drugih simpatomimetičkih dekongestiva. </w:t>
      </w:r>
    </w:p>
    <w:p w:rsidR="00AC4484" w:rsidRPr="0073562A" w:rsidRDefault="00AC4484" w:rsidP="00AC4484">
      <w:pPr>
        <w:numPr>
          <w:ilvl w:val="0"/>
          <w:numId w:val="1"/>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Feohromocitom.</w:t>
      </w:r>
    </w:p>
    <w:p w:rsidR="00AC4484" w:rsidRPr="0073562A" w:rsidRDefault="00AC4484" w:rsidP="00AC4484">
      <w:pPr>
        <w:numPr>
          <w:ilvl w:val="0"/>
          <w:numId w:val="1"/>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Glaukom zatvorenog ugla.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 xml:space="preserve">       - Pacijenti sa oštećenjem jetre, ozbiljnim oštećenjem bubrega, hipertenzijom, hipertireoidizmom,        dijabetesom ili kardiovaskularnim bolestima.</w:t>
      </w:r>
    </w:p>
    <w:p w:rsidR="00AC4484" w:rsidRPr="0073562A" w:rsidRDefault="00AC4484" w:rsidP="00AC4484">
      <w:pPr>
        <w:pStyle w:val="ListParagraph"/>
        <w:numPr>
          <w:ilvl w:val="0"/>
          <w:numId w:val="3"/>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lastRenderedPageBreak/>
        <w:t>Pacijenti koji uzimaju triciklične antidepresive, beta-blokatore (ili druge antihipertenzive) ili koji koriste ili su koristili inhibitore monoaminooksidaze (MAO I) tokom prethodne dvije nedjelje (vidjeti dio 4.5).</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4.4. </w:t>
      </w:r>
      <w:r w:rsidRPr="0073562A">
        <w:rPr>
          <w:rFonts w:ascii="Times New Roman" w:eastAsia="Times New Roman" w:hAnsi="Times New Roman" w:cs="Times New Roman"/>
          <w:b/>
          <w:bCs/>
          <w:lang w:val="sr-Latn-ME"/>
        </w:rPr>
        <w:tab/>
        <w:t>Posebna upozorenja i mjere opreza pri upotrebi lijeka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Lijek je potrebno uzimati pod nadzorom ljekara kod pacijenata sa poremećajima jetre, bubrega, srca i pluća, te kod pacijenata sa anemijom.</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Kod pacijenata sa insuficijencijom jetre, ukoliko je insuficijencija kategorije C prema Child-Pugh klasifikaciji, dnevnu dozu treba prilagoditi – umanjiti za 50%.</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Ljekovi koji indukuju mikrozomalne enzime jetre, kao što su alkohol, barbiturati, inhibitori monoaminooksidaze i triciklični antidepresivi, mogu povećati hepatotoksičnost paracetamola, naročito nakon predoziranja.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Pacijentima treba savjetovati da izbjegavaju istovremenu primjenu drugih ljekova koji sadrže paracetamol, ljekove protiv prehlade i gripa, druge dekongestive, sredstva za smanjivanje apetita i psihostimulanse na bazi amfetamina.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S obzirom na rizik od hepatotoksičnosti, kod pacijenata koji konzumiraju alkohol, ukupna dnevna doza paracetamola ne bi trebala da pređe 2 grama.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Savjet ljekara je neophodan prije primjene lijeka kod sljedećih stanja: uvećanje prostate, okluzivne bolesti krvnih sudova (kao što je Raynaud-ov sindrom).</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 xml:space="preserve">Hlorfenamin, kao i druge antiholinergičke ljekove, potrebno je sa oprezom koristiti kod: </w:t>
      </w:r>
    </w:p>
    <w:p w:rsidR="00AC4484" w:rsidRPr="0073562A" w:rsidRDefault="00AC4484" w:rsidP="00AC4484">
      <w:pPr>
        <w:numPr>
          <w:ilvl w:val="0"/>
          <w:numId w:val="2"/>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 xml:space="preserve">pacijenata sa epilepsijom, </w:t>
      </w:r>
    </w:p>
    <w:p w:rsidR="00AC4484" w:rsidRPr="0073562A" w:rsidRDefault="00AC4484" w:rsidP="00AC4484">
      <w:pPr>
        <w:numPr>
          <w:ilvl w:val="0"/>
          <w:numId w:val="2"/>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pacijenata sa hipertrofijom prostate,</w:t>
      </w:r>
    </w:p>
    <w:p w:rsidR="00AC4484" w:rsidRPr="0073562A" w:rsidRDefault="00AC4484" w:rsidP="00AC4484">
      <w:pPr>
        <w:numPr>
          <w:ilvl w:val="0"/>
          <w:numId w:val="2"/>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 xml:space="preserve">pacijenata sa bronhitisom, bronhiektazijama ili astmom, </w:t>
      </w:r>
    </w:p>
    <w:p w:rsidR="00AC4484" w:rsidRPr="0073562A" w:rsidRDefault="00AC4484" w:rsidP="00AC4484">
      <w:pPr>
        <w:numPr>
          <w:ilvl w:val="0"/>
          <w:numId w:val="2"/>
        </w:num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dok je zbog kombinacije sa paracetamolom i fenilefrinom, lijek kontraindikovan u slučajevima, povećanog intraokularnog pritiska uključujući glaukom, teške hipertenzije ili kardiovaskularne, bolesti, oštećenja jetre i ozbiljnog oštećenja bubrega.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Djeca i stariji pacijenti su skloniji neurološkim antiholinergičkim dejstvima i paradoksalnoj ekscitaciji (na primjer, povećana energija, nemir, nervoza).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Antiholinergičke osobine hlorfenamina mogu da izazovu pospanost, vrtoglavicu, zamućen vid i poremećaj psihomotornih sposobnosti što može ozbiljno uticati na vožnju i rukovanje mašinama. Izbjegavati istovremenu primjenu sa alkoholom, jer može doći do pojačanog dejstva alkohola. Izbjegavati istovremenu primjenu sa drugim ljekovima koji sadrže antihistaminike, uključujući i preparate protiv kašlja i prehlade.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Lijek Tylolfen Hot sadrži saharozu. Pacijenti sa rijetkim nasljednim poremećajem intolerancije na fruktozu, glukozno-galaktoznom malapsorpcijom ili nedostatkom saharaza-izomaltaze, ne smiju koristiti ovaj lijek.</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Ovaj lijek sadrži 144 mg natrijuma po dozi. Savjetuje se poseban oprez prilikom upotrebe kod pacijenata koji su na dijeti sa ograničenim unosom natrijuma.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lastRenderedPageBreak/>
        <w:t xml:space="preserve">4.5. </w:t>
      </w:r>
      <w:r w:rsidRPr="0073562A">
        <w:rPr>
          <w:rFonts w:ascii="Times New Roman" w:eastAsia="Times New Roman" w:hAnsi="Times New Roman" w:cs="Times New Roman"/>
          <w:b/>
          <w:bCs/>
          <w:lang w:val="sr-Latn-ME"/>
        </w:rPr>
        <w:tab/>
        <w:t>Interakcije sa drugim ljekovima i druge vrste interakcija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Paracetamol</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Paracetamol pojačava efekte antikoagulanata tokom produžene terapije višim dozama. Ukoliko se uzima u višim dozama i u dužem vremenskom periodu može imati interakcije sa kumarinom, indandion-derivatima i fenotiazinima. Može stupati u interakciju sa antipsihotskim fenotiazinima.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Neophodno je redukovati dozu paracetamola kod pacijenata koji uzimaju antiepileptike, kao što su karbamazepin, fenobarbital, fenitoin ili pirimidon.</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Brzina resorpcije paracetamola može biti povećana istovremenom primjenom metoklopramida ili domperidona, odnosno smanjena primjenom holestiramina.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Hlorfenamin</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Hlorfenamin može odložiti metabolizam fenitoina u jetri i na taj način povećati njegovu plazmatsku koncentraciju, što može dovesti do povećane toksičnosti fenitoina.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Hlorfenamin povećava sedativni efekat alkohola, barbiturata, hipnotika, opioidnih analgetika, anksiolitika i antipsihotika.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MAO inhibitori pojačavaju antiholinergičko dejstvo hlorfenamina.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
          <w:bCs/>
          <w:lang w:val="sr-Latn-ME"/>
        </w:rPr>
        <w:t>Fenilefrin</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Fenilefrin je potrebno oprezno primjenjivati sa sljedećim ljekovima zbog mogućih interakcija: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Inhibitori monoaminooksidaze (MAO-I) (uključujući moklobemid)</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„Hipertenzivne interakcije“ nastaju između simpatomimetičkih amina kao što je fenilefrin i inhibitora monoaminooksidaze (vidjeti dio 4.3).</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u w:val="single"/>
          <w:lang w:val="sr-Latn-ME"/>
        </w:rPr>
      </w:pPr>
      <w:r w:rsidRPr="0073562A">
        <w:rPr>
          <w:rFonts w:ascii="Times New Roman" w:eastAsia="Times New Roman" w:hAnsi="Times New Roman" w:cs="Times New Roman"/>
          <w:bCs/>
          <w:u w:val="single"/>
          <w:lang w:val="sr-Latn-ME"/>
        </w:rPr>
        <w:t>Simpatomimetički amini</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Istovremena primjena fenilefrina i simpatomimetičkih amina povećava rizik od ispoljavanja kardiovaskularnih neželjenih reakcija.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u w:val="single"/>
          <w:lang w:val="sr-Latn-ME"/>
        </w:rPr>
      </w:pPr>
      <w:r w:rsidRPr="0073562A">
        <w:rPr>
          <w:rFonts w:ascii="Times New Roman" w:eastAsia="Times New Roman" w:hAnsi="Times New Roman" w:cs="Times New Roman"/>
          <w:bCs/>
          <w:u w:val="single"/>
          <w:lang w:val="sr-Latn-ME"/>
        </w:rPr>
        <w:t>Beta-blokatori i drugi antihipertenzivi (uključujući debrizokvin, gvanetidin, rezerpin i metildopu)</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Fenilefrin može smanjiti efikasnost beta-blokatora i drugih antihipertenziva. Povećan rizik od hipertenzije i drugih kardiovaskularnih neželjenih reakcija (vidjeti dio 4.3).</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u w:val="single"/>
          <w:lang w:val="sr-Latn-ME"/>
        </w:rPr>
      </w:pPr>
      <w:r w:rsidRPr="0073562A">
        <w:rPr>
          <w:rFonts w:ascii="Times New Roman" w:eastAsia="Times New Roman" w:hAnsi="Times New Roman" w:cs="Times New Roman"/>
          <w:bCs/>
          <w:u w:val="single"/>
          <w:lang w:val="sr-Latn-ME"/>
        </w:rPr>
        <w:t>Triciklični antidepresivi (npr. amitriptilin)</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Može biti povećan rizik od kardiovaskularnih neželjenih reakcija (vidjeti dio 4.3).</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u w:val="single"/>
          <w:lang w:val="sr-Latn-ME"/>
        </w:rPr>
      </w:pPr>
      <w:r w:rsidRPr="0073562A">
        <w:rPr>
          <w:rFonts w:ascii="Times New Roman" w:eastAsia="Times New Roman" w:hAnsi="Times New Roman" w:cs="Times New Roman"/>
          <w:bCs/>
          <w:u w:val="single"/>
          <w:lang w:val="sr-Latn-ME"/>
        </w:rPr>
        <w:t>Ergot alkaloidi (ergotamin i metilsergid)</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Povećan rizik od ergotizma.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u w:val="single"/>
          <w:lang w:val="sr-Latn-ME"/>
        </w:rPr>
      </w:pPr>
      <w:r w:rsidRPr="0073562A">
        <w:rPr>
          <w:rFonts w:ascii="Times New Roman" w:eastAsia="Times New Roman" w:hAnsi="Times New Roman" w:cs="Times New Roman"/>
          <w:bCs/>
          <w:u w:val="single"/>
          <w:lang w:val="sr-Latn-ME"/>
        </w:rPr>
        <w:t>Digoksin i kardiotonični glikozidi</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Povećan rizik od promjene ritma rada srca ili srčanih napada.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lastRenderedPageBreak/>
        <w:t xml:space="preserve">4.6. </w:t>
      </w:r>
      <w:r w:rsidRPr="0073562A">
        <w:rPr>
          <w:rFonts w:ascii="Times New Roman" w:eastAsia="Times New Roman" w:hAnsi="Times New Roman" w:cs="Times New Roman"/>
          <w:b/>
          <w:bCs/>
          <w:lang w:val="sr-Latn-ME"/>
        </w:rPr>
        <w:tab/>
        <w:t>Primjena u periodu trudnoće i dojenja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Iako je studijama na životinjama utvrđeno da ljekovi u ovoj kategoriji nemaju fetotoksični efekat, ne postoje kontrolisane studije na trudnicama. Paracetamol se izlučuje u humano mlijeko u veoma malim količinama, ali nije poznat njegov uticaj na odojče.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Hlorfenamin i drugi antihistaminici mogu inhibirati laktaciju i mogu da se izluče u humano mlijeko. Fenilefrin se izlučuje u majčino mlijeko i može dovesti do neželjenih efekata kod neonatusa i prematurusa.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Lijek Tylolfen Hot ne treba koristiti tokom perioda trudnoće i dojenja, osim ako ljekar smatra da je neophodno.</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4.7. </w:t>
      </w:r>
      <w:r w:rsidRPr="0073562A">
        <w:rPr>
          <w:rFonts w:ascii="Times New Roman" w:eastAsia="Times New Roman" w:hAnsi="Times New Roman" w:cs="Times New Roman"/>
          <w:b/>
          <w:bCs/>
          <w:lang w:val="sr-Latn-ME"/>
        </w:rPr>
        <w:tab/>
        <w:t>Uticaj na psihofizičke sposobnosti prilikom upravljanja motornim vozilima i rukovanja mašinama</w:t>
      </w:r>
    </w:p>
    <w:p w:rsidR="00AC4484" w:rsidRPr="0073562A" w:rsidRDefault="00AC4484" w:rsidP="00AC4484">
      <w:pPr>
        <w:tabs>
          <w:tab w:val="left" w:pos="0"/>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Hlorfenamin može da izazove pospanost, vrtoglavicu, zamućen vid i oslabljene psihomotorne osobine, što može ozbiljno oštetiti sposobnost upravljanja motornim vozilom ili rukovanja mašinama.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Pacijentima treba savjetovati da, ukoliko primijete neke od ovih simptoma, ne upravljaju motornim vozilom ili rukuju mašinama.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Istovremenu primjenu Tylolfen Hot-a sa alkoholom treba izbjegavati jer se može pojaviti dodatno smanjenje pažnje.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4.8. </w:t>
      </w:r>
      <w:r w:rsidRPr="0073562A">
        <w:rPr>
          <w:rFonts w:ascii="Times New Roman" w:eastAsia="Times New Roman" w:hAnsi="Times New Roman" w:cs="Times New Roman"/>
          <w:b/>
          <w:bCs/>
          <w:lang w:val="sr-Latn-ME"/>
        </w:rPr>
        <w:tab/>
        <w:t>Neželjena dejstva</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Paracetamol</w:t>
      </w:r>
    </w:p>
    <w:p w:rsidR="00AC4484" w:rsidRPr="0073562A" w:rsidRDefault="00AC4484" w:rsidP="00AC4484">
      <w:pPr>
        <w:tabs>
          <w:tab w:val="left" w:pos="0"/>
        </w:tabs>
        <w:spacing w:after="0" w:line="239" w:lineRule="auto"/>
        <w:ind w:righ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Učestalost ispoljavanja neželjenih dejstava u kliničkim studijama koje su starijeg datuma i koje su ograničene izloženosti ispitanika, ne može biti tačno utvrđena. Neželjena dejstva ispoljena u toku primjene preporučene terapijske doze lijeka u postmarketinškoj fazi, prikazana su tabelarno prema sistemima organa.</w:t>
      </w:r>
      <w:r w:rsidRPr="0073562A">
        <w:rPr>
          <w:rFonts w:ascii="Times New Roman" w:eastAsia="Times New Roman" w:hAnsi="Times New Roman" w:cs="Times New Roman"/>
          <w:lang w:val="sr-Latn-ME"/>
        </w:rPr>
        <w:t xml:space="preserve"> </w:t>
      </w:r>
      <w:r w:rsidRPr="0073562A">
        <w:rPr>
          <w:rFonts w:ascii="Times New Roman" w:eastAsia="Microsoft Sans Serif" w:hAnsi="Times New Roman" w:cs="Times New Roman"/>
          <w:lang w:val="sr-Latn-ME"/>
        </w:rPr>
        <w:t>Učestalost ovih neželjenih dejstava ne može biti tačno utvrđena, međutim postmarketinško iskustvo ukazuje da su neželjena dejstva paracetamola rijetka, dok su ozbiljni slučajevi veoma rijetki.</w:t>
      </w:r>
    </w:p>
    <w:p w:rsidR="00AC4484" w:rsidRPr="0073562A" w:rsidRDefault="00AC4484" w:rsidP="00AC4484">
      <w:pPr>
        <w:tabs>
          <w:tab w:val="left" w:pos="0"/>
        </w:tabs>
        <w:spacing w:after="0" w:line="208" w:lineRule="exact"/>
        <w:jc w:val="both"/>
        <w:rPr>
          <w:rFonts w:ascii="Times New Roman" w:eastAsia="Times New Roman" w:hAnsi="Times New Roman" w:cs="Times New Roman"/>
          <w:lang w:val="sr-Latn-ME"/>
        </w:rPr>
      </w:pPr>
    </w:p>
    <w:tbl>
      <w:tblPr>
        <w:tblW w:w="0" w:type="auto"/>
        <w:tblInd w:w="10" w:type="dxa"/>
        <w:tblLayout w:type="fixed"/>
        <w:tblCellMar>
          <w:left w:w="0" w:type="dxa"/>
          <w:right w:w="0" w:type="dxa"/>
        </w:tblCellMar>
        <w:tblLook w:val="0000" w:firstRow="0" w:lastRow="0" w:firstColumn="0" w:lastColumn="0" w:noHBand="0" w:noVBand="0"/>
      </w:tblPr>
      <w:tblGrid>
        <w:gridCol w:w="4660"/>
        <w:gridCol w:w="4660"/>
      </w:tblGrid>
      <w:tr w:rsidR="00AC4484" w:rsidRPr="0073562A" w:rsidTr="008E17AF">
        <w:trPr>
          <w:trHeight w:val="252"/>
        </w:trPr>
        <w:tc>
          <w:tcPr>
            <w:tcW w:w="4660" w:type="dxa"/>
            <w:tcBorders>
              <w:top w:val="single" w:sz="8" w:space="0" w:color="auto"/>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20"/>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Sistem organa</w:t>
            </w:r>
          </w:p>
        </w:tc>
        <w:tc>
          <w:tcPr>
            <w:tcW w:w="4660" w:type="dxa"/>
            <w:tcBorders>
              <w:top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Neželjeno dejstvo</w:t>
            </w:r>
          </w:p>
        </w:tc>
      </w:tr>
      <w:tr w:rsidR="00AC4484" w:rsidRPr="0073562A" w:rsidTr="008E17AF">
        <w:trPr>
          <w:trHeight w:val="86"/>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r>
      <w:tr w:rsidR="00AC4484" w:rsidRPr="0073562A" w:rsidTr="008E17AF">
        <w:trPr>
          <w:trHeight w:val="232"/>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Poremećaji krvi i limfnog sistema</w:t>
            </w: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trombocitopenija i agranulocitoza</w:t>
            </w:r>
          </w:p>
        </w:tc>
      </w:tr>
      <w:tr w:rsidR="00AC4484" w:rsidRPr="0073562A" w:rsidTr="008E17AF">
        <w:trPr>
          <w:trHeight w:val="86"/>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r>
      <w:tr w:rsidR="00AC4484" w:rsidRPr="0073562A" w:rsidTr="008E17AF">
        <w:trPr>
          <w:trHeight w:val="201"/>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00" w:lineRule="exac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Imunološki poremećaji</w:t>
            </w: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200" w:lineRule="exac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anafilaksa,  reakcije  preosjetljivosti  koje  se</w:t>
            </w:r>
          </w:p>
        </w:tc>
      </w:tr>
      <w:tr w:rsidR="00AC4484" w:rsidRPr="0073562A" w:rsidTr="008E17AF">
        <w:trPr>
          <w:trHeight w:val="226"/>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manifestuju na koži (osip, angioedem, Stevens-</w:t>
            </w:r>
          </w:p>
        </w:tc>
      </w:tr>
      <w:tr w:rsidR="00AC4484" w:rsidRPr="0073562A" w:rsidTr="008E17AF">
        <w:trPr>
          <w:trHeight w:val="242"/>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Johnson sindrom/toksična epidermalna nekroliza)</w:t>
            </w:r>
          </w:p>
        </w:tc>
      </w:tr>
      <w:tr w:rsidR="00AC4484" w:rsidRPr="0073562A" w:rsidTr="008E17AF">
        <w:trPr>
          <w:trHeight w:val="232"/>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Respiratorni, torakalni i medijastinalni poremećaji</w:t>
            </w: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bronhospazam*</w:t>
            </w:r>
          </w:p>
        </w:tc>
      </w:tr>
      <w:tr w:rsidR="00AC4484" w:rsidRPr="0073562A" w:rsidTr="008E17AF">
        <w:trPr>
          <w:trHeight w:val="86"/>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r>
      <w:tr w:rsidR="00AC4484" w:rsidRPr="0073562A" w:rsidTr="008E17AF">
        <w:trPr>
          <w:trHeight w:val="232"/>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Hepatobilijarni poremećaji</w:t>
            </w: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hepatična disfunkcija</w:t>
            </w:r>
          </w:p>
        </w:tc>
      </w:tr>
      <w:tr w:rsidR="00AC4484" w:rsidRPr="0073562A" w:rsidTr="008E17AF">
        <w:trPr>
          <w:trHeight w:val="86"/>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r>
    </w:tbl>
    <w:p w:rsidR="00AC4484" w:rsidRPr="0073562A" w:rsidRDefault="00AC4484" w:rsidP="00AC4484">
      <w:pPr>
        <w:tabs>
          <w:tab w:val="left" w:pos="0"/>
        </w:tabs>
        <w:spacing w:after="0" w:line="239" w:lineRule="auto"/>
        <w:ind w:left="120" w:righ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*Zabilježeni su slučajevi bronhospazma pri primjeni paracetamola, ali je pojava ovog neželjenog dejstva vjerovatnija kod pacijenata sa astmom preosjetljivih na aspirin i druge NSAIL-e.</w:t>
      </w:r>
    </w:p>
    <w:p w:rsidR="00AC4484" w:rsidRPr="0073562A" w:rsidRDefault="00AC4484" w:rsidP="00AC4484">
      <w:pPr>
        <w:tabs>
          <w:tab w:val="left" w:pos="0"/>
        </w:tabs>
        <w:spacing w:after="0" w:line="212"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12"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12"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lastRenderedPageBreak/>
        <w:t>Fenilefrin</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39" w:lineRule="auto"/>
        <w:ind w:righ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Sljedeće neželjene reakcije su zabilježene u kliničkim studijama sa fenilefrinom i smatra se da su to najčešće prijavljivane neželjene reakcije na fenilefrin:</w:t>
      </w:r>
    </w:p>
    <w:p w:rsidR="00AC4484" w:rsidRPr="0073562A" w:rsidRDefault="00AC4484" w:rsidP="00AC4484">
      <w:pPr>
        <w:tabs>
          <w:tab w:val="left" w:pos="0"/>
        </w:tabs>
        <w:spacing w:after="0" w:line="208" w:lineRule="exact"/>
        <w:jc w:val="both"/>
        <w:rPr>
          <w:rFonts w:ascii="Times New Roman" w:eastAsia="Times New Roman" w:hAnsi="Times New Roman" w:cs="Times New Roman"/>
          <w:lang w:val="sr-Latn-ME"/>
        </w:rPr>
      </w:pPr>
    </w:p>
    <w:tbl>
      <w:tblPr>
        <w:tblW w:w="9320" w:type="dxa"/>
        <w:tblInd w:w="10" w:type="dxa"/>
        <w:tblLayout w:type="fixed"/>
        <w:tblCellMar>
          <w:left w:w="0" w:type="dxa"/>
          <w:right w:w="0" w:type="dxa"/>
        </w:tblCellMar>
        <w:tblLook w:val="0000" w:firstRow="0" w:lastRow="0" w:firstColumn="0" w:lastColumn="0" w:noHBand="0" w:noVBand="0"/>
      </w:tblPr>
      <w:tblGrid>
        <w:gridCol w:w="4660"/>
        <w:gridCol w:w="4660"/>
      </w:tblGrid>
      <w:tr w:rsidR="00AC4484" w:rsidRPr="0073562A" w:rsidTr="008E17AF">
        <w:trPr>
          <w:trHeight w:val="236"/>
        </w:trPr>
        <w:tc>
          <w:tcPr>
            <w:tcW w:w="4660" w:type="dxa"/>
            <w:tcBorders>
              <w:top w:val="single" w:sz="8" w:space="0" w:color="auto"/>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20"/>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Sistem organa</w:t>
            </w:r>
          </w:p>
        </w:tc>
        <w:tc>
          <w:tcPr>
            <w:tcW w:w="4660" w:type="dxa"/>
            <w:tcBorders>
              <w:top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Neželjeno dejstvo</w:t>
            </w:r>
          </w:p>
        </w:tc>
      </w:tr>
      <w:tr w:rsidR="00AC4484" w:rsidRPr="0073562A" w:rsidTr="008E17AF">
        <w:trPr>
          <w:trHeight w:val="216"/>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Psihijatrijski poremećaji</w:t>
            </w: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nervoza, razdražljivost, uznemirenost, nemir</w:t>
            </w:r>
          </w:p>
        </w:tc>
      </w:tr>
      <w:tr w:rsidR="00AC4484" w:rsidRPr="0073562A" w:rsidTr="008E17AF">
        <w:trPr>
          <w:trHeight w:val="216"/>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Poremećaji nervnog sistema</w:t>
            </w: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glavobolja, vrtoglavica, insomnija</w:t>
            </w:r>
          </w:p>
        </w:tc>
      </w:tr>
      <w:tr w:rsidR="00AC4484" w:rsidRPr="0073562A" w:rsidTr="008E17AF">
        <w:trPr>
          <w:trHeight w:val="216"/>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Poremećaji kardiovaskularnog sistema</w:t>
            </w: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porast krvnog pritiska</w:t>
            </w:r>
          </w:p>
        </w:tc>
      </w:tr>
      <w:tr w:rsidR="00AC4484" w:rsidRPr="0073562A" w:rsidTr="008E17AF">
        <w:trPr>
          <w:trHeight w:val="216"/>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Gastrointestinalni poremećaji</w:t>
            </w: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mučnina, povraćanje</w:t>
            </w:r>
          </w:p>
        </w:tc>
      </w:tr>
    </w:tbl>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U tabeli ispod navedena su neželjena dejstva zabilježena u postmarketinškom periodu praćenja.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Učestalost ovih neželjenih dejstava je nepoznata, ali najvjerovatnije spadaju u rijetke neželjene reakcije.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tbl>
      <w:tblPr>
        <w:tblW w:w="0" w:type="auto"/>
        <w:tblInd w:w="10" w:type="dxa"/>
        <w:tblLayout w:type="fixed"/>
        <w:tblCellMar>
          <w:left w:w="0" w:type="dxa"/>
          <w:right w:w="0" w:type="dxa"/>
        </w:tblCellMar>
        <w:tblLook w:val="0000" w:firstRow="0" w:lastRow="0" w:firstColumn="0" w:lastColumn="0" w:noHBand="0" w:noVBand="0"/>
      </w:tblPr>
      <w:tblGrid>
        <w:gridCol w:w="4660"/>
        <w:gridCol w:w="4660"/>
      </w:tblGrid>
      <w:tr w:rsidR="00AC4484" w:rsidRPr="0073562A" w:rsidTr="008E17AF">
        <w:trPr>
          <w:trHeight w:val="236"/>
        </w:trPr>
        <w:tc>
          <w:tcPr>
            <w:tcW w:w="4660" w:type="dxa"/>
            <w:tcBorders>
              <w:top w:val="single" w:sz="8" w:space="0" w:color="auto"/>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20"/>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Sistem organa</w:t>
            </w:r>
          </w:p>
        </w:tc>
        <w:tc>
          <w:tcPr>
            <w:tcW w:w="4660" w:type="dxa"/>
            <w:tcBorders>
              <w:top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Neželjeno dejstvo</w:t>
            </w:r>
          </w:p>
        </w:tc>
      </w:tr>
      <w:tr w:rsidR="00AC4484" w:rsidRPr="0073562A" w:rsidTr="008E17AF">
        <w:trPr>
          <w:trHeight w:val="201"/>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00" w:lineRule="exac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Poremećaji oka</w:t>
            </w: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200" w:lineRule="exac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midrijaza, akutni glaukom zatvorenog ugla</w:t>
            </w:r>
          </w:p>
        </w:tc>
      </w:tr>
      <w:tr w:rsidR="00AC4484" w:rsidRPr="0073562A" w:rsidTr="008E17AF">
        <w:trPr>
          <w:trHeight w:val="226"/>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(uglavnom kod pacijenata sa već postojećim</w:t>
            </w:r>
          </w:p>
        </w:tc>
      </w:tr>
      <w:tr w:rsidR="00AC4484" w:rsidRPr="0073562A" w:rsidTr="008E17AF">
        <w:trPr>
          <w:trHeight w:val="242"/>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glaukomom zatvorenog ugla)</w:t>
            </w:r>
          </w:p>
        </w:tc>
      </w:tr>
      <w:tr w:rsidR="00AC4484" w:rsidRPr="0073562A" w:rsidTr="008E17AF">
        <w:trPr>
          <w:trHeight w:val="216"/>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Kardiološki poremećaji</w:t>
            </w: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16" w:lineRule="exac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tahikardija, palpitacije</w:t>
            </w:r>
          </w:p>
        </w:tc>
      </w:tr>
      <w:tr w:rsidR="00AC4484" w:rsidRPr="0073562A" w:rsidTr="008E17AF">
        <w:trPr>
          <w:trHeight w:val="201"/>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00" w:lineRule="exac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Poremećaji kože i potkožnog tkiva</w:t>
            </w: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200" w:lineRule="exac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alergijske reakcije (osip, urtikarija, alergijski</w:t>
            </w:r>
          </w:p>
        </w:tc>
      </w:tr>
      <w:tr w:rsidR="00AC4484" w:rsidRPr="0073562A" w:rsidTr="008E17AF">
        <w:trPr>
          <w:trHeight w:val="226"/>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dermatitis), reakcije preosjetljivosti, uključujući</w:t>
            </w:r>
          </w:p>
        </w:tc>
      </w:tr>
      <w:tr w:rsidR="00AC4484" w:rsidRPr="0073562A" w:rsidTr="008E17AF">
        <w:trPr>
          <w:trHeight w:val="226"/>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unakrsnu alergijsku reakciju, mogu se javiti sa</w:t>
            </w:r>
          </w:p>
        </w:tc>
      </w:tr>
      <w:tr w:rsidR="00AC4484" w:rsidRPr="0073562A" w:rsidTr="008E17AF">
        <w:trPr>
          <w:trHeight w:val="242"/>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drugim simpatomimeticima</w:t>
            </w:r>
          </w:p>
        </w:tc>
      </w:tr>
      <w:tr w:rsidR="00AC4484" w:rsidRPr="0073562A" w:rsidTr="008E17AF">
        <w:trPr>
          <w:trHeight w:val="201"/>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200" w:lineRule="exact"/>
              <w:ind w:lef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Poremećaji bubrega i urinarnog sistema</w:t>
            </w: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200" w:lineRule="exac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dizurija, retencija urina; najčešće se javljaju kod</w:t>
            </w:r>
          </w:p>
        </w:tc>
      </w:tr>
      <w:tr w:rsidR="00AC4484" w:rsidRPr="0073562A" w:rsidTr="008E17AF">
        <w:trPr>
          <w:trHeight w:val="226"/>
        </w:trPr>
        <w:tc>
          <w:tcPr>
            <w:tcW w:w="4660" w:type="dxa"/>
            <w:tcBorders>
              <w:left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pacijenata sa opstrukcijom protoka urina iz bešike</w:t>
            </w:r>
          </w:p>
        </w:tc>
      </w:tr>
      <w:tr w:rsidR="00AC4484" w:rsidRPr="0073562A" w:rsidTr="008E17AF">
        <w:trPr>
          <w:trHeight w:val="242"/>
        </w:trPr>
        <w:tc>
          <w:tcPr>
            <w:tcW w:w="4660" w:type="dxa"/>
            <w:tcBorders>
              <w:left w:val="single" w:sz="8" w:space="0" w:color="auto"/>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jc w:val="both"/>
              <w:rPr>
                <w:rFonts w:ascii="Times New Roman" w:eastAsia="Times New Roman" w:hAnsi="Times New Roman" w:cs="Times New Roman"/>
                <w:lang w:val="sr-Latn-ME"/>
              </w:rPr>
            </w:pPr>
          </w:p>
        </w:tc>
        <w:tc>
          <w:tcPr>
            <w:tcW w:w="4660" w:type="dxa"/>
            <w:tcBorders>
              <w:bottom w:val="single" w:sz="8" w:space="0" w:color="auto"/>
              <w:right w:val="single" w:sz="8" w:space="0" w:color="auto"/>
            </w:tcBorders>
            <w:shd w:val="clear" w:color="auto" w:fill="auto"/>
            <w:vAlign w:val="bottom"/>
          </w:tcPr>
          <w:p w:rsidR="00AC4484" w:rsidRPr="0073562A" w:rsidRDefault="00AC4484" w:rsidP="00AC4484">
            <w:pPr>
              <w:tabs>
                <w:tab w:val="left" w:pos="0"/>
              </w:tabs>
              <w:spacing w:after="0" w:line="0" w:lineRule="atLeast"/>
              <w:ind w:left="10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npr. hipertrofija prostate</w:t>
            </w:r>
          </w:p>
        </w:tc>
      </w:tr>
    </w:tbl>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Hlorfenamin</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39" w:lineRule="auto"/>
        <w:ind w:right="12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Neželjena dejstva primijećena u toku kliničkih ispitivanja, navedena su kao veoma česta (kod ≥1/10 pacijenata) i česta (kod ≥1/100 do &lt;1/10 pacijenata). Učestalost neželjenih dejstava primijećenih tokom postmarketinškog praćenja je nepoznata (ne može se procijeniti iz dostupnih podataka).</w:t>
      </w:r>
    </w:p>
    <w:p w:rsidR="00AC4484" w:rsidRPr="0073562A" w:rsidRDefault="00AC4484" w:rsidP="00AC4484">
      <w:pPr>
        <w:tabs>
          <w:tab w:val="left" w:pos="0"/>
        </w:tabs>
        <w:spacing w:after="0" w:line="213"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Poremećaji krvi i limfnog sistema</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hemolitička anemija, diskrazije krvi</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Imunološki poremećaji</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alergijske reakcije, angioedem, anafilaktičke reakcije</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Poremećaji metabolizma i ishrane</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anoreksija</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Psihijatrijski poremećaji</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konfuzija*, eksitacija* iritabilnost*, noćne more*, depresija</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Poremećaji nervnog sistema*</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Veoma često: sedacija, somnolencija</w:t>
      </w: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Često: smanjena koncentracija, poremećaj koordinacije, glavobolje sa vrtoglavicom</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Poremećaji oka</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652AF6">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lastRenderedPageBreak/>
        <w:t>Često: zamućen vid</w:t>
      </w:r>
    </w:p>
    <w:p w:rsidR="00AC4484" w:rsidRPr="0073562A" w:rsidRDefault="00AC4484" w:rsidP="00AC4484">
      <w:pPr>
        <w:tabs>
          <w:tab w:val="left" w:pos="0"/>
        </w:tabs>
        <w:spacing w:after="0" w:line="0" w:lineRule="atLeast"/>
        <w:ind w:left="120"/>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Poremećaji uha i centra za ravnotežu</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tinitus</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Kardiološki poremećaji</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palpitacije, tahikardija, aritmije</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Vaskularni poremećaji</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hipotenzija</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Respiratorni, torakalni i medijastinalni poremećaji</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gust bronhijalni sekret</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Gastrointestinalni poremećaji</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Često: mučnina, suva usta</w:t>
      </w: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povraćanje, bol u abdomenu, dijareja, dispepsija</w:t>
      </w:r>
    </w:p>
    <w:p w:rsidR="00AC4484" w:rsidRPr="0073562A" w:rsidRDefault="00AC4484" w:rsidP="00AC4484">
      <w:pPr>
        <w:tabs>
          <w:tab w:val="left" w:pos="0"/>
        </w:tabs>
        <w:spacing w:after="0" w:line="0" w:lineRule="atLeast"/>
        <w:ind w:left="120"/>
        <w:jc w:val="both"/>
        <w:rPr>
          <w:rFonts w:ascii="Times New Roman" w:eastAsia="Microsoft Sans Serif"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Hepatobilijarni poremećaji</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hepatitis, uključujući žuticu</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Poremećaji kože i potkožnog tkiva</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eksfolijativni dermatitis, osip, urtikarija, fotosenzitivnost</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56" w:lineRule="auto"/>
        <w:ind w:right="3415"/>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 xml:space="preserve">Poremećaji mišićno-skeletnog, vezivnog i koštanog tkiva </w:t>
      </w:r>
    </w:p>
    <w:p w:rsidR="00AC4484" w:rsidRPr="0073562A" w:rsidRDefault="00AC4484" w:rsidP="00AC4484">
      <w:pPr>
        <w:tabs>
          <w:tab w:val="left" w:pos="0"/>
        </w:tabs>
        <w:spacing w:after="0" w:line="256" w:lineRule="auto"/>
        <w:ind w:right="4080"/>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podrhtavanje mišića i mišićna slabost</w:t>
      </w:r>
    </w:p>
    <w:p w:rsidR="00AC4484" w:rsidRPr="0073562A" w:rsidRDefault="00AC4484" w:rsidP="00AC4484">
      <w:pPr>
        <w:tabs>
          <w:tab w:val="left" w:pos="0"/>
        </w:tabs>
        <w:spacing w:after="0" w:line="19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Poremećaji bubrega i urinarnog sistema</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retencija urina</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Opšti poremećaji i reakcije na mjestu primjene</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Često: zamor</w:t>
      </w:r>
    </w:p>
    <w:p w:rsidR="00AC4484" w:rsidRPr="0073562A" w:rsidRDefault="00AC4484" w:rsidP="00AC4484">
      <w:pPr>
        <w:tabs>
          <w:tab w:val="left" w:pos="0"/>
        </w:tabs>
        <w:spacing w:after="0" w:line="0" w:lineRule="atLeast"/>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Nepoznato: stezanje u grudima</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56" w:lineRule="auto"/>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*Djeca i stariji pacijenti su skloniji neurološkim antiholinergičkim dejstvima i paradoksalnoj ekscitaciji (na primjer povećana energija, nemir, nervoza).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s>
        <w:spacing w:after="200" w:line="276" w:lineRule="auto"/>
        <w:rPr>
          <w:rFonts w:ascii="Times New Roman" w:eastAsia="Calibri" w:hAnsi="Times New Roman" w:cs="Times New Roman"/>
          <w:u w:val="single"/>
          <w:lang w:val="sr-Latn-ME"/>
        </w:rPr>
      </w:pPr>
      <w:r w:rsidRPr="0073562A">
        <w:rPr>
          <w:rFonts w:ascii="Times New Roman" w:eastAsia="Calibri" w:hAnsi="Times New Roman" w:cs="Times New Roman"/>
          <w:u w:val="single"/>
          <w:lang w:val="sr-Latn-ME"/>
        </w:rPr>
        <w:t>Prijavljivanje sumnji na neželjena dejstva</w:t>
      </w:r>
    </w:p>
    <w:p w:rsidR="00AC4484" w:rsidRPr="0073562A" w:rsidRDefault="00AC4484" w:rsidP="00AC4484">
      <w:pPr>
        <w:tabs>
          <w:tab w:val="left" w:pos="0"/>
        </w:tabs>
        <w:spacing w:after="200" w:line="240" w:lineRule="auto"/>
        <w:jc w:val="both"/>
        <w:rPr>
          <w:rFonts w:ascii="Times New Roman" w:eastAsia="Calibri" w:hAnsi="Times New Roman" w:cs="Times New Roman"/>
          <w:lang w:val="sr-Latn-ME"/>
        </w:rPr>
      </w:pPr>
      <w:r w:rsidRPr="0073562A">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AC4484" w:rsidRPr="0073562A" w:rsidRDefault="00AC4484" w:rsidP="00AC4484">
      <w:pPr>
        <w:tabs>
          <w:tab w:val="left" w:pos="0"/>
        </w:tabs>
        <w:spacing w:after="0" w:line="240" w:lineRule="auto"/>
        <w:jc w:val="both"/>
        <w:rPr>
          <w:rFonts w:ascii="Times New Roman" w:eastAsia="Calibri" w:hAnsi="Times New Roman" w:cs="Times New Roman"/>
          <w:lang w:val="sr-Latn-ME"/>
        </w:rPr>
      </w:pPr>
      <w:r w:rsidRPr="0073562A">
        <w:rPr>
          <w:rFonts w:ascii="Times New Roman" w:eastAsia="Calibri" w:hAnsi="Times New Roman" w:cs="Times New Roman"/>
          <w:lang w:val="sr-Latn-ME"/>
        </w:rPr>
        <w:t>Agencija za ljekove i medicinska sredstva Crne Gore</w:t>
      </w:r>
    </w:p>
    <w:p w:rsidR="00AC4484" w:rsidRPr="0073562A" w:rsidRDefault="00AC4484" w:rsidP="00AC4484">
      <w:pPr>
        <w:tabs>
          <w:tab w:val="left" w:pos="0"/>
        </w:tabs>
        <w:spacing w:after="0" w:line="240" w:lineRule="auto"/>
        <w:jc w:val="both"/>
        <w:rPr>
          <w:rFonts w:ascii="Times New Roman" w:eastAsia="Calibri" w:hAnsi="Times New Roman" w:cs="Times New Roman"/>
          <w:lang w:val="sr-Latn-ME"/>
        </w:rPr>
      </w:pPr>
      <w:r w:rsidRPr="0073562A">
        <w:rPr>
          <w:rFonts w:ascii="Times New Roman" w:eastAsia="Calibri" w:hAnsi="Times New Roman" w:cs="Times New Roman"/>
          <w:lang w:val="sr-Latn-ME"/>
        </w:rPr>
        <w:t>Odjeljenje za farmakovigilancu</w:t>
      </w:r>
    </w:p>
    <w:p w:rsidR="00AC4484" w:rsidRPr="0073562A" w:rsidRDefault="00AC4484" w:rsidP="00AC4484">
      <w:pPr>
        <w:tabs>
          <w:tab w:val="left" w:pos="0"/>
        </w:tabs>
        <w:spacing w:after="0" w:line="240" w:lineRule="auto"/>
        <w:jc w:val="both"/>
        <w:rPr>
          <w:rFonts w:ascii="Times New Roman" w:eastAsia="Calibri" w:hAnsi="Times New Roman" w:cs="Times New Roman"/>
          <w:lang w:val="sr-Latn-ME"/>
        </w:rPr>
      </w:pPr>
      <w:r w:rsidRPr="0073562A">
        <w:rPr>
          <w:rFonts w:ascii="Times New Roman" w:eastAsia="Calibri" w:hAnsi="Times New Roman" w:cs="Times New Roman"/>
          <w:lang w:val="sr-Latn-ME"/>
        </w:rPr>
        <w:t>Bulevar Ivana Crnojevića 64a, 81000 Podgorica</w:t>
      </w:r>
    </w:p>
    <w:p w:rsidR="00AC4484" w:rsidRPr="0073562A" w:rsidRDefault="00AC4484" w:rsidP="00AC4484">
      <w:pPr>
        <w:tabs>
          <w:tab w:val="left" w:pos="0"/>
        </w:tabs>
        <w:spacing w:after="0" w:line="240" w:lineRule="auto"/>
        <w:rPr>
          <w:rFonts w:ascii="Times New Roman" w:eastAsia="Calibri" w:hAnsi="Times New Roman" w:cs="Times New Roman"/>
          <w:lang w:val="sr-Latn-ME"/>
        </w:rPr>
      </w:pPr>
    </w:p>
    <w:p w:rsidR="00AC4484" w:rsidRPr="0073562A" w:rsidRDefault="00AC4484" w:rsidP="00AC4484">
      <w:pPr>
        <w:tabs>
          <w:tab w:val="left" w:pos="0"/>
        </w:tabs>
        <w:spacing w:after="0" w:line="240" w:lineRule="auto"/>
        <w:rPr>
          <w:rFonts w:ascii="Times New Roman" w:eastAsia="Calibri" w:hAnsi="Times New Roman" w:cs="Times New Roman"/>
          <w:lang w:val="sr-Latn-ME"/>
        </w:rPr>
      </w:pPr>
    </w:p>
    <w:p w:rsidR="00AC4484" w:rsidRPr="0073562A" w:rsidRDefault="00AC4484" w:rsidP="00AC4484">
      <w:pPr>
        <w:tabs>
          <w:tab w:val="left" w:pos="0"/>
        </w:tabs>
        <w:spacing w:after="0" w:line="240" w:lineRule="auto"/>
        <w:jc w:val="both"/>
        <w:rPr>
          <w:rFonts w:ascii="Times New Roman" w:eastAsia="Calibri" w:hAnsi="Times New Roman" w:cs="Times New Roman"/>
          <w:lang w:val="sr-Latn-ME"/>
        </w:rPr>
      </w:pPr>
      <w:r w:rsidRPr="0073562A">
        <w:rPr>
          <w:rFonts w:ascii="Times New Roman" w:eastAsia="Calibri" w:hAnsi="Times New Roman" w:cs="Times New Roman"/>
          <w:lang w:val="sr-Latn-ME"/>
        </w:rPr>
        <w:lastRenderedPageBreak/>
        <w:t>tel: +382 (0) 20 310 280</w:t>
      </w:r>
    </w:p>
    <w:p w:rsidR="00AC4484" w:rsidRPr="0073562A" w:rsidRDefault="00AC4484" w:rsidP="00AC4484">
      <w:pPr>
        <w:tabs>
          <w:tab w:val="left" w:pos="0"/>
        </w:tabs>
        <w:spacing w:after="0" w:line="240" w:lineRule="auto"/>
        <w:jc w:val="both"/>
        <w:rPr>
          <w:rFonts w:ascii="Times New Roman" w:eastAsia="Calibri" w:hAnsi="Times New Roman" w:cs="Times New Roman"/>
          <w:lang w:val="sr-Latn-ME"/>
        </w:rPr>
      </w:pPr>
      <w:r w:rsidRPr="0073562A">
        <w:rPr>
          <w:rFonts w:ascii="Times New Roman" w:eastAsia="Calibri" w:hAnsi="Times New Roman" w:cs="Times New Roman"/>
          <w:lang w:val="sr-Latn-ME"/>
        </w:rPr>
        <w:t>fax: +382 (0) 20 310 581</w:t>
      </w:r>
    </w:p>
    <w:p w:rsidR="00AC4484" w:rsidRPr="0073562A" w:rsidRDefault="00032082" w:rsidP="00AC4484">
      <w:pPr>
        <w:tabs>
          <w:tab w:val="left" w:pos="0"/>
        </w:tabs>
        <w:spacing w:after="0" w:line="240" w:lineRule="auto"/>
        <w:jc w:val="both"/>
        <w:rPr>
          <w:rFonts w:ascii="Times New Roman" w:eastAsia="Calibri" w:hAnsi="Times New Roman" w:cs="Times New Roman"/>
          <w:lang w:val="sr-Latn-ME"/>
        </w:rPr>
      </w:pPr>
      <w:hyperlink r:id="rId8" w:history="1">
        <w:r w:rsidR="00AC4484" w:rsidRPr="0073562A">
          <w:rPr>
            <w:rFonts w:ascii="Times New Roman" w:eastAsia="Calibri" w:hAnsi="Times New Roman" w:cs="Times New Roman"/>
            <w:color w:val="0000FF"/>
            <w:u w:val="single"/>
            <w:lang w:val="sr-Latn-ME"/>
          </w:rPr>
          <w:t>www.calims.me</w:t>
        </w:r>
      </w:hyperlink>
    </w:p>
    <w:p w:rsidR="00AC4484" w:rsidRPr="0073562A" w:rsidRDefault="00032082" w:rsidP="00AC4484">
      <w:pPr>
        <w:tabs>
          <w:tab w:val="left" w:pos="0"/>
        </w:tabs>
        <w:spacing w:after="0" w:line="240" w:lineRule="auto"/>
        <w:jc w:val="both"/>
        <w:rPr>
          <w:rFonts w:ascii="Times New Roman" w:eastAsia="Calibri" w:hAnsi="Times New Roman" w:cs="Times New Roman"/>
          <w:color w:val="0000FF"/>
          <w:u w:val="single"/>
          <w:lang w:val="sr-Latn-ME"/>
        </w:rPr>
      </w:pPr>
      <w:hyperlink r:id="rId9" w:history="1">
        <w:r w:rsidR="00AC4484" w:rsidRPr="0073562A">
          <w:rPr>
            <w:rFonts w:ascii="Times New Roman" w:eastAsia="Calibri" w:hAnsi="Times New Roman" w:cs="Times New Roman"/>
            <w:color w:val="0000FF"/>
            <w:u w:val="single"/>
            <w:lang w:val="sr-Latn-ME"/>
          </w:rPr>
          <w:t>nezeljenadejstva@calims.me</w:t>
        </w:r>
      </w:hyperlink>
    </w:p>
    <w:p w:rsidR="00AC4484" w:rsidRPr="0073562A" w:rsidRDefault="00AC4484" w:rsidP="00AC4484">
      <w:pPr>
        <w:tabs>
          <w:tab w:val="left" w:pos="0"/>
        </w:tabs>
        <w:spacing w:after="0" w:line="240" w:lineRule="auto"/>
        <w:jc w:val="both"/>
        <w:rPr>
          <w:rFonts w:ascii="Times New Roman" w:eastAsia="Calibri" w:hAnsi="Times New Roman" w:cs="Times New Roman"/>
          <w:lang w:val="sr-Latn-ME"/>
        </w:rPr>
      </w:pPr>
      <w:r w:rsidRPr="0073562A">
        <w:rPr>
          <w:rFonts w:ascii="Times New Roman" w:eastAsia="Calibri" w:hAnsi="Times New Roman" w:cs="Times New Roman"/>
          <w:lang w:val="sr-Latn-ME"/>
        </w:rPr>
        <w:t>putem IS zdravstvene zaštite</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4.9. </w:t>
      </w:r>
      <w:r w:rsidRPr="0073562A">
        <w:rPr>
          <w:rFonts w:ascii="Times New Roman" w:eastAsia="Times New Roman" w:hAnsi="Times New Roman" w:cs="Times New Roman"/>
          <w:b/>
          <w:bCs/>
          <w:lang w:val="sr-Latn-ME"/>
        </w:rPr>
        <w:tab/>
        <w:t>Predoziranje i mjere koje je potrebno preduzeti</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Ukoliko se posumnja na predoziranje, pacijenta je neophodno odmah odvesti u zdravstveni centar.</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Paracetamol</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Kod odraslih koji su uzeli 10 g ili više paracetamola moguće je oštećenje jetre. Uzimanje 5 g ili više paracetamola može dovesti do oštećenja jetre ako pacijent ima neki od faktora rizika (vidjeti ispod).</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u w:val="single"/>
          <w:lang w:val="sr-Latn-ME"/>
        </w:rPr>
      </w:pPr>
      <w:r w:rsidRPr="0073562A">
        <w:rPr>
          <w:rFonts w:ascii="Times New Roman" w:eastAsia="Times New Roman" w:hAnsi="Times New Roman" w:cs="Times New Roman"/>
          <w:bCs/>
          <w:u w:val="single"/>
          <w:lang w:val="sr-Latn-ME"/>
        </w:rPr>
        <w:t>Faktori rizika: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a) ako je pacijent na dugotrajnoj terapiji karbamazepinom, fenobarbitonom, fenitoinom, primidonom, rifampicinom, kantarionom ili nekim drugim ljekovima koji indukuju enzime jetre,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b) ako pacijent redovno uzima etanol u količinama većim od dozvoljenih,</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c) ako postoji vjerovatnoća da pacijent ima manjak glutationa, na primjer zbog poremećaja ishrane, cistične fibroze, HIV infekcije, izgladnjivanja, kaheksije.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u w:val="single"/>
          <w:lang w:val="sr-Latn-ME"/>
        </w:rPr>
      </w:pPr>
      <w:r w:rsidRPr="0073562A">
        <w:rPr>
          <w:rFonts w:ascii="Times New Roman" w:eastAsia="Times New Roman" w:hAnsi="Times New Roman" w:cs="Times New Roman"/>
          <w:bCs/>
          <w:u w:val="single"/>
          <w:lang w:val="sr-Latn-ME"/>
        </w:rPr>
        <w:t>Simptomi</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Simptomi predoziranja paracetamolom u prvih 24 sata su bljedilo, mučnina, povraćanje, anoreksija i bol u abdomenu. Oštećenje jetre može postati primjetno 12 do 48 sati nakon uzimanja lijeka. Može doći do poremećaja metabolizma glukoze i metaboličke acidoze. U slučaju teškog trovanja, insuficijencija jetre može napredovati do encefalopatije, hemoragije, hipoglikemije, edema mozga ili smrti. Akutna insuficijencija bubrega, sa akutnom tubularnom nekrozom, na koju ukazuje bol u slabinama, hematurija i proteinurija, mogu se razviti čak i u odsustvu teškog oštećenja jetre. Opisane su i srčane aritmije i pankreatitis.</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u w:val="single"/>
          <w:lang w:val="sr-Latn-ME"/>
        </w:rPr>
      </w:pPr>
      <w:r w:rsidRPr="0073562A">
        <w:rPr>
          <w:rFonts w:ascii="Times New Roman" w:eastAsia="Times New Roman" w:hAnsi="Times New Roman" w:cs="Times New Roman"/>
          <w:bCs/>
          <w:u w:val="single"/>
          <w:lang w:val="sr-Latn-ME"/>
        </w:rPr>
        <w:t>Liječenje</w:t>
      </w:r>
    </w:p>
    <w:p w:rsidR="00AC4484" w:rsidRPr="0073562A" w:rsidRDefault="00AC4484" w:rsidP="00AC4484">
      <w:pPr>
        <w:tabs>
          <w:tab w:val="left" w:pos="0"/>
        </w:tabs>
        <w:spacing w:after="0" w:line="242" w:lineRule="auto"/>
        <w:ind w:left="3"/>
        <w:jc w:val="both"/>
        <w:rPr>
          <w:rFonts w:ascii="Times New Roman" w:eastAsia="Microsoft Sans Serif" w:hAnsi="Times New Roman" w:cs="Times New Roman"/>
          <w:lang w:val="sr-Latn-ME"/>
        </w:rPr>
      </w:pPr>
      <w:r w:rsidRPr="0073562A">
        <w:rPr>
          <w:rFonts w:ascii="Times New Roman" w:eastAsia="Times New Roman" w:hAnsi="Times New Roman" w:cs="Times New Roman"/>
          <w:bCs/>
          <w:lang w:val="sr-Latn-ME"/>
        </w:rPr>
        <w:t xml:space="preserve">Neophodno je odmah pristupiti liječenju predoziranja paracetamolom. Uprkos nepostojanju značajnih ranih simptoma, pacijenta treba hitno poslati na bolničko liječenje. Simptomi mogu biti samo mučnina i </w:t>
      </w:r>
      <w:r w:rsidRPr="0073562A">
        <w:rPr>
          <w:rFonts w:ascii="Times New Roman" w:eastAsia="Microsoft Sans Serif" w:hAnsi="Times New Roman" w:cs="Times New Roman"/>
          <w:lang w:val="sr-Latn-ME"/>
        </w:rPr>
        <w:t>povraćanje što neće ukazivati na težinu predoziranja ni na rizik od oštećenja organa. Terapiju aktivnim ugljem treba primijeniti u toku prvog sata. Koncentraciju paracetamola u plazmi treba izmjeriti 4 ili više sati poslije trovanja (ranije izmjerene koncentracije su nepouzdane). Terapija sa N-acetilcisteinom može se primijeniti u prva 24 sata od predoziranja paracetamolom, maksimalni zaštitni efekat postiže se do 8 sati poslije predoziranja. Efikasnost antidota naglo opada poslije ovog vremena. Ukoliko je potrebno, pacijentu treba dati N-acetilcistein intravenski, u skladu sa utvrđenim rasporedom doza. Ako povraćanje nije problem, metionin se može dati oralno, što je dobra alternativa u područjima udaljenim od bolnica.</w:t>
      </w:r>
    </w:p>
    <w:p w:rsidR="00AC4484" w:rsidRPr="0073562A" w:rsidRDefault="00AC4484" w:rsidP="00AC4484">
      <w:pPr>
        <w:tabs>
          <w:tab w:val="left" w:pos="0"/>
        </w:tabs>
        <w:spacing w:after="0" w:line="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39" w:lineRule="auto"/>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Liječenje pacijenata sa ozbiljnom disfunkcijom jetre, kod kojih je prošlo više od 24 sata nakon uzimanja paracetamola, treba sprovesti u nacionalni centar za kontrolu trovanja ili hepatološka odjeljenja.</w:t>
      </w:r>
    </w:p>
    <w:p w:rsidR="00AC4484" w:rsidRPr="0073562A" w:rsidRDefault="00AC4484" w:rsidP="00AC4484">
      <w:pPr>
        <w:tabs>
          <w:tab w:val="left" w:pos="0"/>
        </w:tabs>
        <w:spacing w:after="0" w:line="213"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ind w:left="3"/>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Hlorfenamin</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ind w:left="3"/>
        <w:jc w:val="both"/>
        <w:rPr>
          <w:rFonts w:ascii="Times New Roman" w:eastAsia="Microsoft Sans Serif" w:hAnsi="Times New Roman" w:cs="Times New Roman"/>
          <w:u w:val="single"/>
          <w:lang w:val="sr-Latn-ME"/>
        </w:rPr>
      </w:pPr>
      <w:r w:rsidRPr="0073562A">
        <w:rPr>
          <w:rFonts w:ascii="Times New Roman" w:eastAsia="Microsoft Sans Serif" w:hAnsi="Times New Roman" w:cs="Times New Roman"/>
          <w:u w:val="single"/>
          <w:lang w:val="sr-Latn-ME"/>
        </w:rPr>
        <w:t>Simptomi i znaci</w:t>
      </w:r>
    </w:p>
    <w:p w:rsidR="00AC4484" w:rsidRPr="0073562A" w:rsidRDefault="00AC4484" w:rsidP="00AC4484">
      <w:pPr>
        <w:tabs>
          <w:tab w:val="left" w:pos="0"/>
        </w:tabs>
        <w:spacing w:after="0" w:line="239" w:lineRule="auto"/>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lastRenderedPageBreak/>
        <w:t>Letalna doza hlorfenamina je 25-50 mg/kg tjelesne mase. Simptomi i znaci predoziranja uključuju sedaciju, paradoksalnu stimulaciju CNS-a, toksičnu psihozu, konvulzije, apneu, antiholinergični efekti, distonične reakcije i kardiovaskularni kolaps, uključujući aritmije.</w:t>
      </w:r>
    </w:p>
    <w:p w:rsidR="00AC4484" w:rsidRPr="0073562A" w:rsidRDefault="00AC4484" w:rsidP="00AC4484">
      <w:pPr>
        <w:tabs>
          <w:tab w:val="left" w:pos="0"/>
        </w:tabs>
        <w:spacing w:after="0" w:line="213"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ind w:left="3"/>
        <w:jc w:val="both"/>
        <w:rPr>
          <w:rFonts w:ascii="Times New Roman" w:eastAsia="Microsoft Sans Serif" w:hAnsi="Times New Roman" w:cs="Times New Roman"/>
          <w:u w:val="single"/>
          <w:lang w:val="sr-Latn-ME"/>
        </w:rPr>
      </w:pPr>
      <w:r w:rsidRPr="0073562A">
        <w:rPr>
          <w:rFonts w:ascii="Times New Roman" w:eastAsia="Microsoft Sans Serif" w:hAnsi="Times New Roman" w:cs="Times New Roman"/>
          <w:u w:val="single"/>
          <w:lang w:val="sr-Latn-ME"/>
        </w:rPr>
        <w:t>Liječenje</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39" w:lineRule="auto"/>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Terapija predoziranja uključuje simptomatske i suportivne mjere sa posebnom pažnjom na kardiološku, respiratornu, bubrežnu funkciju i funkciju jetre, kao i nadoknadu tečnosti i elektrolitni balans.</w:t>
      </w:r>
    </w:p>
    <w:p w:rsidR="00AC4484" w:rsidRPr="0073562A" w:rsidRDefault="00AC4484" w:rsidP="00AC4484">
      <w:pPr>
        <w:tabs>
          <w:tab w:val="left" w:pos="0"/>
        </w:tabs>
        <w:spacing w:after="0" w:line="3"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39" w:lineRule="auto"/>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Ukoliko je do predoziranja došlo oralnim putem, trebalo bi razmotriti primjenu medicinskog uglja, ako nije kontraindikovan i ukoliko je unos bio nedavno (tretman je najefikasniji ukoliko se primijeni sat vremena poslije predoziranja).</w:t>
      </w:r>
    </w:p>
    <w:p w:rsidR="00AC4484" w:rsidRPr="0073562A" w:rsidRDefault="00AC4484" w:rsidP="00AC4484">
      <w:pPr>
        <w:tabs>
          <w:tab w:val="left" w:pos="0"/>
        </w:tabs>
        <w:spacing w:after="0" w:line="3"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Energično liječiti hipotenziju i aritmije. CNS konvulzije liječiti i.v. primjenom diazepama.</w:t>
      </w:r>
    </w:p>
    <w:p w:rsidR="00AC4484" w:rsidRPr="0073562A" w:rsidRDefault="00AC4484" w:rsidP="00AC4484">
      <w:pPr>
        <w:tabs>
          <w:tab w:val="left" w:pos="0"/>
        </w:tabs>
        <w:spacing w:after="0" w:line="0" w:lineRule="atLeast"/>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Hemoperfuzija se može koristiti u jako teškim stanjima.</w:t>
      </w:r>
    </w:p>
    <w:p w:rsidR="00AC4484" w:rsidRPr="0073562A" w:rsidRDefault="00AC4484" w:rsidP="00AC4484">
      <w:pPr>
        <w:tabs>
          <w:tab w:val="left" w:pos="0"/>
        </w:tabs>
        <w:spacing w:after="0" w:line="211"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ind w:left="3"/>
        <w:jc w:val="both"/>
        <w:rPr>
          <w:rFonts w:ascii="Times New Roman" w:eastAsia="Microsoft Sans Serif" w:hAnsi="Times New Roman" w:cs="Times New Roman"/>
          <w:b/>
          <w:lang w:val="sr-Latn-ME"/>
        </w:rPr>
      </w:pPr>
      <w:r w:rsidRPr="0073562A">
        <w:rPr>
          <w:rFonts w:ascii="Times New Roman" w:eastAsia="Microsoft Sans Serif" w:hAnsi="Times New Roman" w:cs="Times New Roman"/>
          <w:b/>
          <w:lang w:val="sr-Latn-ME"/>
        </w:rPr>
        <w:t>Fenilefrin</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ind w:left="3"/>
        <w:jc w:val="both"/>
        <w:rPr>
          <w:rFonts w:ascii="Times New Roman" w:eastAsia="Microsoft Sans Serif" w:hAnsi="Times New Roman" w:cs="Times New Roman"/>
          <w:u w:val="single"/>
          <w:lang w:val="sr-Latn-ME"/>
        </w:rPr>
      </w:pPr>
      <w:r w:rsidRPr="0073562A">
        <w:rPr>
          <w:rFonts w:ascii="Times New Roman" w:eastAsia="Microsoft Sans Serif" w:hAnsi="Times New Roman" w:cs="Times New Roman"/>
          <w:u w:val="single"/>
          <w:lang w:val="sr-Latn-ME"/>
        </w:rPr>
        <w:t>Simptomi i znaci</w:t>
      </w:r>
    </w:p>
    <w:p w:rsidR="00AC4484" w:rsidRPr="0073562A" w:rsidRDefault="00AC4484" w:rsidP="00AC4484">
      <w:pPr>
        <w:tabs>
          <w:tab w:val="left" w:pos="0"/>
        </w:tabs>
        <w:spacing w:after="0" w:line="239" w:lineRule="auto"/>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Predoziranje fenilefrinom će najverovatnije dati rezultate slične onima koji su navedeni u neželjenim reakcijama.</w:t>
      </w:r>
    </w:p>
    <w:p w:rsidR="00AC4484" w:rsidRPr="0073562A" w:rsidRDefault="00AC4484" w:rsidP="00AC4484">
      <w:pPr>
        <w:tabs>
          <w:tab w:val="left" w:pos="0"/>
        </w:tabs>
        <w:spacing w:after="0" w:line="2"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39" w:lineRule="auto"/>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Dodatni simptomi mogu uključivati hipertenziju i moguću refleksnu bradikardiju. U težim slučajevima se mogu javiti konfuzija, halucinacija, konvulzivni napad i aritmija. Međutim, unošenjem lijeka koje bi dovelo do ispoljavanja toksičnih efekata fenilefrina, bila bi unešena ona količina paracetamola kojom bi se mnogo ranije javila paracetamolom indukovana toksičnost.</w:t>
      </w:r>
    </w:p>
    <w:p w:rsidR="00AC4484" w:rsidRPr="0073562A" w:rsidRDefault="00AC4484" w:rsidP="00AC4484">
      <w:pPr>
        <w:tabs>
          <w:tab w:val="left" w:pos="0"/>
        </w:tabs>
        <w:spacing w:after="0" w:line="214"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0" w:lineRule="atLeast"/>
        <w:ind w:left="3"/>
        <w:jc w:val="both"/>
        <w:rPr>
          <w:rFonts w:ascii="Times New Roman" w:eastAsia="Microsoft Sans Serif" w:hAnsi="Times New Roman" w:cs="Times New Roman"/>
          <w:u w:val="single"/>
          <w:lang w:val="sr-Latn-ME"/>
        </w:rPr>
      </w:pPr>
      <w:r w:rsidRPr="0073562A">
        <w:rPr>
          <w:rFonts w:ascii="Times New Roman" w:eastAsia="Microsoft Sans Serif" w:hAnsi="Times New Roman" w:cs="Times New Roman"/>
          <w:u w:val="single"/>
          <w:lang w:val="sr-Latn-ME"/>
        </w:rPr>
        <w:t>Liječenje</w:t>
      </w:r>
    </w:p>
    <w:p w:rsidR="00AC4484" w:rsidRPr="0073562A" w:rsidRDefault="00AC4484" w:rsidP="00AC4484">
      <w:pPr>
        <w:tabs>
          <w:tab w:val="left" w:pos="0"/>
        </w:tabs>
        <w:spacing w:after="0" w:line="16"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39" w:lineRule="auto"/>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Liječenje treba da bude u skladu sa kliničkim preporukama. Teška hipertenzija će možda zahtijevati primjenu alfa-blokatora kao što je fentolamin.</w:t>
      </w:r>
    </w:p>
    <w:p w:rsidR="00AC4484" w:rsidRPr="0073562A" w:rsidRDefault="00AC4484" w:rsidP="00AC4484">
      <w:pPr>
        <w:tabs>
          <w:tab w:val="left" w:pos="0"/>
        </w:tabs>
        <w:spacing w:after="0" w:line="212" w:lineRule="exact"/>
        <w:jc w:val="both"/>
        <w:rPr>
          <w:rFonts w:ascii="Times New Roman" w:eastAsia="Times New Roman" w:hAnsi="Times New Roman" w:cs="Times New Roman"/>
          <w:lang w:val="sr-Latn-ME"/>
        </w:rPr>
      </w:pPr>
    </w:p>
    <w:p w:rsidR="00AC4484" w:rsidRPr="0073562A" w:rsidRDefault="00AC4484" w:rsidP="00AC4484">
      <w:pPr>
        <w:tabs>
          <w:tab w:val="left" w:pos="0"/>
        </w:tabs>
        <w:spacing w:after="0" w:line="248" w:lineRule="auto"/>
        <w:ind w:left="3"/>
        <w:jc w:val="both"/>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Simptomi teškog predoziranja fenilefrinom uključuju hemodinamske promjene i kardiovaskularni kolaps sa respiratornom depresijom. Liječenje uključuje ranu gastričnu lavažu, te simptomatske i suportivne mjere. Hipertenzivni efekti se mogu tretirati i.v. primjenom α-blokatora.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5. </w:t>
      </w:r>
      <w:r w:rsidRPr="0073562A">
        <w:rPr>
          <w:rFonts w:ascii="Times New Roman" w:eastAsia="Times New Roman" w:hAnsi="Times New Roman" w:cs="Times New Roman"/>
          <w:b/>
          <w:bCs/>
          <w:lang w:val="sr-Latn-ME"/>
        </w:rPr>
        <w:tab/>
        <w:t>FARMAKOLOŠKI PODACI</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5.1. </w:t>
      </w:r>
      <w:r w:rsidRPr="0073562A">
        <w:rPr>
          <w:rFonts w:ascii="Times New Roman" w:eastAsia="Times New Roman" w:hAnsi="Times New Roman" w:cs="Times New Roman"/>
          <w:b/>
          <w:bCs/>
          <w:lang w:val="sr-Latn-ME"/>
        </w:rPr>
        <w:tab/>
        <w:t>Farmakodinamski podaci</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Farmakoterapijska grupa: paracetamol, kombinacije bez psiholeptika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ATC kod: N02BE51</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Tylolfen Hot ima analgetsko, antipiretsko, antihistaminsko i dekongestivno djelovanje zahvaljujući paracetamolu, hlorfenamin maleatu i fenilefrin hidrohloridu.</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Paracetamol je klinički dokazan analgetik i antipiretik. Dovodi do analgezije povećanjem praga bola i antipireze djelovanjem na termoregulacioni centar u hipotalamusu.</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Hlorfenamin maleat ima antagonističko djelovanje na histaminske H1-receptore, stoga olakšava sljedeće simptome: rinoreju, nazalnu kongestiju, crvenilo i/ili preosjetljivost očiju.</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Fenilefrin je postsinaptički agonist α-receptora sa niskim kardioselektivnim afinitietom prema β-receptorima i minimalnim centralnim stimulišućim djelovanjem.</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Fenilefrin hidrohlorid vazokonstriktivnu aktivnost postiže otpuštanjem noradrenalina iz simpatičkih nervnih završetaka, te direktnom stimulacijom (alfa)-adrenoreceptora u krvnim sudovima. Poznat je dekongestiv i djeluje vazokonstrikcijom u redukciji edema i oticanja nosa.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 </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5.2. </w:t>
      </w:r>
      <w:r w:rsidRPr="0073562A">
        <w:rPr>
          <w:rFonts w:ascii="Times New Roman" w:eastAsia="Times New Roman" w:hAnsi="Times New Roman" w:cs="Times New Roman"/>
          <w:b/>
          <w:bCs/>
          <w:lang w:val="sr-Latn-ME"/>
        </w:rPr>
        <w:tab/>
        <w:t>Farmakokinetički podaci</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Resorpcija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Nakon oralne primjene, paracetamol se brzo i potpuno resorbuje iz gastrointestinalnog trakta.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Maksimalne plazmatske koncentracije se postižu u roku od 10 do 60 minuta.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Hlorfenamin maleat</w:t>
      </w:r>
      <w:r w:rsidRPr="0073562A">
        <w:rPr>
          <w:rFonts w:ascii="Times New Roman" w:eastAsia="Times New Roman" w:hAnsi="Times New Roman" w:cs="Times New Roman"/>
          <w:bCs/>
          <w:lang w:val="sr-Latn-ME"/>
        </w:rPr>
        <w:t xml:space="preserve"> se polako i kompletno resorbuje iz gastrointestinalnog trakta. Maksimalne plazmatske koncentracije se postižu u roku od 2.5 do 6 sati nakon oralne primjene. Bioraspoloživost je 25 do 50%.</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Fenilefrin</w:t>
      </w:r>
      <w:r w:rsidRPr="0073562A">
        <w:rPr>
          <w:rFonts w:ascii="Times New Roman" w:eastAsia="Times New Roman" w:hAnsi="Times New Roman" w:cs="Times New Roman"/>
          <w:bCs/>
          <w:lang w:val="sr-Latn-ME"/>
        </w:rPr>
        <w:t xml:space="preserve"> se resorbuje iz gastrointestinalnog trakta, ali unesen oralnim putem ima redukovanu bioraspoloživost zbog metabolizma tokom prvog prolaska kroz jetru.</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Distribucija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 xml:space="preserve">Paracetamol </w:t>
      </w:r>
      <w:r w:rsidRPr="0073562A">
        <w:rPr>
          <w:rFonts w:ascii="Times New Roman" w:eastAsia="Times New Roman" w:hAnsi="Times New Roman" w:cs="Times New Roman"/>
          <w:bCs/>
          <w:lang w:val="sr-Latn-ME"/>
        </w:rPr>
        <w:t>se brzo i ravnomjerno distribuira u većinu tkiva. Njegovo poluvrijeme eliminacije je 1.25 do 3 sata.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Hlorfenamin maleat</w:t>
      </w:r>
      <w:r w:rsidRPr="0073562A">
        <w:rPr>
          <w:rFonts w:ascii="Times New Roman" w:eastAsia="Times New Roman" w:hAnsi="Times New Roman" w:cs="Times New Roman"/>
          <w:bCs/>
          <w:lang w:val="sr-Latn-ME"/>
        </w:rPr>
        <w:t>: većina resorbovanog lijeka (70%) se vezuje za proteine plazme. Hlorfenamin maleat se distribuira u većinu tkiva, uključujući centralni nervni sistem. Njegovo poluvrijeme eliminacije iz plazme varira između 2 i 43 sata i trajanje djelovanja je 4 do 6 sati.</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Fenilefrin</w:t>
      </w:r>
      <w:r w:rsidRPr="0073562A">
        <w:rPr>
          <w:rFonts w:ascii="Times New Roman" w:eastAsia="Times New Roman" w:hAnsi="Times New Roman" w:cs="Times New Roman"/>
          <w:bCs/>
          <w:lang w:val="sr-Latn-ME"/>
        </w:rPr>
        <w:t>: Ispoljava aktivnost nazalnog dekongestiva kada se daje oralno, tako što se distribuira sistemskom cirkulacijom u kapilarnu mrežu nosne sluznice. Kada se daje oralno kao nazalni dekongestiv, fenilefrin se obično daje u intervalima od 4-6 sati.</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Metabolizam</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Paracetamol</w:t>
      </w:r>
      <w:r w:rsidRPr="0073562A">
        <w:rPr>
          <w:rFonts w:ascii="Times New Roman" w:eastAsia="Times New Roman" w:hAnsi="Times New Roman" w:cs="Times New Roman"/>
          <w:bCs/>
          <w:lang w:val="sr-Latn-ME"/>
        </w:rPr>
        <w:t>: metaboliše se u jetri preko mikrozomalnog enzimskog sistema.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Hlorfenamin maleat</w:t>
      </w:r>
      <w:r w:rsidRPr="0073562A">
        <w:rPr>
          <w:rFonts w:ascii="Times New Roman" w:eastAsia="Times New Roman" w:hAnsi="Times New Roman" w:cs="Times New Roman"/>
          <w:bCs/>
          <w:lang w:val="sr-Latn-ME"/>
        </w:rPr>
        <w:t>: većina lijeka se metaboliše.</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Eliminacija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Paracetamol:</w:t>
      </w:r>
      <w:r w:rsidRPr="0073562A">
        <w:rPr>
          <w:rFonts w:ascii="Times New Roman" w:eastAsia="Times New Roman" w:hAnsi="Times New Roman" w:cs="Times New Roman"/>
          <w:bCs/>
          <w:lang w:val="sr-Latn-ME"/>
        </w:rPr>
        <w:t xml:space="preserve"> približno 85% oralno primjenjene doze paracetamola se izlučuje urinom kao slobodan i konjugiran paracetamol u toku 24 sata.</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Hlorfenamin maleat</w:t>
      </w:r>
      <w:r w:rsidRPr="0073562A">
        <w:rPr>
          <w:rFonts w:ascii="Times New Roman" w:eastAsia="Times New Roman" w:hAnsi="Times New Roman" w:cs="Times New Roman"/>
          <w:bCs/>
          <w:lang w:val="sr-Latn-ME"/>
        </w:rPr>
        <w:t>: nepromijenjen dio lijeka i njegovi metaboliti se izlučuju u urin i manji dio u feces.</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i/>
          <w:lang w:val="sr-Latn-ME"/>
        </w:rPr>
        <w:t>Fenilefrin</w:t>
      </w:r>
      <w:r w:rsidRPr="0073562A">
        <w:rPr>
          <w:rFonts w:ascii="Times New Roman" w:eastAsia="Times New Roman" w:hAnsi="Times New Roman" w:cs="Times New Roman"/>
          <w:bCs/>
          <w:lang w:val="sr-Latn-ME"/>
        </w:rPr>
        <w:t>: fenilefrin i njegovi metaboliti izlučuju se urinom.</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5.3. </w:t>
      </w:r>
      <w:r w:rsidRPr="0073562A">
        <w:rPr>
          <w:rFonts w:ascii="Times New Roman" w:eastAsia="Times New Roman" w:hAnsi="Times New Roman" w:cs="Times New Roman"/>
          <w:b/>
          <w:bCs/>
          <w:lang w:val="sr-Latn-ME"/>
        </w:rPr>
        <w:tab/>
        <w:t xml:space="preserve">Pretklinički podaci o bezbjednosti </w:t>
      </w: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jc w:val="both"/>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Nije primjenjivo.</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6. </w:t>
      </w:r>
      <w:r w:rsidRPr="0073562A">
        <w:rPr>
          <w:rFonts w:ascii="Times New Roman" w:eastAsia="Times New Roman" w:hAnsi="Times New Roman" w:cs="Times New Roman"/>
          <w:b/>
          <w:bCs/>
          <w:lang w:val="sr-Latn-ME"/>
        </w:rPr>
        <w:tab/>
        <w:t>FARMACEUTSKI PODACI</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6.1. </w:t>
      </w:r>
      <w:r w:rsidRPr="0073562A">
        <w:rPr>
          <w:rFonts w:ascii="Times New Roman" w:eastAsia="Times New Roman" w:hAnsi="Times New Roman" w:cs="Times New Roman"/>
          <w:b/>
          <w:bCs/>
          <w:lang w:val="sr-Latn-ME"/>
        </w:rPr>
        <w:tab/>
        <w:t>Lista pomoćnih supstanci</w:t>
      </w:r>
    </w:p>
    <w:p w:rsidR="00AC4484" w:rsidRPr="0073562A" w:rsidRDefault="00AC4484" w:rsidP="00AC4484">
      <w:pPr>
        <w:tabs>
          <w:tab w:val="left" w:pos="0"/>
          <w:tab w:val="left" w:pos="389"/>
        </w:tabs>
        <w:spacing w:after="0" w:line="239" w:lineRule="auto"/>
        <w:ind w:right="6440"/>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Natrijum benzoat</w:t>
      </w:r>
    </w:p>
    <w:p w:rsidR="00AC4484" w:rsidRPr="0073562A" w:rsidRDefault="00AC4484" w:rsidP="00AC4484">
      <w:pPr>
        <w:tabs>
          <w:tab w:val="left" w:pos="0"/>
          <w:tab w:val="left" w:pos="389"/>
        </w:tabs>
        <w:spacing w:after="0" w:line="239" w:lineRule="auto"/>
        <w:ind w:right="6440"/>
        <w:rPr>
          <w:rFonts w:ascii="Times New Roman" w:eastAsia="Microsoft Sans Serif" w:hAnsi="Times New Roman" w:cs="Times New Roman"/>
          <w:b/>
          <w:lang w:val="sr-Latn-ME"/>
        </w:rPr>
      </w:pPr>
      <w:r w:rsidRPr="0073562A">
        <w:rPr>
          <w:rFonts w:ascii="Times New Roman" w:eastAsia="Microsoft Sans Serif" w:hAnsi="Times New Roman" w:cs="Times New Roman"/>
          <w:lang w:val="sr-Latn-ME"/>
        </w:rPr>
        <w:lastRenderedPageBreak/>
        <w:t>Saharoza</w:t>
      </w:r>
    </w:p>
    <w:p w:rsidR="00AC4484" w:rsidRPr="0073562A" w:rsidRDefault="00AC4484" w:rsidP="00AC4484">
      <w:pPr>
        <w:tabs>
          <w:tab w:val="left" w:pos="0"/>
        </w:tabs>
        <w:spacing w:after="0" w:line="2" w:lineRule="exact"/>
        <w:rPr>
          <w:rFonts w:ascii="Times New Roman" w:eastAsia="Microsoft Sans Serif" w:hAnsi="Times New Roman" w:cs="Times New Roman"/>
          <w:b/>
          <w:lang w:val="sr-Latn-ME"/>
        </w:rPr>
      </w:pPr>
    </w:p>
    <w:p w:rsidR="00AC4484" w:rsidRPr="0073562A" w:rsidRDefault="00AC4484" w:rsidP="00AC4484">
      <w:pPr>
        <w:tabs>
          <w:tab w:val="left" w:pos="0"/>
        </w:tabs>
        <w:spacing w:after="0" w:line="0" w:lineRule="atLeast"/>
        <w:ind w:left="3"/>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Boja hinolin žuta</w:t>
      </w:r>
    </w:p>
    <w:p w:rsidR="00AC4484" w:rsidRPr="0073562A" w:rsidRDefault="00AC4484" w:rsidP="00AC4484">
      <w:pPr>
        <w:tabs>
          <w:tab w:val="left" w:pos="0"/>
        </w:tabs>
        <w:spacing w:after="0" w:line="239" w:lineRule="auto"/>
        <w:ind w:left="3" w:right="6580"/>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Aroma limuna u prahu</w:t>
      </w:r>
    </w:p>
    <w:p w:rsidR="00AC4484" w:rsidRPr="0073562A" w:rsidRDefault="00AC4484" w:rsidP="00AC4484">
      <w:pPr>
        <w:tabs>
          <w:tab w:val="left" w:pos="0"/>
        </w:tabs>
        <w:spacing w:after="0" w:line="239" w:lineRule="auto"/>
        <w:ind w:left="3" w:right="5116"/>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Limunska kiselina, anhidrovana</w:t>
      </w:r>
    </w:p>
    <w:p w:rsidR="00AC4484" w:rsidRPr="0073562A" w:rsidRDefault="00AC4484" w:rsidP="00AC4484">
      <w:pPr>
        <w:tabs>
          <w:tab w:val="left" w:pos="0"/>
        </w:tabs>
        <w:spacing w:after="0" w:line="239" w:lineRule="auto"/>
        <w:ind w:left="3" w:right="6580"/>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Vinska kiselina</w:t>
      </w:r>
    </w:p>
    <w:p w:rsidR="00AC4484" w:rsidRPr="0073562A" w:rsidRDefault="00AC4484" w:rsidP="00AC4484">
      <w:pPr>
        <w:tabs>
          <w:tab w:val="left" w:pos="0"/>
        </w:tabs>
        <w:spacing w:after="0" w:line="2" w:lineRule="exact"/>
        <w:rPr>
          <w:rFonts w:ascii="Times New Roman" w:eastAsia="Microsoft Sans Serif" w:hAnsi="Times New Roman" w:cs="Times New Roman"/>
          <w:b/>
          <w:lang w:val="sr-Latn-ME"/>
        </w:rPr>
      </w:pPr>
    </w:p>
    <w:p w:rsidR="00AC4484" w:rsidRPr="0073562A" w:rsidRDefault="00AC4484" w:rsidP="00AC4484">
      <w:pPr>
        <w:tabs>
          <w:tab w:val="left" w:pos="0"/>
        </w:tabs>
        <w:spacing w:after="0" w:line="258" w:lineRule="auto"/>
        <w:ind w:left="3" w:right="6540"/>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Natrijum hidrogenkarbonat</w:t>
      </w:r>
    </w:p>
    <w:p w:rsidR="00AC4484" w:rsidRPr="0073562A" w:rsidRDefault="00AC4484" w:rsidP="00AC4484">
      <w:pPr>
        <w:tabs>
          <w:tab w:val="left" w:pos="0"/>
        </w:tabs>
        <w:spacing w:after="0" w:line="258" w:lineRule="auto"/>
        <w:ind w:left="3" w:right="5824"/>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Natrijum karbonat, anhidrovani</w:t>
      </w:r>
    </w:p>
    <w:p w:rsidR="00AC4484" w:rsidRPr="0073562A" w:rsidRDefault="00AC4484" w:rsidP="00AC4484">
      <w:pPr>
        <w:tabs>
          <w:tab w:val="left" w:pos="0"/>
        </w:tabs>
        <w:spacing w:after="0" w:line="258" w:lineRule="auto"/>
        <w:ind w:left="3" w:right="6540"/>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Povidon (Plasdone K-29/32)</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6.2. </w:t>
      </w:r>
      <w:r w:rsidRPr="0073562A">
        <w:rPr>
          <w:rFonts w:ascii="Times New Roman" w:eastAsia="Times New Roman" w:hAnsi="Times New Roman" w:cs="Times New Roman"/>
          <w:b/>
          <w:bCs/>
          <w:lang w:val="sr-Latn-ME"/>
        </w:rPr>
        <w:tab/>
        <w:t>Inkompatibilnosti</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Nije primjenjivo.</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6.3.</w:t>
      </w:r>
      <w:r w:rsidRPr="0073562A">
        <w:rPr>
          <w:rFonts w:ascii="Times New Roman" w:eastAsia="Times New Roman" w:hAnsi="Times New Roman" w:cs="Times New Roman"/>
          <w:b/>
          <w:bCs/>
          <w:lang w:val="sr-Latn-ME"/>
        </w:rPr>
        <w:tab/>
        <w:t>Rok upotrebe</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s>
        <w:spacing w:after="0" w:line="0" w:lineRule="atLeast"/>
        <w:ind w:left="3"/>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2 godine</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6.4. </w:t>
      </w:r>
      <w:r w:rsidRPr="0073562A">
        <w:rPr>
          <w:rFonts w:ascii="Times New Roman" w:eastAsia="Times New Roman" w:hAnsi="Times New Roman" w:cs="Times New Roman"/>
          <w:b/>
          <w:bCs/>
          <w:lang w:val="sr-Latn-ME"/>
        </w:rPr>
        <w:tab/>
        <w:t>Posebne mjere upozorenja pri čuvanju lijeka</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s>
        <w:spacing w:after="0" w:line="0" w:lineRule="atLeast"/>
        <w:ind w:left="3"/>
        <w:rPr>
          <w:rFonts w:ascii="Times New Roman" w:eastAsia="Microsoft Sans Serif" w:hAnsi="Times New Roman" w:cs="Times New Roman"/>
          <w:lang w:val="sr-Latn-ME"/>
        </w:rPr>
      </w:pPr>
      <w:r w:rsidRPr="0073562A">
        <w:rPr>
          <w:rFonts w:ascii="Times New Roman" w:eastAsia="Microsoft Sans Serif" w:hAnsi="Times New Roman" w:cs="Times New Roman"/>
          <w:lang w:val="sr-Latn-ME"/>
        </w:rPr>
        <w:t>Čuvati na temperaturi do 25°C u originalnom pakovanju.</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6.5. </w:t>
      </w:r>
      <w:r w:rsidRPr="0073562A">
        <w:rPr>
          <w:rFonts w:ascii="Times New Roman" w:eastAsia="Times New Roman" w:hAnsi="Times New Roman" w:cs="Times New Roman"/>
          <w:b/>
          <w:bCs/>
          <w:lang w:val="sr-Latn-ME"/>
        </w:rPr>
        <w:tab/>
        <w:t>Vrsta i sadržaj pakovanja</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Primarno pakovanje je troslojna kesica (Poliester (PET)/Al/LLDPE)</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Spoljašnje pakovanje je složiva kartonska kutija koja sadrži 12 kesica.</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6.6. </w:t>
      </w:r>
      <w:r w:rsidRPr="0073562A">
        <w:rPr>
          <w:rFonts w:ascii="Times New Roman" w:eastAsia="Times New Roman" w:hAnsi="Times New Roman" w:cs="Times New Roman"/>
          <w:b/>
          <w:bCs/>
          <w:lang w:val="sr-Latn-ME"/>
        </w:rPr>
        <w:tab/>
        <w:t xml:space="preserve">Posebne mjere opreza pri odlaganju materijala koji treba odbaciti nakon primjene lijeka </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s>
        <w:spacing w:after="0" w:line="240" w:lineRule="auto"/>
        <w:rPr>
          <w:rFonts w:ascii="Times New Roman" w:eastAsia="Times New Roman" w:hAnsi="Times New Roman" w:cs="Times New Roman"/>
          <w:lang w:val="sr-Latn-ME"/>
        </w:rPr>
      </w:pPr>
      <w:r w:rsidRPr="0073562A">
        <w:rPr>
          <w:rFonts w:ascii="Times New Roman" w:eastAsia="Times New Roman" w:hAnsi="Times New Roman" w:cs="Times New Roman"/>
          <w:lang w:val="sr-Latn-ME"/>
        </w:rPr>
        <w:t>Svu neiskorišćenu količinu lijeka ili otpadnog materijala nakon njegove upotrebe treba ukloniti, u skladu sa važećim propisima.</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6.7. </w:t>
      </w:r>
      <w:r w:rsidRPr="0073562A">
        <w:rPr>
          <w:rFonts w:ascii="Times New Roman" w:eastAsia="Times New Roman" w:hAnsi="Times New Roman" w:cs="Times New Roman"/>
          <w:b/>
          <w:bCs/>
          <w:lang w:val="sr-Latn-ME"/>
        </w:rPr>
        <w:tab/>
        <w:t>Režim izdavanja lijeka</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Lijek se može izdavati  bez ljekarskog recepta</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F978B9" w:rsidRPr="0073562A" w:rsidRDefault="00F978B9"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7. </w:t>
      </w:r>
      <w:r w:rsidRPr="0073562A">
        <w:rPr>
          <w:rFonts w:ascii="Times New Roman" w:eastAsia="Times New Roman" w:hAnsi="Times New Roman" w:cs="Times New Roman"/>
          <w:b/>
          <w:bCs/>
          <w:lang w:val="sr-Latn-ME"/>
        </w:rPr>
        <w:tab/>
        <w:t xml:space="preserve">NOSILAC DOZVOLE </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 xml:space="preserve">“NOBEL’’ D.O.O. PODGORICA </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Aerodromska b.b., Podgorica, Crna Gora</w:t>
      </w:r>
      <w:r w:rsidRPr="0073562A">
        <w:rPr>
          <w:rFonts w:ascii="Times New Roman" w:eastAsia="Times New Roman" w:hAnsi="Times New Roman" w:cs="Times New Roman"/>
          <w:bCs/>
          <w:lang w:val="sr-Latn-ME"/>
        </w:rPr>
        <w:tab/>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
          <w:bCs/>
          <w:lang w:val="sr-Latn-ME"/>
        </w:rPr>
        <w:tab/>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8. </w:t>
      </w:r>
      <w:r w:rsidRPr="0073562A">
        <w:rPr>
          <w:rFonts w:ascii="Times New Roman" w:eastAsia="Times New Roman" w:hAnsi="Times New Roman" w:cs="Times New Roman"/>
          <w:b/>
          <w:bCs/>
          <w:lang w:val="sr-Latn-ME"/>
        </w:rPr>
        <w:tab/>
        <w:t>BROJ PRVE DOZVOLE/ OBNOVE DOZVOLE</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73562A" w:rsidP="00AC4484">
      <w:pPr>
        <w:tabs>
          <w:tab w:val="left" w:pos="0"/>
          <w:tab w:val="left" w:pos="540"/>
          <w:tab w:val="left" w:pos="569"/>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Δ Tylolfen</w:t>
      </w:r>
      <w:r w:rsidRPr="0073562A">
        <w:rPr>
          <w:rFonts w:ascii="Times New Roman" w:eastAsia="Times New Roman" w:hAnsi="Times New Roman" w:cs="Times New Roman"/>
          <w:bCs/>
          <w:vertAlign w:val="superscript"/>
          <w:lang w:val="sr-Latn-ME"/>
        </w:rPr>
        <w:t xml:space="preserve">® </w:t>
      </w:r>
      <w:r w:rsidRPr="0073562A">
        <w:rPr>
          <w:rFonts w:ascii="Times New Roman" w:eastAsia="Times New Roman" w:hAnsi="Times New Roman" w:cs="Times New Roman"/>
          <w:bCs/>
          <w:lang w:val="sr-Latn-ME"/>
        </w:rPr>
        <w:t xml:space="preserve">Hot, šumeće granule, 500mg + 10mg + 4mg, kesica, 12 x 20g: </w:t>
      </w:r>
      <w:r w:rsidR="00AC4484" w:rsidRPr="0073562A">
        <w:rPr>
          <w:rFonts w:ascii="Times New Roman" w:eastAsia="Times New Roman" w:hAnsi="Times New Roman" w:cs="Times New Roman"/>
          <w:bCs/>
          <w:lang w:val="sr-Latn-ME"/>
        </w:rPr>
        <w:t>2030/18/448 - 2291</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lastRenderedPageBreak/>
        <w:t xml:space="preserve">9. </w:t>
      </w:r>
      <w:r w:rsidRPr="0073562A">
        <w:rPr>
          <w:rFonts w:ascii="Times New Roman" w:eastAsia="Times New Roman" w:hAnsi="Times New Roman" w:cs="Times New Roman"/>
          <w:b/>
          <w:bCs/>
          <w:lang w:val="sr-Latn-ME"/>
        </w:rPr>
        <w:tab/>
        <w:t>DATUM PRVE DOZVOLE/ DATUM OBNOVE DOZVOLE</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73562A" w:rsidP="00AC4484">
      <w:pPr>
        <w:tabs>
          <w:tab w:val="left" w:pos="0"/>
          <w:tab w:val="left" w:pos="540"/>
          <w:tab w:val="left" w:pos="569"/>
        </w:tabs>
        <w:spacing w:after="0" w:line="240" w:lineRule="auto"/>
        <w:rPr>
          <w:rFonts w:ascii="Times New Roman" w:eastAsia="Times New Roman" w:hAnsi="Times New Roman" w:cs="Times New Roman"/>
          <w:bCs/>
          <w:lang w:val="sr-Latn-ME"/>
        </w:rPr>
      </w:pPr>
      <w:r w:rsidRPr="0073562A">
        <w:rPr>
          <w:rFonts w:ascii="Times New Roman" w:eastAsia="Times New Roman" w:hAnsi="Times New Roman" w:cs="Times New Roman"/>
          <w:bCs/>
          <w:lang w:val="sr-Latn-ME"/>
        </w:rPr>
        <w:t>Δ Tylolfen</w:t>
      </w:r>
      <w:r w:rsidRPr="0073562A">
        <w:rPr>
          <w:rFonts w:ascii="Times New Roman" w:eastAsia="Times New Roman" w:hAnsi="Times New Roman" w:cs="Times New Roman"/>
          <w:bCs/>
          <w:vertAlign w:val="superscript"/>
          <w:lang w:val="sr-Latn-ME"/>
        </w:rPr>
        <w:t xml:space="preserve">® </w:t>
      </w:r>
      <w:r w:rsidRPr="0073562A">
        <w:rPr>
          <w:rFonts w:ascii="Times New Roman" w:eastAsia="Times New Roman" w:hAnsi="Times New Roman" w:cs="Times New Roman"/>
          <w:bCs/>
          <w:lang w:val="sr-Latn-ME"/>
        </w:rPr>
        <w:t>Hot, šumeće granule, 500mg + 10mg + 4mg, kesica, 12 x 20g</w:t>
      </w:r>
      <w:r w:rsidR="004C75C0">
        <w:rPr>
          <w:rFonts w:ascii="Times New Roman" w:eastAsia="Times New Roman" w:hAnsi="Times New Roman" w:cs="Times New Roman"/>
          <w:bCs/>
          <w:lang w:val="sr-Latn-ME"/>
        </w:rPr>
        <w:t>:</w:t>
      </w:r>
      <w:r w:rsidRPr="0073562A">
        <w:rPr>
          <w:rFonts w:ascii="Times New Roman" w:eastAsia="Times New Roman" w:hAnsi="Times New Roman" w:cs="Times New Roman"/>
          <w:bCs/>
          <w:lang w:val="sr-Latn-ME"/>
        </w:rPr>
        <w:t xml:space="preserve"> </w:t>
      </w:r>
      <w:r w:rsidR="00652AF6" w:rsidRPr="0073562A">
        <w:rPr>
          <w:rFonts w:ascii="Times New Roman" w:eastAsia="Times New Roman" w:hAnsi="Times New Roman" w:cs="Times New Roman"/>
          <w:bCs/>
          <w:lang w:val="sr-Latn-ME"/>
        </w:rPr>
        <w:t>03.12.2018. godine</w:t>
      </w:r>
    </w:p>
    <w:p w:rsidR="00652AF6" w:rsidRPr="0073562A" w:rsidRDefault="00652AF6"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F978B9" w:rsidRPr="0073562A" w:rsidRDefault="00F978B9"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AC4484" w:rsidP="00AC4484">
      <w:pPr>
        <w:tabs>
          <w:tab w:val="left" w:pos="0"/>
          <w:tab w:val="left" w:pos="540"/>
          <w:tab w:val="left" w:pos="569"/>
        </w:tabs>
        <w:spacing w:after="0" w:line="240" w:lineRule="auto"/>
        <w:ind w:left="540" w:hanging="540"/>
        <w:rPr>
          <w:rFonts w:ascii="Times New Roman" w:eastAsia="Times New Roman" w:hAnsi="Times New Roman" w:cs="Times New Roman"/>
          <w:b/>
          <w:bCs/>
          <w:lang w:val="sr-Latn-ME"/>
        </w:rPr>
      </w:pPr>
      <w:r w:rsidRPr="0073562A">
        <w:rPr>
          <w:rFonts w:ascii="Times New Roman" w:eastAsia="Times New Roman" w:hAnsi="Times New Roman" w:cs="Times New Roman"/>
          <w:b/>
          <w:bCs/>
          <w:lang w:val="sr-Latn-ME"/>
        </w:rPr>
        <w:t xml:space="preserve">10. </w:t>
      </w:r>
      <w:r w:rsidRPr="0073562A">
        <w:rPr>
          <w:rFonts w:ascii="Times New Roman" w:eastAsia="Times New Roman" w:hAnsi="Times New Roman" w:cs="Times New Roman"/>
          <w:b/>
          <w:bCs/>
          <w:lang w:val="sr-Latn-ME"/>
        </w:rPr>
        <w:tab/>
        <w:t>DATUM POSLEDNJE REVIZIJE TEKSTA SAŽETKA OSNOVNIH KARAKTERISTIKA LIJEKA</w:t>
      </w:r>
    </w:p>
    <w:p w:rsidR="00AC4484" w:rsidRPr="0073562A" w:rsidRDefault="00AC4484" w:rsidP="00AC4484">
      <w:pPr>
        <w:tabs>
          <w:tab w:val="left" w:pos="0"/>
          <w:tab w:val="left" w:pos="540"/>
          <w:tab w:val="left" w:pos="569"/>
        </w:tabs>
        <w:spacing w:after="0" w:line="240" w:lineRule="auto"/>
        <w:rPr>
          <w:rFonts w:ascii="Times New Roman" w:eastAsia="Times New Roman" w:hAnsi="Times New Roman" w:cs="Times New Roman"/>
          <w:bCs/>
          <w:lang w:val="sr-Latn-ME"/>
        </w:rPr>
      </w:pPr>
    </w:p>
    <w:p w:rsidR="00AC4484" w:rsidRPr="0073562A" w:rsidRDefault="00652AF6" w:rsidP="00AC4484">
      <w:pPr>
        <w:tabs>
          <w:tab w:val="left" w:pos="0"/>
        </w:tabs>
        <w:spacing w:after="0" w:line="240" w:lineRule="auto"/>
        <w:rPr>
          <w:rFonts w:ascii="Times New Roman" w:eastAsia="Times New Roman" w:hAnsi="Times New Roman" w:cs="Times New Roman"/>
          <w:lang w:val="sr-Latn-ME"/>
        </w:rPr>
      </w:pPr>
      <w:r w:rsidRPr="0073562A">
        <w:rPr>
          <w:rFonts w:ascii="Times New Roman" w:eastAsia="Times New Roman" w:hAnsi="Times New Roman" w:cs="Times New Roman"/>
          <w:lang w:val="sr-Latn-ME"/>
        </w:rPr>
        <w:t>Decembar, 2018. godine</w:t>
      </w:r>
    </w:p>
    <w:p w:rsidR="009318B4" w:rsidRPr="0073562A" w:rsidRDefault="009318B4" w:rsidP="00AC4484">
      <w:pPr>
        <w:tabs>
          <w:tab w:val="left" w:pos="0"/>
        </w:tabs>
        <w:rPr>
          <w:rFonts w:ascii="Times New Roman" w:hAnsi="Times New Roman" w:cs="Times New Roman"/>
          <w:lang w:val="sr-Latn-ME"/>
        </w:rPr>
      </w:pPr>
    </w:p>
    <w:p w:rsidR="009318B4" w:rsidRPr="0073562A" w:rsidRDefault="00747C4B" w:rsidP="00AC4484">
      <w:pPr>
        <w:tabs>
          <w:tab w:val="left" w:pos="0"/>
          <w:tab w:val="left" w:pos="6150"/>
        </w:tabs>
        <w:rPr>
          <w:rFonts w:ascii="Times New Roman" w:hAnsi="Times New Roman" w:cs="Times New Roman"/>
          <w:lang w:val="sr-Latn-ME"/>
        </w:rPr>
      </w:pPr>
      <w:r w:rsidRPr="0073562A">
        <w:rPr>
          <w:rFonts w:ascii="Times New Roman" w:hAnsi="Times New Roman" w:cs="Times New Roman"/>
          <w:lang w:val="sr-Latn-ME"/>
        </w:rPr>
        <w:tab/>
      </w:r>
    </w:p>
    <w:p w:rsidR="009318B4" w:rsidRPr="0073562A" w:rsidRDefault="009318B4"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s>
        <w:rPr>
          <w:rFonts w:ascii="Times New Roman" w:hAnsi="Times New Roman" w:cs="Times New Roman"/>
          <w:lang w:val="sr-Latn-ME"/>
        </w:rPr>
      </w:pPr>
    </w:p>
    <w:p w:rsidR="00F1527C" w:rsidRPr="0073562A" w:rsidRDefault="00F1527C" w:rsidP="00AC4484">
      <w:pPr>
        <w:tabs>
          <w:tab w:val="left" w:pos="0"/>
          <w:tab w:val="left" w:pos="2751"/>
        </w:tabs>
        <w:rPr>
          <w:rFonts w:ascii="Times New Roman" w:hAnsi="Times New Roman" w:cs="Times New Roman"/>
          <w:lang w:val="sr-Latn-ME"/>
        </w:rPr>
      </w:pPr>
    </w:p>
    <w:p w:rsidR="00F1527C" w:rsidRPr="0073562A" w:rsidRDefault="00F1527C" w:rsidP="00AC4484">
      <w:pPr>
        <w:tabs>
          <w:tab w:val="left" w:pos="0"/>
          <w:tab w:val="left" w:pos="2751"/>
        </w:tabs>
        <w:rPr>
          <w:rFonts w:ascii="Times New Roman" w:hAnsi="Times New Roman" w:cs="Times New Roman"/>
          <w:lang w:val="sr-Latn-ME"/>
        </w:rPr>
      </w:pPr>
    </w:p>
    <w:p w:rsidR="00F1527C" w:rsidRPr="0073562A" w:rsidRDefault="00F1527C" w:rsidP="00AC4484">
      <w:pPr>
        <w:tabs>
          <w:tab w:val="left" w:pos="0"/>
          <w:tab w:val="left" w:pos="2751"/>
        </w:tabs>
        <w:rPr>
          <w:rFonts w:ascii="Times New Roman" w:hAnsi="Times New Roman" w:cs="Times New Roman"/>
          <w:lang w:val="sr-Latn-ME"/>
        </w:rPr>
      </w:pPr>
    </w:p>
    <w:p w:rsidR="009318B4" w:rsidRPr="0073562A" w:rsidRDefault="00F1527C" w:rsidP="00AC4484">
      <w:pPr>
        <w:tabs>
          <w:tab w:val="left" w:pos="0"/>
          <w:tab w:val="left" w:pos="2751"/>
        </w:tabs>
        <w:rPr>
          <w:rFonts w:ascii="Times New Roman" w:hAnsi="Times New Roman" w:cs="Times New Roman"/>
          <w:lang w:val="sr-Latn-ME"/>
        </w:rPr>
      </w:pPr>
      <w:r w:rsidRPr="0073562A">
        <w:rPr>
          <w:rFonts w:ascii="Times New Roman" w:hAnsi="Times New Roman" w:cs="Times New Roman"/>
          <w:lang w:val="sr-Latn-ME"/>
        </w:rPr>
        <w:tab/>
      </w:r>
    </w:p>
    <w:sectPr w:rsidR="009318B4" w:rsidRPr="0073562A"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082" w:rsidRDefault="00032082" w:rsidP="00FF2B5A">
      <w:pPr>
        <w:spacing w:after="0" w:line="240" w:lineRule="auto"/>
      </w:pPr>
      <w:r>
        <w:separator/>
      </w:r>
    </w:p>
  </w:endnote>
  <w:endnote w:type="continuationSeparator" w:id="0">
    <w:p w:rsidR="00032082" w:rsidRDefault="0003208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75979">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75979">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082" w:rsidRDefault="00032082" w:rsidP="00FF2B5A">
      <w:pPr>
        <w:spacing w:after="0" w:line="240" w:lineRule="auto"/>
      </w:pPr>
      <w:r>
        <w:separator/>
      </w:r>
    </w:p>
  </w:footnote>
  <w:footnote w:type="continuationSeparator" w:id="0">
    <w:p w:rsidR="00032082" w:rsidRDefault="0003208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B5784"/>
    <w:multiLevelType w:val="hybridMultilevel"/>
    <w:tmpl w:val="659A5154"/>
    <w:lvl w:ilvl="0" w:tplc="4D1225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F0EA2"/>
    <w:multiLevelType w:val="hybridMultilevel"/>
    <w:tmpl w:val="05A61EB2"/>
    <w:lvl w:ilvl="0" w:tplc="4D1225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2660D"/>
    <w:multiLevelType w:val="hybridMultilevel"/>
    <w:tmpl w:val="9E9C4530"/>
    <w:lvl w:ilvl="0" w:tplc="4D1225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2082"/>
    <w:rsid w:val="00116FE6"/>
    <w:rsid w:val="001D448D"/>
    <w:rsid w:val="00461135"/>
    <w:rsid w:val="004C75C0"/>
    <w:rsid w:val="005C29CF"/>
    <w:rsid w:val="00652AF6"/>
    <w:rsid w:val="0073092D"/>
    <w:rsid w:val="0073562A"/>
    <w:rsid w:val="00747C4B"/>
    <w:rsid w:val="008324EF"/>
    <w:rsid w:val="00883AF2"/>
    <w:rsid w:val="00912E9E"/>
    <w:rsid w:val="009318B4"/>
    <w:rsid w:val="00934541"/>
    <w:rsid w:val="009E005B"/>
    <w:rsid w:val="00A06058"/>
    <w:rsid w:val="00AC4484"/>
    <w:rsid w:val="00B234CE"/>
    <w:rsid w:val="00B34AF2"/>
    <w:rsid w:val="00B75979"/>
    <w:rsid w:val="00C4240B"/>
    <w:rsid w:val="00D45AFE"/>
    <w:rsid w:val="00E0627A"/>
    <w:rsid w:val="00EB2A93"/>
    <w:rsid w:val="00F1527C"/>
    <w:rsid w:val="00F978B9"/>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AC4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3277-896C-4C9C-AF84-289CC9C8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cp:revision>
  <dcterms:created xsi:type="dcterms:W3CDTF">2019-04-18T08:12:00Z</dcterms:created>
  <dcterms:modified xsi:type="dcterms:W3CDTF">2019-04-18T08:12:00Z</dcterms:modified>
</cp:coreProperties>
</file>