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D38" w:rsidRPr="00517D38" w:rsidRDefault="00517D38" w:rsidP="00E55096">
      <w:pPr>
        <w:spacing w:after="0" w:line="240" w:lineRule="auto"/>
        <w:jc w:val="center"/>
        <w:rPr>
          <w:rFonts w:ascii="Times New Roman" w:eastAsia="Times New Roman" w:hAnsi="Times New Roman" w:cs="Times New Roman"/>
          <w:b/>
          <w:bCs/>
          <w:iCs/>
          <w:u w:val="single"/>
          <w:lang w:val="sr-Latn-ME"/>
        </w:rPr>
      </w:pPr>
      <w:r w:rsidRPr="00517D38">
        <w:rPr>
          <w:rFonts w:ascii="Times New Roman" w:eastAsia="Times New Roman" w:hAnsi="Times New Roman" w:cs="Times New Roman"/>
          <w:b/>
          <w:bCs/>
          <w:iCs/>
          <w:u w:val="single"/>
          <w:lang w:val="sr-Latn-ME"/>
        </w:rPr>
        <w:t>SAŽETAK KARAKTERISTIKA LIJEKA</w:t>
      </w:r>
    </w:p>
    <w:p w:rsid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 xml:space="preserve"> </w:t>
      </w:r>
    </w:p>
    <w:p w:rsidR="00E55096" w:rsidRPr="00517D38" w:rsidRDefault="00E55096"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E55096">
      <w:pPr>
        <w:tabs>
          <w:tab w:val="left" w:pos="284"/>
        </w:tabs>
        <w:spacing w:after="0" w:line="240" w:lineRule="auto"/>
        <w:jc w:val="both"/>
        <w:rPr>
          <w:rFonts w:ascii="Times New Roman" w:eastAsia="Times New Roman" w:hAnsi="Times New Roman" w:cs="Times New Roman"/>
          <w:b/>
          <w:lang w:val="sr-Latn-ME"/>
        </w:rPr>
      </w:pPr>
      <w:r w:rsidRPr="00517D38">
        <w:rPr>
          <w:rFonts w:ascii="Times New Roman" w:eastAsia="Times New Roman" w:hAnsi="Times New Roman" w:cs="Times New Roman"/>
          <w:b/>
          <w:lang w:val="sr-Latn-ME"/>
        </w:rPr>
        <w:t>1. NAZIV LIJEKA</w:t>
      </w:r>
    </w:p>
    <w:p w:rsidR="00E55096" w:rsidRPr="00517D38" w:rsidRDefault="00E55096" w:rsidP="00E55096">
      <w:pPr>
        <w:tabs>
          <w:tab w:val="left" w:pos="284"/>
        </w:tabs>
        <w:spacing w:after="0" w:line="240" w:lineRule="auto"/>
        <w:jc w:val="both"/>
        <w:rPr>
          <w:rFonts w:ascii="Times New Roman" w:eastAsia="Times New Roman" w:hAnsi="Times New Roman" w:cs="Times New Roman"/>
          <w:b/>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Cs/>
          <w:lang w:val="sr-Latn-ME"/>
        </w:rPr>
      </w:pPr>
      <w:r w:rsidRPr="00517D38">
        <w:rPr>
          <w:rFonts w:ascii="Times New Roman" w:eastAsia="Times New Roman" w:hAnsi="Times New Roman" w:cs="Times New Roman"/>
          <w:bCs/>
          <w:lang w:val="sr-Latn-ME"/>
        </w:rPr>
        <w:t>CETRAXAL, 2 mg/ml, kapi za uši, rastvor u jednodoznom kontejneru</w:t>
      </w:r>
    </w:p>
    <w:p w:rsidR="00517D38" w:rsidRPr="00517D38" w:rsidRDefault="00517D38" w:rsidP="00517D38">
      <w:pPr>
        <w:tabs>
          <w:tab w:val="left" w:pos="284"/>
        </w:tabs>
        <w:spacing w:after="0" w:line="240" w:lineRule="auto"/>
        <w:jc w:val="both"/>
        <w:rPr>
          <w:rFonts w:ascii="Times New Roman" w:eastAsia="Times New Roman" w:hAnsi="Times New Roman" w:cs="Times New Roman"/>
          <w:bCs/>
          <w:lang w:val="sr-Latn-ME"/>
        </w:rPr>
      </w:pPr>
    </w:p>
    <w:p w:rsid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INN: ciprofloksacin</w:t>
      </w:r>
    </w:p>
    <w:p w:rsidR="00E55096" w:rsidRDefault="00E55096" w:rsidP="00517D38">
      <w:pPr>
        <w:tabs>
          <w:tab w:val="left" w:pos="284"/>
        </w:tabs>
        <w:spacing w:after="0" w:line="240" w:lineRule="auto"/>
        <w:jc w:val="both"/>
        <w:rPr>
          <w:rFonts w:ascii="Times New Roman" w:eastAsia="Times New Roman" w:hAnsi="Times New Roman" w:cs="Times New Roman"/>
          <w:lang w:val="sr-Latn-ME"/>
        </w:rPr>
      </w:pPr>
    </w:p>
    <w:p w:rsidR="00E55096" w:rsidRPr="00517D38" w:rsidRDefault="00E55096"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E55096">
      <w:pPr>
        <w:tabs>
          <w:tab w:val="left" w:pos="284"/>
        </w:tabs>
        <w:spacing w:after="0" w:line="240" w:lineRule="auto"/>
        <w:jc w:val="both"/>
        <w:rPr>
          <w:rFonts w:ascii="Times New Roman" w:eastAsia="Times New Roman" w:hAnsi="Times New Roman" w:cs="Times New Roman"/>
          <w:b/>
          <w:lang w:val="sr-Latn-ME"/>
        </w:rPr>
      </w:pPr>
      <w:r w:rsidRPr="00517D38">
        <w:rPr>
          <w:rFonts w:ascii="Times New Roman" w:eastAsia="Times New Roman" w:hAnsi="Times New Roman" w:cs="Times New Roman"/>
          <w:b/>
          <w:lang w:val="sr-Latn-ME"/>
        </w:rPr>
        <w:t>2. KVALITATIVNI I KVANTITATIVNI SASTAV</w:t>
      </w:r>
    </w:p>
    <w:p w:rsidR="00E55096" w:rsidRPr="00517D38" w:rsidRDefault="00E55096" w:rsidP="00E55096">
      <w:pPr>
        <w:tabs>
          <w:tab w:val="left" w:pos="284"/>
        </w:tabs>
        <w:spacing w:after="0" w:line="240" w:lineRule="auto"/>
        <w:jc w:val="both"/>
        <w:rPr>
          <w:rFonts w:ascii="Times New Roman" w:eastAsia="Times New Roman" w:hAnsi="Times New Roman" w:cs="Times New Roman"/>
          <w:b/>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Jedan mililitar rastvora sadrži 2 mg ciprofloksacina u obliku ciprofloksacin hidrohlorida.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Jedan jednodozni kontejner sadrži 0,25 ml rastvora u kome se nalazi 0,58 mg ciprofloksacin hidrohlorida, što odgovara 0,50 mg ciprofloksacina.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Za spisak svih ekscipijenasa, pogledati dio 6.1.</w:t>
      </w:r>
    </w:p>
    <w:p w:rsidR="00E55096" w:rsidRDefault="00E55096" w:rsidP="00517D38">
      <w:pPr>
        <w:tabs>
          <w:tab w:val="left" w:pos="284"/>
        </w:tabs>
        <w:spacing w:after="0" w:line="240" w:lineRule="auto"/>
        <w:jc w:val="both"/>
        <w:rPr>
          <w:rFonts w:ascii="Times New Roman" w:eastAsia="Times New Roman" w:hAnsi="Times New Roman" w:cs="Times New Roman"/>
          <w:lang w:val="sr-Latn-ME"/>
        </w:rPr>
      </w:pPr>
    </w:p>
    <w:p w:rsidR="00E55096" w:rsidRPr="00517D38" w:rsidRDefault="00E55096"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E55096">
      <w:pPr>
        <w:tabs>
          <w:tab w:val="left" w:pos="284"/>
        </w:tabs>
        <w:spacing w:after="0" w:line="240" w:lineRule="auto"/>
        <w:jc w:val="both"/>
        <w:rPr>
          <w:rFonts w:ascii="Times New Roman" w:eastAsia="Times New Roman" w:hAnsi="Times New Roman" w:cs="Times New Roman"/>
          <w:b/>
          <w:lang w:val="sr-Latn-ME"/>
        </w:rPr>
      </w:pPr>
      <w:r w:rsidRPr="00517D38">
        <w:rPr>
          <w:rFonts w:ascii="Times New Roman" w:eastAsia="Times New Roman" w:hAnsi="Times New Roman" w:cs="Times New Roman"/>
          <w:b/>
          <w:lang w:val="sr-Latn-ME"/>
        </w:rPr>
        <w:t>3. FARMACEUTSKI OBLIK</w:t>
      </w:r>
    </w:p>
    <w:p w:rsidR="00E55096" w:rsidRPr="00517D38" w:rsidRDefault="00E55096" w:rsidP="00E55096">
      <w:pPr>
        <w:tabs>
          <w:tab w:val="left" w:pos="284"/>
        </w:tabs>
        <w:spacing w:after="0" w:line="240" w:lineRule="auto"/>
        <w:jc w:val="both"/>
        <w:rPr>
          <w:rFonts w:ascii="Times New Roman" w:eastAsia="Times New Roman" w:hAnsi="Times New Roman" w:cs="Times New Roman"/>
          <w:b/>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Cs/>
          <w:lang w:val="sr-Latn-ME"/>
        </w:rPr>
      </w:pPr>
      <w:r w:rsidRPr="00517D38">
        <w:rPr>
          <w:rFonts w:ascii="Times New Roman" w:eastAsia="Times New Roman" w:hAnsi="Times New Roman" w:cs="Times New Roman"/>
          <w:lang w:val="sr-Latn-ME"/>
        </w:rPr>
        <w:t>Kapi za uši, rastvor u jednodoznom kontejneru.</w:t>
      </w:r>
    </w:p>
    <w:p w:rsidR="00517D38" w:rsidRDefault="00517D38" w:rsidP="00517D38">
      <w:pPr>
        <w:tabs>
          <w:tab w:val="left" w:pos="284"/>
        </w:tabs>
        <w:spacing w:after="0" w:line="240" w:lineRule="auto"/>
        <w:jc w:val="both"/>
        <w:rPr>
          <w:rFonts w:ascii="Times New Roman" w:eastAsia="Times New Roman" w:hAnsi="Times New Roman" w:cs="Times New Roman"/>
          <w:bCs/>
          <w:lang w:val="sr-Latn-ME"/>
        </w:rPr>
      </w:pPr>
      <w:r w:rsidRPr="00517D38">
        <w:rPr>
          <w:rFonts w:ascii="Times New Roman" w:eastAsia="Times New Roman" w:hAnsi="Times New Roman" w:cs="Times New Roman"/>
          <w:bCs/>
          <w:lang w:val="sr-Latn-ME"/>
        </w:rPr>
        <w:t>Bistar, sterilan vodeni rastvor koji ne sadrži konzervanse.</w:t>
      </w:r>
    </w:p>
    <w:p w:rsidR="00E55096" w:rsidRDefault="00E55096" w:rsidP="00517D38">
      <w:pPr>
        <w:tabs>
          <w:tab w:val="left" w:pos="284"/>
        </w:tabs>
        <w:spacing w:after="0" w:line="240" w:lineRule="auto"/>
        <w:jc w:val="both"/>
        <w:rPr>
          <w:rFonts w:ascii="Times New Roman" w:eastAsia="Times New Roman" w:hAnsi="Times New Roman" w:cs="Times New Roman"/>
          <w:lang w:val="sr-Latn-ME"/>
        </w:rPr>
      </w:pPr>
    </w:p>
    <w:p w:rsidR="00E55096" w:rsidRPr="00517D38" w:rsidRDefault="00E55096"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E55096">
      <w:pPr>
        <w:tabs>
          <w:tab w:val="left" w:pos="284"/>
        </w:tabs>
        <w:spacing w:after="0" w:line="240" w:lineRule="auto"/>
        <w:jc w:val="both"/>
        <w:rPr>
          <w:rFonts w:ascii="Times New Roman" w:eastAsia="Times New Roman" w:hAnsi="Times New Roman" w:cs="Times New Roman"/>
          <w:b/>
          <w:lang w:val="sr-Latn-ME"/>
        </w:rPr>
      </w:pPr>
      <w:r w:rsidRPr="00517D38">
        <w:rPr>
          <w:rFonts w:ascii="Times New Roman" w:eastAsia="Times New Roman" w:hAnsi="Times New Roman" w:cs="Times New Roman"/>
          <w:b/>
          <w:lang w:val="sr-Latn-ME"/>
        </w:rPr>
        <w:t>4. KLINIČKI PODACI</w:t>
      </w:r>
    </w:p>
    <w:p w:rsidR="00E55096" w:rsidRPr="00517D38" w:rsidRDefault="00E55096" w:rsidP="00E55096">
      <w:pPr>
        <w:tabs>
          <w:tab w:val="left" w:pos="284"/>
        </w:tabs>
        <w:spacing w:after="0" w:line="240" w:lineRule="auto"/>
        <w:jc w:val="both"/>
        <w:rPr>
          <w:rFonts w:ascii="Times New Roman" w:eastAsia="Times New Roman" w:hAnsi="Times New Roman" w:cs="Times New Roman"/>
          <w:b/>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4.1. Terapijske indikacije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Lijek CETRAXAL, 2 mg/ml, kapi za uši, rastvor u jednodoznom kontejneru, je indikovan za liječenje akutnog zapaljenja spoljašnjeg uha (</w:t>
      </w:r>
      <w:r w:rsidRPr="00517D38">
        <w:rPr>
          <w:rFonts w:ascii="Times New Roman" w:eastAsia="Times New Roman" w:hAnsi="Times New Roman" w:cs="Times New Roman"/>
          <w:i/>
          <w:lang w:val="sr-Latn-ME"/>
        </w:rPr>
        <w:t>otitis extern</w:t>
      </w:r>
      <w:r w:rsidRPr="00517D38">
        <w:rPr>
          <w:rFonts w:ascii="Times New Roman" w:eastAsia="Times New Roman" w:hAnsi="Times New Roman" w:cs="Times New Roman"/>
          <w:lang w:val="sr-Latn-ME"/>
        </w:rPr>
        <w:t>a) kod odraslih i djece starije od 1 godine, kod kojih ne postoji oštećenje bubne opne, ukoliko je zapaljenje izazvano mikroorganizmima osjetljivim na ciprofloksacin (vidjeti odjeljke 4.4 i 5.1).</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Treba uzeti u obzir zvanične smjernice o adekvatnom korišćenju antibiotika.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4.2. Doziranje i način primjene</w:t>
      </w:r>
    </w:p>
    <w:p w:rsidR="00517D38" w:rsidRPr="00517D38" w:rsidRDefault="00517D38" w:rsidP="00517D38">
      <w:pPr>
        <w:tabs>
          <w:tab w:val="left" w:pos="284"/>
        </w:tabs>
        <w:spacing w:after="0" w:line="240" w:lineRule="auto"/>
        <w:jc w:val="both"/>
        <w:rPr>
          <w:rFonts w:ascii="Times New Roman" w:eastAsia="Times New Roman" w:hAnsi="Times New Roman" w:cs="Times New Roman"/>
          <w:i/>
          <w:lang w:val="sr-Latn-ME"/>
        </w:rPr>
      </w:pPr>
    </w:p>
    <w:p w:rsidR="00517D38" w:rsidRDefault="00517D38" w:rsidP="00517D38">
      <w:pPr>
        <w:tabs>
          <w:tab w:val="left" w:pos="284"/>
        </w:tabs>
        <w:spacing w:after="0" w:line="240" w:lineRule="auto"/>
        <w:jc w:val="both"/>
        <w:rPr>
          <w:rFonts w:ascii="Times New Roman" w:eastAsia="Times New Roman" w:hAnsi="Times New Roman" w:cs="Times New Roman"/>
          <w:i/>
          <w:lang w:val="sr-Latn-ME"/>
        </w:rPr>
      </w:pPr>
      <w:r w:rsidRPr="00517D38">
        <w:rPr>
          <w:rFonts w:ascii="Times New Roman" w:eastAsia="Times New Roman" w:hAnsi="Times New Roman" w:cs="Times New Roman"/>
          <w:bCs/>
          <w:u w:val="single"/>
          <w:lang w:val="sr-Latn-ME"/>
        </w:rPr>
        <w:t>Doziranje</w:t>
      </w:r>
      <w:r w:rsidRPr="00517D38">
        <w:rPr>
          <w:rFonts w:ascii="Times New Roman" w:eastAsia="Times New Roman" w:hAnsi="Times New Roman" w:cs="Times New Roman"/>
          <w:i/>
          <w:lang w:val="sr-Latn-ME"/>
        </w:rPr>
        <w:t xml:space="preserve"> </w:t>
      </w:r>
    </w:p>
    <w:p w:rsidR="00E55096" w:rsidRPr="00517D38" w:rsidRDefault="00E55096" w:rsidP="00517D38">
      <w:pPr>
        <w:tabs>
          <w:tab w:val="left" w:pos="284"/>
        </w:tabs>
        <w:spacing w:after="0" w:line="240" w:lineRule="auto"/>
        <w:jc w:val="both"/>
        <w:rPr>
          <w:rFonts w:ascii="Times New Roman" w:eastAsia="Times New Roman" w:hAnsi="Times New Roman" w:cs="Times New Roman"/>
          <w:i/>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i/>
          <w:lang w:val="sr-Latn-ME"/>
        </w:rPr>
      </w:pPr>
      <w:r w:rsidRPr="00517D38">
        <w:rPr>
          <w:rFonts w:ascii="Times New Roman" w:eastAsia="Times New Roman" w:hAnsi="Times New Roman" w:cs="Times New Roman"/>
          <w:i/>
          <w:lang w:val="sr-Latn-ME"/>
        </w:rPr>
        <w:t>Odrasli i djeca uzrasta 1 godine i starija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Ukapati sadržaj jednog jednodoznog kontejnera u oboljelo uho dva puta dnevno tokom 7 dana.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i/>
          <w:lang w:val="sr-Latn-ME"/>
        </w:rPr>
      </w:pPr>
      <w:r w:rsidRPr="00517D38">
        <w:rPr>
          <w:rFonts w:ascii="Times New Roman" w:eastAsia="Times New Roman" w:hAnsi="Times New Roman" w:cs="Times New Roman"/>
          <w:i/>
          <w:lang w:val="sr-Latn-ME"/>
        </w:rPr>
        <w:t>Pedijatrijski pacijenti mlađi od 1 godine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Bezbjednost i efikasnost lijeka CETRAXAL nije utvrđena kod djece mlađe od 1 godine. Ne postoje dostupni podaci. Vidjeti odjeljak 4.4.</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i/>
          <w:lang w:val="sr-Latn-ME"/>
        </w:rPr>
      </w:pPr>
      <w:r w:rsidRPr="00517D38">
        <w:rPr>
          <w:rFonts w:ascii="Times New Roman" w:eastAsia="Times New Roman" w:hAnsi="Times New Roman" w:cs="Times New Roman"/>
          <w:i/>
          <w:lang w:val="sr-Latn-ME"/>
        </w:rPr>
        <w:lastRenderedPageBreak/>
        <w:t>Pacijenti sa oštećenom funkcijom bubrega ili jetre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Budući da je koncentracija lijeka u plazmi zanemarljiva, nije potrebno prilagođavanje doze kod ove grupe pacijenata.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u w:val="single"/>
          <w:lang w:val="sr-Latn-ME"/>
        </w:rPr>
      </w:pPr>
      <w:r w:rsidRPr="00517D38">
        <w:rPr>
          <w:rFonts w:ascii="Times New Roman" w:eastAsia="Times New Roman" w:hAnsi="Times New Roman" w:cs="Times New Roman"/>
          <w:u w:val="single"/>
          <w:lang w:val="sr-Latn-ME"/>
        </w:rPr>
        <w:t>Način primjene</w:t>
      </w:r>
    </w:p>
    <w:p w:rsidR="00517D38" w:rsidRPr="00517D38" w:rsidRDefault="00517D38" w:rsidP="00517D38">
      <w:pPr>
        <w:numPr>
          <w:ilvl w:val="0"/>
          <w:numId w:val="1"/>
        </w:num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i/>
          <w:lang w:val="sr-Latn-ME"/>
        </w:rPr>
        <w:t xml:space="preserve">Mjere opreza prije rukovanja ili primjene lijeka: </w:t>
      </w:r>
      <w:r w:rsidRPr="00517D38">
        <w:rPr>
          <w:rFonts w:ascii="Times New Roman" w:eastAsia="Times New Roman" w:hAnsi="Times New Roman" w:cs="Times New Roman"/>
          <w:lang w:val="sr-Latn-ME"/>
        </w:rPr>
        <w:t>Rastvor treba zagrijati tako što će se jednodozni kontejner držati u ruci nekoliko minuta, kako bi se izbjegla pojava vrtoglavice, do koje može da dođe ukoliko se u ušni kanal primijeni hladan rastvor.</w:t>
      </w:r>
    </w:p>
    <w:p w:rsidR="00517D38" w:rsidRPr="00517D38" w:rsidRDefault="00517D38" w:rsidP="00517D38">
      <w:pPr>
        <w:numPr>
          <w:ilvl w:val="0"/>
          <w:numId w:val="1"/>
        </w:num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Pacijent treba da legne tako da mu oboljelo uho bude okrenuto na gore, a zatim treba ukapati kapi povlačeći ušnu školjku radi lakše primjene. Pacijent u ovom položaju treba da ostane oko 5 minuta, da bi kapi lakše prodrle u uho. Po potrebi, postupak ponoviti i sa drugim uhom.</w:t>
      </w:r>
    </w:p>
    <w:p w:rsidR="00517D38" w:rsidRPr="00517D38" w:rsidRDefault="00517D38" w:rsidP="00517D38">
      <w:pPr>
        <w:numPr>
          <w:ilvl w:val="0"/>
          <w:numId w:val="1"/>
        </w:num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Nakon primjene treba odbaciti jednodozni kontejner, ne treba ga čuvati za ponovnu primjenu.</w:t>
      </w:r>
    </w:p>
    <w:p w:rsidR="00517D38" w:rsidRPr="00517D38" w:rsidRDefault="00517D38" w:rsidP="00517D38">
      <w:pPr>
        <w:numPr>
          <w:ilvl w:val="0"/>
          <w:numId w:val="1"/>
        </w:num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Ukoliko se radi lakše primjene koristi tampon za uši, prvu dozu treba udvostručiti (2 jednodozna kontejnera umjesto 1).</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4.3. Kontraindikacije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Preosjetljivost na aktivnu supstancu ciprofloksacin ili na bilo koji antibiotik iz grupe hinolonskih antibiotika, kao i na bilo koju od pomoćnih supstanci navedenih u odjeljku 6.1.</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4.4. Posebna upozorenja i mjere opreza pri upotrebi lijeka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Ovaj lijek je namijenjen za aurikularnu primjenu (primjenu u uho), nije namijenjen za oftalmološku primjenu, niti primjenu u vidu inhalacije ili injekcije.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Kod primjene ljekova u uho, potrebno je pažljivo praćenje da bi se na vrijeme utvrdilo da li je potrebna primjena drugih terapijskih mjera.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u w:val="single"/>
          <w:lang w:val="sr-Latn-ME"/>
        </w:rPr>
      </w:pPr>
      <w:r w:rsidRPr="00517D38">
        <w:rPr>
          <w:rFonts w:ascii="Times New Roman" w:eastAsia="Times New Roman" w:hAnsi="Times New Roman" w:cs="Times New Roman"/>
          <w:u w:val="single"/>
          <w:lang w:val="sr-Latn-ME"/>
        </w:rPr>
        <w:t>Pedijatrijska populacija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 xml:space="preserve">Bezbjednost i efikasnost ovog lijeka su utvrđene u kontrolisanim kliničkim ispitivanjima u pedijatrijskoj populaciji uzrasta od 1 godine i starijoj. Iako postoji veoma malo podataka o pacijentima mlađim od 1 godine kod kojih je liječeno akutno zapaljenje spoljašnjeg uha, ne postoje razlike u samom procesu bolesti kod ovih pacijenata koje bi isključile primjenu ovog lijeka kod pacijenata mlađih od 1 godine. Na osnovu veoma ograničenog broja podataka, ljekar treba da procijeni koristi terapije u odnosu na poznate i nepoznate rizike ukoliko propisuje ovaj lijek pacijentima mlađim od 1 godine. </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Bezbjednost i efikasnost lijeka CETRAXAL nijesu ispitivane u slučaju perforacije bubne opne. Stoga, lijek CETRAXAL treba primjenjivati sa oprezom kod pacijenata kod kojih postoji ili se sumnja na perforaciju bubne opne, kao i kod pacijenata kod kojih postoji rizik od perforacije bubne opne.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Ukoliko se pojavi osip na koži ili bilo koji drugi znak preosjetljivosti, treba odmah prekinuti sa primjenom lijeka CETRAXAL. Kod nekih pacijenata koji su primali sistemske hinolone, prijavljene su ozbiljne reakcije preosjetljivosti, neke i sa fatalnim ishodom, pri čemu su se neke od njih javile već nakon primjene prve doze lijeka. U slučaju pojave ozbiljne akutne reakcije preosjetljivosti, može biti potrebno hitno medicinsko liječenje.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lastRenderedPageBreak/>
        <w:t>Kao i kod drugih antibiotika, primjena ovog lijeka može da dovede do prekomjernog rasta neosjetljivih mikroorganizama, kao što su neki sojevi bakterija i gljivica. Ukoliko se razvije superinfekcija, treba započeti odgovarajuću terapiju.</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Ukoliko se i nakon nedjelju dana terapije neki znaci i simptomi nastave, potrebno je dodatno ispitivanje i procjena bolesti i terapije.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Kod nekih pacijenata koji su primali sistemske hinolone, prijavljena je pojava umjerene ili ozbiljne osjetljivosti kože na sunce. Zbog mjesta primjene ovog lijeka, ne očekuju se fotoalergijske reakcije.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4.5. Interakcije sa drugim ljekovima i druge vrste interakcija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Nijesu sprovedene studije interakcije sa lijekom CETRAXAL.</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 xml:space="preserve">Budući da se nakon primjene u uho očekuje nizak nivo lijeka u plazmi, malo je vjerovatno da ciprofloksacin može da ima sistemske interakcije sa drugim ljekovima. </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Ne preporučuje se istovremena primjena drugih ljekova u uho.</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4.6. Plodnost, trudnoća i dojenje</w:t>
      </w:r>
    </w:p>
    <w:p w:rsidR="00517D38" w:rsidRPr="00517D38" w:rsidRDefault="00517D38" w:rsidP="00517D38">
      <w:pPr>
        <w:tabs>
          <w:tab w:val="left" w:pos="284"/>
        </w:tabs>
        <w:spacing w:after="0" w:line="240" w:lineRule="auto"/>
        <w:jc w:val="both"/>
        <w:rPr>
          <w:rFonts w:ascii="Times New Roman" w:eastAsia="Times New Roman" w:hAnsi="Times New Roman" w:cs="Times New Roman"/>
          <w:u w:val="single"/>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u w:val="single"/>
          <w:lang w:val="sr-Latn-ME"/>
        </w:rPr>
      </w:pPr>
      <w:r w:rsidRPr="00517D38">
        <w:rPr>
          <w:rFonts w:ascii="Times New Roman" w:eastAsia="Times New Roman" w:hAnsi="Times New Roman" w:cs="Times New Roman"/>
          <w:u w:val="single"/>
          <w:lang w:val="sr-Latn-ME"/>
        </w:rPr>
        <w:t>Plodnost</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Studije na životinjama nakon oralne primjene ciprofloksacina ne ukazuju na uticaj ovog lijeka na plodnost.</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u w:val="single"/>
          <w:lang w:val="sr-Latn-ME"/>
        </w:rPr>
      </w:pPr>
      <w:r w:rsidRPr="00517D38">
        <w:rPr>
          <w:rFonts w:ascii="Times New Roman" w:eastAsia="Times New Roman" w:hAnsi="Times New Roman" w:cs="Times New Roman"/>
          <w:u w:val="single"/>
          <w:lang w:val="sr-Latn-ME"/>
        </w:rPr>
        <w:t>Trudnoća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Ne postoje podaci o primjeni ciprofloksacina u obliku kapi za uho, 0,2 % rastvor, kod trudnica. Postoje određeni podaci o oralnoj primjeni ciprofloksacina kod trudnica. Nakon primjene u uho nije primijećena reproduktivna toksičnost. Međutim, nakon sistemske izloženosti, studije na životinjama ne ukazuju na direktne ili indirektne štetne efekte u pogledu reproduktivne toksičnosti (vidjeti odjeljak 5.3).</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Budući da je sistemska izloženost ciprofloksacinu nakon primjene u uho zanemarljiva, ne očekuju se štetni efekti ovog lijeka tokom trudnoće. Lijek CETRAXAL može da se koristi u trudnoći.</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u w:val="single"/>
          <w:lang w:val="sr-Latn-ME"/>
        </w:rPr>
      </w:pPr>
      <w:r w:rsidRPr="00517D38">
        <w:rPr>
          <w:rFonts w:ascii="Times New Roman" w:eastAsia="Times New Roman" w:hAnsi="Times New Roman" w:cs="Times New Roman"/>
          <w:u w:val="single"/>
          <w:lang w:val="sr-Latn-ME"/>
        </w:rPr>
        <w:t>Dojenje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Nakon sistemske primjene, ciprofloksacin se izlučuje u majčino mlijeko. Nije poznato da li se ciprofloksacin izlučuje u majčino mlijeko nakon primjene u uho. Budući da je sistemska izloženost ciprofloksacinu nakon primjene u uho kod dojilja zanemarljiva, ne očekuju se efekti na odojče. Lijek CETRAXAL može da se primjenjuje tokom dojenja.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4.7. Uticaj na sposobnost upravljanja vozilima i rukovanje mašinama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Lijek CETRAXAL nema ili ima zanemarljiv uticaj na sposobnost upravljanja vozilima i rukovanje mašinama.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4.8. Neželjena dejstva</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r w:rsidRPr="00517D38">
        <w:rPr>
          <w:rFonts w:ascii="Times New Roman" w:eastAsia="Times New Roman" w:hAnsi="Times New Roman" w:cs="Times New Roman"/>
          <w:noProof/>
          <w:lang w:val="sr-Latn-ME"/>
        </w:rPr>
        <w:t>U  kliničkom ispitivanju Faze III učestvovalo je 319 pacijenata koji su liječeni lijekom ciprofloksacin.</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r w:rsidRPr="00517D38">
        <w:rPr>
          <w:rFonts w:ascii="Times New Roman" w:eastAsia="Times New Roman" w:hAnsi="Times New Roman" w:cs="Times New Roman"/>
          <w:noProof/>
          <w:lang w:val="sr-Latn-ME"/>
        </w:rPr>
        <w:lastRenderedPageBreak/>
        <w:t>Najčešće prijavljene neželjene reakcije su: pruritus uha koji se javljao kod 0,9% pacijenata liječenih ciprofloksacinom, kao i glavobolja i bol na mjestu primjene koji su se javili kod oko 0,6% pacijenata.</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r w:rsidRPr="00517D38">
        <w:rPr>
          <w:rFonts w:ascii="Times New Roman" w:eastAsia="Times New Roman" w:hAnsi="Times New Roman" w:cs="Times New Roman"/>
          <w:noProof/>
          <w:lang w:val="sr-Latn-ME"/>
        </w:rPr>
        <w:t>Sva neželjena dejstva povezana sa primjenom lijeka su prema učestalosti javljanja bila povremena (</w:t>
      </w:r>
      <w:r w:rsidRPr="00517D38">
        <w:rPr>
          <w:rFonts w:ascii="Times New Roman" w:eastAsia="Times New Roman" w:hAnsi="Times New Roman" w:cs="Times New Roman"/>
          <w:noProof/>
          <w:lang w:val="sr-Latn-ME"/>
        </w:rPr>
        <w:sym w:font="Symbol" w:char="F0B3"/>
      </w:r>
      <w:r w:rsidRPr="00517D38">
        <w:rPr>
          <w:rFonts w:ascii="Times New Roman" w:eastAsia="Times New Roman" w:hAnsi="Times New Roman" w:cs="Times New Roman"/>
          <w:noProof/>
          <w:lang w:val="sr-Latn-ME"/>
        </w:rPr>
        <w:t>1/1000 do &lt;1/100) i navedena su ispod.</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i/>
          <w:noProof/>
          <w:lang w:val="sr-Latn-ME"/>
        </w:rPr>
      </w:pPr>
      <w:r w:rsidRPr="00517D38">
        <w:rPr>
          <w:rFonts w:ascii="Times New Roman" w:eastAsia="Times New Roman" w:hAnsi="Times New Roman" w:cs="Times New Roman"/>
          <w:i/>
          <w:noProof/>
          <w:lang w:val="sr-Latn-ME"/>
        </w:rPr>
        <w:t>Poremećaji uha i labirinta</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r w:rsidRPr="00517D38">
        <w:rPr>
          <w:rFonts w:ascii="Times New Roman" w:eastAsia="Times New Roman" w:hAnsi="Times New Roman" w:cs="Times New Roman"/>
          <w:noProof/>
          <w:lang w:val="sr-Latn-ME"/>
        </w:rPr>
        <w:t>Povremeno: pruritus uha, tinitus</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i/>
          <w:noProof/>
          <w:lang w:val="sr-Latn-ME"/>
        </w:rPr>
      </w:pP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i/>
          <w:noProof/>
          <w:lang w:val="sr-Latn-ME"/>
        </w:rPr>
      </w:pPr>
      <w:r w:rsidRPr="00517D38">
        <w:rPr>
          <w:rFonts w:ascii="Times New Roman" w:eastAsia="Times New Roman" w:hAnsi="Times New Roman" w:cs="Times New Roman"/>
          <w:i/>
          <w:noProof/>
          <w:lang w:val="sr-Latn-ME"/>
        </w:rPr>
        <w:t>Poremećaji nervnog sistema</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r w:rsidRPr="00517D38">
        <w:rPr>
          <w:rFonts w:ascii="Times New Roman" w:eastAsia="Times New Roman" w:hAnsi="Times New Roman" w:cs="Times New Roman"/>
          <w:noProof/>
          <w:lang w:val="sr-Latn-ME"/>
        </w:rPr>
        <w:t>Povremeno: vrtoglavica, glavobolja</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i/>
          <w:noProof/>
          <w:lang w:val="sr-Latn-ME"/>
        </w:rPr>
      </w:pP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i/>
          <w:noProof/>
          <w:lang w:val="sr-Latn-ME"/>
        </w:rPr>
      </w:pPr>
      <w:r w:rsidRPr="00517D38">
        <w:rPr>
          <w:rFonts w:ascii="Times New Roman" w:eastAsia="Times New Roman" w:hAnsi="Times New Roman" w:cs="Times New Roman"/>
          <w:i/>
          <w:noProof/>
          <w:lang w:val="sr-Latn-ME"/>
        </w:rPr>
        <w:t>Poremećaji kože i potkožnog tkiva</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r w:rsidRPr="00517D38">
        <w:rPr>
          <w:rFonts w:ascii="Times New Roman" w:eastAsia="Times New Roman" w:hAnsi="Times New Roman" w:cs="Times New Roman"/>
          <w:noProof/>
          <w:lang w:val="sr-Latn-ME"/>
        </w:rPr>
        <w:t>Povremeno: dermatitis</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i/>
          <w:noProof/>
          <w:lang w:val="sr-Latn-ME"/>
        </w:rPr>
      </w:pP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i/>
          <w:noProof/>
          <w:lang w:val="sr-Latn-ME"/>
        </w:rPr>
      </w:pPr>
      <w:r w:rsidRPr="00517D38">
        <w:rPr>
          <w:rFonts w:ascii="Times New Roman" w:eastAsia="Times New Roman" w:hAnsi="Times New Roman" w:cs="Times New Roman"/>
          <w:i/>
          <w:noProof/>
          <w:lang w:val="sr-Latn-ME"/>
        </w:rPr>
        <w:t>Opšti poremećaji i reakcije na mjestu primjene</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r w:rsidRPr="00517D38">
        <w:rPr>
          <w:rFonts w:ascii="Times New Roman" w:eastAsia="Times New Roman" w:hAnsi="Times New Roman" w:cs="Times New Roman"/>
          <w:noProof/>
          <w:lang w:val="sr-Latn-ME"/>
        </w:rPr>
        <w:t>Povremeno: bol na mjestu primjene</w:t>
      </w:r>
    </w:p>
    <w:p w:rsidR="00517D38" w:rsidRPr="00517D38" w:rsidRDefault="00517D38" w:rsidP="00517D38">
      <w:pPr>
        <w:tabs>
          <w:tab w:val="left" w:pos="284"/>
        </w:tabs>
        <w:autoSpaceDE w:val="0"/>
        <w:autoSpaceDN w:val="0"/>
        <w:adjustRightInd w:val="0"/>
        <w:spacing w:after="0" w:line="240" w:lineRule="auto"/>
        <w:jc w:val="both"/>
        <w:rPr>
          <w:rFonts w:ascii="Times New Roman" w:eastAsia="Times New Roman" w:hAnsi="Times New Roman" w:cs="Times New Roman"/>
          <w:i/>
          <w:noProof/>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noProof/>
          <w:u w:val="single"/>
          <w:lang w:val="sr-Latn-ME"/>
        </w:rPr>
      </w:pPr>
      <w:r w:rsidRPr="00517D38">
        <w:rPr>
          <w:rFonts w:ascii="Times New Roman" w:eastAsia="Times New Roman" w:hAnsi="Times New Roman" w:cs="Times New Roman"/>
          <w:noProof/>
          <w:lang w:val="sr-Latn-ME"/>
        </w:rPr>
        <w:t xml:space="preserve">Kod lokalne primjene fluorohinolona veoma rijetko su primijećeni (generalizovani) osip, toksična epidermoliza, eksfolijativni dermatitis, </w:t>
      </w:r>
      <w:r w:rsidRPr="00517D38">
        <w:rPr>
          <w:rFonts w:ascii="Times New Roman" w:eastAsia="Times New Roman" w:hAnsi="Times New Roman" w:cs="Times New Roman"/>
          <w:i/>
          <w:noProof/>
          <w:lang w:val="sr-Latn-ME"/>
        </w:rPr>
        <w:t>Stevens-Johnson-</w:t>
      </w:r>
      <w:r w:rsidRPr="00517D38">
        <w:rPr>
          <w:rFonts w:ascii="Times New Roman" w:eastAsia="Times New Roman" w:hAnsi="Times New Roman" w:cs="Times New Roman"/>
          <w:noProof/>
          <w:lang w:val="sr-Latn-ME"/>
        </w:rPr>
        <w:t>ov sindrom i urtikarija.</w:t>
      </w:r>
    </w:p>
    <w:p w:rsidR="00517D38" w:rsidRPr="00517D38" w:rsidRDefault="00517D38" w:rsidP="00517D38">
      <w:pPr>
        <w:tabs>
          <w:tab w:val="left" w:pos="284"/>
        </w:tabs>
        <w:spacing w:after="0" w:line="240" w:lineRule="auto"/>
        <w:jc w:val="both"/>
        <w:rPr>
          <w:rFonts w:ascii="Times New Roman" w:eastAsia="Times New Roman" w:hAnsi="Times New Roman" w:cs="Times New Roman"/>
          <w:noProof/>
          <w:u w:val="single"/>
          <w:lang w:val="sr-Latn-ME"/>
        </w:rPr>
      </w:pPr>
    </w:p>
    <w:p w:rsidR="00517D38" w:rsidRDefault="00517D38" w:rsidP="00517D38">
      <w:pPr>
        <w:spacing w:after="0" w:line="240" w:lineRule="auto"/>
        <w:jc w:val="both"/>
        <w:rPr>
          <w:rFonts w:ascii="Times New Roman" w:eastAsia="Calibri" w:hAnsi="Times New Roman" w:cs="Times New Roman"/>
          <w:u w:val="single"/>
          <w:lang w:val="sr-Latn-ME"/>
        </w:rPr>
      </w:pPr>
      <w:r w:rsidRPr="00517D38">
        <w:rPr>
          <w:rFonts w:ascii="Times New Roman" w:eastAsia="Calibri" w:hAnsi="Times New Roman" w:cs="Times New Roman"/>
          <w:u w:val="single"/>
          <w:lang w:val="sr-Latn-ME"/>
        </w:rPr>
        <w:t>Prijavljivanje sumnji na neželjena dejstva</w:t>
      </w:r>
    </w:p>
    <w:p w:rsidR="00E55096" w:rsidRPr="00517D38" w:rsidRDefault="00E55096" w:rsidP="00517D38">
      <w:pPr>
        <w:spacing w:after="0" w:line="240" w:lineRule="auto"/>
        <w:jc w:val="both"/>
        <w:rPr>
          <w:rFonts w:ascii="Times New Roman" w:eastAsia="Calibri" w:hAnsi="Times New Roman" w:cs="Times New Roman"/>
          <w:u w:val="single"/>
          <w:lang w:val="sr-Latn-ME"/>
        </w:rPr>
      </w:pPr>
    </w:p>
    <w:p w:rsidR="00517D38" w:rsidRDefault="00517D38" w:rsidP="00517D38">
      <w:pPr>
        <w:spacing w:after="0" w:line="240" w:lineRule="auto"/>
        <w:jc w:val="both"/>
        <w:rPr>
          <w:rFonts w:ascii="Times New Roman" w:eastAsia="Calibri" w:hAnsi="Times New Roman" w:cs="Times New Roman"/>
          <w:lang w:val="sr-Latn-ME"/>
        </w:rPr>
      </w:pPr>
      <w:r w:rsidRPr="00517D38">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E55096" w:rsidRPr="00517D38" w:rsidRDefault="00E55096" w:rsidP="00517D38">
      <w:pPr>
        <w:spacing w:after="0" w:line="240" w:lineRule="auto"/>
        <w:jc w:val="both"/>
        <w:rPr>
          <w:rFonts w:ascii="Times New Roman" w:eastAsia="Calibri" w:hAnsi="Times New Roman" w:cs="Times New Roman"/>
          <w:lang w:val="sr-Latn-ME"/>
        </w:rPr>
      </w:pPr>
    </w:p>
    <w:p w:rsidR="00517D38" w:rsidRPr="00517D38" w:rsidRDefault="00517D38" w:rsidP="00517D38">
      <w:pPr>
        <w:spacing w:after="0" w:line="240" w:lineRule="auto"/>
        <w:jc w:val="both"/>
        <w:rPr>
          <w:rFonts w:ascii="Times New Roman" w:eastAsia="Calibri" w:hAnsi="Times New Roman" w:cs="Times New Roman"/>
          <w:lang w:val="sr-Latn-ME"/>
        </w:rPr>
      </w:pPr>
      <w:r w:rsidRPr="00517D38">
        <w:rPr>
          <w:rFonts w:ascii="Times New Roman" w:eastAsia="Calibri" w:hAnsi="Times New Roman" w:cs="Times New Roman"/>
          <w:lang w:val="sr-Latn-ME"/>
        </w:rPr>
        <w:t>Agencija za ljekove i medicinska sredstva Crne Gore</w:t>
      </w:r>
    </w:p>
    <w:p w:rsidR="00517D38" w:rsidRPr="00517D38" w:rsidRDefault="00517D38" w:rsidP="00517D38">
      <w:pPr>
        <w:spacing w:after="0" w:line="240" w:lineRule="auto"/>
        <w:jc w:val="both"/>
        <w:rPr>
          <w:rFonts w:ascii="Times New Roman" w:eastAsia="Calibri" w:hAnsi="Times New Roman" w:cs="Times New Roman"/>
          <w:lang w:val="sr-Latn-ME"/>
        </w:rPr>
      </w:pPr>
      <w:r w:rsidRPr="00517D38">
        <w:rPr>
          <w:rFonts w:ascii="Times New Roman" w:eastAsia="Calibri" w:hAnsi="Times New Roman" w:cs="Times New Roman"/>
          <w:lang w:val="sr-Latn-ME"/>
        </w:rPr>
        <w:t>Odjeljenje za farmakovigilancu</w:t>
      </w:r>
    </w:p>
    <w:p w:rsidR="00517D38" w:rsidRPr="00517D38" w:rsidRDefault="00517D38" w:rsidP="00517D38">
      <w:pPr>
        <w:spacing w:after="0" w:line="240" w:lineRule="auto"/>
        <w:jc w:val="both"/>
        <w:rPr>
          <w:rFonts w:ascii="Times New Roman" w:eastAsia="Calibri" w:hAnsi="Times New Roman" w:cs="Times New Roman"/>
          <w:lang w:val="sr-Latn-ME"/>
        </w:rPr>
      </w:pPr>
      <w:r w:rsidRPr="00517D38">
        <w:rPr>
          <w:rFonts w:ascii="Times New Roman" w:eastAsia="Calibri" w:hAnsi="Times New Roman" w:cs="Times New Roman"/>
          <w:lang w:val="sr-Latn-ME"/>
        </w:rPr>
        <w:t>Bulevar Ivana Crnojevića 64a, 81000 Podgorica</w:t>
      </w:r>
    </w:p>
    <w:p w:rsidR="00517D38" w:rsidRPr="00517D38" w:rsidRDefault="00517D38" w:rsidP="00517D38">
      <w:pPr>
        <w:spacing w:after="0" w:line="240" w:lineRule="auto"/>
        <w:jc w:val="both"/>
        <w:rPr>
          <w:rFonts w:ascii="Times New Roman" w:eastAsia="Calibri" w:hAnsi="Times New Roman" w:cs="Times New Roman"/>
          <w:lang w:val="sr-Latn-ME"/>
        </w:rPr>
      </w:pPr>
    </w:p>
    <w:p w:rsidR="00517D38" w:rsidRPr="00517D38" w:rsidRDefault="00517D38" w:rsidP="00517D38">
      <w:pPr>
        <w:spacing w:after="0" w:line="240" w:lineRule="auto"/>
        <w:jc w:val="both"/>
        <w:rPr>
          <w:rFonts w:ascii="Times New Roman" w:eastAsia="Calibri" w:hAnsi="Times New Roman" w:cs="Times New Roman"/>
          <w:lang w:val="sr-Latn-ME"/>
        </w:rPr>
      </w:pPr>
      <w:r w:rsidRPr="00517D38">
        <w:rPr>
          <w:rFonts w:ascii="Times New Roman" w:eastAsia="Calibri" w:hAnsi="Times New Roman" w:cs="Times New Roman"/>
          <w:lang w:val="sr-Latn-ME"/>
        </w:rPr>
        <w:t>tel: +382 (0) 20 310 280</w:t>
      </w:r>
    </w:p>
    <w:p w:rsidR="00517D38" w:rsidRPr="00517D38" w:rsidRDefault="00517D38" w:rsidP="00517D38">
      <w:pPr>
        <w:spacing w:after="0" w:line="240" w:lineRule="auto"/>
        <w:jc w:val="both"/>
        <w:rPr>
          <w:rFonts w:ascii="Times New Roman" w:eastAsia="Calibri" w:hAnsi="Times New Roman" w:cs="Times New Roman"/>
          <w:lang w:val="sr-Latn-ME"/>
        </w:rPr>
      </w:pPr>
      <w:r w:rsidRPr="00517D38">
        <w:rPr>
          <w:rFonts w:ascii="Times New Roman" w:eastAsia="Calibri" w:hAnsi="Times New Roman" w:cs="Times New Roman"/>
          <w:lang w:val="sr-Latn-ME"/>
        </w:rPr>
        <w:t>fax: +382 (0) 20 310 581</w:t>
      </w:r>
    </w:p>
    <w:p w:rsidR="00517D38" w:rsidRPr="00517D38" w:rsidRDefault="00446BB3" w:rsidP="00517D38">
      <w:pPr>
        <w:spacing w:after="0" w:line="240" w:lineRule="auto"/>
        <w:jc w:val="both"/>
        <w:rPr>
          <w:rFonts w:ascii="Times New Roman" w:eastAsia="Calibri" w:hAnsi="Times New Roman" w:cs="Times New Roman"/>
          <w:lang w:val="sr-Latn-ME"/>
        </w:rPr>
      </w:pPr>
      <w:hyperlink r:id="rId8" w:history="1">
        <w:r w:rsidR="00517D38" w:rsidRPr="00517D38">
          <w:rPr>
            <w:rFonts w:ascii="Times New Roman" w:eastAsia="Calibri" w:hAnsi="Times New Roman" w:cs="Times New Roman"/>
            <w:color w:val="0000FF"/>
            <w:u w:val="single"/>
            <w:lang w:val="sr-Latn-ME"/>
          </w:rPr>
          <w:t>www.calims.me</w:t>
        </w:r>
      </w:hyperlink>
    </w:p>
    <w:p w:rsidR="00517D38" w:rsidRPr="00517D38" w:rsidRDefault="00446BB3" w:rsidP="00517D38">
      <w:pPr>
        <w:spacing w:after="0" w:line="240" w:lineRule="auto"/>
        <w:jc w:val="both"/>
        <w:rPr>
          <w:rFonts w:ascii="Times New Roman" w:eastAsia="Calibri" w:hAnsi="Times New Roman" w:cs="Times New Roman"/>
          <w:color w:val="0000FF"/>
          <w:u w:val="single"/>
          <w:lang w:val="sr-Latn-ME"/>
        </w:rPr>
      </w:pPr>
      <w:hyperlink r:id="rId9" w:history="1">
        <w:r w:rsidR="00517D38" w:rsidRPr="00517D38">
          <w:rPr>
            <w:rFonts w:ascii="Times New Roman" w:eastAsia="Calibri" w:hAnsi="Times New Roman" w:cs="Times New Roman"/>
            <w:color w:val="0000FF"/>
            <w:u w:val="single"/>
            <w:lang w:val="sr-Latn-ME"/>
          </w:rPr>
          <w:t>nezeljenadejstva@calims.me</w:t>
        </w:r>
      </w:hyperlink>
    </w:p>
    <w:p w:rsidR="00517D38" w:rsidRPr="00517D38" w:rsidRDefault="00517D38" w:rsidP="00517D38">
      <w:pPr>
        <w:spacing w:after="0" w:line="240" w:lineRule="auto"/>
        <w:jc w:val="both"/>
        <w:rPr>
          <w:rFonts w:ascii="Times New Roman" w:eastAsia="Calibri" w:hAnsi="Times New Roman" w:cs="Times New Roman"/>
          <w:lang w:val="sr-Latn-ME"/>
        </w:rPr>
      </w:pPr>
      <w:r w:rsidRPr="00517D38">
        <w:rPr>
          <w:rFonts w:ascii="Times New Roman" w:eastAsia="Calibri" w:hAnsi="Times New Roman" w:cs="Times New Roman"/>
          <w:lang w:val="sr-Latn-ME"/>
        </w:rPr>
        <w:t>putem IS zdravstvene zaštite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4.9. Predoziranje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Potencijalni rizik predoziranja je zanemarljiv, budući da cijelo pakovanje lijeka sadrži ukupno 7,5 mg ciprofloksacina.</w:t>
      </w:r>
    </w:p>
    <w:p w:rsidR="00E55096" w:rsidRDefault="00E55096" w:rsidP="00517D38">
      <w:pPr>
        <w:tabs>
          <w:tab w:val="left" w:pos="284"/>
        </w:tabs>
        <w:spacing w:after="0" w:line="240" w:lineRule="auto"/>
        <w:jc w:val="both"/>
        <w:rPr>
          <w:rFonts w:ascii="Times New Roman" w:eastAsia="Times New Roman" w:hAnsi="Times New Roman" w:cs="Times New Roman"/>
          <w:lang w:val="sr-Latn-ME"/>
        </w:rPr>
      </w:pPr>
    </w:p>
    <w:p w:rsidR="00E55096" w:rsidRDefault="00E55096" w:rsidP="00517D38">
      <w:pPr>
        <w:tabs>
          <w:tab w:val="left" w:pos="284"/>
        </w:tabs>
        <w:spacing w:after="0" w:line="240" w:lineRule="auto"/>
        <w:jc w:val="both"/>
        <w:rPr>
          <w:rFonts w:ascii="Times New Roman" w:eastAsia="Times New Roman" w:hAnsi="Times New Roman" w:cs="Times New Roman"/>
          <w:lang w:val="sr-Latn-ME"/>
        </w:rPr>
      </w:pPr>
    </w:p>
    <w:p w:rsidR="00E55096" w:rsidRDefault="00E55096" w:rsidP="00517D38">
      <w:pPr>
        <w:tabs>
          <w:tab w:val="left" w:pos="284"/>
        </w:tabs>
        <w:spacing w:after="0" w:line="240" w:lineRule="auto"/>
        <w:jc w:val="both"/>
        <w:rPr>
          <w:rFonts w:ascii="Times New Roman" w:eastAsia="Times New Roman" w:hAnsi="Times New Roman" w:cs="Times New Roman"/>
          <w:lang w:val="sr-Latn-ME"/>
        </w:rPr>
      </w:pPr>
    </w:p>
    <w:p w:rsidR="00E55096" w:rsidRDefault="00E55096" w:rsidP="00517D38">
      <w:pPr>
        <w:tabs>
          <w:tab w:val="left" w:pos="284"/>
        </w:tabs>
        <w:spacing w:after="0" w:line="240" w:lineRule="auto"/>
        <w:jc w:val="both"/>
        <w:rPr>
          <w:rFonts w:ascii="Times New Roman" w:eastAsia="Times New Roman" w:hAnsi="Times New Roman" w:cs="Times New Roman"/>
          <w:lang w:val="sr-Latn-ME"/>
        </w:rPr>
      </w:pPr>
    </w:p>
    <w:p w:rsidR="00E55096" w:rsidRPr="00517D38" w:rsidRDefault="00E55096"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517D38">
      <w:pPr>
        <w:tabs>
          <w:tab w:val="left" w:pos="284"/>
        </w:tabs>
        <w:spacing w:before="200" w:after="0" w:line="240" w:lineRule="auto"/>
        <w:jc w:val="both"/>
        <w:rPr>
          <w:rFonts w:ascii="Times New Roman" w:eastAsia="Times New Roman" w:hAnsi="Times New Roman" w:cs="Times New Roman"/>
          <w:b/>
          <w:lang w:val="sr-Latn-ME"/>
        </w:rPr>
      </w:pPr>
      <w:r w:rsidRPr="00517D38">
        <w:rPr>
          <w:rFonts w:ascii="Times New Roman" w:eastAsia="Times New Roman" w:hAnsi="Times New Roman" w:cs="Times New Roman"/>
          <w:b/>
          <w:lang w:val="sr-Latn-ME"/>
        </w:rPr>
        <w:lastRenderedPageBreak/>
        <w:t>5. FARMAKOLOŠKI PODACI</w:t>
      </w:r>
    </w:p>
    <w:p w:rsidR="00E55096" w:rsidRPr="00517D38" w:rsidRDefault="00E55096" w:rsidP="00E55096">
      <w:pPr>
        <w:tabs>
          <w:tab w:val="left" w:pos="284"/>
        </w:tabs>
        <w:spacing w:after="0" w:line="240" w:lineRule="auto"/>
        <w:jc w:val="both"/>
        <w:rPr>
          <w:rFonts w:ascii="Times New Roman" w:eastAsia="Times New Roman" w:hAnsi="Times New Roman" w:cs="Times New Roman"/>
          <w:b/>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5.1. Farmakodinamski podaci</w:t>
      </w: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Cs/>
          <w:lang w:val="sr-Latn-ME"/>
        </w:rPr>
        <w:t>Farmakoterapijska grupa:</w:t>
      </w:r>
      <w:r w:rsidRPr="00517D38">
        <w:rPr>
          <w:rFonts w:ascii="Times New Roman" w:eastAsia="Times New Roman" w:hAnsi="Times New Roman" w:cs="Times New Roman"/>
          <w:lang w:val="sr-Latn-ME"/>
        </w:rPr>
        <w:t xml:space="preserve"> Ljekovi za uho (otologici), antiinfektivi</w:t>
      </w: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Cs/>
          <w:lang w:val="sr-Latn-ME"/>
        </w:rPr>
        <w:t>ATC kod:</w:t>
      </w:r>
      <w:r w:rsidRPr="00517D38">
        <w:rPr>
          <w:rFonts w:ascii="Times New Roman" w:eastAsia="Times New Roman" w:hAnsi="Times New Roman" w:cs="Times New Roman"/>
          <w:lang w:val="sr-Latn-ME"/>
        </w:rPr>
        <w:t xml:space="preserve"> S02AA15</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u w:val="single"/>
          <w:lang w:val="sr-Latn-ME"/>
        </w:rPr>
      </w:pPr>
      <w:r w:rsidRPr="00517D38">
        <w:rPr>
          <w:rFonts w:ascii="Times New Roman" w:eastAsia="Times New Roman" w:hAnsi="Times New Roman" w:cs="Times New Roman"/>
          <w:u w:val="single"/>
          <w:lang w:val="sr-Latn-ME"/>
        </w:rPr>
        <w:t>Mehanizam dejstva</w:t>
      </w: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Kao antibiotik iz glupe fluorohinolona, ciprofloksacin ispoljava baktericidno dejstvo tako što inhibira i topoizomerazu II (DNK girazu) i topoizomerazu IV, koje su potrebne za replikaciju, transkripciju, reparaciju i rekombinaciju bakterijske DNK.</w:t>
      </w: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u w:val="single"/>
          <w:lang w:val="sr-Latn-ME"/>
        </w:rPr>
      </w:pPr>
      <w:r w:rsidRPr="00517D38">
        <w:rPr>
          <w:rFonts w:ascii="Times New Roman" w:eastAsia="Times New Roman" w:hAnsi="Times New Roman" w:cs="Times New Roman"/>
          <w:u w:val="single"/>
          <w:lang w:val="sr-Latn-ME"/>
        </w:rPr>
        <w:t>Odnos farmakokinetike i farmakodinamike (FK/FD)</w:t>
      </w: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 xml:space="preserve">Nije opisan farmakodinamski odnos kod lokalne primjene. Kod farmaceutskih oblika za lokalnu primjenu, koncentracije koje se postižu </w:t>
      </w:r>
      <w:r w:rsidRPr="00517D38">
        <w:rPr>
          <w:rFonts w:ascii="Times New Roman" w:eastAsia="Times New Roman" w:hAnsi="Times New Roman" w:cs="Times New Roman"/>
          <w:i/>
          <w:lang w:val="sr-Latn-ME"/>
        </w:rPr>
        <w:t>in situ</w:t>
      </w:r>
      <w:r w:rsidRPr="00517D38">
        <w:rPr>
          <w:rFonts w:ascii="Times New Roman" w:eastAsia="Times New Roman" w:hAnsi="Times New Roman" w:cs="Times New Roman"/>
          <w:lang w:val="sr-Latn-ME"/>
        </w:rPr>
        <w:t xml:space="preserve"> su značajno veće od koncentracija u plazmi.</w:t>
      </w: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u w:val="single"/>
          <w:lang w:val="sr-Latn-ME"/>
        </w:rPr>
      </w:pPr>
      <w:r w:rsidRPr="00517D38">
        <w:rPr>
          <w:rFonts w:ascii="Times New Roman" w:eastAsia="Times New Roman" w:hAnsi="Times New Roman" w:cs="Times New Roman"/>
          <w:u w:val="single"/>
          <w:lang w:val="sr-Latn-ME"/>
        </w:rPr>
        <w:t>Mehanizam rezistencije</w:t>
      </w: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i/>
          <w:lang w:val="sr-Latn-ME"/>
        </w:rPr>
        <w:t>In vitro</w:t>
      </w:r>
      <w:r w:rsidRPr="00517D38">
        <w:rPr>
          <w:rFonts w:ascii="Times New Roman" w:eastAsia="Times New Roman" w:hAnsi="Times New Roman" w:cs="Times New Roman"/>
          <w:lang w:val="sr-Latn-ME"/>
        </w:rPr>
        <w:t xml:space="preserve"> rezistencija na ciprofloksacin može nastati postepeno, procesom mutacije ciljnog mjesta i na DNK girazi i na topoizomerazi IV. Stepen ukrštene rezistencije između ciprofloksacina i drugih fluorohinolona je različit. Pojedinačne mutacije ne moraju dovesti do kliničke rezistencije, ali višestruke mutacije generalno dovode do kliničke rezistencije na veliki broj ili na sve aktivne supstance iz te grupe. </w:t>
      </w: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 xml:space="preserve">Rezistencija nastala usljed nepropustljivosti i/ili aktivnog mehanizma ispumpavanja aktivne supstance iz ćelije (efluks pumpama), može imati različit efekat na osjetljivost na fluorohinolone, koji zavisi od fizičko-hemijskih svojstava samih fluorohinolona, ali i od afiniteta bakterijskog transportnog sistema za svaki od njih. Svi </w:t>
      </w:r>
      <w:r w:rsidRPr="00517D38">
        <w:rPr>
          <w:rFonts w:ascii="Times New Roman" w:eastAsia="Times New Roman" w:hAnsi="Times New Roman" w:cs="Times New Roman"/>
          <w:i/>
          <w:lang w:val="sr-Latn-ME"/>
        </w:rPr>
        <w:t>in vitro</w:t>
      </w:r>
      <w:r w:rsidRPr="00517D38">
        <w:rPr>
          <w:rFonts w:ascii="Times New Roman" w:eastAsia="Times New Roman" w:hAnsi="Times New Roman" w:cs="Times New Roman"/>
          <w:lang w:val="sr-Latn-ME"/>
        </w:rPr>
        <w:t xml:space="preserve"> mehanizmi rezistencije su često primijećeni i kod kliničkih izolata. Mehanizmi rezistencije koji inaktivišu druge antibiotike, kao promjena propustljivosti membrane (česta kod </w:t>
      </w:r>
      <w:r w:rsidRPr="00517D38">
        <w:rPr>
          <w:rFonts w:ascii="Times New Roman" w:eastAsia="Times New Roman" w:hAnsi="Times New Roman" w:cs="Times New Roman"/>
          <w:i/>
          <w:lang w:val="sr-Latn-ME"/>
        </w:rPr>
        <w:t>Pseudomonas aeruginosa</w:t>
      </w:r>
      <w:r w:rsidRPr="00517D38">
        <w:rPr>
          <w:rFonts w:ascii="Times New Roman" w:eastAsia="Times New Roman" w:hAnsi="Times New Roman" w:cs="Times New Roman"/>
          <w:lang w:val="sr-Latn-ME"/>
        </w:rPr>
        <w:t xml:space="preserve">) i efluksni mehanizmi mogu uticati na osjetljivost na ciprofloksacin. </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Prijavljena je plazmidima posredovana rezistencija kodirana qnr-genima.</w:t>
      </w: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i/>
          <w:u w:val="single"/>
          <w:lang w:val="sr-Latn-ME"/>
        </w:rPr>
      </w:pP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i/>
          <w:u w:val="single"/>
          <w:lang w:val="sr-Latn-ME"/>
        </w:rPr>
      </w:pPr>
      <w:r w:rsidRPr="00517D38">
        <w:rPr>
          <w:rFonts w:ascii="Times New Roman" w:eastAsia="Times New Roman" w:hAnsi="Times New Roman" w:cs="Times New Roman"/>
          <w:i/>
          <w:u w:val="single"/>
          <w:lang w:val="sr-Latn-ME"/>
        </w:rPr>
        <w:t>Granične vrijednosti</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Kod većine ljekova za lokalnu primjenu, farmakološki podaci su ograničeni, a podaci koji povezuju liječenje i ishode ne postoje. Zbog toga, EUCAST predlaže da se koriste vrijednosti epidemioloških presjeka (ECOFFs) za osjetljivost ljekova za lokalnu primjenu.</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Epidemiološke granične vrijednosti na osnovu EUCAST. ECOFF ≤ mg/ml</w:t>
      </w:r>
    </w:p>
    <w:p w:rsidR="00517D38" w:rsidRPr="00517D38" w:rsidRDefault="00517D38" w:rsidP="00517D38">
      <w:pPr>
        <w:numPr>
          <w:ilvl w:val="0"/>
          <w:numId w:val="2"/>
        </w:numPr>
        <w:tabs>
          <w:tab w:val="left" w:pos="-1440"/>
          <w:tab w:val="left" w:pos="-720"/>
          <w:tab w:val="left" w:pos="284"/>
        </w:tabs>
        <w:suppressAutoHyphens/>
        <w:spacing w:after="0" w:line="240" w:lineRule="auto"/>
        <w:contextualSpacing/>
        <w:jc w:val="both"/>
        <w:rPr>
          <w:rFonts w:ascii="Times New Roman" w:eastAsia="Times New Roman" w:hAnsi="Times New Roman" w:cs="Times New Roman"/>
          <w:lang w:val="sr-Latn-ME" w:eastAsia="es-ES"/>
        </w:rPr>
      </w:pPr>
      <w:r w:rsidRPr="00517D38">
        <w:rPr>
          <w:rFonts w:ascii="Times New Roman" w:eastAsia="Times New Roman" w:hAnsi="Times New Roman" w:cs="Times New Roman"/>
          <w:i/>
          <w:lang w:val="sr-Latn-ME" w:eastAsia="es-ES"/>
        </w:rPr>
        <w:t>Enterobacteriaceae</w:t>
      </w:r>
      <w:r w:rsidRPr="00517D38">
        <w:rPr>
          <w:rFonts w:ascii="Times New Roman" w:eastAsia="Times New Roman" w:hAnsi="Times New Roman" w:cs="Times New Roman"/>
          <w:lang w:val="sr-Latn-ME" w:eastAsia="es-ES"/>
        </w:rPr>
        <w:tab/>
      </w:r>
      <w:r w:rsidRPr="00517D38">
        <w:rPr>
          <w:rFonts w:ascii="Times New Roman" w:eastAsia="Times New Roman" w:hAnsi="Times New Roman" w:cs="Times New Roman"/>
          <w:lang w:val="sr-Latn-ME" w:eastAsia="es-ES"/>
        </w:rPr>
        <w:tab/>
      </w:r>
      <w:r w:rsidRPr="00517D38">
        <w:rPr>
          <w:rFonts w:ascii="Times New Roman" w:eastAsia="Times New Roman" w:hAnsi="Times New Roman" w:cs="Times New Roman"/>
          <w:lang w:val="sr-Latn-ME" w:eastAsia="es-ES"/>
        </w:rPr>
        <w:tab/>
        <w:t>0,125 mg/l</w:t>
      </w:r>
    </w:p>
    <w:p w:rsidR="00517D38" w:rsidRPr="00517D38" w:rsidRDefault="00517D38" w:rsidP="00517D38">
      <w:pPr>
        <w:numPr>
          <w:ilvl w:val="0"/>
          <w:numId w:val="2"/>
        </w:numPr>
        <w:tabs>
          <w:tab w:val="left" w:pos="-1440"/>
          <w:tab w:val="left" w:pos="-720"/>
          <w:tab w:val="left" w:pos="284"/>
        </w:tabs>
        <w:suppressAutoHyphens/>
        <w:spacing w:after="0" w:line="240" w:lineRule="auto"/>
        <w:contextualSpacing/>
        <w:jc w:val="both"/>
        <w:rPr>
          <w:rFonts w:ascii="Times New Roman" w:eastAsia="Times New Roman" w:hAnsi="Times New Roman" w:cs="Times New Roman"/>
          <w:lang w:val="sr-Latn-ME" w:eastAsia="es-ES"/>
        </w:rPr>
      </w:pPr>
      <w:r w:rsidRPr="00517D38">
        <w:rPr>
          <w:rFonts w:ascii="Times New Roman" w:eastAsia="Times New Roman" w:hAnsi="Times New Roman" w:cs="Times New Roman"/>
          <w:i/>
          <w:lang w:val="sr-Latn-ME" w:eastAsia="es-ES"/>
        </w:rPr>
        <w:t>Staphylococcus</w:t>
      </w:r>
      <w:r w:rsidRPr="00517D38">
        <w:rPr>
          <w:rFonts w:ascii="Times New Roman" w:eastAsia="Times New Roman" w:hAnsi="Times New Roman" w:cs="Times New Roman"/>
          <w:lang w:val="sr-Latn-ME" w:eastAsia="es-ES"/>
        </w:rPr>
        <w:t xml:space="preserve"> spp.</w:t>
      </w:r>
      <w:r w:rsidRPr="00517D38">
        <w:rPr>
          <w:rFonts w:ascii="Times New Roman" w:eastAsia="Times New Roman" w:hAnsi="Times New Roman" w:cs="Times New Roman"/>
          <w:lang w:val="sr-Latn-ME" w:eastAsia="es-ES"/>
        </w:rPr>
        <w:tab/>
      </w:r>
      <w:r w:rsidRPr="00517D38">
        <w:rPr>
          <w:rFonts w:ascii="Times New Roman" w:eastAsia="Times New Roman" w:hAnsi="Times New Roman" w:cs="Times New Roman"/>
          <w:lang w:val="sr-Latn-ME" w:eastAsia="es-ES"/>
        </w:rPr>
        <w:tab/>
      </w:r>
      <w:r w:rsidRPr="00517D38">
        <w:rPr>
          <w:rFonts w:ascii="Times New Roman" w:eastAsia="Times New Roman" w:hAnsi="Times New Roman" w:cs="Times New Roman"/>
          <w:lang w:val="sr-Latn-ME" w:eastAsia="es-ES"/>
        </w:rPr>
        <w:tab/>
        <w:t>1 mg/l</w:t>
      </w:r>
    </w:p>
    <w:p w:rsidR="00517D38" w:rsidRPr="00517D38" w:rsidRDefault="00517D38" w:rsidP="00517D38">
      <w:pPr>
        <w:numPr>
          <w:ilvl w:val="0"/>
          <w:numId w:val="2"/>
        </w:numPr>
        <w:tabs>
          <w:tab w:val="left" w:pos="-1440"/>
          <w:tab w:val="left" w:pos="-720"/>
          <w:tab w:val="left" w:pos="284"/>
        </w:tabs>
        <w:suppressAutoHyphens/>
        <w:spacing w:after="0" w:line="240" w:lineRule="auto"/>
        <w:contextualSpacing/>
        <w:jc w:val="both"/>
        <w:rPr>
          <w:rFonts w:ascii="Times New Roman" w:eastAsia="Times New Roman" w:hAnsi="Times New Roman" w:cs="Times New Roman"/>
          <w:lang w:val="sr-Latn-ME" w:eastAsia="es-ES"/>
        </w:rPr>
      </w:pPr>
      <w:r w:rsidRPr="00517D38">
        <w:rPr>
          <w:rFonts w:ascii="Times New Roman" w:eastAsia="Times New Roman" w:hAnsi="Times New Roman" w:cs="Times New Roman"/>
          <w:i/>
          <w:lang w:val="sr-Latn-ME" w:eastAsia="es-ES"/>
        </w:rPr>
        <w:t>Pseudomonas aeruginosa</w:t>
      </w:r>
      <w:r w:rsidRPr="00517D38">
        <w:rPr>
          <w:rFonts w:ascii="Times New Roman" w:eastAsia="Times New Roman" w:hAnsi="Times New Roman" w:cs="Times New Roman"/>
          <w:lang w:val="sr-Latn-ME" w:eastAsia="es-ES"/>
        </w:rPr>
        <w:tab/>
      </w:r>
      <w:r w:rsidRPr="00517D38">
        <w:rPr>
          <w:rFonts w:ascii="Times New Roman" w:eastAsia="Times New Roman" w:hAnsi="Times New Roman" w:cs="Times New Roman"/>
          <w:lang w:val="sr-Latn-ME" w:eastAsia="es-ES"/>
        </w:rPr>
        <w:tab/>
        <w:t>0,5 mg/l</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 xml:space="preserve">Prevalenca stečene rezistencije može varirati u zavisnosti od geografskog područja i vremenskih uslova za pojedine vrste, pa su poželjni lokalni podaci o rezistenciji, posebno u slučaju liječenja teških oblika infekcija. Ove informacije treba koristiti samo orijentaciono pri utvrđivanju vjerovatnoće da li je mikroorganizam osjetljiv na ovaj antibiotik. </w:t>
      </w: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lastRenderedPageBreak/>
        <w:t xml:space="preserve">Na osnovu raspoloživih podataka, sljedeća tabela predstavlja osjetljivost glavnih patogena u okviru odobrenih indikacija na ciprofloksacin. </w:t>
      </w:r>
    </w:p>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p>
    <w:tbl>
      <w:tblPr>
        <w:tblStyle w:val="TableGrid2"/>
        <w:tblW w:w="0" w:type="auto"/>
        <w:tblInd w:w="706" w:type="dxa"/>
        <w:tblLook w:val="04A0" w:firstRow="1" w:lastRow="0" w:firstColumn="1" w:lastColumn="0" w:noHBand="0" w:noVBand="1"/>
      </w:tblPr>
      <w:tblGrid>
        <w:gridCol w:w="8217"/>
      </w:tblGrid>
      <w:tr w:rsidR="00517D38" w:rsidRPr="00517D38" w:rsidTr="00470B94">
        <w:tc>
          <w:tcPr>
            <w:tcW w:w="8217" w:type="dxa"/>
          </w:tcPr>
          <w:p w:rsidR="00517D38" w:rsidRPr="00517D38" w:rsidRDefault="00517D38" w:rsidP="00517D38">
            <w:pPr>
              <w:tabs>
                <w:tab w:val="center" w:pos="4536"/>
                <w:tab w:val="right" w:pos="9072"/>
              </w:tabs>
              <w:jc w:val="both"/>
              <w:rPr>
                <w:sz w:val="22"/>
                <w:szCs w:val="22"/>
                <w:lang w:val="sr-Latn-ME"/>
              </w:rPr>
            </w:pPr>
            <w:r w:rsidRPr="00517D38">
              <w:rPr>
                <w:bCs/>
                <w:i/>
                <w:sz w:val="22"/>
                <w:szCs w:val="22"/>
                <w:lang w:val="sr-Latn-ME"/>
              </w:rPr>
              <w:t>SOJEVI KOD KOJIH STEČENA REZISTENCIJA MOŽE DA PREDSTAVLJA PROBLEM</w:t>
            </w:r>
          </w:p>
        </w:tc>
      </w:tr>
      <w:tr w:rsidR="00517D38" w:rsidRPr="00517D38" w:rsidTr="00470B94">
        <w:tc>
          <w:tcPr>
            <w:tcW w:w="8217" w:type="dxa"/>
          </w:tcPr>
          <w:p w:rsidR="00517D38" w:rsidRPr="00517D38" w:rsidRDefault="00517D38" w:rsidP="00517D38">
            <w:pPr>
              <w:tabs>
                <w:tab w:val="center" w:pos="4536"/>
                <w:tab w:val="right" w:pos="9072"/>
              </w:tabs>
              <w:jc w:val="both"/>
              <w:rPr>
                <w:i/>
                <w:sz w:val="22"/>
                <w:szCs w:val="22"/>
                <w:u w:val="single"/>
                <w:lang w:val="sr-Latn-ME"/>
              </w:rPr>
            </w:pPr>
            <w:r w:rsidRPr="00517D38">
              <w:rPr>
                <w:i/>
                <w:sz w:val="22"/>
                <w:szCs w:val="22"/>
                <w:u w:val="single"/>
                <w:lang w:val="sr-Latn-ME"/>
              </w:rPr>
              <w:t>Aerobni Gram pozitivni mikroorganizmi</w:t>
            </w:r>
          </w:p>
          <w:p w:rsidR="00517D38" w:rsidRPr="00517D38" w:rsidRDefault="00517D38" w:rsidP="00517D38">
            <w:pPr>
              <w:tabs>
                <w:tab w:val="center" w:pos="4536"/>
                <w:tab w:val="right" w:pos="9072"/>
              </w:tabs>
              <w:jc w:val="both"/>
              <w:rPr>
                <w:sz w:val="22"/>
                <w:szCs w:val="22"/>
                <w:lang w:val="sr-Latn-ME"/>
              </w:rPr>
            </w:pPr>
            <w:r w:rsidRPr="00517D38">
              <w:rPr>
                <w:i/>
                <w:iCs/>
                <w:sz w:val="22"/>
                <w:szCs w:val="22"/>
                <w:lang w:val="sr-Latn-ME"/>
              </w:rPr>
              <w:t>Staphylococcus aureus</w:t>
            </w:r>
          </w:p>
        </w:tc>
      </w:tr>
      <w:tr w:rsidR="00517D38" w:rsidRPr="00517D38" w:rsidTr="00470B94">
        <w:tc>
          <w:tcPr>
            <w:tcW w:w="8217" w:type="dxa"/>
          </w:tcPr>
          <w:p w:rsidR="00517D38" w:rsidRPr="00517D38" w:rsidRDefault="00517D38" w:rsidP="00517D38">
            <w:pPr>
              <w:tabs>
                <w:tab w:val="center" w:pos="4536"/>
                <w:tab w:val="right" w:pos="9072"/>
              </w:tabs>
              <w:jc w:val="both"/>
              <w:rPr>
                <w:i/>
                <w:sz w:val="22"/>
                <w:szCs w:val="22"/>
                <w:u w:val="single"/>
                <w:lang w:val="sr-Latn-ME"/>
              </w:rPr>
            </w:pPr>
            <w:r w:rsidRPr="00517D38">
              <w:rPr>
                <w:i/>
                <w:sz w:val="22"/>
                <w:szCs w:val="22"/>
                <w:u w:val="single"/>
                <w:lang w:val="sr-Latn-ME"/>
              </w:rPr>
              <w:t>Aerobni Gram negativni mikroorganizmi</w:t>
            </w:r>
          </w:p>
          <w:p w:rsidR="00517D38" w:rsidRPr="00517D38" w:rsidRDefault="00517D38" w:rsidP="00517D38">
            <w:pPr>
              <w:tabs>
                <w:tab w:val="center" w:pos="4536"/>
                <w:tab w:val="right" w:pos="9072"/>
              </w:tabs>
              <w:jc w:val="both"/>
              <w:rPr>
                <w:sz w:val="22"/>
                <w:szCs w:val="22"/>
                <w:lang w:val="sr-Latn-ME"/>
              </w:rPr>
            </w:pPr>
            <w:r w:rsidRPr="00517D38">
              <w:rPr>
                <w:i/>
                <w:iCs/>
                <w:sz w:val="22"/>
                <w:szCs w:val="22"/>
                <w:lang w:val="sr-Latn-ME"/>
              </w:rPr>
              <w:t>Pseudomonas aeruginosa</w:t>
            </w:r>
          </w:p>
        </w:tc>
      </w:tr>
    </w:tbl>
    <w:p w:rsidR="00517D38" w:rsidRPr="00517D38" w:rsidRDefault="00517D38" w:rsidP="00517D38">
      <w:pPr>
        <w:tabs>
          <w:tab w:val="center" w:pos="4536"/>
          <w:tab w:val="right" w:pos="9072"/>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 xml:space="preserve">Napomena: Kod farmaceutskih oblika za lokalnu primjenu, koncentracije koje se postižu </w:t>
      </w:r>
      <w:r w:rsidRPr="00517D38">
        <w:rPr>
          <w:rFonts w:ascii="Times New Roman" w:eastAsia="Times New Roman" w:hAnsi="Times New Roman" w:cs="Times New Roman"/>
          <w:i/>
          <w:lang w:val="sr-Latn-ME"/>
        </w:rPr>
        <w:t>in situ</w:t>
      </w:r>
      <w:r w:rsidRPr="00517D38">
        <w:rPr>
          <w:rFonts w:ascii="Times New Roman" w:eastAsia="Times New Roman" w:hAnsi="Times New Roman" w:cs="Times New Roman"/>
          <w:lang w:val="sr-Latn-ME"/>
        </w:rPr>
        <w:t xml:space="preserve"> su značajno veće od koncentracija u plazmi. I dalje postoje nejasnoće u vezi sa kinetikom koncentracija </w:t>
      </w:r>
      <w:r w:rsidRPr="00517D38">
        <w:rPr>
          <w:rFonts w:ascii="Times New Roman" w:eastAsia="Times New Roman" w:hAnsi="Times New Roman" w:cs="Times New Roman"/>
          <w:i/>
          <w:lang w:val="sr-Latn-ME"/>
        </w:rPr>
        <w:t>in situ</w:t>
      </w:r>
      <w:r w:rsidRPr="00517D38">
        <w:rPr>
          <w:rFonts w:ascii="Times New Roman" w:eastAsia="Times New Roman" w:hAnsi="Times New Roman" w:cs="Times New Roman"/>
          <w:lang w:val="sr-Latn-ME"/>
        </w:rPr>
        <w:t xml:space="preserve">, lokalnim fizičkim i hemijskim uslovima koji mogu da modifikuju dejstvo antibiotika i stabilnost proizvoda </w:t>
      </w:r>
      <w:r w:rsidRPr="00517D38">
        <w:rPr>
          <w:rFonts w:ascii="Times New Roman" w:eastAsia="Times New Roman" w:hAnsi="Times New Roman" w:cs="Times New Roman"/>
          <w:i/>
          <w:lang w:val="sr-Latn-ME"/>
        </w:rPr>
        <w:t>in situ</w:t>
      </w:r>
      <w:r w:rsidRPr="00517D38">
        <w:rPr>
          <w:rFonts w:ascii="Times New Roman" w:eastAsia="Times New Roman" w:hAnsi="Times New Roman" w:cs="Times New Roman"/>
          <w:lang w:val="sr-Latn-ME"/>
        </w:rPr>
        <w:t>.</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5.2. Farmakokinetički podaci</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Koncentracije ciprofloksacina u plazmi nijesu izmjerene nakon primjene 0,25 ml lijeka CETRAXAL 0,2% (ukupna doza: 0,5 mg ciprofloksacina). Očekuje se da su sistemski nivoi u plazmi zanemarljivi ili veoma mali, mada se ne očekuje značajan sistemski prolaz ciprofloksacina u normalnim uslovima primjene. Čak i kada bi se resorbovala cijela količina ciprofloksacina nakon primjene u oba uha (ukupna doza 1 mg), mala je vjerovatnoća da bi koncentracija lijeka u plazmi mogla da se detektuje kod ljudi, uzimajući u obzir da je volumen distribucije ciprofloksacina 180 l (informacija EUCAST-a), a 5 nanograma/ml limit detekcije.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5.3. Pretklinički podaci o bezbjednosti</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U studijama karcinogenosti i reproduktivne i razvojne toksičnosti nijesu pronađeni značajni nalazi. Ciprofloksacin se dobro podnosi kada se primjenjuje kako na neoštećenu tako i na kožu sa abrazijama u spoljnom ušnom kanalu.</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Kod ispitivanih životinja, toksičnost je primijećena samo pri dozama većim od najviše doze primijenjene u uho.</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Pokazalo se da ciprofloksacin i drugi hinoloni izazivaju artropatiju nakon oralne primjene kod nezrelih životinja većine testiranih vrsta. Stepen oštećenja hrskavice je zavisio od starosti, vrste i doze. Kod primjene 30 mg/kg ciprofloksacina, efekat na zglobove je bio minimalan.</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Dok su kod nekih mladunaca zglobovi osjetljivi na degenerativne uticaje fluorohinolona (najviše kod pasa), mladunci zamoraca kod kojih je ciprofloksacin primjenjivan u srednje uho u trajanju od mjesec dana, nijesu ispoljili strukturne ni funkcionalne promjene kohlearnih ćelija niti lezije na slušnim koščicama povezane sa primjenom lijeka.</w:t>
      </w:r>
    </w:p>
    <w:p w:rsidR="00E55096" w:rsidRPr="00517D38" w:rsidRDefault="00E55096"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517D38">
      <w:pPr>
        <w:tabs>
          <w:tab w:val="left" w:pos="284"/>
        </w:tabs>
        <w:spacing w:before="200" w:after="0" w:line="240" w:lineRule="auto"/>
        <w:jc w:val="both"/>
        <w:rPr>
          <w:rFonts w:ascii="Times New Roman" w:eastAsia="Times New Roman" w:hAnsi="Times New Roman" w:cs="Times New Roman"/>
          <w:b/>
          <w:lang w:val="sr-Latn-ME"/>
        </w:rPr>
      </w:pPr>
      <w:r w:rsidRPr="00517D38">
        <w:rPr>
          <w:rFonts w:ascii="Times New Roman" w:eastAsia="Times New Roman" w:hAnsi="Times New Roman" w:cs="Times New Roman"/>
          <w:b/>
          <w:lang w:val="sr-Latn-ME"/>
        </w:rPr>
        <w:t>6. FARMACEUTSKI PODACI</w:t>
      </w:r>
    </w:p>
    <w:p w:rsidR="00E55096" w:rsidRPr="00517D38" w:rsidRDefault="00E55096" w:rsidP="00E55096">
      <w:pPr>
        <w:tabs>
          <w:tab w:val="left" w:pos="284"/>
        </w:tabs>
        <w:spacing w:after="0" w:line="240" w:lineRule="auto"/>
        <w:jc w:val="both"/>
        <w:rPr>
          <w:rFonts w:ascii="Times New Roman" w:eastAsia="Times New Roman" w:hAnsi="Times New Roman" w:cs="Times New Roman"/>
          <w:b/>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6.1. Lista pomoćnih supstanci (ekscipijenasa)</w:t>
      </w:r>
    </w:p>
    <w:p w:rsidR="00517D38" w:rsidRDefault="00517D38" w:rsidP="00517D38">
      <w:pPr>
        <w:tabs>
          <w:tab w:val="left" w:pos="284"/>
        </w:tabs>
        <w:spacing w:after="0" w:line="240" w:lineRule="auto"/>
        <w:jc w:val="both"/>
        <w:rPr>
          <w:rFonts w:ascii="Times New Roman" w:eastAsia="Times New Roman" w:hAnsi="Times New Roman" w:cs="Times New Roman"/>
          <w:b/>
          <w:bCs/>
          <w:lang w:val="sr-Latn-ME"/>
        </w:rPr>
      </w:pPr>
    </w:p>
    <w:p w:rsidR="00E55096" w:rsidRDefault="00E55096" w:rsidP="00517D38">
      <w:pPr>
        <w:tabs>
          <w:tab w:val="left" w:pos="284"/>
        </w:tabs>
        <w:spacing w:after="0" w:line="240" w:lineRule="auto"/>
        <w:jc w:val="both"/>
        <w:rPr>
          <w:rFonts w:ascii="Times New Roman" w:eastAsia="Times New Roman" w:hAnsi="Times New Roman" w:cs="Times New Roman"/>
          <w:b/>
          <w:bCs/>
          <w:lang w:val="sr-Latn-ME"/>
        </w:rPr>
      </w:pPr>
    </w:p>
    <w:p w:rsidR="00E55096" w:rsidRPr="00517D38" w:rsidRDefault="00E55096" w:rsidP="00517D38">
      <w:pPr>
        <w:tabs>
          <w:tab w:val="left" w:pos="284"/>
        </w:tabs>
        <w:spacing w:after="0" w:line="240" w:lineRule="auto"/>
        <w:jc w:val="both"/>
        <w:rPr>
          <w:rFonts w:ascii="Times New Roman" w:eastAsia="Times New Roman" w:hAnsi="Times New Roman" w:cs="Times New Roman"/>
          <w:b/>
          <w:bCs/>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lastRenderedPageBreak/>
        <w:t>Povidon K90F (E1201);</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Glicerol (E422);</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Voda, prečišćena;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Natrijum hidroksid (E524) i mliječna kiselina (za podešavanje pH vrijednosti).</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6.2. Inkompatibilnosti</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Nije primjenljivo.</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6.3. Rok upotrebe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2 godine</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Nakon otvaranja jednodoznog kontejnera, sadržaj treba iskoristiti odmah. Neiskorišćenu količinu lijeka treba odmah odbaciti.</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Rok upotrebe nakon prvog otvaranja kesice: 8 dana.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6.4. Posebne mjere upozorenja pri čuvanju lijeka</w:t>
      </w:r>
    </w:p>
    <w:p w:rsidR="00517D38" w:rsidRPr="00517D38" w:rsidRDefault="00517D38" w:rsidP="00517D38">
      <w:pPr>
        <w:tabs>
          <w:tab w:val="left" w:pos="540"/>
          <w:tab w:val="left" w:pos="569"/>
        </w:tabs>
        <w:spacing w:after="0" w:line="240" w:lineRule="auto"/>
        <w:jc w:val="both"/>
        <w:rPr>
          <w:rFonts w:ascii="Times New Roman" w:eastAsia="Times New Roman" w:hAnsi="Times New Roman" w:cs="Times New Roman"/>
          <w:bCs/>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Čuvati na temperaturi do 30</w:t>
      </w:r>
      <w:r w:rsidRPr="00517D38">
        <w:rPr>
          <w:rFonts w:ascii="Times New Roman" w:eastAsia="Times New Roman" w:hAnsi="Times New Roman" w:cs="Times New Roman"/>
          <w:lang w:val="sr-Latn-ME"/>
        </w:rPr>
        <w:sym w:font="Symbol" w:char="F0B0"/>
      </w:r>
      <w:r w:rsidRPr="00517D38">
        <w:rPr>
          <w:rFonts w:ascii="Times New Roman" w:eastAsia="Times New Roman" w:hAnsi="Times New Roman" w:cs="Times New Roman"/>
          <w:lang w:val="sr-Latn-ME"/>
        </w:rPr>
        <w:t>C. Čuvati u originalnom pakovanju zbog zaštite od svjetlosti.</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Za uslove čuvanja nakon prvog otvaranja, vidjeti odjeljak 6.3.</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6.5. Vrsta i sadržaj pakovanja</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 xml:space="preserve">Unutrašnje pakovanje je jednodozni kontejner od polietilena male gustine (LDPE) zapremine 0,5 ml sa 0,25 ml rastvora. Petnaest jednodoznih kontejnera je upakovano u kesicu od aluminijumske folije koja je zapečaćena i pruža odgovarajuću zaštitu lijeka od svjetlosti.  </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Spoljašnje pakovanje je složiva kartonska kutija koja sadrži jednu kesicu od aluminijumske folije sa 15 jednodoznih kontejnera i Uputstvo za lijek.</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bCs/>
          <w:lang w:val="sr-Latn-ME"/>
        </w:rPr>
        <w:t>6.6. Posebne mjere opreza pri odlaganju materijala koji treba odbaciti nakon primjene lijeka (i druga uputstva za rukovanje lijekom)</w:t>
      </w: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517D38">
      <w:pPr>
        <w:tabs>
          <w:tab w:val="left" w:pos="284"/>
        </w:tabs>
        <w:spacing w:after="0" w:line="240" w:lineRule="auto"/>
        <w:jc w:val="both"/>
        <w:rPr>
          <w:rFonts w:ascii="Times New Roman" w:eastAsia="Times New Roman" w:hAnsi="Times New Roman" w:cs="Times New Roman"/>
          <w:lang w:val="sr-Latn-ME"/>
        </w:rPr>
      </w:pPr>
      <w:r w:rsidRPr="00517D38">
        <w:rPr>
          <w:rFonts w:ascii="Times New Roman" w:eastAsia="Times New Roman" w:hAnsi="Times New Roman" w:cs="Times New Roman"/>
          <w:lang w:val="sr-Latn-ME"/>
        </w:rPr>
        <w:t>Svu neiskorišćenu količinu lijeka ili otpadnog materijala treba ukloniti, u skladu sa važećim propisima.</w:t>
      </w:r>
    </w:p>
    <w:p w:rsidR="00E55096" w:rsidRPr="00517D38" w:rsidRDefault="00E55096"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517D38">
      <w:pPr>
        <w:tabs>
          <w:tab w:val="left" w:pos="284"/>
        </w:tabs>
        <w:spacing w:before="200" w:after="0" w:line="240" w:lineRule="auto"/>
        <w:jc w:val="both"/>
        <w:rPr>
          <w:rFonts w:ascii="Times New Roman" w:eastAsia="Times New Roman" w:hAnsi="Times New Roman" w:cs="Times New Roman"/>
          <w:b/>
          <w:lang w:val="sr-Latn-ME"/>
        </w:rPr>
      </w:pPr>
      <w:r w:rsidRPr="00517D38">
        <w:rPr>
          <w:rFonts w:ascii="Times New Roman" w:eastAsia="Times New Roman" w:hAnsi="Times New Roman" w:cs="Times New Roman"/>
          <w:b/>
          <w:lang w:val="sr-Latn-ME"/>
        </w:rPr>
        <w:t xml:space="preserve">7. NOSILAC DOZVOLE </w:t>
      </w:r>
    </w:p>
    <w:p w:rsidR="00E55096" w:rsidRPr="00517D38" w:rsidRDefault="00E55096" w:rsidP="00E55096">
      <w:pPr>
        <w:tabs>
          <w:tab w:val="left" w:pos="284"/>
        </w:tabs>
        <w:spacing w:after="0" w:line="240" w:lineRule="auto"/>
        <w:jc w:val="both"/>
        <w:rPr>
          <w:rFonts w:ascii="Times New Roman" w:eastAsia="Times New Roman" w:hAnsi="Times New Roman" w:cs="Times New Roman"/>
          <w:b/>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bCs/>
          <w:lang w:val="sr-Latn-ME"/>
        </w:rPr>
      </w:pPr>
      <w:r w:rsidRPr="00517D38">
        <w:rPr>
          <w:rFonts w:ascii="Times New Roman" w:eastAsia="Times New Roman" w:hAnsi="Times New Roman" w:cs="Times New Roman"/>
          <w:bCs/>
          <w:lang w:val="sr-Latn-ME"/>
        </w:rPr>
        <w:t>Amicus Phama d.o.o. Podgorica</w:t>
      </w:r>
    </w:p>
    <w:p w:rsidR="00517D38" w:rsidRDefault="00517D38" w:rsidP="00517D38">
      <w:pPr>
        <w:tabs>
          <w:tab w:val="left" w:pos="284"/>
        </w:tabs>
        <w:spacing w:after="0" w:line="240" w:lineRule="auto"/>
        <w:jc w:val="both"/>
        <w:rPr>
          <w:rFonts w:ascii="Times New Roman" w:eastAsia="Times New Roman" w:hAnsi="Times New Roman" w:cs="Times New Roman"/>
          <w:bCs/>
          <w:lang w:val="sr-Latn-ME"/>
        </w:rPr>
      </w:pPr>
      <w:r w:rsidRPr="00517D38">
        <w:rPr>
          <w:rFonts w:ascii="Times New Roman" w:eastAsia="Times New Roman" w:hAnsi="Times New Roman" w:cs="Times New Roman"/>
          <w:bCs/>
          <w:lang w:val="sr-Latn-ME"/>
        </w:rPr>
        <w:t>Bulevar Džordža Vašingtona br. 51, Podgorica, Crna Gora</w:t>
      </w:r>
    </w:p>
    <w:p w:rsidR="00E55096" w:rsidRDefault="00E55096" w:rsidP="00517D38">
      <w:pPr>
        <w:tabs>
          <w:tab w:val="left" w:pos="284"/>
        </w:tabs>
        <w:spacing w:after="0" w:line="240" w:lineRule="auto"/>
        <w:jc w:val="both"/>
        <w:rPr>
          <w:rFonts w:ascii="Times New Roman" w:eastAsia="Times New Roman" w:hAnsi="Times New Roman" w:cs="Times New Roman"/>
          <w:bCs/>
          <w:lang w:val="sr-Latn-ME"/>
        </w:rPr>
      </w:pPr>
    </w:p>
    <w:p w:rsidR="00E55096" w:rsidRDefault="00E55096" w:rsidP="00517D38">
      <w:pPr>
        <w:tabs>
          <w:tab w:val="left" w:pos="284"/>
        </w:tabs>
        <w:spacing w:after="0" w:line="240" w:lineRule="auto"/>
        <w:jc w:val="both"/>
        <w:rPr>
          <w:rFonts w:ascii="Times New Roman" w:eastAsia="Times New Roman" w:hAnsi="Times New Roman" w:cs="Times New Roman"/>
          <w:bCs/>
          <w:lang w:val="sr-Latn-ME"/>
        </w:rPr>
      </w:pPr>
    </w:p>
    <w:p w:rsidR="00E55096" w:rsidRPr="00517D38" w:rsidRDefault="00E55096" w:rsidP="00517D38">
      <w:pPr>
        <w:tabs>
          <w:tab w:val="left" w:pos="284"/>
        </w:tabs>
        <w:spacing w:after="0" w:line="240" w:lineRule="auto"/>
        <w:jc w:val="both"/>
        <w:rPr>
          <w:rFonts w:ascii="Times New Roman" w:eastAsia="Times New Roman" w:hAnsi="Times New Roman" w:cs="Times New Roman"/>
          <w:bCs/>
          <w:lang w:val="sr-Latn-ME"/>
        </w:rPr>
      </w:pPr>
    </w:p>
    <w:p w:rsidR="00517D38" w:rsidRP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517D38">
      <w:pPr>
        <w:tabs>
          <w:tab w:val="left" w:pos="284"/>
        </w:tabs>
        <w:spacing w:before="200"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lang w:val="sr-Latn-ME"/>
        </w:rPr>
        <w:lastRenderedPageBreak/>
        <w:t xml:space="preserve">8. </w:t>
      </w:r>
      <w:r w:rsidRPr="00517D38">
        <w:rPr>
          <w:rFonts w:ascii="Times New Roman" w:eastAsia="Times New Roman" w:hAnsi="Times New Roman" w:cs="Times New Roman"/>
          <w:b/>
          <w:bCs/>
          <w:lang w:val="sr-Latn-ME"/>
        </w:rPr>
        <w:t>BROJ DOZVOLE ZA STAVLJANJE LIJEKA U PROMET</w:t>
      </w:r>
    </w:p>
    <w:p w:rsidR="00E55096" w:rsidRPr="00517D38" w:rsidRDefault="00E55096" w:rsidP="00E55096">
      <w:pPr>
        <w:tabs>
          <w:tab w:val="left" w:pos="284"/>
        </w:tabs>
        <w:spacing w:after="0" w:line="240" w:lineRule="auto"/>
        <w:jc w:val="both"/>
        <w:rPr>
          <w:rFonts w:ascii="Times New Roman" w:eastAsia="Times New Roman" w:hAnsi="Times New Roman" w:cs="Times New Roman"/>
          <w:b/>
          <w:lang w:val="sr-Latn-ME"/>
        </w:rPr>
      </w:pPr>
    </w:p>
    <w:p w:rsidR="00517D38" w:rsidRDefault="00517D38" w:rsidP="00517D38">
      <w:pPr>
        <w:tabs>
          <w:tab w:val="left" w:pos="284"/>
        </w:tabs>
        <w:spacing w:after="0" w:line="240" w:lineRule="auto"/>
        <w:jc w:val="both"/>
        <w:rPr>
          <w:rFonts w:ascii="Times New Roman" w:eastAsia="Times New Roman" w:hAnsi="Times New Roman" w:cs="Times New Roman"/>
          <w:bCs/>
          <w:lang w:val="sr-Latn-ME"/>
        </w:rPr>
      </w:pPr>
      <w:r w:rsidRPr="00517D38">
        <w:rPr>
          <w:rFonts w:ascii="Times New Roman" w:eastAsia="Times New Roman" w:hAnsi="Times New Roman" w:cs="Times New Roman"/>
          <w:bCs/>
          <w:lang w:val="sr-Latn-ME"/>
        </w:rPr>
        <w:t xml:space="preserve">Cetraxal, kapi za uši, rastvor u jednodoznom kontejneru, 2 mg/ml, jednodozni kontejner, 15 x 0.25 ml: </w:t>
      </w:r>
    </w:p>
    <w:p w:rsidR="00E55096" w:rsidRPr="00517D38" w:rsidRDefault="00E55096" w:rsidP="00517D38">
      <w:pPr>
        <w:tabs>
          <w:tab w:val="left" w:pos="284"/>
        </w:tabs>
        <w:spacing w:after="0" w:line="240" w:lineRule="auto"/>
        <w:jc w:val="both"/>
        <w:rPr>
          <w:rFonts w:ascii="Times New Roman" w:eastAsia="Times New Roman" w:hAnsi="Times New Roman" w:cs="Times New Roman"/>
          <w:bCs/>
          <w:lang w:val="sr-Latn-ME"/>
        </w:rPr>
      </w:pPr>
      <w:r w:rsidRPr="00E55096">
        <w:rPr>
          <w:rFonts w:ascii="Times New Roman" w:eastAsia="Times New Roman" w:hAnsi="Times New Roman" w:cs="Times New Roman"/>
          <w:bCs/>
          <w:lang w:val="sr-Latn-ME"/>
        </w:rPr>
        <w:t>2030/19/153 - 8807</w:t>
      </w:r>
    </w:p>
    <w:p w:rsidR="00517D38" w:rsidRDefault="00517D38" w:rsidP="00517D38">
      <w:pPr>
        <w:tabs>
          <w:tab w:val="left" w:pos="284"/>
        </w:tabs>
        <w:spacing w:after="0" w:line="240" w:lineRule="auto"/>
        <w:jc w:val="both"/>
        <w:rPr>
          <w:rFonts w:ascii="Times New Roman" w:eastAsia="Times New Roman" w:hAnsi="Times New Roman" w:cs="Times New Roman"/>
          <w:lang w:val="sr-Latn-ME"/>
        </w:rPr>
      </w:pPr>
    </w:p>
    <w:p w:rsidR="00E55096" w:rsidRPr="00517D38" w:rsidRDefault="00E55096" w:rsidP="00517D38">
      <w:pPr>
        <w:tabs>
          <w:tab w:val="left" w:pos="284"/>
        </w:tabs>
        <w:spacing w:after="0" w:line="240" w:lineRule="auto"/>
        <w:jc w:val="both"/>
        <w:rPr>
          <w:rFonts w:ascii="Times New Roman" w:eastAsia="Times New Roman" w:hAnsi="Times New Roman" w:cs="Times New Roman"/>
          <w:lang w:val="sr-Latn-ME"/>
        </w:rPr>
      </w:pPr>
    </w:p>
    <w:p w:rsidR="00517D38" w:rsidRDefault="00517D38" w:rsidP="00E55096">
      <w:pPr>
        <w:tabs>
          <w:tab w:val="left" w:pos="284"/>
        </w:tabs>
        <w:spacing w:after="0" w:line="240" w:lineRule="auto"/>
        <w:jc w:val="both"/>
        <w:rPr>
          <w:rFonts w:ascii="Times New Roman" w:eastAsia="Times New Roman" w:hAnsi="Times New Roman" w:cs="Times New Roman"/>
          <w:b/>
          <w:bCs/>
          <w:lang w:val="sr-Latn-ME"/>
        </w:rPr>
      </w:pPr>
      <w:r w:rsidRPr="00517D38">
        <w:rPr>
          <w:rFonts w:ascii="Times New Roman" w:eastAsia="Times New Roman" w:hAnsi="Times New Roman" w:cs="Times New Roman"/>
          <w:b/>
          <w:lang w:val="sr-Latn-ME"/>
        </w:rPr>
        <w:t xml:space="preserve">9. </w:t>
      </w:r>
      <w:r w:rsidRPr="00517D38">
        <w:rPr>
          <w:rFonts w:ascii="Times New Roman" w:eastAsia="Times New Roman" w:hAnsi="Times New Roman" w:cs="Times New Roman"/>
          <w:b/>
          <w:bCs/>
          <w:lang w:val="sr-Latn-ME"/>
        </w:rPr>
        <w:t>DATUM PRVE DOZVOLE/OBNOVE DOZVOLE ZA STAVLJANJE LIJEKA U PROMET</w:t>
      </w:r>
    </w:p>
    <w:p w:rsidR="00E55096" w:rsidRPr="00517D38" w:rsidRDefault="00E55096" w:rsidP="00E55096">
      <w:pPr>
        <w:tabs>
          <w:tab w:val="left" w:pos="284"/>
        </w:tabs>
        <w:spacing w:after="0" w:line="240" w:lineRule="auto"/>
        <w:jc w:val="both"/>
        <w:rPr>
          <w:rFonts w:ascii="Times New Roman" w:eastAsia="Times New Roman" w:hAnsi="Times New Roman" w:cs="Times New Roman"/>
          <w:b/>
          <w:lang w:val="sr-Latn-ME"/>
        </w:rPr>
      </w:pPr>
    </w:p>
    <w:p w:rsidR="00517D38" w:rsidRDefault="00517D38" w:rsidP="00517D38">
      <w:pPr>
        <w:tabs>
          <w:tab w:val="left" w:pos="284"/>
        </w:tabs>
        <w:spacing w:after="0" w:line="240" w:lineRule="auto"/>
        <w:jc w:val="both"/>
        <w:rPr>
          <w:rFonts w:ascii="Times New Roman" w:eastAsia="Times New Roman" w:hAnsi="Times New Roman" w:cs="Times New Roman"/>
          <w:bCs/>
          <w:lang w:val="sr-Latn-ME"/>
        </w:rPr>
      </w:pPr>
      <w:r w:rsidRPr="00517D38">
        <w:rPr>
          <w:rFonts w:ascii="Times New Roman" w:eastAsia="Times New Roman" w:hAnsi="Times New Roman" w:cs="Times New Roman"/>
          <w:bCs/>
          <w:lang w:val="sr-Latn-ME"/>
        </w:rPr>
        <w:t xml:space="preserve">Cetraxal, kapi za uši, rastvor u jednodoznom kontejneru, 2 mg/ml, jednodozni kontejner, 15 x 0.25 ml: </w:t>
      </w:r>
    </w:p>
    <w:p w:rsidR="00E55096" w:rsidRDefault="00DC7CC1" w:rsidP="00517D38">
      <w:pPr>
        <w:tabs>
          <w:tab w:val="left" w:pos="284"/>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04</w:t>
      </w:r>
      <w:bookmarkStart w:id="0" w:name="_GoBack"/>
      <w:bookmarkEnd w:id="0"/>
      <w:r w:rsidR="00E55096" w:rsidRPr="00E55096">
        <w:rPr>
          <w:rFonts w:ascii="Times New Roman" w:eastAsia="Times New Roman" w:hAnsi="Times New Roman" w:cs="Times New Roman"/>
          <w:bCs/>
          <w:lang w:val="sr-Latn-ME"/>
        </w:rPr>
        <w:t>.07.2019. godine</w:t>
      </w:r>
    </w:p>
    <w:p w:rsidR="00E55096" w:rsidRDefault="00E55096" w:rsidP="00517D38">
      <w:pPr>
        <w:tabs>
          <w:tab w:val="left" w:pos="284"/>
        </w:tabs>
        <w:spacing w:after="0" w:line="240" w:lineRule="auto"/>
        <w:jc w:val="both"/>
        <w:rPr>
          <w:rFonts w:ascii="Times New Roman" w:eastAsia="Times New Roman" w:hAnsi="Times New Roman" w:cs="Times New Roman"/>
          <w:bCs/>
          <w:lang w:val="sr-Latn-ME"/>
        </w:rPr>
      </w:pPr>
    </w:p>
    <w:p w:rsidR="00E55096" w:rsidRPr="00517D38" w:rsidRDefault="00E55096" w:rsidP="00517D38">
      <w:pPr>
        <w:tabs>
          <w:tab w:val="left" w:pos="284"/>
        </w:tabs>
        <w:spacing w:after="0" w:line="240" w:lineRule="auto"/>
        <w:jc w:val="both"/>
        <w:rPr>
          <w:rFonts w:ascii="Times New Roman" w:eastAsia="Times New Roman" w:hAnsi="Times New Roman" w:cs="Times New Roman"/>
          <w:bCs/>
          <w:lang w:val="sr-Latn-ME"/>
        </w:rPr>
      </w:pPr>
    </w:p>
    <w:p w:rsidR="00517D38" w:rsidRDefault="00517D38" w:rsidP="00E55096">
      <w:pPr>
        <w:tabs>
          <w:tab w:val="left" w:pos="284"/>
        </w:tabs>
        <w:spacing w:after="0" w:line="240" w:lineRule="auto"/>
        <w:jc w:val="both"/>
        <w:rPr>
          <w:rFonts w:ascii="Times New Roman" w:eastAsia="Times New Roman" w:hAnsi="Times New Roman" w:cs="Times New Roman"/>
          <w:b/>
          <w:lang w:val="sr-Latn-ME"/>
        </w:rPr>
      </w:pPr>
      <w:r w:rsidRPr="00517D38">
        <w:rPr>
          <w:rFonts w:ascii="Times New Roman" w:eastAsia="Times New Roman" w:hAnsi="Times New Roman" w:cs="Times New Roman"/>
          <w:b/>
          <w:lang w:val="sr-Latn-ME"/>
        </w:rPr>
        <w:t>10. DATUM REVIZIJE TEKSTA</w:t>
      </w:r>
    </w:p>
    <w:p w:rsidR="00E55096" w:rsidRDefault="00E55096" w:rsidP="00E55096">
      <w:pPr>
        <w:tabs>
          <w:tab w:val="left" w:pos="284"/>
        </w:tabs>
        <w:spacing w:after="0" w:line="240" w:lineRule="auto"/>
        <w:jc w:val="both"/>
        <w:rPr>
          <w:rFonts w:ascii="Times New Roman" w:eastAsia="Times New Roman" w:hAnsi="Times New Roman" w:cs="Times New Roman"/>
          <w:b/>
          <w:lang w:val="sr-Latn-ME"/>
        </w:rPr>
      </w:pPr>
    </w:p>
    <w:p w:rsidR="00E55096" w:rsidRPr="00517D38" w:rsidRDefault="00E55096" w:rsidP="00E55096">
      <w:pPr>
        <w:tabs>
          <w:tab w:val="left" w:pos="284"/>
        </w:tabs>
        <w:spacing w:after="0" w:line="240" w:lineRule="auto"/>
        <w:jc w:val="both"/>
        <w:rPr>
          <w:rFonts w:ascii="Times New Roman" w:eastAsia="Times New Roman" w:hAnsi="Times New Roman" w:cs="Times New Roman"/>
          <w:lang w:val="sr-Latn-ME"/>
        </w:rPr>
      </w:pPr>
      <w:r w:rsidRPr="00E55096">
        <w:rPr>
          <w:rFonts w:ascii="Times New Roman" w:eastAsia="Times New Roman" w:hAnsi="Times New Roman" w:cs="Times New Roman"/>
          <w:lang w:val="sr-Latn-ME"/>
        </w:rPr>
        <w:t>Jul, 2019. godine</w:t>
      </w:r>
    </w:p>
    <w:p w:rsidR="00DA1FB0" w:rsidRPr="00517D38" w:rsidRDefault="00DA1FB0" w:rsidP="00517D38">
      <w:pPr>
        <w:spacing w:after="0" w:line="240" w:lineRule="auto"/>
        <w:jc w:val="both"/>
        <w:rPr>
          <w:rFonts w:ascii="Times New Roman" w:hAnsi="Times New Roman" w:cs="Times New Roman"/>
          <w:lang w:val="sr-Latn-ME"/>
        </w:rPr>
      </w:pPr>
    </w:p>
    <w:sectPr w:rsidR="00DA1FB0" w:rsidRPr="00517D38"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BB3" w:rsidRDefault="00446BB3" w:rsidP="00FF2B5A">
      <w:pPr>
        <w:spacing w:after="0" w:line="240" w:lineRule="auto"/>
      </w:pPr>
      <w:r>
        <w:separator/>
      </w:r>
    </w:p>
  </w:endnote>
  <w:endnote w:type="continuationSeparator" w:id="0">
    <w:p w:rsidR="00446BB3" w:rsidRDefault="00446BB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C7CC1">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C7CC1">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BB3" w:rsidRDefault="00446BB3" w:rsidP="00FF2B5A">
      <w:pPr>
        <w:spacing w:after="0" w:line="240" w:lineRule="auto"/>
      </w:pPr>
      <w:r>
        <w:separator/>
      </w:r>
    </w:p>
  </w:footnote>
  <w:footnote w:type="continuationSeparator" w:id="0">
    <w:p w:rsidR="00446BB3" w:rsidRDefault="00446BB3"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E55096">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E55096" w:rsidRPr="00E55096" w:rsidRDefault="00E55096" w:rsidP="00E55096">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D1F10"/>
    <w:multiLevelType w:val="hybridMultilevel"/>
    <w:tmpl w:val="B046087E"/>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C55BD3"/>
    <w:multiLevelType w:val="hybridMultilevel"/>
    <w:tmpl w:val="0A8287D8"/>
    <w:lvl w:ilvl="0" w:tplc="5C5800D4">
      <w:start w:val="5"/>
      <w:numFmt w:val="bullet"/>
      <w:lvlText w:val="-"/>
      <w:lvlJc w:val="left"/>
      <w:pPr>
        <w:ind w:left="927" w:hanging="360"/>
      </w:pPr>
      <w:rPr>
        <w:rFonts w:ascii="Times New Roman" w:eastAsia="Times New Roman" w:hAnsi="Times New Roman" w:cs="Times New Roman" w:hint="default"/>
      </w:rPr>
    </w:lvl>
    <w:lvl w:ilvl="1" w:tplc="0C0A0003">
      <w:start w:val="1"/>
      <w:numFmt w:val="bullet"/>
      <w:lvlText w:val="o"/>
      <w:lvlJc w:val="left"/>
      <w:pPr>
        <w:ind w:left="1647" w:hanging="360"/>
      </w:pPr>
      <w:rPr>
        <w:rFonts w:ascii="Courier New" w:hAnsi="Courier New" w:cs="Times New Roman" w:hint="default"/>
      </w:rPr>
    </w:lvl>
    <w:lvl w:ilvl="2" w:tplc="0C0A0005">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cs="Times New Roman" w:hint="default"/>
      </w:rPr>
    </w:lvl>
    <w:lvl w:ilvl="5" w:tplc="0C0A0005">
      <w:start w:val="1"/>
      <w:numFmt w:val="bullet"/>
      <w:lvlText w:val=""/>
      <w:lvlJc w:val="left"/>
      <w:pPr>
        <w:ind w:left="4527" w:hanging="360"/>
      </w:pPr>
      <w:rPr>
        <w:rFonts w:ascii="Wingdings" w:hAnsi="Wingdings" w:hint="default"/>
      </w:rPr>
    </w:lvl>
    <w:lvl w:ilvl="6" w:tplc="0C0A0001">
      <w:start w:val="1"/>
      <w:numFmt w:val="bullet"/>
      <w:lvlText w:val=""/>
      <w:lvlJc w:val="left"/>
      <w:pPr>
        <w:ind w:left="5247" w:hanging="360"/>
      </w:pPr>
      <w:rPr>
        <w:rFonts w:ascii="Symbol" w:hAnsi="Symbol" w:hint="default"/>
      </w:rPr>
    </w:lvl>
    <w:lvl w:ilvl="7" w:tplc="0C0A0003">
      <w:start w:val="1"/>
      <w:numFmt w:val="bullet"/>
      <w:lvlText w:val="o"/>
      <w:lvlJc w:val="left"/>
      <w:pPr>
        <w:ind w:left="5967" w:hanging="360"/>
      </w:pPr>
      <w:rPr>
        <w:rFonts w:ascii="Courier New" w:hAnsi="Courier New" w:cs="Times New Roman" w:hint="default"/>
      </w:rPr>
    </w:lvl>
    <w:lvl w:ilvl="8" w:tplc="0C0A0005">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F0A12"/>
    <w:rsid w:val="002B336F"/>
    <w:rsid w:val="0031146A"/>
    <w:rsid w:val="00446BB3"/>
    <w:rsid w:val="00461135"/>
    <w:rsid w:val="00517D38"/>
    <w:rsid w:val="00747C4B"/>
    <w:rsid w:val="00805838"/>
    <w:rsid w:val="00883AF2"/>
    <w:rsid w:val="009040D0"/>
    <w:rsid w:val="009318B4"/>
    <w:rsid w:val="00934541"/>
    <w:rsid w:val="00A06058"/>
    <w:rsid w:val="00AF30B1"/>
    <w:rsid w:val="00B234CE"/>
    <w:rsid w:val="00B34AF2"/>
    <w:rsid w:val="00C4240B"/>
    <w:rsid w:val="00C606D3"/>
    <w:rsid w:val="00D45AFE"/>
    <w:rsid w:val="00DA1FB0"/>
    <w:rsid w:val="00DC7CC1"/>
    <w:rsid w:val="00E0627A"/>
    <w:rsid w:val="00E55096"/>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7D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B8044-40CB-4B07-9510-0E894AA5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7</cp:revision>
  <dcterms:created xsi:type="dcterms:W3CDTF">2017-06-23T09:30:00Z</dcterms:created>
  <dcterms:modified xsi:type="dcterms:W3CDTF">2019-07-04T05:34:00Z</dcterms:modified>
</cp:coreProperties>
</file>