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16" w:rsidRPr="00DD4E16" w:rsidRDefault="00DD4E16" w:rsidP="00DD4E16">
      <w:pPr>
        <w:tabs>
          <w:tab w:val="left" w:pos="284"/>
        </w:tabs>
        <w:spacing w:after="0" w:line="240" w:lineRule="auto"/>
        <w:jc w:val="center"/>
        <w:rPr>
          <w:rFonts w:ascii="Times New Roman" w:eastAsia="Times New Roman" w:hAnsi="Times New Roman" w:cs="Times New Roman"/>
          <w:b/>
          <w:bCs/>
          <w:iCs/>
          <w:u w:val="single"/>
          <w:lang w:val="sr-Latn-ME"/>
        </w:rPr>
      </w:pPr>
      <w:r w:rsidRPr="00DD4E16">
        <w:rPr>
          <w:rFonts w:ascii="Times New Roman" w:eastAsia="Times New Roman" w:hAnsi="Times New Roman" w:cs="Times New Roman"/>
          <w:b/>
          <w:bCs/>
          <w:iCs/>
          <w:u w:val="single"/>
          <w:lang w:val="sr-Latn-ME"/>
        </w:rPr>
        <w:t>SAŽETAK KARAKTERISTIKA LIJEKA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 </w:t>
      </w:r>
    </w:p>
    <w:p w:rsidR="00DD4E16" w:rsidRDefault="00DD4E16" w:rsidP="00DD4E16">
      <w:pPr>
        <w:tabs>
          <w:tab w:val="left" w:pos="284"/>
        </w:tabs>
        <w:spacing w:before="200"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lang w:val="sr-Latn-ME"/>
        </w:rPr>
        <w:t xml:space="preserve">1. </w:t>
      </w:r>
      <w:r w:rsidRPr="00DD4E16">
        <w:rPr>
          <w:rFonts w:ascii="Times New Roman" w:eastAsia="Times New Roman" w:hAnsi="Times New Roman" w:cs="Times New Roman"/>
          <w:b/>
          <w:bCs/>
          <w:lang w:val="sr-Latn-ME"/>
        </w:rPr>
        <w:t>NAZIV LIJEKA</w:t>
      </w:r>
    </w:p>
    <w:p w:rsidR="00DD4E16" w:rsidRPr="00DD4E16" w:rsidRDefault="00DD4E16" w:rsidP="00DD4E16">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CETRAXAL plus, 0,25 mg/ml + 3 mg/ml, kapi za uši, rastvor</w:t>
      </w: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INN: fluocinolon acetonid, ciprofloksacin</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Cs/>
          <w:iCs/>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2. KVALITATIVNI I KVANTITATIVNI SASTAV</w:t>
      </w:r>
    </w:p>
    <w:p w:rsidR="00DD4E16" w:rsidRPr="00DD4E16" w:rsidRDefault="00DD4E16" w:rsidP="00DD4E16">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Jedan mililitar rastvora sadrži 0,25 mg fluocinolon acetonida i 3 mg ciprofloksacina u obliku ciprofloksacin hidrohlorida.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Pomoćne supstance sa potvrđenim dejstvom:</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0,6 mg metil parahidroksibenzoata (E218) po mililitru.</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0,3 mg propil parahidrosibenzoata (E216) po mililitru.</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Za spisak svih ekscipijenasa, pogledati dio 6.1.</w:t>
      </w: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3. FARMACEUTSKI OBLIK</w:t>
      </w:r>
    </w:p>
    <w:p w:rsidR="00DD4E16" w:rsidRPr="00DD4E16" w:rsidRDefault="00DD4E16" w:rsidP="00DD4E16">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lang w:val="sr-Latn-ME"/>
        </w:rPr>
        <w:t>Kapi za uši, rastvor</w:t>
      </w:r>
      <w:r w:rsidRPr="00DD4E16">
        <w:rPr>
          <w:rFonts w:ascii="Times New Roman" w:eastAsia="Times New Roman" w:hAnsi="Times New Roman" w:cs="Times New Roman"/>
          <w:bCs/>
          <w:lang w:val="sr-Latn-ME"/>
        </w:rPr>
        <w:t>.</w:t>
      </w:r>
    </w:p>
    <w:p w:rsid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Bistar rastvor.</w:t>
      </w: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4. KLINIČKI PODACI</w:t>
      </w:r>
    </w:p>
    <w:p w:rsidR="00DD4E16" w:rsidRPr="00DD4E16" w:rsidRDefault="00DD4E16" w:rsidP="00DD4E16">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4.1. Terapijske indikacije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Lijek CETRAXAL plus je indikovan kod odraslih i djece uzrasta od 6 mjeseci i starije za liječenje:</w:t>
      </w:r>
    </w:p>
    <w:p w:rsidR="00DD4E16" w:rsidRPr="00DD4E16" w:rsidRDefault="00DD4E16" w:rsidP="00DD4E16">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akutnog zapaljenja spoljašnjeg uha (</w:t>
      </w:r>
      <w:r w:rsidRPr="00DD4E16">
        <w:rPr>
          <w:rFonts w:ascii="Times New Roman" w:eastAsia="Times New Roman" w:hAnsi="Times New Roman" w:cs="Times New Roman"/>
          <w:i/>
          <w:lang w:val="sr-Latn-ME"/>
        </w:rPr>
        <w:t>otitis externa</w:t>
      </w:r>
      <w:r w:rsidRPr="00DD4E16">
        <w:rPr>
          <w:rFonts w:ascii="Times New Roman" w:eastAsia="Times New Roman" w:hAnsi="Times New Roman" w:cs="Times New Roman"/>
          <w:lang w:val="sr-Latn-ME"/>
        </w:rPr>
        <w:t xml:space="preserve">), </w:t>
      </w:r>
    </w:p>
    <w:p w:rsidR="00DD4E16" w:rsidRPr="00DD4E16" w:rsidRDefault="00DD4E16" w:rsidP="00DD4E16">
      <w:pPr>
        <w:numPr>
          <w:ilvl w:val="0"/>
          <w:numId w:val="1"/>
        </w:numPr>
        <w:tabs>
          <w:tab w:val="left" w:pos="284"/>
        </w:tabs>
        <w:spacing w:after="0" w:line="240" w:lineRule="auto"/>
        <w:contextualSpacing/>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akutnog zapaljenja srednjeg uha (</w:t>
      </w:r>
      <w:r w:rsidRPr="00DD4E16">
        <w:rPr>
          <w:rFonts w:ascii="Times New Roman" w:eastAsia="Times New Roman" w:hAnsi="Times New Roman" w:cs="Times New Roman"/>
          <w:i/>
          <w:lang w:val="sr-Latn-ME"/>
        </w:rPr>
        <w:t>otitis media</w:t>
      </w:r>
      <w:r w:rsidRPr="00DD4E16">
        <w:rPr>
          <w:rFonts w:ascii="Times New Roman" w:eastAsia="Times New Roman" w:hAnsi="Times New Roman" w:cs="Times New Roman"/>
          <w:lang w:val="sr-Latn-ME"/>
        </w:rPr>
        <w:t>) kod pacijenata sa ugrađenim ventilacionim cjevčicama,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ukoliko je zapaljenje izazvano mikroorganizmima osjetljivim na ciprofloksacin (vidjeti odjeljke 4.2, 4.4 i 5.1).</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Treba uzeti u obzir zvanične smjernice o adekvatnom korišćenju antibiotika.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4.2. Doziranje i način primjene</w:t>
      </w: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Doziranje</w:t>
      </w:r>
    </w:p>
    <w:p w:rsidR="00DD4E16" w:rsidRPr="00DD4E16" w:rsidRDefault="00DD4E16" w:rsidP="00DD4E16">
      <w:pPr>
        <w:tabs>
          <w:tab w:val="left" w:pos="284"/>
        </w:tabs>
        <w:spacing w:after="0" w:line="240" w:lineRule="auto"/>
        <w:jc w:val="both"/>
        <w:rPr>
          <w:rFonts w:ascii="Times New Roman" w:eastAsia="Times New Roman" w:hAnsi="Times New Roman" w:cs="Times New Roman"/>
          <w:i/>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Odrasli i stariji pacijenti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Akutno zapaljenje spoljašnjeg uha i akutno zapaljenje uha sa ugrađenim ventilacionim cjevčicama: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ukapati 6 - 8 kapi u spoljni ušni kanal bolnog uha na svakih 12 sati tokom 7 dana.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lastRenderedPageBreak/>
        <w:t>Nijesu primijećene razlike u bezbjednosti i efikasnosti između starije populacije i odraslih pacijenata.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 xml:space="preserve">Pedijatrijski pacijenti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Doziranje kod djece uzrasta od 6 mjeseci i starije je isto kao kod odraslih u obije indikacije.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Pacijenti sa oštećenom funkcijom bubrega ili jetre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Nije potrebno prilagođavanje doze.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Način primjene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Aurikularna primjena.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 xml:space="preserve">Mjere opreza prije rukovanja i primjene lijeka: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Rastvor treba zagrijati prije primjene tako što će se bočica držati u ruci par minuta, kako bi se izbjegla nelagodnost (pojava vrtoglavice) do koje može da dođe ukoliko se u ušni kanal primijeni hladan rastvor. Pacijent treba da legne tako da mu bolno uho bude okrenuto na gore, a zatim treba ukapati kapi povlačeći ušnu školjku radi lakše primjene. Kod pacijenata sa akutnim otitis media sa ugrađenim ventilacionim cjevčicama, potrebno je 4 puta pritisnuti tragus ka unutra da bi se olakšalo da kapi prodru u srednje uho. Pacijent u ovom položaju treba da ostane oko 1 minut, da bi kapi lakše prodrle u uho.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 potrebi, postupak ponoviti i sa drugim uhom.</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Da biste spriječili kontaminaciju vrha kapaljke i smanjili rizik od bakterijske infekcije, treba da povedete računa da kapaljkom ne dodirujete ušnu školjku ili spoljašnji ušni kanal, kao ni druge površine. Bočicu držite dobro zatvorenu kada ne koristite lijek. Bočicu sačuvajte do kraja terapije.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4.3. Kontraindikacije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Preosjetljivost na aktivne supstance ciprofloksacin ili fluocinolon acetonid ili na bilo koji antibiotik iz grupe hinolonskih antibiotika, kao i na bilo koju od pomoćnih supstanci navedenih u odjeljku 6.1.</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Virusne infekcije spoljašnjeg ušnog kanala, uključujući varičelu i herpes simplex, kao i gljivične infekcije uha.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4.4. Posebna upozorenja i mjere opreza pri upotrebi lijeka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Ovaj lijek je namijenjen za aurikularnu primjenu (primjenu u uho), nije namijenjen za oftalmološku primjenu, niti primjenu u vidu inhalacije ili injekcije. Ne smije da se guta niti primjenjuje u vidu injekcije.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Ukoliko se otoreja nastavi nakon cjelokupne terapije, ili ukoliko se u roku od šest mjeseci jave još dvije ili više epizoda otoreje, preporučuje se dodatno ispitivanje da bi se isključile druge bolesti, kao što je holesteatom, prisustvo stranog tijela ili tumor. Ukoliko se nakon terapije neki znaci i simptomi nastave, potrebno je dodatno ispitivanje i procjena bolesti i terapije.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Ukoliko se pojavi osip na koži ili bilo koji drugi znak preosjetljivosti, treba odmah prekinuti sa primjenom lijeka CETRAXAL plus. Kod nekih pacijenata koji su primali sistemske hinolone, prijavljene su ozbiljne reakcije preosjetljivosti, neke i sa fatalnim ishodom, pri čemu su se neke od njih javile i nakon primjene prve doze lijeka. U slučaju pojave ozbiljne akutne reakcije preosjetljivosti, može biti potrebno hitno medicinsko liječenje.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lastRenderedPageBreak/>
        <w:t>Kao i kod drugih antibiotika, primjena ovog lijeka može da dovede do prekomjernog rasta neosjetljivih mikroorganizama, kao što su neki sojevi bakterija i gljivica. Ukoliko se razvije superinfekcija, treba započeti odgovarajuću terapiju.</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Kod nekih pacijenata koji su primali sistemske hinolone, prijavljena je pojava umjerene ili teške osjetljivosti kože na sunce. Zbog mjesta primjene ovog lijeka, ne očekuju se fotoalergijske reakcije.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Kortikosteroidi mogu da smanje otpornost i potpomognu razvoj bakterijske, virusne ili gljivične infekcije i da maskiraju kliničke znake infekcije, i time onemoguće da se na vrijeme primijeti neefikasnost antibiotika, ili mogu da ublaže reakciju preosjetljivosti na aktivne supstance ovog lijeka.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Lijek CETRAXAL plus može da izazove alergijske reakcije, čak i odložene, jer sadrži metil parahidroksibenzoat i propil parahidorksibenzoat (vidjeti odjeljak 4.8).</w:t>
      </w:r>
    </w:p>
    <w:p w:rsidR="00DD4E16" w:rsidRPr="00DD4E16" w:rsidRDefault="00DD4E16" w:rsidP="00DD4E16">
      <w:pPr>
        <w:tabs>
          <w:tab w:val="left" w:pos="284"/>
        </w:tabs>
        <w:spacing w:after="0" w:line="240" w:lineRule="auto"/>
        <w:jc w:val="both"/>
        <w:rPr>
          <w:rFonts w:ascii="Times New Roman" w:eastAsia="Times New Roman" w:hAnsi="Times New Roman" w:cs="Times New Roman"/>
          <w:color w:val="000000"/>
          <w:u w:val="single"/>
        </w:rPr>
      </w:pPr>
      <w:r w:rsidRPr="00DD4E16">
        <w:rPr>
          <w:rFonts w:ascii="Times New Roman" w:eastAsia="Times New Roman" w:hAnsi="Times New Roman" w:cs="Times New Roman"/>
          <w:color w:val="000000"/>
          <w:u w:val="single"/>
          <w:lang w:val="sr-Latn-RS"/>
        </w:rPr>
        <w:t xml:space="preserve"> </w:t>
      </w:r>
    </w:p>
    <w:p w:rsidR="00DD4E16" w:rsidRPr="00DD4E16" w:rsidRDefault="00DD4E16" w:rsidP="00DD4E16">
      <w:pPr>
        <w:tabs>
          <w:tab w:val="left" w:pos="284"/>
        </w:tabs>
        <w:spacing w:after="0" w:line="240" w:lineRule="auto"/>
        <w:jc w:val="both"/>
        <w:rPr>
          <w:rFonts w:ascii="Times New Roman" w:eastAsia="Times New Roman" w:hAnsi="Times New Roman" w:cs="Times New Roman"/>
          <w:color w:val="000000"/>
          <w:u w:val="single"/>
          <w:lang w:val="sr-Latn-RS"/>
        </w:rPr>
      </w:pPr>
      <w:r w:rsidRPr="00DD4E16">
        <w:rPr>
          <w:rFonts w:ascii="Times New Roman" w:eastAsia="Times New Roman" w:hAnsi="Times New Roman" w:cs="Times New Roman"/>
          <w:color w:val="000000"/>
          <w:u w:val="single"/>
          <w:lang w:val="sr-Latn-RS"/>
        </w:rPr>
        <w:t>Poremećaj vida</w:t>
      </w:r>
    </w:p>
    <w:p w:rsidR="00DD4E16" w:rsidRPr="00DD4E16" w:rsidRDefault="00DD4E16" w:rsidP="00DD4E16">
      <w:pPr>
        <w:tabs>
          <w:tab w:val="left" w:pos="284"/>
        </w:tabs>
        <w:spacing w:after="0" w:line="240" w:lineRule="auto"/>
        <w:jc w:val="both"/>
        <w:rPr>
          <w:rFonts w:ascii="Times New Roman" w:eastAsia="Times New Roman" w:hAnsi="Times New Roman" w:cs="Times New Roman"/>
        </w:rPr>
      </w:pPr>
      <w:r w:rsidRPr="00DD4E16">
        <w:rPr>
          <w:rFonts w:ascii="Times New Roman" w:eastAsia="Times New Roman" w:hAnsi="Times New Roman" w:cs="Times New Roman"/>
          <w:color w:val="000000"/>
          <w:lang w:val="sr-Latn-RS"/>
        </w:rPr>
        <w:t xml:space="preserve">Poremećaj vida može biti prijavljen nakon sistemske i lokalne primjene kortikosteroida. Ukoliko se pacijent požali na simptome kao što su zamagljen vid ili drugi poremećaji vida, treba razmotriti da se uputi na pregled kod oftalmologa, koji će procijeniti da li je moguće prisutna katarakta, glaukom, ili neko rijetko oboljenje kao što je </w:t>
      </w:r>
      <w:r w:rsidRPr="00DD4E16">
        <w:rPr>
          <w:rFonts w:ascii="Times New Roman" w:eastAsia="Times New Roman" w:hAnsi="Times New Roman" w:cs="Times New Roman"/>
          <w:bCs/>
          <w:color w:val="000000"/>
        </w:rPr>
        <w:t>centralna</w:t>
      </w:r>
      <w:r w:rsidRPr="00DD4E16">
        <w:rPr>
          <w:rFonts w:ascii="Times New Roman" w:eastAsia="Times New Roman" w:hAnsi="Times New Roman" w:cs="Times New Roman"/>
          <w:color w:val="000000"/>
        </w:rPr>
        <w:t> serozna </w:t>
      </w:r>
      <w:r w:rsidRPr="00DD4E16">
        <w:rPr>
          <w:rFonts w:ascii="Times New Roman" w:eastAsia="Times New Roman" w:hAnsi="Times New Roman" w:cs="Times New Roman"/>
          <w:bCs/>
          <w:color w:val="000000"/>
        </w:rPr>
        <w:t>horioretinopatija,</w:t>
      </w:r>
      <w:r w:rsidRPr="00DD4E16">
        <w:rPr>
          <w:rFonts w:ascii="Times New Roman" w:eastAsia="Times New Roman" w:hAnsi="Times New Roman" w:cs="Times New Roman"/>
          <w:color w:val="000000"/>
          <w:lang w:val="sr-Latn-RS"/>
        </w:rPr>
        <w:t xml:space="preserve"> koja je prijavljivana nakon sistemske i lokalne primjene kortikosteroida.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Pedijatrijska populacija</w:t>
      </w:r>
    </w:p>
    <w:p w:rsidR="00DD4E16" w:rsidRPr="00DD4E16" w:rsidRDefault="00DD4E16" w:rsidP="00DD4E16">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Bezbjednost i efikasnost lijeka CETRAXAL plus nijesu utvrđene kod djece mlađe od 6 mjeseci. U izuzetnim slučajevima, lijek CETRAXAL plus može da se koristi i kod ove grupe pedijatrijskih pacijenata, nakon što ljekar pažljivo procijeni odnos koristi i rizika, imajući u vidu da nema dovoljno kliničkog iskustva sa ovom grupom pacijenata, iako ne postoje bezbjednosna pitanja niti razlike u toku bolesti koje bi spriječile primjenu lijeka u ovoj podgrupi pedijatrijske populacije.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4.5. Interakcije sa drugim ljekovima i druge vrste interakcija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Nijesu sprovedene studije interakcije sa lijekom CETRAXAL plus. Budući da se nakon primjene u uho očekuje nizak nivo lijeka u plazmi (vidjeti odjeljak 5.2), malo je vjerovatno da ciprofloksacin ili fluocinolon acetonid mogu da imaju značajne sistemske interakcije sa drugim ljekovima.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Sistemska primjena nekih hinolona je uticala na pojačavanje dejstva oralnih antikoagulanasa, varfarina i njegovih derivata, i povezana je sa prolaznim porastima kreatinina u serumu kod pacijenata koji istovremeno primaju ciklosporin.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Oralna primjena ciprofloksacina inhibira izoenzime citohroma P450 CYP1A2 i CYP3A4 i mijenja metabolizam jedinjenja metilksantina (kofein, teofilin). Nakon lokalne primjene lijeka CETRAXAL plus u uho, koncentracija ciprofloksacina u plazmi je mala i malo je vjerovatno da bi interakcija koja uključuje metabolizam P450 sa istovremeno primijenjenim ljekovima dovela do klinički značajnih promjena nivoa metilksantin jedinjenja u plazmi.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Ne preporučuje se istovremena primjena drugih ljekova u uho. Ukoliko je neophodno da se više od jednog lijeka primijeni na ovaj način, treba napraviti pauzu između primjena.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lastRenderedPageBreak/>
        <w:t>4.6. Plodnost, trudnoća i dojenje</w:t>
      </w: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Plodnost</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Nijesu sprovedene studije na životinjama koje bi procijenile uticaj lijeka CETRAXAL plus na plodnost.</w:t>
      </w: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Trudnoća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Podaci o primjeni ciprofloksacina kod trudnica ne ukazuju na malformativnu ili feto/neonatalnu toksičnost. Budući da je sistemska izloženost ciprofloksacinu izuzetno mala, ne očekuje se uticaj na fetus. Kortikosteroidi su pokazali teratogeno dejstvo kod laboratorijskih životinja nakon sistemske primjene pri relativno malim dozama. Neki kortikosteroidi su se pokazali teratogenim i nakon primjene na kožu kod laboratorijskih životinja. Nema odgovarajućih i kontrolisanih studija koje su proučavale teratogene efekte fluocinolon acetonida kod trudnica.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Prije primjene ovog lijeka, ljekar treba da procijeni odnos koristi terapije i mogućih rizika.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Dojenje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Ciprofloksacin se izlučuje u majčino mlijeko. Budući da je sistemska izloženost ciprofloksacinu nakon primjene u uho kod dojilja zanemarljiva, ne očekuju se efekti na odojče.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Sistemski primijenjeni kortikosteroidi se detektuju u majčinom mlijeku i mogu da utiču na usporavanje rasta i da poremete endogeno stvaranje kortikosteroida, ili da izazovu druge neželjene efekte.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Nije poznato da li lokalna primjena kortikosteroida može da izazove dovoljnu sistemsku resorpciju koja bi dovela do mjerljivih količina lijeka u majčinom mlijeku.</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Budući da se mnogi ljekovi izlučuju u majčino mlijeko, potreban je oprez kada se lijek CETRAXAL plus primjenjuje kod dojilja.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4.7. Uticaj na sposobnost upravljanja vozilima i rukovanje mašinama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Lijek CETRAXAL plus nema uticaj na sposobnost upravljanja vozilima i rukovanje mašinama, zbog načina i uslova primjene.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4.8. Neželjena dejstva</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DD4E16">
        <w:rPr>
          <w:rFonts w:ascii="Times New Roman" w:eastAsia="Times New Roman" w:hAnsi="Times New Roman" w:cs="Times New Roman"/>
          <w:noProof/>
          <w:u w:val="single"/>
          <w:lang w:val="sr-Latn-ME"/>
        </w:rPr>
        <w:t>Tabelarni prikaz neželjenih reakcija</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DD4E16">
        <w:rPr>
          <w:rFonts w:ascii="Times New Roman" w:eastAsia="Times New Roman" w:hAnsi="Times New Roman" w:cs="Times New Roman"/>
          <w:noProof/>
          <w:lang w:val="sr-Latn-ME"/>
        </w:rPr>
        <w:t>Neželjene reakcije navedene u tabeli su primijećene tokom kliničkih studija i tokom postmarketinškog praćenja. Navedene su po klasama sistema organa i  prema sljedećoj konvenciji: veoma česte (≥1/10), česte (≥1/100 do &lt;1/10), povremene (≥1/1000 do &lt;1/100), rijetke (≥1/10000 do &lt;1/1000), veoma rijetke (&lt;1/10000), nepoznate učestalosti (učestalost se ne može procijeniti na osnovu dostupnih podataka). U okviru svake grupe, neželjene reakcije su navedene prema opadajućoj ozbiljnosti.</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9"/>
      </w:tblGrid>
      <w:tr w:rsidR="00DD4E16" w:rsidRPr="00DD4E16" w:rsidTr="00DD4E16">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 w:val="right" w:pos="3861"/>
              </w:tabs>
              <w:suppressAutoHyphen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Klasifikacija sistema organa</w:t>
            </w:r>
            <w:r w:rsidRPr="00DD4E16">
              <w:rPr>
                <w:rFonts w:ascii="Times New Roman" w:eastAsia="Times New Roman" w:hAnsi="Times New Roman" w:cs="Times New Roman"/>
                <w:b/>
                <w:lang w:val="sr-Latn-ME"/>
              </w:rPr>
              <w:tab/>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Učestalost / Neželjena dejstva</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Infekcije i infestacije</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kandidijaza, gljivična infekcija uha, kontralateralni otitis media</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Poremećaji nervnog sistema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Često:</w:t>
            </w:r>
            <w:r w:rsidRPr="00DD4E16">
              <w:rPr>
                <w:rFonts w:ascii="Times New Roman" w:eastAsia="Times New Roman" w:hAnsi="Times New Roman" w:cs="Times New Roman"/>
                <w:lang w:val="sr-Latn-ME"/>
              </w:rPr>
              <w:t xml:space="preserve"> disgeuzija</w:t>
            </w:r>
          </w:p>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parestezija (peckanje u ušima), vrtoglavica, glavobolja, plač</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lastRenderedPageBreak/>
              <w:t>Poremećaji uha i labirinta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Često:</w:t>
            </w:r>
            <w:r w:rsidRPr="00DD4E16">
              <w:rPr>
                <w:rFonts w:ascii="Times New Roman" w:eastAsia="Times New Roman" w:hAnsi="Times New Roman" w:cs="Times New Roman"/>
                <w:lang w:val="sr-Latn-ME"/>
              </w:rPr>
              <w:t xml:space="preserve"> bol u uhu, neprijatnost u uhu, pruritus u uhu</w:t>
            </w:r>
          </w:p>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hipoakuzija, tinitus, otoreja, kongestija uha, poremećaj bubne opne, oticanje ušne školjke</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rPr>
              <w:t>Poremećaji oka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i/>
                <w:lang w:val="sr-Latn-ME"/>
              </w:rPr>
            </w:pPr>
            <w:r w:rsidRPr="00DD4E16">
              <w:rPr>
                <w:rFonts w:ascii="Times New Roman" w:eastAsia="Times New Roman" w:hAnsi="Times New Roman" w:cs="Times New Roman"/>
              </w:rPr>
              <w:t>Nepoznata učestalost: zamagljen vid (videti odeljak 4.4)</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Vaskularni poremećaji</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crvenilo</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Gastrointestinalni poremećaji</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povraćanje</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Poremećaji kože i potkožnog tkiva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ljuštenje kože, eritematozni osip, osip, granulaciono tkivo </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Opšti poremećaji i reakcije na mjestu primjene</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razdražljivost, zamor</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Ispitivanja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ostaci lijeka</w:t>
            </w:r>
          </w:p>
        </w:tc>
      </w:tr>
      <w:tr w:rsidR="00DD4E16" w:rsidRPr="00DD4E16" w:rsidTr="00DD4E16">
        <w:tc>
          <w:tcPr>
            <w:tcW w:w="2500" w:type="pct"/>
            <w:tcBorders>
              <w:top w:val="single" w:sz="4" w:space="0" w:color="auto"/>
              <w:left w:val="single" w:sz="4" w:space="0" w:color="auto"/>
              <w:bottom w:val="single" w:sz="4" w:space="0" w:color="auto"/>
              <w:right w:val="single" w:sz="4" w:space="0" w:color="auto"/>
            </w:tcBorders>
            <w:vAlign w:val="center"/>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Povrede, trovanja i komplikacije usljed operacija</w:t>
            </w:r>
          </w:p>
        </w:tc>
        <w:tc>
          <w:tcPr>
            <w:tcW w:w="2500" w:type="pct"/>
            <w:tcBorders>
              <w:top w:val="single" w:sz="4" w:space="0" w:color="auto"/>
              <w:left w:val="single" w:sz="4" w:space="0" w:color="auto"/>
              <w:bottom w:val="single" w:sz="4" w:space="0" w:color="auto"/>
              <w:right w:val="single" w:sz="4" w:space="0" w:color="auto"/>
            </w:tcBorders>
            <w:hideMark/>
          </w:tcPr>
          <w:p w:rsidR="00DD4E16" w:rsidRPr="00DD4E16" w:rsidRDefault="00DD4E16" w:rsidP="00C7717C">
            <w:pPr>
              <w:tabs>
                <w:tab w:val="left" w:pos="-1440"/>
                <w:tab w:val="left" w:pos="-720"/>
                <w:tab w:val="left" w:pos="284"/>
              </w:tabs>
              <w:suppressAutoHyphens/>
              <w:spacing w:after="0" w:line="240" w:lineRule="auto"/>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Povremeno:</w:t>
            </w:r>
            <w:r w:rsidRPr="00DD4E16">
              <w:rPr>
                <w:rFonts w:ascii="Times New Roman" w:eastAsia="Times New Roman" w:hAnsi="Times New Roman" w:cs="Times New Roman"/>
                <w:lang w:val="sr-Latn-ME"/>
              </w:rPr>
              <w:t xml:space="preserve"> okluzija implanta (opstrukcija ventilacione cjevčice)</w:t>
            </w:r>
          </w:p>
        </w:tc>
      </w:tr>
    </w:tbl>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DD4E16">
        <w:rPr>
          <w:rFonts w:ascii="Times New Roman" w:eastAsia="Times New Roman" w:hAnsi="Times New Roman" w:cs="Times New Roman"/>
          <w:noProof/>
          <w:u w:val="single"/>
          <w:lang w:val="sr-Latn-ME"/>
        </w:rPr>
        <w:t>Opis odabranih neželjenih reakcija</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DD4E16">
        <w:rPr>
          <w:rFonts w:ascii="Times New Roman" w:eastAsia="Times New Roman" w:hAnsi="Times New Roman" w:cs="Times New Roman"/>
          <w:noProof/>
          <w:lang w:val="sr-Latn-ME"/>
        </w:rPr>
        <w:t xml:space="preserve">Ozbiljne reakcije preosjetljivosti (anafilaktičke), povremeno sa fatalnim ishodom su prijavljene kod pacijenata koji su primali sistemske hinolone, ponekad i nakon prve doze. Neke reakcije su bile praćene kardiovaskularnim kolapsom, gubitkom svijesti, angioedemom (uključujući edem laringsa, faringsa i lica), opstrukcijom disajnih puteva, dispneom, urtikarijom i svrabom. </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DD4E16">
        <w:rPr>
          <w:rFonts w:ascii="Times New Roman" w:eastAsia="Times New Roman" w:hAnsi="Times New Roman" w:cs="Times New Roman"/>
          <w:noProof/>
          <w:lang w:val="sr-Latn-ME"/>
        </w:rPr>
        <w:t>Kod pacijenata koji su primali sistemske fluorohinolone prijavljene su rupture ramena, šake, Ahilove i drugih tetiva, koje su zahtijevale hiruršku intervenciju ili dovele do dugotrajne nesposobnosti. Studije i postmarketinško iskustvo u primjeni fluorohinolona ukazuju da je rizik od ovakvih ruptura povećan kod pacijenata koji primjenjuju kortikosteroide, posebno gerijatrijskih pacijenata i kod zglobova koji se nalaze pod velikim pritiskom, kao što je Ahilova tetiva. Do sada, klinički i postmarketinški podaci nijesu pokazali povezanost između aurikularne primjene ciprofloksacina i ovih neželjenih reakcija muskuloskeletalnog i vezivnog tkiva.</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DD4E16">
        <w:rPr>
          <w:rFonts w:ascii="Times New Roman" w:eastAsia="Times New Roman" w:hAnsi="Times New Roman" w:cs="Times New Roman"/>
          <w:noProof/>
          <w:u w:val="single"/>
          <w:lang w:val="sr-Latn-ME"/>
        </w:rPr>
        <w:t>Pedijatrijska populacija</w:t>
      </w:r>
    </w:p>
    <w:p w:rsidR="00DD4E16" w:rsidRPr="00DD4E16" w:rsidRDefault="00DD4E16" w:rsidP="00DD4E16">
      <w:pPr>
        <w:tabs>
          <w:tab w:val="left" w:pos="284"/>
        </w:tabs>
        <w:autoSpaceDE w:val="0"/>
        <w:autoSpaceDN w:val="0"/>
        <w:adjustRightInd w:val="0"/>
        <w:spacing w:after="0" w:line="240" w:lineRule="auto"/>
        <w:jc w:val="both"/>
        <w:rPr>
          <w:rFonts w:ascii="Times New Roman" w:eastAsia="Times New Roman" w:hAnsi="Times New Roman" w:cs="Times New Roman"/>
          <w:noProof/>
          <w:lang w:val="sr-Latn-ME"/>
        </w:rPr>
      </w:pPr>
      <w:r w:rsidRPr="00DD4E16">
        <w:rPr>
          <w:rFonts w:ascii="Times New Roman" w:eastAsia="Times New Roman" w:hAnsi="Times New Roman" w:cs="Times New Roman"/>
          <w:noProof/>
          <w:lang w:val="sr-Latn-ME"/>
        </w:rPr>
        <w:t xml:space="preserve">Dokazano je da je </w:t>
      </w:r>
      <w:r w:rsidRPr="00DD4E16">
        <w:rPr>
          <w:rFonts w:ascii="Times New Roman" w:eastAsia="Times New Roman" w:hAnsi="Times New Roman" w:cs="Times New Roman"/>
          <w:lang w:val="sr-Latn-ME"/>
        </w:rPr>
        <w:t>lijek CETRAXAL plus</w:t>
      </w:r>
      <w:r w:rsidRPr="00DD4E16">
        <w:rPr>
          <w:rFonts w:ascii="Times New Roman" w:eastAsia="Times New Roman" w:hAnsi="Times New Roman" w:cs="Times New Roman"/>
          <w:noProof/>
          <w:lang w:val="sr-Latn-ME"/>
        </w:rPr>
        <w:t xml:space="preserve"> bezbjedan za primjenu kod djece uzrasta od 6 mjeseci i starijih. </w:t>
      </w:r>
    </w:p>
    <w:p w:rsidR="00DD4E16" w:rsidRPr="00DD4E16" w:rsidRDefault="00DD4E16" w:rsidP="00DD4E16">
      <w:pPr>
        <w:tabs>
          <w:tab w:val="left" w:pos="284"/>
        </w:tabs>
        <w:spacing w:after="0" w:line="240" w:lineRule="auto"/>
        <w:jc w:val="both"/>
        <w:rPr>
          <w:rFonts w:ascii="Times New Roman" w:eastAsia="Times New Roman" w:hAnsi="Times New Roman" w:cs="Times New Roman"/>
          <w:noProof/>
          <w:u w:val="single"/>
          <w:lang w:val="sr-Latn-ME"/>
        </w:rPr>
      </w:pPr>
    </w:p>
    <w:p w:rsidR="00DD4E16" w:rsidRDefault="00DD4E16" w:rsidP="00DD4E16">
      <w:pPr>
        <w:tabs>
          <w:tab w:val="left" w:pos="720"/>
        </w:tabs>
        <w:spacing w:after="0" w:line="240" w:lineRule="auto"/>
        <w:jc w:val="both"/>
        <w:rPr>
          <w:rFonts w:ascii="Times New Roman" w:eastAsia="Calibri" w:hAnsi="Times New Roman" w:cs="Times New Roman"/>
          <w:u w:val="single"/>
          <w:lang w:val="sr-Latn-ME"/>
        </w:rPr>
      </w:pPr>
      <w:r w:rsidRPr="00DD4E16">
        <w:rPr>
          <w:rFonts w:ascii="Times New Roman" w:eastAsia="Calibri" w:hAnsi="Times New Roman" w:cs="Times New Roman"/>
          <w:u w:val="single"/>
          <w:lang w:val="sr-Latn-ME"/>
        </w:rPr>
        <w:t>Prijavljivanje sumnji na neželjena dejstva</w:t>
      </w:r>
    </w:p>
    <w:p w:rsidR="00DD4E16" w:rsidRPr="00DD4E16" w:rsidRDefault="00DD4E16" w:rsidP="00DD4E16">
      <w:pPr>
        <w:tabs>
          <w:tab w:val="left" w:pos="720"/>
        </w:tabs>
        <w:spacing w:after="0" w:line="240" w:lineRule="auto"/>
        <w:jc w:val="both"/>
        <w:rPr>
          <w:rFonts w:ascii="Times New Roman" w:eastAsia="Calibri" w:hAnsi="Times New Roman" w:cs="Times New Roman"/>
          <w:u w:val="single"/>
          <w:lang w:val="sr-Latn-ME"/>
        </w:rPr>
      </w:pPr>
    </w:p>
    <w:p w:rsid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Agencija za ljekove i medicinska sredstva Crne Gore</w:t>
      </w: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Odjeljenje za farmakovigilancu</w:t>
      </w: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Bulevar Ivana Crnojevića 64a, 81000 Podgorica</w:t>
      </w: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tel: +382 (0) 20 310 280</w:t>
      </w:r>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fax: +382 (0) 20 310 581</w:t>
      </w:r>
    </w:p>
    <w:p w:rsidR="00DD4E16" w:rsidRPr="00DD4E16" w:rsidRDefault="00B5468F" w:rsidP="00DD4E16">
      <w:pPr>
        <w:tabs>
          <w:tab w:val="left" w:pos="720"/>
        </w:tabs>
        <w:spacing w:after="0" w:line="240" w:lineRule="auto"/>
        <w:jc w:val="both"/>
        <w:rPr>
          <w:rFonts w:ascii="Times New Roman" w:eastAsia="Calibri" w:hAnsi="Times New Roman" w:cs="Times New Roman"/>
          <w:lang w:val="sr-Latn-ME"/>
        </w:rPr>
      </w:pPr>
      <w:hyperlink r:id="rId8" w:history="1">
        <w:r w:rsidR="00DD4E16" w:rsidRPr="00DD4E16">
          <w:rPr>
            <w:rFonts w:ascii="Times New Roman" w:eastAsia="Calibri" w:hAnsi="Times New Roman" w:cs="Times New Roman"/>
            <w:color w:val="0000FF"/>
            <w:u w:val="single"/>
            <w:lang w:val="sr-Latn-ME"/>
          </w:rPr>
          <w:t>www.calims.me</w:t>
        </w:r>
      </w:hyperlink>
    </w:p>
    <w:p w:rsidR="00DD4E16" w:rsidRPr="00DD4E16" w:rsidRDefault="00B5468F" w:rsidP="00DD4E16">
      <w:pPr>
        <w:tabs>
          <w:tab w:val="left" w:pos="720"/>
        </w:tabs>
        <w:spacing w:after="0" w:line="240" w:lineRule="auto"/>
        <w:jc w:val="both"/>
        <w:rPr>
          <w:rFonts w:ascii="Times New Roman" w:eastAsia="Calibri" w:hAnsi="Times New Roman" w:cs="Times New Roman"/>
          <w:color w:val="0000FF"/>
          <w:u w:val="single"/>
          <w:lang w:val="sr-Latn-ME"/>
        </w:rPr>
      </w:pPr>
      <w:hyperlink r:id="rId9" w:history="1">
        <w:r w:rsidR="00DD4E16" w:rsidRPr="00DD4E16">
          <w:rPr>
            <w:rFonts w:ascii="Times New Roman" w:eastAsia="Calibri" w:hAnsi="Times New Roman" w:cs="Times New Roman"/>
            <w:color w:val="0000FF"/>
            <w:u w:val="single"/>
            <w:lang w:val="sr-Latn-ME"/>
          </w:rPr>
          <w:t>nezeljenadejstva@calims.me</w:t>
        </w:r>
      </w:hyperlink>
    </w:p>
    <w:p w:rsidR="00DD4E16" w:rsidRPr="00DD4E16" w:rsidRDefault="00DD4E16" w:rsidP="00DD4E16">
      <w:pPr>
        <w:tabs>
          <w:tab w:val="left" w:pos="720"/>
        </w:tabs>
        <w:spacing w:after="0" w:line="240" w:lineRule="auto"/>
        <w:jc w:val="both"/>
        <w:rPr>
          <w:rFonts w:ascii="Times New Roman" w:eastAsia="Calibri" w:hAnsi="Times New Roman" w:cs="Times New Roman"/>
          <w:lang w:val="sr-Latn-ME"/>
        </w:rPr>
      </w:pPr>
      <w:r w:rsidRPr="00DD4E16">
        <w:rPr>
          <w:rFonts w:ascii="Times New Roman" w:eastAsia="Calibri" w:hAnsi="Times New Roman" w:cs="Times New Roman"/>
          <w:lang w:val="sr-Latn-ME"/>
        </w:rPr>
        <w:t>putem IS zdravstvene zaštite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lastRenderedPageBreak/>
        <w:t>4.9. Predoziranje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Nijesu prijavljeni slučajevi predoziranja.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Budući da su nakon primjene u uho nivoi lijeka u plazmi zanemarljivi, malo je vjerovatno da će lokalno primijenjen ciprofloksacin ili fluocinolon acetonid ispoljiti sistemski značajne efekte. Malo je vjerovatno da se javi akutno predoziranje, ipak, u slučaju hroničnog predoziranja ili zloupotrebe, može da se javi hiperkortizolizam.</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Mali kapacitet ušnog kanala praktično sprječava predoziranje lijeka koji se primjenjuje u uho. Međutim, oralna primjena lijeka CETRAXAL plus koja bi dovela do predoziranja ili dugotrajna primjena u uho mogu da izazovu supresiju hipotalamusno-hipofizno-nadbubrežne (HPA) osovine. Iako usporavanje rasta kod djece i/ili supresija koncentracija kortizola u plazmi mogu da budu izraženiji nakon značajnog predoziranja ili produžene terapije lijekom CETRAXAL plus (npr. nekoliko mjeseci), ovi efekti su prolazni (nekoliko dana ili nedjelja) i stanje se lako vraća u normalu bez trajnih posljedica.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Ukoliko dođe do slučajnog gutanja lijeka, terapija bi podrazumijevala pražnjenje želuca izazivanjem povraćanja ili ispiranjem želuca, primjenu aktivnog uglja i antacida koji sadrže magnezijum ili kalcijum.</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Dalje praćenje treba sprovesti u skladu sa kliničkom indikacijom ili smjernicama nacionalnog centra za trovanje, ako je potrebno.</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before="200"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5. FARMAKOLOŠKI PODACI</w:t>
      </w:r>
    </w:p>
    <w:p w:rsidR="00DD4E16" w:rsidRPr="00DD4E16" w:rsidRDefault="00DD4E16" w:rsidP="00DD4E16">
      <w:pPr>
        <w:tabs>
          <w:tab w:val="left" w:pos="284"/>
        </w:tabs>
        <w:spacing w:after="0" w:line="240" w:lineRule="auto"/>
        <w:jc w:val="both"/>
        <w:rPr>
          <w:rFonts w:ascii="Times New Roman" w:eastAsia="Times New Roman" w:hAnsi="Times New Roman" w:cs="Times New Roman"/>
          <w:b/>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5.1. Farmakodinamski podaci</w:t>
      </w: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 xml:space="preserve">Farmakoterapijska grupa: </w:t>
      </w:r>
      <w:r w:rsidRPr="00DD4E16">
        <w:rPr>
          <w:rFonts w:ascii="Times New Roman" w:eastAsia="Times New Roman" w:hAnsi="Times New Roman" w:cs="Times New Roman"/>
          <w:lang w:val="sr-Latn-ME"/>
        </w:rPr>
        <w:t xml:space="preserve">Ljekovi za uho (otologici), </w:t>
      </w:r>
      <w:r w:rsidRPr="00DD4E16">
        <w:rPr>
          <w:rFonts w:ascii="Times New Roman" w:eastAsia="Times New Roman" w:hAnsi="Times New Roman" w:cs="Times New Roman"/>
          <w:bCs/>
          <w:lang w:val="sr-Latn-ME"/>
        </w:rPr>
        <w:t>kortikosteroidi i antiinfektivi u kombinaciji</w:t>
      </w: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ATC kod:</w:t>
      </w:r>
      <w:r w:rsidRPr="00DD4E16">
        <w:rPr>
          <w:rFonts w:ascii="Times New Roman" w:eastAsia="Times New Roman" w:hAnsi="Times New Roman" w:cs="Times New Roman"/>
          <w:lang w:val="sr-Latn-ME"/>
        </w:rPr>
        <w:t xml:space="preserve"> S02CA05</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u w:val="single"/>
          <w:lang w:val="sr-Latn-ME"/>
        </w:rPr>
      </w:pPr>
    </w:p>
    <w:p w:rsidR="00DD4E16" w:rsidRDefault="00DD4E16" w:rsidP="00DD4E16">
      <w:pPr>
        <w:tabs>
          <w:tab w:val="center" w:pos="4536"/>
          <w:tab w:val="right" w:pos="9072"/>
        </w:tab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Fluocinolon acetonid</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Fluocinolon acetonid je sintetski fluorovani kortikosteroid koji ima antiinflamatorna, antipruritička i vazokonstriktivna svojstva. Rani antiinflamatorni efekti lokalno primijenjenih kortikosteroida podrazumijevaju inhibiciju kretanja i aktivnosti makrofaga i leukocita u području sa zapaljenjskim procesom, izmjenom vaskularne dilatiranosti i permeabilnosti. Kasniji inflamatorni procesi kao što su stvaranje kapilara, deponovanje kolagena i formiranje keloida (ožiljaka) se takođe inhibiraju kortikosteroidima. </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Default="00DD4E16" w:rsidP="00DD4E16">
      <w:pPr>
        <w:tabs>
          <w:tab w:val="center" w:pos="4536"/>
          <w:tab w:val="right" w:pos="9072"/>
        </w:tab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 xml:space="preserve">Ciprofloksacin </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t>Mehanizam dejstva</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Kao antibiotik iz glupe fluorohinolona, ciprofloksacin ispoljava baktericidno dejstvo tako što inhibira i topoizomerazu II (DNK girazu) i topoizomerazu IV, koje su potrebne za replikaciju, transkripciju, reparaciju i rekombinaciju bakterijske DNK.</w:t>
      </w:r>
    </w:p>
    <w:p w:rsid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u w:val="single"/>
          <w:lang w:val="sr-Latn-ME"/>
        </w:rPr>
      </w:pPr>
      <w:r w:rsidRPr="00DD4E16">
        <w:rPr>
          <w:rFonts w:ascii="Times New Roman" w:eastAsia="Times New Roman" w:hAnsi="Times New Roman" w:cs="Times New Roman"/>
          <w:u w:val="single"/>
          <w:lang w:val="sr-Latn-ME"/>
        </w:rPr>
        <w:lastRenderedPageBreak/>
        <w:t>Mehanizam rezistencije</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Mutacija gena koji kodiraju ciljna mjesta djelovanja ciprofloksacina (gyr A, gyrN, parC, parE), predstavljaju glavni mehanizam rezistencije </w:t>
      </w:r>
      <w:r w:rsidRPr="00DD4E16">
        <w:rPr>
          <w:rFonts w:ascii="Times New Roman" w:eastAsia="Times New Roman" w:hAnsi="Times New Roman" w:cs="Times New Roman"/>
          <w:i/>
          <w:lang w:val="sr-Latn-ME"/>
        </w:rPr>
        <w:t xml:space="preserve">P. aeruginosa </w:t>
      </w:r>
      <w:r w:rsidRPr="00DD4E16">
        <w:rPr>
          <w:rFonts w:ascii="Times New Roman" w:eastAsia="Times New Roman" w:hAnsi="Times New Roman" w:cs="Times New Roman"/>
          <w:lang w:val="sr-Latn-ME"/>
        </w:rPr>
        <w:t xml:space="preserve">na ciprofloksacin. Drugi opisan mehanizam rezistencije je prekomjerna ekspresija efluks pumpi, posebno Mex gena (Multiple Efflux). Pojedinačne mutacije ne moraju dovesti do kliničke rezistencije, ali višestruke mutacije generalno dovode do kliničke rezistencije.  </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i/>
          <w:u w:val="single"/>
          <w:lang w:val="sr-Latn-ME"/>
        </w:rPr>
      </w:pPr>
      <w:r w:rsidRPr="00DD4E16">
        <w:rPr>
          <w:rFonts w:ascii="Times New Roman" w:eastAsia="Times New Roman" w:hAnsi="Times New Roman" w:cs="Times New Roman"/>
          <w:i/>
          <w:u w:val="single"/>
          <w:lang w:val="sr-Latn-ME"/>
        </w:rPr>
        <w:t>Granične vrijednosti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Kod većine ljekova za lokalnu primjenu, farmakološki podaci su ograničeni, a podaci koji povezuju liječenje i ishode ne postoje. Zbog toga, EUCAST predlaže da se koriste vrijednosti epidemioloških presjeka (ECOFFs) za osjetljivost ljekova za lokalnu primjenu.</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EUCAST kliničke granične vrijednosti za ciprofloksacin (Tabela v. 7.1, validna od 10. 3. 2017.):</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2881"/>
        <w:gridCol w:w="2882"/>
      </w:tblGrid>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Mikroorganizmi</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Osjetljivi (S)</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Rezistentni (R)</w:t>
            </w:r>
          </w:p>
        </w:tc>
      </w:tr>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Staphylococcus species</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230"/>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 ≤ 1 mg/L</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318"/>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R &gt; 1 mg/L</w:t>
            </w:r>
          </w:p>
        </w:tc>
      </w:tr>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Streptococcus pneumoniae</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230"/>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2 mg/L*</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318"/>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2 mg/L*</w:t>
            </w:r>
          </w:p>
        </w:tc>
      </w:tr>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Haemophilus influenza</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230"/>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 ≤ 0,06 mg/L</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318"/>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R &gt; 0,06 mg/L</w:t>
            </w:r>
          </w:p>
        </w:tc>
      </w:tr>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Moraxella catarrhalis</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230"/>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 ≤ 0,5 mg/L</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318"/>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R &gt; 0,5 mg/L</w:t>
            </w:r>
          </w:p>
        </w:tc>
      </w:tr>
      <w:tr w:rsidR="00DD4E16" w:rsidRPr="00DD4E16" w:rsidTr="007B5D74">
        <w:trPr>
          <w:jc w:val="center"/>
        </w:trPr>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 xml:space="preserve">Pseudomonas </w:t>
            </w:r>
            <w:r w:rsidRPr="00DD4E16">
              <w:rPr>
                <w:rFonts w:ascii="Times New Roman" w:eastAsia="Times New Roman" w:hAnsi="Times New Roman" w:cs="Times New Roman"/>
                <w:lang w:val="sr-Latn-ME"/>
              </w:rPr>
              <w:t>species</w:t>
            </w:r>
          </w:p>
        </w:tc>
        <w:tc>
          <w:tcPr>
            <w:tcW w:w="288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230"/>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 ≤ 0,5 mg/L</w:t>
            </w:r>
          </w:p>
        </w:tc>
        <w:tc>
          <w:tcPr>
            <w:tcW w:w="2882"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1440"/>
                <w:tab w:val="left" w:pos="-720"/>
                <w:tab w:val="left" w:pos="284"/>
              </w:tabs>
              <w:suppressAutoHyphens/>
              <w:spacing w:after="0" w:line="240" w:lineRule="auto"/>
              <w:ind w:left="318"/>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R &gt; 0,5 mg/L</w:t>
            </w:r>
          </w:p>
        </w:tc>
      </w:tr>
    </w:tbl>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w:t>
      </w:r>
      <w:r w:rsidRPr="00DD4E16">
        <w:rPr>
          <w:rFonts w:ascii="Times New Roman" w:eastAsia="Times New Roman" w:hAnsi="Times New Roman" w:cs="Times New Roman"/>
          <w:color w:val="000000"/>
          <w:lang w:val="sr-Latn-ME"/>
        </w:rPr>
        <w:t xml:space="preserve"> </w:t>
      </w:r>
      <w:r w:rsidRPr="00DD4E16">
        <w:rPr>
          <w:rFonts w:ascii="Times New Roman" w:eastAsia="Times New Roman" w:hAnsi="Times New Roman" w:cs="Times New Roman"/>
          <w:color w:val="000000"/>
        </w:rPr>
        <w:t>Epidemiološke granične vrijednosti (ECOFF) za ljekove za lokalnu primjenu</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Prevalenca stečene rezistencije može varirati u zavisnosti od geografskog područja i vremenskih uslova za pojedine vrste mikroorganizama, pa su poželjni lokalni podaci o rezistenciji, posebno u slučaju ozbiljnih infekcija. Navedene informacije pružaju približnu orijentaciju o vjerovatnoći da je mikroorganizam osjetljiv na ovaj antibiotik. </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U sljedećim tabelama prikazani su mikroorganizmi čiji se model rezistencije razlikuje u okviru EU:  </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bCs/>
          <w:u w:val="single"/>
          <w:lang w:val="sr-Latn-ME"/>
        </w:rPr>
      </w:pPr>
      <w:r w:rsidRPr="00DD4E16">
        <w:rPr>
          <w:rFonts w:ascii="Times New Roman" w:eastAsia="Times New Roman" w:hAnsi="Times New Roman" w:cs="Times New Roman"/>
          <w:b/>
          <w:bCs/>
          <w:u w:val="single"/>
          <w:lang w:val="sr-Latn-ME"/>
        </w:rPr>
        <w:t>Akutni otitis media sa ugrađenim ventilacionim cjevčicama (AOMT)</w:t>
      </w:r>
    </w:p>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u w:val="single"/>
          <w:lang w:val="sr-Latn-ME"/>
        </w:rPr>
      </w:pP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1"/>
      </w:tblGrid>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UOBIČAJENO OSJETLJIVI SOJEVI</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Gram-pozitivni mikroorganizmi:</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Staphylococcus aureus</w:t>
            </w:r>
            <w:r w:rsidRPr="00DD4E16">
              <w:rPr>
                <w:rFonts w:ascii="Times New Roman" w:eastAsia="Times New Roman" w:hAnsi="Times New Roman" w:cs="Times New Roman"/>
                <w:lang w:val="sr-Latn-ME"/>
              </w:rPr>
              <w:t xml:space="preserve"> (meticilin-osjetljiv)</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Streptococcus pneumoniae</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Gram-negativni mikroorganizmi:</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 xml:space="preserve">Haemophilus influenzae </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i/>
                <w:lang w:val="sr-Latn-ME"/>
              </w:rPr>
            </w:pPr>
            <w:r w:rsidRPr="00DD4E16">
              <w:rPr>
                <w:rFonts w:ascii="Times New Roman" w:eastAsia="Times New Roman" w:hAnsi="Times New Roman" w:cs="Times New Roman"/>
                <w:i/>
                <w:lang w:val="sr-Latn-ME"/>
              </w:rPr>
              <w:t xml:space="preserve">Moraxella catarrhalis </w:t>
            </w:r>
          </w:p>
          <w:p w:rsidR="00DD4E16" w:rsidRPr="00DD4E16" w:rsidRDefault="00DD4E16" w:rsidP="00DD4E16">
            <w:pPr>
              <w:tabs>
                <w:tab w:val="left" w:pos="284"/>
              </w:tabs>
              <w:spacing w:after="0" w:line="240" w:lineRule="auto"/>
              <w:ind w:left="352"/>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Pseudomonas aeruginosa</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bCs/>
                <w:lang w:val="sr-Latn-ME"/>
              </w:rPr>
              <w:t>SOJEVI KOD KOJIH STEČENA REZISTENCIJA MOŽE DA PREDSTAVLJA PROBLEM</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Gram-pozitivni mikroorganizmi:</w:t>
            </w:r>
          </w:p>
          <w:p w:rsidR="00DD4E16" w:rsidRPr="00DD4E16" w:rsidRDefault="00DD4E16" w:rsidP="00DD4E16">
            <w:pPr>
              <w:tabs>
                <w:tab w:val="left" w:pos="284"/>
              </w:tabs>
              <w:spacing w:after="0" w:line="240" w:lineRule="auto"/>
              <w:ind w:left="352"/>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 xml:space="preserve">Staphylococcus aureus </w:t>
            </w:r>
            <w:r w:rsidRPr="00DD4E16">
              <w:rPr>
                <w:rFonts w:ascii="Times New Roman" w:eastAsia="Times New Roman" w:hAnsi="Times New Roman" w:cs="Times New Roman"/>
                <w:lang w:val="sr-Latn-ME"/>
              </w:rPr>
              <w:t>(meticilin-rezistentni)</w:t>
            </w:r>
          </w:p>
        </w:tc>
      </w:tr>
    </w:tbl>
    <w:p w:rsid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smallCaps/>
          <w:u w:val="single"/>
          <w:lang w:val="sr-Latn-ME" w:eastAsia="es-ES"/>
        </w:rPr>
      </w:pPr>
    </w:p>
    <w:p w:rsid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smallCaps/>
          <w:u w:val="single"/>
          <w:lang w:val="sr-Latn-ME" w:eastAsia="es-ES"/>
        </w:rPr>
      </w:pPr>
    </w:p>
    <w:p w:rsid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smallCaps/>
          <w:u w:val="single"/>
          <w:lang w:val="sr-Latn-ME" w:eastAsia="es-ES"/>
        </w:rPr>
      </w:pPr>
    </w:p>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bCs/>
          <w:u w:val="single"/>
          <w:lang w:val="sr-Latn-ME"/>
        </w:rPr>
      </w:pPr>
      <w:r w:rsidRPr="00DD4E16">
        <w:rPr>
          <w:rFonts w:ascii="Times New Roman" w:eastAsia="Times New Roman" w:hAnsi="Times New Roman" w:cs="Times New Roman"/>
          <w:b/>
          <w:bCs/>
          <w:u w:val="single"/>
          <w:lang w:val="sr-Latn-ME"/>
        </w:rPr>
        <w:lastRenderedPageBreak/>
        <w:t>Akutni otitis externa (AOE)</w:t>
      </w:r>
    </w:p>
    <w:p w:rsidR="00DD4E16" w:rsidRPr="00DD4E16" w:rsidRDefault="00DD4E16" w:rsidP="00DD4E16">
      <w:pPr>
        <w:tabs>
          <w:tab w:val="left" w:pos="-1440"/>
          <w:tab w:val="left" w:pos="-720"/>
          <w:tab w:val="left" w:pos="284"/>
        </w:tabs>
        <w:suppressAutoHyphens/>
        <w:spacing w:after="0" w:line="240" w:lineRule="auto"/>
        <w:jc w:val="both"/>
        <w:rPr>
          <w:rFonts w:ascii="Times New Roman" w:eastAsia="Times New Roman" w:hAnsi="Times New Roman" w:cs="Times New Roman"/>
          <w:b/>
          <w:bCs/>
          <w:u w:val="single"/>
          <w:lang w:val="sr-Latn-ME"/>
        </w:rPr>
      </w:pP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1"/>
      </w:tblGrid>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UOBIČAJENO OSJETLJIVI SOJEVI</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Gram-pozitivni mikroorganizmi:</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Staphylococcus aureus</w:t>
            </w:r>
            <w:r w:rsidRPr="00DD4E16">
              <w:rPr>
                <w:rFonts w:ascii="Times New Roman" w:eastAsia="Times New Roman" w:hAnsi="Times New Roman" w:cs="Times New Roman"/>
                <w:lang w:val="sr-Latn-ME"/>
              </w:rPr>
              <w:t xml:space="preserve"> (meticilin-osjetljiv)</w:t>
            </w:r>
          </w:p>
          <w:p w:rsidR="00DD4E16" w:rsidRPr="00DD4E16" w:rsidRDefault="00DD4E16" w:rsidP="00DD4E16">
            <w:pPr>
              <w:tabs>
                <w:tab w:val="left" w:pos="284"/>
              </w:tabs>
              <w:spacing w:after="0" w:line="240" w:lineRule="auto"/>
              <w:ind w:left="351"/>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Gram-negativni mikroorganizmi:</w:t>
            </w:r>
          </w:p>
          <w:p w:rsidR="00DD4E16" w:rsidRPr="00DD4E16" w:rsidRDefault="00DD4E16" w:rsidP="00DD4E16">
            <w:pPr>
              <w:tabs>
                <w:tab w:val="left" w:pos="284"/>
              </w:tabs>
              <w:spacing w:after="0" w:line="240" w:lineRule="auto"/>
              <w:ind w:left="352"/>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Pseudomonas aeruginosa</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bCs/>
                <w:lang w:val="sr-Latn-ME"/>
              </w:rPr>
              <w:t>SOJEVI KOD KOJIH STEČENA REZISTENCIJA MOŽE DA PREDSTAVLJA PROBLEM</w:t>
            </w:r>
          </w:p>
        </w:tc>
      </w:tr>
      <w:tr w:rsidR="00DD4E16" w:rsidRPr="00DD4E16" w:rsidTr="00DD4E16">
        <w:trPr>
          <w:trHeight w:val="27"/>
        </w:trPr>
        <w:tc>
          <w:tcPr>
            <w:tcW w:w="7071" w:type="dxa"/>
            <w:tcBorders>
              <w:top w:val="single" w:sz="4" w:space="0" w:color="auto"/>
              <w:left w:val="single" w:sz="4" w:space="0" w:color="auto"/>
              <w:bottom w:val="single" w:sz="4" w:space="0" w:color="auto"/>
              <w:right w:val="single" w:sz="4" w:space="0" w:color="auto"/>
            </w:tcBorders>
            <w:hideMark/>
          </w:tcPr>
          <w:p w:rsidR="00DD4E16" w:rsidRPr="00DD4E16" w:rsidRDefault="00DD4E16" w:rsidP="00DD4E16">
            <w:pPr>
              <w:tabs>
                <w:tab w:val="left" w:pos="284"/>
              </w:tabs>
              <w:spacing w:before="40"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Aerobni Gram-pozitivni mikroorganizmi:</w:t>
            </w:r>
          </w:p>
          <w:p w:rsidR="00DD4E16" w:rsidRPr="00DD4E16" w:rsidRDefault="00DD4E16" w:rsidP="00DD4E16">
            <w:pPr>
              <w:tabs>
                <w:tab w:val="left" w:pos="284"/>
              </w:tabs>
              <w:spacing w:after="0" w:line="240" w:lineRule="auto"/>
              <w:ind w:left="352"/>
              <w:jc w:val="both"/>
              <w:rPr>
                <w:rFonts w:ascii="Times New Roman" w:eastAsia="Times New Roman" w:hAnsi="Times New Roman" w:cs="Times New Roman"/>
                <w:lang w:val="sr-Latn-ME"/>
              </w:rPr>
            </w:pPr>
            <w:r w:rsidRPr="00DD4E16">
              <w:rPr>
                <w:rFonts w:ascii="Times New Roman" w:eastAsia="Times New Roman" w:hAnsi="Times New Roman" w:cs="Times New Roman"/>
                <w:i/>
                <w:lang w:val="sr-Latn-ME"/>
              </w:rPr>
              <w:t xml:space="preserve">Staphylococcus aureus </w:t>
            </w:r>
            <w:r w:rsidRPr="00DD4E16">
              <w:rPr>
                <w:rFonts w:ascii="Times New Roman" w:eastAsia="Times New Roman" w:hAnsi="Times New Roman" w:cs="Times New Roman"/>
                <w:lang w:val="sr-Latn-ME"/>
              </w:rPr>
              <w:t>(meticilin-rezistentni)</w:t>
            </w:r>
          </w:p>
        </w:tc>
      </w:tr>
    </w:tbl>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5.2. Farmakokinetički podaci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Aurikularna primjena</w:t>
      </w:r>
    </w:p>
    <w:p w:rsidR="00FF322A" w:rsidRPr="00DD4E16" w:rsidRDefault="00FF322A"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 dvije studije kod pacijenata sa akutnim otitis media sa ugrađenim ventilacionim cjevčicama su uzeti uzorci krvi, da bi se utvrdili nivoi ciprofloksacina i/ili fluocinolon acetonida u plazmi. Farmakokinetička analiza je pokazala da u uzorcima nema aktivnih supstanci u plazmi ili je njihov nivo zanemarljiv, što ukazuje na to da lokalna primjena lijeka CETRAXAL plus ne izaziva farmakokinetički ili klinički značajne sistemske nivoe ciprofloksacina i/ili fluocinolon acetonida.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5.3. Pretklinički podaci o bezbjednosti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Toksičnost ciprofloksacina je detaljno proučavana. Studije na životinjama ne ukazuju na direktne ili indirektne štetne efekte u pogledu reproduktivne toksičnosti. Neželjeni efekti na centralni nervni sistem i potencijalno oštećenje hrskavice i tetiva opisani su u pretkliničkim studijama i studijama kod ljudi. Kod mladunaca životinja koje su bile izložene hinolonima prije i poslije rođenja, primijećen je uticaj na nezrelost hrskavice. Međutim, ovi toksični efekti su primijećeni nakon oralne ili i.v. primjene pri dozama koje ne mogu da se postignu nakon primjene u uho. </w:t>
      </w:r>
    </w:p>
    <w:p w:rsidR="00DD4E16" w:rsidRPr="00DD4E16" w:rsidRDefault="00DD4E16" w:rsidP="00DD4E16">
      <w:pPr>
        <w:tabs>
          <w:tab w:val="left" w:pos="284"/>
        </w:tabs>
        <w:spacing w:after="0" w:line="240" w:lineRule="auto"/>
        <w:jc w:val="both"/>
        <w:rPr>
          <w:rFonts w:ascii="Times New Roman" w:eastAsia="Times New Roman" w:hAnsi="Times New Roman" w:cs="Times New Roman"/>
          <w:color w:val="000000"/>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RS"/>
        </w:rPr>
        <w:t>Podaci prikupljeni u pretkliničkim studijama ukazuju na mali potencijal ototoksičnosti i sistemske toksičnosti  nakon kombinovane primjene fluocinolon acetonida 0,025% i ciprofloksacina 0,3% u uho.</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 xml:space="preserve">Lokalna primjena ovog lijeka u uho se smatra bezbjednom i ne očekuje se rizik od gubitka sluha usljed kliničke primjene lijeka. </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RS"/>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RS"/>
        </w:rPr>
      </w:pPr>
      <w:r w:rsidRPr="00DD4E16">
        <w:rPr>
          <w:rFonts w:ascii="Times New Roman" w:eastAsia="Times New Roman" w:hAnsi="Times New Roman" w:cs="Times New Roman"/>
          <w:lang w:val="sr-Latn-RS"/>
        </w:rPr>
        <w:t>Fluocinolon acetonid nije pokazivao genotoksičnost u uobičajenim testovima genotoksičnosti.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RS"/>
        </w:rPr>
      </w:pPr>
      <w:r w:rsidRPr="00DD4E16">
        <w:rPr>
          <w:rFonts w:ascii="Times New Roman" w:eastAsia="Times New Roman" w:hAnsi="Times New Roman" w:cs="Times New Roman"/>
          <w:lang w:val="sr-Latn-RS"/>
        </w:rPr>
        <w:t xml:space="preserve">Nisu rađene dugoročne studije na životinjama kojima bi se procijenio karcinogeni potencijal fluocinolon acetonida. </w:t>
      </w:r>
    </w:p>
    <w:p w:rsidR="00DD4E16" w:rsidRDefault="00DD4E16" w:rsidP="00DD4E16">
      <w:pPr>
        <w:tabs>
          <w:tab w:val="left" w:pos="284"/>
        </w:tabs>
        <w:spacing w:after="0" w:line="240" w:lineRule="auto"/>
        <w:jc w:val="both"/>
        <w:rPr>
          <w:rFonts w:ascii="Times New Roman" w:eastAsia="Times New Roman" w:hAnsi="Times New Roman" w:cs="Times New Roman"/>
          <w:lang w:val="sr-Latn-RS"/>
        </w:rPr>
      </w:pPr>
      <w:r w:rsidRPr="00DD4E16">
        <w:rPr>
          <w:rFonts w:ascii="Times New Roman" w:eastAsia="Times New Roman" w:hAnsi="Times New Roman" w:cs="Times New Roman"/>
          <w:lang w:val="sr-Latn-RS"/>
        </w:rPr>
        <w:t xml:space="preserve">Kortikosteroidi generalno pokazuju teratogenost kada se primjenjuju sistemski u relativno niskim dozama kod laboratorijskih životinja. Jače teratogeno dejstvo su imali korikosteroidi primijenjeni na kožu laboratorijskih životinja, ali nedostaju adekvatne i dobro kontrolisane studije reproduktivne i razvojne toksičnosti sa fluocinolon acetonidom. </w:t>
      </w:r>
    </w:p>
    <w:p w:rsidR="00FF322A" w:rsidRPr="00DD4E16" w:rsidRDefault="00FF322A" w:rsidP="00DD4E16">
      <w:pPr>
        <w:tabs>
          <w:tab w:val="left" w:pos="284"/>
        </w:tabs>
        <w:spacing w:after="0" w:line="240" w:lineRule="auto"/>
        <w:jc w:val="both"/>
        <w:rPr>
          <w:rFonts w:ascii="Times New Roman" w:eastAsia="Times New Roman" w:hAnsi="Times New Roman" w:cs="Times New Roman"/>
          <w:lang w:val="sr-Latn-RS"/>
        </w:rPr>
      </w:pPr>
    </w:p>
    <w:p w:rsidR="00DD4E16" w:rsidRDefault="00DD4E16" w:rsidP="00DD4E16">
      <w:pPr>
        <w:tabs>
          <w:tab w:val="left" w:pos="284"/>
        </w:tabs>
        <w:spacing w:before="200"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lastRenderedPageBreak/>
        <w:t>6. FARMACEUTSKI PODACI</w:t>
      </w:r>
    </w:p>
    <w:p w:rsidR="00FF322A" w:rsidRPr="00DD4E16" w:rsidRDefault="00FF322A" w:rsidP="00FF322A">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6.1. Lista pomoćnih supstanci (ekscipijenasa)</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Metil parahidroksibenzoat (E218);</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Propilparahidroksibenzoat (E216);</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Povidon (K-90-F);</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Dietilen glikol monoetil etar;</w:t>
      </w:r>
    </w:p>
    <w:p w:rsidR="00DD4E16" w:rsidRPr="00DD4E16" w:rsidRDefault="00DD4E16" w:rsidP="00DD4E16">
      <w:pPr>
        <w:tabs>
          <w:tab w:val="center" w:pos="4536"/>
          <w:tab w:val="right" w:pos="9072"/>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Glycereth-26 (smješa glicerola i etilen oksida);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1N hlorovodonična kiselina i/ili 1N natrijum hidroksid (za podešavanje pH vrijednosti);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Voda, prečišćena.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6.2. Inkompatibilnosti</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Nije primjenljivo.</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6.3. Rok upotrebe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2 godine.</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Rok upotrebe nakon prvog otvaranja: 1 mjesec.</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6.4. Posebne mjere upozorenja pri čuvanju lijeka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Čuvati na temperaturi do 30</w:t>
      </w:r>
      <w:r w:rsidRPr="00DD4E16">
        <w:rPr>
          <w:rFonts w:ascii="Times New Roman" w:eastAsia="Times New Roman" w:hAnsi="Times New Roman" w:cs="Times New Roman"/>
          <w:lang w:val="sr-Latn-ME"/>
        </w:rPr>
        <w:sym w:font="Symbol" w:char="F0B0"/>
      </w:r>
      <w:r w:rsidRPr="00DD4E16">
        <w:rPr>
          <w:rFonts w:ascii="Times New Roman" w:eastAsia="Times New Roman" w:hAnsi="Times New Roman" w:cs="Times New Roman"/>
          <w:lang w:val="sr-Latn-ME"/>
        </w:rPr>
        <w:t>C.</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Za uslove čuvanja nakon otvaranja, vidjeti odjeljak 6.3.</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6.5. Vrsta i sadržaj pakovanja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Unutrašnje pakovanje je bočica sa kapaljkom. Bočica i kapaljka su od polietilena niske gustine (LDPE). Bočica je zatvorena zatvaračem od HDPE materijala.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Spoljašnje pakovanje je složiva kartonska kutija u kojoj se nalazi jedna bočica sa kapaljkom sa 10 ml rastvora i Uputstvo za lijek.</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bCs/>
          <w:lang w:val="sr-Latn-ME"/>
        </w:rPr>
        <w:t>6.6. Posebne mjere opreza pri odlaganju materijala koji treba odbaciti nakon primjene lijeka (i druga uputstva za rukovanje lijekom)</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lang w:val="sr-Latn-ME"/>
        </w:rPr>
        <w:t>Svu neiskorišćenu količinu lijeka ili otpadnog materijala treba ukloniti, u skladu sa važećim propisima.</w:t>
      </w:r>
    </w:p>
    <w:p w:rsidR="00FF322A" w:rsidRPr="00DD4E16" w:rsidRDefault="00FF322A" w:rsidP="00DD4E16">
      <w:pPr>
        <w:tabs>
          <w:tab w:val="left" w:pos="284"/>
        </w:tabs>
        <w:spacing w:after="0" w:line="240" w:lineRule="auto"/>
        <w:jc w:val="both"/>
        <w:rPr>
          <w:rFonts w:ascii="Times New Roman" w:eastAsia="Times New Roman" w:hAnsi="Times New Roman" w:cs="Times New Roman"/>
          <w:lang w:val="sr-Latn-ME"/>
        </w:rPr>
      </w:pPr>
    </w:p>
    <w:p w:rsidR="00DD4E16" w:rsidRDefault="00DD4E16" w:rsidP="00DD4E16">
      <w:pPr>
        <w:tabs>
          <w:tab w:val="left" w:pos="284"/>
        </w:tabs>
        <w:spacing w:before="200"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 xml:space="preserve">7. NOSILAC DOZVOLE </w:t>
      </w:r>
    </w:p>
    <w:p w:rsidR="00FF322A" w:rsidRPr="00DD4E16" w:rsidRDefault="00FF322A" w:rsidP="00FF322A">
      <w:pPr>
        <w:tabs>
          <w:tab w:val="left" w:pos="284"/>
        </w:tabs>
        <w:spacing w:after="0" w:line="240" w:lineRule="auto"/>
        <w:jc w:val="both"/>
        <w:rPr>
          <w:rFonts w:ascii="Times New Roman" w:eastAsia="Times New Roman" w:hAnsi="Times New Roman" w:cs="Times New Roman"/>
          <w:b/>
          <w:lang w:val="sr-Latn-ME"/>
        </w:rPr>
      </w:pPr>
    </w:p>
    <w:p w:rsidR="00DD4E16" w:rsidRP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Amicus Pharma  d.o.o. Podgorica</w:t>
      </w:r>
    </w:p>
    <w:p w:rsidR="00DD4E16" w:rsidRPr="00DD4E16" w:rsidRDefault="00DD4E16" w:rsidP="00DD4E16">
      <w:pPr>
        <w:tabs>
          <w:tab w:val="left" w:pos="284"/>
        </w:tabs>
        <w:spacing w:after="0" w:line="240" w:lineRule="auto"/>
        <w:jc w:val="both"/>
        <w:rPr>
          <w:rFonts w:ascii="Times New Roman" w:eastAsia="Times New Roman" w:hAnsi="Times New Roman" w:cs="Times New Roman"/>
          <w:lang w:val="sr-Latn-ME"/>
        </w:rPr>
      </w:pPr>
      <w:r w:rsidRPr="00DD4E16">
        <w:rPr>
          <w:rFonts w:ascii="Times New Roman" w:eastAsia="Times New Roman" w:hAnsi="Times New Roman" w:cs="Times New Roman"/>
          <w:bCs/>
          <w:lang w:val="sr-Latn-ME"/>
        </w:rPr>
        <w:t>Bulevar Džordža Vašingtona br. 51, Podgorica, Crna Gora</w:t>
      </w:r>
    </w:p>
    <w:p w:rsidR="00DD4E16" w:rsidRDefault="00DD4E16" w:rsidP="00DD4E16">
      <w:pPr>
        <w:tabs>
          <w:tab w:val="left" w:pos="284"/>
        </w:tabs>
        <w:spacing w:before="200"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lang w:val="sr-Latn-ME"/>
        </w:rPr>
        <w:lastRenderedPageBreak/>
        <w:t xml:space="preserve">8. </w:t>
      </w:r>
      <w:r w:rsidRPr="00DD4E16">
        <w:rPr>
          <w:rFonts w:ascii="Times New Roman" w:eastAsia="Times New Roman" w:hAnsi="Times New Roman" w:cs="Times New Roman"/>
          <w:b/>
          <w:bCs/>
          <w:lang w:val="sr-Latn-ME"/>
        </w:rPr>
        <w:t>BROJ DOZVOLE ZA STAVLJANJE LIJEKA U PROMET</w:t>
      </w:r>
    </w:p>
    <w:p w:rsidR="00FF322A" w:rsidRPr="00DD4E16" w:rsidRDefault="00FF322A" w:rsidP="00FF322A">
      <w:pPr>
        <w:tabs>
          <w:tab w:val="left" w:pos="284"/>
        </w:tabs>
        <w:spacing w:after="0" w:line="240" w:lineRule="auto"/>
        <w:jc w:val="both"/>
        <w:rPr>
          <w:rFonts w:ascii="Times New Roman" w:eastAsia="Times New Roman" w:hAnsi="Times New Roman" w:cs="Times New Roman"/>
          <w:b/>
          <w:bCs/>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Cetraxal plus, kapi za uši, rastvor, 0,25 mg/ml + 3 mg/ml, bočica, plastična, 1 x 10 ml:</w:t>
      </w:r>
      <w:r w:rsidR="00576C8B" w:rsidRPr="00576C8B">
        <w:t xml:space="preserve"> </w:t>
      </w:r>
      <w:r w:rsidR="00576C8B" w:rsidRPr="00576C8B">
        <w:rPr>
          <w:rFonts w:ascii="Times New Roman" w:eastAsia="Times New Roman" w:hAnsi="Times New Roman" w:cs="Times New Roman"/>
          <w:bCs/>
          <w:lang w:val="sr-Latn-ME"/>
        </w:rPr>
        <w:t>2030/19/154 - 8808</w:t>
      </w:r>
    </w:p>
    <w:p w:rsidR="00FF322A" w:rsidRDefault="00FF322A" w:rsidP="00DD4E16">
      <w:pPr>
        <w:tabs>
          <w:tab w:val="left" w:pos="284"/>
        </w:tabs>
        <w:spacing w:after="0" w:line="240" w:lineRule="auto"/>
        <w:jc w:val="both"/>
        <w:rPr>
          <w:rFonts w:ascii="Times New Roman" w:eastAsia="Times New Roman" w:hAnsi="Times New Roman" w:cs="Times New Roman"/>
          <w:bCs/>
          <w:lang w:val="sr-Latn-ME"/>
        </w:rPr>
      </w:pPr>
    </w:p>
    <w:p w:rsidR="00FF322A" w:rsidRPr="00DD4E16" w:rsidRDefault="00FF322A" w:rsidP="00DD4E16">
      <w:pPr>
        <w:tabs>
          <w:tab w:val="left" w:pos="284"/>
        </w:tabs>
        <w:spacing w:after="0" w:line="240" w:lineRule="auto"/>
        <w:jc w:val="both"/>
        <w:rPr>
          <w:rFonts w:ascii="Times New Roman" w:eastAsia="Times New Roman" w:hAnsi="Times New Roman" w:cs="Times New Roman"/>
          <w:bCs/>
          <w:lang w:val="sr-Latn-ME"/>
        </w:rPr>
      </w:pPr>
    </w:p>
    <w:p w:rsidR="00DD4E16" w:rsidRDefault="00DD4E16" w:rsidP="00FF322A">
      <w:pPr>
        <w:tabs>
          <w:tab w:val="left" w:pos="284"/>
        </w:tabs>
        <w:spacing w:after="0" w:line="240" w:lineRule="auto"/>
        <w:jc w:val="both"/>
        <w:rPr>
          <w:rFonts w:ascii="Times New Roman" w:eastAsia="Times New Roman" w:hAnsi="Times New Roman" w:cs="Times New Roman"/>
          <w:b/>
          <w:bCs/>
          <w:lang w:val="sr-Latn-ME"/>
        </w:rPr>
      </w:pPr>
      <w:r w:rsidRPr="00DD4E16">
        <w:rPr>
          <w:rFonts w:ascii="Times New Roman" w:eastAsia="Times New Roman" w:hAnsi="Times New Roman" w:cs="Times New Roman"/>
          <w:b/>
          <w:lang w:val="sr-Latn-ME"/>
        </w:rPr>
        <w:t xml:space="preserve">9. </w:t>
      </w:r>
      <w:r w:rsidRPr="00DD4E16">
        <w:rPr>
          <w:rFonts w:ascii="Times New Roman" w:eastAsia="Times New Roman" w:hAnsi="Times New Roman" w:cs="Times New Roman"/>
          <w:b/>
          <w:bCs/>
          <w:lang w:val="sr-Latn-ME"/>
        </w:rPr>
        <w:t>DATUM PRVE DOZVOLE/OBNOVE DOZVOLE ZA STAVLJANJE LIJEKA U PROMET</w:t>
      </w:r>
    </w:p>
    <w:p w:rsidR="00FF322A" w:rsidRPr="00DD4E16" w:rsidRDefault="00FF322A" w:rsidP="00FF322A">
      <w:pPr>
        <w:tabs>
          <w:tab w:val="left" w:pos="284"/>
        </w:tabs>
        <w:spacing w:after="0" w:line="240" w:lineRule="auto"/>
        <w:jc w:val="both"/>
        <w:rPr>
          <w:rFonts w:ascii="Times New Roman" w:eastAsia="Times New Roman" w:hAnsi="Times New Roman" w:cs="Times New Roman"/>
          <w:b/>
          <w:bCs/>
          <w:lang w:val="sr-Latn-ME"/>
        </w:rPr>
      </w:pPr>
    </w:p>
    <w:p w:rsidR="00DD4E16" w:rsidRDefault="00DD4E16" w:rsidP="00DD4E16">
      <w:pPr>
        <w:tabs>
          <w:tab w:val="left" w:pos="284"/>
        </w:tabs>
        <w:spacing w:after="0" w:line="240" w:lineRule="auto"/>
        <w:jc w:val="both"/>
        <w:rPr>
          <w:rFonts w:ascii="Times New Roman" w:eastAsia="Times New Roman" w:hAnsi="Times New Roman" w:cs="Times New Roman"/>
          <w:bCs/>
          <w:lang w:val="sr-Latn-ME"/>
        </w:rPr>
      </w:pPr>
      <w:r w:rsidRPr="00DD4E16">
        <w:rPr>
          <w:rFonts w:ascii="Times New Roman" w:eastAsia="Times New Roman" w:hAnsi="Times New Roman" w:cs="Times New Roman"/>
          <w:bCs/>
          <w:lang w:val="sr-Latn-ME"/>
        </w:rPr>
        <w:t>Cetraxal plus, kapi za uši, rastvor, 0,25 mg/ml + 3 mg/ml, bočica, plastična, 1 x 10 ml:</w:t>
      </w:r>
      <w:r w:rsidR="00576C8B" w:rsidRPr="00576C8B">
        <w:t xml:space="preserve"> </w:t>
      </w:r>
      <w:r w:rsidR="00E47D93">
        <w:rPr>
          <w:rFonts w:ascii="Times New Roman" w:eastAsia="Times New Roman" w:hAnsi="Times New Roman" w:cs="Times New Roman"/>
          <w:bCs/>
          <w:lang w:val="sr-Latn-ME"/>
        </w:rPr>
        <w:t>04</w:t>
      </w:r>
      <w:r w:rsidR="00576C8B" w:rsidRPr="00576C8B">
        <w:rPr>
          <w:rFonts w:ascii="Times New Roman" w:eastAsia="Times New Roman" w:hAnsi="Times New Roman" w:cs="Times New Roman"/>
          <w:bCs/>
          <w:lang w:val="sr-Latn-ME"/>
        </w:rPr>
        <w:t>.07.2019. godine</w:t>
      </w:r>
    </w:p>
    <w:p w:rsidR="00FF322A" w:rsidRPr="00DD4E16" w:rsidRDefault="00FF322A" w:rsidP="00DD4E16">
      <w:pPr>
        <w:tabs>
          <w:tab w:val="left" w:pos="284"/>
        </w:tabs>
        <w:spacing w:after="0" w:line="240" w:lineRule="auto"/>
        <w:jc w:val="both"/>
        <w:rPr>
          <w:rFonts w:ascii="Times New Roman" w:eastAsia="Times New Roman" w:hAnsi="Times New Roman" w:cs="Times New Roman"/>
          <w:bCs/>
          <w:lang w:val="sr-Latn-ME"/>
        </w:rPr>
      </w:pPr>
    </w:p>
    <w:p w:rsidR="00DD4E16" w:rsidRPr="00DD4E16" w:rsidRDefault="00DD4E16" w:rsidP="00DD4E16">
      <w:pPr>
        <w:tabs>
          <w:tab w:val="left" w:pos="284"/>
        </w:tabs>
        <w:spacing w:before="200" w:after="0" w:line="240" w:lineRule="auto"/>
        <w:jc w:val="both"/>
        <w:rPr>
          <w:rFonts w:ascii="Times New Roman" w:eastAsia="Times New Roman" w:hAnsi="Times New Roman" w:cs="Times New Roman"/>
          <w:b/>
          <w:lang w:val="sr-Latn-ME"/>
        </w:rPr>
      </w:pPr>
      <w:r w:rsidRPr="00DD4E16">
        <w:rPr>
          <w:rFonts w:ascii="Times New Roman" w:eastAsia="Times New Roman" w:hAnsi="Times New Roman" w:cs="Times New Roman"/>
          <w:b/>
          <w:lang w:val="sr-Latn-ME"/>
        </w:rPr>
        <w:t>10. DATUM REVIZIJE TEKSTA</w:t>
      </w:r>
    </w:p>
    <w:p w:rsidR="00DA1FB0" w:rsidRDefault="00DA1FB0" w:rsidP="00DD4E16">
      <w:pPr>
        <w:spacing w:after="0" w:line="240" w:lineRule="auto"/>
        <w:jc w:val="both"/>
        <w:rPr>
          <w:rFonts w:ascii="Times New Roman" w:hAnsi="Times New Roman" w:cs="Times New Roman"/>
        </w:rPr>
      </w:pPr>
    </w:p>
    <w:p w:rsidR="00576C8B" w:rsidRPr="00DD4E16" w:rsidRDefault="00576C8B" w:rsidP="00DD4E16">
      <w:pPr>
        <w:spacing w:after="0" w:line="240" w:lineRule="auto"/>
        <w:jc w:val="both"/>
        <w:rPr>
          <w:rFonts w:ascii="Times New Roman" w:hAnsi="Times New Roman" w:cs="Times New Roman"/>
        </w:rPr>
      </w:pPr>
      <w:r>
        <w:rPr>
          <w:rFonts w:ascii="Times New Roman" w:hAnsi="Times New Roman" w:cs="Times New Roman"/>
        </w:rPr>
        <w:t>Jul, 2019. godine</w:t>
      </w:r>
      <w:bookmarkStart w:id="0" w:name="_GoBack"/>
      <w:bookmarkEnd w:id="0"/>
    </w:p>
    <w:sectPr w:rsidR="00576C8B" w:rsidRPr="00DD4E16"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8F" w:rsidRDefault="00B5468F" w:rsidP="00FF2B5A">
      <w:pPr>
        <w:spacing w:after="0" w:line="240" w:lineRule="auto"/>
      </w:pPr>
      <w:r>
        <w:separator/>
      </w:r>
    </w:p>
  </w:endnote>
  <w:endnote w:type="continuationSeparator" w:id="0">
    <w:p w:rsidR="00B5468F" w:rsidRDefault="00B5468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47D93">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47D93">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8F" w:rsidRDefault="00B5468F" w:rsidP="00FF2B5A">
      <w:pPr>
        <w:spacing w:after="0" w:line="240" w:lineRule="auto"/>
      </w:pPr>
      <w:r>
        <w:separator/>
      </w:r>
    </w:p>
  </w:footnote>
  <w:footnote w:type="continuationSeparator" w:id="0">
    <w:p w:rsidR="00B5468F" w:rsidRDefault="00B5468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DD4E1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D4E16" w:rsidRPr="00DD4E16" w:rsidRDefault="00DD4E16" w:rsidP="00DD4E1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B02F0B"/>
    <w:multiLevelType w:val="hybridMultilevel"/>
    <w:tmpl w:val="F49EFA2E"/>
    <w:lvl w:ilvl="0" w:tplc="5C5800D4">
      <w:start w:val="5"/>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D01B2"/>
    <w:rsid w:val="00116FE6"/>
    <w:rsid w:val="002B336F"/>
    <w:rsid w:val="0031146A"/>
    <w:rsid w:val="00461135"/>
    <w:rsid w:val="00576C8B"/>
    <w:rsid w:val="00747C4B"/>
    <w:rsid w:val="007B5D74"/>
    <w:rsid w:val="00805838"/>
    <w:rsid w:val="00883AF2"/>
    <w:rsid w:val="009318B4"/>
    <w:rsid w:val="00934541"/>
    <w:rsid w:val="00A06058"/>
    <w:rsid w:val="00AF30B1"/>
    <w:rsid w:val="00B234CE"/>
    <w:rsid w:val="00B34AF2"/>
    <w:rsid w:val="00B5468F"/>
    <w:rsid w:val="00C4240B"/>
    <w:rsid w:val="00C606D3"/>
    <w:rsid w:val="00C7717C"/>
    <w:rsid w:val="00D45AFE"/>
    <w:rsid w:val="00DA1FB0"/>
    <w:rsid w:val="00DD4E16"/>
    <w:rsid w:val="00E0627A"/>
    <w:rsid w:val="00E47D93"/>
    <w:rsid w:val="00EB2A93"/>
    <w:rsid w:val="00F1527C"/>
    <w:rsid w:val="00FF2B5A"/>
    <w:rsid w:val="00FF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5527-5C80-4E08-85B8-D6460995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10</cp:revision>
  <dcterms:created xsi:type="dcterms:W3CDTF">2017-06-23T09:30:00Z</dcterms:created>
  <dcterms:modified xsi:type="dcterms:W3CDTF">2019-07-04T05:41:00Z</dcterms:modified>
</cp:coreProperties>
</file>