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52" w:rsidRPr="00FF1652" w:rsidRDefault="00FF1652" w:rsidP="00EF13E5">
      <w:pPr>
        <w:spacing w:after="0" w:line="240" w:lineRule="auto"/>
        <w:rPr>
          <w:rFonts w:ascii="Times New Roman" w:eastAsia="Times New Roman" w:hAnsi="Times New Roman" w:cs="Times New Roman"/>
          <w:b/>
          <w:bCs/>
          <w:i/>
          <w:iCs/>
          <w:u w:val="single"/>
          <w:lang w:val="sr-Latn-ME"/>
        </w:rPr>
      </w:pPr>
    </w:p>
    <w:p w:rsidR="00FF1652" w:rsidRPr="00FF1652" w:rsidRDefault="00FF1652" w:rsidP="00EF13E5">
      <w:pPr>
        <w:spacing w:after="0" w:line="240" w:lineRule="auto"/>
        <w:rPr>
          <w:rFonts w:ascii="Times New Roman" w:eastAsia="Times New Roman" w:hAnsi="Times New Roman" w:cs="Times New Roman"/>
          <w:b/>
          <w:bCs/>
          <w:i/>
          <w:iCs/>
          <w:u w:val="single"/>
          <w:lang w:val="sr-Latn-ME"/>
        </w:rPr>
      </w:pPr>
    </w:p>
    <w:p w:rsidR="00FF1652" w:rsidRPr="00FF1652" w:rsidRDefault="00FF1652" w:rsidP="00EF13E5">
      <w:pPr>
        <w:spacing w:after="0" w:line="240" w:lineRule="auto"/>
        <w:jc w:val="center"/>
        <w:rPr>
          <w:rFonts w:ascii="Times New Roman" w:eastAsia="Times New Roman" w:hAnsi="Times New Roman" w:cs="Times New Roman"/>
          <w:b/>
          <w:bCs/>
          <w:iCs/>
          <w:u w:val="single"/>
          <w:lang w:val="sr-Latn-ME"/>
        </w:rPr>
      </w:pPr>
      <w:r w:rsidRPr="00FF1652">
        <w:rPr>
          <w:rFonts w:ascii="Times New Roman" w:eastAsia="Times New Roman" w:hAnsi="Times New Roman" w:cs="Times New Roman"/>
          <w:b/>
          <w:bCs/>
          <w:iCs/>
          <w:u w:val="single"/>
          <w:lang w:val="sr-Latn-ME"/>
        </w:rPr>
        <w:t>SAŽETAK KARAKTERISTIKA LIJEKA</w:t>
      </w:r>
    </w:p>
    <w:p w:rsidR="00FF1652" w:rsidRPr="00FF1652" w:rsidRDefault="00FF1652" w:rsidP="00EF13E5">
      <w:pPr>
        <w:spacing w:after="0" w:line="240" w:lineRule="auto"/>
        <w:rPr>
          <w:rFonts w:ascii="Times New Roman" w:eastAsia="Times New Roman" w:hAnsi="Times New Roman" w:cs="Times New Roman"/>
          <w:b/>
          <w:bCs/>
          <w:i/>
          <w:iCs/>
          <w:u w:val="single"/>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noProof/>
          <w:lang w:val="sr-Latn-ME"/>
        </w:rPr>
      </w:pPr>
      <w:r w:rsidRPr="00FF1652">
        <w:rPr>
          <w:rFonts w:ascii="Times New Roman" w:eastAsia="Times New Roman" w:hAnsi="Times New Roman" w:cs="Times New Roman"/>
          <w:noProof/>
        </w:rPr>
        <w:drawing>
          <wp:inline distT="0" distB="0" distL="0" distR="0" wp14:anchorId="00CC2D90" wp14:editId="33FCA489">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FF1652">
        <w:rPr>
          <w:rFonts w:ascii="Times New Roman" w:eastAsia="Times New Roman" w:hAnsi="Times New Roman" w:cs="Times New Roman"/>
          <w:noProof/>
          <w:lang w:val="sr-Latn-ME"/>
        </w:rPr>
        <w:t xml:space="preserve"> Ovaj lijek je pod dodatnim praćenjem.</w:t>
      </w:r>
      <w:r w:rsidRPr="00FF1652">
        <w:rPr>
          <w:rFonts w:ascii="Times New Roman" w:eastAsia="Times New Roman" w:hAnsi="Times New Roman" w:cs="Times New Roman"/>
          <w:lang w:val="sr-Latn-ME"/>
        </w:rPr>
        <w:t xml:space="preserve"> </w:t>
      </w:r>
      <w:r w:rsidRPr="00FF1652">
        <w:rPr>
          <w:rFonts w:ascii="Times New Roman" w:eastAsia="Times New Roman" w:hAnsi="Times New Roman" w:cs="Times New Roman"/>
          <w:noProof/>
          <w:lang w:val="sr-Latn-ME"/>
        </w:rPr>
        <w:t>Time se omogućava brzo otkrivanje novih bezbjednosnih informacija. Zdravstveni radnici treba da prijave svaku sumnju na neželjeno dejstvo ovog lijeka.</w:t>
      </w:r>
      <w:r w:rsidRPr="00FF1652">
        <w:rPr>
          <w:rFonts w:ascii="Times New Roman" w:eastAsia="Times New Roman" w:hAnsi="Times New Roman" w:cs="Times New Roman"/>
          <w:lang w:val="sr-Latn-ME"/>
        </w:rPr>
        <w:t xml:space="preserve"> Za način prijavljivanja neželjenih dejstava vidjeti dio 4.8</w:t>
      </w:r>
      <w:r w:rsidRPr="00FF1652">
        <w:rPr>
          <w:rFonts w:ascii="Times New Roman" w:eastAsia="Times New Roman" w:hAnsi="Times New Roman" w:cs="Times New Roman"/>
          <w:noProof/>
          <w:lang w:val="sr-Latn-ME"/>
        </w:rPr>
        <w:t xml:space="preserve">.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1.</w:t>
      </w:r>
      <w:r w:rsidRPr="00FF1652">
        <w:rPr>
          <w:rFonts w:ascii="Times New Roman" w:eastAsia="Times New Roman" w:hAnsi="Times New Roman" w:cs="Times New Roman"/>
          <w:b/>
          <w:bCs/>
          <w:lang w:val="sr-Latn-ME"/>
        </w:rPr>
        <w:tab/>
        <w:t>NAZIV LIJEKA</w:t>
      </w: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spacing w:after="0" w:line="240" w:lineRule="auto"/>
        <w:rPr>
          <w:rFonts w:ascii="Times New Roman" w:eastAsia="Times New Roman" w:hAnsi="Times New Roman" w:cs="Times New Roman"/>
          <w:iCs/>
          <w:lang w:val="sr-Latn-ME"/>
        </w:rPr>
      </w:pPr>
      <w:r w:rsidRPr="00FF1652">
        <w:rPr>
          <w:rFonts w:ascii="Times New Roman" w:eastAsia="Times New Roman" w:hAnsi="Times New Roman" w:cs="Times New Roman"/>
          <w:iCs/>
          <w:lang w:val="sr-Latn-ME"/>
        </w:rPr>
        <w:t>Terrosa</w:t>
      </w:r>
      <w:r w:rsidRPr="00FF1652">
        <w:rPr>
          <w:rFonts w:ascii="Times New Roman" w:eastAsia="Times New Roman" w:hAnsi="Times New Roman" w:cs="Times New Roman"/>
          <w:iCs/>
          <w:vertAlign w:val="superscript"/>
          <w:lang w:val="sr-Latn-ME"/>
        </w:rPr>
        <w:t>®</w:t>
      </w:r>
      <w:r w:rsidRPr="00FF1652">
        <w:rPr>
          <w:rFonts w:ascii="Times New Roman" w:eastAsia="Times New Roman" w:hAnsi="Times New Roman" w:cs="Times New Roman"/>
          <w:iCs/>
          <w:lang w:val="sr-Latn-ME"/>
        </w:rPr>
        <w:t>, 20 mikrograma/80 mikrolitara, rastvor za injekciju</w:t>
      </w:r>
    </w:p>
    <w:p w:rsidR="00FF1652" w:rsidRPr="00FF1652" w:rsidRDefault="00FF1652" w:rsidP="00EF13E5">
      <w:pPr>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INN: teriparatid</w:t>
      </w:r>
    </w:p>
    <w:p w:rsidR="00FF1652" w:rsidRPr="00EF13E5" w:rsidRDefault="00FF1652" w:rsidP="00EF13E5">
      <w:pPr>
        <w:spacing w:after="0" w:line="240" w:lineRule="auto"/>
        <w:rPr>
          <w:rFonts w:ascii="Times New Roman" w:eastAsia="Times New Roman" w:hAnsi="Times New Roman" w:cs="Times New Roman"/>
          <w:bCs/>
          <w:lang w:val="sr-Latn-ME"/>
        </w:rPr>
      </w:pPr>
    </w:p>
    <w:p w:rsidR="00EF13E5" w:rsidRPr="00FF1652" w:rsidRDefault="00EF13E5" w:rsidP="00EF13E5">
      <w:pPr>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2. </w:t>
      </w:r>
      <w:r w:rsidRPr="00FF1652">
        <w:rPr>
          <w:rFonts w:ascii="Times New Roman" w:eastAsia="Times New Roman" w:hAnsi="Times New Roman" w:cs="Times New Roman"/>
          <w:b/>
          <w:bCs/>
          <w:lang w:val="sr-Latn-ME"/>
        </w:rPr>
        <w:tab/>
        <w:t>KVALITATIVNI I KVANTITATIVNI SASTAV</w:t>
      </w: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Jedna doza od 80 mikrolitara sadrži 20 mikrograma teriparatida*.</w:t>
      </w: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Jedan uložak sa 2,4 ml rastvora sadrži 600 mikrograma teriparatida (što odgovara 250 mikrograma po ml).</w:t>
      </w: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*Teriparatid, rhPTH(1-34), koji je proizveden u E.coli tehnologijom rekombinantne DNK, identičan je sekvenci 34 N-terminalne aminokiseline endogenog humanog paratiroidnog hormona.</w:t>
      </w: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Za spisak svih ekscipijenasa, pogledati dio 6.1.</w:t>
      </w: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3. </w:t>
      </w:r>
      <w:r w:rsidRPr="00FF1652">
        <w:rPr>
          <w:rFonts w:ascii="Times New Roman" w:eastAsia="Times New Roman" w:hAnsi="Times New Roman" w:cs="Times New Roman"/>
          <w:b/>
          <w:bCs/>
          <w:lang w:val="sr-Latn-ME"/>
        </w:rPr>
        <w:tab/>
        <w:t xml:space="preserve">FARMACEUTSKI OBLIK </w:t>
      </w:r>
    </w:p>
    <w:p w:rsidR="00FF1652" w:rsidRPr="00FF1652" w:rsidRDefault="00FF1652" w:rsidP="00EF13E5">
      <w:pPr>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Rastvor za injekciju.</w:t>
      </w:r>
    </w:p>
    <w:p w:rsidR="00FF1652" w:rsidRPr="00FF1652" w:rsidRDefault="00FF1652" w:rsidP="00EF13E5">
      <w:pPr>
        <w:spacing w:after="0" w:line="240" w:lineRule="auto"/>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Bezbojan, bistar rastvor za injekciju pH vrijednosti 3,8 – 4,5.</w:t>
      </w:r>
    </w:p>
    <w:p w:rsidR="00FF1652" w:rsidRDefault="00FF1652" w:rsidP="00EF13E5">
      <w:pPr>
        <w:spacing w:after="0" w:line="240" w:lineRule="auto"/>
        <w:rPr>
          <w:rFonts w:ascii="Times New Roman" w:eastAsia="Times New Roman" w:hAnsi="Times New Roman" w:cs="Times New Roman"/>
          <w:bCs/>
          <w:lang w:val="sr-Latn-ME"/>
        </w:rPr>
      </w:pPr>
    </w:p>
    <w:p w:rsidR="00EF13E5" w:rsidRPr="00FF1652" w:rsidRDefault="00EF13E5" w:rsidP="00EF13E5">
      <w:pPr>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4. </w:t>
      </w:r>
      <w:r w:rsidRPr="00FF1652">
        <w:rPr>
          <w:rFonts w:ascii="Times New Roman" w:eastAsia="Times New Roman" w:hAnsi="Times New Roman" w:cs="Times New Roman"/>
          <w:b/>
          <w:bCs/>
          <w:lang w:val="sr-Latn-ME"/>
        </w:rPr>
        <w:tab/>
        <w:t>KLINIČKI PODACI</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4.1. </w:t>
      </w:r>
      <w:r w:rsidRPr="00FF1652">
        <w:rPr>
          <w:rFonts w:ascii="Times New Roman" w:eastAsia="Times New Roman" w:hAnsi="Times New Roman" w:cs="Times New Roman"/>
          <w:b/>
          <w:bCs/>
          <w:lang w:val="sr-Latn-ME"/>
        </w:rPr>
        <w:tab/>
        <w:t>Terapijske indikacije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Lijek Terrosa je indikovan za odrasle.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Terapija osteoporoze kod žena u postmenopauzi i kod muškaraca kod kojih je povećan rizik od preloma (vidjeti odjeljak 5.1). Kod žena u postmenopauzi je dokazano značajno smanjenje incidence vertebralnih i nevertebralnih preloma, ali ne i smanjenje incidence preloma kuka.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Terapija osteoporoze koja je posljedica dugotrajne sistemske terapije glukokortikoidima kod žena i kod muškaraca kod kojih je povećan rizik od preloma (vidjeti odjeljak 5.1).</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lastRenderedPageBreak/>
        <w:t xml:space="preserve">4.2. </w:t>
      </w:r>
      <w:r w:rsidRPr="00FF1652">
        <w:rPr>
          <w:rFonts w:ascii="Times New Roman" w:eastAsia="Times New Roman" w:hAnsi="Times New Roman" w:cs="Times New Roman"/>
          <w:b/>
          <w:bCs/>
          <w:lang w:val="sr-Latn-ME"/>
        </w:rPr>
        <w:tab/>
        <w:t>Doziranje i način primjene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Doziranje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Preporučena doza lijeka Terrosa je 20 mikrograma, primijenjena jednom dnevno.</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 xml:space="preserve">Ukupno trajanje terapije teriparatidom smije da iznosi najduže 24 mjeseca (vidjeti odjeljak 4.4). Nakon završetka terapijskog ciklusa od 24 mjeseca, terapija teriparatidom se više ne smije ponavljati tokom života pacijenta. </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Nakon prekida terapije teriparatidom, pacijenti mogu nastaviti liječenje osteoporoze drugim terapijskim opcijama.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Ukoliko je unos kalcijuma i vitamina D hranom nedovoljan, pacijenti treba da uzimaju dodatke ishrani sa  kalcijumom i vitaminom D.</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u w:val="single"/>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FF1652">
        <w:rPr>
          <w:rFonts w:ascii="Times New Roman" w:eastAsia="Times New Roman" w:hAnsi="Times New Roman" w:cs="Times New Roman"/>
          <w:bCs/>
          <w:i/>
          <w:u w:val="single"/>
          <w:lang w:val="sr-Latn-ME"/>
        </w:rPr>
        <w:t>Posebne populacije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u w:val="single"/>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lang w:val="sr-Latn-ME"/>
        </w:rPr>
      </w:pPr>
      <w:r w:rsidRPr="00FF1652">
        <w:rPr>
          <w:rFonts w:ascii="Times New Roman" w:eastAsia="Times New Roman" w:hAnsi="Times New Roman" w:cs="Times New Roman"/>
          <w:bCs/>
          <w:i/>
          <w:lang w:val="sr-Latn-ME"/>
        </w:rPr>
        <w:t>Oštećenje funkcije bubrega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Teriparatid se ne smije primjenjivati kod pacijenata sa teškim oštećenjem funkcije bubrega (vidjeti odjeljak 4.3). Kod pacijenata sa umjerenim oštećenjem bubrežne funkcije, teriparatid treba primjenjivati uz oprez. Nijesu potrebne posebne mjere opreza kod pacijenata sa blagim oštećenjem bubrežne funkcije.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lang w:val="sr-Latn-ME"/>
        </w:rPr>
      </w:pPr>
      <w:r w:rsidRPr="00FF1652">
        <w:rPr>
          <w:rFonts w:ascii="Times New Roman" w:eastAsia="Times New Roman" w:hAnsi="Times New Roman" w:cs="Times New Roman"/>
          <w:bCs/>
          <w:i/>
          <w:lang w:val="sr-Latn-ME"/>
        </w:rPr>
        <w:t>Oštećenje funkcije jetre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Nema dostupnih podataka o primjeni lijeka Terrosa kod pacijenata sa oštećenjem funkcije jetre (vidjeti odjeljak 5.3). Stoga, teriparatid treba primjenjivati uz oprez.</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lang w:val="sr-Latn-ME"/>
        </w:rPr>
      </w:pPr>
      <w:r w:rsidRPr="00FF1652">
        <w:rPr>
          <w:rFonts w:ascii="Times New Roman" w:eastAsia="Times New Roman" w:hAnsi="Times New Roman" w:cs="Times New Roman"/>
          <w:bCs/>
          <w:i/>
          <w:lang w:val="sr-Latn-ME"/>
        </w:rPr>
        <w:t xml:space="preserve">Pedijatrijska populacija i mlade odrasle osobe sa otvorenim epifizama </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bookmarkStart w:id="0" w:name="_Hlk11322895"/>
      <w:r w:rsidRPr="00FF1652">
        <w:rPr>
          <w:rFonts w:ascii="Times New Roman" w:eastAsia="Times New Roman" w:hAnsi="Times New Roman" w:cs="Times New Roman"/>
          <w:bCs/>
          <w:lang w:val="sr-Latn-ME"/>
        </w:rPr>
        <w:t>Bezbjednost i efikasnost primjene teriparatida kod djece i adolescenata mlađih od 18 godina nijesu ustanovljene. Teriparatid ne treba primjenjivati kod pedijatrijskih pacijenata (mlađih od 18 godina), niti kod mladih odraslih osoba sa otvorenim epifizama.</w:t>
      </w:r>
    </w:p>
    <w:bookmarkEnd w:id="0"/>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i/>
          <w:lang w:val="sr-Latn-ME"/>
        </w:rPr>
      </w:pPr>
      <w:r w:rsidRPr="00FF1652">
        <w:rPr>
          <w:rFonts w:ascii="Times New Roman" w:eastAsia="Times New Roman" w:hAnsi="Times New Roman" w:cs="Times New Roman"/>
          <w:bCs/>
          <w:i/>
          <w:lang w:val="sr-Latn-ME"/>
        </w:rPr>
        <w:t>Stariji pacijenti</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Nije potrebno prilagođavanje doziranja na osnovu životnog doba (vidjeti odjeljak 5.2).</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Način primjene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Lijek Terrosa treba primjenjivati jednom dnevno u obliku subkutane injekcije u predjelu butine ili abdomena.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Lijek treba primjenjivati isključivo pomoću Terrosa Pen višedoznog sistema za primjenu lijeka, namijenjenog za višekratnu upotrebu, i igala koje su navedene kao kompatibilne u uputstvu za upotrebu priloženom uz pen. Pen i igle nijesu sastavni dio pakovanja lijeka Terrosa. Lijek Terrosa se ne smije primjenjivati ni sa jednim drugim penom.</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 xml:space="preserve">Pacijenti se moraju obučiti za pravilnu tehniku davanja injekcija (vidjeti odjeljak 6.6). Takođe, postoji i uputstvo za upotrebu priloženo u pakovanju sistema za primjenu lijeka sa uputstvima za pacijenta o pravilnoj primjeni pena. </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lastRenderedPageBreak/>
        <w:t>Takođe je potrebno zapisati datum prve injekcije na spoljašnjem pakovanju lijeka Terrosa (vidjeti predviđeno mjesto na kutiji: {Prva upotreba:}).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4.3. </w:t>
      </w:r>
      <w:r w:rsidRPr="00FF1652">
        <w:rPr>
          <w:rFonts w:ascii="Times New Roman" w:eastAsia="Times New Roman" w:hAnsi="Times New Roman" w:cs="Times New Roman"/>
          <w:b/>
          <w:bCs/>
          <w:lang w:val="sr-Latn-ME"/>
        </w:rPr>
        <w:tab/>
        <w:t>Kontraindikacije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Preosjetljivost na aktivnu supstancu ili na bilo koju od pomoćnih supstanci navedenih u odjeljku 6.1.</w:t>
      </w:r>
    </w:p>
    <w:p w:rsidR="00FF1652" w:rsidRPr="00FF1652" w:rsidRDefault="00FF1652" w:rsidP="00EF13E5">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Trudnoća i dojenje (vidjeti odjeljke 4.4 i 4.6).</w:t>
      </w:r>
    </w:p>
    <w:p w:rsidR="00FF1652" w:rsidRPr="00FF1652" w:rsidRDefault="00FF1652" w:rsidP="00EF13E5">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Postojeća hiperkalcijemija.</w:t>
      </w:r>
    </w:p>
    <w:p w:rsidR="00FF1652" w:rsidRPr="00FF1652" w:rsidRDefault="00FF1652" w:rsidP="00EF13E5">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Teško oštećenje funkcije bubrega.</w:t>
      </w:r>
    </w:p>
    <w:p w:rsidR="00FF1652" w:rsidRPr="00FF1652" w:rsidRDefault="00FF1652" w:rsidP="00EF13E5">
      <w:pPr>
        <w:numPr>
          <w:ilvl w:val="0"/>
          <w:numId w:val="1"/>
        </w:numPr>
        <w:tabs>
          <w:tab w:val="left" w:pos="284"/>
        </w:tabs>
        <w:spacing w:after="0" w:line="240" w:lineRule="auto"/>
        <w:ind w:left="284" w:hanging="284"/>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Metaboličke bolesti kostiju (uključujući hiperparatiroidizam i </w:t>
      </w:r>
      <w:r w:rsidRPr="00FF1652">
        <w:rPr>
          <w:rFonts w:ascii="Times New Roman" w:eastAsia="Times New Roman" w:hAnsi="Times New Roman" w:cs="Times New Roman"/>
          <w:i/>
          <w:lang w:val="sr-Latn-ME"/>
        </w:rPr>
        <w:t>Paget</w:t>
      </w:r>
      <w:r w:rsidRPr="00FF1652">
        <w:rPr>
          <w:rFonts w:ascii="Times New Roman" w:eastAsia="Times New Roman" w:hAnsi="Times New Roman" w:cs="Times New Roman"/>
          <w:lang w:val="sr-Latn-ME"/>
        </w:rPr>
        <w:t>-ovu bolest kostiju), osim primarne osteoporoze ili osteoporoze izazvane glukokortikoidima.</w:t>
      </w:r>
    </w:p>
    <w:p w:rsidR="00FF1652" w:rsidRPr="00FF1652" w:rsidRDefault="00FF1652" w:rsidP="00EF13E5">
      <w:pPr>
        <w:numPr>
          <w:ilvl w:val="0"/>
          <w:numId w:val="1"/>
        </w:numPr>
        <w:tabs>
          <w:tab w:val="left" w:pos="284"/>
        </w:tabs>
        <w:spacing w:after="0" w:line="240" w:lineRule="auto"/>
        <w:ind w:left="284" w:hanging="284"/>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Neobjašnjivo povećanje vrijednosti alkalne fosfataze.</w:t>
      </w:r>
    </w:p>
    <w:p w:rsidR="00FF1652" w:rsidRPr="00FF1652" w:rsidRDefault="00FF1652" w:rsidP="00EF13E5">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Prethodna radioterapija skeleta pomoću spoljašnjeg ili implantiranog izvora zračenja.</w:t>
      </w:r>
    </w:p>
    <w:p w:rsidR="00FF1652" w:rsidRPr="00FF1652" w:rsidRDefault="00FF1652" w:rsidP="00EF13E5">
      <w:pPr>
        <w:numPr>
          <w:ilvl w:val="0"/>
          <w:numId w:val="1"/>
        </w:numPr>
        <w:tabs>
          <w:tab w:val="left" w:pos="284"/>
        </w:tabs>
        <w:spacing w:after="0" w:line="240" w:lineRule="auto"/>
        <w:ind w:left="284" w:hanging="284"/>
        <w:contextualSpacing/>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Pacijente sa malignim oboljenjima skeleta ili metastazama na kostima treba isključiti iz terapije teriparatidom.</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4.4. </w:t>
      </w:r>
      <w:r w:rsidRPr="00FF1652">
        <w:rPr>
          <w:rFonts w:ascii="Times New Roman" w:eastAsia="Times New Roman" w:hAnsi="Times New Roman" w:cs="Times New Roman"/>
          <w:b/>
          <w:bCs/>
          <w:lang w:val="sr-Latn-ME"/>
        </w:rPr>
        <w:tab/>
        <w:t>Posebna upozorenja i mjere opreza pri upotrebi lijeka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Kalcijum u serumu i urinu</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Kod pacijenata sa normalnim nivoom kalcijuma u krvi, uočeno je blago i prolazno povećanje koncentracije kalcijuma u serumu nakon primjene injekcije teriparatida. Maksimalne koncentracije kalcijuma u serumu postižu se između 4 i 6 sati nakon primjene, a vraćaju se na početne vrijednosti 16−24 sata nakon svake doze teriparatida. Zbog toga, ukoliko se pacijentima uzimaju uzorci krvi radi određivanja koncentracije serumskog kalcijuma, to treba učiniti najmanje 16 sati nakon primjene posljednje injekcije teriparatida. Nije neophodno rutinski pratiti nivoe kalcijuma tokom terapije.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Teriparatid može da izazove blago povećanje izlučivanja kalcijuma urinom, ali incidenca hiperkalciurije u kliničkim ispitivanjima nije se razlikovala od one kod pacijenata koji su primali placebo.</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Urolitijaza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Teriparatid nije ispitivan kod pacijenata sa aktivnom urolitijazom. Teriparatid treba primjenjivati uz oprez kod pacijenata sa aktivnom ili nedavnom urolitijazom, zbog mogućnosti da pogorša ovo stanje.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Ortostatska hipotenzija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U kratkoročnim kliničkim ispitivanjima sa teriparatidom, uočene su izolovane epizode prolazne ortostatske hipotenzije. Obično su počinjale tokom prva 4 sata nakon primjene i spontano prolazile u roku od nekoliko minuta do nekoliko sati. Kada je dolazilo do prolazne ortostatske hipotenzije, ona se javljala tokom primjene prvih nekoliko doza, a ublažena je postavljanjem pacijenata u ležeći položaj i nije sprječavala nastavak terapije.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Oštećenje funkcije bubrega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Neophodan je oprez kod pacijenata sa umjerenim oštećenjem funkcije bubrega.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Populacija mladih odraslih osoba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Iskustvo sa primjenom u populaciji mladih odraslih osoba, uključujući žene u premenopauzi, je ograničeno (vidjeti odjeljak 5.1). Terapiju treba započeti samo ako korist jasno nadmašuje rizike u ovoj populaciji.</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Žene u reproduktivnom periodu treba da koriste efikasne metode kontracepcije tokom upotrebe teriparatida. Ukoliko dođe do trudnoće, primjenu teriparatida treba obustaviti.</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lastRenderedPageBreak/>
        <w:t>Trajanje terapije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Ispitivanja na pacovima ukazuju na povećanu incidencu osteosarkoma pri dugotrajnoj primjeni teriparatida (vidjeti odjeljak 5.3). Preporučeno trajanje terapije od 24 mjeseca ne treba prekoračiti, sve dok ne bude dostupno više kliničkih podataka.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Evidencija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 xml:space="preserve">Pacijent treba u kalendaru da zabilježi broj serije svakog uloška, i datum prve injekcije. </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u w:val="single"/>
          <w:lang w:val="sr-Latn-ME"/>
        </w:rPr>
      </w:pPr>
      <w:r w:rsidRPr="00FF1652">
        <w:rPr>
          <w:rFonts w:ascii="Times New Roman" w:eastAsia="Times New Roman" w:hAnsi="Times New Roman" w:cs="Times New Roman"/>
          <w:bCs/>
          <w:u w:val="single"/>
          <w:lang w:val="sr-Latn-ME"/>
        </w:rPr>
        <w:t>Pomoćne supstance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Ovaj lijek sadrži manje od 1 mmol (23 mg) natrijuma po dozi. To znači da je on suštinski ,,bez natrijuma”.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Pedijatrijska populacija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Bezbjednost i efikasnost primjene teriparatida kod djece i adolescenata mlađih od 18 godina nijesu ustanovljene. Teriparatid ne treba primjenjivati kod pedijatrijskih pacijenata (mlađih od 18 godina), niti kod mladih odraslih osoba sa otvorenim epifizama.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4.5.</w:t>
      </w:r>
      <w:r w:rsidRPr="00FF1652">
        <w:rPr>
          <w:rFonts w:ascii="Times New Roman" w:eastAsia="Times New Roman" w:hAnsi="Times New Roman" w:cs="Times New Roman"/>
          <w:b/>
          <w:bCs/>
          <w:lang w:val="sr-Latn-ME"/>
        </w:rPr>
        <w:tab/>
        <w:t>Interakcije sa drugim ljekovima i druge vrste interakcija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U ispitivanju u kojem je 15 zdravih ispitanika svakodnevno primalo digoksin do postizanja stanja ravnoteže, pojedinačna doza teriparatida nije promijenila dejstvo digoksina na srce. Međutim, izvještaji o sporadičnim slučajevima upućuju na to da hiperkalcijemija može predstavljati predispoziciju za toksičnost digitalisa. S obzirom na to da teriparatid prolazno povećava nivo serumskog kalcijuma, teriparatid treba oprezno primjenjivati kod pacijenata koji uzimaju digitalis.</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Sprovedena su ispitivanja farmakodinamske interakcije između teriparatida i hidrohlortiazida, u kojima nijesu uočene klinički značajne interakcije.</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 xml:space="preserve">Istovremena upotreba raloksifena ili hormonske supstitucione terapije i teriparatida nije izmijenila dejstvo teriparatida na nivo kalcijuma u serumu ili urinu, kao ni na pojavu kliničkih neželjenih događaja.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lang w:val="sr-Latn-ME"/>
        </w:rPr>
      </w:pPr>
      <w:r w:rsidRPr="00FF1652">
        <w:rPr>
          <w:rFonts w:ascii="Times New Roman" w:eastAsia="Times New Roman" w:hAnsi="Times New Roman" w:cs="Times New Roman"/>
          <w:b/>
          <w:bCs/>
          <w:lang w:val="sr-Latn-ME"/>
        </w:rPr>
        <w:t xml:space="preserve">4.6. </w:t>
      </w:r>
      <w:r w:rsidRPr="00FF1652">
        <w:rPr>
          <w:rFonts w:ascii="Times New Roman" w:eastAsia="Times New Roman" w:hAnsi="Times New Roman" w:cs="Times New Roman"/>
          <w:b/>
          <w:bCs/>
          <w:lang w:val="sr-Latn-ME"/>
        </w:rPr>
        <w:tab/>
      </w:r>
      <w:r w:rsidRPr="00FF1652">
        <w:rPr>
          <w:rFonts w:ascii="Times New Roman" w:eastAsia="Times New Roman" w:hAnsi="Times New Roman" w:cs="Times New Roman"/>
          <w:b/>
          <w:lang w:val="sr-Latn-ME"/>
        </w:rPr>
        <w:t>Plodnost, trudnoća i dojenje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u w:val="single"/>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Plodnost</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Ispitivanja na kunićima ukazala su na reproduktivnu toksičnost (vidjeti odjeljak 5.3). Nije ispitivan uticaj teriparatida na razvoj humanog fetusa. Potencijalni rizik za ljude nije poznat.</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u w:val="single"/>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Žene u reproduktivnom periodu / Kontracepcija kod žena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Žene u reproduktivnom periodu moraju da koriste efektivne metode kontracepcije tokom primjene teriparatida. Ukoliko dođe do trudnoće, primjenu lijeka Terrosa treba prekinuti.</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u w:val="single"/>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Trudnoća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Lijek Terrosa je kontraindikovan tokom trudnoće (vidjeti odjeljak 4.3).</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u w:val="single"/>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
          <w:bCs/>
          <w:lang w:val="sr-Latn-ME"/>
        </w:rPr>
      </w:pPr>
      <w:r w:rsidRPr="00FF1652">
        <w:rPr>
          <w:rFonts w:ascii="Times New Roman" w:eastAsia="Times New Roman" w:hAnsi="Times New Roman" w:cs="Times New Roman"/>
          <w:u w:val="single"/>
          <w:lang w:val="sr-Latn-ME"/>
        </w:rPr>
        <w:t xml:space="preserve">Dojenje </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Lijek Terrosa je kontraindikovan za primjenu tokom dojenja. Nije poznato da li se teriparatid izlučuje u majčino mlijeko.</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ind w:left="540" w:hanging="540"/>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lastRenderedPageBreak/>
        <w:t xml:space="preserve">4.7. </w:t>
      </w:r>
      <w:r w:rsidRPr="00FF1652">
        <w:rPr>
          <w:rFonts w:ascii="Times New Roman" w:eastAsia="Times New Roman" w:hAnsi="Times New Roman" w:cs="Times New Roman"/>
          <w:b/>
          <w:bCs/>
          <w:lang w:val="sr-Latn-ME"/>
        </w:rPr>
        <w:tab/>
        <w:t>Uticaj na sposobnost upravljanja vozilima i rukovanje mašinama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noProof/>
        </w:rPr>
        <w:drawing>
          <wp:inline distT="0" distB="0" distL="0" distR="0" wp14:anchorId="7E40F096" wp14:editId="1C5AA783">
            <wp:extent cx="6165850" cy="4578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0" cy="457835"/>
                    </a:xfrm>
                    <a:prstGeom prst="rect">
                      <a:avLst/>
                    </a:prstGeom>
                    <a:noFill/>
                    <a:ln>
                      <a:noFill/>
                    </a:ln>
                  </pic:spPr>
                </pic:pic>
              </a:graphicData>
            </a:graphic>
          </wp:inline>
        </w:drawing>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4.8. </w:t>
      </w:r>
      <w:r w:rsidRPr="00FF1652">
        <w:rPr>
          <w:rFonts w:ascii="Times New Roman" w:eastAsia="Times New Roman" w:hAnsi="Times New Roman" w:cs="Times New Roman"/>
          <w:b/>
          <w:bCs/>
          <w:lang w:val="sr-Latn-ME"/>
        </w:rPr>
        <w:tab/>
        <w:t>Neželjena dejstva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spacing w:after="0" w:line="240" w:lineRule="auto"/>
        <w:jc w:val="both"/>
        <w:rPr>
          <w:rFonts w:ascii="Times New Roman" w:eastAsia="Times New Roman" w:hAnsi="Times New Roman" w:cs="Times New Roman"/>
          <w:noProof/>
          <w:u w:val="single"/>
          <w:lang w:val="sr-Latn-ME"/>
        </w:rPr>
      </w:pPr>
      <w:r w:rsidRPr="00FF1652">
        <w:rPr>
          <w:rFonts w:ascii="Times New Roman" w:eastAsia="Times New Roman" w:hAnsi="Times New Roman" w:cs="Times New Roman"/>
          <w:noProof/>
          <w:u w:val="single"/>
          <w:lang w:val="sr-Latn-ME"/>
        </w:rPr>
        <w:t>Sažetak bezbjednosnog profila</w:t>
      </w:r>
    </w:p>
    <w:p w:rsidR="00FF1652" w:rsidRPr="00FF1652" w:rsidRDefault="00FF1652" w:rsidP="00EF13E5">
      <w:pPr>
        <w:spacing w:after="0" w:line="240" w:lineRule="auto"/>
        <w:jc w:val="both"/>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Najčešće prijavljivane neželjene reakcije kod pacijenata koji se liječe teriparatidom su mučnina, bol u ekstremitetima, glavobolja i vrtoglavica.</w:t>
      </w:r>
    </w:p>
    <w:p w:rsidR="00FF1652" w:rsidRPr="00FF1652" w:rsidRDefault="00FF1652" w:rsidP="00EF13E5">
      <w:pPr>
        <w:spacing w:after="0" w:line="240" w:lineRule="auto"/>
        <w:jc w:val="both"/>
        <w:rPr>
          <w:rFonts w:ascii="Times New Roman" w:eastAsia="Times New Roman" w:hAnsi="Times New Roman" w:cs="Times New Roman"/>
          <w:noProof/>
          <w:lang w:val="sr-Latn-ME"/>
        </w:rPr>
      </w:pPr>
    </w:p>
    <w:p w:rsidR="00FF1652" w:rsidRPr="00FF1652" w:rsidRDefault="00FF1652" w:rsidP="00EF13E5">
      <w:pPr>
        <w:spacing w:after="0" w:line="240" w:lineRule="auto"/>
        <w:jc w:val="both"/>
        <w:rPr>
          <w:rFonts w:ascii="Times New Roman" w:eastAsia="Times New Roman" w:hAnsi="Times New Roman" w:cs="Times New Roman"/>
          <w:noProof/>
          <w:u w:val="single"/>
          <w:lang w:val="sr-Latn-ME"/>
        </w:rPr>
      </w:pPr>
      <w:r w:rsidRPr="00FF1652">
        <w:rPr>
          <w:rFonts w:ascii="Times New Roman" w:eastAsia="Times New Roman" w:hAnsi="Times New Roman" w:cs="Times New Roman"/>
          <w:noProof/>
          <w:u w:val="single"/>
          <w:lang w:val="sr-Latn-ME"/>
        </w:rPr>
        <w:t>Tabelarni prikaz neželjenih reakcija</w:t>
      </w:r>
    </w:p>
    <w:p w:rsidR="00FF1652" w:rsidRPr="00FF1652" w:rsidRDefault="00FF1652" w:rsidP="00EF13E5">
      <w:pPr>
        <w:spacing w:after="0" w:line="240" w:lineRule="auto"/>
        <w:jc w:val="both"/>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Od pacijenata koji su učestvovali u ispitivanjima sa teriparatidom, najmanje jedan neželjeni događaj prijavilo je 82,8% pacijenata koji su primali teriparatid i 84,5% pacijenata koji su primali placebo.</w:t>
      </w:r>
    </w:p>
    <w:p w:rsidR="00FF1652" w:rsidRPr="00FF1652" w:rsidRDefault="00FF1652" w:rsidP="00EF13E5">
      <w:pPr>
        <w:spacing w:after="0" w:line="240" w:lineRule="auto"/>
        <w:jc w:val="both"/>
        <w:rPr>
          <w:rFonts w:ascii="Times New Roman" w:eastAsia="Times New Roman" w:hAnsi="Times New Roman" w:cs="Times New Roman"/>
          <w:noProof/>
          <w:lang w:val="sr-Latn-ME"/>
        </w:rPr>
      </w:pPr>
    </w:p>
    <w:p w:rsidR="00FF1652" w:rsidRPr="00FF1652" w:rsidRDefault="00FF1652" w:rsidP="00EF13E5">
      <w:pPr>
        <w:spacing w:after="0" w:line="240" w:lineRule="auto"/>
        <w:jc w:val="both"/>
        <w:rPr>
          <w:rFonts w:ascii="Times New Roman" w:eastAsia="Times New Roman" w:hAnsi="Times New Roman" w:cs="Times New Roman"/>
          <w:b/>
          <w:noProof/>
          <w:lang w:val="sr-Latn-ME"/>
        </w:rPr>
      </w:pPr>
      <w:r w:rsidRPr="00FF1652">
        <w:rPr>
          <w:rFonts w:ascii="Times New Roman" w:eastAsia="Times New Roman" w:hAnsi="Times New Roman" w:cs="Times New Roman"/>
          <w:noProof/>
          <w:lang w:val="sr-Latn-ME"/>
        </w:rPr>
        <w:t xml:space="preserve">Neželjene reakcije povezane sa primjenom teriparatida u liječenju osteoporoze u kliničkim ispitivanjima i zabilježene tokom postmarketinškog praćenja lijeka sumirane su u tabeli koja slijedi. Neželjene reakcije su klasifikovane prema učestalosti na sljedeći način: </w:t>
      </w:r>
      <w:r w:rsidRPr="00FF1652">
        <w:rPr>
          <w:rFonts w:ascii="Times New Roman" w:eastAsia="Times New Roman" w:hAnsi="Times New Roman" w:cs="Times New Roman"/>
          <w:lang w:val="sr-Latn-ME"/>
        </w:rPr>
        <w:t>veoma često (≥1/10), često (≥1/100 do &lt;1/10), povremeno (≥1/1,000 do &lt;1/100) i rijetko (≥1/10,000 do &lt;1/1,000).</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26"/>
        <w:gridCol w:w="2074"/>
        <w:gridCol w:w="1944"/>
        <w:gridCol w:w="1944"/>
      </w:tblGrid>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Klasa sistema organa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Veoma često</w:t>
            </w: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Često</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Povremeno</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Rijetko</w:t>
            </w: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krvi i limfnog sistema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Anemija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imunološkog sistema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Anafilaksa</w:t>
            </w: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metabolizma i ishrane</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Hiperholesterolemija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Hiperkalcemija veća od 2,76 mmol/L</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Hiperurikemija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Hiperkalcemija veća od 3,25 mmol/L</w:t>
            </w: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Psihijatrijski poremećaji</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Depresija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nervnog sistema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Vrtoglavica Glavobolja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Išijas</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Sinkopa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uha i labirinta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Vertigo</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 xml:space="preserve">Kardiološki poremećaji </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Palpitacije</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Tahikardija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Vaskularni poremećaji</w:t>
            </w:r>
          </w:p>
          <w:p w:rsidR="004850EF" w:rsidRPr="00FF1652" w:rsidRDefault="004850EF" w:rsidP="00EF13E5">
            <w:pPr>
              <w:spacing w:after="0" w:line="240" w:lineRule="auto"/>
              <w:rPr>
                <w:rFonts w:ascii="Times New Roman" w:eastAsia="Times New Roman" w:hAnsi="Times New Roman" w:cs="Times New Roman"/>
                <w:b/>
                <w:noProof/>
                <w:lang w:val="sr-Latn-ME"/>
              </w:rPr>
            </w:pP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Hipotenzija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lastRenderedPageBreak/>
              <w:t>Respiratorni, torakalni i medijastinalni poremećaji</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Dispneja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Emfizem</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Gastrointestinalni poremećaji</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Mučnina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Povraćanje</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Hiatus hernia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Gastroezofagealna refluksna bolest</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Hemoroidi</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kože i potkožnog tkiva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Pojačano znojenje</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mišićno-koštanog sistema i vezivnog tkiva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Bol u ekstremitetima</w:t>
            </w: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Grčevi u mišićima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Mijalgija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 xml:space="preserve"> Artralgija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 xml:space="preserve"> Grč/bol u leđima*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Poremećaji bubrega i urinarnog sistema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Urinarna inkontinencija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Poliurija</w:t>
            </w:r>
          </w:p>
          <w:p w:rsidR="00FF1652" w:rsidRPr="00FF1652" w:rsidRDefault="004850EF" w:rsidP="00EF13E5">
            <w:pPr>
              <w:spacing w:after="0" w:line="240" w:lineRule="auto"/>
              <w:rPr>
                <w:rFonts w:ascii="Times New Roman" w:eastAsia="Times New Roman" w:hAnsi="Times New Roman" w:cs="Times New Roman"/>
                <w:noProof/>
                <w:lang w:val="sr-Latn-ME"/>
              </w:rPr>
            </w:pPr>
            <w:r>
              <w:rPr>
                <w:rFonts w:ascii="Times New Roman" w:eastAsia="Times New Roman" w:hAnsi="Times New Roman" w:cs="Times New Roman"/>
                <w:noProof/>
                <w:lang w:val="sr-Latn-ME"/>
              </w:rPr>
              <w:t xml:space="preserve">Osjećaj jakog </w:t>
            </w:r>
            <w:r w:rsidR="00FF1652" w:rsidRPr="00FF1652">
              <w:rPr>
                <w:rFonts w:ascii="Times New Roman" w:eastAsia="Times New Roman" w:hAnsi="Times New Roman" w:cs="Times New Roman"/>
                <w:noProof/>
                <w:lang w:val="sr-Latn-ME"/>
              </w:rPr>
              <w:t>nagona za mokrenjem</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Nefrolitijaza</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Bubrežna insuficijencija/ oštećenje funkcije bubrega</w:t>
            </w: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Opšti poremećaji i reakcije na mjestu primjene</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Umor</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Bol u grudima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Astenija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Blage i prolazne reakcije na mjestu primjene, uključujuči bol, otok, eritem, lokalizovane modrice, svrab i blago krvarenje na mjestu primjene</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Eritem na mjestu primjene</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Reakcija na mjestu injekcije</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Moguće alergijske reakcije neposredno nakon primjene injekcije: akutna dispneja, oro/facijalni edem, generalizovana urtikarija, bol u grudima, edem (uglavnom periferni)</w:t>
            </w:r>
          </w:p>
        </w:tc>
      </w:tr>
      <w:tr w:rsidR="00FF1652" w:rsidRPr="00FF1652" w:rsidTr="004850EF">
        <w:trPr>
          <w:jc w:val="center"/>
        </w:trPr>
        <w:tc>
          <w:tcPr>
            <w:tcW w:w="1967" w:type="dxa"/>
            <w:shd w:val="clear" w:color="auto" w:fill="auto"/>
          </w:tcPr>
          <w:p w:rsidR="00FF1652" w:rsidRPr="00FF1652" w:rsidRDefault="00FF1652" w:rsidP="00EF13E5">
            <w:pPr>
              <w:spacing w:after="0" w:line="240" w:lineRule="auto"/>
              <w:rPr>
                <w:rFonts w:ascii="Times New Roman" w:eastAsia="Times New Roman" w:hAnsi="Times New Roman" w:cs="Times New Roman"/>
                <w:b/>
                <w:noProof/>
                <w:lang w:val="sr-Latn-ME"/>
              </w:rPr>
            </w:pPr>
            <w:r w:rsidRPr="00FF1652">
              <w:rPr>
                <w:rFonts w:ascii="Times New Roman" w:eastAsia="Times New Roman" w:hAnsi="Times New Roman" w:cs="Times New Roman"/>
                <w:b/>
                <w:noProof/>
                <w:lang w:val="sr-Latn-ME"/>
              </w:rPr>
              <w:t>Ispitivanja</w:t>
            </w:r>
          </w:p>
        </w:tc>
        <w:tc>
          <w:tcPr>
            <w:tcW w:w="1926"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u w:val="single"/>
                <w:lang w:val="sr-Latn-ME"/>
              </w:rPr>
            </w:pPr>
          </w:p>
        </w:tc>
        <w:tc>
          <w:tcPr>
            <w:tcW w:w="207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u w:val="single"/>
                <w:lang w:val="sr-Latn-ME"/>
              </w:rPr>
            </w:pP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Povećanje tjelesne težine</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Šum na srcu</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Povišena</w:t>
            </w:r>
          </w:p>
          <w:p w:rsidR="00FF1652" w:rsidRPr="00FF1652" w:rsidRDefault="00FF1652" w:rsidP="00EF13E5">
            <w:pPr>
              <w:spacing w:after="0" w:line="240" w:lineRule="auto"/>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vrijednost alkalne fosfataze</w:t>
            </w:r>
          </w:p>
        </w:tc>
        <w:tc>
          <w:tcPr>
            <w:tcW w:w="1944" w:type="dxa"/>
            <w:shd w:val="clear" w:color="auto" w:fill="auto"/>
          </w:tcPr>
          <w:p w:rsidR="00FF1652" w:rsidRPr="00FF1652" w:rsidRDefault="00FF1652" w:rsidP="00EF13E5">
            <w:pPr>
              <w:spacing w:after="0" w:line="240" w:lineRule="auto"/>
              <w:rPr>
                <w:rFonts w:ascii="Times New Roman" w:eastAsia="Times New Roman" w:hAnsi="Times New Roman" w:cs="Times New Roman"/>
                <w:noProof/>
                <w:lang w:val="sr-Latn-ME"/>
              </w:rPr>
            </w:pPr>
          </w:p>
        </w:tc>
      </w:tr>
    </w:tbl>
    <w:p w:rsidR="00FF1652" w:rsidRPr="00FF1652" w:rsidRDefault="00FF1652" w:rsidP="00EF13E5">
      <w:pPr>
        <w:spacing w:after="0" w:line="240" w:lineRule="auto"/>
        <w:jc w:val="both"/>
        <w:rPr>
          <w:rFonts w:ascii="Times New Roman" w:eastAsia="Times New Roman" w:hAnsi="Times New Roman" w:cs="Times New Roman"/>
          <w:noProof/>
          <w:lang w:val="sr-Latn-ME"/>
        </w:rPr>
      </w:pPr>
      <w:r w:rsidRPr="00FF1652">
        <w:rPr>
          <w:rFonts w:ascii="Times New Roman" w:eastAsia="Times New Roman" w:hAnsi="Times New Roman" w:cs="Times New Roman"/>
          <w:noProof/>
          <w:lang w:val="sr-Latn-ME"/>
        </w:rPr>
        <w:t>*Zabilježeni su ozbiljni slučajevi grčeva ili bola u leđima u roku od nekoliko minuta nakon primjene injekcije.</w:t>
      </w:r>
    </w:p>
    <w:p w:rsidR="00FF1652" w:rsidRPr="00FF1652" w:rsidRDefault="00FF1652" w:rsidP="00EF13E5">
      <w:pPr>
        <w:spacing w:after="0" w:line="240" w:lineRule="auto"/>
        <w:jc w:val="both"/>
        <w:rPr>
          <w:rFonts w:ascii="Times New Roman" w:eastAsia="Times New Roman" w:hAnsi="Times New Roman" w:cs="Times New Roman"/>
          <w:noProof/>
          <w:lang w:val="sr-Latn-ME"/>
        </w:rPr>
      </w:pPr>
    </w:p>
    <w:p w:rsidR="00FF1652" w:rsidRPr="00FF1652" w:rsidRDefault="00FF1652" w:rsidP="00EF13E5">
      <w:pPr>
        <w:spacing w:after="0" w:line="240" w:lineRule="auto"/>
        <w:jc w:val="both"/>
        <w:rPr>
          <w:rFonts w:ascii="Times New Roman" w:eastAsia="Times New Roman" w:hAnsi="Times New Roman" w:cs="Times New Roman"/>
          <w:noProof/>
          <w:u w:val="single"/>
          <w:lang w:val="sr-Latn-ME"/>
        </w:rPr>
      </w:pPr>
      <w:r w:rsidRPr="00FF1652">
        <w:rPr>
          <w:rFonts w:ascii="Times New Roman" w:eastAsia="Times New Roman" w:hAnsi="Times New Roman" w:cs="Times New Roman"/>
          <w:noProof/>
          <w:u w:val="single"/>
          <w:lang w:val="sr-Latn-ME"/>
        </w:rPr>
        <w:t>Opis odabranih neželjenih reakcija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noProof/>
          <w:lang w:val="sr-Latn-ME"/>
        </w:rPr>
        <w:t xml:space="preserve">U kliničkim ispitivanjima prijavljene su sljedeće neželjene reakcije sa </w:t>
      </w:r>
      <w:r w:rsidRPr="00FF1652">
        <w:rPr>
          <w:rFonts w:ascii="Times New Roman" w:eastAsia="Times New Roman" w:hAnsi="Times New Roman" w:cs="Times New Roman"/>
          <w:lang w:val="sr-Latn-ME"/>
        </w:rPr>
        <w:t>≥1% razlike u učestalosti u odnosu na placebo: vertigo, mučnina, bol u ekstremitetima, vrtoglavica, depresija, dispneja.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lastRenderedPageBreak/>
        <w:t>Teriparatid povećava koncentraciju mokraćne kiseline u serumu. U kliničkim ispitivanjima, koncentracija mokraćne kiseline u serumu bila je iznad gornje granice normalnih vrijednosti kod 2,8% pacijenata koji su primali teriparatid, za razliku od 0,7% pacijenata koji su primali placebo. Ipak, hiperurikemija nije imala za posljedicu povećanje učestalosti pojave gihta, artralgije ili urolitijaze.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noProof/>
          <w:lang w:val="sr-Latn-ME"/>
        </w:rPr>
      </w:pPr>
      <w:r w:rsidRPr="00FF1652">
        <w:rPr>
          <w:rFonts w:ascii="Times New Roman" w:eastAsia="Times New Roman" w:hAnsi="Times New Roman" w:cs="Times New Roman"/>
          <w:lang w:val="sr-Latn-ME"/>
        </w:rPr>
        <w:t xml:space="preserve">U velikom kliničkom ispitivanju, detektovana su antitijela koja su ukršteno reagovala sa teriparatidom kod 2,8% žena koje su primale teriparatid. Po pravilu, antitijela su prvi put detektovana nakon 12 mjeseci terapije, a njihov nivo se smanjio nakon prekida terapije. Nije bilo znakova reakcija preosjetljivosti, alergijskih reakcija, uticaja na nivo kalcijuma u serumu, kao ni uticaja na terapijski odgovor praćen mineralnom gustinom kostiju (engl. </w:t>
      </w:r>
      <w:r w:rsidRPr="00FF1652">
        <w:rPr>
          <w:rFonts w:ascii="Times New Roman" w:eastAsia="Times New Roman" w:hAnsi="Times New Roman" w:cs="Times New Roman"/>
          <w:i/>
          <w:lang w:val="sr-Latn-ME"/>
        </w:rPr>
        <w:t xml:space="preserve">Bone Mineral Density, </w:t>
      </w:r>
      <w:r w:rsidRPr="00FF1652">
        <w:rPr>
          <w:rFonts w:ascii="Times New Roman" w:eastAsia="Times New Roman" w:hAnsi="Times New Roman" w:cs="Times New Roman"/>
          <w:lang w:val="sr-Latn-ME"/>
        </w:rPr>
        <w:t>BMD).</w:t>
      </w:r>
    </w:p>
    <w:p w:rsidR="00FF1652" w:rsidRPr="00FF1652" w:rsidRDefault="00FF1652" w:rsidP="00EF13E5">
      <w:pPr>
        <w:spacing w:after="0" w:line="240" w:lineRule="auto"/>
        <w:jc w:val="both"/>
        <w:rPr>
          <w:rFonts w:ascii="Times New Roman" w:eastAsia="Times New Roman" w:hAnsi="Times New Roman" w:cs="Times New Roman"/>
          <w:noProof/>
          <w:lang w:val="sr-Latn-ME"/>
        </w:rPr>
      </w:pPr>
    </w:p>
    <w:p w:rsidR="00FF1652" w:rsidRPr="00FF1652" w:rsidRDefault="00FF1652" w:rsidP="00EF13E5">
      <w:pPr>
        <w:spacing w:after="0" w:line="240" w:lineRule="auto"/>
        <w:rPr>
          <w:rFonts w:ascii="Times New Roman" w:eastAsia="Calibri" w:hAnsi="Times New Roman" w:cs="Times New Roman"/>
          <w:u w:val="single"/>
          <w:lang w:val="sr-Latn-ME"/>
        </w:rPr>
      </w:pPr>
      <w:r w:rsidRPr="00FF1652">
        <w:rPr>
          <w:rFonts w:ascii="Times New Roman" w:eastAsia="Calibri" w:hAnsi="Times New Roman" w:cs="Times New Roman"/>
          <w:u w:val="single"/>
          <w:lang w:val="sr-Latn-ME"/>
        </w:rPr>
        <w:t>Prijavljivanje sumnji na neželjena dejstva</w:t>
      </w:r>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Agencija za ljekove i medicinska sredstva Crne Gore</w:t>
      </w:r>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Odjeljenje za farmakovigilancu</w:t>
      </w:r>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Bulevar Ivana Crnojevića 64a, 81000 Podgorica</w:t>
      </w:r>
    </w:p>
    <w:p w:rsidR="00FF1652" w:rsidRPr="00FF1652" w:rsidRDefault="00FF1652" w:rsidP="00EF13E5">
      <w:pPr>
        <w:spacing w:after="0" w:line="240" w:lineRule="auto"/>
        <w:rPr>
          <w:rFonts w:ascii="Times New Roman" w:eastAsia="Calibri" w:hAnsi="Times New Roman" w:cs="Times New Roman"/>
          <w:lang w:val="sr-Latn-ME"/>
        </w:rPr>
      </w:pPr>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tel: +382 (0) 20 310 280</w:t>
      </w:r>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fax: +382 (0) 20 310 581</w:t>
      </w:r>
    </w:p>
    <w:p w:rsidR="00FF1652" w:rsidRPr="00FF1652" w:rsidRDefault="00AE7C92" w:rsidP="00EF13E5">
      <w:pPr>
        <w:spacing w:after="0" w:line="240" w:lineRule="auto"/>
        <w:jc w:val="both"/>
        <w:rPr>
          <w:rFonts w:ascii="Times New Roman" w:eastAsia="Calibri" w:hAnsi="Times New Roman" w:cs="Times New Roman"/>
          <w:lang w:val="sr-Latn-ME"/>
        </w:rPr>
      </w:pPr>
      <w:hyperlink r:id="rId10" w:history="1">
        <w:r w:rsidR="00FF1652" w:rsidRPr="00FF1652">
          <w:rPr>
            <w:rFonts w:ascii="Times New Roman" w:eastAsia="Calibri" w:hAnsi="Times New Roman" w:cs="Times New Roman"/>
            <w:color w:val="0000FF"/>
            <w:u w:val="single"/>
            <w:lang w:val="sr-Latn-ME"/>
          </w:rPr>
          <w:t>www.calims.me</w:t>
        </w:r>
      </w:hyperlink>
    </w:p>
    <w:p w:rsidR="00FF1652" w:rsidRPr="00FF1652" w:rsidRDefault="00AE7C92" w:rsidP="00EF13E5">
      <w:pPr>
        <w:spacing w:after="0" w:line="240" w:lineRule="auto"/>
        <w:jc w:val="both"/>
        <w:rPr>
          <w:rFonts w:ascii="Times New Roman" w:eastAsia="Calibri" w:hAnsi="Times New Roman" w:cs="Times New Roman"/>
          <w:color w:val="0000FF"/>
          <w:u w:val="single"/>
          <w:lang w:val="sr-Latn-ME"/>
        </w:rPr>
      </w:pPr>
      <w:hyperlink r:id="rId11" w:history="1">
        <w:r w:rsidR="00FF1652" w:rsidRPr="00FF1652">
          <w:rPr>
            <w:rFonts w:ascii="Times New Roman" w:eastAsia="Calibri" w:hAnsi="Times New Roman" w:cs="Times New Roman"/>
            <w:color w:val="0000FF"/>
            <w:u w:val="single"/>
            <w:lang w:val="sr-Latn-ME"/>
          </w:rPr>
          <w:t>nezeljenadejstva@calims.me</w:t>
        </w:r>
      </w:hyperlink>
    </w:p>
    <w:p w:rsidR="00FF1652" w:rsidRPr="00FF1652" w:rsidRDefault="00FF1652" w:rsidP="00EF13E5">
      <w:pPr>
        <w:spacing w:after="0" w:line="240" w:lineRule="auto"/>
        <w:jc w:val="both"/>
        <w:rPr>
          <w:rFonts w:ascii="Times New Roman" w:eastAsia="Calibri" w:hAnsi="Times New Roman" w:cs="Times New Roman"/>
          <w:lang w:val="sr-Latn-ME"/>
        </w:rPr>
      </w:pPr>
      <w:r w:rsidRPr="00FF1652">
        <w:rPr>
          <w:rFonts w:ascii="Times New Roman" w:eastAsia="Calibri" w:hAnsi="Times New Roman" w:cs="Times New Roman"/>
          <w:lang w:val="sr-Latn-ME"/>
        </w:rPr>
        <w:t>putem IS zdravstvene zaštite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4.9. </w:t>
      </w:r>
      <w:r w:rsidRPr="00FF1652">
        <w:rPr>
          <w:rFonts w:ascii="Times New Roman" w:eastAsia="Times New Roman" w:hAnsi="Times New Roman" w:cs="Times New Roman"/>
          <w:b/>
          <w:bCs/>
          <w:lang w:val="sr-Latn-ME"/>
        </w:rPr>
        <w:tab/>
        <w:t xml:space="preserve">Predoziranje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Znaci i simptomi</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Teriparatid je primjenjivan u pojedinačnim dozama do 100 mikrograma i u ponovljenim dozama do 60 mikrograma na dan tokom 6 nedjelja.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Efekti predoziranja koji se mogu očekivati uključuju odloženu hiperkalcijemuju i rizik od ortostatske hipotenzije. Takođe se mogu javiti mučnina, povraćanje, vrtoglavica i glavobolja.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Iskustva sa predoziranjem iz postmarketinških spontanih prijava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U spontanim prijavama nakon stavljanja lijeka u promet navode se slučajevi grešaka u primjeni lijeka, kada je cjelokupan sadržaj (do 800 mikrograma) pena s teriparatidom bio primijenjen u jednoj dozi. </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Prolazni događaji koji su prijavljeni uključivali su mučninu, slabost/letargiju i hipotenziju. U nekim slučajevima nije došlo do pojave neželjenih događaja kao posljedice predoziranja. Nijesu zabilježeni smrtni slučajevi povezani sa predoziranjem.</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Terapija predoziranja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Ne postoji specifični antidot za teriparatid. Terapija suspektnog predoziranja treba da obuhvati privremeni prekid primjene teriparatida, praćenje nivoa kalcijuma u serumu i uvođenje odgovarajućih suportivnih mjera, kao što je hidratacija.</w:t>
      </w:r>
    </w:p>
    <w:p w:rsid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4850EF" w:rsidRDefault="004850EF" w:rsidP="00EF13E5">
      <w:pPr>
        <w:tabs>
          <w:tab w:val="left" w:pos="540"/>
          <w:tab w:val="left" w:pos="569"/>
        </w:tabs>
        <w:spacing w:after="0" w:line="240" w:lineRule="auto"/>
        <w:rPr>
          <w:rFonts w:ascii="Times New Roman" w:eastAsia="Times New Roman" w:hAnsi="Times New Roman" w:cs="Times New Roman"/>
          <w:b/>
          <w:bCs/>
          <w:lang w:val="sr-Latn-ME"/>
        </w:rPr>
      </w:pPr>
    </w:p>
    <w:p w:rsidR="004850EF" w:rsidRPr="00FF1652" w:rsidRDefault="004850EF"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lastRenderedPageBreak/>
        <w:t xml:space="preserve">5. </w:t>
      </w:r>
      <w:r w:rsidRPr="00FF1652">
        <w:rPr>
          <w:rFonts w:ascii="Times New Roman" w:eastAsia="Times New Roman" w:hAnsi="Times New Roman" w:cs="Times New Roman"/>
          <w:b/>
          <w:bCs/>
          <w:lang w:val="sr-Latn-ME"/>
        </w:rPr>
        <w:tab/>
        <w:t>FARMAKOLOŠKI PODACI</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5.1. </w:t>
      </w:r>
      <w:r w:rsidRPr="00FF1652">
        <w:rPr>
          <w:rFonts w:ascii="Times New Roman" w:eastAsia="Times New Roman" w:hAnsi="Times New Roman" w:cs="Times New Roman"/>
          <w:b/>
          <w:bCs/>
          <w:lang w:val="sr-Latn-ME"/>
        </w:rPr>
        <w:tab/>
        <w:t xml:space="preserve">Farmakodinamski podaci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Farmakoterapijska grupa: Homeostaza kalcijuma, paratiroidni hormoni i analozi</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ATC kod: H05AA02</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Lijek Terrosa je biološki sličan lijek. Detaljnije informacije su dostupne na internet stranici Evropske agencije za ljekove: http://www.ema.europa.eu.</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Mehanizam dejstva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Endogeni paratiroidni hormon (PTH) koji se sastoji od 84 aminokiseline primarni je regulator metabolizma kalcijuma i fosfata u kostima i bubrezima. Teriparatid (rhPTH(1-34)) je aktivni fragment (1-34) endogenog humanog paratiroidnog hormona. Fiziološko dejstvo PTH uključuje stimulaciju stvaranja kostne mase direktnim dejstvom na ćelije koje stvaraju kost (osteoblaste), indirektnim povećanjem intestinalne resorpcije kalcijuma i povećanjem tubularne reapsorpcije kalcijuma i izlučivanja fosfata putem bubrega.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Farmakodinamsko dejstvo</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Teriparatid je lijek za liječenje osteoporoze koji stimuliše stvaranje kostiju. Dejstvo teriparatida na kostni sistem zavisi od obrasca sistemske izloženosti. Primjena teriparatida jednom dnevno povećava apoziciju nove kostne mase na trabekularnim i kortikalnim kostnim površinama, tako što jače stimuliše aktivnost osteoblasta u odnosu na aktivnost osteoklasta.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Klinička efikasnost</w:t>
      </w:r>
    </w:p>
    <w:p w:rsidR="00FF1652" w:rsidRPr="00FF1652" w:rsidRDefault="00FF1652" w:rsidP="00EF13E5">
      <w:pPr>
        <w:spacing w:after="0" w:line="240" w:lineRule="auto"/>
        <w:jc w:val="both"/>
        <w:rPr>
          <w:rFonts w:ascii="Times New Roman" w:eastAsia="Times New Roman" w:hAnsi="Times New Roman" w:cs="Times New Roman"/>
          <w:i/>
          <w:lang w:val="sr-Latn-ME"/>
        </w:rPr>
      </w:pPr>
    </w:p>
    <w:p w:rsidR="00FF1652" w:rsidRPr="00FF1652" w:rsidRDefault="00FF1652" w:rsidP="00EF13E5">
      <w:pPr>
        <w:spacing w:after="0" w:line="240" w:lineRule="auto"/>
        <w:jc w:val="both"/>
        <w:rPr>
          <w:rFonts w:ascii="Times New Roman" w:eastAsia="Times New Roman" w:hAnsi="Times New Roman" w:cs="Times New Roman"/>
          <w:i/>
          <w:lang w:val="sr-Latn-ME"/>
        </w:rPr>
      </w:pPr>
      <w:r w:rsidRPr="00FF1652">
        <w:rPr>
          <w:rFonts w:ascii="Times New Roman" w:eastAsia="Times New Roman" w:hAnsi="Times New Roman" w:cs="Times New Roman"/>
          <w:i/>
          <w:lang w:val="sr-Latn-ME"/>
        </w:rPr>
        <w:t>Faktori rizika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Treba uzeti u obzir nezavisne faktore rizika, na primjer malu gustinu kostne mase (nizak BMD), starost, prisustvo prethodnih preloma, porodičnu anamnezu preloma kuka, pojačan kostni obrt i nizak indeks tjelesne mase, kako bi se identifikovale žene i muškarci sa povećanim rizikom za prelom usljed osteoporoze koji bi mogli imati korist od terapije.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color w:val="FF0000"/>
          <w:lang w:val="sr-Latn-ME"/>
        </w:rPr>
      </w:pPr>
      <w:r w:rsidRPr="00FF1652">
        <w:rPr>
          <w:rFonts w:ascii="Times New Roman" w:eastAsia="Times New Roman" w:hAnsi="Times New Roman" w:cs="Times New Roman"/>
          <w:lang w:val="sr-Latn-ME"/>
        </w:rPr>
        <w:t>Treba smatrati da žene u premenopauzi oboljele od osteoporoze izazvane glukokortikoidima imaju visok rizik za prelome ukoliko imaju prevalentnu frakturu ili imaju kombinaciju faktora rizika zbog kojih su u visokom riziku od preloma (npr. mala kostna gustina [npr. T-skor ≤−2], dugotrajna terapija visokim dozama glukokortikoida [npr. ≥7,5 mg/dan najmanje 6 mjeseci], visoka aktivnost osnovne bolesti, nizak nivo polnih steroidnih hormona).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i/>
          <w:lang w:val="sr-Latn-ME"/>
        </w:rPr>
      </w:pPr>
      <w:r w:rsidRPr="00FF1652">
        <w:rPr>
          <w:rFonts w:ascii="Times New Roman" w:eastAsia="Times New Roman" w:hAnsi="Times New Roman" w:cs="Times New Roman"/>
          <w:i/>
          <w:lang w:val="sr-Latn-ME"/>
        </w:rPr>
        <w:t>Osteoporoza u postmenopauzi</w:t>
      </w:r>
    </w:p>
    <w:p w:rsid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Pivotalna studija je uključila 1637 žena u postmenopauzi (prosječne starosti 69,5 godina). Na početku studije, 90% pacijentkinja je imalo jedan ili više vertebralnih preloma, i u prosjeku, vertebralna BMD je bila 0,82 g/cm</w:t>
      </w:r>
      <w:r w:rsidRPr="00FF1652">
        <w:rPr>
          <w:rFonts w:ascii="Times New Roman" w:eastAsia="Times New Roman" w:hAnsi="Times New Roman" w:cs="Times New Roman"/>
          <w:vertAlign w:val="superscript"/>
          <w:lang w:val="sr-Latn-ME"/>
        </w:rPr>
        <w:t xml:space="preserve">2 </w:t>
      </w:r>
      <w:r w:rsidRPr="00FF1652">
        <w:rPr>
          <w:rFonts w:ascii="Times New Roman" w:eastAsia="Times New Roman" w:hAnsi="Times New Roman" w:cs="Times New Roman"/>
          <w:lang w:val="sr-Latn-ME"/>
        </w:rPr>
        <w:t>(ekvivalentno T-skoru = -2,6). Sve pacijentkinje su dnevno primale 1000 mg kalcijuma i najmanje 400 i.j. vitamina D. Rezultati terapije teriparatidom u trajanju do 24 mjeseca (medijana: 19 mjeseci) pokazali su statistički značajno smanjenje broja preloma (Tabela 1). Da bi se spriječio jedan ili više novih vertebralnih preloma, 11 žena se moralo liječiti tokom medijane trajanja terapije od 19 mjeseci.</w:t>
      </w:r>
    </w:p>
    <w:p w:rsidR="004850EF" w:rsidRDefault="004850EF" w:rsidP="00EF13E5">
      <w:pPr>
        <w:spacing w:after="0" w:line="240" w:lineRule="auto"/>
        <w:jc w:val="both"/>
        <w:rPr>
          <w:rFonts w:ascii="Times New Roman" w:eastAsia="Times New Roman" w:hAnsi="Times New Roman" w:cs="Times New Roman"/>
          <w:lang w:val="sr-Latn-ME"/>
        </w:rPr>
      </w:pPr>
    </w:p>
    <w:p w:rsidR="004850EF" w:rsidRPr="00FF1652" w:rsidRDefault="004850EF" w:rsidP="00EF13E5">
      <w:pPr>
        <w:spacing w:after="0" w:line="240" w:lineRule="auto"/>
        <w:jc w:val="both"/>
        <w:rPr>
          <w:rFonts w:ascii="Times New Roman" w:eastAsia="Times New Roman" w:hAnsi="Times New Roman" w:cs="Times New Roman"/>
          <w:lang w:val="sr-Latn-ME"/>
        </w:rPr>
      </w:pPr>
    </w:p>
    <w:p w:rsidR="004850EF" w:rsidRDefault="00FF1652" w:rsidP="00EF13E5">
      <w:pPr>
        <w:spacing w:after="0" w:line="240" w:lineRule="auto"/>
        <w:rPr>
          <w:rFonts w:ascii="Times New Roman" w:eastAsia="Times New Roman" w:hAnsi="Times New Roman" w:cs="Times New Roman"/>
          <w:b/>
          <w:lang w:val="sr-Latn-ME"/>
        </w:rPr>
      </w:pPr>
      <w:r w:rsidRPr="00FF1652">
        <w:rPr>
          <w:rFonts w:ascii="Times New Roman" w:eastAsia="Times New Roman" w:hAnsi="Times New Roman" w:cs="Times New Roman"/>
          <w:b/>
          <w:lang w:val="sr-Latn-ME"/>
        </w:rPr>
        <w:lastRenderedPageBreak/>
        <w:t>Tabela 1</w:t>
      </w:r>
    </w:p>
    <w:p w:rsidR="004850EF" w:rsidRPr="00FF1652" w:rsidRDefault="004850EF" w:rsidP="00EF13E5">
      <w:pPr>
        <w:spacing w:after="0" w:line="240" w:lineRule="auto"/>
        <w:rPr>
          <w:rFonts w:ascii="Times New Roman" w:eastAsia="Times New Roman" w:hAnsi="Times New Roman" w:cs="Times New Roman"/>
          <w:b/>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937"/>
        <w:gridCol w:w="1850"/>
        <w:gridCol w:w="2404"/>
      </w:tblGrid>
      <w:tr w:rsidR="00FF1652" w:rsidRPr="00FF1652" w:rsidTr="004850EF">
        <w:trPr>
          <w:jc w:val="center"/>
        </w:trPr>
        <w:tc>
          <w:tcPr>
            <w:tcW w:w="5000" w:type="pct"/>
            <w:gridSpan w:val="4"/>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Incidenca fraktura kod žena u postmenopauzi</w:t>
            </w:r>
          </w:p>
          <w:p w:rsidR="00FF1652" w:rsidRPr="00FF1652" w:rsidRDefault="00FF1652" w:rsidP="00EF13E5">
            <w:pPr>
              <w:spacing w:after="0" w:line="240" w:lineRule="auto"/>
              <w:jc w:val="center"/>
              <w:rPr>
                <w:rFonts w:ascii="Times New Roman" w:eastAsia="Times New Roman" w:hAnsi="Times New Roman" w:cs="Times New Roman"/>
                <w:lang w:val="sr-Latn-ME"/>
              </w:rPr>
            </w:pPr>
          </w:p>
        </w:tc>
      </w:tr>
      <w:tr w:rsidR="00FF1652" w:rsidRPr="00FF1652" w:rsidTr="004850EF">
        <w:trPr>
          <w:jc w:val="center"/>
        </w:trPr>
        <w:tc>
          <w:tcPr>
            <w:tcW w:w="1781" w:type="pct"/>
            <w:shd w:val="clear" w:color="auto" w:fill="auto"/>
          </w:tcPr>
          <w:p w:rsidR="00FF1652" w:rsidRPr="00FF1652" w:rsidRDefault="00FF1652" w:rsidP="00EF13E5">
            <w:pPr>
              <w:spacing w:after="0" w:line="240" w:lineRule="auto"/>
              <w:rPr>
                <w:rFonts w:ascii="Times New Roman" w:eastAsia="Times New Roman" w:hAnsi="Times New Roman" w:cs="Times New Roman"/>
                <w:lang w:val="sr-Latn-ME"/>
              </w:rPr>
            </w:pPr>
          </w:p>
        </w:tc>
        <w:tc>
          <w:tcPr>
            <w:tcW w:w="1007"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Placebo</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(N=544) (%)</w:t>
            </w:r>
          </w:p>
        </w:tc>
        <w:tc>
          <w:tcPr>
            <w:tcW w:w="962"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Teriparatid </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(N=541) (%)</w:t>
            </w:r>
          </w:p>
        </w:tc>
        <w:tc>
          <w:tcPr>
            <w:tcW w:w="1250"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Relativni rizik (95% CI)</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u odnosu na placebo</w:t>
            </w:r>
          </w:p>
        </w:tc>
      </w:tr>
      <w:tr w:rsidR="00FF1652" w:rsidRPr="00FF1652" w:rsidTr="004850EF">
        <w:trPr>
          <w:jc w:val="center"/>
        </w:trPr>
        <w:tc>
          <w:tcPr>
            <w:tcW w:w="1781" w:type="pct"/>
            <w:shd w:val="clear" w:color="auto" w:fill="auto"/>
          </w:tcPr>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Novi vertebralni prelom (≥1) </w:t>
            </w:r>
            <w:r w:rsidRPr="00FF1652">
              <w:rPr>
                <w:rFonts w:ascii="Times New Roman" w:eastAsia="Times New Roman" w:hAnsi="Times New Roman" w:cs="Times New Roman"/>
                <w:vertAlign w:val="superscript"/>
                <w:lang w:val="sr-Latn-ME"/>
              </w:rPr>
              <w:t>a</w:t>
            </w:r>
          </w:p>
        </w:tc>
        <w:tc>
          <w:tcPr>
            <w:tcW w:w="1007"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14,3</w:t>
            </w:r>
          </w:p>
        </w:tc>
        <w:tc>
          <w:tcPr>
            <w:tcW w:w="962"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5,0 </w:t>
            </w:r>
            <w:r w:rsidRPr="00FF1652">
              <w:rPr>
                <w:rFonts w:ascii="Times New Roman" w:eastAsia="Times New Roman" w:hAnsi="Times New Roman" w:cs="Times New Roman"/>
                <w:vertAlign w:val="superscript"/>
                <w:lang w:val="sr-Latn-ME"/>
              </w:rPr>
              <w:t>b</w:t>
            </w:r>
          </w:p>
        </w:tc>
        <w:tc>
          <w:tcPr>
            <w:tcW w:w="1250"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0,35 </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(0,22; 0,55)</w:t>
            </w:r>
          </w:p>
        </w:tc>
      </w:tr>
      <w:tr w:rsidR="00FF1652" w:rsidRPr="00FF1652" w:rsidTr="004850EF">
        <w:trPr>
          <w:jc w:val="center"/>
        </w:trPr>
        <w:tc>
          <w:tcPr>
            <w:tcW w:w="1781" w:type="pct"/>
            <w:shd w:val="clear" w:color="auto" w:fill="auto"/>
          </w:tcPr>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Višestruki vertebralni prelomi (≥2) </w:t>
            </w:r>
            <w:r w:rsidRPr="00FF1652">
              <w:rPr>
                <w:rFonts w:ascii="Times New Roman" w:eastAsia="Times New Roman" w:hAnsi="Times New Roman" w:cs="Times New Roman"/>
                <w:vertAlign w:val="superscript"/>
                <w:lang w:val="sr-Latn-ME"/>
              </w:rPr>
              <w:t>a</w:t>
            </w:r>
          </w:p>
        </w:tc>
        <w:tc>
          <w:tcPr>
            <w:tcW w:w="1007"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4,9</w:t>
            </w:r>
          </w:p>
        </w:tc>
        <w:tc>
          <w:tcPr>
            <w:tcW w:w="962"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vertAlign w:val="superscript"/>
                <w:lang w:val="sr-Latn-ME"/>
              </w:rPr>
            </w:pPr>
            <w:r w:rsidRPr="00FF1652">
              <w:rPr>
                <w:rFonts w:ascii="Times New Roman" w:eastAsia="Times New Roman" w:hAnsi="Times New Roman" w:cs="Times New Roman"/>
                <w:lang w:val="sr-Latn-ME"/>
              </w:rPr>
              <w:t xml:space="preserve">1,1 </w:t>
            </w:r>
            <w:r w:rsidRPr="00FF1652">
              <w:rPr>
                <w:rFonts w:ascii="Times New Roman" w:eastAsia="Times New Roman" w:hAnsi="Times New Roman" w:cs="Times New Roman"/>
                <w:vertAlign w:val="superscript"/>
                <w:lang w:val="sr-Latn-ME"/>
              </w:rPr>
              <w:t>b</w:t>
            </w:r>
          </w:p>
        </w:tc>
        <w:tc>
          <w:tcPr>
            <w:tcW w:w="1250"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0,23</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(0,09; 0,60)</w:t>
            </w:r>
          </w:p>
        </w:tc>
      </w:tr>
      <w:tr w:rsidR="00FF1652" w:rsidRPr="00FF1652" w:rsidTr="004850EF">
        <w:trPr>
          <w:jc w:val="center"/>
        </w:trPr>
        <w:tc>
          <w:tcPr>
            <w:tcW w:w="1781" w:type="pct"/>
            <w:shd w:val="clear" w:color="auto" w:fill="auto"/>
          </w:tcPr>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Nevertebralni prelomi usljed fragilnosti </w:t>
            </w:r>
            <w:r w:rsidRPr="00FF1652">
              <w:rPr>
                <w:rFonts w:ascii="Times New Roman" w:eastAsia="Times New Roman" w:hAnsi="Times New Roman" w:cs="Times New Roman"/>
                <w:vertAlign w:val="superscript"/>
                <w:lang w:val="sr-Latn-ME"/>
              </w:rPr>
              <w:t>c</w:t>
            </w:r>
          </w:p>
        </w:tc>
        <w:tc>
          <w:tcPr>
            <w:tcW w:w="1007"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5,5</w:t>
            </w:r>
          </w:p>
        </w:tc>
        <w:tc>
          <w:tcPr>
            <w:tcW w:w="962"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2,6 </w:t>
            </w:r>
            <w:r w:rsidRPr="00FF1652">
              <w:rPr>
                <w:rFonts w:ascii="Times New Roman" w:eastAsia="Times New Roman" w:hAnsi="Times New Roman" w:cs="Times New Roman"/>
                <w:vertAlign w:val="superscript"/>
                <w:lang w:val="sr-Latn-ME"/>
              </w:rPr>
              <w:t>d</w:t>
            </w:r>
          </w:p>
        </w:tc>
        <w:tc>
          <w:tcPr>
            <w:tcW w:w="1250"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0,47 </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(0,25; 0,87)</w:t>
            </w:r>
          </w:p>
        </w:tc>
      </w:tr>
      <w:tr w:rsidR="00FF1652" w:rsidRPr="00FF1652" w:rsidTr="004850EF">
        <w:trPr>
          <w:jc w:val="center"/>
        </w:trPr>
        <w:tc>
          <w:tcPr>
            <w:tcW w:w="1781" w:type="pct"/>
            <w:shd w:val="clear" w:color="auto" w:fill="auto"/>
          </w:tcPr>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Veliki nevertebralni prelomi usljed fragilnosti</w:t>
            </w:r>
            <w:r w:rsidRPr="00FF1652">
              <w:rPr>
                <w:rFonts w:ascii="Times New Roman" w:eastAsia="Times New Roman" w:hAnsi="Times New Roman" w:cs="Times New Roman"/>
                <w:vertAlign w:val="superscript"/>
                <w:lang w:val="sr-Latn-ME"/>
              </w:rPr>
              <w:t xml:space="preserve">c </w:t>
            </w:r>
            <w:r w:rsidRPr="00FF1652">
              <w:rPr>
                <w:rFonts w:ascii="Times New Roman" w:eastAsia="Times New Roman" w:hAnsi="Times New Roman" w:cs="Times New Roman"/>
                <w:lang w:val="sr-Latn-ME"/>
              </w:rPr>
              <w:t>(kuk, žbica tj. radijus, ramena kost tj. humerus, rebra i karlica)</w:t>
            </w:r>
            <w:r w:rsidRPr="00FF1652">
              <w:rPr>
                <w:rFonts w:ascii="Times New Roman" w:eastAsia="Times New Roman" w:hAnsi="Times New Roman" w:cs="Times New Roman"/>
                <w:vertAlign w:val="superscript"/>
                <w:lang w:val="sr-Latn-ME"/>
              </w:rPr>
              <w:t xml:space="preserve"> </w:t>
            </w:r>
          </w:p>
        </w:tc>
        <w:tc>
          <w:tcPr>
            <w:tcW w:w="1007"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3,9</w:t>
            </w:r>
          </w:p>
        </w:tc>
        <w:tc>
          <w:tcPr>
            <w:tcW w:w="962"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1,5 </w:t>
            </w:r>
            <w:r w:rsidRPr="00FF1652">
              <w:rPr>
                <w:rFonts w:ascii="Times New Roman" w:eastAsia="Times New Roman" w:hAnsi="Times New Roman" w:cs="Times New Roman"/>
                <w:vertAlign w:val="superscript"/>
                <w:lang w:val="sr-Latn-ME"/>
              </w:rPr>
              <w:t>d</w:t>
            </w:r>
          </w:p>
        </w:tc>
        <w:tc>
          <w:tcPr>
            <w:tcW w:w="1250" w:type="pct"/>
            <w:shd w:val="clear" w:color="auto" w:fill="auto"/>
          </w:tcPr>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0,38</w:t>
            </w:r>
          </w:p>
          <w:p w:rsidR="00FF1652" w:rsidRPr="00FF1652" w:rsidRDefault="00FF1652" w:rsidP="00EF13E5">
            <w:pPr>
              <w:spacing w:after="0" w:line="240" w:lineRule="auto"/>
              <w:jc w:val="center"/>
              <w:rPr>
                <w:rFonts w:ascii="Times New Roman" w:eastAsia="Times New Roman" w:hAnsi="Times New Roman" w:cs="Times New Roman"/>
                <w:lang w:val="sr-Latn-ME"/>
              </w:rPr>
            </w:pPr>
            <w:r w:rsidRPr="00FF1652">
              <w:rPr>
                <w:rFonts w:ascii="Times New Roman" w:eastAsia="Times New Roman" w:hAnsi="Times New Roman" w:cs="Times New Roman"/>
                <w:lang w:val="sr-Latn-ME"/>
              </w:rPr>
              <w:t>(0,17; 0,86)</w:t>
            </w:r>
          </w:p>
        </w:tc>
      </w:tr>
    </w:tbl>
    <w:p w:rsidR="004850EF" w:rsidRDefault="004850EF"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Skraćenice: N = broj pacijentkinja koje su randomizacijom raspoređene u odgovarajuću grupu; CI = interval pouzdanosti.</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vertAlign w:val="superscript"/>
          <w:lang w:val="sr-Latn-ME"/>
        </w:rPr>
        <w:t xml:space="preserve">a </w:t>
      </w:r>
      <w:r w:rsidRPr="00FF1652">
        <w:rPr>
          <w:rFonts w:ascii="Times New Roman" w:eastAsia="Times New Roman" w:hAnsi="Times New Roman" w:cs="Times New Roman"/>
          <w:lang w:val="sr-Latn-ME"/>
        </w:rPr>
        <w:t>Incidenca vertebralnih preloma procijenjena je kod 448 pacijentkinja koje su primale placebo i 444 pacijentkinje koje su primale teriparatid, kod kojih je urađen radiografski snimak kičme na početku studije i tokom kontrolnog praćenja.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vertAlign w:val="superscript"/>
          <w:lang w:val="sr-Latn-ME"/>
        </w:rPr>
        <w:t xml:space="preserve">b </w:t>
      </w:r>
      <w:r w:rsidRPr="00FF1652">
        <w:rPr>
          <w:rFonts w:ascii="Times New Roman" w:eastAsia="Times New Roman" w:hAnsi="Times New Roman" w:cs="Times New Roman"/>
          <w:lang w:val="sr-Latn-ME"/>
        </w:rPr>
        <w:t xml:space="preserve">p ≤ 0,001 u odnosu na placebo. </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vertAlign w:val="superscript"/>
          <w:lang w:val="sr-Latn-ME"/>
        </w:rPr>
        <w:t xml:space="preserve">c </w:t>
      </w:r>
      <w:r w:rsidRPr="00FF1652">
        <w:rPr>
          <w:rFonts w:ascii="Times New Roman" w:eastAsia="Times New Roman" w:hAnsi="Times New Roman" w:cs="Times New Roman"/>
          <w:lang w:val="sr-Latn-ME"/>
        </w:rPr>
        <w:t>Značajno smanjenje incidence preloma kuka nije dokazano.</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vertAlign w:val="superscript"/>
          <w:lang w:val="sr-Latn-ME"/>
        </w:rPr>
        <w:t xml:space="preserve">d </w:t>
      </w:r>
      <w:r w:rsidRPr="00FF1652">
        <w:rPr>
          <w:rFonts w:ascii="Times New Roman" w:eastAsia="Times New Roman" w:hAnsi="Times New Roman" w:cs="Times New Roman"/>
          <w:lang w:val="sr-Latn-ME"/>
        </w:rPr>
        <w:t>p ≤ 0,025 u odnosu na placebo.</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Poslije 19 mjeseci (medijana) terapije, mineralna gustina kostiju (BMD) lumbalnog dijela kičme se povećala za 9%, a cijelog kuka za 4% u poređenju sa placebom (p&lt;0,001). </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Praćenje nakon terapije: Nakon terapije teriparatidom, 1262 žene u postmenopauzi iz pivotalne studije uključene su u postterapijsku studiju praćenja. Osnovni cilj studije bio je da se prikupe podaci o bezbjednosti primjene teriparatida. Tokom ovog perioda praćenja, dozvoljeni su bili drugi vidovi terapije osteoporoze i izvršena je dodatna procjena vertebralnih preloma.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Tokom medijane praćenja od 18 mjeseci nakon prekida terapije teriparatidom, broj pacijentkinja sa najmanje jednim novim vertebralnim prelomom je bio za 41% (p=0,004) manji u poređenju sa placebom.</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U otvorenoj studiji, 503 žene u postmenopauzi sa teškom osteoporozom i prelomom usljed fragilnosti u prethodne 3 godine (od kojih je 83% prethodno primalo terapiju za osteoporozu) liječene su teriparatidom u trajanju do 24 mjeseca. Nakon 24 mjeseca, prosječno povećanje BMD lumbalnog dijela kičme bilo je 10,5%, cijelog kuka 2,6%  i vrata butne kosti 3,9%, u odnosu na početne vrijednosti. Prosječno povećanje BMD između 18. i 24. mjeseca bilo je 1,4% za lumbalni dio kičme, 1,2% za cio kuk i 1,6% za vrat butne kosti.</w:t>
      </w:r>
    </w:p>
    <w:p w:rsidR="00FF1652" w:rsidRDefault="00FF1652" w:rsidP="00EF13E5">
      <w:pPr>
        <w:spacing w:after="0" w:line="240" w:lineRule="auto"/>
        <w:jc w:val="both"/>
        <w:rPr>
          <w:rFonts w:ascii="Times New Roman" w:eastAsia="Times New Roman" w:hAnsi="Times New Roman" w:cs="Times New Roman"/>
          <w:lang w:val="sr-Latn-ME"/>
        </w:rPr>
      </w:pPr>
    </w:p>
    <w:p w:rsidR="004850EF" w:rsidRDefault="004850EF" w:rsidP="00EF13E5">
      <w:pPr>
        <w:spacing w:after="0" w:line="240" w:lineRule="auto"/>
        <w:jc w:val="both"/>
        <w:rPr>
          <w:rFonts w:ascii="Times New Roman" w:eastAsia="Times New Roman" w:hAnsi="Times New Roman" w:cs="Times New Roman"/>
          <w:lang w:val="sr-Latn-ME"/>
        </w:rPr>
      </w:pPr>
    </w:p>
    <w:p w:rsidR="004850EF" w:rsidRPr="00FF1652" w:rsidRDefault="004850EF"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lastRenderedPageBreak/>
        <w:t>Randomizovana, dvostruko slijepa, komparatorom kontrolisana studija faze IV u trajanju od 24 mjeseca uključila je 1360 žena u postmenopauzi sa ustanovljenom osteoporozom. 680 ispitanica je randomizovano da prima teriparatid, a 680 ispitanica je randomizovano da prima risedronat oralnim putem u dozi od 35 mg nedjeljno. Na početku studije, žene su imale prosječnu starost od 72,1 godinu i medijanu od 2 prevalentna vertebralna preloma: 57,9% pacijentkinja je prethodno primalo terapiju bisfosfonatima, a 18,8% je uzimalo istovremenu terapiju glukokortikoidima tokom studije. 1013 (74,5%) pacijentkinja je završilo praćenje u trajanju od 24 mjeseca. Srednja kumulativna doza (medijana) glukokortikoida je iznosila 474,3 (66,2) mg u grupi koja je primala teriparatid, i 898,0 (100,0) mg u grupi koja je primala risedronat. Srednji unos (medijana) vitamina D je iznosio 1433 IU/dan (1400 IU/dan) u grupi koja je primala teriparatid, i 1191 IU/dan (900 IU/dan) u grupi koja je primala risedronat. Za one ispitanice kojima je urađena radiografija kičme na početku terapije i po završetku terapije, incidenca novih vertebralnih preloma je iznosila 28/516 (5,4%) kod pacijentkinja koje su primale teriparatid, i 64/533 (12,0%) kod pacijentkinja koje su primale risedronat, relativni rizik (95% CI) = 0,44 (0,29-0,68), P ˂ 0,0001. Kumulativna incidenca ukupnih kliničkih preloma (kliničkih vertebralnih i nevertebralnih preloma) iznosila je 4,8% kod pacijentkinja liječenih teriparatidom, i 9,8% kod pacijentkinja liječenih risedronatom, odnos rizika (95% CI) = 0,48 (0,32-0,74), P = 0,0009.</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i/>
          <w:lang w:val="sr-Latn-ME"/>
        </w:rPr>
      </w:pPr>
      <w:r w:rsidRPr="00FF1652">
        <w:rPr>
          <w:rFonts w:ascii="Times New Roman" w:eastAsia="Times New Roman" w:hAnsi="Times New Roman" w:cs="Times New Roman"/>
          <w:i/>
          <w:lang w:val="sr-Latn-ME"/>
        </w:rPr>
        <w:t>Osteoporoza kod muškaraca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U kliničkoj studiji u kojoj su učestvovali muškarci sa osteoporozom usljed hipogonadizma (definisanim kao nizak nivo slobodnog testosterona ujutru ili povišen nivo FSH ili LH) ili idiopatskom osteoporozom, bilo je uključeno 437 pacijenata (prosječne starosti 58,7 godina). Početni srednji T-skor mineralne gustine kostiju bio je -2,2 u kičmi, a -2,1 u vratu butne kosti. Na početku studije, 35% pacijenata imalo je vertebralni prelom, a 59% nevertebralni prelom.</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Svi pacijenti su dnevno dobijali 1000 mg kalcijuma i najmanje 400 i.j. vitamina D. BMD lumbalnog dijela kičme značajno se povećala nakon 3 mjeseca. Nakon 12 mjeseci, BMD lumbalnog dijela kičme povećala se za 5%, a cijelog kuka za 1%, u odnosu na placebo. Međutim, nije pokazan značajan uticaj na učestalost preloma.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i/>
          <w:lang w:val="sr-Latn-ME"/>
        </w:rPr>
      </w:pPr>
      <w:r w:rsidRPr="00FF1652">
        <w:rPr>
          <w:rFonts w:ascii="Times New Roman" w:eastAsia="Times New Roman" w:hAnsi="Times New Roman" w:cs="Times New Roman"/>
          <w:i/>
          <w:lang w:val="sr-Latn-ME"/>
        </w:rPr>
        <w:t>Osteoporoza izazvana glukokortikoidima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Efikasnost teriparatida kod muškaraca i žena (N=428) koji su primali dugotrajnu sistemsku terapiju glukokortikoidima (ekvivalentno dozi prednizona od 5 mg ili više, tokom najmanje 3 mjeseca) dokazana je u 18-mjesečnoj primarnoj fazi randomizovane, dvostruko slijepe, studije kontrolisane aktivnim komparatorom (alendronat 10 mg/dan) koja je trajala 36 mjeseci. Na početku studije, 28% pacijenata imalo je jedan ili više vertebralnih preloma potvrđenih radiografijom. Svi pacijenti su dnevno dobijali 1000 mg kalcijuma i 800 i.j. vitamina D.</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U ovu studiju su uključene žene u postmenopauzi (N=277), žene u premenopauzi (N=67), i muškarci (N=83). Na početku studije, prosječna starost žena u postmenopauzi bila je 61 godina, srednja vrijednost T-skora BMD lumbalnog dijela kičme -2,7, medijana doze glukokortikoida ekvivalentna dozi prednizona od 7,5 mg/dan, i 34% je imalo jedan ili više preloma lumbalnog dijela kičme potvrđenih radiografijom; prosječna starost žena u premenopauzi bila je 37 godina, srednja vrijednost T-skora BMD lumbalnog dijela kičme -2,5, medijana doze glukokortikoida ekvivalentna dozi prednizona od 10 mg/dan, i 9% je imalo jedan ili više preloma lumbalnog dijela kičme potvrđenih radiografijom; srednja starost muškaraca bila je 57 godina, srednja vrijednost T-skora BMD lumbalnog dijela kičme -2,2, medijana doze glukokortikoida ekvivalentna dozi prednizona od 10 mg/dan, i 24% je imalo jedan ili više preloma lumbalnog dijela kičme potvrđenih radiografijom.</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lastRenderedPageBreak/>
        <w:t>Primarnu fazu, koja je trajala 18 mjeseci, završilo je 69% pacijenata. Nakon 18 mjeseci, teriparatid je značajno povećao BMD lumbalnog dijela kičme (7,2%) u poređenju sa alendronatom (3,4%) (p&lt;0,001). Teriparatid je povećao BMD cijelog kuka (3,6%) u poređenju sa alendronatom (2,2%) (p&lt;0,01), kao i BMD vrata butne kosti (3,7%) u odnosu na alendronat (2,1%) (p&lt;0,05). Kod pacijenata liječenih teriparatidom, između 18. i 24. mjeseca BMD lumbalnog dijela kičme povećao se za dodatnih 1,7%, cijelog kuka za 0,9% i vrata butne kosti za 0,4%.</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Nakon 36 mjeseci, analizom rendgenskih snimaka 169 pacijenata koji su primali alendronat i 173 pacijenta koji su primali teriparatid, pokazano je da je 13 pacijenata u grupi koja je primala alendronat (7,7%) imalo novi vertebralni prelom, u odnosu na 3 pacijenta u grupi koja je primala teriparatid (1,7%) (p=0,01). Pored toga, 15 od 214 pacijenata koji su primali alendronat (7,0%) doživjelo je nevertebralni prelom, u poređenju sa 16 od 214 pacijenata koji su primali teriparatid (7,5%) (p=0,84).</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Kod žena u premenopauzi, povećanje BMD lumbalnog dijela kičme u prvih 18 mjeseci terapije bilo je značajno veće u grupi koja je primala teriparatid u poređenju sa grupom koja je primala alendronat (4,2% u odnosu na -1,9%; p &lt; 0,001) i cijelom kuku (3,8% u odnosu na 0,9%; p=0,005). Međutim, nije pokazan značajan efekat na učestalost preloma.</w:t>
      </w:r>
    </w:p>
    <w:p w:rsidR="00FF1652" w:rsidRPr="00FF1652" w:rsidRDefault="00FF1652" w:rsidP="00EF13E5">
      <w:pPr>
        <w:spacing w:after="0" w:line="240" w:lineRule="auto"/>
        <w:rPr>
          <w:rFonts w:ascii="Times New Roman" w:eastAsia="Times New Roman" w:hAnsi="Times New Roman" w:cs="Times New Roman"/>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5.2. </w:t>
      </w:r>
      <w:r w:rsidRPr="00FF1652">
        <w:rPr>
          <w:rFonts w:ascii="Times New Roman" w:eastAsia="Times New Roman" w:hAnsi="Times New Roman" w:cs="Times New Roman"/>
          <w:b/>
          <w:bCs/>
          <w:lang w:val="sr-Latn-ME"/>
        </w:rPr>
        <w:tab/>
        <w:t xml:space="preserve">Farmakokinetički podaci </w:t>
      </w: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Distribucija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Volumen distribucije iznosi oko 1,7 L/kg. Poluvrijeme eliminacije teriparatida je oko 1 sat kada se primijeni subkutano, što odražava vrijeme potrebno za resorpciju lijeka sa mjesta injekcije.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Biotransformacija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Nijesu sprovedena ispitivanja metabolizma ili ekskrecije teriparatida, ali se smatra da se periferni metabolizam paratiroidnog hormona odvija pretežno u jetri i bubrezima.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Eliminacija</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Teriparatid se eliminiše hepatičnim i ekstrahepatičnim putem (približno 62 L/h kod žena, i 94 L/h kod muškaraca).</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tabs>
          <w:tab w:val="left" w:pos="851"/>
        </w:tabs>
        <w:spacing w:after="0" w:line="240" w:lineRule="auto"/>
        <w:jc w:val="both"/>
        <w:rPr>
          <w:rFonts w:ascii="Times New Roman" w:eastAsia="Times New Roman" w:hAnsi="Times New Roman" w:cs="Times New Roman"/>
          <w:u w:val="single"/>
          <w:lang w:val="sr-Latn-ME"/>
        </w:rPr>
      </w:pPr>
      <w:r w:rsidRPr="00FF1652">
        <w:rPr>
          <w:rFonts w:ascii="Times New Roman" w:eastAsia="Times New Roman" w:hAnsi="Times New Roman" w:cs="Times New Roman"/>
          <w:u w:val="single"/>
          <w:lang w:val="sr-Latn-ME"/>
        </w:rPr>
        <w:t>Starije osobe</w:t>
      </w:r>
    </w:p>
    <w:p w:rsidR="00FF1652" w:rsidRPr="00FF1652" w:rsidRDefault="00FF1652" w:rsidP="00EF13E5">
      <w:pPr>
        <w:tabs>
          <w:tab w:val="left" w:pos="851"/>
        </w:tabs>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Nijesu uočene razlike u farmakokinetici na osnovu godina starosti (u rasponu od 31 do 85 godina). Nije potrebno prilagođavanje doziranja na osnovu godina života.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5.3. </w:t>
      </w:r>
      <w:r w:rsidRPr="00FF1652">
        <w:rPr>
          <w:rFonts w:ascii="Times New Roman" w:eastAsia="Times New Roman" w:hAnsi="Times New Roman" w:cs="Times New Roman"/>
          <w:b/>
          <w:bCs/>
          <w:lang w:val="sr-Latn-ME"/>
        </w:rPr>
        <w:tab/>
        <w:t xml:space="preserve">Pretklinički podaci o bezbjednosti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Teriparatid nije pokazao genotoksičnost u standardnom nizu testova. Nije djelovao teratogeno na pacove, miševe ili kuniće. Nije bilo značajnih efekata uočenih kod skotnih ženki pacova ili miševa kojima je primijenjen teriparatid u dnevnoj dozi od 30-1000 mikrograma/kg. Međutim, kada su kod skotnih ženki kunića primijenjene dnevne doze od 3-100 mikrograma/kg, javljala se fetalna resorpcija i smanjenje veličine okota. Zabilježena embriotoksičnost kod kunića možda je povezana sa njihovom značajno većom osjetljivošću na dejstvo PTH na jonizovani kalcijum u poređenju sa glodarima.</w:t>
      </w:r>
    </w:p>
    <w:p w:rsidR="00FF1652" w:rsidRDefault="00FF1652" w:rsidP="00EF13E5">
      <w:pPr>
        <w:spacing w:after="0" w:line="240" w:lineRule="auto"/>
        <w:jc w:val="both"/>
        <w:rPr>
          <w:rFonts w:ascii="Times New Roman" w:eastAsia="Times New Roman" w:hAnsi="Times New Roman" w:cs="Times New Roman"/>
          <w:lang w:val="sr-Latn-ME"/>
        </w:rPr>
      </w:pPr>
    </w:p>
    <w:p w:rsidR="004850EF" w:rsidRPr="00FF1652" w:rsidRDefault="004850EF"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lastRenderedPageBreak/>
        <w:t>Pacovi svakodnevno tretirani injekcijama tokom gotovo čitavog životnog vijeka imali su dozno-zavisno povećanje stvaranja kostne mase i povećanu incidencu osteosarkoma, najvjerovatnije zbog epigenetskog mehanizma. Teriparatid nije doveo do povećanja incidence bilo koje druge vrste neoplazije kod pacova. Usljed razlika u fiziologiji kostiju između ljudi i pacova, klinički značaj ovih nalaza je vjerovatno mali. Nijesu uočeni tumori kostiju kod ženki majmuna kojima su odstranjeni jajnici tretiranih teriparatidom 18 mjeseci, kao ni tokom trogodišnjeg perioda praćenja nakon prestanka njegove primjene. Pored toga, nije uočena pojava osteosarkoma u kliničkim ispitivanjima ili tokom studije praćenja nakon prestanka terapije.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Ispitivanja na životinjama su pokazala da izrazito smanjen protok krvi u jetri smanjuje izloženost PTH ključnom sistemu razgradnje (Kupferove ćelije), što posljedično smanjuje klirens PTH (1-84).</w:t>
      </w:r>
    </w:p>
    <w:p w:rsid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4850EF" w:rsidRPr="00FF1652" w:rsidRDefault="004850EF"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 </w:t>
      </w:r>
      <w:r w:rsidRPr="00FF1652">
        <w:rPr>
          <w:rFonts w:ascii="Times New Roman" w:eastAsia="Times New Roman" w:hAnsi="Times New Roman" w:cs="Times New Roman"/>
          <w:b/>
          <w:bCs/>
          <w:lang w:val="sr-Latn-ME"/>
        </w:rPr>
        <w:tab/>
        <w:t>FARMACEUTSKI PODACI</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6.1. </w:t>
      </w:r>
      <w:r w:rsidRPr="00FF1652">
        <w:rPr>
          <w:rFonts w:ascii="Times New Roman" w:eastAsia="Times New Roman" w:hAnsi="Times New Roman" w:cs="Times New Roman"/>
          <w:b/>
          <w:bCs/>
          <w:lang w:val="sr-Latn-ME"/>
        </w:rPr>
        <w:tab/>
        <w:t>Lista pomoćnih supstanci (ekscipijenasa)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Sirćetna kiselina, glacijalna;</w:t>
      </w: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Manitol;</w:t>
      </w: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Metakrezol;</w:t>
      </w: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Natrijum acetat, trihidrat;</w:t>
      </w: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Hlorovodonična kiselina, 10% rastvor (za podešavanje pH);</w:t>
      </w:r>
    </w:p>
    <w:p w:rsidR="00FF1652" w:rsidRPr="00FF1652" w:rsidRDefault="00FF1652" w:rsidP="00EF13E5">
      <w:pPr>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Natrijum hidroksid, 10% rastvor (za podešavanje pH);</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Voda za injekcije.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6.2. </w:t>
      </w:r>
      <w:r w:rsidRPr="00FF1652">
        <w:rPr>
          <w:rFonts w:ascii="Times New Roman" w:eastAsia="Times New Roman" w:hAnsi="Times New Roman" w:cs="Times New Roman"/>
          <w:b/>
          <w:bCs/>
          <w:lang w:val="sr-Latn-ME"/>
        </w:rPr>
        <w:tab/>
        <w:t>Inkompatibilnosti</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U odsustvu ispitivanja kompatibilnosti, ovaj lijek se ne smije miješati sa drugim ljekovima.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6.3. </w:t>
      </w:r>
      <w:r w:rsidRPr="00FF1652">
        <w:rPr>
          <w:rFonts w:ascii="Times New Roman" w:eastAsia="Times New Roman" w:hAnsi="Times New Roman" w:cs="Times New Roman"/>
          <w:b/>
          <w:bCs/>
          <w:lang w:val="sr-Latn-ME"/>
        </w:rPr>
        <w:tab/>
        <w:t>Rok upotrebe</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2 godine.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Hemijska stabilnost u toku primjene dokazana je za period od 28 dana, ako se lijek čuva na temperaturi od 2°C do 8°C.</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Sa mikrobiološkog aspekta, nakon otvaranja, lijek se može čuvati najduže 28 dana unutar navedenog roka upotrebe, na temperaturi od 2°C do 8 °C.</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Za drugačije trajanje i uslove čuvanja lijeka u toku primjene odgovornost snosi korisnik.</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6.4. </w:t>
      </w:r>
      <w:r w:rsidRPr="00FF1652">
        <w:rPr>
          <w:rFonts w:ascii="Times New Roman" w:eastAsia="Times New Roman" w:hAnsi="Times New Roman" w:cs="Times New Roman"/>
          <w:b/>
          <w:bCs/>
          <w:lang w:val="sr-Latn-ME"/>
        </w:rPr>
        <w:tab/>
        <w:t>Posebne mjere upozorenja pri čuvanju lijeka</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Čuvati u frižideru (na temperaturi od 2°C do 8°C). Nakon stavljanja uloška u pen, spojeni pen i uložak treba da se vrate u frižider odmah nakon primjene.</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Ne zamrzavati. Čuvati uložak u spoljašnjem pakovanju radi zaštite od svjetlosti.</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 xml:space="preserve">Ne čuvati uređaj za davanje injekcije (pen) sa pričvršćenom iglom. Ne vaditi uložak iz pena nakon prve upotrebe. </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lastRenderedPageBreak/>
        <w:t>Za uslove čuvanja nakon prvog otvaranja lijeka, vidjeti odjeljak 6.3.</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6.5. </w:t>
      </w:r>
      <w:r w:rsidRPr="00FF1652">
        <w:rPr>
          <w:rFonts w:ascii="Times New Roman" w:eastAsia="Times New Roman" w:hAnsi="Times New Roman" w:cs="Times New Roman"/>
          <w:b/>
          <w:bCs/>
          <w:lang w:val="sr-Latn-ME"/>
        </w:rPr>
        <w:tab/>
        <w:t xml:space="preserve">Vrsta i sadržaj pakovanja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p>
    <w:p w:rsidR="00FF1652" w:rsidRPr="00FF1652" w:rsidRDefault="00FF1652" w:rsidP="00EF13E5">
      <w:pPr>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Uložak od 3 ml (silikonizovano staklo tipa I), sa čepom klipa (bromobutil) i zatvaračem u obliku diska (aluminijumski i gumeni zatvarači sa zaštitnim ovojem), upakovan u plastično ležište zatvoreno folijom i kartonsku kutiju.</w:t>
      </w:r>
    </w:p>
    <w:p w:rsidR="00FF1652" w:rsidRPr="00FF1652" w:rsidRDefault="00FF1652" w:rsidP="00EF13E5">
      <w:pPr>
        <w:spacing w:after="0" w:line="240" w:lineRule="auto"/>
        <w:jc w:val="both"/>
        <w:rPr>
          <w:rFonts w:ascii="Times New Roman" w:eastAsia="Times New Roman" w:hAnsi="Times New Roman" w:cs="Times New Roman"/>
          <w:bCs/>
          <w:lang w:val="sr-Latn-ME"/>
        </w:rPr>
      </w:pPr>
    </w:p>
    <w:p w:rsidR="00FF1652" w:rsidRPr="00FF1652" w:rsidRDefault="00FF1652" w:rsidP="00EF13E5">
      <w:pPr>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Jedan uložak sadrži 2,4 ml rastvora, što odgovara 28 doza od 20 mikrograma (u 80 mikrolitara).</w:t>
      </w:r>
    </w:p>
    <w:p w:rsidR="00FF1652" w:rsidRPr="00FF1652" w:rsidRDefault="00FF1652" w:rsidP="00EF13E5">
      <w:pPr>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Veličina pakovanja: 1 uložak ili 3 uloška.</w:t>
      </w:r>
    </w:p>
    <w:p w:rsidR="00FF1652" w:rsidRPr="00FF1652" w:rsidRDefault="00FF1652" w:rsidP="00EF13E5">
      <w:pPr>
        <w:spacing w:after="0" w:line="240" w:lineRule="auto"/>
        <w:jc w:val="both"/>
        <w:rPr>
          <w:rFonts w:ascii="Times New Roman" w:eastAsia="Times New Roman" w:hAnsi="Times New Roman" w:cs="Times New Roman"/>
          <w:bCs/>
          <w:lang w:val="sr-Latn-ME"/>
        </w:rPr>
      </w:pPr>
    </w:p>
    <w:p w:rsidR="00FF1652" w:rsidRPr="00FF1652" w:rsidRDefault="00FF1652" w:rsidP="00EF13E5">
      <w:pPr>
        <w:spacing w:after="0" w:line="240" w:lineRule="auto"/>
        <w:jc w:val="both"/>
        <w:rPr>
          <w:rFonts w:ascii="Times New Roman" w:eastAsia="Times New Roman" w:hAnsi="Times New Roman" w:cs="Times New Roman"/>
          <w:bCs/>
          <w:lang w:val="sr-Latn-ME"/>
        </w:rPr>
      </w:pPr>
      <w:r w:rsidRPr="00FF1652">
        <w:rPr>
          <w:rFonts w:ascii="Times New Roman" w:eastAsia="Times New Roman" w:hAnsi="Times New Roman" w:cs="Times New Roman"/>
          <w:bCs/>
          <w:lang w:val="sr-Latn-ME"/>
        </w:rPr>
        <w:t>Ne moraju sve veličine pakovanja biti dostupne na tržištu.</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6.6. </w:t>
      </w:r>
      <w:r w:rsidRPr="00FF1652">
        <w:rPr>
          <w:rFonts w:ascii="Times New Roman" w:eastAsia="Times New Roman" w:hAnsi="Times New Roman" w:cs="Times New Roman"/>
          <w:b/>
          <w:bCs/>
          <w:lang w:val="sr-Latn-ME"/>
        </w:rPr>
        <w:tab/>
      </w:r>
      <w:r w:rsidRPr="00FF1652">
        <w:rPr>
          <w:rFonts w:ascii="Times New Roman" w:eastAsia="Times New Roman" w:hAnsi="Times New Roman" w:cs="Times New Roman"/>
          <w:b/>
          <w:bCs/>
          <w:color w:val="000000"/>
          <w:lang w:val="sr-Latn-ME"/>
        </w:rPr>
        <w:t>Posebne mjere opreza pri odlaganju materijala koji treba odbaciti nakon primjene lijeka</w:t>
      </w:r>
      <w:r w:rsidRPr="00FF1652">
        <w:rPr>
          <w:rFonts w:ascii="Times New Roman" w:eastAsia="Times New Roman" w:hAnsi="Times New Roman" w:cs="Times New Roman"/>
          <w:b/>
          <w:bCs/>
          <w:lang w:val="sr-Latn-ME"/>
        </w:rPr>
        <w:t xml:space="preserve"> (i druga uputstva za rukovanje lijekom) </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
          <w:bCs/>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bCs/>
          <w:lang w:val="sr-Latn-ME"/>
        </w:rPr>
        <w:t xml:space="preserve">Lijek Terrosa dostupan je u obliku uloška. Terrosa ulošci namijenjeni su za upotrebu isključivo u </w:t>
      </w:r>
      <w:r w:rsidRPr="00FF1652">
        <w:rPr>
          <w:rFonts w:ascii="Times New Roman" w:eastAsia="Times New Roman" w:hAnsi="Times New Roman" w:cs="Times New Roman"/>
          <w:lang w:val="sr-Latn-ME"/>
        </w:rPr>
        <w:t>Terrosa Pen višedoznom pen sredstvu, namijenjenom za višekratnu upotrebu, i ne smiju se primjenjivati ni sa jednim drugim penom. U okviru pakovanja ovog lijeka ne nalaze se injekcioni pen i igle za injektovanje.</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Jedan uložak i pen treba da primjenjuje samo jedan pacijent. Pen se može koristiti sa iglama koje su kompatibilne sa penom, a navedene su u uputstvu za upotrebu pena. Za svaku injekciju se mora koristiti nova sterilna igla za pen.</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Prije stavljanja uloška u Terrosa Pen uvijek se mora provjeriti datum isteka roka upotrebe na naljepnici uloška. Kako bi se izbjegle greške u primjeni lijeka, pacijent treba da se uvjeri da je dan kada započinje sa primjenom novog uloška najmanje 28 dana prije isteka njegovog roka upotrebe.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Prije prve primjene pen sredstva, pacijent treba da pročita i razumije uputstva za primjenu koja su priložena uz pen.</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Nakon svake injekcije, pen treba da se vrati u frižider. Nakon prve primjene, uložak ne treba uklanjati sa pena tokom 28 dana primjene.</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Lijek Terrosa se ne smije prebacivati u špric.</w:t>
      </w: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Prazni ulošci se ne smiju ponovno puniti.</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Lijek Terrosa se ne smije primjenjivati ako je rastvor zamućen, obojen ili sadrži vidljive čestice.</w:t>
      </w:r>
    </w:p>
    <w:p w:rsidR="00FF1652" w:rsidRPr="00FF1652" w:rsidRDefault="00FF1652" w:rsidP="00EF13E5">
      <w:pPr>
        <w:spacing w:after="0" w:line="240" w:lineRule="auto"/>
        <w:jc w:val="both"/>
        <w:rPr>
          <w:rFonts w:ascii="Times New Roman" w:eastAsia="Times New Roman" w:hAnsi="Times New Roman" w:cs="Times New Roman"/>
          <w:lang w:val="sr-Latn-ME"/>
        </w:rPr>
      </w:pPr>
    </w:p>
    <w:p w:rsidR="00FF1652" w:rsidRPr="00FF1652" w:rsidRDefault="00FF1652" w:rsidP="00EF13E5">
      <w:pPr>
        <w:tabs>
          <w:tab w:val="center" w:pos="4536"/>
          <w:tab w:val="right" w:pos="9072"/>
        </w:tabs>
        <w:spacing w:after="0" w:line="240" w:lineRule="auto"/>
        <w:jc w:val="both"/>
        <w:rPr>
          <w:rFonts w:ascii="Times New Roman" w:eastAsia="Times New Roman" w:hAnsi="Times New Roman" w:cs="Times New Roman"/>
          <w:lang w:val="sr-Latn-ME"/>
        </w:rPr>
      </w:pPr>
      <w:r w:rsidRPr="00FF1652">
        <w:rPr>
          <w:rFonts w:ascii="Times New Roman" w:eastAsia="Times New Roman" w:hAnsi="Times New Roman" w:cs="Times New Roman"/>
          <w:lang w:val="sr-Latn-ME"/>
        </w:rPr>
        <w:t>Bilo koju količinu neiskorišćnog lijeka ili otpadnog materijala trebalo bi odložiti u skladu sa važećim propisima.</w:t>
      </w:r>
    </w:p>
    <w:p w:rsidR="00FF1652" w:rsidRPr="00FF1652" w:rsidRDefault="00FF1652" w:rsidP="00EF13E5">
      <w:pPr>
        <w:tabs>
          <w:tab w:val="left" w:pos="540"/>
          <w:tab w:val="left" w:pos="569"/>
        </w:tabs>
        <w:spacing w:after="0" w:line="240" w:lineRule="auto"/>
        <w:jc w:val="both"/>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7. </w:t>
      </w:r>
      <w:r w:rsidRPr="00FF1652">
        <w:rPr>
          <w:rFonts w:ascii="Times New Roman" w:eastAsia="Times New Roman" w:hAnsi="Times New Roman" w:cs="Times New Roman"/>
          <w:b/>
          <w:bCs/>
          <w:lang w:val="sr-Latn-ME"/>
        </w:rPr>
        <w:tab/>
        <w:t xml:space="preserve">NOSILAC DOZVOLE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284"/>
          <w:tab w:val="center" w:pos="4320"/>
          <w:tab w:val="right" w:pos="8640"/>
        </w:tabs>
        <w:spacing w:after="0" w:line="240" w:lineRule="auto"/>
        <w:rPr>
          <w:rFonts w:ascii="Times New Roman" w:eastAsia="Times New Roman" w:hAnsi="Times New Roman" w:cs="Times New Roman"/>
          <w:lang w:val="sr-Latn-ME"/>
        </w:rPr>
      </w:pPr>
      <w:r w:rsidRPr="00FF1652">
        <w:rPr>
          <w:rFonts w:ascii="Times New Roman" w:eastAsia="Times New Roman" w:hAnsi="Times New Roman" w:cs="Times New Roman"/>
          <w:lang w:val="sr-Latn-ME"/>
        </w:rPr>
        <w:t>Glosarij d.o.o.</w:t>
      </w:r>
      <w:bookmarkStart w:id="1" w:name="_GoBack"/>
      <w:bookmarkEnd w:id="1"/>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r w:rsidRPr="00FF1652">
        <w:rPr>
          <w:rFonts w:ascii="Times New Roman" w:eastAsia="Times New Roman" w:hAnsi="Times New Roman" w:cs="Times New Roman"/>
          <w:lang w:val="sr-Latn-ME"/>
        </w:rPr>
        <w:t>Vojislavljevića 76, Podgorica, Crna Gora</w:t>
      </w:r>
    </w:p>
    <w:p w:rsid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4850EF" w:rsidRDefault="004850EF" w:rsidP="00EF13E5">
      <w:pPr>
        <w:tabs>
          <w:tab w:val="left" w:pos="540"/>
          <w:tab w:val="left" w:pos="569"/>
        </w:tabs>
        <w:spacing w:after="0" w:line="240" w:lineRule="auto"/>
        <w:rPr>
          <w:rFonts w:ascii="Times New Roman" w:eastAsia="Times New Roman" w:hAnsi="Times New Roman" w:cs="Times New Roman"/>
          <w:bCs/>
          <w:lang w:val="sr-Latn-ME"/>
        </w:rPr>
      </w:pPr>
    </w:p>
    <w:p w:rsidR="004850EF" w:rsidRPr="00FF1652" w:rsidRDefault="004850EF"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lastRenderedPageBreak/>
        <w:t xml:space="preserve">8. </w:t>
      </w:r>
      <w:r w:rsidRPr="00FF1652">
        <w:rPr>
          <w:rFonts w:ascii="Times New Roman" w:eastAsia="Times New Roman" w:hAnsi="Times New Roman" w:cs="Times New Roman"/>
          <w:b/>
          <w:bCs/>
          <w:lang w:val="sr-Latn-ME"/>
        </w:rPr>
        <w:tab/>
        <w:t>BROJ DOZVOLE ZA STAVLJANJE LIJEKA U PROMET</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DC092E" w:rsidP="00EF13E5">
      <w:pPr>
        <w:spacing w:after="0" w:line="240" w:lineRule="auto"/>
        <w:rPr>
          <w:rFonts w:ascii="Times New Roman" w:eastAsia="Times New Roman" w:hAnsi="Times New Roman" w:cs="Times New Roman"/>
          <w:bCs/>
          <w:lang w:val="sr-Latn-ME"/>
        </w:rPr>
      </w:pPr>
      <w:bookmarkStart w:id="2" w:name="_Hlk11325581"/>
      <w:r w:rsidRPr="00DC092E">
        <w:rPr>
          <w:rFonts w:ascii="Times New Roman" w:eastAsia="Times New Roman" w:hAnsi="Times New Roman" w:cs="Times New Roman"/>
          <w:lang w:val="sr-Latn-ME"/>
        </w:rPr>
        <w:t>Terrosa</w:t>
      </w:r>
      <w:r w:rsidRPr="00DC092E">
        <w:rPr>
          <w:rFonts w:ascii="Times New Roman" w:eastAsia="Times New Roman" w:hAnsi="Times New Roman" w:cs="Times New Roman"/>
          <w:vertAlign w:val="superscript"/>
          <w:lang w:val="sr-Latn-ME"/>
        </w:rPr>
        <w:t>®</w:t>
      </w:r>
      <w:r w:rsidRPr="00DC092E">
        <w:rPr>
          <w:rFonts w:ascii="Times New Roman" w:eastAsia="Times New Roman" w:hAnsi="Times New Roman" w:cs="Times New Roman"/>
          <w:lang w:val="sr-Latn-ME"/>
        </w:rPr>
        <w:t>, rastvor za injekciju, 20mikrograma/80mikrolitara, uložak, 1x2.4ml</w:t>
      </w:r>
      <w:r w:rsidR="0032544A">
        <w:rPr>
          <w:rFonts w:ascii="Times New Roman" w:eastAsia="Times New Roman" w:hAnsi="Times New Roman" w:cs="Times New Roman"/>
          <w:bCs/>
          <w:lang w:val="sr-Latn-ME"/>
        </w:rPr>
        <w:t xml:space="preserve">: </w:t>
      </w:r>
      <w:r w:rsidR="0032544A" w:rsidRPr="0032544A">
        <w:rPr>
          <w:rFonts w:ascii="Times New Roman" w:eastAsia="Times New Roman" w:hAnsi="Times New Roman" w:cs="Times New Roman"/>
          <w:bCs/>
          <w:lang w:val="sr-Latn-ME"/>
        </w:rPr>
        <w:t>2030/19/185 - 398</w:t>
      </w:r>
      <w:r w:rsidR="00895EEE">
        <w:rPr>
          <w:rFonts w:ascii="Times New Roman" w:eastAsia="Times New Roman" w:hAnsi="Times New Roman" w:cs="Times New Roman"/>
          <w:bCs/>
          <w:lang w:val="sr-Latn-ME"/>
        </w:rPr>
        <w:t>2</w:t>
      </w:r>
    </w:p>
    <w:p w:rsidR="00FF1652" w:rsidRPr="00FF1652" w:rsidRDefault="00DC092E" w:rsidP="00EF13E5">
      <w:pPr>
        <w:spacing w:after="0" w:line="240" w:lineRule="auto"/>
        <w:rPr>
          <w:rFonts w:ascii="Times New Roman" w:eastAsia="Times New Roman" w:hAnsi="Times New Roman" w:cs="Times New Roman"/>
          <w:bCs/>
          <w:lang w:val="sr-Latn-ME"/>
        </w:rPr>
      </w:pPr>
      <w:r w:rsidRPr="00DC092E">
        <w:rPr>
          <w:rFonts w:ascii="Times New Roman" w:eastAsia="Times New Roman" w:hAnsi="Times New Roman" w:cs="Times New Roman"/>
          <w:lang w:val="sr-Latn-ME"/>
        </w:rPr>
        <w:t>Terrosa</w:t>
      </w:r>
      <w:r w:rsidRPr="00DC092E">
        <w:rPr>
          <w:rFonts w:ascii="Times New Roman" w:eastAsia="Times New Roman" w:hAnsi="Times New Roman" w:cs="Times New Roman"/>
          <w:vertAlign w:val="superscript"/>
          <w:lang w:val="sr-Latn-ME"/>
        </w:rPr>
        <w:t>®</w:t>
      </w:r>
      <w:r w:rsidRPr="00DC092E">
        <w:rPr>
          <w:rFonts w:ascii="Times New Roman" w:eastAsia="Times New Roman" w:hAnsi="Times New Roman" w:cs="Times New Roman"/>
          <w:lang w:val="sr-Latn-ME"/>
        </w:rPr>
        <w:t>, rastvor za injekciju, 20mikrograma/80mikrolitara, uložak, 3x2.4ml</w:t>
      </w:r>
      <w:r>
        <w:rPr>
          <w:rFonts w:ascii="Times New Roman" w:eastAsia="Times New Roman" w:hAnsi="Times New Roman" w:cs="Times New Roman"/>
          <w:bCs/>
          <w:lang w:val="sr-Latn-ME"/>
        </w:rPr>
        <w:t xml:space="preserve">: </w:t>
      </w:r>
      <w:r w:rsidRPr="00DC092E">
        <w:rPr>
          <w:rFonts w:ascii="Times New Roman" w:eastAsia="Times New Roman" w:hAnsi="Times New Roman" w:cs="Times New Roman"/>
          <w:bCs/>
          <w:lang w:val="sr-Latn-ME"/>
        </w:rPr>
        <w:t>2030/19/186 - 3981</w:t>
      </w:r>
    </w:p>
    <w:bookmarkEnd w:id="2"/>
    <w:p w:rsid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4850EF" w:rsidRPr="00FF1652" w:rsidRDefault="004850EF"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
          <w:bCs/>
          <w:lang w:val="sr-Latn-ME"/>
        </w:rPr>
      </w:pPr>
      <w:r w:rsidRPr="00FF1652">
        <w:rPr>
          <w:rFonts w:ascii="Times New Roman" w:eastAsia="Times New Roman" w:hAnsi="Times New Roman" w:cs="Times New Roman"/>
          <w:b/>
          <w:bCs/>
          <w:lang w:val="sr-Latn-ME"/>
        </w:rPr>
        <w:t xml:space="preserve">9. </w:t>
      </w:r>
      <w:r w:rsidRPr="00FF1652">
        <w:rPr>
          <w:rFonts w:ascii="Times New Roman" w:eastAsia="Times New Roman" w:hAnsi="Times New Roman" w:cs="Times New Roman"/>
          <w:b/>
          <w:bCs/>
          <w:lang w:val="sr-Latn-ME"/>
        </w:rPr>
        <w:tab/>
        <w:t>DATUM PRVE DOZVOLE/OBNOVE DOZVOLE ZA STAVLJANJE LIJEKA U PROMET</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DC092E" w:rsidP="00EF13E5">
      <w:pPr>
        <w:spacing w:after="0" w:line="240" w:lineRule="auto"/>
        <w:rPr>
          <w:rFonts w:ascii="Times New Roman" w:eastAsia="Times New Roman" w:hAnsi="Times New Roman" w:cs="Times New Roman"/>
          <w:bCs/>
          <w:lang w:val="sr-Latn-ME"/>
        </w:rPr>
      </w:pPr>
      <w:r w:rsidRPr="00DC092E">
        <w:rPr>
          <w:rFonts w:ascii="Times New Roman" w:eastAsia="Times New Roman" w:hAnsi="Times New Roman" w:cs="Times New Roman"/>
          <w:lang w:val="sr-Latn-ME"/>
        </w:rPr>
        <w:t>Terrosa</w:t>
      </w:r>
      <w:r w:rsidRPr="00DC092E">
        <w:rPr>
          <w:rFonts w:ascii="Times New Roman" w:eastAsia="Times New Roman" w:hAnsi="Times New Roman" w:cs="Times New Roman"/>
          <w:vertAlign w:val="superscript"/>
          <w:lang w:val="sr-Latn-ME"/>
        </w:rPr>
        <w:t>®</w:t>
      </w:r>
      <w:r w:rsidRPr="00DC092E">
        <w:rPr>
          <w:rFonts w:ascii="Times New Roman" w:eastAsia="Times New Roman" w:hAnsi="Times New Roman" w:cs="Times New Roman"/>
          <w:lang w:val="sr-Latn-ME"/>
        </w:rPr>
        <w:t>, rastvor za injekciju, 20mikrograma/80mikrolitara, uložak, 1x2.4ml</w:t>
      </w:r>
      <w:r w:rsidR="0032544A">
        <w:rPr>
          <w:rFonts w:ascii="Times New Roman" w:eastAsia="Times New Roman" w:hAnsi="Times New Roman" w:cs="Times New Roman"/>
          <w:bCs/>
          <w:lang w:val="sr-Latn-ME"/>
        </w:rPr>
        <w:t xml:space="preserve">: </w:t>
      </w:r>
      <w:r w:rsidR="00895EEE">
        <w:rPr>
          <w:rFonts w:ascii="Times New Roman" w:eastAsia="Times New Roman" w:hAnsi="Times New Roman" w:cs="Times New Roman"/>
          <w:bCs/>
          <w:lang w:val="sr-Latn-ME"/>
        </w:rPr>
        <w:t>10</w:t>
      </w:r>
      <w:r w:rsidR="0032544A" w:rsidRPr="0032544A">
        <w:rPr>
          <w:rFonts w:ascii="Times New Roman" w:eastAsia="Times New Roman" w:hAnsi="Times New Roman" w:cs="Times New Roman"/>
          <w:bCs/>
          <w:lang w:val="sr-Latn-ME"/>
        </w:rPr>
        <w:t>.07.2019. godine</w:t>
      </w:r>
    </w:p>
    <w:p w:rsidR="00FF1652" w:rsidRPr="00FF1652" w:rsidRDefault="00DC092E" w:rsidP="00EF13E5">
      <w:pPr>
        <w:spacing w:after="0" w:line="240" w:lineRule="auto"/>
        <w:rPr>
          <w:rFonts w:ascii="Times New Roman" w:eastAsia="Times New Roman" w:hAnsi="Times New Roman" w:cs="Times New Roman"/>
          <w:bCs/>
          <w:lang w:val="sr-Latn-ME"/>
        </w:rPr>
      </w:pPr>
      <w:r w:rsidRPr="00DC092E">
        <w:rPr>
          <w:rFonts w:ascii="Times New Roman" w:eastAsia="Times New Roman" w:hAnsi="Times New Roman" w:cs="Times New Roman"/>
          <w:lang w:val="sr-Latn-ME"/>
        </w:rPr>
        <w:t>Terrosa</w:t>
      </w:r>
      <w:r w:rsidRPr="00DC092E">
        <w:rPr>
          <w:rFonts w:ascii="Times New Roman" w:eastAsia="Times New Roman" w:hAnsi="Times New Roman" w:cs="Times New Roman"/>
          <w:vertAlign w:val="superscript"/>
          <w:lang w:val="sr-Latn-ME"/>
        </w:rPr>
        <w:t>®</w:t>
      </w:r>
      <w:r w:rsidRPr="00DC092E">
        <w:rPr>
          <w:rFonts w:ascii="Times New Roman" w:eastAsia="Times New Roman" w:hAnsi="Times New Roman" w:cs="Times New Roman"/>
          <w:lang w:val="sr-Latn-ME"/>
        </w:rPr>
        <w:t>, rastvor za injekciju, 20mikrograma/80mikrolitara, uložak, 3x2.4ml</w:t>
      </w:r>
      <w:r>
        <w:rPr>
          <w:rFonts w:ascii="Times New Roman" w:eastAsia="Times New Roman" w:hAnsi="Times New Roman" w:cs="Times New Roman"/>
          <w:bCs/>
          <w:lang w:val="sr-Latn-ME"/>
        </w:rPr>
        <w:t xml:space="preserve">: </w:t>
      </w:r>
      <w:r w:rsidR="00895EEE">
        <w:rPr>
          <w:rFonts w:ascii="Times New Roman" w:eastAsia="Times New Roman" w:hAnsi="Times New Roman" w:cs="Times New Roman"/>
          <w:bCs/>
          <w:lang w:val="sr-Latn-ME"/>
        </w:rPr>
        <w:t>10</w:t>
      </w:r>
      <w:r w:rsidRPr="0032544A">
        <w:rPr>
          <w:rFonts w:ascii="Times New Roman" w:eastAsia="Times New Roman" w:hAnsi="Times New Roman" w:cs="Times New Roman"/>
          <w:bCs/>
          <w:lang w:val="sr-Latn-ME"/>
        </w:rPr>
        <w:t>.07.2019. godine</w:t>
      </w:r>
    </w:p>
    <w:p w:rsid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4850EF" w:rsidRPr="00FF1652" w:rsidRDefault="004850EF" w:rsidP="00EF13E5">
      <w:pPr>
        <w:tabs>
          <w:tab w:val="left" w:pos="540"/>
          <w:tab w:val="left" w:pos="569"/>
        </w:tabs>
        <w:spacing w:after="0" w:line="240" w:lineRule="auto"/>
        <w:rPr>
          <w:rFonts w:ascii="Times New Roman" w:eastAsia="Times New Roman" w:hAnsi="Times New Roman" w:cs="Times New Roman"/>
          <w:bCs/>
          <w:lang w:val="sr-Latn-ME"/>
        </w:rPr>
      </w:pPr>
    </w:p>
    <w:p w:rsidR="00FF1652" w:rsidRPr="00FF1652" w:rsidRDefault="00FF1652" w:rsidP="00EF13E5">
      <w:pPr>
        <w:tabs>
          <w:tab w:val="left" w:pos="540"/>
          <w:tab w:val="left" w:pos="569"/>
        </w:tabs>
        <w:spacing w:after="0" w:line="240" w:lineRule="auto"/>
        <w:ind w:left="540" w:hanging="540"/>
        <w:rPr>
          <w:rFonts w:ascii="Times New Roman" w:eastAsia="Times New Roman" w:hAnsi="Times New Roman" w:cs="Times New Roman"/>
          <w:bCs/>
          <w:lang w:val="sr-Latn-ME"/>
        </w:rPr>
      </w:pPr>
      <w:r w:rsidRPr="00FF1652">
        <w:rPr>
          <w:rFonts w:ascii="Times New Roman" w:eastAsia="Times New Roman" w:hAnsi="Times New Roman" w:cs="Times New Roman"/>
          <w:b/>
          <w:bCs/>
          <w:lang w:val="sr-Latn-ME"/>
        </w:rPr>
        <w:t xml:space="preserve">10. </w:t>
      </w:r>
      <w:r w:rsidRPr="00FF1652">
        <w:rPr>
          <w:rFonts w:ascii="Times New Roman" w:eastAsia="Times New Roman" w:hAnsi="Times New Roman" w:cs="Times New Roman"/>
          <w:b/>
          <w:bCs/>
          <w:lang w:val="sr-Latn-ME"/>
        </w:rPr>
        <w:tab/>
        <w:t xml:space="preserve">DATUM REVIZIJE TEKSTA </w:t>
      </w:r>
    </w:p>
    <w:p w:rsidR="00FF1652" w:rsidRPr="00FF1652" w:rsidRDefault="00FF1652" w:rsidP="00EF13E5">
      <w:pPr>
        <w:tabs>
          <w:tab w:val="left" w:pos="540"/>
          <w:tab w:val="left" w:pos="569"/>
        </w:tabs>
        <w:spacing w:after="0" w:line="240" w:lineRule="auto"/>
        <w:rPr>
          <w:rFonts w:ascii="Times New Roman" w:eastAsia="Times New Roman" w:hAnsi="Times New Roman" w:cs="Times New Roman"/>
          <w:bCs/>
          <w:lang w:val="sr-Latn-ME"/>
        </w:rPr>
      </w:pPr>
    </w:p>
    <w:p w:rsidR="009318B4" w:rsidRPr="00EF13E5" w:rsidRDefault="00DC092E" w:rsidP="004850EF">
      <w:pPr>
        <w:tabs>
          <w:tab w:val="left" w:pos="6150"/>
        </w:tabs>
        <w:spacing w:after="0" w:line="240" w:lineRule="auto"/>
        <w:rPr>
          <w:rFonts w:ascii="Times New Roman" w:hAnsi="Times New Roman" w:cs="Times New Roman"/>
          <w:lang w:val="sr-Latn-ME"/>
        </w:rPr>
      </w:pPr>
      <w:r>
        <w:rPr>
          <w:rFonts w:ascii="Times New Roman" w:hAnsi="Times New Roman" w:cs="Times New Roman"/>
          <w:lang w:val="sr-Latn-ME"/>
        </w:rPr>
        <w:t>Jul 2019. godine</w:t>
      </w:r>
    </w:p>
    <w:sectPr w:rsidR="009318B4" w:rsidRPr="00EF13E5"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C92" w:rsidRDefault="00AE7C92" w:rsidP="00FF2B5A">
      <w:pPr>
        <w:spacing w:after="0" w:line="240" w:lineRule="auto"/>
      </w:pPr>
      <w:r>
        <w:separator/>
      </w:r>
    </w:p>
  </w:endnote>
  <w:endnote w:type="continuationSeparator" w:id="0">
    <w:p w:rsidR="00AE7C92" w:rsidRDefault="00AE7C9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F1608">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F1608">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C92" w:rsidRDefault="00AE7C92" w:rsidP="00FF2B5A">
      <w:pPr>
        <w:spacing w:after="0" w:line="240" w:lineRule="auto"/>
      </w:pPr>
      <w:r>
        <w:separator/>
      </w:r>
    </w:p>
  </w:footnote>
  <w:footnote w:type="continuationSeparator" w:id="0">
    <w:p w:rsidR="00AE7C92" w:rsidRDefault="00AE7C9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B0122"/>
    <w:multiLevelType w:val="hybridMultilevel"/>
    <w:tmpl w:val="3D6E31BE"/>
    <w:lvl w:ilvl="0" w:tplc="5AD0617E">
      <w:numFmt w:val="bullet"/>
      <w:lvlText w:val="-"/>
      <w:lvlJc w:val="left"/>
      <w:pPr>
        <w:ind w:left="360" w:hanging="360"/>
      </w:pPr>
      <w:rPr>
        <w:rFonts w:ascii="Times New Roman" w:hAnsi="Times New Roman" w:hint="default"/>
        <w:i/>
        <w:iCs/>
        <w:color w:val="000000"/>
        <w:spacing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A08BF"/>
    <w:rsid w:val="00116FE6"/>
    <w:rsid w:val="0016646B"/>
    <w:rsid w:val="001F1608"/>
    <w:rsid w:val="0032544A"/>
    <w:rsid w:val="00396DF1"/>
    <w:rsid w:val="00461135"/>
    <w:rsid w:val="004850EF"/>
    <w:rsid w:val="00747C4B"/>
    <w:rsid w:val="00883AF2"/>
    <w:rsid w:val="00895EEE"/>
    <w:rsid w:val="009318B4"/>
    <w:rsid w:val="00934541"/>
    <w:rsid w:val="00A06058"/>
    <w:rsid w:val="00AE7C92"/>
    <w:rsid w:val="00B234CE"/>
    <w:rsid w:val="00B34AF2"/>
    <w:rsid w:val="00C4240B"/>
    <w:rsid w:val="00D45AFE"/>
    <w:rsid w:val="00DC092E"/>
    <w:rsid w:val="00E0627A"/>
    <w:rsid w:val="00EB2A93"/>
    <w:rsid w:val="00EF13E5"/>
    <w:rsid w:val="00F1527C"/>
    <w:rsid w:val="00FF165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alims.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lims.m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3318-73E3-4680-8095-341395FF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4620</Words>
  <Characters>26335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8</cp:revision>
  <dcterms:created xsi:type="dcterms:W3CDTF">2019-07-09T07:11:00Z</dcterms:created>
  <dcterms:modified xsi:type="dcterms:W3CDTF">2019-07-10T06:00:00Z</dcterms:modified>
</cp:coreProperties>
</file>