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1A0" w:rsidRPr="007B51A0" w:rsidRDefault="007B51A0" w:rsidP="007B51A0">
      <w:pPr>
        <w:spacing w:after="0" w:line="240" w:lineRule="auto"/>
        <w:jc w:val="center"/>
        <w:rPr>
          <w:rFonts w:ascii="Times New Roman" w:eastAsia="Times New Roman" w:hAnsi="Times New Roman" w:cs="Times New Roman"/>
          <w:b/>
          <w:bCs/>
          <w:iCs/>
          <w:u w:val="single"/>
          <w:lang w:val="sr-Latn-ME"/>
        </w:rPr>
      </w:pPr>
      <w:r w:rsidRPr="007B51A0">
        <w:rPr>
          <w:rFonts w:ascii="Times New Roman" w:eastAsia="Times New Roman" w:hAnsi="Times New Roman" w:cs="Times New Roman"/>
          <w:b/>
          <w:bCs/>
          <w:iCs/>
          <w:u w:val="single"/>
          <w:lang w:val="sr-Latn-ME"/>
        </w:rPr>
        <w:t>SAŽETAK KARAKTERISTIKA LIJEKA</w:t>
      </w:r>
    </w:p>
    <w:p w:rsidR="007B51A0" w:rsidRPr="007B51A0" w:rsidRDefault="007B51A0" w:rsidP="007B51A0">
      <w:pPr>
        <w:spacing w:after="0" w:line="240" w:lineRule="auto"/>
        <w:jc w:val="both"/>
        <w:rPr>
          <w:rFonts w:ascii="Times New Roman" w:eastAsia="Times New Roman" w:hAnsi="Times New Roman" w:cs="Times New Roman"/>
          <w:b/>
          <w:bCs/>
          <w:i/>
          <w:i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1.</w:t>
      </w:r>
      <w:r w:rsidRPr="007B51A0">
        <w:rPr>
          <w:rFonts w:ascii="Times New Roman" w:eastAsia="Times New Roman" w:hAnsi="Times New Roman" w:cs="Times New Roman"/>
          <w:b/>
          <w:bCs/>
          <w:lang w:val="sr-Latn-ME"/>
        </w:rPr>
        <w:tab/>
        <w:t>NAZIV LIJEKA</w:t>
      </w:r>
    </w:p>
    <w:p w:rsidR="007B51A0" w:rsidRPr="007B51A0" w:rsidRDefault="007B51A0" w:rsidP="007B51A0">
      <w:pPr>
        <w:spacing w:after="0" w:line="240" w:lineRule="auto"/>
        <w:jc w:val="both"/>
        <w:rPr>
          <w:rFonts w:ascii="Times New Roman" w:eastAsia="Times New Roman" w:hAnsi="Times New Roman" w:cs="Times New Roman"/>
          <w:lang w:val="sr-Latn-ME"/>
        </w:rPr>
      </w:pPr>
    </w:p>
    <w:p w:rsidR="007B51A0" w:rsidRPr="007B51A0" w:rsidRDefault="007B51A0" w:rsidP="007B51A0">
      <w:pPr>
        <w:spacing w:after="0" w:line="240" w:lineRule="auto"/>
        <w:jc w:val="both"/>
        <w:rPr>
          <w:rFonts w:ascii="Times New Roman" w:eastAsia="Times New Roman" w:hAnsi="Times New Roman" w:cs="Times New Roman"/>
          <w:iCs/>
          <w:lang w:val="sr-Latn-ME"/>
        </w:rPr>
      </w:pPr>
      <w:r w:rsidRPr="007B51A0">
        <w:rPr>
          <w:rFonts w:ascii="Times New Roman" w:eastAsia="Times New Roman" w:hAnsi="Times New Roman" w:cs="Times New Roman"/>
          <w:iCs/>
          <w:lang w:val="sr-Latn-ME"/>
        </w:rPr>
        <w:t>PRAMES</w:t>
      </w:r>
      <w:r w:rsidRPr="007B51A0">
        <w:rPr>
          <w:rFonts w:ascii="Times New Roman" w:eastAsia="Times New Roman" w:hAnsi="Times New Roman" w:cs="Times New Roman"/>
          <w:iCs/>
          <w:vertAlign w:val="superscript"/>
          <w:lang w:val="sr-Latn-ME"/>
        </w:rPr>
        <w:t>®</w:t>
      </w:r>
      <w:r w:rsidRPr="007B51A0">
        <w:rPr>
          <w:rFonts w:ascii="Times New Roman" w:eastAsia="Times New Roman" w:hAnsi="Times New Roman" w:cs="Times New Roman"/>
          <w:iCs/>
          <w:lang w:val="sr-Latn-ME"/>
        </w:rPr>
        <w:t xml:space="preserve"> 10 mg film tableta</w:t>
      </w: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INN: escitalopram</w:t>
      </w: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2. </w:t>
      </w:r>
      <w:r w:rsidRPr="007B51A0">
        <w:rPr>
          <w:rFonts w:ascii="Times New Roman" w:eastAsia="Times New Roman" w:hAnsi="Times New Roman" w:cs="Times New Roman"/>
          <w:b/>
          <w:bCs/>
          <w:lang w:val="sr-Latn-ME"/>
        </w:rPr>
        <w:tab/>
        <w:t>KVALITATIVNI I KVANTITATIVNI SASTAV</w:t>
      </w:r>
    </w:p>
    <w:p w:rsidR="007B51A0" w:rsidRPr="007B51A0" w:rsidRDefault="007B51A0" w:rsidP="007B51A0">
      <w:pPr>
        <w:spacing w:after="0" w:line="240" w:lineRule="auto"/>
        <w:jc w:val="both"/>
        <w:rPr>
          <w:rFonts w:ascii="Times New Roman" w:eastAsia="Times New Roman" w:hAnsi="Times New Roman" w:cs="Times New Roman"/>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Jedna PRAMES 10 mg film tableta sadrži:</w:t>
      </w: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 xml:space="preserve">Escitalopram </w:t>
      </w:r>
      <w:r w:rsidRPr="007B51A0">
        <w:rPr>
          <w:rFonts w:ascii="Times New Roman" w:eastAsia="Times New Roman" w:hAnsi="Times New Roman" w:cs="Times New Roman"/>
          <w:lang w:val="sr-Latn-ME"/>
        </w:rPr>
        <w:tab/>
      </w:r>
      <w:r w:rsidRPr="007B51A0">
        <w:rPr>
          <w:rFonts w:ascii="Times New Roman" w:eastAsia="Times New Roman" w:hAnsi="Times New Roman" w:cs="Times New Roman"/>
          <w:lang w:val="sr-Latn-ME"/>
        </w:rPr>
        <w:tab/>
        <w:t>10,00 mg (u obliku escitalopram oksalata).</w:t>
      </w:r>
    </w:p>
    <w:p w:rsidR="007B51A0" w:rsidRPr="007B51A0" w:rsidRDefault="007B51A0" w:rsidP="007B51A0">
      <w:pPr>
        <w:spacing w:after="0" w:line="240" w:lineRule="auto"/>
        <w:jc w:val="both"/>
        <w:rPr>
          <w:rFonts w:ascii="Times New Roman" w:eastAsia="Times New Roman" w:hAnsi="Times New Roman" w:cs="Times New Roman"/>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Za spisak svih ekscipijenasa, pogledati dio 6.1.</w:t>
      </w:r>
    </w:p>
    <w:p w:rsidR="007B51A0" w:rsidRPr="007B51A0" w:rsidRDefault="007B51A0" w:rsidP="007B51A0">
      <w:pPr>
        <w:spacing w:after="0" w:line="240" w:lineRule="auto"/>
        <w:jc w:val="both"/>
        <w:rPr>
          <w:rFonts w:ascii="Times New Roman" w:eastAsia="Times New Roman" w:hAnsi="Times New Roman" w:cs="Times New Roman"/>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3. </w:t>
      </w:r>
      <w:r w:rsidRPr="007B51A0">
        <w:rPr>
          <w:rFonts w:ascii="Times New Roman" w:eastAsia="Times New Roman" w:hAnsi="Times New Roman" w:cs="Times New Roman"/>
          <w:b/>
          <w:bCs/>
          <w:lang w:val="sr-Latn-ME"/>
        </w:rPr>
        <w:tab/>
        <w:t xml:space="preserve">FARMACEUTSKI OBLIK </w:t>
      </w: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Default="007B51A0" w:rsidP="007B51A0">
      <w:pPr>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Film tableta.</w:t>
      </w: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Film tablete su bijele do skoro bijele boje, okruglog oblika, bikonveksne, sa utisnutom podionom crtom na jednoj strani.</w:t>
      </w:r>
    </w:p>
    <w:p w:rsidR="007B51A0" w:rsidRPr="007B51A0" w:rsidRDefault="007B51A0" w:rsidP="007B51A0">
      <w:pPr>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Tableta se može podijeliti na jednake doze.</w:t>
      </w:r>
    </w:p>
    <w:p w:rsid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 </w:t>
      </w:r>
      <w:r w:rsidRPr="007B51A0">
        <w:rPr>
          <w:rFonts w:ascii="Times New Roman" w:eastAsia="Times New Roman" w:hAnsi="Times New Roman" w:cs="Times New Roman"/>
          <w:b/>
          <w:bCs/>
          <w:lang w:val="sr-Latn-ME"/>
        </w:rPr>
        <w:tab/>
        <w:t>KLINIČKI PODACI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4.1. </w:t>
      </w:r>
      <w:r w:rsidRPr="007B51A0">
        <w:rPr>
          <w:rFonts w:ascii="Times New Roman" w:eastAsia="Times New Roman" w:hAnsi="Times New Roman" w:cs="Times New Roman"/>
          <w:b/>
          <w:bCs/>
          <w:lang w:val="sr-Latn-ME"/>
        </w:rPr>
        <w:tab/>
        <w:t>Terapijske indikacije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numPr>
          <w:ilvl w:val="0"/>
          <w:numId w:val="21"/>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Liječenje velikih depresivnih epizoda</w:t>
      </w:r>
    </w:p>
    <w:p w:rsidR="007B51A0" w:rsidRPr="007B51A0" w:rsidRDefault="007B51A0" w:rsidP="007B51A0">
      <w:pPr>
        <w:numPr>
          <w:ilvl w:val="0"/>
          <w:numId w:val="21"/>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Liječenje paničnog poremećaja sa agorafobijom ili bez nje </w:t>
      </w:r>
    </w:p>
    <w:p w:rsidR="007B51A0" w:rsidRPr="007B51A0" w:rsidRDefault="007B51A0" w:rsidP="007B51A0">
      <w:pPr>
        <w:numPr>
          <w:ilvl w:val="0"/>
          <w:numId w:val="21"/>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Liječenje socijalnog anksioznog poremećaja (socijalna fobija)</w:t>
      </w:r>
    </w:p>
    <w:p w:rsidR="007B51A0" w:rsidRPr="007B51A0" w:rsidRDefault="007B51A0" w:rsidP="007B51A0">
      <w:pPr>
        <w:numPr>
          <w:ilvl w:val="0"/>
          <w:numId w:val="21"/>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Liječenje generaliziranog anksioznog poremećaja</w:t>
      </w:r>
    </w:p>
    <w:p w:rsidR="007B51A0" w:rsidRPr="007B51A0" w:rsidRDefault="007B51A0" w:rsidP="007B51A0">
      <w:pPr>
        <w:numPr>
          <w:ilvl w:val="0"/>
          <w:numId w:val="21"/>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Liječenje opsesivno-kompulzivnog poremećaja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4.2. </w:t>
      </w:r>
      <w:r w:rsidRPr="007B51A0">
        <w:rPr>
          <w:rFonts w:ascii="Times New Roman" w:eastAsia="Times New Roman" w:hAnsi="Times New Roman" w:cs="Times New Roman"/>
          <w:b/>
          <w:bCs/>
          <w:lang w:val="sr-Latn-ME"/>
        </w:rPr>
        <w:tab/>
        <w:t>Doziranje i način primjene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Doziranje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Nije dokazana bezbjednost primjene dnevnih doza većih od 20 mg.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Velike depresivne epizode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Uobičajena doza je 10 mg, jednom dnevno. U zavisnosti od individualnog odgovora pacijenta, doza se može povećati do maksimalno 20 mg na dan.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lastRenderedPageBreak/>
        <w:t xml:space="preserve">Obično su potrebne 2 do 4 nedjelje za postizanje antidepresivnog odgovora. Nakon povlačenja simptoma, liječenje je potrebno nastaviti još najmanje 6 mjeseci, da bi došlo do konsolidacije terapijskog odgovora.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Panični poremećaj sa agorafobijom ili bez nje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Preporučena početna doza je 5 mg jednom dnevno tokom prve nedjelje, a zatim se povećava na 10 mg jednom dnevno. Doza se može dodatno povećati, do najviše 20 mg na dan, zavisno od individualnog odgovora pacijenta.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Maksimalna efikasnost se dostiže nakon otprilike 3 mjeseca. Liječenje traje više mjeseci.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Socijalni anksiozni poremećaj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Uobičajena doza je 10 mg, jednom dnevno. Obično je potrebno 2 do 4 nedjelje da bi došlo do ublažavanja simptoma. Doza se zatim može, u zavisnosti od individualnog odgovora pacijenta, smanjiti na 5 mg ili povećati do najviše 20 mg na dan.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Socijalni anksiozni poremećaj je bolest hroničnog toka, pa se preporučuje provesti liječenje u trajanju od 12 nedjelja radi konsolidacije odgovora. Dugoročno liječenje pacijenata sa pozitivnim odgovorom na terapiju, ispitivano je tokom 6 mjeseci, a treba ga razmotriti za svakog pacijenta pojedinačno u cilju preveniranja relapsa. Pozitivne efekte liječenja neophodno je redovno procjenjivati.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Socijalni anksiozni poremećaj je dobro definisan dijagnostički termin za poseban poremećaj kojeg ne bi trebalo miješati sa pretjeranom stidljivošću. Farmakoterapija je indikovana samo ukoliko ovaj poremećaj značajno ometa profesionalne i društvene aktivnosti pacijenta.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Uloga ovog liječenja nije ocjenjivana u komparaciji sa kognitivno bihevioralnom terapijom. Farmakoterapija je samo dio ukupne strategije liječenja.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Generalizirani anksiozni poremećaj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Početna doza iznosi 10 mg, jednom dnevno. U zavisnosti od individualnog odgovora pacijenta, doza se može povećati do najviše 20 mg na dan.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Produženo liječenje pacijenata sa pozitivnim odgovorom na terapiju primjenom doze od 20 mg na dan,  ispitivano je tokom najmanje 6 mjeseci. Pozitivne efekte liječenja i dozu bi trebalo ponovljeno evaluirati, u redovnim vremenskim intervalima (vidjeti dio 5.1.).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Opsesivno-kompulzivni poremećaj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Početna doza iznosi 10 mg, jednom dnevno. U zavisnosti od individualnog odgovora pacijenta, doza se može povećati do najviše 20 mg na dan.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Budući da je opsesivno-kompulzivni poremećaj hronična bolest, pacijente je potrebno liječiti dovoljno dugo kako bi se osiguralo potpuno povlačenje simptoma.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Pozitivne efekte liječenja i dozu bi trebalo ponovljeno evaluirati, u redovnim vremenskim intervalima (vidjeti dio 5.1.).</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Stariji pacijenti (&gt; 65 godina)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Početna doza je 5 mg, jednom dnevno. U zavisnosti od individualnog odgovora pacijenta, doza se može povećati na 10 mg na dan (vidjeti dio 5.2.).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Efikasnost escitaloprama u liječenju socijalnog anksioznog poremećaja nije ispitivana kod starijih pacijenata.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Djeca i adolescenti (&lt;18 godina)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Escitalopram se ne smije primjenjivati u liječenju djece i adolescenata uzrasta do 18 godina (vidjeti dio 4.4.).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lastRenderedPageBreak/>
        <w:t xml:space="preserve">Smanjena bubrežna funkcija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Kod pacijenata sa blagim do umjerenim bubrežnim oštećenjem, nije potrebno prilagođavati dozu. Oprez se savjetuje kod pacijenata sa teškim oštećenjem bubrežne funkcije (CL</w:t>
      </w:r>
      <w:r w:rsidRPr="007B51A0">
        <w:rPr>
          <w:rFonts w:ascii="Times New Roman" w:eastAsia="Times New Roman" w:hAnsi="Times New Roman" w:cs="Times New Roman"/>
          <w:bCs/>
          <w:vertAlign w:val="subscript"/>
          <w:lang w:val="sr-Latn-ME"/>
        </w:rPr>
        <w:t xml:space="preserve">CR </w:t>
      </w:r>
      <w:r w:rsidRPr="007B51A0">
        <w:rPr>
          <w:rFonts w:ascii="Times New Roman" w:eastAsia="Times New Roman" w:hAnsi="Times New Roman" w:cs="Times New Roman"/>
          <w:bCs/>
          <w:lang w:val="sr-Latn-ME"/>
        </w:rPr>
        <w:t>manji od 30 ml/min) (vidjeti dio 5.2.).</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Smanjena funkcija jetre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Kod pacijenata sa blagim ili umjerenim oštećenjem jetre, preporučuje se početna doza od 5 mg na dan, tokom prve dvije nedjelje liječenja. U zavisnosti od individualnog odgovora pacijenta, doza se može povećati na 10 mg na dan. Oprez i veoma pažljivo titriranje doze, savjetuju se kod pacijenata sa teškim oštećenjem funkcije jetre (vidjeti dio 5.2.).</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CYP2C19 spori metabolizeri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Kod pacijenata za koje se zna da su CYP2C19 spori metabolizeri, preporučuje se početna doza od 5 mg na dan, tokom prve dvije nedjelje liječenja. U zavisnosti od individualnog odgovora pacijenta, doza se može povećati na 10 mg na dan (vidjeti dio 5.2.).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Simptomi obustave liječenja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Treba izbjegavati nagli prekid liječenja. Kada se prekida liječenje escitalopramom, dozu treba postepeno smanjivati tokom perioda od najmanje jedne do dvije nedjelje, kako bi se smanjio rizik od pojave simptoma obustave (vidjeti djelove 4.4. i 4.8.). Ukoliko se prilikom smanjivanja doze ili po prekidu liječenja jave nepodnošljivi simptomi, treba razmotriti ponovnu primjenu prethodno propisane doze. Kasnije, ljekar može nastaviti sa smanjivanjem doze,  ali na znatno postepeniji način.</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Način primjene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Oralna upotreba.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Escitalopram se primjenjuje kao pojedinačna dnevna doza, a može se uzimati uz hranu ili bez nje.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Pomoću podione linije, tableta se može podijeliti na dva jednaka dijela.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4.3. </w:t>
      </w:r>
      <w:r w:rsidRPr="007B51A0">
        <w:rPr>
          <w:rFonts w:ascii="Times New Roman" w:eastAsia="Times New Roman" w:hAnsi="Times New Roman" w:cs="Times New Roman"/>
          <w:b/>
          <w:bCs/>
          <w:lang w:val="sr-Latn-ME"/>
        </w:rPr>
        <w:tab/>
        <w:t>Kontraindikacije</w:t>
      </w: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Preosjetljivost na aktivnu supstancu i/ili bilo koju od pomoćnih supstanci (navedenih u dijelu 6.1.) u sastavu lijeka.</w:t>
      </w: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Kontraindikovano je istovremeno liječenje sa neselektivnim, ireverzibilnim inhibitorima monoaminooksidaze (IMAO) usljed rizika od pojave serotoninskog sindroma sa simptomima poput agitacije, tremora, hipertermije itd. (vidjeti dio 4.5.).</w:t>
      </w: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Kontraindikovana je kombinacija escitaloprama sa reverzibilnim inhibitorima monoaminooksidaze (npr. moklobemid) ili sa reverzibilnim neselektivnim inhibitorom monoaminooksidaze linezolidom, zbog rizika od nastanka serotoninskog sindroma (vidjeti dio 4.5.).</w:t>
      </w: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Escitalopram je kontraindikovan kod pacijenata za koje se zna da imaju produžen QT interval ili urođeni sindrom dugog QT intervala.</w:t>
      </w: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p>
    <w:p w:rsidR="007B51A0" w:rsidRPr="007B51A0" w:rsidRDefault="007B51A0" w:rsidP="007B51A0">
      <w:pPr>
        <w:spacing w:after="0" w:line="240" w:lineRule="auto"/>
        <w:contextualSpacing/>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Kontraindikovana je istovremena primjena escitaloprama sa ljekovima za koje se zna da produžavaju QT interval (vidjeti dio 4.5.).</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lastRenderedPageBreak/>
        <w:t xml:space="preserve">4.4. </w:t>
      </w:r>
      <w:r w:rsidRPr="007B51A0">
        <w:rPr>
          <w:rFonts w:ascii="Times New Roman" w:eastAsia="Times New Roman" w:hAnsi="Times New Roman" w:cs="Times New Roman"/>
          <w:b/>
          <w:bCs/>
          <w:lang w:val="sr-Latn-ME"/>
        </w:rPr>
        <w:tab/>
        <w:t>Posebna upozorenja i mjere opreza pri upotrebi lijeka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U nastavku su navedena posebna upozorenja i mjere opreza koji se odnose na ljekove iz terapijske grupe  selektivnih inhibitora ponovnog preuzimanja serotonina (eng. </w:t>
      </w:r>
      <w:r w:rsidRPr="007B51A0">
        <w:rPr>
          <w:rFonts w:ascii="Times New Roman" w:eastAsia="Times New Roman" w:hAnsi="Times New Roman" w:cs="Times New Roman"/>
          <w:bCs/>
          <w:i/>
          <w:lang w:val="sr-Latn-ME"/>
        </w:rPr>
        <w:t xml:space="preserve">Selective Serotonin Reuptake Inhibitors </w:t>
      </w:r>
      <w:r w:rsidRPr="007B51A0">
        <w:rPr>
          <w:rFonts w:ascii="Times New Roman" w:eastAsia="Times New Roman" w:hAnsi="Times New Roman" w:cs="Times New Roman"/>
          <w:bCs/>
          <w:lang w:val="sr-Latn-ME"/>
        </w:rPr>
        <w:t>– SSRI):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Primjena u pedijatrijskoj populaciji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Escitalopram ne treba primjenjivati za liječenje u pedijatrijskoj populaciji. U kliničkim ispitivanjima, zapažena je veća učestalost suicidalnog ponašanja (pokušaj suicida i suicidalne misli) i neprijateljskog ponašanja (predominantno agresivnost, opoziciono ponašanje i bijes) u pedijatrijskoj populaciji koja je primala antidepresive u poređenju sa grupom koja je primala placebo. Ukoliko se i pored toga, zbog kliničke potrebe, donese odluka o liječenju ovim lijekom, pacijenta treba brižljivo pratiti zbog moguće  pojave suicidalnih simptoma. Pored toga, nedostaju podaci o dugotrajnom praćenju bezbjednosti lijeka kod pedijatrijskih pacijenata koji se odnose na rast, sazrijevanje i razvoj kognitivnih funkcija i ponašanja.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Paradoksalna anksioznost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Pojedini pacijenti sa paničnim poremećajem mogu, na početku liječenja antidepresivima, imati simptome pojačane anksioznosti. Ta paradoksalna reakcija se obično povlači u toku dvije nedjelje kontinuiranog liječenja. Stoga se savjetuje primjena manjih početnih doza da bi se smanjila vjerovatnoća anksiogenog dejstva (vidjeti dio 4.2.).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Napadi konvulzija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Ako se kod pacijenta po prvi put javi napad konvulzija ili dođe do povećanja učestalosti napada (kod pacijenata kojima je prethodno dijagnostifikovana epilepsija), primjena escitaloprama se mora prekinuti. SSRI ljekove treba izbjegavati kod pacijenata sa nestabilnom epilepsijom, a pacijente sa kontrolisanom epilepsijom treba pažljivo pratiti.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 xml:space="preserve">Manija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SSRI ljekove treba sa oprezom primjenjivati kod pacijenata sa anamnezom manije/hipomanije. Ukoliko pacijent uđe u maničnu fazu, primjenu SSRI ljekova treba prekinuti.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 xml:space="preserve">Dijabetes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Kod pacijenata sa dijabetesom, terapija SSRI ljekovima može dovesti do promjene u kontroli glikemije (hipoglikemije ili hiperglikemije). Može biti potrebno prilagoditi doziranja insulina i/ili oralnog hipoglikemijskog lijeka.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 xml:space="preserve">Suicid/suicidalne misli ili kliničko pogoršanje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Depresija je povezana sa povećanim rizikom od suicidalnih misli, samopovređivanja i suicida (događaji povezani sa suicidom). Ovaj rizik je prisutan sve dok ne dođe do pojave značajne remisije bolesti. Obzirom da se poboljšanje ne mora javiti tokom prvih nekoliko nedjelja liječenja ili duže, pacijente treba pažljivo pratiti, sve dok ne dođe do poboljšanja. Opšte kliničko iskustvo je da se rizik od suicida može povećati tokom ranih faza oporavka.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I druga psihijatrijska stanja za koje se escitalopram propisuje, takođe mogu biti udružena sa povećanim rizikom od pojave događaja povezanih sa suicidom. Dodatno, navedena stanja mogu biti u komorbiditetu sa velikim depresivnim poremećajem. Stoga, tokom liječenja pacijenata sa drugim psihijatrijskim poremećajima, treba </w:t>
      </w:r>
      <w:r w:rsidRPr="007B51A0">
        <w:rPr>
          <w:rFonts w:ascii="Times New Roman" w:eastAsia="Times New Roman" w:hAnsi="Times New Roman" w:cs="Times New Roman"/>
          <w:bCs/>
          <w:lang w:val="sr-Latn-ME"/>
        </w:rPr>
        <w:lastRenderedPageBreak/>
        <w:t>primijeniti iste mjere opreza koje se primjenjuju tokom liječenja pacijenata sa velikim depresivnim poremećajem.</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Zna se da su pacijenati koji su prethodno imali događaje vezane za suicid ili oni koji ispoljavaju značajan stepen suicidalnih ideja prije početka liječenja, u povećanom riziku od suicidalnih misli ili pokušaja suicida, te ih potrebno pažljivo pratiti tokom liječenja. Meta analiza placebo-kontrolisanih kliničkih ispitivanja primjene antidepresiva kod odraslih pacijenata sa psihijatrijskim poremećajima, pokazala je povećan rizik od suicidalnog ponašanja kod pacijenata mlađih od 25 godina, tokom liječenja antidepresivima, a u komparaciji sa placebom. Tokom primjene lijeka, posebno u ranoj fazi liječenja i nakon promjena doze, potrebno je pažljivo pratiti pacijente, a posebno one koji su visokorizični.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Pacijente (i njihove staratelje) treba upozoriti na potrebu praćenja pojave bilo kakvog kliničkog pogoršanja, suicidalnog ponašanja ili suicidalnih misli, kao i neuobičajenih promjena ponašanja i da odmah potraže medicinski savjet, ukoliko su ovi simptomi jave.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Akatizija/psihomotorni nemir</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Primjena SSRI, odnosno SNRI ljekova (eng</w:t>
      </w:r>
      <w:r w:rsidRPr="007B51A0">
        <w:rPr>
          <w:rFonts w:ascii="Times New Roman" w:eastAsia="Times New Roman" w:hAnsi="Times New Roman" w:cs="Times New Roman"/>
          <w:bCs/>
          <w:i/>
          <w:lang w:val="sr-Latn-ME"/>
        </w:rPr>
        <w:t>.</w:t>
      </w:r>
      <w:r w:rsidRPr="007B51A0">
        <w:rPr>
          <w:rFonts w:ascii="Times New Roman" w:eastAsia="Times New Roman" w:hAnsi="Times New Roman" w:cs="Times New Roman"/>
          <w:bCs/>
          <w:lang w:val="sr-Latn-ME"/>
        </w:rPr>
        <w:t xml:space="preserve"> </w:t>
      </w:r>
      <w:r w:rsidRPr="007B51A0">
        <w:rPr>
          <w:rFonts w:ascii="Times New Roman" w:eastAsia="Times New Roman" w:hAnsi="Times New Roman" w:cs="Times New Roman"/>
          <w:bCs/>
          <w:i/>
          <w:lang w:val="sr-Latn-ME"/>
        </w:rPr>
        <w:t>Selective Norepinephrine Reuptake Inhibitors</w:t>
      </w:r>
      <w:r w:rsidRPr="007B51A0">
        <w:rPr>
          <w:rFonts w:ascii="Times New Roman" w:eastAsia="Times New Roman" w:hAnsi="Times New Roman" w:cs="Times New Roman"/>
          <w:bCs/>
          <w:lang w:val="sr-Latn-ME"/>
        </w:rPr>
        <w:t xml:space="preserve"> - SNRI) povezana je sa razvojem akatizije koju karakteriše subjektivno neprijatan ili mučan nemir i potreba za kretanjem, često uz nemogućnost mirnog sjedenja ili stajanja. Ovo se najčešće javlja u toku nekoliko prvih nedjelja liječenja. Kod pacijenata kod kojih se razviju ovi simptomi, povećanje doze može biti štetno.</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Hiponatrijemija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Hiponatrijemija, nastala vjerojatno usljed neodgovarajućeg lučenja antidiuretskog hormona, rijetko je zabilježena pri primjeni SSRI ljekova i obično se povlači po prekidu terapije. Potreban je oprez kod pacijenata sa povećanim rizikom, kao što su starije osobe ili pacijenti sa cirozom jetre ili kod onih koji ih koriste u kombinaciji sa drugim ljekovima koji mogu uzrokovati hiponatrijemiju.</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Krvarenje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Postoje izvještaji o neuobičajenim kutanim krvarenjima tokom primjene SSRI ljekova, kao što su ekhimoze i purpura. Oprez se savjetuje kod pacijenata koji uzimaju SSRI ljekove, posebno pri istovremenoj primjeni oralnih antikoagulanasa i ljekova za koje se zna da utiču na funkciju trombocita (npr. atipični antipsihotici i fenotiazini, većina tricikličnih antidepresiva, acetilsalicilna kiselina i nesteroidni antiinflamatorni ljekovi, tiklodipin i dipiridamol), kao i kod pacijenata za koje se zna da su skloni krvarenjima.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Elektrokonvulzivna terapija</w:t>
      </w:r>
      <w:r w:rsidR="005E2168">
        <w:rPr>
          <w:rFonts w:ascii="Times New Roman" w:eastAsia="Times New Roman" w:hAnsi="Times New Roman" w:cs="Times New Roman"/>
          <w:bCs/>
          <w:u w:val="single"/>
          <w:lang w:val="sr-Latn-ME"/>
        </w:rPr>
        <w:t xml:space="preserve"> </w:t>
      </w:r>
      <w:r w:rsidRPr="007B51A0">
        <w:rPr>
          <w:rFonts w:ascii="Times New Roman" w:eastAsia="Times New Roman" w:hAnsi="Times New Roman" w:cs="Times New Roman"/>
          <w:bCs/>
          <w:u w:val="single"/>
          <w:lang w:val="sr-Latn-ME"/>
        </w:rPr>
        <w:t>(EKT)</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Kliničko iskustvo vezano za istovremenu primjenu elektrokonvulzivne terapije i SSRI-a je ograničeno, pa se savjetuje oprez.</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Serotoninski sindrom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Preporučuje se oprez pri istovremenoj primjeni escitaloprama sa ljekovima koji imaju serotonergično djelovanje, kao što su sumatriptan i drugi triptani, tramadol i triptofan.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Zabilježeni su rijetki slučajevi serotoninskog sindroma kod pacijenata koji su istovremeno primjenjivali SSRI i serotonergičke ljekove. Na razvoj ovog sindroma može upućivati kombinacija simptoma poput agitacije, tremora, mioklonusa i hipertermije. U tom slučaju potrebno je odmah prekinuti primjenu SSRI i serotonergičkog lijeka i započeti simptomatsko liječenje.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lastRenderedPageBreak/>
        <w:t xml:space="preserve">Kantarion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Istovremena primjena SSRI ljekova i biljnih preparata koji sadrže kantarion (</w:t>
      </w:r>
      <w:r w:rsidRPr="007B51A0">
        <w:rPr>
          <w:rFonts w:ascii="Times New Roman" w:eastAsia="Times New Roman" w:hAnsi="Times New Roman" w:cs="Times New Roman"/>
          <w:bCs/>
          <w:i/>
          <w:iCs/>
          <w:lang w:val="sr-Latn-ME"/>
        </w:rPr>
        <w:t>Hypericum perforatum</w:t>
      </w:r>
      <w:r w:rsidRPr="007B51A0">
        <w:rPr>
          <w:rFonts w:ascii="Times New Roman" w:eastAsia="Times New Roman" w:hAnsi="Times New Roman" w:cs="Times New Roman"/>
          <w:bCs/>
          <w:lang w:val="sr-Latn-ME"/>
        </w:rPr>
        <w:t>), može dovesti do povećane incidence neželjenih reakcija (vidjeti dio 4.5.).</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Simptomi obustave po prestanku liječenja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Simptomi obustave po prestanku liječenja su česti, posebno kod naglog prekida (vidjeti dio 4.8.). U  kliničkim ispitivanjima, neželjeni događaji koji su pratili prekid liječenja, javili su se kod oko 25% pacijenata liječenih escitalopramom i kod 15% pacijenata koji su primali placebo.</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Rizik od nastanka simptoma obustave može zavisiti od nekoliko faktora, uključujući trajanje liječenja i primjenjivanu dozu, kao i brzinu smanjivanja doze. Najčešće zabilježene reakcije su: vrtoglavica, senzorni poremećaji (uključujući paresteziju i senzacije slične električnom šoku), poremećaji sna (uključujući i nesanicu i intenzivne snove), agitacija ili anksioznost, mučnina i/ili povraćanje, tremor, konfuzija, znojenje, glavobolja, proliv, palpitacije, emocionalna nestabilnost, iritabilnost i poremećaji vida. Ovi simptomi su obično blagi do umjereni; međutim, kod nekih pacijenata mogu biti teški.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Obično se javljaju u toku prvih nekoliko dana po prekidu liječenja, mada su zabilježeni i vrlo rijetki slučajevi u kojima su se ovakvi simptomi javljali kod pacijenata koji su nenamjerno propustili dozu lijeka.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Uglavnom se ovi simptomi spontano povlače i to obično u toku perioda od dvije nedjelje, mada kod nekih pojedinaca mogu trajati i duže (2-3 mjeseca ili više). Zbog toga se savjetuje da se pri prekidu liječenja escitalopramom, doza postepeno smanjuje kroz period od nekoliko nedjelja ili mjeseci, u skladu sa potrebama pacijenta (vidjeti „Simptomi obustave liječenja“, dio 4.2.).</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Koronarna bolest srca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Zbog ograničenog kliničkog iskustva, savjetuje se oprez kod pacijenata sa koronarnom bolesti srca (vidjeti dio 5.3.).</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Produženje QT intervala</w:t>
      </w: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Utvrđeno je da escitalopram uzrokuje produženje QT intervala koje je zavisno od doze. Slučajevi produženja QT intervala i ventrikularne aritmije uključujući  i </w:t>
      </w:r>
      <w:r w:rsidRPr="007B51A0">
        <w:rPr>
          <w:rFonts w:ascii="Times New Roman" w:eastAsia="Times New Roman" w:hAnsi="Times New Roman" w:cs="Times New Roman"/>
          <w:bCs/>
          <w:i/>
          <w:lang w:val="sr-Latn-ME"/>
        </w:rPr>
        <w:t>torsade de pointes</w:t>
      </w:r>
      <w:r w:rsidRPr="007B51A0">
        <w:rPr>
          <w:rFonts w:ascii="Times New Roman" w:eastAsia="Times New Roman" w:hAnsi="Times New Roman" w:cs="Times New Roman"/>
          <w:bCs/>
          <w:lang w:val="sr-Latn-ME"/>
        </w:rPr>
        <w:t>, prijavljeni su tokom postmarketinškog perioda, predominantno kod pacijentica sa hipokalijemijom ili sa već prisutnim produženim QT intervalom ili drugim srčanim oboljenjima (vidjeti djelove 4.3., 4.5., 4.8., 4.9. i 5.1.).</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Oprez je potreban kod pacijenata sa značajnom bradikardijom ili kod pacijenata sa nedavnim akutnim infarktom miokarda ili dekompenzovanom srčanom insuficijencijom.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Poremećaji elektrolita kao što su hipokalijemija i hipomagnezijemija povećavaju rizik od nastanka malignih aritmija i treba ih korigovati prije početka liječenja escitalopramom.</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Prije početka liječenja pacijenata sa stabilnim srčanim oboljenjem, treba razmotriti EKG pregled.</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Ukoliko se pojave znaci srčane aritmije tokom liječenja escitalopramom, liječenje treba prekinuti i uraditi EKG pregled.</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lastRenderedPageBreak/>
        <w:t>Glaukom zatvorenog ugla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SSRI ljekovi, uključujući i escitalopram, mogu imati efekt na veličinu zjenice, dovodeći do midrijaze. Ovaj efekt širenja zjenice, može izazvati suženje očnog ugla dovodeći do povećanja intraokularnog prtitiska i nastanka glaukoma zatvorenog ugla, posebno kod predisponiranih pacijenata. Stoga se escitalopram treba sa oprezom primjenjivati kod pacijenata sa glaukomom zatvorenog ugla ili s glaukomom u anamnezi.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4.5.</w:t>
      </w:r>
      <w:r w:rsidRPr="007B51A0">
        <w:rPr>
          <w:rFonts w:ascii="Times New Roman" w:eastAsia="Times New Roman" w:hAnsi="Times New Roman" w:cs="Times New Roman"/>
          <w:b/>
          <w:bCs/>
          <w:lang w:val="sr-Latn-ME"/>
        </w:rPr>
        <w:tab/>
        <w:t>Interakcije sa drugim ljekovima i druge vrste interakcija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Farmakodinamičke interakcije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r w:rsidRPr="007B51A0">
        <w:rPr>
          <w:rFonts w:ascii="Times New Roman" w:eastAsia="Times New Roman" w:hAnsi="Times New Roman" w:cs="Times New Roman"/>
          <w:bCs/>
          <w:u w:val="single"/>
          <w:lang w:val="sr-Latn-ME"/>
        </w:rPr>
        <w:t>Kontraindikovane kombinacije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i/>
          <w:lang w:val="sr-Latn-ME"/>
        </w:rPr>
      </w:pPr>
      <w:r w:rsidRPr="007B51A0">
        <w:rPr>
          <w:rFonts w:ascii="Times New Roman" w:eastAsia="Times New Roman" w:hAnsi="Times New Roman" w:cs="Times New Roman"/>
          <w:bCs/>
          <w:i/>
          <w:iCs/>
          <w:lang w:val="sr-Latn-ME"/>
        </w:rPr>
        <w:t>Ireverzibilni, neselektivni inhibitori manoaminooksidaze  (</w:t>
      </w:r>
      <w:r w:rsidRPr="007B51A0">
        <w:rPr>
          <w:rFonts w:ascii="Times New Roman" w:eastAsia="Times New Roman" w:hAnsi="Times New Roman" w:cs="Times New Roman"/>
          <w:bCs/>
          <w:iCs/>
          <w:lang w:val="sr-Latn-ME"/>
        </w:rPr>
        <w:t>eng</w:t>
      </w:r>
      <w:r w:rsidRPr="007B51A0">
        <w:rPr>
          <w:rFonts w:ascii="Times New Roman" w:eastAsia="Times New Roman" w:hAnsi="Times New Roman" w:cs="Times New Roman"/>
          <w:bCs/>
          <w:i/>
          <w:iCs/>
          <w:lang w:val="sr-Latn-ME"/>
        </w:rPr>
        <w:t xml:space="preserve">. </w:t>
      </w:r>
      <w:r w:rsidRPr="007B51A0">
        <w:rPr>
          <w:rFonts w:ascii="Times New Roman" w:eastAsia="Times New Roman" w:hAnsi="Times New Roman" w:cs="Times New Roman"/>
          <w:bCs/>
          <w:i/>
          <w:lang w:val="sr-Latn-ME"/>
        </w:rPr>
        <w:t>Monoamine Oxidase Inhibitor - MAOI)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Zabilježeni su slučajevi ozbiljnih reakcija kod pacijenata koji su primjenjivali SSRI lijek koji su istovremeno bili na terapiji neselektivnim ireverzibilnim MAO inhibitorima, kao i kod pacijenata koji su neposredno po prekidu primjene SSRI-a započeli liječenje ireverzibilnim MAO inhibitorima (vidjeti dio 4.3.). U nekim slučajevima kod pacijenta bi se razvio serotoninski sindrom (vidjeti dio 4.8.).</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Escitalopram je kontraindikovan u kombinaciji sa neselektivnim, ireverzibilnim MAO inhibitorima. Liječenje escitalopramom može započeti tek 14 dana nakon prestanka primjene ireverzibilnih MAO inhibitora. Nakon prestanka primjene escitaloprama, potrebno je napraviti pauzu od najmanje 7 dana prije početka primjene neselektivnih, ireverzibilnih MAO inhibirora.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Reverzibilni, selektivni MAO-A inhibitor (moklobemid)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Zbog rizika od pojave serotoninskog sindroma, kontraindikovana je kombinacija escitaloprama sa MAO-A inhibitorom poput moklobemida (vidjeti dio 4.3.). Ukoliko je navedena kombinacija neophodna, liječenje treba započeti najmanjim preporučenim dozama i uz pojačano kliničko praćenje pacijenta.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lang w:val="sr-Latn-ME"/>
        </w:rPr>
      </w:pPr>
      <w:r w:rsidRPr="007B51A0">
        <w:rPr>
          <w:rFonts w:ascii="Times New Roman" w:eastAsia="Times New Roman" w:hAnsi="Times New Roman" w:cs="Times New Roman"/>
          <w:bCs/>
          <w:i/>
          <w:lang w:val="sr-Latn-ME"/>
        </w:rPr>
        <w:t>Reverzibilni, neselektivni MAO inhibitor (linezolid)</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Antibiotik linezolid je reverzibilni, neselektivni MAO inhibitor i ne smije se primjenjivati kod pacijenata koji su na terapiji escitalopramom. Ukoliko je primjena ove kombinacija neophodna, treba primijeniti minimalne doze uz strogo kliničko praćenje pacijenta (vidjeti dio 4.3.).</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lang w:val="sr-Latn-ME"/>
        </w:rPr>
      </w:pPr>
      <w:r w:rsidRPr="007B51A0">
        <w:rPr>
          <w:rFonts w:ascii="Times New Roman" w:eastAsia="Times New Roman" w:hAnsi="Times New Roman" w:cs="Times New Roman"/>
          <w:bCs/>
          <w:i/>
          <w:iCs/>
          <w:lang w:val="sr-Latn-ME"/>
        </w:rPr>
        <w:t xml:space="preserve">Ireverzibilni, selektivni MAO-B inhibitor </w:t>
      </w:r>
      <w:r w:rsidRPr="007B51A0">
        <w:rPr>
          <w:rFonts w:ascii="Times New Roman" w:eastAsia="Times New Roman" w:hAnsi="Times New Roman" w:cs="Times New Roman"/>
          <w:bCs/>
          <w:i/>
          <w:lang w:val="sr-Latn-ME"/>
        </w:rPr>
        <w:t>(selegilin)</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Kombinacija sa selegilinom (ireverzibilni MAO-B inhibitor) zahtijeva pojačan oprez zbog rizika od razvoja serotoninskog sindroma. Doze selegilina do 10 mg na dan pokazale su se bezbjednim pri istovremenoj primjeni sa racematom citaloprama.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Produženje QT intervala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Farmakokinetičke i farmakodinamske studije primjene escitaloprama u kombinaciji sa drugim ljekovima koji produžuju QT interval nijesu sprovedene. Aditivni efekat pri primjeni escitaloprama i ove grupe ljekova se ne može isključiti. Stoga je kontraindikovana primjena escitaloprama sa ljekovima koji produžuju QT interval, poput antiaritmika klase IA i III, antipsihotika (npr. derivati fenotiazina, pimozid, haloperidol), tricikličnih antidepresiva, pojedinih antimikrobnih ljekova (npr. sparfloksacin, moksifloksacin, eritromicin IV, pentamidin, antimalarici - posebno halofantrin), pojedinih antihistaminika (npr. astemizol, mizolastin).</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lastRenderedPageBreak/>
        <w:t>Kombinacije koje zahtijevaju oprez</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Serotonergični ljekovi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Istovremena primjena sa serotonergičnim ljekovima (npr. tramadol, sumatriptan i drugi triptani), može dovesti do pojave serotoninskog sindroma.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Ljekovi koji snižavaju prag za nastanak konvulzija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SSRI ljekovi mogu sniziti prag za nastanak konvulzija. Zahtijeva se oprez pri istovremenoj primjeni sa drugim ljekovima koji mogu sniziti prag za nastanak konvulzija, npr. antidepresivi (triciklični, SSRI), neuroleptici (fenotiazini, tioksanteni i butirofenoni), meflokin, bupropion i tramadol.</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Litijum, triptofan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Prijavljeni su slučajevi pojačanih efekata kod istovremene primjene SSRI ljekova sa litijumom ili triptofanom, stoga,  istovremenu primjenu SSRI i ovih ljekova treba primjenjivati uz oprez.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lang w:val="sr-Latn-ME"/>
        </w:rPr>
      </w:pPr>
      <w:r w:rsidRPr="007B51A0">
        <w:rPr>
          <w:rFonts w:ascii="Times New Roman" w:eastAsia="Times New Roman" w:hAnsi="Times New Roman" w:cs="Times New Roman"/>
          <w:bCs/>
          <w:i/>
          <w:lang w:val="sr-Latn-ME"/>
        </w:rPr>
        <w:t xml:space="preserve">Kantarion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Istovremena primjena SSRI ljekova i biljnih preparata koji sadrže kantarion (</w:t>
      </w:r>
      <w:r w:rsidRPr="007B51A0">
        <w:rPr>
          <w:rFonts w:ascii="Times New Roman" w:eastAsia="Times New Roman" w:hAnsi="Times New Roman" w:cs="Times New Roman"/>
          <w:bCs/>
          <w:i/>
          <w:iCs/>
          <w:lang w:val="sr-Latn-ME"/>
        </w:rPr>
        <w:t>Hypericum perforatum</w:t>
      </w:r>
      <w:r w:rsidRPr="007B51A0">
        <w:rPr>
          <w:rFonts w:ascii="Times New Roman" w:eastAsia="Times New Roman" w:hAnsi="Times New Roman" w:cs="Times New Roman"/>
          <w:bCs/>
          <w:lang w:val="sr-Latn-ME"/>
        </w:rPr>
        <w:t>), može dovesti do povećane incidence neželjenih reakcija (vidjeti dio 4.4.).</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Krvarenje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Istovremena primjena escitaloprama i oralnih antikoagulanasa može dovesti do promijenjenih  antikoagulacijskih efekata. Kod pacijenata koji primjenjuju oralne antikoagulanse, zahtijeva se pažljiva kontrola parametara koagulacije, na početku i nakon prekida primjene escitaloprama (vidjeti dio 4.4.).  Istovremena primjena nesteroidnih antiinflamatornih ljekova može povećati sklonost ka krvarenju (vidjeti dio 4.4.).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Alkohol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Ne očekuju se farmakodinamiske ili farmakokinetičke interakcije između escitaloprama i alkohola. Međutim, kao i u slučaju primjene drugih psihotropnih ljekova, kombinacija sa alkoholom nije preporučljiva.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Ljekovi koji izazivaju hipokalijemiju/hipomagnezijemiju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Neophodan je oprez pri istovremenoj primjeni ljekova koji izazivaju hipokalijemiju/hipomagnezijemiju, jer ta stanja povećavaju rizik od pojave malignih aritmija (vidjeti dio 4.4.).</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Farmakokinetičke interakcije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Uticaj drugih ljekova na farmakokinetiku escitaloprama.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Metabolizam escitaloprama je najvećim dijelom posredovan enzimom CYP2C19. Enzimi CYP3A4 i CYP2D6 mogu takođe doprinijeti njegovom metabolizmu, iako u manjem stepenu. Izgleda da je metabolizam glavnog metabolita S-DCT (demetilovanog escitaloprama) djelomično katalizovan posredstvom CYP2D6.</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Istovremena primjena escitaloprama i omeprazola 30 mg, jednom dnevno (inhibitor CYP2C19), dovela je do umjerenog (približno 50%) povećanja koncentracija escitaloprama u plazmi.</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lastRenderedPageBreak/>
        <w:t>Istovremena primjena escitaloprama i cimetidina 400 mg, dva puta dnevno (umjereno snažan opšti inhibitor enzima), imala je za posljedicu umjereno (približno 70%) povećanje koncentracija escitaloprama u plazmi. Oprez se savjetuje kada se primjenjuje escitalopram u kombinaciji sa cimetidinom. Prilagođavanje doze može biti opravdano.</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Stoga se savjetuje oprez pri istovremenoj primjeni escitaloprama i inhibitora CYP2C19 (npr. omeprazol, esomeprazol, flukonazol, fluvoksamin, lanzoprazol, tiklopidin) ili cimetidina. Na osnovu podataka dobijenih praćenjem neželjenih dejstava tokom istovremene primjene ovih ljekova, može biti potrebno smanjiti dozu escitaloprama.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Uticaj escitaloprama na farmakokinetiku drugih ljekova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Escitalopram je inhibitor enzima CYP2D6. Oprez je potreban pri istovremenoj primjeni escitaloprama sa ljekovima koji se uglavnom metabolišu preko ovog enzima, a koji pri tom imaju i uzak terapijski indeks, npr. flekainid, propafenon i metoprolol (kod liječenja srčane insuficijencije) ili pri istovremenoj primjeni sa nekim ljekovima koji djeluju na CNS, a koji se takođe najvećim dijelom metabolišu preko CYP2D6, poput antidepresiva dezipramina, klomipramina i nortriptilina ili antipsihotika risperidona, tioridazina i haloperidola. Prilagođavanje doze može biti opravdano.</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Istovremena primjena sa desipraminom ili metoprololom dovela je, u oba slučaja, do dvostrukog povećanja nivoa u plazmi ova dva supstrata enzima CYP2D6.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i/>
          <w:iCs/>
          <w:lang w:val="sr-Latn-ME"/>
        </w:rPr>
        <w:t xml:space="preserve">In vitro </w:t>
      </w:r>
      <w:r w:rsidRPr="007B51A0">
        <w:rPr>
          <w:rFonts w:ascii="Times New Roman" w:eastAsia="Times New Roman" w:hAnsi="Times New Roman" w:cs="Times New Roman"/>
          <w:bCs/>
          <w:lang w:val="sr-Latn-ME"/>
        </w:rPr>
        <w:t>ispitivanja su pokazala da escitalopram takođe može da prouzrokuje blagu inhibiciju CYP2C19. Stoga se preporučuje oprez pri istovremenoj primjeni sa ljekovima koji se metabolišu preko CYP2C19.</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lang w:val="sr-Latn-ME"/>
        </w:rPr>
      </w:pPr>
      <w:r w:rsidRPr="007B51A0">
        <w:rPr>
          <w:rFonts w:ascii="Times New Roman" w:eastAsia="Times New Roman" w:hAnsi="Times New Roman" w:cs="Times New Roman"/>
          <w:b/>
          <w:bCs/>
          <w:lang w:val="sr-Latn-ME"/>
        </w:rPr>
        <w:t xml:space="preserve">4.6. </w:t>
      </w:r>
      <w:r w:rsidRPr="007B51A0">
        <w:rPr>
          <w:rFonts w:ascii="Times New Roman" w:eastAsia="Times New Roman" w:hAnsi="Times New Roman" w:cs="Times New Roman"/>
          <w:b/>
          <w:bCs/>
          <w:lang w:val="sr-Latn-ME"/>
        </w:rPr>
        <w:tab/>
      </w:r>
      <w:r w:rsidRPr="007B51A0">
        <w:rPr>
          <w:rFonts w:ascii="Times New Roman" w:eastAsia="Times New Roman" w:hAnsi="Times New Roman" w:cs="Times New Roman"/>
          <w:b/>
          <w:lang w:val="sr-Latn-ME"/>
        </w:rPr>
        <w:t>Plodnost, trudnoća i dojenje</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i/>
          <w:lang w:val="sr-Latn-ME"/>
        </w:rPr>
      </w:pPr>
      <w:r w:rsidRPr="007B51A0">
        <w:rPr>
          <w:rFonts w:ascii="Times New Roman" w:eastAsia="Calibri" w:hAnsi="Times New Roman" w:cs="Times New Roman"/>
          <w:i/>
          <w:lang w:val="sr-Latn-ME"/>
        </w:rPr>
        <w:t xml:space="preserve">Plodnost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Animalni podaci su pokazali da citalopram može uticati na kvalitet sperme (vidjeti dio 5.3.).  Izvještaji o slučajevima primjene nekih SSRI ljekova kod ljudi, pokazali su da je efekt na kvalitet sperme reverzibilan. Uticaj na plodnost kod ljudi do sada nije primijećen.</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i/>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i/>
          <w:lang w:val="sr-Latn-ME"/>
        </w:rPr>
      </w:pPr>
      <w:r w:rsidRPr="007B51A0">
        <w:rPr>
          <w:rFonts w:ascii="Times New Roman" w:eastAsia="Calibri" w:hAnsi="Times New Roman" w:cs="Times New Roman"/>
          <w:i/>
          <w:lang w:val="sr-Latn-ME"/>
        </w:rPr>
        <w:t>Trudnoća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Postoje ograničeni klinički podaci o izloženosti trudnica escitalopramu.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Ispitivanja na životinjama su pokazala reproduktivnu toksičnost (vidjeti dio 5.3.). Escitalopram se ne smije primjenjivati u trudnoći, osim kod nužne potrebe i to isključivo nakon pažljive procjene odnosa rizika i koristi.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Novorođenčad treba pratiti ukoliko je majka u kasnijim stadijumima trudnoće, posebno u trećem trimestru, uzimala escitalopram. U toku trudnoće potrebno je izbjeći nagli prekid primjene lijeka.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Nakon majčine primjene SSRI/SNRI ljekova u kasnijim stadijima trudnoće, kod novorođenčadi se mogu javiti sljedeći simptomi: respiratorni distres, cijanoza, apnea, napadi konvulzija, nestabilnost tjelesne temperature, poteškoće pri hranjenju, povraćanje, hipoglikemija, hipertonija, hipotonija, hiperrefleksija, tremor, nervoza, iritabilnost, letargija, stalan plač, pospanost i poremećaji sna. Ovi simptomi se mogu javiti zbog serotonergičnih efekata ili simptoma obustave lijeka. U većini slučajeva komplikacije se javljaju odmah ili ubrzo (&lt; 24 sata) po rođenju.</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lastRenderedPageBreak/>
        <w:t>Epidemiološki podaci ukazuju da primjena SSRI ljekova u trudnoći, a posebno u kasnoj trudnoći, može povećati rizik od perzistentne plućne hipertenzije kod novorođenčeta. Uočeni rizik iznosio je približno 5 slučajeva na 1000 trudnoća. U opštoj populaciji, javlja se 1 do 2 slučaja perzistentne plućne hipertenzije na 1000 trudnoća.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i/>
          <w:lang w:val="sr-Latn-ME"/>
        </w:rPr>
      </w:pPr>
      <w:r w:rsidRPr="007B51A0">
        <w:rPr>
          <w:rFonts w:ascii="Times New Roman" w:eastAsia="Calibri" w:hAnsi="Times New Roman" w:cs="Times New Roman"/>
          <w:i/>
          <w:lang w:val="sr-Latn-ME"/>
        </w:rPr>
        <w:t xml:space="preserve">Dojenje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Za escitalopram je očekivano da će biti izlučen u majčino mlijeko.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lang w:val="sr-Latn-ME"/>
        </w:rPr>
        <w:t xml:space="preserve">Stoga se ne preporučuje dojenje tokom liječenja escitalopramom.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4.7. </w:t>
      </w:r>
      <w:r w:rsidRPr="007B51A0">
        <w:rPr>
          <w:rFonts w:ascii="Times New Roman" w:eastAsia="Times New Roman" w:hAnsi="Times New Roman" w:cs="Times New Roman"/>
          <w:b/>
          <w:bCs/>
          <w:lang w:val="sr-Latn-ME"/>
        </w:rPr>
        <w:tab/>
        <w:t>Uticaj na sposobnost upravljanja vozilima i rukovanje mašinama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Iako se pokazalo da escitalopram ne utiče na intelektualnu funkciju ili psihomotornu aktivnost, svaki psihoaktivni lijek može umanjiti prosuđivanje ili vještinu upravljanja vozilima i rukovanje mašinama. Pacijente treba upozoriti na potencijalni rizik uticaja lijeka na njihovu sposobnost upravljanja vozilima i rada na mašinama.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4.8. </w:t>
      </w:r>
      <w:r w:rsidRPr="007B51A0">
        <w:rPr>
          <w:rFonts w:ascii="Times New Roman" w:eastAsia="Times New Roman" w:hAnsi="Times New Roman" w:cs="Times New Roman"/>
          <w:b/>
          <w:bCs/>
          <w:lang w:val="sr-Latn-ME"/>
        </w:rPr>
        <w:tab/>
        <w:t>Neželjena dejstva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Neželjene reakcije su najčešće tokom prve ili druge sedmice liječenja, a njihov intenzitet i učestalost se smanjuju s nastavkom liječenja.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u w:val="single"/>
          <w:lang w:val="sr-Latn-ME"/>
        </w:rPr>
        <w:t>Tabelarni prikaz neželjenih reakcija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Neželjene reakcije koje su od ranije poznate za SSRI ljekove, kao i neželjene reakcije zabilježene za escitalopram tokom placebo-kontrolisanih kliničkih studija ili kao spontani post-marketinški događaji, navedene su u nastavku, prema organskim sistemima i učestalosti njihovog ispoljavanja.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Učestalosti su uzete iz kliničkih studija, a njihova korekcija prema placebu nije rađena.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Učestalost je definisana kao: vrlo česta (≥1/10), česta (≥ 1/100 do &lt; 1/10), povremena</w:t>
      </w:r>
      <w:r w:rsidRPr="007B51A0">
        <w:rPr>
          <w:rFonts w:ascii="Times New Roman" w:eastAsia="Calibri" w:hAnsi="Times New Roman" w:cs="Times New Roman"/>
          <w:i/>
          <w:iCs/>
          <w:lang w:val="sr-Latn-ME"/>
        </w:rPr>
        <w:t xml:space="preserve"> </w:t>
      </w:r>
      <w:r w:rsidRPr="007B51A0">
        <w:rPr>
          <w:rFonts w:ascii="Times New Roman" w:eastAsia="Calibri" w:hAnsi="Times New Roman" w:cs="Times New Roman"/>
          <w:lang w:val="sr-Latn-ME"/>
        </w:rPr>
        <w:t xml:space="preserve">(≥ 1/1000 do &lt; 1/100), </w:t>
      </w:r>
      <w:r w:rsidRPr="007B51A0">
        <w:rPr>
          <w:rFonts w:ascii="Times New Roman" w:eastAsia="Calibri" w:hAnsi="Times New Roman" w:cs="Times New Roman"/>
          <w:iCs/>
          <w:lang w:val="sr-Latn-ME"/>
        </w:rPr>
        <w:t>rijetka</w:t>
      </w:r>
      <w:r w:rsidRPr="007B51A0">
        <w:rPr>
          <w:rFonts w:ascii="Times New Roman" w:eastAsia="Calibri" w:hAnsi="Times New Roman" w:cs="Times New Roman"/>
          <w:i/>
          <w:iCs/>
          <w:lang w:val="sr-Latn-ME"/>
        </w:rPr>
        <w:t xml:space="preserve"> </w:t>
      </w:r>
      <w:r w:rsidRPr="007B51A0">
        <w:rPr>
          <w:rFonts w:ascii="Times New Roman" w:eastAsia="Calibri" w:hAnsi="Times New Roman" w:cs="Times New Roman"/>
          <w:lang w:val="sr-Latn-ME"/>
        </w:rPr>
        <w:t xml:space="preserve">(≥ 1/10 000 do &lt; 1/1000), </w:t>
      </w:r>
      <w:r w:rsidRPr="007B51A0">
        <w:rPr>
          <w:rFonts w:ascii="Times New Roman" w:eastAsia="Calibri" w:hAnsi="Times New Roman" w:cs="Times New Roman"/>
          <w:iCs/>
          <w:lang w:val="sr-Latn-ME"/>
        </w:rPr>
        <w:t>vrlo rijetka</w:t>
      </w:r>
      <w:r w:rsidRPr="007B51A0">
        <w:rPr>
          <w:rFonts w:ascii="Times New Roman" w:eastAsia="Calibri" w:hAnsi="Times New Roman" w:cs="Times New Roman"/>
          <w:i/>
          <w:iCs/>
          <w:lang w:val="sr-Latn-ME"/>
        </w:rPr>
        <w:t xml:space="preserve"> </w:t>
      </w:r>
      <w:r w:rsidRPr="007B51A0">
        <w:rPr>
          <w:rFonts w:ascii="Times New Roman" w:eastAsia="Calibri" w:hAnsi="Times New Roman" w:cs="Times New Roman"/>
          <w:lang w:val="sr-Latn-ME"/>
        </w:rPr>
        <w:t>(&lt; 1/10 000), ili nepoznata učestalost (ne može se procijeniti iz dostupnih podataka).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3"/>
        <w:gridCol w:w="3193"/>
      </w:tblGrid>
      <w:tr w:rsidR="007B51A0" w:rsidRPr="007B51A0" w:rsidTr="007B51A0">
        <w:tc>
          <w:tcPr>
            <w:tcW w:w="3192" w:type="dxa"/>
            <w:shd w:val="clear" w:color="auto" w:fill="auto"/>
          </w:tcPr>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b/>
                <w:lang w:val="sr-Latn-ME"/>
              </w:rPr>
            </w:pPr>
            <w:r w:rsidRPr="007B51A0">
              <w:rPr>
                <w:rFonts w:ascii="Times New Roman" w:eastAsia="Calibri" w:hAnsi="Times New Roman" w:cs="Times New Roman"/>
                <w:b/>
                <w:lang w:val="sr-Latn-ME"/>
              </w:rPr>
              <w:t>Organski sistem</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b/>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b/>
                <w:lang w:val="sr-Latn-ME"/>
              </w:rPr>
            </w:pPr>
            <w:r w:rsidRPr="007B51A0">
              <w:rPr>
                <w:rFonts w:ascii="Times New Roman" w:eastAsia="Calibri" w:hAnsi="Times New Roman" w:cs="Times New Roman"/>
                <w:b/>
                <w:lang w:val="sr-Latn-ME"/>
              </w:rPr>
              <w:t>Učestalost</w:t>
            </w:r>
          </w:p>
        </w:tc>
        <w:tc>
          <w:tcPr>
            <w:tcW w:w="3193" w:type="dxa"/>
            <w:shd w:val="clear" w:color="auto" w:fill="auto"/>
          </w:tcPr>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b/>
                <w:lang w:val="sr-Latn-ME"/>
              </w:rPr>
            </w:pPr>
            <w:r w:rsidRPr="007B51A0">
              <w:rPr>
                <w:rFonts w:ascii="Times New Roman" w:eastAsia="Calibri" w:hAnsi="Times New Roman" w:cs="Times New Roman"/>
                <w:b/>
                <w:lang w:val="sr-Latn-ME"/>
              </w:rPr>
              <w:t>Neželjeno dejstvo</w:t>
            </w:r>
          </w:p>
        </w:tc>
      </w:tr>
      <w:tr w:rsidR="007B51A0" w:rsidRPr="007B51A0" w:rsidTr="007B51A0">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Poremećaji krvi i limfnog sistema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Trombocitopenija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Poremećaji imunog sistema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Rijetka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Anafilaktička reakcija</w:t>
            </w:r>
          </w:p>
        </w:tc>
      </w:tr>
      <w:tr w:rsidR="007B51A0" w:rsidRPr="007B51A0" w:rsidTr="007B51A0">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Endokrini poremećaji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Neadekvatna sekrecija ADH</w:t>
            </w:r>
          </w:p>
        </w:tc>
      </w:tr>
      <w:tr w:rsidR="007B51A0" w:rsidRPr="007B51A0" w:rsidTr="007B51A0">
        <w:trPr>
          <w:trHeight w:val="561"/>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Poremećaji metabolizma i prehrane</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Smanjen apetit, povećan apetit, povećana tjelesna masa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53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Smanjena tjelesna masa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530"/>
        </w:trPr>
        <w:tc>
          <w:tcPr>
            <w:tcW w:w="3192" w:type="dxa"/>
            <w:vMerge/>
            <w:shd w:val="clear" w:color="auto" w:fill="auto"/>
          </w:tcPr>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Hiponatrijemija, anoreksija</w:t>
            </w:r>
            <w:r w:rsidRPr="007B51A0">
              <w:rPr>
                <w:rFonts w:ascii="Times New Roman" w:eastAsia="Calibri" w:hAnsi="Times New Roman" w:cs="Times New Roman"/>
                <w:vertAlign w:val="superscript"/>
                <w:lang w:val="sr-Latn-ME"/>
              </w:rPr>
              <w:t>1</w:t>
            </w:r>
          </w:p>
        </w:tc>
      </w:tr>
      <w:tr w:rsidR="007B51A0" w:rsidRPr="007B51A0" w:rsidTr="007B51A0">
        <w:trPr>
          <w:trHeight w:val="530"/>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lastRenderedPageBreak/>
              <w:t>Psihijatrijski poremećaji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Anksioznost, nemir, abnormalni snovi, smanjen libido</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Žene: anorgazmija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53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Škripanje zubima, agitacija, nervoza, panični napad, stanje konfuzije</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263"/>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Rijetka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Agresija, depersonalizacija, halucinacija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262"/>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Manija, suicidalna ideja, suicidalno ponašanje</w:t>
            </w:r>
            <w:r w:rsidRPr="007B51A0">
              <w:rPr>
                <w:rFonts w:ascii="Times New Roman" w:eastAsia="Calibri" w:hAnsi="Times New Roman" w:cs="Times New Roman"/>
                <w:vertAlign w:val="superscript"/>
                <w:lang w:val="sr-Latn-ME"/>
              </w:rPr>
              <w:t>2</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90"/>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Poremećaji nervnog sistema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Vrlo 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Glavobolja</w:t>
            </w:r>
          </w:p>
        </w:tc>
      </w:tr>
      <w:tr w:rsidR="007B51A0" w:rsidRPr="007B51A0" w:rsidTr="007B51A0">
        <w:trPr>
          <w:trHeight w:val="9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Nesanica, somnolencija, omaglica, parestezija, tremor</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9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 ukusa, poremećaj sna, sinkopa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9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Rijetka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Serotoninski sindrom</w:t>
            </w:r>
          </w:p>
        </w:tc>
      </w:tr>
      <w:tr w:rsidR="007B51A0" w:rsidRPr="007B51A0" w:rsidTr="007B51A0">
        <w:trPr>
          <w:trHeight w:val="9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Diskinezija, poremećaj kretanja, konvulzija, psihomotorni nemir/akatizija</w:t>
            </w:r>
            <w:r w:rsidRPr="007B51A0">
              <w:rPr>
                <w:rFonts w:ascii="Times New Roman" w:eastAsia="Calibri" w:hAnsi="Times New Roman" w:cs="Times New Roman"/>
                <w:vertAlign w:val="superscript"/>
                <w:lang w:val="sr-Latn-ME"/>
              </w:rPr>
              <w:t>1</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90"/>
        </w:trPr>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Poremećaji oka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Midrijaza, smetnje vida</w:t>
            </w:r>
          </w:p>
        </w:tc>
      </w:tr>
      <w:tr w:rsidR="007B51A0" w:rsidRPr="007B51A0" w:rsidTr="007B51A0">
        <w:trPr>
          <w:trHeight w:val="90"/>
        </w:trPr>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Poremećaji uha i labirinta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Tinitus</w:t>
            </w:r>
          </w:p>
        </w:tc>
      </w:tr>
      <w:tr w:rsidR="007B51A0" w:rsidRPr="007B51A0" w:rsidTr="007B51A0">
        <w:trPr>
          <w:trHeight w:val="150"/>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Srčani poremećaji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Tahikardija</w:t>
            </w:r>
          </w:p>
        </w:tc>
      </w:tr>
      <w:tr w:rsidR="007B51A0" w:rsidRPr="007B51A0" w:rsidTr="007B51A0">
        <w:trPr>
          <w:trHeight w:val="15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Rijetka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Bradikardija</w:t>
            </w:r>
          </w:p>
        </w:tc>
      </w:tr>
      <w:tr w:rsidR="007B51A0" w:rsidRPr="007B51A0" w:rsidTr="007B51A0">
        <w:trPr>
          <w:trHeight w:val="1044"/>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Produžen QT interval u elektrokardiogramu</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i/>
                <w:lang w:val="sr-Latn-ME"/>
              </w:rPr>
            </w:pPr>
            <w:r w:rsidRPr="007B51A0">
              <w:rPr>
                <w:rFonts w:ascii="Times New Roman" w:eastAsia="Calibri" w:hAnsi="Times New Roman" w:cs="Times New Roman"/>
                <w:lang w:val="sr-Latn-ME"/>
              </w:rPr>
              <w:t xml:space="preserve">Ventrikularne aritmije uključujući i </w:t>
            </w:r>
            <w:r w:rsidRPr="007B51A0">
              <w:rPr>
                <w:rFonts w:ascii="Times New Roman" w:eastAsia="Calibri" w:hAnsi="Times New Roman" w:cs="Times New Roman"/>
                <w:i/>
                <w:lang w:val="sr-Latn-ME"/>
              </w:rPr>
              <w:t>torsade de pointes</w:t>
            </w:r>
          </w:p>
        </w:tc>
      </w:tr>
      <w:tr w:rsidR="007B51A0" w:rsidRPr="007B51A0" w:rsidTr="007B51A0">
        <w:trPr>
          <w:trHeight w:val="150"/>
        </w:trPr>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Vaskularni poremećaji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Ortostatska hipotenzija</w:t>
            </w:r>
          </w:p>
        </w:tc>
      </w:tr>
      <w:tr w:rsidR="007B51A0" w:rsidRPr="007B51A0" w:rsidTr="007B51A0">
        <w:trPr>
          <w:trHeight w:val="338"/>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Respiratorni, torakalni i medijastinalni poremećaji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Sinusitis, zijevanje</w:t>
            </w:r>
          </w:p>
        </w:tc>
      </w:tr>
      <w:tr w:rsidR="007B51A0" w:rsidRPr="007B51A0" w:rsidTr="007B51A0">
        <w:trPr>
          <w:trHeight w:val="337"/>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 xml:space="preserve">Epistaksa </w:t>
            </w:r>
          </w:p>
        </w:tc>
      </w:tr>
      <w:tr w:rsidR="007B51A0" w:rsidRPr="007B51A0" w:rsidTr="007B51A0">
        <w:trPr>
          <w:trHeight w:val="150"/>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lastRenderedPageBreak/>
              <w:t>Gastrointestinalni poremećaji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Vrlo 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Mučnina</w:t>
            </w:r>
          </w:p>
        </w:tc>
      </w:tr>
      <w:tr w:rsidR="007B51A0" w:rsidRPr="007B51A0" w:rsidTr="007B51A0">
        <w:trPr>
          <w:trHeight w:val="15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Dijareja, konstipacija, povraćanje, suva usta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150"/>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Gastrointestinalna krvarenja (uključujući i rektalno krvarenje)</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150"/>
        </w:trPr>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Poremećaji jetre i žuči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Hepatitis, abnormalni testovi funkcije jetre</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225"/>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Poremećaji kože i potkožnog tkiva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Pojačano znojenje</w:t>
            </w:r>
          </w:p>
        </w:tc>
      </w:tr>
      <w:tr w:rsidR="007B51A0" w:rsidRPr="007B51A0" w:rsidTr="007B51A0">
        <w:trPr>
          <w:trHeight w:val="225"/>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Urtikarija, alopecija, osip, pruritus</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225"/>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Ekhimoze, angioedemi</w:t>
            </w:r>
          </w:p>
        </w:tc>
      </w:tr>
      <w:tr w:rsidR="007B51A0" w:rsidRPr="007B51A0" w:rsidTr="007B51A0">
        <w:trPr>
          <w:trHeight w:val="225"/>
        </w:trPr>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Poremećaji mišićno-koštanog sistema i vezivnog tkiva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Artralgija, mijalgija</w:t>
            </w:r>
          </w:p>
        </w:tc>
      </w:tr>
      <w:tr w:rsidR="007B51A0" w:rsidRPr="007B51A0" w:rsidTr="007B51A0">
        <w:trPr>
          <w:trHeight w:val="225"/>
        </w:trPr>
        <w:tc>
          <w:tcPr>
            <w:tcW w:w="3192"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Poremećaji bubrega i mokraćnog sistema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Retencija urina</w:t>
            </w:r>
          </w:p>
        </w:tc>
      </w:tr>
      <w:tr w:rsidR="007B51A0" w:rsidRPr="007B51A0" w:rsidTr="007B51A0">
        <w:trPr>
          <w:trHeight w:val="225"/>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Poremećaji reproduktivnog sistema i dojki</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Česta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 xml:space="preserve">Muškarci: poremećaj ejakulacije, impotencija </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225"/>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Žene: metroragija, menoragija</w:t>
            </w:r>
          </w:p>
        </w:tc>
      </w:tr>
      <w:tr w:rsidR="007B51A0" w:rsidRPr="007B51A0" w:rsidTr="007B51A0">
        <w:trPr>
          <w:trHeight w:val="225"/>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Nepoznata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Galaktoreja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Muškarci: prijapizam</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r>
      <w:tr w:rsidR="007B51A0" w:rsidRPr="007B51A0" w:rsidTr="007B51A0">
        <w:trPr>
          <w:trHeight w:val="338"/>
        </w:trPr>
        <w:tc>
          <w:tcPr>
            <w:tcW w:w="3192" w:type="dxa"/>
            <w:vMerge w:val="restart"/>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r w:rsidRPr="007B51A0">
              <w:rPr>
                <w:rFonts w:ascii="Times New Roman" w:eastAsia="Calibri" w:hAnsi="Times New Roman" w:cs="Times New Roman"/>
                <w:bCs/>
                <w:lang w:val="sr-Latn-ME"/>
              </w:rPr>
              <w:t>Opšti poremećaji i reakcije na mjestu primjene</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 xml:space="preserve">Česta </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Umor, pireksija</w:t>
            </w:r>
          </w:p>
        </w:tc>
      </w:tr>
      <w:tr w:rsidR="007B51A0" w:rsidRPr="007B51A0" w:rsidTr="007B51A0">
        <w:trPr>
          <w:trHeight w:val="337"/>
        </w:trPr>
        <w:tc>
          <w:tcPr>
            <w:tcW w:w="3192" w:type="dxa"/>
            <w:vMerge/>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bCs/>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Povremena</w:t>
            </w:r>
          </w:p>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p>
        </w:tc>
        <w:tc>
          <w:tcPr>
            <w:tcW w:w="3193" w:type="dxa"/>
            <w:shd w:val="clear" w:color="auto" w:fill="auto"/>
          </w:tcPr>
          <w:p w:rsidR="007B51A0" w:rsidRPr="007B51A0" w:rsidRDefault="007B51A0" w:rsidP="007B51A0">
            <w:pPr>
              <w:autoSpaceDE w:val="0"/>
              <w:autoSpaceDN w:val="0"/>
              <w:adjustRightInd w:val="0"/>
              <w:spacing w:after="0" w:line="240" w:lineRule="auto"/>
              <w:rPr>
                <w:rFonts w:ascii="Times New Roman" w:eastAsia="Calibri" w:hAnsi="Times New Roman" w:cs="Times New Roman"/>
                <w:lang w:val="sr-Latn-ME"/>
              </w:rPr>
            </w:pPr>
            <w:r w:rsidRPr="007B51A0">
              <w:rPr>
                <w:rFonts w:ascii="Times New Roman" w:eastAsia="Calibri" w:hAnsi="Times New Roman" w:cs="Times New Roman"/>
                <w:lang w:val="sr-Latn-ME"/>
              </w:rPr>
              <w:t>Edem</w:t>
            </w:r>
          </w:p>
        </w:tc>
      </w:tr>
    </w:tbl>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vertAlign w:val="superscript"/>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vertAlign w:val="superscript"/>
          <w:lang w:val="sr-Latn-ME"/>
        </w:rPr>
        <w:t xml:space="preserve">1 </w:t>
      </w:r>
      <w:r w:rsidRPr="007B51A0">
        <w:rPr>
          <w:rFonts w:ascii="Times New Roman" w:eastAsia="Calibri" w:hAnsi="Times New Roman" w:cs="Times New Roman"/>
          <w:lang w:val="sr-Latn-ME"/>
        </w:rPr>
        <w:t xml:space="preserve">Ovi događaji su prijavljeni za  terapijsku grupu SSRI ljekova.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vertAlign w:val="superscript"/>
          <w:lang w:val="sr-Latn-ME"/>
        </w:rPr>
        <w:t xml:space="preserve">2 </w:t>
      </w:r>
      <w:r w:rsidRPr="007B51A0">
        <w:rPr>
          <w:rFonts w:ascii="Times New Roman" w:eastAsia="Calibri" w:hAnsi="Times New Roman" w:cs="Times New Roman"/>
          <w:lang w:val="sr-Latn-ME"/>
        </w:rPr>
        <w:t>Tokom liječenja  escitalopramom ili ubrzo nakon prekida liječenja, prijavljeni su slučajevi suicidalnih ideja i suicidalnog ponašanja (vidjeti dio 4.4.).</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u w:val="single"/>
          <w:lang w:val="sr-Latn-ME"/>
        </w:rPr>
        <w:t xml:space="preserve">Produženje QT intervala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Nakon stavljanja lijeka u promet, prijavljeni su slučajevi produženja QT intervala i ventrikularne aritmije, uključujući i </w:t>
      </w:r>
      <w:r w:rsidRPr="007B51A0">
        <w:rPr>
          <w:rFonts w:ascii="Times New Roman" w:eastAsia="Calibri" w:hAnsi="Times New Roman" w:cs="Times New Roman"/>
          <w:i/>
          <w:lang w:val="sr-Latn-ME"/>
        </w:rPr>
        <w:t>torsade de pointes</w:t>
      </w:r>
      <w:r w:rsidRPr="007B51A0">
        <w:rPr>
          <w:rFonts w:ascii="Times New Roman" w:eastAsia="Calibri" w:hAnsi="Times New Roman" w:cs="Times New Roman"/>
          <w:lang w:val="sr-Latn-ME"/>
        </w:rPr>
        <w:t>, predominantno kod pacijentica s hipokalemijom, ili sa već prisutnim produženjem QT intervala ili drugim srčanim bolestima (vidjeti djelove 4.3., 4.4., 4.5., 4.9. i 5.1.).</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u w:val="single"/>
          <w:lang w:val="sr-Latn-ME"/>
        </w:rPr>
        <w:lastRenderedPageBreak/>
        <w:t>Klasni efekti</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Epidemiološke studije, uglavnom sprovedene kod pacijenata u dobi od 50 godina i više, pokazuju povećan rizik od fraktura kostiju kod pacijenata koji primjenjuju SSRI ljekove i triciklične antidepresive. Mehanizam koji dovodi do ovog rizika nije poznat.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u w:val="single"/>
          <w:lang w:val="sr-Latn-ME"/>
        </w:rPr>
        <w:t>Simptomi prekida uočeni kod prestanka liječenja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Prekid primjene SSRI/SNRI ljekova (posebno nagli prekid), obično dovodi do simptoma obustave terapije. Najčešće prijavljeni simptomi su omaglica, senzorni poremećaji (uključujući i paresteziju i senzacije poput udara struje), poremećaji sna (uključujući i nesanicu i intenzivne snove), agitacija ili anksioznost, mučnina i/ili povraćanje, tremor, konfuzija, znojenje, glavobolja, dijareja, palpitacije, emocionalna nestabilnost, iritabilnost i smetnje vida. Ovi događaji su uglavnom blagi do umjereni i samolimitirajući; međutim, kod nekih pacijenata oni mogu biti teški i/ili prolongirani. Savjetuje se stoga, da je potrebno sprovesti postepeno smanjivanje doze, onda kada liječenje escitalopramom više nije potrebno (vidjeti djelove 4.2. i 4.4.).</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u w:val="single"/>
          <w:lang w:val="sr-Latn-ME"/>
        </w:rPr>
        <w:t>Prijavljivanje sumnji na neželjena dejstva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Agencija za ljekove i medicinska sredstva Crne Gore</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Odjeljenje za farmakovigilancu</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Bulevar Ivana Crnojevića 64a, 81000 Podgorica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tel: +382 (0) 20 310 280</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fax:+382 (0) 20 310 581</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hyperlink r:id="rId8" w:history="1">
        <w:r w:rsidRPr="007B51A0">
          <w:rPr>
            <w:rFonts w:ascii="Times New Roman" w:eastAsia="Calibri" w:hAnsi="Times New Roman" w:cs="Times New Roman"/>
            <w:color w:val="0563C1" w:themeColor="hyperlink"/>
            <w:u w:val="single"/>
            <w:lang w:val="sr-Latn-ME"/>
          </w:rPr>
          <w:t>www.calims.me</w:t>
        </w:r>
      </w:hyperlink>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hyperlink r:id="rId9" w:history="1">
        <w:r w:rsidRPr="007B51A0">
          <w:rPr>
            <w:rFonts w:ascii="Times New Roman" w:eastAsia="Calibri" w:hAnsi="Times New Roman" w:cs="Times New Roman"/>
            <w:color w:val="0563C1" w:themeColor="hyperlink"/>
            <w:u w:val="single"/>
            <w:lang w:val="sr-Latn-ME"/>
          </w:rPr>
          <w:t>nezeljenadejstva@calims.me</w:t>
        </w:r>
      </w:hyperlink>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putem IS zdravstvene zaštite</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4.9. </w:t>
      </w:r>
      <w:r w:rsidRPr="007B51A0">
        <w:rPr>
          <w:rFonts w:ascii="Times New Roman" w:eastAsia="Times New Roman" w:hAnsi="Times New Roman" w:cs="Times New Roman"/>
          <w:b/>
          <w:bCs/>
          <w:lang w:val="sr-Latn-ME"/>
        </w:rPr>
        <w:tab/>
        <w:t xml:space="preserve">Predoziranje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r w:rsidRPr="007B51A0">
        <w:rPr>
          <w:rFonts w:ascii="Times New Roman" w:eastAsia="Calibri" w:hAnsi="Times New Roman" w:cs="Times New Roman"/>
          <w:u w:val="single"/>
          <w:lang w:val="sr-Latn-ME"/>
        </w:rPr>
        <w:t>Toksičnost</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Klinički podaci o predoziranju escitalopramom su ograničeni, a u velikom broju slučajeva radilo se o istovremenom predoziranju sa drugim ljekovima. U većini slučajeva prijavljeni su blagi simptomi ili uopšte nije bilo simptoma. Fatalni slučajevi predoziranja escitalopramom kada se primjenjivao kao monoterapija, rijetko su zabilježeni; u većini slučajeva u to je bilo uključeno predoziranje ljekovima koji su primjenjivani istovremeno. Zabilježena je primjena escitaloprama kao monoterapije u dozama između 400 mg i 800 mg bez ikakvih ozbiljnijih simptoma.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u w:val="single"/>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u w:val="single"/>
          <w:lang w:val="sr-Latn-ME"/>
        </w:rPr>
        <w:t xml:space="preserve">Simptomi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Simptomi predoziranja escitalopramom uključuju simptome koji se uglavnom odnose na centralni nervni sistem (u rasponu od vrtoglavice, tremora i agitacije, do rijetkih slučajeva serotoninskog sindroma, konvulzija i kome), gastrointestinalni sistem (mučnina/povraćanje), kardiovaskularni sistem (hipotenzija, tahikardija, produženje QT intervala i aritmija), te stanja poremećene ravnoteže elektrolita/tečnosti (hipokalijemija, hiponatrijemija).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u w:val="single"/>
          <w:lang w:val="sr-Latn-ME"/>
        </w:rPr>
        <w:lastRenderedPageBreak/>
        <w:t>Terapija</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 xml:space="preserve">Nema specifičnog antidota. Potrebno je uspostaviti i održavati prohodnost disajnih puteva, te obezbijediti adekvatnu oksigenaciju i respiratornu funkciju. Treba razmotriti ispiranje želuca i primjenu aktivnog uglja. Ispiranje želuca bi trebalo uraditi što prije je moguće nakon oralne ingestije. Preporučuje se praćenje srčanih i vitalnih znakova, uz opšte simptomatske suportivne mjere. </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U slučaju predoziranja, u pacijenata sa kongestivnom srčanom insuficijencijom/bradiaritmijama, kod pacijenata koji istovremeno primjenjuju ljekove koji produžavaju QT interval ili kod pacijenata sa izmijenjenim metabolizmom, (npr. kod oštećene funkcije jetre), savjetuje EKG monitoring.</w:t>
      </w:r>
    </w:p>
    <w:p w:rsid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5. </w:t>
      </w:r>
      <w:r w:rsidRPr="007B51A0">
        <w:rPr>
          <w:rFonts w:ascii="Times New Roman" w:eastAsia="Times New Roman" w:hAnsi="Times New Roman" w:cs="Times New Roman"/>
          <w:b/>
          <w:bCs/>
          <w:lang w:val="sr-Latn-ME"/>
        </w:rPr>
        <w:tab/>
        <w:t>FARMAKOLOŠKI PODACI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5.1. </w:t>
      </w:r>
      <w:r w:rsidRPr="007B51A0">
        <w:rPr>
          <w:rFonts w:ascii="Times New Roman" w:eastAsia="Times New Roman" w:hAnsi="Times New Roman" w:cs="Times New Roman"/>
          <w:b/>
          <w:bCs/>
          <w:lang w:val="sr-Latn-ME"/>
        </w:rPr>
        <w:tab/>
        <w:t xml:space="preserve">Farmakodinamski podaci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Farmakoterapijska grupa: antidepresivi; selektivni inhibitori ponovnog preuzimanja serotonina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ATC kod: N06AB10</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r w:rsidRPr="007B51A0">
        <w:rPr>
          <w:rFonts w:ascii="Times New Roman" w:eastAsia="Times New Roman" w:hAnsi="Times New Roman" w:cs="Times New Roman"/>
          <w:bCs/>
          <w:iCs/>
          <w:u w:val="single"/>
          <w:lang w:val="sr-Latn-ME"/>
        </w:rPr>
        <w:t>Mehanizam djelovanja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 xml:space="preserve">Escitalopram je selektivni inhibitor ponovnog preuzimanja serotonina (5-HT) sa visokim afinitetom za primarno mjesto vezivanja. Veže se takođe i za alosteričko mjesto na transporteru serotonina sa 1000 puta manjim afinitetom.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Escitalopram uopšte nema ili ima vrlo slab afinitet za brojne ostale receptore, uključujući 5-HT</w:t>
      </w:r>
      <w:r w:rsidRPr="007B51A0">
        <w:rPr>
          <w:rFonts w:ascii="Times New Roman" w:eastAsia="Times New Roman" w:hAnsi="Times New Roman" w:cs="Times New Roman"/>
          <w:bCs/>
          <w:iCs/>
          <w:vertAlign w:val="subscript"/>
          <w:lang w:val="sr-Latn-ME"/>
        </w:rPr>
        <w:t xml:space="preserve">1A </w:t>
      </w:r>
      <w:r w:rsidRPr="007B51A0">
        <w:rPr>
          <w:rFonts w:ascii="Times New Roman" w:eastAsia="Times New Roman" w:hAnsi="Times New Roman" w:cs="Times New Roman"/>
          <w:bCs/>
          <w:iCs/>
          <w:lang w:val="sr-Latn-ME"/>
        </w:rPr>
        <w:t>, 5-HT</w:t>
      </w:r>
      <w:r w:rsidRPr="007B51A0">
        <w:rPr>
          <w:rFonts w:ascii="Times New Roman" w:eastAsia="Times New Roman" w:hAnsi="Times New Roman" w:cs="Times New Roman"/>
          <w:bCs/>
          <w:iCs/>
          <w:vertAlign w:val="subscript"/>
          <w:lang w:val="sr-Latn-ME"/>
        </w:rPr>
        <w:t>2</w:t>
      </w:r>
      <w:r w:rsidRPr="007B51A0">
        <w:rPr>
          <w:rFonts w:ascii="Times New Roman" w:eastAsia="Times New Roman" w:hAnsi="Times New Roman" w:cs="Times New Roman"/>
          <w:bCs/>
          <w:iCs/>
          <w:lang w:val="sr-Latn-ME"/>
        </w:rPr>
        <w:t>, DA D</w:t>
      </w:r>
      <w:r w:rsidRPr="007B51A0">
        <w:rPr>
          <w:rFonts w:ascii="Times New Roman" w:eastAsia="Times New Roman" w:hAnsi="Times New Roman" w:cs="Times New Roman"/>
          <w:bCs/>
          <w:iCs/>
          <w:vertAlign w:val="subscript"/>
          <w:lang w:val="sr-Latn-ME"/>
        </w:rPr>
        <w:t xml:space="preserve">1 </w:t>
      </w:r>
      <w:r w:rsidRPr="007B51A0">
        <w:rPr>
          <w:rFonts w:ascii="Times New Roman" w:eastAsia="Times New Roman" w:hAnsi="Times New Roman" w:cs="Times New Roman"/>
          <w:bCs/>
          <w:iCs/>
          <w:lang w:val="sr-Latn-ME"/>
        </w:rPr>
        <w:t>i D</w:t>
      </w:r>
      <w:r w:rsidRPr="007B51A0">
        <w:rPr>
          <w:rFonts w:ascii="Times New Roman" w:eastAsia="Times New Roman" w:hAnsi="Times New Roman" w:cs="Times New Roman"/>
          <w:bCs/>
          <w:iCs/>
          <w:vertAlign w:val="subscript"/>
          <w:lang w:val="sr-Latn-ME"/>
        </w:rPr>
        <w:t xml:space="preserve">2 </w:t>
      </w:r>
      <w:r w:rsidRPr="007B51A0">
        <w:rPr>
          <w:rFonts w:ascii="Times New Roman" w:eastAsia="Times New Roman" w:hAnsi="Times New Roman" w:cs="Times New Roman"/>
          <w:bCs/>
          <w:iCs/>
          <w:lang w:val="sr-Latn-ME"/>
        </w:rPr>
        <w:t>receptore, α</w:t>
      </w:r>
      <w:r w:rsidRPr="007B51A0">
        <w:rPr>
          <w:rFonts w:ascii="Times New Roman" w:eastAsia="Times New Roman" w:hAnsi="Times New Roman" w:cs="Times New Roman"/>
          <w:bCs/>
          <w:iCs/>
          <w:vertAlign w:val="subscript"/>
          <w:lang w:val="sr-Latn-ME"/>
        </w:rPr>
        <w:t>1</w:t>
      </w:r>
      <w:r w:rsidRPr="007B51A0">
        <w:rPr>
          <w:rFonts w:ascii="Times New Roman" w:eastAsia="Times New Roman" w:hAnsi="Times New Roman" w:cs="Times New Roman"/>
          <w:bCs/>
          <w:iCs/>
          <w:lang w:val="sr-Latn-ME"/>
        </w:rPr>
        <w:t>-, α</w:t>
      </w:r>
      <w:r w:rsidRPr="007B51A0">
        <w:rPr>
          <w:rFonts w:ascii="Times New Roman" w:eastAsia="Times New Roman" w:hAnsi="Times New Roman" w:cs="Times New Roman"/>
          <w:bCs/>
          <w:iCs/>
          <w:vertAlign w:val="subscript"/>
          <w:lang w:val="sr-Latn-ME"/>
        </w:rPr>
        <w:t>2</w:t>
      </w:r>
      <w:r w:rsidRPr="007B51A0">
        <w:rPr>
          <w:rFonts w:ascii="Times New Roman" w:eastAsia="Times New Roman" w:hAnsi="Times New Roman" w:cs="Times New Roman"/>
          <w:bCs/>
          <w:iCs/>
          <w:lang w:val="sr-Latn-ME"/>
        </w:rPr>
        <w:t>-, β-adrenoreceptore, histaminske H</w:t>
      </w:r>
      <w:r w:rsidRPr="007B51A0">
        <w:rPr>
          <w:rFonts w:ascii="Times New Roman" w:eastAsia="Times New Roman" w:hAnsi="Times New Roman" w:cs="Times New Roman"/>
          <w:bCs/>
          <w:iCs/>
          <w:vertAlign w:val="subscript"/>
          <w:lang w:val="sr-Latn-ME"/>
        </w:rPr>
        <w:t xml:space="preserve">1 </w:t>
      </w:r>
      <w:r w:rsidRPr="007B51A0">
        <w:rPr>
          <w:rFonts w:ascii="Times New Roman" w:eastAsia="Times New Roman" w:hAnsi="Times New Roman" w:cs="Times New Roman"/>
          <w:bCs/>
          <w:iCs/>
          <w:lang w:val="sr-Latn-ME"/>
        </w:rPr>
        <w:t xml:space="preserve">receptore, muskarinske holinergičke, benzodiazepinske i opioidne receptore.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Inhibicija ponovnog preuzimanja 5-HT jedini je vjerojatni mehanizam djelovanja kojim se objašnjavaju farmakološka i klinička dejstva escitaloprama.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u w:val="single"/>
          <w:lang w:val="sr-Latn-ME"/>
        </w:rPr>
        <w:t xml:space="preserve">Farmakodinamički efekti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U dvostruko-slijepom, placebo-kontroliranom ispitivanju EKG-a kod zdravih ispitanika, promjena početnih vrijednosti  QTc (</w:t>
      </w:r>
      <w:r w:rsidRPr="007B51A0">
        <w:rPr>
          <w:rFonts w:ascii="Times New Roman" w:eastAsia="Times New Roman" w:hAnsi="Times New Roman" w:cs="Times New Roman"/>
          <w:bCs/>
          <w:i/>
          <w:iCs/>
          <w:lang w:val="sr-Latn-ME"/>
        </w:rPr>
        <w:t>Fridericia</w:t>
      </w:r>
      <w:r w:rsidRPr="007B51A0">
        <w:rPr>
          <w:rFonts w:ascii="Times New Roman" w:eastAsia="Times New Roman" w:hAnsi="Times New Roman" w:cs="Times New Roman"/>
          <w:bCs/>
          <w:iCs/>
          <w:lang w:val="sr-Latn-ME"/>
        </w:rPr>
        <w:t xml:space="preserve"> korekcija) iznosila je 4,3 ms (90% CI:2.2, 6.4) pri dozi od 10 mg na dan i 10,7 ms (90% CI: 8.6, 12.8) pri dozi od 30 mg na dan (vidjeti djelove 4.3., 4.4., 4.5., 4.8. i 4.9.).</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r w:rsidRPr="007B51A0">
        <w:rPr>
          <w:rFonts w:ascii="Times New Roman" w:eastAsia="Times New Roman" w:hAnsi="Times New Roman" w:cs="Times New Roman"/>
          <w:bCs/>
          <w:iCs/>
          <w:u w:val="single"/>
          <w:lang w:val="sr-Latn-ME"/>
        </w:rPr>
        <w:t>Klinička efikasnost</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u w:val="single"/>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
          <w:iCs/>
          <w:lang w:val="sr-Latn-ME"/>
        </w:rPr>
        <w:t xml:space="preserve">Velike depresivne epizode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Efikasnost escitaloprama u akutnom liječenju velikih depresivnih epizoda, dokazana je u tri od četiri dvostruko-slijepe, placebo-kontrolisane, kratkotrajne (8 nedjelja) studije. U ispitivanju dugotrajne prevencije relapsa bolesti, 274 pacijenta koji su pokazali pozitivan odgovor na terapiju escitalopramom u dozi od 10 ili 20 mg na dan, tokom 8 nedjelja, randomizovani su za nastavak primjene escitaloprama u istoj dozi, ili placeba, u periodu do 36 nedjelja. Vrijeme do pojave relapsa bolesti značajno je produženo u grupi koja je nastavila primjenjivati escitalopram tokom navedenih 36 nedjelja, u poređenju s pacijentima koji su primali placebo.</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
          <w:iCs/>
          <w:lang w:val="sr-Latn-ME"/>
        </w:rPr>
        <w:lastRenderedPageBreak/>
        <w:t xml:space="preserve">Socijalni anksiozni poremećaj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Efikasnost escitaloprama u liječenju socijalnog anksioznog poremećaja dokazana je u tri kratkotrajne (12 nedjelja) studije, kao i u 6-mjesečnoj studiji prevencije relapsa. Tokom jedne 24-nedjeljne studije određivanja doze, efikasnost je dokazana za doze od 5, 10 i 20 mg escitaloprama.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
          <w:iCs/>
          <w:lang w:val="sr-Latn-ME"/>
        </w:rPr>
        <w:t xml:space="preserve">Generalizirani anksiozni poremećaj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 xml:space="preserve">U četiri placebo-kontrolisane studije sa escitalopramom od 10 i 20 mg na dan, pokazana  je efikasnost u liječenju generaliziranog anksioznog poremećaja.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 xml:space="preserve">Prema podacima objedinjenim iz tri slično dizajnirane studije, koje su obuhvatile 421 pacijenta liječenog escitalopramom i 419 pacijenata koji su primali placebo, pozitivan odgovor na terapiju pokazao se kod 47,5% pacijenata liječenih escitalopramom, a u grupi na placebu pozitivan odgovor je zabilježen kod 28,9% pacijenata. Kod 37,1% pacijenata na escitalopramu je ostvarena remisija, dok je u grupi koja je primala placebo do remisije došlo kod 20,8% pacijenata. Stabilan pozitivan efekt uočen je nakon prve nedjelje.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 xml:space="preserve">Održavanje efikasnosti escitaloprama, 20 mg na dan, dokazano je u randomizovanoj studiji održavanja efikasnosti, tokom 24 do 76 nedjelja, kod 373 pacijenta koji su pokazali pozitivan terapijski odgovor za vrijeme početne otvorene faze studije koja je trajala 12 nedjelja.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
          <w:iCs/>
          <w:lang w:val="sr-Latn-ME"/>
        </w:rPr>
        <w:t xml:space="preserve">Opsesivno-kompulzivni poremećaj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U randomizovanoj, dvostruko-slijepoj kliničkoj studiji, escitalopram u dozi od 20 mg/dan se razlikovao od placeba prema ukupanom Y-BOCS skoru nakon 12 nedjelja. Nakon 24 nedjelje, escitalopram u dozama od 10 i od 20 mg na dan, pokazao je superiornost u poređenju sa placebom.</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Prevencija relapsa je dokazana za doze escitaloprama od 10 i od 20 mg na dan, kod pacijenata koji su ušli u 24-nedjeljni randomizovani, dvostruko-slijepi, placebo-kontrolisani period studije, a prethodno su pokazali pozitivan odgovor na escitalopram tokom 16-nedjeljnog otvorenog dijela studije.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5.2. </w:t>
      </w:r>
      <w:r w:rsidRPr="007B51A0">
        <w:rPr>
          <w:rFonts w:ascii="Times New Roman" w:eastAsia="Times New Roman" w:hAnsi="Times New Roman" w:cs="Times New Roman"/>
          <w:b/>
          <w:bCs/>
          <w:lang w:val="sr-Latn-ME"/>
        </w:rPr>
        <w:tab/>
        <w:t xml:space="preserve">Farmakokinetički podaci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r w:rsidRPr="007B51A0">
        <w:rPr>
          <w:rFonts w:ascii="Times New Roman" w:eastAsia="Times New Roman" w:hAnsi="Times New Roman" w:cs="Times New Roman"/>
          <w:bCs/>
          <w:iCs/>
          <w:u w:val="single"/>
          <w:lang w:val="sr-Latn-ME"/>
        </w:rPr>
        <w:t>Resorpcija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Resorpcija je gotovo potpuna i ne zavisi od unosa hrane. Prosječno vrijeme za postizanje maksimalne koncentracije (srednji T</w:t>
      </w:r>
      <w:r w:rsidRPr="007B51A0">
        <w:rPr>
          <w:rFonts w:ascii="Times New Roman" w:eastAsia="Times New Roman" w:hAnsi="Times New Roman" w:cs="Times New Roman"/>
          <w:bCs/>
          <w:iCs/>
          <w:vertAlign w:val="subscript"/>
          <w:lang w:val="sr-Latn-ME"/>
        </w:rPr>
        <w:t>max</w:t>
      </w:r>
      <w:r w:rsidRPr="007B51A0">
        <w:rPr>
          <w:rFonts w:ascii="Times New Roman" w:eastAsia="Times New Roman" w:hAnsi="Times New Roman" w:cs="Times New Roman"/>
          <w:bCs/>
          <w:iCs/>
          <w:lang w:val="sr-Latn-ME"/>
        </w:rPr>
        <w:t>), iznosi 4 sata, nakon multiplog doziranja.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Kao i kod racemata citaloprama, očekuje se da apsolutna biološka raspoloživost escitaloprama bude oko 80%.</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r w:rsidRPr="007B51A0">
        <w:rPr>
          <w:rFonts w:ascii="Times New Roman" w:eastAsia="Times New Roman" w:hAnsi="Times New Roman" w:cs="Times New Roman"/>
          <w:bCs/>
          <w:iCs/>
          <w:u w:val="single"/>
          <w:lang w:val="sr-Latn-ME"/>
        </w:rPr>
        <w:t>Distribucija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Prividni volumen distribucije (V</w:t>
      </w:r>
      <w:r w:rsidRPr="007B51A0">
        <w:rPr>
          <w:rFonts w:ascii="Times New Roman" w:eastAsia="Times New Roman" w:hAnsi="Times New Roman" w:cs="Times New Roman"/>
          <w:bCs/>
          <w:iCs/>
          <w:vertAlign w:val="subscript"/>
          <w:lang w:val="sr-Latn-ME"/>
        </w:rPr>
        <w:t>d</w:t>
      </w:r>
      <w:r w:rsidRPr="007B51A0">
        <w:rPr>
          <w:rFonts w:ascii="Times New Roman" w:eastAsia="Times New Roman" w:hAnsi="Times New Roman" w:cs="Times New Roman"/>
          <w:bCs/>
          <w:iCs/>
          <w:lang w:val="sr-Latn-ME"/>
        </w:rPr>
        <w:t xml:space="preserve">, </w:t>
      </w:r>
      <w:r w:rsidRPr="007B51A0">
        <w:rPr>
          <w:rFonts w:ascii="Times New Roman" w:eastAsia="Times New Roman" w:hAnsi="Times New Roman" w:cs="Times New Roman"/>
          <w:bCs/>
          <w:iCs/>
          <w:vertAlign w:val="subscript"/>
          <w:lang w:val="sr-Latn-ME"/>
        </w:rPr>
        <w:t>β</w:t>
      </w:r>
      <w:r w:rsidRPr="007B51A0">
        <w:rPr>
          <w:rFonts w:ascii="Times New Roman" w:eastAsia="Times New Roman" w:hAnsi="Times New Roman" w:cs="Times New Roman"/>
          <w:bCs/>
          <w:iCs/>
          <w:lang w:val="sr-Latn-ME"/>
        </w:rPr>
        <w:t>/F) nakon oralne primjene iznosi oko 12 do 26 l/kg. Vezanje za proteine plazme je manje od 80% za escitalopram i za njegove glavne metabolite.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r w:rsidRPr="007B51A0">
        <w:rPr>
          <w:rFonts w:ascii="Times New Roman" w:eastAsia="Times New Roman" w:hAnsi="Times New Roman" w:cs="Times New Roman"/>
          <w:bCs/>
          <w:iCs/>
          <w:u w:val="single"/>
          <w:lang w:val="sr-Latn-ME"/>
        </w:rPr>
        <w:t>Biotransformacija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r w:rsidRPr="007B51A0">
        <w:rPr>
          <w:rFonts w:ascii="Times New Roman" w:eastAsia="Times New Roman" w:hAnsi="Times New Roman" w:cs="Times New Roman"/>
          <w:bCs/>
          <w:iCs/>
          <w:lang w:val="sr-Latn-ME"/>
        </w:rPr>
        <w:t>Escitalopram se metaboliše u jetri do demetilovanih i didemetilovanih metabolita. I jedni i drugi su farmakološki aktivni. Alternativno, može doći do oksidacije azota i formiranja N-oksidnog metabolita. Jednim dijelom se nepromijenjena aktivna supstanca i metaboliti izlučuju kao glukuronidi. Nakon multiplog doziranja, srednje vrijednosti koncentracija demetilovanih metabolita su 28-31%, a za didemetilovane metabolite su &lt;5%. Biotransformacija escitaloprama u demetilirani metabolit vrši se uglavnom preko CYP2C19. Moguć je određen doprinos enzima CYP3A4 i CYP2D6.</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Cs/>
          <w:u w:val="single"/>
          <w:lang w:val="sr-Latn-ME"/>
        </w:rPr>
      </w:pPr>
      <w:r w:rsidRPr="007B51A0">
        <w:rPr>
          <w:rFonts w:ascii="Times New Roman" w:eastAsia="Times New Roman" w:hAnsi="Times New Roman" w:cs="Times New Roman"/>
          <w:bCs/>
          <w:iCs/>
          <w:u w:val="single"/>
          <w:lang w:val="sr-Latn-ME"/>
        </w:rPr>
        <w:lastRenderedPageBreak/>
        <w:t>Eliminacija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Nakon multiplog doziranja, poluvrijeme eliminacije (t</w:t>
      </w:r>
      <w:r w:rsidRPr="007B51A0">
        <w:rPr>
          <w:rFonts w:ascii="Times New Roman" w:eastAsia="Times New Roman" w:hAnsi="Times New Roman" w:cs="Times New Roman"/>
          <w:bCs/>
          <w:vertAlign w:val="subscript"/>
          <w:lang w:val="sr-Latn-ME"/>
        </w:rPr>
        <w:t>1/2β</w:t>
      </w:r>
      <w:r w:rsidRPr="007B51A0">
        <w:rPr>
          <w:rFonts w:ascii="Times New Roman" w:eastAsia="Times New Roman" w:hAnsi="Times New Roman" w:cs="Times New Roman"/>
          <w:bCs/>
          <w:lang w:val="sr-Latn-ME"/>
        </w:rPr>
        <w:t>) iznosi oko 30 sati, a oralni klirens plazme (Cl</w:t>
      </w:r>
      <w:r w:rsidRPr="007B51A0">
        <w:rPr>
          <w:rFonts w:ascii="Times New Roman" w:eastAsia="Times New Roman" w:hAnsi="Times New Roman" w:cs="Times New Roman"/>
          <w:bCs/>
          <w:vertAlign w:val="subscript"/>
          <w:lang w:val="sr-Latn-ME"/>
        </w:rPr>
        <w:t>oral</w:t>
      </w:r>
      <w:r w:rsidRPr="007B51A0">
        <w:rPr>
          <w:rFonts w:ascii="Times New Roman" w:eastAsia="Times New Roman" w:hAnsi="Times New Roman" w:cs="Times New Roman"/>
          <w:bCs/>
          <w:lang w:val="sr-Latn-ME"/>
        </w:rPr>
        <w:t>) iznosi oko 0,6 l/min. Glavni metaboliti imaju značajno duže poluvrijeme eliminacije. Pretpostavlja se da se escitalopram i njegovi glavni metaboliti izlučuju i hepatičnim (metaboličkim) i bubrežnim putem, s time da se najveći dio doze izluči urinom u obliku metabolita.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Linearnost</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Farmakokinetika escitaloprama je linearna. Dinamička ravnoteža koncentracije u plazmi postiže se otprilike tokom jedne nedjelje. Prosječna koncentracija u stanju dinamičke ravnoteže uz dozu od 10 mg na dan iznosi 50 nmol/l (raspon od 20 do 125 nmol/l).</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Stariji pacijenti (&gt; 65 godina)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Izgleda da se escitalopram sporije eliminiše kod starijih pacijenata u poređenju sa mlađim pacijentima. Sistemska izloženost (PIK) je oko 50% veća kod starijih pacijenata nego kod mladih zdravih dragovoljaca (vidjeti dio 4.2.).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Smanjena funkcija jetre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Kod pacijenata sa blagim ili umjerenim oštećenjem jetre (</w:t>
      </w:r>
      <w:r w:rsidRPr="007B51A0">
        <w:rPr>
          <w:rFonts w:ascii="Times New Roman" w:eastAsia="Times New Roman" w:hAnsi="Times New Roman" w:cs="Times New Roman"/>
          <w:bCs/>
          <w:i/>
          <w:lang w:val="sr-Latn-ME"/>
        </w:rPr>
        <w:t>Child-Pugh</w:t>
      </w:r>
      <w:r w:rsidRPr="007B51A0">
        <w:rPr>
          <w:rFonts w:ascii="Times New Roman" w:eastAsia="Times New Roman" w:hAnsi="Times New Roman" w:cs="Times New Roman"/>
          <w:bCs/>
          <w:lang w:val="sr-Latn-ME"/>
        </w:rPr>
        <w:t xml:space="preserve"> klasa A i B), uočeno je gotovo dvostruko duže poluvrijeme eliminacije escitaloprama, a izloženost lijeku bila je oko 60% veća nego kod pacijenata sa normalnom funkcijom jetre (vidjeti dio 4.2.).</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Smanjena funkcija bubrega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Kod pacijenata sa smanjenom bubrežnom funkcijom (CL</w:t>
      </w:r>
      <w:r w:rsidRPr="007B51A0">
        <w:rPr>
          <w:rFonts w:ascii="Times New Roman" w:eastAsia="Times New Roman" w:hAnsi="Times New Roman" w:cs="Times New Roman"/>
          <w:bCs/>
          <w:vertAlign w:val="subscript"/>
          <w:lang w:val="sr-Latn-ME"/>
        </w:rPr>
        <w:t xml:space="preserve">cr </w:t>
      </w:r>
      <w:r w:rsidRPr="007B51A0">
        <w:rPr>
          <w:rFonts w:ascii="Times New Roman" w:eastAsia="Times New Roman" w:hAnsi="Times New Roman" w:cs="Times New Roman"/>
          <w:bCs/>
          <w:lang w:val="sr-Latn-ME"/>
        </w:rPr>
        <w:t xml:space="preserve">10-53 ml/min), uočeno je duže poluvrijeme eliminacije racemata citaloprama i lagano povišenje izloženosti lijeku. Nijesu ispitivane koncentracije metabolita u plazmi kod ovih pacijenata, ali bi one mogle biti povećane (vidjeti dio 4.2.).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u w:val="single"/>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u w:val="single"/>
          <w:lang w:val="sr-Latn-ME"/>
        </w:rPr>
        <w:t xml:space="preserve">Polimorfizam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Primijećeno je da spori metabolizeri u odnosu na CYP2C19, imaju dvostruko veće koncentracije escitaloprama u plazmi u odnosu na brze metabolizere. Nijesu uočene značajnije promjene u izloženosti lijeku kod pacijenata koji su spori metabolizeri u odnosu na CYP2D6 (vidjeti dio 4.2.).</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5.3. </w:t>
      </w:r>
      <w:r w:rsidRPr="007B51A0">
        <w:rPr>
          <w:rFonts w:ascii="Times New Roman" w:eastAsia="Times New Roman" w:hAnsi="Times New Roman" w:cs="Times New Roman"/>
          <w:b/>
          <w:bCs/>
          <w:lang w:val="sr-Latn-ME"/>
        </w:rPr>
        <w:tab/>
        <w:t xml:space="preserve">Pretklinički podaci o bezbjednosti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Nijesu sprovedena kompletna pretklinička ispitivanja sa escitalopramom, s obzirom da su premošćujuće (eng. </w:t>
      </w:r>
      <w:r w:rsidRPr="007B51A0">
        <w:rPr>
          <w:rFonts w:ascii="Times New Roman" w:eastAsia="Times New Roman" w:hAnsi="Times New Roman" w:cs="Times New Roman"/>
          <w:bCs/>
          <w:i/>
          <w:lang w:val="sr-Latn-ME"/>
        </w:rPr>
        <w:t>bridging</w:t>
      </w:r>
      <w:r w:rsidRPr="007B51A0">
        <w:rPr>
          <w:rFonts w:ascii="Times New Roman" w:eastAsia="Times New Roman" w:hAnsi="Times New Roman" w:cs="Times New Roman"/>
          <w:bCs/>
          <w:lang w:val="sr-Latn-ME"/>
        </w:rPr>
        <w:t xml:space="preserve">) toksikokinetičke i toksikološke studije sprovedene na pacovima sa escitalopramom i citalopramom pokazale sličan profil. Stoga se svi podaci koji se odnose na citalopram, mogu ekstrapolisati na escitalopram.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U komparativnim toksikološkim studijama na pacovima, escitalopram i citalopram su pokazali kardiotoksičnost, uključujući i kongestivnu srčanu insuficijenciju i to nakon nekoliko nedjelja primjenjivanja toksičnih doza. Izgleda da je kardiotoksičnost više bila u korelaciji sa maksimalnim koncentracijama u plazmi, nego sa ukupnom sistemskom izloženošću lijeku (PIK). Maksimalne koncentracije u plazmi koje nijesu pokazale taj efekt, bile su 8 puta veće od onih koje se postižu u kliničkoj primjeni, dok je PIK escitaloprama bio samo 3 do 4 puta veći od izloženosti postignute u kliničkoj primjeni. Za citalopram, vrijednosti PIK za S-enantiomer, bile su 6 do 7 puta veće od onih postignutih u kliničkoj primjeni. Ovi nalazi su vjerovatno u vezi sa povećanim djelovanjem na biogene amine, tj. kao sekundarna posljedica primarnih farmakoloških efekata, što rezultuje hemodinamskim efektima (smanjivanjem koronarnog protoka) i ishemijom. Međutim, potpuno </w:t>
      </w:r>
      <w:r w:rsidRPr="007B51A0">
        <w:rPr>
          <w:rFonts w:ascii="Times New Roman" w:eastAsia="Times New Roman" w:hAnsi="Times New Roman" w:cs="Times New Roman"/>
          <w:bCs/>
          <w:lang w:val="sr-Latn-ME"/>
        </w:rPr>
        <w:lastRenderedPageBreak/>
        <w:t xml:space="preserve">tačan mehanizam kardiotoksičnosti nije poznat. Kliničko iskustvo i rezultati kliničkih ispitivanja sa escitalopramom, ne pokazuju da bi ti efekti bili od kliničke važnosti.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U nekim tkivima, na primjer plućima, epididimisu i jetri, primijećen je povećan sadržaj fosfolipida nakon dužeg davanja escitaloprama i citaloprama pacovima. Nalazi u epididimisu i jetri su primijećeni pri dozama sličnim dozama u humanoj primjeni. Opisani efekt je reverzibilan po prestanku uzimanja lijeka. Nakupljanje fosfolipida (fosfolipidoza) kod životinja je primijećeno kod davanja velikog broja kationskih amfifilnih ljekova. Nije poznato da li ovaj fenomen ima ikakvog značaja za ljude.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U studijama razvojne toksičnosti na pacovima, primijećeni su embriotoksični efekti (smanjena fetalna tjelesna masa i reverzibilno odlaganje osifikacije), pri izloženosti, koje su izražene vrijednostima PIK-a, većoj od one koja se postiže tokom kliničke primjene. Nije uočena povećana učestalost malformacija. Prenatalna i postnatalna ispitivanja pokazala su smanjenjo preživljavanja tokom perioda laktacije pri izloženosti, izraženoj putem AUC-a, većoj od one koja se postiže tokom kliničke primjene.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Podaci na životinjama pokazali su da citalopram dovodi do smanjenja indeksa plodnosti i indeksa trudnoće, smanjenja broja implantacija i broja abnormalnih spermatozoida, pri izloženosti mnogo većoj od one kod ljudi. Ne postoje slični podaci na životinjama u slučaju primjene escitaloprama.</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6. </w:t>
      </w:r>
      <w:r w:rsidRPr="007B51A0">
        <w:rPr>
          <w:rFonts w:ascii="Times New Roman" w:eastAsia="Times New Roman" w:hAnsi="Times New Roman" w:cs="Times New Roman"/>
          <w:b/>
          <w:bCs/>
          <w:lang w:val="sr-Latn-ME"/>
        </w:rPr>
        <w:tab/>
        <w:t>FARMACEUTSKI PODACI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6.1. </w:t>
      </w:r>
      <w:r w:rsidRPr="007B51A0">
        <w:rPr>
          <w:rFonts w:ascii="Times New Roman" w:eastAsia="Times New Roman" w:hAnsi="Times New Roman" w:cs="Times New Roman"/>
          <w:b/>
          <w:bCs/>
          <w:lang w:val="sr-Latn-ME"/>
        </w:rPr>
        <w:tab/>
        <w:t>Lista pomoćnih supstanci (ekscipijenasa)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i/>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i/>
          <w:lang w:val="sr-Latn-ME"/>
        </w:rPr>
      </w:pPr>
      <w:r w:rsidRPr="007B51A0">
        <w:rPr>
          <w:rFonts w:ascii="Times New Roman" w:eastAsia="Times New Roman" w:hAnsi="Times New Roman" w:cs="Times New Roman"/>
          <w:b/>
          <w:bCs/>
          <w:i/>
          <w:lang w:val="sr-Latn-ME"/>
        </w:rPr>
        <w:t>Tabletno jezgro</w:t>
      </w:r>
    </w:p>
    <w:p w:rsidR="007B51A0" w:rsidRPr="007B51A0" w:rsidRDefault="007B51A0" w:rsidP="007B51A0">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Celuloza, mikrokristalna</w:t>
      </w:r>
    </w:p>
    <w:p w:rsidR="007B51A0" w:rsidRPr="007B51A0" w:rsidRDefault="007B51A0" w:rsidP="007B51A0">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Kroskarmeloza natrijum</w:t>
      </w:r>
    </w:p>
    <w:p w:rsidR="007B51A0" w:rsidRPr="007B51A0" w:rsidRDefault="007B51A0" w:rsidP="007B51A0">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Talk</w:t>
      </w:r>
    </w:p>
    <w:p w:rsidR="007B51A0" w:rsidRPr="007B51A0" w:rsidRDefault="007B51A0" w:rsidP="007B51A0">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Magnezijum stearat</w:t>
      </w:r>
    </w:p>
    <w:p w:rsidR="007B51A0" w:rsidRPr="007B51A0" w:rsidRDefault="007B51A0" w:rsidP="007B51A0">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Silicijum dioksid, koloidni, bezvodni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i/>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i/>
          <w:lang w:val="sr-Latn-ME"/>
        </w:rPr>
        <w:t>Film obloga</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Boja Opadry White 03B28796:</w:t>
      </w:r>
    </w:p>
    <w:p w:rsidR="007B51A0" w:rsidRPr="007B51A0" w:rsidRDefault="007B51A0" w:rsidP="007B51A0">
      <w:pPr>
        <w:numPr>
          <w:ilvl w:val="0"/>
          <w:numId w:val="24"/>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Hidroksipropil metilceluloza (E464)</w:t>
      </w:r>
    </w:p>
    <w:p w:rsidR="007B51A0" w:rsidRPr="007B51A0" w:rsidRDefault="007B51A0" w:rsidP="007B51A0">
      <w:pPr>
        <w:numPr>
          <w:ilvl w:val="0"/>
          <w:numId w:val="24"/>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Titan dioksid (E171)</w:t>
      </w:r>
    </w:p>
    <w:p w:rsidR="007B51A0" w:rsidRPr="007B51A0" w:rsidRDefault="007B51A0" w:rsidP="007B51A0">
      <w:pPr>
        <w:numPr>
          <w:ilvl w:val="0"/>
          <w:numId w:val="24"/>
        </w:num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Makrogol 400 (E1521)</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6.2. </w:t>
      </w:r>
      <w:r w:rsidRPr="007B51A0">
        <w:rPr>
          <w:rFonts w:ascii="Times New Roman" w:eastAsia="Times New Roman" w:hAnsi="Times New Roman" w:cs="Times New Roman"/>
          <w:b/>
          <w:bCs/>
          <w:lang w:val="sr-Latn-ME"/>
        </w:rPr>
        <w:tab/>
        <w:t>Inkompatibilnosti</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r w:rsidRPr="007B51A0">
        <w:rPr>
          <w:rFonts w:ascii="Times New Roman" w:eastAsia="Calibri" w:hAnsi="Times New Roman" w:cs="Times New Roman"/>
          <w:lang w:val="sr-Latn-ME"/>
        </w:rPr>
        <w:t>Podaci o inkompatibilnosti nijesu poznati.</w:t>
      </w:r>
    </w:p>
    <w:p w:rsidR="007B51A0" w:rsidRPr="007B51A0" w:rsidRDefault="007B51A0" w:rsidP="007B51A0">
      <w:pPr>
        <w:autoSpaceDE w:val="0"/>
        <w:autoSpaceDN w:val="0"/>
        <w:adjustRightInd w:val="0"/>
        <w:spacing w:after="0" w:line="240" w:lineRule="auto"/>
        <w:jc w:val="both"/>
        <w:rPr>
          <w:rFonts w:ascii="Times New Roman" w:eastAsia="Calibri" w:hAnsi="Times New Roman" w:cs="Times New Roman"/>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6.3. </w:t>
      </w:r>
      <w:r w:rsidRPr="007B51A0">
        <w:rPr>
          <w:rFonts w:ascii="Times New Roman" w:eastAsia="Times New Roman" w:hAnsi="Times New Roman" w:cs="Times New Roman"/>
          <w:b/>
          <w:bCs/>
          <w:lang w:val="sr-Latn-ME"/>
        </w:rPr>
        <w:tab/>
        <w:t>Rok upotrebe</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2 godine.</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AD26A0" w:rsidRPr="007B51A0" w:rsidRDefault="00AD26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lastRenderedPageBreak/>
        <w:t xml:space="preserve">6.4. </w:t>
      </w:r>
      <w:r w:rsidRPr="007B51A0">
        <w:rPr>
          <w:rFonts w:ascii="Times New Roman" w:eastAsia="Times New Roman" w:hAnsi="Times New Roman" w:cs="Times New Roman"/>
          <w:b/>
          <w:bCs/>
          <w:lang w:val="sr-Latn-ME"/>
        </w:rPr>
        <w:tab/>
        <w:t>Posebne mjere upozorenja pri čuvanju lijeka</w:t>
      </w:r>
    </w:p>
    <w:p w:rsidR="007B51A0" w:rsidRPr="007B51A0" w:rsidRDefault="007B51A0" w:rsidP="007B51A0">
      <w:pPr>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bCs/>
          <w:lang w:val="sr-Latn-ME"/>
        </w:rPr>
        <w:t>Čuvati na temperaturi do 25°C.</w:t>
      </w:r>
      <w:r w:rsidRPr="007B51A0">
        <w:rPr>
          <w:rFonts w:ascii="Times New Roman" w:eastAsia="Times New Roman" w:hAnsi="Times New Roman" w:cs="Times New Roman"/>
          <w:lang w:val="sr-Latn-ME"/>
        </w:rPr>
        <w:t xml:space="preserv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6.5. </w:t>
      </w:r>
      <w:r w:rsidRPr="007B51A0">
        <w:rPr>
          <w:rFonts w:ascii="Times New Roman" w:eastAsia="Times New Roman" w:hAnsi="Times New Roman" w:cs="Times New Roman"/>
          <w:b/>
          <w:bCs/>
          <w:lang w:val="sr-Latn-ME"/>
        </w:rPr>
        <w:tab/>
        <w:t xml:space="preserve">Vrsta i sadržaj pakovanja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PVC/PVdC/Al blister sa 10</w:t>
      </w:r>
      <w:r w:rsidRPr="007B51A0">
        <w:rPr>
          <w:rFonts w:ascii="Times New Roman" w:eastAsia="Times New Roman" w:hAnsi="Times New Roman" w:cs="Times New Roman"/>
          <w:bCs/>
          <w:lang w:val="sr-Latn-ME"/>
        </w:rPr>
        <w:t xml:space="preserve"> film tableta (3 blistera sa po 10 film tableta u kutiji).</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6.6. </w:t>
      </w:r>
      <w:r w:rsidRPr="007B51A0">
        <w:rPr>
          <w:rFonts w:ascii="Times New Roman" w:eastAsia="Times New Roman" w:hAnsi="Times New Roman" w:cs="Times New Roman"/>
          <w:b/>
          <w:bCs/>
          <w:lang w:val="sr-Latn-ME"/>
        </w:rPr>
        <w:tab/>
      </w:r>
      <w:r w:rsidRPr="007B51A0">
        <w:rPr>
          <w:rFonts w:ascii="Times New Roman" w:eastAsia="Times New Roman" w:hAnsi="Times New Roman" w:cs="Times New Roman"/>
          <w:b/>
          <w:bCs/>
          <w:color w:val="000000"/>
          <w:lang w:val="sr-Latn-ME"/>
        </w:rPr>
        <w:t>Posebne mjere opreza pri odlaganju materijala koji treba odbaciti nakon primjene lijeka</w:t>
      </w:r>
      <w:r w:rsidRPr="007B51A0">
        <w:rPr>
          <w:rFonts w:ascii="Times New Roman" w:eastAsia="Times New Roman" w:hAnsi="Times New Roman" w:cs="Times New Roman"/>
          <w:b/>
          <w:bCs/>
          <w:lang w:val="sr-Latn-ME"/>
        </w:rPr>
        <w:t xml:space="preserve"> (i druga uputstva za rukovanje lijekom)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r w:rsidRPr="007B51A0">
        <w:rPr>
          <w:rFonts w:ascii="Times New Roman" w:eastAsia="Times New Roman" w:hAnsi="Times New Roman" w:cs="Times New Roman"/>
          <w:bCs/>
          <w:lang w:val="sr-Latn-ME"/>
        </w:rPr>
        <w:t>Neupotrijebljeni lijek se uništava u skladu sa važećim propisima.</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AD26A0" w:rsidRPr="007B51A0" w:rsidRDefault="00AD26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7. </w:t>
      </w:r>
      <w:r w:rsidRPr="007B51A0">
        <w:rPr>
          <w:rFonts w:ascii="Times New Roman" w:eastAsia="Times New Roman" w:hAnsi="Times New Roman" w:cs="Times New Roman"/>
          <w:b/>
          <w:bCs/>
          <w:lang w:val="sr-Latn-ME"/>
        </w:rPr>
        <w:tab/>
        <w:t xml:space="preserve">NOSILAC DOZVOLE </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lang w:val="sr-Latn-ME"/>
        </w:rPr>
      </w:pPr>
      <w:r w:rsidRPr="007B51A0">
        <w:rPr>
          <w:rFonts w:ascii="Times New Roman" w:eastAsia="Times New Roman" w:hAnsi="Times New Roman" w:cs="Times New Roman"/>
          <w:lang w:val="sr-Latn-ME"/>
        </w:rPr>
        <w:t>Bosnalijek d.d. Predstavništvo Crna Gora, Bulevar Svetog Petra Cetinjskog 63, Podgorica, Crna Gora</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AD26A0" w:rsidRPr="007B51A0" w:rsidRDefault="00AD26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8. </w:t>
      </w:r>
      <w:r w:rsidRPr="007B51A0">
        <w:rPr>
          <w:rFonts w:ascii="Times New Roman" w:eastAsia="Times New Roman" w:hAnsi="Times New Roman" w:cs="Times New Roman"/>
          <w:b/>
          <w:bCs/>
          <w:lang w:val="sr-Latn-ME"/>
        </w:rPr>
        <w:tab/>
        <w:t>BROJ DOZVOLE ZA STAVLJANJE LIJEKA U PROMET</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7B51A0" w:rsidRPr="007B51A0" w:rsidRDefault="007B51A0" w:rsidP="007B51A0">
      <w:pPr>
        <w:spacing w:after="0" w:line="240" w:lineRule="auto"/>
        <w:jc w:val="both"/>
        <w:rPr>
          <w:rFonts w:ascii="Times New Roman" w:eastAsia="Times New Roman" w:hAnsi="Times New Roman" w:cs="Times New Roman"/>
          <w:iCs/>
          <w:lang w:val="sr-Latn-ME"/>
        </w:rPr>
      </w:pPr>
      <w:r w:rsidRPr="007B51A0">
        <w:rPr>
          <w:rFonts w:ascii="Times New Roman" w:eastAsia="Times New Roman" w:hAnsi="Times New Roman" w:cs="Times New Roman"/>
          <w:iCs/>
          <w:lang w:val="sr-Latn-ME"/>
        </w:rPr>
        <w:t>Prames</w:t>
      </w:r>
      <w:r w:rsidRPr="007B51A0">
        <w:rPr>
          <w:rFonts w:ascii="Times New Roman" w:eastAsia="Times New Roman" w:hAnsi="Times New Roman" w:cs="Times New Roman"/>
          <w:iCs/>
          <w:vertAlign w:val="superscript"/>
          <w:lang w:val="sr-Latn-ME"/>
        </w:rPr>
        <w:t>®</w:t>
      </w:r>
      <w:r w:rsidRPr="007B51A0">
        <w:rPr>
          <w:rFonts w:ascii="Times New Roman" w:eastAsia="Times New Roman" w:hAnsi="Times New Roman" w:cs="Times New Roman"/>
          <w:iCs/>
          <w:lang w:val="sr-Latn-ME"/>
        </w:rPr>
        <w:t xml:space="preserve">, film tableta, 10 mg, blister, 30 (3x10) film tableta: </w:t>
      </w:r>
      <w:r w:rsidR="006806F5" w:rsidRPr="006806F5">
        <w:rPr>
          <w:rFonts w:ascii="Times New Roman" w:eastAsia="Times New Roman" w:hAnsi="Times New Roman" w:cs="Times New Roman"/>
          <w:iCs/>
          <w:lang w:val="sr-Latn-ME"/>
        </w:rPr>
        <w:t>2030/19/277 - 6818</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9. </w:t>
      </w:r>
      <w:r w:rsidRPr="007B51A0">
        <w:rPr>
          <w:rFonts w:ascii="Times New Roman" w:eastAsia="Times New Roman" w:hAnsi="Times New Roman" w:cs="Times New Roman"/>
          <w:b/>
          <w:bCs/>
          <w:lang w:val="sr-Latn-ME"/>
        </w:rPr>
        <w:tab/>
        <w:t>DATUM PRVE DOZVOLE/OBNOVE DOZVOLE ZA STAVLJANJE LIJEKA U PROMET</w:t>
      </w: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spacing w:after="0" w:line="240" w:lineRule="auto"/>
        <w:jc w:val="both"/>
        <w:rPr>
          <w:rFonts w:ascii="Times New Roman" w:eastAsia="Times New Roman" w:hAnsi="Times New Roman" w:cs="Times New Roman"/>
          <w:iCs/>
          <w:lang w:val="sr-Latn-ME"/>
        </w:rPr>
      </w:pPr>
      <w:r w:rsidRPr="007B51A0">
        <w:rPr>
          <w:rFonts w:ascii="Times New Roman" w:eastAsia="Times New Roman" w:hAnsi="Times New Roman" w:cs="Times New Roman"/>
          <w:iCs/>
          <w:lang w:val="sr-Latn-ME"/>
        </w:rPr>
        <w:t>Prames</w:t>
      </w:r>
      <w:r w:rsidRPr="007B51A0">
        <w:rPr>
          <w:rFonts w:ascii="Times New Roman" w:eastAsia="Times New Roman" w:hAnsi="Times New Roman" w:cs="Times New Roman"/>
          <w:iCs/>
          <w:vertAlign w:val="superscript"/>
          <w:lang w:val="sr-Latn-ME"/>
        </w:rPr>
        <w:t>®</w:t>
      </w:r>
      <w:r w:rsidRPr="007B51A0">
        <w:rPr>
          <w:rFonts w:ascii="Times New Roman" w:eastAsia="Times New Roman" w:hAnsi="Times New Roman" w:cs="Times New Roman"/>
          <w:iCs/>
          <w:lang w:val="sr-Latn-ME"/>
        </w:rPr>
        <w:t xml:space="preserve">, film tableta, 10 mg, blister, 30 (3x10) film tableta: </w:t>
      </w:r>
      <w:r w:rsidR="006806F5" w:rsidRPr="006806F5">
        <w:rPr>
          <w:rFonts w:ascii="Times New Roman" w:eastAsia="Times New Roman" w:hAnsi="Times New Roman" w:cs="Times New Roman"/>
          <w:iCs/>
          <w:lang w:val="sr-Latn-ME"/>
        </w:rPr>
        <w:t>05.08.2019. godine</w:t>
      </w:r>
    </w:p>
    <w:p w:rsid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AD26A0" w:rsidRPr="007B51A0" w:rsidRDefault="00AD26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Default="007B51A0" w:rsidP="007B51A0">
      <w:pPr>
        <w:tabs>
          <w:tab w:val="left" w:pos="540"/>
          <w:tab w:val="left" w:pos="569"/>
        </w:tabs>
        <w:spacing w:after="0" w:line="240" w:lineRule="auto"/>
        <w:jc w:val="both"/>
        <w:rPr>
          <w:rFonts w:ascii="Times New Roman" w:eastAsia="Times New Roman" w:hAnsi="Times New Roman" w:cs="Times New Roman"/>
          <w:b/>
          <w:bCs/>
          <w:lang w:val="sr-Latn-ME"/>
        </w:rPr>
      </w:pPr>
      <w:r w:rsidRPr="007B51A0">
        <w:rPr>
          <w:rFonts w:ascii="Times New Roman" w:eastAsia="Times New Roman" w:hAnsi="Times New Roman" w:cs="Times New Roman"/>
          <w:b/>
          <w:bCs/>
          <w:lang w:val="sr-Latn-ME"/>
        </w:rPr>
        <w:t xml:space="preserve">10. </w:t>
      </w:r>
      <w:r w:rsidRPr="007B51A0">
        <w:rPr>
          <w:rFonts w:ascii="Times New Roman" w:eastAsia="Times New Roman" w:hAnsi="Times New Roman" w:cs="Times New Roman"/>
          <w:b/>
          <w:bCs/>
          <w:lang w:val="sr-Latn-ME"/>
        </w:rPr>
        <w:tab/>
        <w:t xml:space="preserve">DATUM REVIZIJE TEKSTA </w:t>
      </w:r>
    </w:p>
    <w:p w:rsidR="002418BE" w:rsidRDefault="002418BE" w:rsidP="007B51A0">
      <w:pPr>
        <w:tabs>
          <w:tab w:val="left" w:pos="540"/>
          <w:tab w:val="left" w:pos="569"/>
        </w:tabs>
        <w:spacing w:after="0" w:line="240" w:lineRule="auto"/>
        <w:jc w:val="both"/>
        <w:rPr>
          <w:rFonts w:ascii="Times New Roman" w:eastAsia="Times New Roman" w:hAnsi="Times New Roman" w:cs="Times New Roman"/>
          <w:b/>
          <w:bCs/>
          <w:lang w:val="sr-Latn-ME"/>
        </w:rPr>
      </w:pPr>
    </w:p>
    <w:p w:rsidR="002418BE" w:rsidRPr="002418BE" w:rsidRDefault="002418BE" w:rsidP="007B51A0">
      <w:pPr>
        <w:tabs>
          <w:tab w:val="left" w:pos="540"/>
          <w:tab w:val="left" w:pos="569"/>
        </w:tabs>
        <w:spacing w:after="0" w:line="240" w:lineRule="auto"/>
        <w:jc w:val="both"/>
        <w:rPr>
          <w:rFonts w:ascii="Times New Roman" w:eastAsia="Times New Roman" w:hAnsi="Times New Roman" w:cs="Times New Roman"/>
          <w:bCs/>
          <w:lang w:val="sr-Latn-ME"/>
        </w:rPr>
      </w:pPr>
      <w:r w:rsidRPr="002418BE">
        <w:rPr>
          <w:rFonts w:ascii="Times New Roman" w:eastAsia="Times New Roman" w:hAnsi="Times New Roman" w:cs="Times New Roman"/>
          <w:bCs/>
          <w:lang w:val="sr-Latn-ME"/>
        </w:rPr>
        <w:t>Avgust, 2019. godine</w:t>
      </w:r>
      <w:bookmarkStart w:id="0" w:name="_GoBack"/>
      <w:bookmarkEnd w:id="0"/>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7B51A0" w:rsidRPr="007B51A0" w:rsidRDefault="007B51A0" w:rsidP="007B51A0">
      <w:pPr>
        <w:tabs>
          <w:tab w:val="left" w:pos="540"/>
          <w:tab w:val="left" w:pos="569"/>
        </w:tabs>
        <w:spacing w:after="0" w:line="240" w:lineRule="auto"/>
        <w:jc w:val="both"/>
        <w:rPr>
          <w:rFonts w:ascii="Times New Roman" w:eastAsia="Times New Roman" w:hAnsi="Times New Roman" w:cs="Times New Roman"/>
          <w:bCs/>
          <w:lang w:val="sr-Latn-ME"/>
        </w:rPr>
      </w:pPr>
    </w:p>
    <w:p w:rsidR="00DA1FB0" w:rsidRPr="007B51A0" w:rsidRDefault="00DA1FB0" w:rsidP="007B51A0">
      <w:pPr>
        <w:spacing w:line="240" w:lineRule="auto"/>
        <w:jc w:val="both"/>
        <w:rPr>
          <w:rFonts w:ascii="Times New Roman" w:hAnsi="Times New Roman" w:cs="Times New Roman"/>
          <w:lang w:val="sr-Latn-ME"/>
        </w:rPr>
      </w:pPr>
      <w:r w:rsidRPr="007B51A0">
        <w:rPr>
          <w:rFonts w:ascii="Times New Roman" w:hAnsi="Times New Roman" w:cs="Times New Roman"/>
          <w:lang w:val="sr-Latn-ME"/>
        </w:rPr>
        <w:t xml:space="preserve"> </w:t>
      </w:r>
    </w:p>
    <w:sectPr w:rsidR="00DA1FB0" w:rsidRPr="007B51A0"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93" w:rsidRDefault="00C64B93" w:rsidP="00FF2B5A">
      <w:pPr>
        <w:spacing w:after="0" w:line="240" w:lineRule="auto"/>
      </w:pPr>
      <w:r>
        <w:separator/>
      </w:r>
    </w:p>
  </w:endnote>
  <w:endnote w:type="continuationSeparator" w:id="0">
    <w:p w:rsidR="00C64B93" w:rsidRDefault="00C64B9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A0" w:rsidRPr="00F1527C" w:rsidRDefault="007B51A0"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B51A0" w:rsidRPr="00F1527C" w:rsidRDefault="007B51A0"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B51A0" w:rsidRPr="00F1527C" w:rsidRDefault="007B51A0"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B51A0" w:rsidRPr="00F1527C" w:rsidRDefault="007B51A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B51A0" w:rsidRPr="00F1527C" w:rsidRDefault="007B51A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7B51A0" w:rsidRPr="009318B4" w:rsidRDefault="007B51A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806F5">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806F5">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A0" w:rsidRPr="00F1527C" w:rsidRDefault="007B51A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B51A0" w:rsidRPr="00F1527C" w:rsidRDefault="007B51A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B51A0" w:rsidRPr="00F1527C" w:rsidRDefault="007B51A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B51A0" w:rsidRPr="00F1527C" w:rsidRDefault="007B51A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B51A0" w:rsidRPr="00F1527C" w:rsidRDefault="007B51A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7B51A0" w:rsidRPr="009318B4" w:rsidRDefault="007B51A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93" w:rsidRDefault="00C64B93" w:rsidP="00FF2B5A">
      <w:pPr>
        <w:spacing w:after="0" w:line="240" w:lineRule="auto"/>
      </w:pPr>
      <w:r>
        <w:separator/>
      </w:r>
    </w:p>
  </w:footnote>
  <w:footnote w:type="continuationSeparator" w:id="0">
    <w:p w:rsidR="00C64B93" w:rsidRDefault="00C64B9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A0" w:rsidRDefault="007B51A0" w:rsidP="009318B4">
    <w:pPr>
      <w:pStyle w:val="Header"/>
      <w:rPr>
        <w:sz w:val="16"/>
        <w:szCs w:val="16"/>
      </w:rPr>
    </w:pPr>
  </w:p>
  <w:p w:rsidR="007B51A0" w:rsidRDefault="007B51A0" w:rsidP="007B51A0">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B51A0" w:rsidRPr="007B51A0" w:rsidRDefault="007B51A0" w:rsidP="007B51A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A0" w:rsidRDefault="007B51A0" w:rsidP="009318B4">
    <w:pPr>
      <w:pStyle w:val="Header"/>
      <w:rPr>
        <w:sz w:val="16"/>
        <w:szCs w:val="16"/>
      </w:rPr>
    </w:pPr>
  </w:p>
  <w:p w:rsidR="007B51A0" w:rsidRDefault="007B51A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B51A0" w:rsidRDefault="007B5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5B77"/>
    <w:multiLevelType w:val="hybridMultilevel"/>
    <w:tmpl w:val="36E69C68"/>
    <w:lvl w:ilvl="0" w:tplc="D458BCD6">
      <w:start w:val="1"/>
      <w:numFmt w:val="bullet"/>
      <w:lvlText w:val="-"/>
      <w:lvlJc w:val="left"/>
      <w:pPr>
        <w:ind w:left="1080" w:hanging="360"/>
      </w:pPr>
      <w:rPr>
        <w:rFonts w:ascii="Microsoft Sans Serif" w:eastAsia="Calibri" w:hAnsi="Microsoft Sans Serif" w:cs="Microsoft Sans Serif"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0F24E3"/>
    <w:multiLevelType w:val="hybridMultilevel"/>
    <w:tmpl w:val="7FEE5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37047C"/>
    <w:multiLevelType w:val="hybridMultilevel"/>
    <w:tmpl w:val="83442E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0A59F2"/>
    <w:multiLevelType w:val="hybridMultilevel"/>
    <w:tmpl w:val="ABFC6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E348B"/>
    <w:multiLevelType w:val="hybridMultilevel"/>
    <w:tmpl w:val="0B62F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C607FBF"/>
    <w:multiLevelType w:val="hybridMultilevel"/>
    <w:tmpl w:val="3D985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C423E7E"/>
    <w:multiLevelType w:val="hybridMultilevel"/>
    <w:tmpl w:val="3F9C96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4E2EB7"/>
    <w:multiLevelType w:val="hybridMultilevel"/>
    <w:tmpl w:val="B09C0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1423E6"/>
    <w:multiLevelType w:val="hybridMultilevel"/>
    <w:tmpl w:val="DA06A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0642034"/>
    <w:multiLevelType w:val="hybridMultilevel"/>
    <w:tmpl w:val="44CA8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F79F8"/>
    <w:multiLevelType w:val="hybridMultilevel"/>
    <w:tmpl w:val="FE6AD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C1B0F"/>
    <w:multiLevelType w:val="hybridMultilevel"/>
    <w:tmpl w:val="3CB65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
  </w:num>
  <w:num w:numId="4">
    <w:abstractNumId w:val="18"/>
  </w:num>
  <w:num w:numId="5">
    <w:abstractNumId w:val="9"/>
  </w:num>
  <w:num w:numId="6">
    <w:abstractNumId w:val="2"/>
  </w:num>
  <w:num w:numId="7">
    <w:abstractNumId w:val="14"/>
  </w:num>
  <w:num w:numId="8">
    <w:abstractNumId w:val="7"/>
  </w:num>
  <w:num w:numId="9">
    <w:abstractNumId w:val="12"/>
  </w:num>
  <w:num w:numId="10">
    <w:abstractNumId w:val="22"/>
  </w:num>
  <w:num w:numId="11">
    <w:abstractNumId w:val="10"/>
  </w:num>
  <w:num w:numId="12">
    <w:abstractNumId w:val="4"/>
  </w:num>
  <w:num w:numId="13">
    <w:abstractNumId w:val="17"/>
  </w:num>
  <w:num w:numId="14">
    <w:abstractNumId w:val="21"/>
  </w:num>
  <w:num w:numId="15">
    <w:abstractNumId w:val="15"/>
  </w:num>
  <w:num w:numId="16">
    <w:abstractNumId w:val="0"/>
  </w:num>
  <w:num w:numId="17">
    <w:abstractNumId w:val="19"/>
  </w:num>
  <w:num w:numId="18">
    <w:abstractNumId w:val="11"/>
  </w:num>
  <w:num w:numId="19">
    <w:abstractNumId w:val="3"/>
  </w:num>
  <w:num w:numId="20">
    <w:abstractNumId w:val="16"/>
  </w:num>
  <w:num w:numId="21">
    <w:abstractNumId w:val="8"/>
  </w:num>
  <w:num w:numId="22">
    <w:abstractNumId w:val="5"/>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418BE"/>
    <w:rsid w:val="002B336F"/>
    <w:rsid w:val="0031146A"/>
    <w:rsid w:val="00461135"/>
    <w:rsid w:val="005E2168"/>
    <w:rsid w:val="006806F5"/>
    <w:rsid w:val="00747C4B"/>
    <w:rsid w:val="007B51A0"/>
    <w:rsid w:val="00805838"/>
    <w:rsid w:val="00883AF2"/>
    <w:rsid w:val="009318B4"/>
    <w:rsid w:val="00934541"/>
    <w:rsid w:val="00A06058"/>
    <w:rsid w:val="00AD26A0"/>
    <w:rsid w:val="00AF30B1"/>
    <w:rsid w:val="00B234CE"/>
    <w:rsid w:val="00B34AF2"/>
    <w:rsid w:val="00C4240B"/>
    <w:rsid w:val="00C606D3"/>
    <w:rsid w:val="00C64B93"/>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B51A0"/>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B51A0"/>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7B51A0"/>
  </w:style>
  <w:style w:type="character" w:styleId="PageNumber">
    <w:name w:val="page number"/>
    <w:basedOn w:val="DefaultParagraphFont"/>
    <w:rsid w:val="007B51A0"/>
  </w:style>
  <w:style w:type="numbering" w:styleId="111111">
    <w:name w:val="Outline List 2"/>
    <w:basedOn w:val="NoList"/>
    <w:rsid w:val="007B51A0"/>
    <w:pPr>
      <w:numPr>
        <w:numId w:val="3"/>
      </w:numPr>
    </w:pPr>
  </w:style>
  <w:style w:type="character" w:styleId="CommentReference">
    <w:name w:val="annotation reference"/>
    <w:semiHidden/>
    <w:rsid w:val="007B51A0"/>
    <w:rPr>
      <w:sz w:val="16"/>
      <w:szCs w:val="16"/>
    </w:rPr>
  </w:style>
  <w:style w:type="paragraph" w:styleId="CommentText">
    <w:name w:val="annotation text"/>
    <w:basedOn w:val="Normal"/>
    <w:link w:val="CommentTextChar"/>
    <w:semiHidden/>
    <w:rsid w:val="007B51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B51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B51A0"/>
    <w:rPr>
      <w:b/>
      <w:bCs/>
    </w:rPr>
  </w:style>
  <w:style w:type="character" w:customStyle="1" w:styleId="CommentSubjectChar">
    <w:name w:val="Comment Subject Char"/>
    <w:basedOn w:val="CommentTextChar"/>
    <w:link w:val="CommentSubject"/>
    <w:semiHidden/>
    <w:rsid w:val="007B51A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B51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B51A0"/>
    <w:rPr>
      <w:rFonts w:ascii="Tahoma" w:eastAsia="Times New Roman" w:hAnsi="Tahoma" w:cs="Tahoma"/>
      <w:sz w:val="16"/>
      <w:szCs w:val="16"/>
    </w:rPr>
  </w:style>
  <w:style w:type="paragraph" w:styleId="NoSpacing">
    <w:name w:val="No Spacing"/>
    <w:uiPriority w:val="1"/>
    <w:qFormat/>
    <w:rsid w:val="007B51A0"/>
    <w:pPr>
      <w:spacing w:after="0" w:line="240" w:lineRule="auto"/>
    </w:pPr>
    <w:rPr>
      <w:rFonts w:ascii="Times New Roman" w:eastAsia="Times New Roman" w:hAnsi="Times New Roman" w:cs="Times New Roman"/>
      <w:sz w:val="24"/>
      <w:szCs w:val="24"/>
    </w:rPr>
  </w:style>
  <w:style w:type="paragraph" w:customStyle="1" w:styleId="Default">
    <w:name w:val="Default"/>
    <w:rsid w:val="007B51A0"/>
    <w:pPr>
      <w:autoSpaceDE w:val="0"/>
      <w:autoSpaceDN w:val="0"/>
      <w:adjustRightInd w:val="0"/>
      <w:spacing w:after="0" w:line="240" w:lineRule="auto"/>
    </w:pPr>
    <w:rPr>
      <w:rFonts w:ascii="Arial" w:eastAsia="Calibri" w:hAnsi="Arial" w:cs="Arial"/>
      <w:color w:val="000000"/>
      <w:sz w:val="24"/>
      <w:szCs w:val="24"/>
      <w:lang w:val="hr-HR"/>
    </w:rPr>
  </w:style>
  <w:style w:type="character" w:styleId="Hyperlink">
    <w:name w:val="Hyperlink"/>
    <w:basedOn w:val="DefaultParagraphFont"/>
    <w:rsid w:val="007B5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0F62F-AEB1-484E-90E1-7BDAF2C8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9</cp:revision>
  <dcterms:created xsi:type="dcterms:W3CDTF">2017-06-23T09:30:00Z</dcterms:created>
  <dcterms:modified xsi:type="dcterms:W3CDTF">2019-08-05T06:00:00Z</dcterms:modified>
</cp:coreProperties>
</file>