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13" w:rsidRPr="00271113" w:rsidRDefault="00271113" w:rsidP="009A27D5">
      <w:pPr>
        <w:spacing w:after="0" w:line="240" w:lineRule="auto"/>
        <w:jc w:val="center"/>
        <w:rPr>
          <w:rFonts w:ascii="Times New Roman" w:eastAsia="Times New Roman" w:hAnsi="Times New Roman" w:cs="Times New Roman"/>
          <w:b/>
          <w:bCs/>
          <w:iCs/>
          <w:u w:val="single"/>
          <w:lang w:val="sr-Latn-ME"/>
        </w:rPr>
      </w:pPr>
      <w:r w:rsidRPr="00271113">
        <w:rPr>
          <w:rFonts w:ascii="Times New Roman" w:eastAsia="Times New Roman" w:hAnsi="Times New Roman" w:cs="Times New Roman"/>
          <w:b/>
          <w:bCs/>
          <w:iCs/>
          <w:u w:val="single"/>
          <w:lang w:val="sr-Latn-ME"/>
        </w:rPr>
        <w:t>SAŽETAK KARAKTERISTIKA LIJEKA</w:t>
      </w:r>
    </w:p>
    <w:p w:rsidR="00271113" w:rsidRPr="00271113" w:rsidRDefault="00271113" w:rsidP="00271113">
      <w:pPr>
        <w:spacing w:after="0" w:line="240" w:lineRule="auto"/>
        <w:jc w:val="both"/>
        <w:rPr>
          <w:rFonts w:ascii="Times New Roman" w:eastAsia="Times New Roman" w:hAnsi="Times New Roman" w:cs="Times New Roman"/>
          <w:b/>
          <w:bCs/>
          <w:i/>
          <w:i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1.</w:t>
      </w:r>
      <w:r w:rsidRPr="00271113">
        <w:rPr>
          <w:rFonts w:ascii="Times New Roman" w:eastAsia="Times New Roman" w:hAnsi="Times New Roman" w:cs="Times New Roman"/>
          <w:b/>
          <w:bCs/>
          <w:lang w:val="sr-Latn-ME"/>
        </w:rPr>
        <w:tab/>
        <w:t>NAZIV LIJEKA</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Cefazolin Sandoz</w:t>
      </w:r>
      <w:r w:rsidRPr="00271113">
        <w:rPr>
          <w:rFonts w:ascii="Times New Roman" w:eastAsia="Times New Roman" w:hAnsi="Times New Roman" w:cs="Times New Roman"/>
          <w:vertAlign w:val="superscript"/>
          <w:lang w:val="sr-Latn-ME" w:eastAsia="sr-Latn-ME"/>
        </w:rPr>
        <w:t>®</w:t>
      </w:r>
      <w:r w:rsidRPr="00271113">
        <w:rPr>
          <w:rFonts w:ascii="Times New Roman" w:eastAsia="Times New Roman" w:hAnsi="Times New Roman" w:cs="Times New Roman"/>
          <w:lang w:val="sr-Latn-ME" w:eastAsia="sr-Latn-ME"/>
        </w:rPr>
        <w:t>, l g, prašak za rastvor za injekciju/infuziju</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eastAsia="sr-Latn-ME"/>
        </w:rPr>
        <w:t>INN: cefazolin</w:t>
      </w:r>
    </w:p>
    <w:p w:rsidR="00271113" w:rsidRPr="00271113" w:rsidRDefault="00271113" w:rsidP="00271113">
      <w:pPr>
        <w:tabs>
          <w:tab w:val="left" w:pos="1712"/>
        </w:tabs>
        <w:spacing w:after="0" w:line="240" w:lineRule="auto"/>
        <w:jc w:val="both"/>
        <w:rPr>
          <w:rFonts w:ascii="Times New Roman" w:eastAsia="Times New Roman" w:hAnsi="Times New Roman" w:cs="Times New Roman"/>
          <w:bCs/>
          <w:lang w:val="sr-Latn-ME"/>
        </w:rPr>
      </w:pPr>
    </w:p>
    <w:p w:rsidR="00271113" w:rsidRPr="00271113" w:rsidRDefault="00271113" w:rsidP="00271113">
      <w:pPr>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2. </w:t>
      </w:r>
      <w:r w:rsidRPr="00271113">
        <w:rPr>
          <w:rFonts w:ascii="Times New Roman" w:eastAsia="Times New Roman" w:hAnsi="Times New Roman" w:cs="Times New Roman"/>
          <w:b/>
          <w:bCs/>
          <w:lang w:val="sr-Latn-ME"/>
        </w:rPr>
        <w:tab/>
        <w:t>KVALITATIVNI I KVANTITATIVNI SASTAV</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Jedna bočica sadrž</w:t>
      </w:r>
      <w:r w:rsidR="005E3E4A">
        <w:rPr>
          <w:rFonts w:ascii="Times New Roman" w:eastAsia="Times New Roman" w:hAnsi="Times New Roman" w:cs="Times New Roman"/>
          <w:lang w:val="sr-Latn-ME" w:eastAsia="sr-Latn-ME"/>
        </w:rPr>
        <w:t>i 1,048 g cefazolin natrijuma (š</w:t>
      </w:r>
      <w:r w:rsidRPr="00271113">
        <w:rPr>
          <w:rFonts w:ascii="Times New Roman" w:eastAsia="Times New Roman" w:hAnsi="Times New Roman" w:cs="Times New Roman"/>
          <w:lang w:val="sr-Latn-ME" w:eastAsia="sr-Latn-ME"/>
        </w:rPr>
        <w:t>to odgovara 1 g cefazolina).</w:t>
      </w:r>
    </w:p>
    <w:p w:rsidR="00271113" w:rsidRPr="00271113" w:rsidRDefault="005E3E4A" w:rsidP="00271113">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eastAsia="sr-Latn-ME"/>
        </w:rPr>
        <w:t>Jedna bočica sadrž</w:t>
      </w:r>
      <w:r w:rsidR="00271113" w:rsidRPr="00271113">
        <w:rPr>
          <w:rFonts w:ascii="Times New Roman" w:eastAsia="Times New Roman" w:hAnsi="Times New Roman" w:cs="Times New Roman"/>
          <w:lang w:val="sr-Latn-ME" w:eastAsia="sr-Latn-ME"/>
        </w:rPr>
        <w:t>i 2,2 mmol natrijuma po dozi (1 g).</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Za spisak svih ekscipijenasa, pogledati dio 6.1.</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3. </w:t>
      </w:r>
      <w:r w:rsidRPr="00271113">
        <w:rPr>
          <w:rFonts w:ascii="Times New Roman" w:eastAsia="Times New Roman" w:hAnsi="Times New Roman" w:cs="Times New Roman"/>
          <w:b/>
          <w:bCs/>
          <w:lang w:val="sr-Latn-ME"/>
        </w:rPr>
        <w:tab/>
        <w:t xml:space="preserve">FARMACEUTSKI OBLIK </w:t>
      </w:r>
    </w:p>
    <w:p w:rsidR="00271113" w:rsidRPr="00271113" w:rsidRDefault="00271113" w:rsidP="00271113">
      <w:pPr>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Prašak za rastvor za injekciju/infuziju.</w:t>
      </w:r>
    </w:p>
    <w:p w:rsidR="00271113" w:rsidRPr="00271113" w:rsidRDefault="00271113" w:rsidP="00271113">
      <w:pPr>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Bijeli do svijetložuti prašak.</w:t>
      </w:r>
    </w:p>
    <w:p w:rsidR="00271113" w:rsidRPr="00271113" w:rsidRDefault="00271113" w:rsidP="00271113">
      <w:pPr>
        <w:spacing w:after="0" w:line="240" w:lineRule="auto"/>
        <w:jc w:val="both"/>
        <w:rPr>
          <w:rFonts w:ascii="Times New Roman" w:eastAsia="Times New Roman" w:hAnsi="Times New Roman" w:cs="Times New Roman"/>
          <w:bCs/>
          <w:lang w:val="sr-Latn-ME"/>
        </w:rPr>
      </w:pPr>
    </w:p>
    <w:p w:rsidR="00271113" w:rsidRPr="00271113" w:rsidRDefault="00271113" w:rsidP="00271113">
      <w:pPr>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 </w:t>
      </w:r>
      <w:r w:rsidRPr="00271113">
        <w:rPr>
          <w:rFonts w:ascii="Times New Roman" w:eastAsia="Times New Roman" w:hAnsi="Times New Roman" w:cs="Times New Roman"/>
          <w:b/>
          <w:bCs/>
          <w:lang w:val="sr-Latn-ME"/>
        </w:rPr>
        <w:tab/>
        <w:t>KLINIČKI PODACI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4.1. </w:t>
      </w:r>
      <w:r w:rsidRPr="00271113">
        <w:rPr>
          <w:rFonts w:ascii="Times New Roman" w:eastAsia="Times New Roman" w:hAnsi="Times New Roman" w:cs="Times New Roman"/>
          <w:b/>
          <w:bCs/>
          <w:lang w:val="sr-Latn-ME"/>
        </w:rPr>
        <w:tab/>
        <w:t>Terapijske indikacije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je indikovan za liječenje sljedećih ozbiljnih infekcija izazvanih osjetljivim mikroorganizmima: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Infekcije respiratornog trakta</w:t>
      </w:r>
      <w:r w:rsidRPr="00271113">
        <w:rPr>
          <w:rFonts w:ascii="Times New Roman" w:eastAsia="Times New Roman" w:hAnsi="Times New Roman" w:cs="Times New Roman"/>
          <w:lang w:val="sr-Latn-ME"/>
        </w:rPr>
        <w:t xml:space="preserve"> izazvane: </w:t>
      </w: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(meticilin osjetljivi sojevi, uključujući i sojeve koji produkuju beta-laktamazu), </w:t>
      </w:r>
      <w:r w:rsidRPr="00271113">
        <w:rPr>
          <w:rFonts w:ascii="Times New Roman" w:eastAsia="Times New Roman" w:hAnsi="Times New Roman" w:cs="Times New Roman"/>
          <w:i/>
          <w:lang w:val="sr-Latn-ME"/>
        </w:rPr>
        <w:t>Streptococcus pneumoniae,</w:t>
      </w:r>
      <w:r w:rsidRPr="00271113">
        <w:rPr>
          <w:rFonts w:ascii="Times New Roman" w:eastAsia="Times New Roman" w:hAnsi="Times New Roman" w:cs="Times New Roman"/>
          <w:lang w:val="sr-Latn-ME"/>
        </w:rPr>
        <w:t xml:space="preserve"> </w:t>
      </w:r>
      <w:r w:rsidRPr="00271113">
        <w:rPr>
          <w:rFonts w:ascii="Times New Roman" w:eastAsia="Times New Roman" w:hAnsi="Times New Roman" w:cs="Times New Roman"/>
          <w:i/>
          <w:lang w:val="sr-Latn-ME"/>
        </w:rPr>
        <w:t>Streptococcus pyogenes</w:t>
      </w:r>
      <w:r w:rsidRPr="00271113">
        <w:rPr>
          <w:rFonts w:ascii="Times New Roman" w:eastAsia="Times New Roman" w:hAnsi="Times New Roman" w:cs="Times New Roman"/>
          <w:lang w:val="sr-Latn-ME"/>
        </w:rPr>
        <w:t xml:space="preserve">, kao i drugim sojevima streptokoka. </w:t>
      </w:r>
    </w:p>
    <w:p w:rsidR="009A27D5" w:rsidRPr="00271113" w:rsidRDefault="009A27D5" w:rsidP="009A27D5">
      <w:pPr>
        <w:tabs>
          <w:tab w:val="left" w:pos="540"/>
          <w:tab w:val="left" w:pos="569"/>
        </w:tabs>
        <w:spacing w:after="0" w:line="240" w:lineRule="auto"/>
        <w:ind w:left="420"/>
        <w:contextualSpacing/>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(Napomena: Smatra se da injekcioni benzilpenicilin-benzatin treba da bude lijek izbora u liječenju i prevenciji streptokoknih infekcija, uključujući profilaksu reumatske groznice).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Cefazolin je efikasan u eradikaciji streptokoka iz nazofarinksa, međutim nema podataka koji potvrđuju efikasnost cefazolina, kasnije, u prevenciji reumatske groznice.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Infekcije urinarnog trakta</w:t>
      </w:r>
      <w:r w:rsidRPr="00271113">
        <w:rPr>
          <w:rFonts w:ascii="Times New Roman" w:eastAsia="Times New Roman" w:hAnsi="Times New Roman" w:cs="Times New Roman"/>
          <w:lang w:val="sr-Latn-ME"/>
        </w:rPr>
        <w:t xml:space="preserve"> izazvane: </w:t>
      </w:r>
      <w:r w:rsidRPr="00271113">
        <w:rPr>
          <w:rFonts w:ascii="Times New Roman" w:eastAsia="Times New Roman" w:hAnsi="Times New Roman" w:cs="Times New Roman"/>
          <w:i/>
          <w:lang w:val="sr-Latn-ME"/>
        </w:rPr>
        <w:t>Escherichia coli, Proteus mirabilis</w:t>
      </w:r>
      <w:r w:rsidRPr="00271113">
        <w:rPr>
          <w:rFonts w:ascii="Times New Roman" w:eastAsia="Times New Roman" w:hAnsi="Times New Roman" w:cs="Times New Roman"/>
          <w:lang w:val="sr-Latn-ME"/>
        </w:rPr>
        <w:t xml:space="preserv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Infekcije kože i mekih tkiva</w:t>
      </w:r>
      <w:r w:rsidRPr="00271113">
        <w:rPr>
          <w:rFonts w:ascii="Times New Roman" w:eastAsia="Times New Roman" w:hAnsi="Times New Roman" w:cs="Times New Roman"/>
          <w:lang w:val="sr-Latn-ME"/>
        </w:rPr>
        <w:t xml:space="preserve"> izazvane: </w:t>
      </w: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(meticilin osjetljivi sojevi, uključujući i sojeve koji produkuju beta-laktamazu), </w:t>
      </w:r>
      <w:r w:rsidRPr="00271113">
        <w:rPr>
          <w:rFonts w:ascii="Times New Roman" w:eastAsia="Times New Roman" w:hAnsi="Times New Roman" w:cs="Times New Roman"/>
          <w:i/>
          <w:lang w:val="sr-Latn-ME"/>
        </w:rPr>
        <w:t>Streptococcus pyogenes</w:t>
      </w:r>
      <w:r w:rsidRPr="00271113">
        <w:rPr>
          <w:rFonts w:ascii="Times New Roman" w:eastAsia="Times New Roman" w:hAnsi="Times New Roman" w:cs="Times New Roman"/>
          <w:lang w:val="sr-Latn-ME"/>
        </w:rPr>
        <w:t xml:space="preserve">, kao i drugim sojevima streptokoka.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Infekcije bilijarnog trakta</w:t>
      </w:r>
      <w:r w:rsidRPr="00271113">
        <w:rPr>
          <w:rFonts w:ascii="Times New Roman" w:eastAsia="Times New Roman" w:hAnsi="Times New Roman" w:cs="Times New Roman"/>
          <w:lang w:val="sr-Latn-ME"/>
        </w:rPr>
        <w:t xml:space="preserve"> izazvane: </w:t>
      </w:r>
      <w:r w:rsidRPr="00271113">
        <w:rPr>
          <w:rFonts w:ascii="Times New Roman" w:eastAsia="Times New Roman" w:hAnsi="Times New Roman" w:cs="Times New Roman"/>
          <w:i/>
          <w:lang w:val="sr-Latn-ME"/>
        </w:rPr>
        <w:t>Escherichia coli,</w:t>
      </w:r>
      <w:r w:rsidRPr="00271113">
        <w:rPr>
          <w:rFonts w:ascii="Times New Roman" w:eastAsia="Times New Roman" w:hAnsi="Times New Roman" w:cs="Times New Roman"/>
          <w:lang w:val="sr-Latn-ME"/>
        </w:rPr>
        <w:t xml:space="preserve"> raznim sojevima streptokoka, </w:t>
      </w:r>
      <w:r w:rsidRPr="00271113">
        <w:rPr>
          <w:rFonts w:ascii="Times New Roman" w:eastAsia="Times New Roman" w:hAnsi="Times New Roman" w:cs="Times New Roman"/>
          <w:i/>
          <w:lang w:val="sr-Latn-ME"/>
        </w:rPr>
        <w:t>Proteus mirabilis,</w:t>
      </w:r>
      <w:r w:rsidRPr="00271113">
        <w:rPr>
          <w:rFonts w:ascii="Times New Roman" w:eastAsia="Times New Roman" w:hAnsi="Times New Roman" w:cs="Times New Roman"/>
          <w:lang w:val="sr-Latn-ME"/>
        </w:rPr>
        <w:t xml:space="preserve"> i </w:t>
      </w: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(meticilin osjetljivi sojevi).</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9A27D5" w:rsidRPr="00271113" w:rsidRDefault="009A27D5"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lastRenderedPageBreak/>
        <w:t>Infekcije kostiju i zglobova</w:t>
      </w:r>
      <w:r w:rsidRPr="00271113">
        <w:rPr>
          <w:rFonts w:ascii="Times New Roman" w:eastAsia="Times New Roman" w:hAnsi="Times New Roman" w:cs="Times New Roman"/>
          <w:lang w:val="sr-Latn-ME"/>
        </w:rPr>
        <w:t xml:space="preserve"> izazvane </w:t>
      </w: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(meticilin osjetljivi sojevi).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Genitalne infekcije</w:t>
      </w:r>
      <w:r w:rsidRPr="00271113">
        <w:rPr>
          <w:rFonts w:ascii="Times New Roman" w:eastAsia="Times New Roman" w:hAnsi="Times New Roman" w:cs="Times New Roman"/>
          <w:lang w:val="sr-Latn-ME"/>
        </w:rPr>
        <w:t xml:space="preserve"> (npr. prostatitis, epididimitis) izazvane: </w:t>
      </w:r>
      <w:r w:rsidRPr="00271113">
        <w:rPr>
          <w:rFonts w:ascii="Times New Roman" w:eastAsia="Times New Roman" w:hAnsi="Times New Roman" w:cs="Times New Roman"/>
          <w:i/>
          <w:lang w:val="sr-Latn-ME"/>
        </w:rPr>
        <w:t>Escherichia coli, Proteus mirabilis</w:t>
      </w:r>
      <w:r w:rsidRPr="00271113">
        <w:rPr>
          <w:rFonts w:ascii="Times New Roman" w:eastAsia="Times New Roman" w:hAnsi="Times New Roman" w:cs="Times New Roman"/>
          <w:lang w:val="sr-Latn-ME"/>
        </w:rPr>
        <w:t>.</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i/>
          <w:lang w:val="sr-Latn-ME"/>
        </w:rPr>
      </w:pPr>
      <w:r w:rsidRPr="00271113">
        <w:rPr>
          <w:rFonts w:ascii="Times New Roman" w:eastAsia="Times New Roman" w:hAnsi="Times New Roman" w:cs="Times New Roman"/>
          <w:b/>
          <w:lang w:val="sr-Latn-ME"/>
        </w:rPr>
        <w:t>Septikemija</w:t>
      </w:r>
      <w:r w:rsidRPr="00271113">
        <w:rPr>
          <w:rFonts w:ascii="Times New Roman" w:eastAsia="Times New Roman" w:hAnsi="Times New Roman" w:cs="Times New Roman"/>
          <w:lang w:val="sr-Latn-ME"/>
        </w:rPr>
        <w:t xml:space="preserve"> izazvana: </w:t>
      </w:r>
      <w:r w:rsidRPr="00271113">
        <w:rPr>
          <w:rFonts w:ascii="Times New Roman" w:eastAsia="Times New Roman" w:hAnsi="Times New Roman" w:cs="Times New Roman"/>
          <w:i/>
          <w:lang w:val="sr-Latn-ME"/>
        </w:rPr>
        <w:t>Streptococcus pneumoniae, Staphylococcus aureus</w:t>
      </w:r>
      <w:r w:rsidRPr="00271113">
        <w:rPr>
          <w:rFonts w:ascii="Times New Roman" w:eastAsia="Times New Roman" w:hAnsi="Times New Roman" w:cs="Times New Roman"/>
          <w:lang w:val="sr-Latn-ME"/>
        </w:rPr>
        <w:t xml:space="preserve"> (meticilin osjetljivi sojevi, uključujući i sojeve koji produkuju beta-laktamazu</w:t>
      </w:r>
      <w:r w:rsidRPr="00271113">
        <w:rPr>
          <w:rFonts w:ascii="Times New Roman" w:eastAsia="Times New Roman" w:hAnsi="Times New Roman" w:cs="Times New Roman"/>
          <w:i/>
          <w:lang w:val="sr-Latn-ME"/>
        </w:rPr>
        <w:t>), Proteus mirabilis,</w:t>
      </w:r>
      <w:r w:rsidRPr="00271113">
        <w:rPr>
          <w:rFonts w:ascii="Times New Roman" w:eastAsia="Times New Roman" w:hAnsi="Times New Roman" w:cs="Times New Roman"/>
          <w:lang w:val="sr-Latn-ME"/>
        </w:rPr>
        <w:t xml:space="preserve"> </w:t>
      </w:r>
      <w:r w:rsidRPr="00271113">
        <w:rPr>
          <w:rFonts w:ascii="Times New Roman" w:eastAsia="Times New Roman" w:hAnsi="Times New Roman" w:cs="Times New Roman"/>
          <w:i/>
          <w:lang w:val="sr-Latn-ME"/>
        </w:rPr>
        <w:t>Escherichia coli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p>
    <w:p w:rsidR="00271113" w:rsidRDefault="00271113" w:rsidP="00271113">
      <w:pPr>
        <w:numPr>
          <w:ilvl w:val="0"/>
          <w:numId w:val="20"/>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Endokarditis</w:t>
      </w:r>
      <w:r w:rsidRPr="00271113">
        <w:rPr>
          <w:rFonts w:ascii="Times New Roman" w:eastAsia="Times New Roman" w:hAnsi="Times New Roman" w:cs="Times New Roman"/>
          <w:lang w:val="sr-Latn-ME"/>
        </w:rPr>
        <w:t xml:space="preserve"> izazvan </w:t>
      </w:r>
      <w:r w:rsidRPr="00271113">
        <w:rPr>
          <w:rFonts w:ascii="Times New Roman" w:eastAsia="Times New Roman" w:hAnsi="Times New Roman" w:cs="Times New Roman"/>
          <w:i/>
          <w:lang w:val="sr-Latn-ME"/>
        </w:rPr>
        <w:t>Streptococcus aureus</w:t>
      </w:r>
      <w:r w:rsidRPr="00271113">
        <w:rPr>
          <w:rFonts w:ascii="Times New Roman" w:eastAsia="Times New Roman" w:hAnsi="Times New Roman" w:cs="Times New Roman"/>
          <w:lang w:val="sr-Latn-ME"/>
        </w:rPr>
        <w:t xml:space="preserve"> (meticilin osjetljivi sojevi, uključujući i sojeve koji produkuju beta-laktamazu) i </w:t>
      </w:r>
      <w:r w:rsidRPr="00271113">
        <w:rPr>
          <w:rFonts w:ascii="Times New Roman" w:eastAsia="Times New Roman" w:hAnsi="Times New Roman" w:cs="Times New Roman"/>
          <w:i/>
          <w:lang w:val="sr-Latn-ME"/>
        </w:rPr>
        <w:t>Streptococcus pyogenes.</w:t>
      </w:r>
      <w:r w:rsidRPr="00271113">
        <w:rPr>
          <w:rFonts w:ascii="Times New Roman" w:eastAsia="Times New Roman" w:hAnsi="Times New Roman" w:cs="Times New Roman"/>
          <w:lang w:val="sr-Latn-ME"/>
        </w:rPr>
        <w:t xml:space="preserve"> </w:t>
      </w:r>
    </w:p>
    <w:p w:rsidR="009A27D5" w:rsidRPr="00271113" w:rsidRDefault="009A27D5" w:rsidP="009A27D5">
      <w:pPr>
        <w:tabs>
          <w:tab w:val="left" w:pos="540"/>
          <w:tab w:val="left" w:pos="569"/>
        </w:tabs>
        <w:spacing w:after="0" w:line="240" w:lineRule="auto"/>
        <w:ind w:left="420"/>
        <w:contextualSpacing/>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contextualSpacing/>
        <w:jc w:val="both"/>
        <w:rPr>
          <w:rFonts w:ascii="Times New Roman" w:eastAsia="Times New Roman" w:hAnsi="Times New Roman" w:cs="Times New Roman"/>
          <w:i/>
          <w:lang w:val="sr-Latn-ME"/>
        </w:rPr>
      </w:pPr>
      <w:r w:rsidRPr="00271113">
        <w:rPr>
          <w:rFonts w:ascii="Times New Roman" w:eastAsia="Times New Roman" w:hAnsi="Times New Roman" w:cs="Times New Roman"/>
          <w:lang w:val="sr-Latn-ME"/>
        </w:rPr>
        <w:t xml:space="preserve">(Napomena: cefazolin nije lijek izbora za endokarditis i septikemiju čiji je izazivač </w:t>
      </w:r>
      <w:r w:rsidRPr="00271113">
        <w:rPr>
          <w:rFonts w:ascii="Times New Roman" w:eastAsia="Times New Roman" w:hAnsi="Times New Roman" w:cs="Times New Roman"/>
          <w:i/>
          <w:lang w:val="sr-Latn-ME"/>
        </w:rPr>
        <w:t xml:space="preserve">Streptococcus aureus.) </w:t>
      </w:r>
      <w:r w:rsidRPr="00271113">
        <w:rPr>
          <w:rFonts w:ascii="Times New Roman" w:eastAsia="Times New Roman" w:hAnsi="Times New Roman" w:cs="Times New Roman"/>
          <w:lang w:val="sr-Latn-ME"/>
        </w:rPr>
        <w:t>Treba obaviti odgovarajuće testove kultura i osjetljivosti da bi se utvrdila osjetljivost uzročnika na cefazolin.</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Perioperativna profilaksa:</w:t>
      </w:r>
      <w:r w:rsidRPr="00271113">
        <w:rPr>
          <w:rFonts w:ascii="Times New Roman" w:eastAsia="Times New Roman" w:hAnsi="Times New Roman" w:cs="Times New Roman"/>
          <w:lang w:val="sr-Latn-ME"/>
        </w:rPr>
        <w:t xml:space="preserve"> </w:t>
      </w:r>
    </w:p>
    <w:p w:rsidR="009A27D5" w:rsidRPr="00271113" w:rsidRDefault="009A27D5"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Profilaktička primjena cefazolina perioperativno, intraoperativno i postoperativno može da smanji incidencu nekih postoperativnih infekcija kod pacijenata podvrgnutih hirurškim procedurama koje se ubrajaju u kontaminirajuće ili potencijalno kontaminirajuće (npr. vaginalna histerektomija, holecistektomija kod pacijenata sa visokim rizikom, kao što su osobe starije od 70 godina, sa akutnim holecistitisom, opstruktivnom žuticom ili kamenom u žučnom kanalu).</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Perioperativna upotreba cefazolina može biti efikasna kod hirurških pacijenata kod kojih infekcija operisanog mjesta predstavlja ozbiljan rizik (npr. operacija na otvorenom srcu, protetska artroplastika). Profilaktičku primjenu cefazolina trebalo bi prekinuti u toku 24-časovnog perioda od hirurške procedure. U hirurgiji, gdje pojava infekcije može biti naročito opasna (npr. operacija na otvorenom srcu, protetska artroplastika), sa profilaktičkom primjenom cefazolina može se nastaviti 3-5 dana po završetku operacije. Ukoliko postoje simptomi infekcije, treba uzeti uzorke kultura za identifikaciju uzročnika kako bi se mogla sprovesti druga odgovarajuća terapija (vidjeti odjeljak 4.2.)</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Kako bi se smanjio razvoj rezistentnih bakterija i održala efikasnost cefazolina i drugih antibakterijskih ljekova, cefazolin treba koristiti samo za liječenje i prevenciju infekcija za koje je dokazano ili se jasno sumnja da su izazvane osjetljivim bakterijama. Kada su informacije o kulturi i osjetljivosti bakterija dostupne, treba ih uzeti u obzir pri odabiru i promjeni antibakterijske terapije (vidjeti odjeljak 5.1). U nedostatku ovih podataka lokalna epidemiologija i poznavanje osjetljivosti mogu pomoći u iskustvenom izboru terapije.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4.2. </w:t>
      </w:r>
      <w:r w:rsidRPr="00271113">
        <w:rPr>
          <w:rFonts w:ascii="Times New Roman" w:eastAsia="Times New Roman" w:hAnsi="Times New Roman" w:cs="Times New Roman"/>
          <w:b/>
          <w:bCs/>
          <w:lang w:val="sr-Latn-ME"/>
        </w:rPr>
        <w:tab/>
        <w:t>Doziranje i način primjene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r w:rsidRPr="00271113">
        <w:rPr>
          <w:rFonts w:ascii="Times New Roman" w:eastAsia="Times New Roman" w:hAnsi="Times New Roman" w:cs="Times New Roman"/>
          <w:bCs/>
          <w:u w:val="single"/>
          <w:lang w:val="sr-Latn-ME"/>
        </w:rPr>
        <w:t>Doziranje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r w:rsidRPr="00271113">
        <w:rPr>
          <w:rFonts w:ascii="Times New Roman" w:eastAsia="Times New Roman" w:hAnsi="Times New Roman" w:cs="Times New Roman"/>
          <w:lang w:val="sr-Latn-ME"/>
        </w:rPr>
        <w:t>Uobičajeno doziranje kod odraslih je 500 – 1000 mg 3-4 puta dnevno; kod umjerenih infekcija može se davati 500 – 1000 mg dva puta dnevno.</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9A27D5" w:rsidRDefault="009A27D5"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9A27D5" w:rsidRDefault="009A27D5"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9A27D5" w:rsidRDefault="009A27D5"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9A27D5" w:rsidRDefault="009A27D5"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9A27D5" w:rsidRPr="00271113" w:rsidRDefault="009A27D5"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4361"/>
        <w:gridCol w:w="2470"/>
        <w:gridCol w:w="2470"/>
      </w:tblGrid>
      <w:tr w:rsidR="00271113" w:rsidRPr="00271113" w:rsidTr="009A27D5">
        <w:tc>
          <w:tcPr>
            <w:tcW w:w="4361" w:type="dxa"/>
          </w:tcPr>
          <w:p w:rsidR="00271113" w:rsidRPr="00271113" w:rsidRDefault="00271113" w:rsidP="009A27D5">
            <w:pPr>
              <w:autoSpaceDE w:val="0"/>
              <w:autoSpaceDN w:val="0"/>
              <w:adjustRightInd w:val="0"/>
              <w:jc w:val="center"/>
              <w:rPr>
                <w:b/>
                <w:bCs/>
                <w:sz w:val="22"/>
                <w:szCs w:val="22"/>
                <w:lang w:val="sr-Latn-ME"/>
              </w:rPr>
            </w:pPr>
            <w:r w:rsidRPr="00271113">
              <w:rPr>
                <w:b/>
                <w:bCs/>
                <w:sz w:val="22"/>
                <w:szCs w:val="22"/>
                <w:lang w:val="sr-Latn-ME"/>
              </w:rPr>
              <w:lastRenderedPageBreak/>
              <w:t>Tip infekcije</w:t>
            </w:r>
          </w:p>
        </w:tc>
        <w:tc>
          <w:tcPr>
            <w:tcW w:w="2470" w:type="dxa"/>
          </w:tcPr>
          <w:p w:rsidR="00271113" w:rsidRPr="00271113" w:rsidRDefault="00271113" w:rsidP="009A27D5">
            <w:pPr>
              <w:autoSpaceDE w:val="0"/>
              <w:autoSpaceDN w:val="0"/>
              <w:adjustRightInd w:val="0"/>
              <w:jc w:val="center"/>
              <w:rPr>
                <w:b/>
                <w:bCs/>
                <w:sz w:val="22"/>
                <w:szCs w:val="22"/>
                <w:lang w:val="sr-Latn-ME"/>
              </w:rPr>
            </w:pPr>
            <w:r w:rsidRPr="00271113">
              <w:rPr>
                <w:b/>
                <w:bCs/>
                <w:sz w:val="22"/>
                <w:szCs w:val="22"/>
                <w:lang w:val="sr-Latn-ME"/>
              </w:rPr>
              <w:t>Doza</w:t>
            </w:r>
          </w:p>
        </w:tc>
        <w:tc>
          <w:tcPr>
            <w:tcW w:w="2470" w:type="dxa"/>
          </w:tcPr>
          <w:p w:rsidR="00271113" w:rsidRPr="00271113" w:rsidRDefault="00271113" w:rsidP="009A27D5">
            <w:pPr>
              <w:autoSpaceDE w:val="0"/>
              <w:autoSpaceDN w:val="0"/>
              <w:adjustRightInd w:val="0"/>
              <w:jc w:val="center"/>
              <w:rPr>
                <w:b/>
                <w:bCs/>
                <w:sz w:val="22"/>
                <w:szCs w:val="22"/>
                <w:lang w:val="sr-Latn-ME"/>
              </w:rPr>
            </w:pPr>
            <w:r w:rsidRPr="00271113">
              <w:rPr>
                <w:b/>
                <w:bCs/>
                <w:sz w:val="22"/>
                <w:szCs w:val="22"/>
                <w:lang w:val="sr-Latn-ME"/>
              </w:rPr>
              <w:t>Učestalost davanja</w:t>
            </w:r>
          </w:p>
        </w:tc>
      </w:tr>
      <w:tr w:rsidR="00271113" w:rsidRPr="00271113" w:rsidTr="009A27D5">
        <w:trPr>
          <w:trHeight w:val="438"/>
        </w:trPr>
        <w:tc>
          <w:tcPr>
            <w:tcW w:w="4361"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Umjerene do teške infekcije</w:t>
            </w:r>
          </w:p>
        </w:tc>
        <w:tc>
          <w:tcPr>
            <w:tcW w:w="2470"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500 mg – 1 g</w:t>
            </w:r>
          </w:p>
        </w:tc>
        <w:tc>
          <w:tcPr>
            <w:tcW w:w="2470"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na 6 – 8 h</w:t>
            </w:r>
          </w:p>
        </w:tc>
      </w:tr>
      <w:tr w:rsidR="00271113" w:rsidRPr="00271113" w:rsidTr="009A27D5">
        <w:tc>
          <w:tcPr>
            <w:tcW w:w="4361"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Blage infekcije uzrokovane osjetljivim gram pozitivnim kokama</w:t>
            </w:r>
          </w:p>
        </w:tc>
        <w:tc>
          <w:tcPr>
            <w:tcW w:w="2470"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250 mg do 500 mg</w:t>
            </w:r>
          </w:p>
        </w:tc>
        <w:tc>
          <w:tcPr>
            <w:tcW w:w="2470"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na 8 h</w:t>
            </w:r>
          </w:p>
        </w:tc>
      </w:tr>
      <w:tr w:rsidR="00271113" w:rsidRPr="00271113" w:rsidTr="009A27D5">
        <w:tc>
          <w:tcPr>
            <w:tcW w:w="4361"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Akutne nekomplikovane infekcije urinarnog trakta</w:t>
            </w:r>
          </w:p>
        </w:tc>
        <w:tc>
          <w:tcPr>
            <w:tcW w:w="2470"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1 g</w:t>
            </w:r>
          </w:p>
        </w:tc>
        <w:tc>
          <w:tcPr>
            <w:tcW w:w="2470"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na 12 h</w:t>
            </w:r>
          </w:p>
        </w:tc>
      </w:tr>
      <w:tr w:rsidR="00271113" w:rsidRPr="00271113" w:rsidTr="009A27D5">
        <w:trPr>
          <w:trHeight w:val="373"/>
        </w:trPr>
        <w:tc>
          <w:tcPr>
            <w:tcW w:w="4361"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Pneumokokna pneumonija</w:t>
            </w:r>
          </w:p>
        </w:tc>
        <w:tc>
          <w:tcPr>
            <w:tcW w:w="2470"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500 mg</w:t>
            </w:r>
          </w:p>
        </w:tc>
        <w:tc>
          <w:tcPr>
            <w:tcW w:w="2470"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na 12 h</w:t>
            </w:r>
          </w:p>
        </w:tc>
      </w:tr>
      <w:tr w:rsidR="00271113" w:rsidRPr="00271113" w:rsidTr="009A27D5">
        <w:tc>
          <w:tcPr>
            <w:tcW w:w="4361"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Ozbiljne infekcije koje ugrožavaju život (npr. endokarditis, septikemija)</w:t>
            </w:r>
          </w:p>
        </w:tc>
        <w:tc>
          <w:tcPr>
            <w:tcW w:w="2470" w:type="dxa"/>
            <w:vAlign w:val="center"/>
          </w:tcPr>
          <w:p w:rsidR="00271113" w:rsidRPr="00271113" w:rsidRDefault="00271113" w:rsidP="009A27D5">
            <w:pPr>
              <w:autoSpaceDE w:val="0"/>
              <w:autoSpaceDN w:val="0"/>
              <w:adjustRightInd w:val="0"/>
              <w:jc w:val="center"/>
              <w:rPr>
                <w:b/>
                <w:bCs/>
                <w:sz w:val="22"/>
                <w:szCs w:val="22"/>
                <w:lang w:val="sr-Latn-ME"/>
              </w:rPr>
            </w:pPr>
            <w:r w:rsidRPr="00271113">
              <w:rPr>
                <w:sz w:val="22"/>
                <w:szCs w:val="22"/>
                <w:lang w:val="sr-Latn-ME"/>
              </w:rPr>
              <w:t>1 g do 1,5 g</w:t>
            </w:r>
          </w:p>
        </w:tc>
        <w:tc>
          <w:tcPr>
            <w:tcW w:w="2470" w:type="dxa"/>
            <w:vAlign w:val="center"/>
          </w:tcPr>
          <w:p w:rsidR="00271113" w:rsidRPr="00271113" w:rsidRDefault="00271113" w:rsidP="009A27D5">
            <w:pPr>
              <w:autoSpaceDE w:val="0"/>
              <w:autoSpaceDN w:val="0"/>
              <w:adjustRightInd w:val="0"/>
              <w:jc w:val="center"/>
              <w:rPr>
                <w:sz w:val="22"/>
                <w:szCs w:val="22"/>
                <w:lang w:val="sr-Latn-ME"/>
              </w:rPr>
            </w:pPr>
            <w:r w:rsidRPr="00271113">
              <w:rPr>
                <w:sz w:val="22"/>
                <w:szCs w:val="22"/>
                <w:lang w:val="sr-Latn-ME"/>
              </w:rPr>
              <w:t>na 6 h</w:t>
            </w:r>
          </w:p>
        </w:tc>
      </w:tr>
    </w:tbl>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Prosječna dnevna doza za odrasle je 1-4 g, maksimalna dnevna doza je 6 g.</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271113">
        <w:rPr>
          <w:rFonts w:ascii="Times New Roman" w:eastAsia="Times New Roman" w:hAnsi="Times New Roman" w:cs="Times New Roman"/>
          <w:b/>
          <w:lang w:val="sr-Latn-ME"/>
        </w:rPr>
        <w:t>Podešavanje doza kod pacijenata sa smanjenom renalnom funkcijom:</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Cefazolin se može koristiti kod pacijenata sa smanjenom renalnom funkcijom uz sljedeća podešavanja doza: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3936"/>
        <w:gridCol w:w="5365"/>
      </w:tblGrid>
      <w:tr w:rsidR="00271113" w:rsidRPr="00271113" w:rsidTr="009A27D5">
        <w:trPr>
          <w:trHeight w:val="506"/>
        </w:trPr>
        <w:tc>
          <w:tcPr>
            <w:tcW w:w="3936" w:type="dxa"/>
          </w:tcPr>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 xml:space="preserve">Klirens kreatinina </w:t>
            </w:r>
            <w:r w:rsidRPr="00271113">
              <w:rPr>
                <w:rFonts w:eastAsia="HiddenHorzOCR"/>
                <w:sz w:val="22"/>
                <w:szCs w:val="22"/>
                <w:lang w:val="sr-Latn-ME" w:eastAsia="sr-Latn-ME"/>
              </w:rPr>
              <w:t xml:space="preserve">≥ </w:t>
            </w:r>
            <w:r w:rsidRPr="00271113">
              <w:rPr>
                <w:sz w:val="22"/>
                <w:szCs w:val="22"/>
                <w:lang w:val="sr-Latn-ME" w:eastAsia="sr-Latn-ME"/>
              </w:rPr>
              <w:t>55 ml/min</w:t>
            </w:r>
          </w:p>
        </w:tc>
        <w:tc>
          <w:tcPr>
            <w:tcW w:w="5365" w:type="dxa"/>
          </w:tcPr>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Primjenjuje se cjelokupna dnevna doza</w:t>
            </w:r>
          </w:p>
        </w:tc>
      </w:tr>
      <w:tr w:rsidR="00271113" w:rsidRPr="00271113" w:rsidTr="009A27D5">
        <w:trPr>
          <w:trHeight w:val="506"/>
        </w:trPr>
        <w:tc>
          <w:tcPr>
            <w:tcW w:w="3936" w:type="dxa"/>
          </w:tcPr>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Klirens kreatinina od 35 do 54 ml/min</w:t>
            </w:r>
          </w:p>
        </w:tc>
        <w:tc>
          <w:tcPr>
            <w:tcW w:w="5365" w:type="dxa"/>
          </w:tcPr>
          <w:p w:rsidR="00271113" w:rsidRPr="00271113" w:rsidRDefault="00271113" w:rsidP="009A27D5">
            <w:pPr>
              <w:autoSpaceDE w:val="0"/>
              <w:autoSpaceDN w:val="0"/>
              <w:adjustRightInd w:val="0"/>
              <w:rPr>
                <w:sz w:val="22"/>
                <w:szCs w:val="22"/>
                <w:lang w:val="sr-Latn-ME" w:eastAsia="sr-Latn-ME"/>
              </w:rPr>
            </w:pPr>
            <w:r w:rsidRPr="00271113">
              <w:rPr>
                <w:sz w:val="22"/>
                <w:szCs w:val="22"/>
                <w:lang w:val="sr-Latn-ME" w:eastAsia="sr-Latn-ME"/>
              </w:rPr>
              <w:t>Primjenjuje se cjelokupna dnevna doza u 8- časovnim intervalima</w:t>
            </w:r>
          </w:p>
        </w:tc>
      </w:tr>
      <w:tr w:rsidR="00271113" w:rsidRPr="00271113" w:rsidTr="009A27D5">
        <w:trPr>
          <w:trHeight w:val="506"/>
        </w:trPr>
        <w:tc>
          <w:tcPr>
            <w:tcW w:w="3936" w:type="dxa"/>
          </w:tcPr>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Klirens kreatinina od 11 do 34 ml/min</w:t>
            </w:r>
          </w:p>
        </w:tc>
        <w:tc>
          <w:tcPr>
            <w:tcW w:w="5365" w:type="dxa"/>
          </w:tcPr>
          <w:p w:rsidR="00271113" w:rsidRPr="00271113" w:rsidRDefault="00271113" w:rsidP="009A27D5">
            <w:pPr>
              <w:autoSpaceDE w:val="0"/>
              <w:autoSpaceDN w:val="0"/>
              <w:adjustRightInd w:val="0"/>
              <w:rPr>
                <w:sz w:val="22"/>
                <w:szCs w:val="22"/>
                <w:lang w:val="sr-Latn-ME" w:eastAsia="sr-Latn-ME"/>
              </w:rPr>
            </w:pPr>
            <w:r w:rsidRPr="00271113">
              <w:rPr>
                <w:sz w:val="22"/>
                <w:szCs w:val="22"/>
                <w:lang w:val="sr-Latn-ME" w:eastAsia="sr-Latn-ME"/>
              </w:rPr>
              <w:t>Primjenjuje se 1/2 cjelokupne dnevne doze na svakih 12 h</w:t>
            </w:r>
          </w:p>
        </w:tc>
      </w:tr>
      <w:tr w:rsidR="00271113" w:rsidRPr="00271113" w:rsidTr="009A27D5">
        <w:trPr>
          <w:trHeight w:val="506"/>
        </w:trPr>
        <w:tc>
          <w:tcPr>
            <w:tcW w:w="3936" w:type="dxa"/>
          </w:tcPr>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 xml:space="preserve">Klirens kreatinina </w:t>
            </w:r>
            <w:r w:rsidRPr="00271113">
              <w:rPr>
                <w:rFonts w:eastAsia="HiddenHorzOCR"/>
                <w:sz w:val="22"/>
                <w:szCs w:val="22"/>
                <w:lang w:val="sr-Latn-ME" w:eastAsia="sr-Latn-ME"/>
              </w:rPr>
              <w:t xml:space="preserve">≤ </w:t>
            </w:r>
            <w:r w:rsidRPr="00271113">
              <w:rPr>
                <w:sz w:val="22"/>
                <w:szCs w:val="22"/>
                <w:lang w:val="sr-Latn-ME" w:eastAsia="sr-Latn-ME"/>
              </w:rPr>
              <w:t>10 ml/min</w:t>
            </w:r>
          </w:p>
        </w:tc>
        <w:tc>
          <w:tcPr>
            <w:tcW w:w="5365" w:type="dxa"/>
          </w:tcPr>
          <w:p w:rsidR="00271113" w:rsidRPr="00271113" w:rsidRDefault="00271113" w:rsidP="009A27D5">
            <w:pPr>
              <w:autoSpaceDE w:val="0"/>
              <w:autoSpaceDN w:val="0"/>
              <w:adjustRightInd w:val="0"/>
              <w:rPr>
                <w:sz w:val="22"/>
                <w:szCs w:val="22"/>
                <w:lang w:val="sr-Latn-ME" w:eastAsia="sr-Latn-ME"/>
              </w:rPr>
            </w:pPr>
            <w:r w:rsidRPr="00271113">
              <w:rPr>
                <w:sz w:val="22"/>
                <w:szCs w:val="22"/>
                <w:lang w:val="sr-Latn-ME" w:eastAsia="sr-Latn-ME"/>
              </w:rPr>
              <w:t>Primjenjuje se 1/2 cjelokupne dnevne doze na svakih</w:t>
            </w:r>
          </w:p>
          <w:p w:rsidR="00271113" w:rsidRPr="00271113" w:rsidRDefault="00271113" w:rsidP="009A27D5">
            <w:pPr>
              <w:tabs>
                <w:tab w:val="left" w:pos="540"/>
                <w:tab w:val="left" w:pos="569"/>
              </w:tabs>
              <w:rPr>
                <w:bCs/>
                <w:sz w:val="22"/>
                <w:szCs w:val="22"/>
                <w:u w:val="single"/>
                <w:lang w:val="sr-Latn-ME"/>
              </w:rPr>
            </w:pPr>
            <w:r w:rsidRPr="00271113">
              <w:rPr>
                <w:sz w:val="22"/>
                <w:szCs w:val="22"/>
                <w:lang w:val="sr-Latn-ME" w:eastAsia="sr-Latn-ME"/>
              </w:rPr>
              <w:t>18-24 h</w:t>
            </w:r>
          </w:p>
        </w:tc>
      </w:tr>
    </w:tbl>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Sve preporuke za smanjenje doza primjenjuju se nakon određivanja inicijalne doze koja odgovara ozbiljnosti infekcije. Za pacijente na peritonealnoj dijalizi vidjeti 5.2.</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271113">
        <w:rPr>
          <w:rFonts w:ascii="Times New Roman" w:eastAsia="Times New Roman" w:hAnsi="Times New Roman" w:cs="Times New Roman"/>
          <w:b/>
          <w:lang w:val="sr-Latn-ME" w:eastAsia="sr-Latn-ME"/>
        </w:rPr>
        <w:t>Perioperativna profilaktička upotreba: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Da bi se spriječila postoperativna infekcija pri kontaminirajućoj ili potencijalno kontaminirajućoj hirurškoj proceduri, preporučuju se sljedeće doze:</w:t>
      </w:r>
    </w:p>
    <w:p w:rsidR="00271113" w:rsidRPr="00271113" w:rsidRDefault="00271113" w:rsidP="00271113">
      <w:pPr>
        <w:numPr>
          <w:ilvl w:val="0"/>
          <w:numId w:val="21"/>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1 g intravenski ili intramuskularno, primjenjuje se pola sata ili jedan sat prije početka operacije;</w:t>
      </w:r>
    </w:p>
    <w:p w:rsidR="00271113" w:rsidRPr="00271113" w:rsidRDefault="00271113" w:rsidP="00271113">
      <w:pPr>
        <w:numPr>
          <w:ilvl w:val="0"/>
          <w:numId w:val="21"/>
        </w:numPr>
        <w:spacing w:after="0" w:line="240" w:lineRule="auto"/>
        <w:contextualSpacing/>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 xml:space="preserve">za dugotrajne hirurške procedure (npr. 2 h i duže) primjenjuje se 500 mg – l g intravenski ili intramuskularno, tokom operacije (uz prilagođavanje doza i intervala doziranja u skladu sa trajanjem operacije); </w:t>
      </w:r>
    </w:p>
    <w:p w:rsidR="00271113" w:rsidRPr="00271113" w:rsidRDefault="00271113" w:rsidP="00271113">
      <w:pPr>
        <w:numPr>
          <w:ilvl w:val="0"/>
          <w:numId w:val="21"/>
        </w:numPr>
        <w:spacing w:after="0" w:line="240" w:lineRule="auto"/>
        <w:contextualSpacing/>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500 mg - 1 g intravenski ili intramuskularno svakih 6-8 sati, u toku 24 sata poslije operacije, izuzetno, u nekim slučajevima lijek se može primjenjivati do 5 dana po završetku operacije.</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Značajno je da se:</w:t>
      </w:r>
    </w:p>
    <w:p w:rsidR="00271113" w:rsidRPr="00271113" w:rsidRDefault="00271113" w:rsidP="00271113">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prijeoperativna doza primjeni neposredno prije početka operacije (pola sata - jedan sat), kako bi se postigle odgovarajuće koncentracije antibiotika u serumu i tkivima u trenutku početnog hirurškog reza;</w:t>
      </w:r>
    </w:p>
    <w:p w:rsidR="00271113" w:rsidRPr="00271113" w:rsidRDefault="00271113" w:rsidP="00271113">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cefazolin primijeni, ako je potrebno, u podesnim intervalima tokom operacije, kako bi se obezbijedila dovoljna koncentracija antibiotika u trenucima kada se očekuje najveća izloženost infektivnim mikroorganizmima.</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lastRenderedPageBreak/>
        <w:t>Kod operacija gdje pojava infekcija može biti naročito opasna (npr. operacija na otvorenom srcu ili protetska artroplastika), profilaktička primjena cefazolina može se nastaviti 3-5 dana po završetku operacije.</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Pedijatrijska populacija:</w:t>
      </w:r>
      <w:r w:rsidR="005152BA">
        <w:rPr>
          <w:rFonts w:ascii="Times New Roman" w:eastAsia="Times New Roman" w:hAnsi="Times New Roman" w:cs="Times New Roman"/>
          <w:lang w:val="sr-Latn-ME"/>
        </w:rPr>
        <w:t xml:space="preserve"> </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Djeci od drugog mjeseca života se daje dnevno 25 do 50 mg cefazolina po kg tjelesne mase, podijeljeno u 3 do 4 pojedinačne doze. Moguće je povećanje dnevne doze na 100 mg cefazolina po kg tjelesne mase kod težih infekcija.</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i/>
          <w:iCs/>
          <w:lang w:val="sr-Latn-ME" w:eastAsia="sr-Latn-ME"/>
        </w:rPr>
      </w:pPr>
      <w:r w:rsidRPr="00271113">
        <w:rPr>
          <w:rFonts w:ascii="Times New Roman" w:eastAsia="Times New Roman" w:hAnsi="Times New Roman" w:cs="Times New Roman"/>
          <w:i/>
          <w:iCs/>
          <w:lang w:val="sr-Latn-ME" w:eastAsia="sr-Latn-ME"/>
        </w:rPr>
        <w:t>Djeca sa ograničenom funkcijom bubrega</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Doziranje zavisi od vrijednosti klirensa kreatinina i potrebno je prilagođavanje doze.</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Klirens kreatinina od 40 do 70 ml/min: 60% uobičajene dnevne doze, podijeljene na 2 jednake pojedinačne doze, primjena svakih 12 sati.</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Klirens kreatinina od 20 do 40 ml/min: 25% uobičajene dnevne doze, podijeljene na 2 jednake pojedinačne doze, primjena svakih 12 sati.</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Klirens kreatinina manji od 20 ml/min: 10% uobičajene dnevne doze, primjena svaka 24 sata.</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Kako bezbjedna upotreba kod prijevremeno rođene djece i novorođenčadi (beba do mjesec dana starosti) nije utvrđena, primjena cefazolina kod ove grupe pacijenata se ne preporučuje. Intramuskularna upotreba je pogodna kod djece starije od 30 mjeseci.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1817"/>
        <w:gridCol w:w="1838"/>
        <w:gridCol w:w="1904"/>
        <w:gridCol w:w="1838"/>
        <w:gridCol w:w="1904"/>
      </w:tblGrid>
      <w:tr w:rsidR="00271113" w:rsidRPr="00271113" w:rsidTr="009A27D5">
        <w:tc>
          <w:tcPr>
            <w:tcW w:w="9301" w:type="dxa"/>
            <w:gridSpan w:val="5"/>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Vodič za doziranje kod djece</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Tjelesna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masa</w:t>
            </w:r>
          </w:p>
        </w:tc>
        <w:tc>
          <w:tcPr>
            <w:tcW w:w="3742" w:type="dxa"/>
            <w:gridSpan w:val="2"/>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25 mg/kg/dan</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podijeljeno u 3 doze</w:t>
            </w:r>
          </w:p>
        </w:tc>
        <w:tc>
          <w:tcPr>
            <w:tcW w:w="3742" w:type="dxa"/>
            <w:gridSpan w:val="2"/>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25 mg/kg/dan</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podijeljeno u 4 doze</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(kg)</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Prosječna pojedinačna doza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mg/8h</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Zapremina (ml)</w:t>
            </w:r>
          </w:p>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potrebna 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eastAsia="sr-Latn-ME"/>
              </w:rPr>
              <w:t>rastvaranje</w:t>
            </w:r>
            <w:r w:rsidRPr="00271113">
              <w:rPr>
                <w:sz w:val="22"/>
                <w:szCs w:val="22"/>
                <w:lang w:val="sr-Latn-ME"/>
              </w:rPr>
              <w:t xml:space="preserve"> 125</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mg/ml</w:t>
            </w:r>
          </w:p>
        </w:tc>
        <w:tc>
          <w:tcPr>
            <w:tcW w:w="1838"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Prosječna pojedinačna doza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mg/6h</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Zapremina (ml)</w:t>
            </w:r>
          </w:p>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potrebna 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eastAsia="sr-Latn-ME"/>
              </w:rPr>
              <w:t>rastvaranje</w:t>
            </w:r>
            <w:r w:rsidRPr="00271113">
              <w:rPr>
                <w:sz w:val="22"/>
                <w:szCs w:val="22"/>
                <w:lang w:val="sr-Latn-ME"/>
              </w:rPr>
              <w:t xml:space="preserve"> 125</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mg/ml</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4,5</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40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0,35 ml</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30 mg</w:t>
            </w:r>
          </w:p>
        </w:tc>
        <w:tc>
          <w:tcPr>
            <w:tcW w:w="1904"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0,25 ml</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9,0</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75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0,60 ml</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55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0,45 ml</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13,6</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115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0,90 ml</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85 mg</w:t>
            </w:r>
          </w:p>
        </w:tc>
        <w:tc>
          <w:tcPr>
            <w:tcW w:w="1904"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0,70 ml</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18,1</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150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1,20 ml</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115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0,90 ml</w:t>
            </w:r>
          </w:p>
        </w:tc>
      </w:tr>
      <w:tr w:rsidR="00271113" w:rsidRPr="00271113" w:rsidTr="009A27D5">
        <w:tc>
          <w:tcPr>
            <w:tcW w:w="1817"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22,7</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190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1,50 ml</w:t>
            </w:r>
          </w:p>
        </w:tc>
        <w:tc>
          <w:tcPr>
            <w:tcW w:w="1838"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140 mg</w:t>
            </w:r>
          </w:p>
        </w:tc>
        <w:tc>
          <w:tcPr>
            <w:tcW w:w="1904"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1,10 ml</w:t>
            </w:r>
          </w:p>
        </w:tc>
      </w:tr>
    </w:tbl>
    <w:p w:rsidR="00271113" w:rsidRPr="00271113" w:rsidRDefault="00271113" w:rsidP="009A27D5">
      <w:pPr>
        <w:tabs>
          <w:tab w:val="left" w:pos="540"/>
          <w:tab w:val="left" w:pos="569"/>
        </w:tabs>
        <w:spacing w:after="0" w:line="240" w:lineRule="auto"/>
        <w:jc w:val="center"/>
        <w:rPr>
          <w:rFonts w:ascii="Times New Roman" w:eastAsia="Times New Roman" w:hAnsi="Times New Roman" w:cs="Times New Roman"/>
          <w:bCs/>
          <w:u w:val="single"/>
          <w:lang w:val="sr-Latn-ME"/>
        </w:rPr>
      </w:pPr>
    </w:p>
    <w:p w:rsidR="00271113" w:rsidRPr="00271113" w:rsidRDefault="00271113" w:rsidP="009A27D5">
      <w:pPr>
        <w:tabs>
          <w:tab w:val="left" w:pos="540"/>
          <w:tab w:val="left" w:pos="569"/>
        </w:tabs>
        <w:spacing w:after="0" w:line="240" w:lineRule="auto"/>
        <w:jc w:val="center"/>
        <w:rPr>
          <w:rFonts w:ascii="Times New Roman" w:eastAsia="Times New Roman" w:hAnsi="Times New Roman" w:cs="Times New Roman"/>
          <w:bCs/>
          <w:u w:val="single"/>
          <w:lang w:val="sr-Latn-ME"/>
        </w:rPr>
      </w:pPr>
    </w:p>
    <w:tbl>
      <w:tblPr>
        <w:tblStyle w:val="TableGrid2"/>
        <w:tblW w:w="0" w:type="auto"/>
        <w:tblLook w:val="04A0" w:firstRow="1" w:lastRow="0" w:firstColumn="1" w:lastColumn="0" w:noHBand="0" w:noVBand="1"/>
      </w:tblPr>
      <w:tblGrid>
        <w:gridCol w:w="1809"/>
        <w:gridCol w:w="1841"/>
        <w:gridCol w:w="1905"/>
        <w:gridCol w:w="1841"/>
        <w:gridCol w:w="1905"/>
      </w:tblGrid>
      <w:tr w:rsidR="00271113" w:rsidRPr="00271113" w:rsidTr="009A27D5">
        <w:tc>
          <w:tcPr>
            <w:tcW w:w="9301" w:type="dxa"/>
            <w:gridSpan w:val="5"/>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Vodič za doziranje kod djece</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Tjelesna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masa</w:t>
            </w:r>
          </w:p>
        </w:tc>
        <w:tc>
          <w:tcPr>
            <w:tcW w:w="3746" w:type="dxa"/>
            <w:gridSpan w:val="2"/>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50 mg/kg/dan</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podijeljeno u 3 doze</w:t>
            </w:r>
          </w:p>
        </w:tc>
        <w:tc>
          <w:tcPr>
            <w:tcW w:w="3746" w:type="dxa"/>
            <w:gridSpan w:val="2"/>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50 mg/kg/dan</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podijeljeno u 4 doze</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(kg)</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Prosječna pojedinačna doza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mg/8h</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Zapremina (ml)</w:t>
            </w:r>
          </w:p>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potrebna 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eastAsia="sr-Latn-ME"/>
              </w:rPr>
              <w:t>rastvaranje</w:t>
            </w:r>
            <w:r w:rsidRPr="00271113">
              <w:rPr>
                <w:sz w:val="22"/>
                <w:szCs w:val="22"/>
                <w:lang w:val="sr-Latn-ME"/>
              </w:rPr>
              <w:t xml:space="preserve"> 225</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mg/ml</w:t>
            </w:r>
          </w:p>
        </w:tc>
        <w:tc>
          <w:tcPr>
            <w:tcW w:w="1841"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Prosječna pojedinačna doza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mg/6h</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Zapremina (ml)</w:t>
            </w:r>
          </w:p>
          <w:p w:rsidR="00271113" w:rsidRPr="00271113" w:rsidRDefault="00271113" w:rsidP="009A27D5">
            <w:pPr>
              <w:autoSpaceDE w:val="0"/>
              <w:autoSpaceDN w:val="0"/>
              <w:adjustRightInd w:val="0"/>
              <w:jc w:val="center"/>
              <w:rPr>
                <w:sz w:val="22"/>
                <w:szCs w:val="22"/>
                <w:lang w:val="sr-Latn-ME" w:eastAsia="sr-Latn-ME"/>
              </w:rPr>
            </w:pPr>
            <w:r w:rsidRPr="00271113">
              <w:rPr>
                <w:sz w:val="22"/>
                <w:szCs w:val="22"/>
                <w:lang w:val="sr-Latn-ME" w:eastAsia="sr-Latn-ME"/>
              </w:rPr>
              <w:t>potrebna za</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eastAsia="sr-Latn-ME"/>
              </w:rPr>
              <w:t>rastvaranje</w:t>
            </w:r>
            <w:r w:rsidRPr="00271113">
              <w:rPr>
                <w:sz w:val="22"/>
                <w:szCs w:val="22"/>
                <w:lang w:val="sr-Latn-ME"/>
              </w:rPr>
              <w:t xml:space="preserve"> 225</w:t>
            </w:r>
          </w:p>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mg/ml</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4,5</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75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0,35 ml</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55 mg</w:t>
            </w:r>
          </w:p>
        </w:tc>
        <w:tc>
          <w:tcPr>
            <w:tcW w:w="1905"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0,25 ml</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9,0</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150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0,70 ml</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110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0,50 ml</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13,6</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225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1,00 ml</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170 mg</w:t>
            </w:r>
          </w:p>
        </w:tc>
        <w:tc>
          <w:tcPr>
            <w:tcW w:w="1905" w:type="dxa"/>
            <w:tcBorders>
              <w:top w:val="single" w:sz="4" w:space="0" w:color="auto"/>
              <w:left w:val="single" w:sz="4" w:space="0" w:color="auto"/>
              <w:bottom w:val="single" w:sz="4" w:space="0" w:color="auto"/>
              <w:right w:val="single" w:sz="4" w:space="0" w:color="auto"/>
            </w:tcBorders>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0,75 ml</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18,1</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300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1,35 ml</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225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9A27D5">
            <w:pPr>
              <w:tabs>
                <w:tab w:val="left" w:pos="720"/>
              </w:tabs>
              <w:autoSpaceDE w:val="0"/>
              <w:autoSpaceDN w:val="0"/>
              <w:adjustRightInd w:val="0"/>
              <w:jc w:val="center"/>
              <w:rPr>
                <w:sz w:val="22"/>
                <w:szCs w:val="22"/>
                <w:lang w:val="sr-Latn-ME"/>
              </w:rPr>
            </w:pPr>
            <w:r w:rsidRPr="00271113">
              <w:rPr>
                <w:sz w:val="22"/>
                <w:szCs w:val="22"/>
                <w:lang w:val="sr-Latn-ME"/>
              </w:rPr>
              <w:t>1,00 ml</w:t>
            </w:r>
          </w:p>
        </w:tc>
      </w:tr>
      <w:tr w:rsidR="00271113" w:rsidRPr="00271113" w:rsidTr="009A27D5">
        <w:tc>
          <w:tcPr>
            <w:tcW w:w="1809" w:type="dxa"/>
            <w:tcBorders>
              <w:top w:val="single" w:sz="4" w:space="0" w:color="auto"/>
              <w:left w:val="single" w:sz="4" w:space="0" w:color="auto"/>
              <w:bottom w:val="single" w:sz="4" w:space="0" w:color="auto"/>
              <w:right w:val="single" w:sz="4" w:space="0" w:color="auto"/>
            </w:tcBorders>
            <w:hideMark/>
          </w:tcPr>
          <w:p w:rsidR="00271113" w:rsidRPr="00271113" w:rsidRDefault="00271113" w:rsidP="005152BA">
            <w:pPr>
              <w:tabs>
                <w:tab w:val="left" w:pos="720"/>
              </w:tabs>
              <w:autoSpaceDE w:val="0"/>
              <w:autoSpaceDN w:val="0"/>
              <w:adjustRightInd w:val="0"/>
              <w:jc w:val="center"/>
              <w:rPr>
                <w:sz w:val="22"/>
                <w:szCs w:val="22"/>
                <w:lang w:val="sr-Latn-ME"/>
              </w:rPr>
            </w:pPr>
            <w:r w:rsidRPr="00271113">
              <w:rPr>
                <w:sz w:val="22"/>
                <w:szCs w:val="22"/>
                <w:lang w:val="sr-Latn-ME"/>
              </w:rPr>
              <w:t>22,7</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5152BA">
            <w:pPr>
              <w:tabs>
                <w:tab w:val="left" w:pos="720"/>
              </w:tabs>
              <w:autoSpaceDE w:val="0"/>
              <w:autoSpaceDN w:val="0"/>
              <w:adjustRightInd w:val="0"/>
              <w:jc w:val="center"/>
              <w:rPr>
                <w:sz w:val="22"/>
                <w:szCs w:val="22"/>
                <w:lang w:val="sr-Latn-ME"/>
              </w:rPr>
            </w:pPr>
            <w:r w:rsidRPr="00271113">
              <w:rPr>
                <w:sz w:val="22"/>
                <w:szCs w:val="22"/>
                <w:lang w:val="sr-Latn-ME"/>
              </w:rPr>
              <w:t>375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5152BA">
            <w:pPr>
              <w:tabs>
                <w:tab w:val="left" w:pos="720"/>
              </w:tabs>
              <w:autoSpaceDE w:val="0"/>
              <w:autoSpaceDN w:val="0"/>
              <w:adjustRightInd w:val="0"/>
              <w:jc w:val="center"/>
              <w:rPr>
                <w:sz w:val="22"/>
                <w:szCs w:val="22"/>
                <w:lang w:val="sr-Latn-ME"/>
              </w:rPr>
            </w:pPr>
            <w:r w:rsidRPr="00271113">
              <w:rPr>
                <w:sz w:val="22"/>
                <w:szCs w:val="22"/>
                <w:lang w:val="sr-Latn-ME"/>
              </w:rPr>
              <w:t>1,70 ml</w:t>
            </w:r>
          </w:p>
        </w:tc>
        <w:tc>
          <w:tcPr>
            <w:tcW w:w="1841" w:type="dxa"/>
            <w:tcBorders>
              <w:top w:val="single" w:sz="4" w:space="0" w:color="auto"/>
              <w:left w:val="single" w:sz="4" w:space="0" w:color="auto"/>
              <w:bottom w:val="single" w:sz="4" w:space="0" w:color="auto"/>
              <w:right w:val="single" w:sz="4" w:space="0" w:color="auto"/>
            </w:tcBorders>
            <w:hideMark/>
          </w:tcPr>
          <w:p w:rsidR="00271113" w:rsidRPr="00271113" w:rsidRDefault="00271113" w:rsidP="005152BA">
            <w:pPr>
              <w:tabs>
                <w:tab w:val="left" w:pos="720"/>
              </w:tabs>
              <w:autoSpaceDE w:val="0"/>
              <w:autoSpaceDN w:val="0"/>
              <w:adjustRightInd w:val="0"/>
              <w:jc w:val="center"/>
              <w:rPr>
                <w:sz w:val="22"/>
                <w:szCs w:val="22"/>
                <w:lang w:val="sr-Latn-ME"/>
              </w:rPr>
            </w:pPr>
            <w:r w:rsidRPr="00271113">
              <w:rPr>
                <w:sz w:val="22"/>
                <w:szCs w:val="22"/>
                <w:lang w:val="sr-Latn-ME"/>
              </w:rPr>
              <w:t>285 mg</w:t>
            </w:r>
          </w:p>
        </w:tc>
        <w:tc>
          <w:tcPr>
            <w:tcW w:w="1905" w:type="dxa"/>
            <w:tcBorders>
              <w:top w:val="single" w:sz="4" w:space="0" w:color="auto"/>
              <w:left w:val="single" w:sz="4" w:space="0" w:color="auto"/>
              <w:bottom w:val="single" w:sz="4" w:space="0" w:color="auto"/>
              <w:right w:val="single" w:sz="4" w:space="0" w:color="auto"/>
            </w:tcBorders>
            <w:hideMark/>
          </w:tcPr>
          <w:p w:rsidR="00271113" w:rsidRPr="00271113" w:rsidRDefault="00271113" w:rsidP="005152BA">
            <w:pPr>
              <w:tabs>
                <w:tab w:val="left" w:pos="720"/>
              </w:tabs>
              <w:autoSpaceDE w:val="0"/>
              <w:autoSpaceDN w:val="0"/>
              <w:adjustRightInd w:val="0"/>
              <w:jc w:val="center"/>
              <w:rPr>
                <w:sz w:val="22"/>
                <w:szCs w:val="22"/>
                <w:lang w:val="sr-Latn-ME"/>
              </w:rPr>
            </w:pPr>
            <w:r w:rsidRPr="00271113">
              <w:rPr>
                <w:sz w:val="22"/>
                <w:szCs w:val="22"/>
                <w:lang w:val="sr-Latn-ME"/>
              </w:rPr>
              <w:t>1,25 ml</w:t>
            </w:r>
          </w:p>
        </w:tc>
      </w:tr>
    </w:tbl>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r w:rsidRPr="00271113">
        <w:rPr>
          <w:rFonts w:ascii="Times New Roman" w:eastAsia="Times New Roman" w:hAnsi="Times New Roman" w:cs="Times New Roman"/>
          <w:bCs/>
          <w:u w:val="single"/>
          <w:lang w:val="sr-Latn-ME"/>
        </w:rPr>
        <w:lastRenderedPageBreak/>
        <w:t>Način primjene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Cefazolin se može primjenjivati kao:</w:t>
      </w:r>
    </w:p>
    <w:p w:rsidR="00271113" w:rsidRPr="00271113" w:rsidRDefault="00271113" w:rsidP="00271113">
      <w:pPr>
        <w:numPr>
          <w:ilvl w:val="0"/>
          <w:numId w:val="23"/>
        </w:numPr>
        <w:tabs>
          <w:tab w:val="left" w:pos="540"/>
          <w:tab w:val="left" w:pos="569"/>
        </w:tabs>
        <w:spacing w:after="0" w:line="240" w:lineRule="auto"/>
        <w:contextualSpacing/>
        <w:jc w:val="both"/>
        <w:rPr>
          <w:rFonts w:ascii="Times New Roman" w:eastAsia="Times New Roman" w:hAnsi="Times New Roman" w:cs="Times New Roman"/>
          <w:bCs/>
          <w:u w:val="single"/>
          <w:lang w:val="sr-Latn-ME"/>
        </w:rPr>
      </w:pPr>
      <w:r w:rsidRPr="00271113">
        <w:rPr>
          <w:rFonts w:ascii="Times New Roman" w:eastAsia="Times New Roman" w:hAnsi="Times New Roman" w:cs="Times New Roman"/>
          <w:bCs/>
          <w:lang w:val="sr-Latn-ME"/>
        </w:rPr>
        <w:t>i.m. injekcija,</w:t>
      </w:r>
    </w:p>
    <w:p w:rsidR="00271113" w:rsidRPr="00271113" w:rsidRDefault="00271113" w:rsidP="00271113">
      <w:pPr>
        <w:numPr>
          <w:ilvl w:val="0"/>
          <w:numId w:val="23"/>
        </w:numPr>
        <w:tabs>
          <w:tab w:val="left" w:pos="540"/>
          <w:tab w:val="left" w:pos="569"/>
        </w:tabs>
        <w:spacing w:after="0" w:line="240" w:lineRule="auto"/>
        <w:contextualSpacing/>
        <w:jc w:val="both"/>
        <w:rPr>
          <w:rFonts w:ascii="Times New Roman" w:eastAsia="Times New Roman" w:hAnsi="Times New Roman" w:cs="Times New Roman"/>
          <w:bCs/>
          <w:u w:val="single"/>
          <w:lang w:val="sr-Latn-ME"/>
        </w:rPr>
      </w:pPr>
      <w:r w:rsidRPr="00271113">
        <w:rPr>
          <w:rFonts w:ascii="Times New Roman" w:eastAsia="Times New Roman" w:hAnsi="Times New Roman" w:cs="Times New Roman"/>
          <w:bCs/>
          <w:lang w:val="sr-Latn-ME"/>
        </w:rPr>
        <w:t>i.v. direktna (bolus) injekcija ili i.v. infuzija.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Ukupna dnevna doza je ista bez obzira na način primjene.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b/>
          <w:lang w:val="sr-Latn-ME" w:eastAsia="sr-Latn-ME"/>
        </w:rPr>
        <w:t>Priprema rastvora za intramuskularnu upotrebu:</w:t>
      </w:r>
      <w:r w:rsidRPr="00271113">
        <w:rPr>
          <w:rFonts w:ascii="Times New Roman" w:eastAsia="Times New Roman" w:hAnsi="Times New Roman" w:cs="Times New Roman"/>
          <w:lang w:val="sr-Latn-ME" w:eastAsia="sr-Latn-ME"/>
        </w:rPr>
        <w:t xml:space="preserve"> rastvoriti sadržaj ampule u 4 - 5 ml vode za injekcije ili u izotoničnom (0,9%) rastvoru natrijum hlorida uz jače mućkanje do potpunog rastvaranja. Treba vizuelno provjeriti odsustvo čestica prije primjene. Ukoliko su čestice primjetne u rekonstituisanoj tečnosti, rastvor lijeka treba uništiti. Pripremljeni rastvor se daje duboko u mišić.</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b/>
          <w:lang w:val="sr-Latn-ME" w:eastAsia="sr-Latn-ME"/>
        </w:rPr>
        <w:t>Priprema rastvora za kraću intravensku primjenu:</w:t>
      </w:r>
      <w:r w:rsidRPr="00271113">
        <w:rPr>
          <w:rFonts w:ascii="Times New Roman" w:eastAsia="Times New Roman" w:hAnsi="Times New Roman" w:cs="Times New Roman"/>
          <w:lang w:val="sr-Latn-ME" w:eastAsia="sr-Latn-ME"/>
        </w:rPr>
        <w:t xml:space="preserve"> sadržaj ampule rastvoriti sa 10 ml izotoničnog (0,9%) rastvora natrijum hlorida i sporo davati tokom 3 - 5 minuta.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b/>
          <w:lang w:val="sr-Latn-ME" w:eastAsia="sr-Latn-ME"/>
        </w:rPr>
        <w:t xml:space="preserve">Priprema rastvora za </w:t>
      </w:r>
      <w:r w:rsidRPr="00271113">
        <w:rPr>
          <w:rFonts w:ascii="Times New Roman" w:eastAsia="Times New Roman" w:hAnsi="Times New Roman" w:cs="Times New Roman"/>
          <w:b/>
          <w:u w:val="single"/>
          <w:lang w:val="sr-Latn-ME" w:eastAsia="sr-Latn-ME"/>
        </w:rPr>
        <w:t>dužu intravensku primjenu</w:t>
      </w:r>
      <w:r w:rsidRPr="00271113">
        <w:rPr>
          <w:rFonts w:ascii="Times New Roman" w:eastAsia="Times New Roman" w:hAnsi="Times New Roman" w:cs="Times New Roman"/>
          <w:b/>
          <w:lang w:val="sr-Latn-ME" w:eastAsia="sr-Latn-ME"/>
        </w:rPr>
        <w:t>:</w:t>
      </w:r>
      <w:r w:rsidRPr="00271113">
        <w:rPr>
          <w:rFonts w:ascii="Times New Roman" w:eastAsia="Times New Roman" w:hAnsi="Times New Roman" w:cs="Times New Roman"/>
          <w:lang w:val="sr-Latn-ME" w:eastAsia="sr-Latn-ME"/>
        </w:rPr>
        <w:t xml:space="preserve"> sadržaj ampule rastvoriti u 50 - 100 ml izotoničnog (0,9%) rastvora natrijum hlorida ili 5% rastvora glukoze. Trajanje infuzije je 20 - 30 minuta.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eastAsia="sr-Latn-ME"/>
        </w:rPr>
        <w:t>Bočice su namijenjene za jednokratno uzimanje nakon pripreme rastvora.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Rastvor se uvijek priprema svjež i mora se upotrijebiti odmah, zaštićen od svjetlosti i toplote (do 25°C).</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Cefazolin i njegov rastvor treba čuvati u originalnom pakovanju u cilju zaštite od svjetlosti (do 25°C).</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b/>
          <w:lang w:val="sr-Latn-ME" w:eastAsia="sr-Latn-ME"/>
        </w:rPr>
      </w:pPr>
      <w:r w:rsidRPr="00271113">
        <w:rPr>
          <w:rFonts w:ascii="Times New Roman" w:eastAsia="Times New Roman" w:hAnsi="Times New Roman" w:cs="Times New Roman"/>
          <w:b/>
          <w:lang w:val="sr-Latn-ME" w:eastAsia="sr-Latn-ME"/>
        </w:rPr>
        <w:t>Trajanje terapije:</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Trajanje liječenja se određuje prema reakciji uzročnika i kliničkoj slici. Liječenje bi trebalo da se sprovodi i nakon povlačenja simptoma i da se produži još nekoliko dana. Prosječna dužina terapije iznosi 7 - 10 dana.</w:t>
      </w: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4.3. </w:t>
      </w:r>
      <w:r w:rsidRPr="00271113">
        <w:rPr>
          <w:rFonts w:ascii="Times New Roman" w:eastAsia="Times New Roman" w:hAnsi="Times New Roman" w:cs="Times New Roman"/>
          <w:b/>
          <w:bCs/>
          <w:lang w:val="sr-Latn-ME"/>
        </w:rPr>
        <w:tab/>
        <w:t>Kontraindikacije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Lijek Cefazolin Sandoz se ne smije upotrijebiti kod:</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numPr>
          <w:ilvl w:val="0"/>
          <w:numId w:val="18"/>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poznate preosjetljivosti na cefazolin ili druge cefalosporine, pošto postoji opasnost od anafilaktičkog šoka. Može postojati unakrsna preosjetljivost na druge beta-laktamske antibiotike (npr. na peniciline).</w:t>
      </w:r>
    </w:p>
    <w:p w:rsidR="00271113" w:rsidRPr="00271113" w:rsidRDefault="00271113" w:rsidP="00271113">
      <w:pPr>
        <w:numPr>
          <w:ilvl w:val="0"/>
          <w:numId w:val="18"/>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kod novorođenčadi i odojčadi u prvom mjesecu života, jer ne postoji dovoljno iskustva u davanju cefazolina toj uzrasnoj grupi.</w:t>
      </w:r>
    </w:p>
    <w:p w:rsidR="00271113" w:rsidRPr="00271113" w:rsidRDefault="00271113" w:rsidP="00271113">
      <w:pPr>
        <w:numPr>
          <w:ilvl w:val="0"/>
          <w:numId w:val="18"/>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rPr>
        <w:t>kod pacijenata sa porfirijom.</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4.4. </w:t>
      </w:r>
      <w:r w:rsidRPr="00271113">
        <w:rPr>
          <w:rFonts w:ascii="Times New Roman" w:eastAsia="Times New Roman" w:hAnsi="Times New Roman" w:cs="Times New Roman"/>
          <w:b/>
          <w:bCs/>
          <w:lang w:val="sr-Latn-ME"/>
        </w:rPr>
        <w:tab/>
        <w:t>Posebna upozorenja i mjere opreza pri upotrebi lijeka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se smije davati samo uz poseban oprez kod poznatih alergijskih reakcija (npr. polenska kijavica ili bronhijalna astma), pošto ovdje već postoji povećan rizik od teških reakcija preosjetljivosti.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Kod teške i dugotrajne dijareje, treba razmotriti postojanje pseudomembranoznog enterokolitisa, što zahtijeva prekid liječenja i primjenu odgovarajuće terapije (npr. vankomicin u dozi od 250 mg, primijenjen oralno 4 puta dnevno). </w:t>
      </w:r>
    </w:p>
    <w:p w:rsidR="00F47A5D" w:rsidRPr="00271113" w:rsidRDefault="00F47A5D"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lastRenderedPageBreak/>
        <w:t xml:space="preserve">Primjena preparata koji inhibiraju peristaltiku je kontraindikovana.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Kod pacijenata sa oslabljenom bubrežnom funkcijom i glomerularnom filtracijom ispod 55 ml/min treba imati u vidu da može doći do kumulacije cefazolina, stoga treba prilagoditi doziranje, odnosno smanjiti dozu lijeka ili produžiti interval doziranja prema uputstvima datim u odjeljku 4.2.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može rijetko dovesti do poremećaja koagulacije krvi. Stoga je potrebno redovno primjenjivati Quinck-ov test kod pacijenata sa oboljenjima koja mogu prouzrokovati krvarenje (npr. ulkus želuca i crijeva), kao i kod pacijenata kod kojih postoje poremećaji u koagulaciji (urođeni (npr. hemofilija), stečeni (npr. u slučaju parenteralne ishrane, neadekvatne ishrane, poremećaja funkcije jetre i bubrega ili trombocitopenije), usljed medikamentozne terapije (npr. primjene heparina ili oralnih antikoagulanasa)). Po potrebi, može se vršiti supstitucija vitamina K (10 mg nedjeljno).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nije pogodan za liječenje meningitisa zbog slabe penetracije u likvor.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Rastvor za injekcionu i intravensku primjenu prouzrokuje bolove na mjestu aplikacije, u slučaju primjene na neodgovarajućim mjestima (intramuskularno ili paravenski).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Tokom istovremene primjene cefazolina sa potencijalno nefrotoksičnim antibioticima (npr. aminoglikozidnim antibioticima) ili sa diureticima, kao što su furosemid ili etakrinska kiselina poželjno je kontrolisati funkciju bubrega.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Duža primjena antibiotika dovodi do pojave bakterijskih ili gljivičnih superinfekcija (npr. vaginalna kandidijaza) što u nekim slučajevima zahtijeva lečenje.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Lijek Cefazolin Sandoz sadrži natrijum:</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rPr>
        <w:t>Ovaj lijek sadrži 2,2 mmol (50,6 mg) natrijuma po dozi (bočica od 1 g). Savjetuje se poseban oprez prilikom upotrebe kod pacijenata koji su na dijeti u kojoj se kontroliše unos natrijuma.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Cefazolin se ne smije primjenjivati intratekalno.</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4.5.</w:t>
      </w:r>
      <w:r w:rsidRPr="00271113">
        <w:rPr>
          <w:rFonts w:ascii="Times New Roman" w:eastAsia="Times New Roman" w:hAnsi="Times New Roman" w:cs="Times New Roman"/>
          <w:b/>
          <w:bCs/>
          <w:lang w:val="sr-Latn-ME"/>
        </w:rPr>
        <w:tab/>
        <w:t>Interakcije sa drugim ljekovima i druge vrste interakcija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ne treba istovremeno primjenjivati sa bakteriostatskim antibioticima (kao što su tetraciklini, sulfonamidi, eritromicin, hloramfenikol) zbog antagonističkog efekta.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Antikoagulansi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rijetko može da dovede do poremećaja u koagulaciji krvi. Kod istovremene terapije ljekovima koji utiču na koagulaciju (npr. visoke doze heparina, oralni antikoagulansi), moraju se redovno kontrolisati parametri koagulacije (vidjeti poglavlje 4.8).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Probenecid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Usljed blokade renalnog izlučivanja, istovremena primjena sa probenecidom dovodi do povećanja koncentracije cefazolina i do dužeg zadržavanja cefazolina u krvi. </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F47A5D" w:rsidRDefault="00F47A5D" w:rsidP="00271113">
      <w:pPr>
        <w:tabs>
          <w:tab w:val="left" w:pos="540"/>
          <w:tab w:val="left" w:pos="569"/>
        </w:tabs>
        <w:spacing w:after="0" w:line="240" w:lineRule="auto"/>
        <w:jc w:val="both"/>
        <w:rPr>
          <w:rFonts w:ascii="Times New Roman" w:eastAsia="Times New Roman" w:hAnsi="Times New Roman" w:cs="Times New Roman"/>
          <w:lang w:val="sr-Latn-ME"/>
        </w:rPr>
      </w:pPr>
    </w:p>
    <w:p w:rsidR="00F47A5D" w:rsidRPr="00271113" w:rsidRDefault="00F47A5D"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lastRenderedPageBreak/>
        <w:t xml:space="preserve">Aminoglikozidi/diuretici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Nije isključeno da cefazolin pojačava nefrotoksično dejstvo aminoglikozida i brzodjelujućih diuretika (npr. furosemida). Zbog toga je, u slučaju ovakve terapije, preporučljivo kontrolisati funkciju bubrega.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Uticaj na laboratorijsko-dijagnostička ispitivanja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Rijetko može doći do pojave lažno pozitivnih rezultata neenzimskog mjerenja šećera u urinu i Coombs-ovog testa. Takođe, cefazolin može uticati na Jaffe-ov test određivanja nivoa kreatinina (lažno povećanje vrijednosti).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Etanol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Zahvaljujući specifičnoj strukturi (metiltiadiazoltiometil u bočnom lancu), cefazolin može izazvati disulfiramsku reakciju sa etanolom.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Vakcine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kao i drugi antibiotici, može smanjiti efikasnost živih vakcina pri istovremenoj primjeni, pa se takva kombinacija ljekova ne smije primijeniti.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Kontraceptivi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Cefazolin može da smanji efikasnost oralnih kontraceptiva i stoga treba savjetovati pacijente da tokom terapije cefazolinom koriste drugi vid kontracepcije (nehormonsku kontracepciju).</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bCs/>
          <w:lang w:val="sr-Latn-ME"/>
        </w:rPr>
        <w:t xml:space="preserve">4.6. </w:t>
      </w:r>
      <w:r w:rsidRPr="00271113">
        <w:rPr>
          <w:rFonts w:ascii="Times New Roman" w:eastAsia="Times New Roman" w:hAnsi="Times New Roman" w:cs="Times New Roman"/>
          <w:b/>
          <w:bCs/>
          <w:lang w:val="sr-Latn-ME"/>
        </w:rPr>
        <w:tab/>
      </w:r>
      <w:r w:rsidRPr="00271113">
        <w:rPr>
          <w:rFonts w:ascii="Times New Roman" w:eastAsia="Times New Roman" w:hAnsi="Times New Roman" w:cs="Times New Roman"/>
          <w:b/>
          <w:lang w:val="sr-Latn-ME"/>
        </w:rPr>
        <w:t>Plodnost, trudnoća i dojenje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r w:rsidRPr="00271113">
        <w:rPr>
          <w:rFonts w:ascii="Times New Roman" w:eastAsia="Times New Roman" w:hAnsi="Times New Roman" w:cs="Times New Roman"/>
          <w:u w:val="single"/>
          <w:lang w:val="sr-Latn-ME"/>
        </w:rPr>
        <w:t xml:space="preserve">Trudnoća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bi u trudnoći, a naročito u prvom trimestru trebalo davati jedino nakon pažljive procjene koristi u odnosu na rizik, pošto ne postoji dovoljno podataka u vezi sa prolaskom cefazolina u placentu.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r w:rsidRPr="00271113">
        <w:rPr>
          <w:rFonts w:ascii="Times New Roman" w:eastAsia="Times New Roman" w:hAnsi="Times New Roman" w:cs="Times New Roman"/>
          <w:u w:val="single"/>
          <w:lang w:val="sr-Latn-ME"/>
        </w:rPr>
        <w:t xml:space="preserve">Dojenje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r w:rsidRPr="00271113">
        <w:rPr>
          <w:rFonts w:ascii="Times New Roman" w:eastAsia="Times New Roman" w:hAnsi="Times New Roman" w:cs="Times New Roman"/>
          <w:lang w:val="sr-Latn-ME"/>
        </w:rPr>
        <w:t>Cefazolin u malim koncentracijama prelazi u mlijeko dojilja koje su na terapiji ovim lijekom i može kod odojčadi da izazove dijareju ili razvoj gljivica. Zbog toga tokom terapije ovim lijekom treba prekinuti dojenje.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u w:val="single"/>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4.7. </w:t>
      </w:r>
      <w:r w:rsidRPr="00271113">
        <w:rPr>
          <w:rFonts w:ascii="Times New Roman" w:eastAsia="Times New Roman" w:hAnsi="Times New Roman" w:cs="Times New Roman"/>
          <w:b/>
          <w:bCs/>
          <w:lang w:val="sr-Latn-ME"/>
        </w:rPr>
        <w:tab/>
        <w:t>Uticaj na sposobnost upravljanja vozilima i rukovanje mašinama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lang w:val="sr-Latn-ME"/>
        </w:rPr>
        <w:t>Cefazolin nema ili ima zanemarljiv uticaj na psihofizičke sposobnosti prilikom upravljanja vozilima i rukovanja mašinama.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4.8. </w:t>
      </w:r>
      <w:r w:rsidRPr="00271113">
        <w:rPr>
          <w:rFonts w:ascii="Times New Roman" w:eastAsia="Times New Roman" w:hAnsi="Times New Roman" w:cs="Times New Roman"/>
          <w:b/>
          <w:bCs/>
          <w:lang w:val="sr-Latn-ME"/>
        </w:rPr>
        <w:tab/>
        <w:t>Neželjena dejstva</w:t>
      </w:r>
    </w:p>
    <w:p w:rsidR="00271113" w:rsidRPr="00271113" w:rsidRDefault="00271113" w:rsidP="00271113">
      <w:pPr>
        <w:spacing w:after="0" w:line="240" w:lineRule="auto"/>
        <w:jc w:val="both"/>
        <w:rPr>
          <w:rFonts w:ascii="Times New Roman" w:eastAsia="Calibri" w:hAnsi="Times New Roman" w:cs="Times New Roman"/>
          <w:u w:val="single"/>
          <w:lang w:val="sr-Latn-ME"/>
        </w:rPr>
      </w:pPr>
    </w:p>
    <w:p w:rsid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Neželjena dejstva navedena su u daljem tekstu po klasama sistema organa i učestalosti javljanja. Učestalost javljanja je definisana kao: veoma često (≥ 1/10), često (≥ 1/100 i &lt; 1/10), povremeno (≥ 1/1000 i &lt; 1/100), rijetko (≥ 1/10.000 i &lt; 1/1000) i veoma rijetko (&lt; 1/10.000).</w:t>
      </w:r>
    </w:p>
    <w:p w:rsidR="00F47A5D" w:rsidRPr="00271113" w:rsidRDefault="00F47A5D"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Poremećaji krvi i limfnog sistema</w:t>
      </w:r>
      <w:r w:rsidRPr="00271113">
        <w:rPr>
          <w:rFonts w:ascii="Times New Roman" w:eastAsia="Times New Roman" w:hAnsi="Times New Roman" w:cs="Times New Roman"/>
          <w:lang w:val="sr-Latn-ME"/>
        </w:rPr>
        <w:t xml:space="preserve"> </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Rijetko:</w:t>
      </w:r>
      <w:r w:rsidRPr="00271113">
        <w:rPr>
          <w:rFonts w:ascii="Times New Roman" w:eastAsia="Times New Roman" w:hAnsi="Times New Roman" w:cs="Times New Roman"/>
          <w:lang w:val="sr-Latn-ME"/>
        </w:rPr>
        <w:t xml:space="preserve"> dejstvo na krvnu sliku je toksično i alergijsko i može se javiti u obliku trombocitopenije, trombocitoze, trombocitemije, neutropenije, leukopenije ili eozinofilije. Ove pojave su reverzibilne.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lastRenderedPageBreak/>
        <w:t>Veoma rijetko</w:t>
      </w:r>
      <w:r w:rsidRPr="00271113">
        <w:rPr>
          <w:rFonts w:ascii="Times New Roman" w:eastAsia="Times New Roman" w:hAnsi="Times New Roman" w:cs="Times New Roman"/>
          <w:lang w:val="sr-Latn-ME"/>
        </w:rPr>
        <w:t xml:space="preserve">: mogu da se jave smetnje u koagulaciji krvi i krvarenje kao posljedica. Ugroženi su pacijenti sa faktorima rizika koji mogu dovesti do nedostatka vitamina K ili utiču na druge mehanizme koagulacije, kao i pacijenti sa oboljenjima koja izazivaju krvarenje ili ih mogu pojačati (vidjeti poglavlje 4.4). </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 xml:space="preserve">Poremećaji imunskog sistema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Povremeno:</w:t>
      </w:r>
      <w:r w:rsidRPr="00271113">
        <w:rPr>
          <w:rFonts w:ascii="Times New Roman" w:eastAsia="Times New Roman" w:hAnsi="Times New Roman" w:cs="Times New Roman"/>
          <w:lang w:val="sr-Latn-ME"/>
        </w:rPr>
        <w:t xml:space="preserve"> javljaju se alergijske reakcije na koži kao što su egzantem, urtikarija i pruritus.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Rijetko:</w:t>
      </w:r>
      <w:r w:rsidRPr="00271113">
        <w:rPr>
          <w:rFonts w:ascii="Times New Roman" w:eastAsia="Times New Roman" w:hAnsi="Times New Roman" w:cs="Times New Roman"/>
          <w:lang w:val="sr-Latn-ME"/>
        </w:rPr>
        <w:t xml:space="preserve"> teške reakcije preosjetljivosti kao što je angioneurotski edem i temperatura izazvana lijekom.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Veoma rijetko</w:t>
      </w:r>
      <w:r w:rsidRPr="00271113">
        <w:rPr>
          <w:rFonts w:ascii="Times New Roman" w:eastAsia="Times New Roman" w:hAnsi="Times New Roman" w:cs="Times New Roman"/>
          <w:lang w:val="sr-Latn-ME"/>
        </w:rPr>
        <w:t xml:space="preserve">: može doći do anafilaktičkog šoka opasnog po život.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Nepoznata učestalost</w:t>
      </w:r>
      <w:r w:rsidRPr="00271113">
        <w:rPr>
          <w:rFonts w:ascii="Times New Roman" w:eastAsia="Times New Roman" w:hAnsi="Times New Roman" w:cs="Times New Roman"/>
          <w:lang w:val="sr-Latn-ME"/>
        </w:rPr>
        <w:t xml:space="preserve">: Stevens-Johnson – ov sindrom.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Poremećaji nervnog sistema</w:t>
      </w:r>
      <w:r w:rsidRPr="00271113">
        <w:rPr>
          <w:rFonts w:ascii="Times New Roman" w:eastAsia="Times New Roman" w:hAnsi="Times New Roman" w:cs="Times New Roman"/>
          <w:lang w:val="sr-Latn-ME"/>
        </w:rPr>
        <w:t xml:space="preserve"> </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Kod prekomjernog doziranja ili kod neprilagođene doze kod pacijenata sa oslabljenom funkcijom bubrega može se javiti glavobolja, vrtoglavica, parestezija, nadraženost centralnog nervnog sistema, mioklonija i grčevi.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 xml:space="preserve">Gastrointestinalni poremećaji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Povremeno</w:t>
      </w:r>
      <w:r w:rsidRPr="00271113">
        <w:rPr>
          <w:rFonts w:ascii="Times New Roman" w:eastAsia="Times New Roman" w:hAnsi="Times New Roman" w:cs="Times New Roman"/>
          <w:lang w:val="sr-Latn-ME"/>
        </w:rPr>
        <w:t xml:space="preserve"> se javljaju gastrointestinalne smetnje u obliku dijareje, povraćanja, mučnine, gubitka apetita, meteorizma, bolova u stomaku, koji su lakše prirode i često prestaju još u toku ili nakon završetka terapije. Kod teških i upornih dijareja, treba razmotriti postojanje pseudomembranoznog enterokolitisa, što zahtijeva prekid terapije i hitno uvođenje odgovarajućih mjera (npr. vankomicin 4 puta po 250 mg dnevno, oralno).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 xml:space="preserve">Hepatobilijarni poremećaji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Rijetko:</w:t>
      </w:r>
      <w:r w:rsidRPr="00271113">
        <w:rPr>
          <w:rFonts w:ascii="Times New Roman" w:eastAsia="Times New Roman" w:hAnsi="Times New Roman" w:cs="Times New Roman"/>
          <w:lang w:val="sr-Latn-ME"/>
        </w:rPr>
        <w:t xml:space="preserve"> dolazi do lakšeg, prolaznog povećanje SGOT i SGPT i AP.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Veoma rijetko</w:t>
      </w:r>
      <w:r w:rsidRPr="00271113">
        <w:rPr>
          <w:rFonts w:ascii="Times New Roman" w:eastAsia="Times New Roman" w:hAnsi="Times New Roman" w:cs="Times New Roman"/>
          <w:lang w:val="sr-Latn-ME"/>
        </w:rPr>
        <w:t xml:space="preserve">: javlja se reverzibilni hepatitis i holestatska žutica.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Poremećaji bubrega i urinarnog sistema</w:t>
      </w:r>
      <w:r w:rsidRPr="00271113">
        <w:rPr>
          <w:rFonts w:ascii="Times New Roman" w:eastAsia="Times New Roman" w:hAnsi="Times New Roman" w:cs="Times New Roman"/>
          <w:lang w:val="sr-Latn-ME"/>
        </w:rPr>
        <w:t xml:space="preserve"> </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Rijetko:</w:t>
      </w:r>
      <w:r w:rsidRPr="00271113">
        <w:rPr>
          <w:rFonts w:ascii="Times New Roman" w:eastAsia="Times New Roman" w:hAnsi="Times New Roman" w:cs="Times New Roman"/>
          <w:lang w:val="sr-Latn-ME"/>
        </w:rPr>
        <w:t xml:space="preserve"> intersticijalni nefritis i ostala oboljenja bubrega (sa povećanim nivoom uree i kreatinina u krvi) su primijećeni rijetko, najčešće kod teško oboljelih pacijenata koji uzimaju više ljekova.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 xml:space="preserve">Ostala neželjena dejstva </w:t>
      </w:r>
    </w:p>
    <w:p w:rsidR="00271113" w:rsidRPr="00271113" w:rsidRDefault="00271113" w:rsidP="00271113">
      <w:pPr>
        <w:spacing w:after="0" w:line="240" w:lineRule="auto"/>
        <w:jc w:val="both"/>
        <w:rPr>
          <w:rFonts w:ascii="Times New Roman" w:eastAsia="Times New Roman" w:hAnsi="Times New Roman" w:cs="Times New Roman"/>
          <w:b/>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Povremeno:</w:t>
      </w:r>
      <w:r w:rsidRPr="00271113">
        <w:rPr>
          <w:rFonts w:ascii="Times New Roman" w:eastAsia="Times New Roman" w:hAnsi="Times New Roman" w:cs="Times New Roman"/>
          <w:lang w:val="sr-Latn-ME"/>
        </w:rPr>
        <w:t xml:space="preserve"> nakon intravenske aplikacije, dolazi do flebitisa ili tromboflebitisa. </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Dugotrajna i ponovljena primjena može dovesti do superinfekcija ili kolonizacije rezistentnim bakterijama ili gljivicama (mlečica, </w:t>
      </w:r>
      <w:r w:rsidRPr="00271113">
        <w:rPr>
          <w:rFonts w:ascii="Times New Roman" w:eastAsia="Times New Roman" w:hAnsi="Times New Roman" w:cs="Times New Roman"/>
          <w:i/>
          <w:lang w:val="sr-Latn-ME"/>
        </w:rPr>
        <w:t>Moniliasis vaginalis</w:t>
      </w:r>
      <w:r w:rsidRPr="00271113">
        <w:rPr>
          <w:rFonts w:ascii="Times New Roman" w:eastAsia="Times New Roman" w:hAnsi="Times New Roman" w:cs="Times New Roman"/>
          <w:lang w:val="sr-Latn-ME"/>
        </w:rPr>
        <w:t xml:space="preserve">). Pojavljuje se i otvrdnuće. </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 xml:space="preserve">Napomene </w:t>
      </w:r>
    </w:p>
    <w:p w:rsidR="00271113" w:rsidRPr="00271113" w:rsidRDefault="00271113" w:rsidP="00271113">
      <w:pPr>
        <w:spacing w:after="0" w:line="240" w:lineRule="auto"/>
        <w:jc w:val="both"/>
        <w:rPr>
          <w:rFonts w:ascii="Times New Roman" w:eastAsia="Calibri" w:hAnsi="Times New Roman" w:cs="Times New Roman"/>
          <w:u w:val="single"/>
          <w:lang w:val="sr-Latn-ME"/>
        </w:rPr>
      </w:pPr>
      <w:r w:rsidRPr="00271113">
        <w:rPr>
          <w:rFonts w:ascii="Times New Roman" w:eastAsia="Times New Roman" w:hAnsi="Times New Roman" w:cs="Times New Roman"/>
          <w:i/>
          <w:lang w:val="sr-Latn-ME"/>
        </w:rPr>
        <w:t>Veoma rijetko</w:t>
      </w:r>
      <w:r w:rsidRPr="00271113">
        <w:rPr>
          <w:rFonts w:ascii="Times New Roman" w:eastAsia="Times New Roman" w:hAnsi="Times New Roman" w:cs="Times New Roman"/>
          <w:lang w:val="sr-Latn-ME"/>
        </w:rPr>
        <w:t xml:space="preserve"> nastaju smetnje u koagulaciji krvi. Zbog toga je potrebno redovno sprovoditi kontrole Quick-ove vrijednosti kod pacijenata sa oboljenjima koja mogu dovesti do krvarenja (npr.ulkus želuca ili crijeva) kao i kod pacijenata sa poremećajem koagulacije (urođen: npr. hemofilija; stečen: npr. kod parenteralne ishrane, neuhranjenosti, poremećene funkcije jetre i bubrega ili trombocitopenije; uslovljen ljekovima: npr. heparinom ili oralnim antikoagulansima). Po potrebi moguće je dati nadoknadu vitamina K (10 mg nedjeljno).</w:t>
      </w:r>
    </w:p>
    <w:p w:rsidR="00271113" w:rsidRPr="00271113" w:rsidRDefault="00271113" w:rsidP="00271113">
      <w:pPr>
        <w:spacing w:after="0" w:line="240" w:lineRule="auto"/>
        <w:jc w:val="both"/>
        <w:rPr>
          <w:rFonts w:ascii="Times New Roman" w:eastAsia="Calibri" w:hAnsi="Times New Roman" w:cs="Times New Roman"/>
          <w:u w:val="single"/>
          <w:lang w:val="sr-Latn-ME"/>
        </w:rPr>
      </w:pPr>
    </w:p>
    <w:p w:rsidR="00271113" w:rsidRDefault="00271113" w:rsidP="00271113">
      <w:pPr>
        <w:spacing w:after="0" w:line="240" w:lineRule="auto"/>
        <w:jc w:val="both"/>
        <w:rPr>
          <w:rFonts w:ascii="Times New Roman" w:eastAsia="Calibri" w:hAnsi="Times New Roman" w:cs="Times New Roman"/>
          <w:u w:val="single"/>
          <w:lang w:val="sr-Latn-ME"/>
        </w:rPr>
      </w:pPr>
      <w:r w:rsidRPr="00271113">
        <w:rPr>
          <w:rFonts w:ascii="Times New Roman" w:eastAsia="Calibri" w:hAnsi="Times New Roman" w:cs="Times New Roman"/>
          <w:u w:val="single"/>
          <w:lang w:val="sr-Latn-ME"/>
        </w:rPr>
        <w:lastRenderedPageBreak/>
        <w:t>Prijavljivanje sumnji na neželjena dejstva</w:t>
      </w:r>
    </w:p>
    <w:p w:rsidR="005C4A0F" w:rsidRPr="00271113" w:rsidRDefault="005C4A0F" w:rsidP="00271113">
      <w:pPr>
        <w:spacing w:after="0" w:line="240" w:lineRule="auto"/>
        <w:jc w:val="both"/>
        <w:rPr>
          <w:rFonts w:ascii="Times New Roman" w:eastAsia="Calibri" w:hAnsi="Times New Roman" w:cs="Times New Roman"/>
          <w:u w:val="single"/>
          <w:lang w:val="sr-Latn-ME"/>
        </w:rPr>
      </w:pPr>
    </w:p>
    <w:p w:rsid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5C4A0F" w:rsidRPr="00271113" w:rsidRDefault="005C4A0F" w:rsidP="00271113">
      <w:pPr>
        <w:spacing w:after="0" w:line="240" w:lineRule="auto"/>
        <w:jc w:val="both"/>
        <w:rPr>
          <w:rFonts w:ascii="Times New Roman" w:eastAsia="Calibri" w:hAnsi="Times New Roman" w:cs="Times New Roman"/>
          <w:lang w:val="sr-Latn-ME"/>
        </w:rPr>
      </w:pPr>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Agencija za ljekove i medicinska sredstva Crne Gore</w:t>
      </w:r>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Odjeljenje za farmakovigilancu</w:t>
      </w:r>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Bulevar Ivana Crnojevića 64a, 81000 Podgorica</w:t>
      </w:r>
    </w:p>
    <w:p w:rsidR="00271113" w:rsidRPr="00271113" w:rsidRDefault="00271113" w:rsidP="00271113">
      <w:pPr>
        <w:spacing w:after="0" w:line="240" w:lineRule="auto"/>
        <w:jc w:val="both"/>
        <w:rPr>
          <w:rFonts w:ascii="Times New Roman" w:eastAsia="Calibri" w:hAnsi="Times New Roman" w:cs="Times New Roman"/>
          <w:lang w:val="sr-Latn-ME"/>
        </w:rPr>
      </w:pPr>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tel: +382 (0) 20 310 280</w:t>
      </w:r>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fax: +382 (0) 20 310 581</w:t>
      </w:r>
    </w:p>
    <w:p w:rsidR="00271113" w:rsidRPr="00271113" w:rsidRDefault="00C53BFC" w:rsidP="00271113">
      <w:pPr>
        <w:spacing w:after="0" w:line="240" w:lineRule="auto"/>
        <w:jc w:val="both"/>
        <w:rPr>
          <w:rFonts w:ascii="Times New Roman" w:eastAsia="Calibri" w:hAnsi="Times New Roman" w:cs="Times New Roman"/>
          <w:lang w:val="sr-Latn-ME"/>
        </w:rPr>
      </w:pPr>
      <w:hyperlink r:id="rId8" w:history="1">
        <w:r w:rsidR="00271113" w:rsidRPr="00271113">
          <w:rPr>
            <w:rFonts w:ascii="Times New Roman" w:eastAsia="Calibri" w:hAnsi="Times New Roman" w:cs="Times New Roman"/>
            <w:color w:val="0000FF"/>
            <w:u w:val="single"/>
            <w:lang w:val="sr-Latn-ME"/>
          </w:rPr>
          <w:t>www.calims.me</w:t>
        </w:r>
      </w:hyperlink>
    </w:p>
    <w:p w:rsidR="00271113" w:rsidRPr="00271113" w:rsidRDefault="00C53BFC" w:rsidP="00271113">
      <w:pPr>
        <w:spacing w:after="0" w:line="240" w:lineRule="auto"/>
        <w:jc w:val="both"/>
        <w:rPr>
          <w:rFonts w:ascii="Times New Roman" w:eastAsia="Calibri" w:hAnsi="Times New Roman" w:cs="Times New Roman"/>
          <w:color w:val="0000FF"/>
          <w:u w:val="single"/>
          <w:lang w:val="sr-Latn-ME"/>
        </w:rPr>
      </w:pPr>
      <w:hyperlink r:id="rId9" w:history="1">
        <w:r w:rsidR="00271113" w:rsidRPr="00271113">
          <w:rPr>
            <w:rFonts w:ascii="Times New Roman" w:eastAsia="Calibri" w:hAnsi="Times New Roman" w:cs="Times New Roman"/>
            <w:color w:val="0000FF"/>
            <w:u w:val="single"/>
            <w:lang w:val="sr-Latn-ME"/>
          </w:rPr>
          <w:t>nezeljenadejstva@calims.me</w:t>
        </w:r>
      </w:hyperlink>
    </w:p>
    <w:p w:rsidR="00271113" w:rsidRPr="00271113" w:rsidRDefault="00271113" w:rsidP="00271113">
      <w:pPr>
        <w:spacing w:after="0" w:line="240" w:lineRule="auto"/>
        <w:jc w:val="both"/>
        <w:rPr>
          <w:rFonts w:ascii="Times New Roman" w:eastAsia="Calibri" w:hAnsi="Times New Roman" w:cs="Times New Roman"/>
          <w:lang w:val="sr-Latn-ME"/>
        </w:rPr>
      </w:pPr>
      <w:r w:rsidRPr="00271113">
        <w:rPr>
          <w:rFonts w:ascii="Times New Roman" w:eastAsia="Calibri" w:hAnsi="Times New Roman" w:cs="Times New Roman"/>
          <w:lang w:val="sr-Latn-ME"/>
        </w:rPr>
        <w:t>putem IS zdravstvene zaštite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4.9. </w:t>
      </w:r>
      <w:r w:rsidRPr="00271113">
        <w:rPr>
          <w:rFonts w:ascii="Times New Roman" w:eastAsia="Times New Roman" w:hAnsi="Times New Roman" w:cs="Times New Roman"/>
          <w:b/>
          <w:bCs/>
          <w:lang w:val="sr-Latn-ME"/>
        </w:rPr>
        <w:tab/>
        <w:t xml:space="preserve">Predoziranje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Simptomi prekomjernog doziranja su glavobolja, vrtoglavica, parestezija, nadraženost centralnog nervnog sistema, mioklonus i grčevi.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U slučaju trovanja indikovane su mjere ubrzanja eliminacije. Ne postoji specifičan antidot. Cefazolin se izbacuje hemodijalizom.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U pojedinačnim slučajevima može doći do anafilaktičkog šoka i u tom slučaju potrebno je primijeniti odgovarajuće urgentne mjere.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Kod pacijenata sa hroničnom renalnom insuficijencijom predoziranje cefazolinom može dovesti do pojave neurotoksičnosti, konvulzija, povraćanja i tahikardije. Takođe, moguća je pojava alergijske reakcije što zahtijeva prekid terapije i sprovođenje terapije desenzibilizacije.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5. </w:t>
      </w:r>
      <w:r w:rsidRPr="00271113">
        <w:rPr>
          <w:rFonts w:ascii="Times New Roman" w:eastAsia="Times New Roman" w:hAnsi="Times New Roman" w:cs="Times New Roman"/>
          <w:b/>
          <w:bCs/>
          <w:lang w:val="sr-Latn-ME"/>
        </w:rPr>
        <w:tab/>
        <w:t>FARMAKOLOŠKI PODACI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5.1. </w:t>
      </w:r>
      <w:r w:rsidRPr="00271113">
        <w:rPr>
          <w:rFonts w:ascii="Times New Roman" w:eastAsia="Times New Roman" w:hAnsi="Times New Roman" w:cs="Times New Roman"/>
          <w:b/>
          <w:bCs/>
          <w:lang w:val="sr-Latn-ME"/>
        </w:rPr>
        <w:tab/>
        <w:t xml:space="preserve">Farmakodinamski podaci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
          <w:bCs/>
          <w:lang w:val="sr-Latn-ME"/>
        </w:rPr>
        <w:t>Farmakoterapijska grupa:</w:t>
      </w:r>
      <w:r w:rsidRPr="00271113">
        <w:rPr>
          <w:rFonts w:ascii="Times New Roman" w:eastAsia="Times New Roman" w:hAnsi="Times New Roman" w:cs="Times New Roman"/>
          <w:bCs/>
          <w:lang w:val="sr-Latn-ME"/>
        </w:rPr>
        <w:t xml:space="preserve"> </w:t>
      </w:r>
      <w:r w:rsidRPr="00271113">
        <w:rPr>
          <w:rFonts w:ascii="Times New Roman" w:eastAsia="Times New Roman" w:hAnsi="Times New Roman" w:cs="Times New Roman"/>
          <w:lang w:val="sr-Latn-ME"/>
        </w:rPr>
        <w:t>Antiinfektivni ljekovi za sistemsku primjenu. Ostali beta-laktam antibakterijski ljekovi. Cefalosporini, I generacija.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bCs/>
          <w:lang w:val="sr-Latn-ME"/>
        </w:rPr>
        <w:t>ATC kod:</w:t>
      </w:r>
      <w:r w:rsidRPr="00271113">
        <w:rPr>
          <w:rFonts w:ascii="Times New Roman" w:eastAsia="Times New Roman" w:hAnsi="Times New Roman" w:cs="Times New Roman"/>
          <w:bCs/>
          <w:lang w:val="sr-Latn-ME"/>
        </w:rPr>
        <w:t xml:space="preserve"> </w:t>
      </w:r>
      <w:r w:rsidRPr="00271113">
        <w:rPr>
          <w:rFonts w:ascii="Times New Roman" w:eastAsia="Times New Roman" w:hAnsi="Times New Roman" w:cs="Times New Roman"/>
          <w:lang w:val="sr-Latn-ME"/>
        </w:rPr>
        <w:t>J01DB04</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rPr>
        <w:t xml:space="preserve">Cefazolin spada u prvu generaciju cefalosporinskih antibiotika. Cefazolin je polusintetski cefalosporin namijenjen za parenteralnu primjenu. Baktericidno dejstvo cefalosporina je rezultat inhibicije sinteze ćelijskog zida. Kao i ostali cefalosporini prve generacije, cefazolin je aktivan protiv velikog broja aerobnih Gram-pozitivnih izazivača kao što su streptokoke, pneumokoke, stafilokoke (uključujući sojeve koji grade penicilinaze), ali je njegova aktivnost mala kada su u pitanju Gram-negativne bakterije. Cefazolin je djelotvoran </w:t>
      </w:r>
      <w:r w:rsidRPr="00271113">
        <w:rPr>
          <w:rFonts w:ascii="Times New Roman" w:eastAsia="Times New Roman" w:hAnsi="Times New Roman" w:cs="Times New Roman"/>
          <w:i/>
          <w:lang w:val="sr-Latn-ME"/>
        </w:rPr>
        <w:t>in vitro</w:t>
      </w:r>
      <w:r w:rsidRPr="00271113">
        <w:rPr>
          <w:rFonts w:ascii="Times New Roman" w:eastAsia="Times New Roman" w:hAnsi="Times New Roman" w:cs="Times New Roman"/>
          <w:lang w:val="sr-Latn-ME"/>
        </w:rPr>
        <w:t xml:space="preserve"> i u kliničkim infekcijama protiv sljedećih mikroorganizama:</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5C4A0F" w:rsidRDefault="005C4A0F"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5C4A0F" w:rsidRPr="00271113" w:rsidRDefault="005C4A0F"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Default="00271113" w:rsidP="00271113">
      <w:pPr>
        <w:tabs>
          <w:tab w:val="left" w:pos="540"/>
          <w:tab w:val="left" w:pos="569"/>
        </w:tabs>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lastRenderedPageBreak/>
        <w:t xml:space="preserve">Gram-pozitivni aerobi </w:t>
      </w:r>
    </w:p>
    <w:p w:rsidR="005C4A0F" w:rsidRPr="00271113" w:rsidRDefault="005C4A0F" w:rsidP="00271113">
      <w:pPr>
        <w:tabs>
          <w:tab w:val="left" w:pos="540"/>
          <w:tab w:val="left" w:pos="569"/>
        </w:tabs>
        <w:spacing w:after="0" w:line="240" w:lineRule="auto"/>
        <w:jc w:val="both"/>
        <w:rPr>
          <w:rFonts w:ascii="Times New Roman" w:eastAsia="Times New Roman" w:hAnsi="Times New Roman" w:cs="Times New Roman"/>
          <w:b/>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(meticilin osjetljivi sojevi, uključujući i sojeve koji produkuju penicilinazu), </w:t>
      </w:r>
      <w:r w:rsidRPr="00271113">
        <w:rPr>
          <w:rFonts w:ascii="Times New Roman" w:eastAsia="Times New Roman" w:hAnsi="Times New Roman" w:cs="Times New Roman"/>
          <w:i/>
          <w:lang w:val="sr-Latn-ME"/>
        </w:rPr>
        <w:t xml:space="preserve">Staphylococcus epidermidis </w:t>
      </w:r>
      <w:r w:rsidRPr="00271113">
        <w:rPr>
          <w:rFonts w:ascii="Times New Roman" w:eastAsia="Times New Roman" w:hAnsi="Times New Roman" w:cs="Times New Roman"/>
          <w:lang w:val="sr-Latn-ME"/>
        </w:rPr>
        <w:t>(meticilin rezistentne stafilokoke su jednako rezistentne i na cefazolin),</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Streptococci,</w:t>
      </w:r>
      <w:r w:rsidRPr="00271113">
        <w:rPr>
          <w:rFonts w:ascii="Times New Roman" w:eastAsia="Times New Roman" w:hAnsi="Times New Roman" w:cs="Times New Roman"/>
          <w:lang w:val="sr-Latn-ME"/>
        </w:rPr>
        <w:t xml:space="preserve"> uključujući </w:t>
      </w:r>
      <w:r w:rsidRPr="00271113">
        <w:rPr>
          <w:rFonts w:ascii="Times New Roman" w:eastAsia="Times New Roman" w:hAnsi="Times New Roman" w:cs="Times New Roman"/>
          <w:i/>
          <w:lang w:val="sr-Latn-ME"/>
        </w:rPr>
        <w:t>Streptococcus pyogenes, Streptococcus agalactiae, Streptococcus pneumoniae</w:t>
      </w:r>
      <w:r w:rsidRPr="00271113">
        <w:rPr>
          <w:rFonts w:ascii="Times New Roman" w:eastAsia="Times New Roman" w:hAnsi="Times New Roman" w:cs="Times New Roman"/>
          <w:lang w:val="sr-Latn-ME"/>
        </w:rPr>
        <w:t>.</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Default="00271113" w:rsidP="00271113">
      <w:pPr>
        <w:tabs>
          <w:tab w:val="left" w:pos="540"/>
          <w:tab w:val="left" w:pos="569"/>
        </w:tabs>
        <w:spacing w:after="0" w:line="240" w:lineRule="auto"/>
        <w:jc w:val="both"/>
        <w:rPr>
          <w:rFonts w:ascii="Times New Roman" w:eastAsia="Times New Roman" w:hAnsi="Times New Roman" w:cs="Times New Roman"/>
          <w:b/>
          <w:lang w:val="sr-Latn-ME"/>
        </w:rPr>
      </w:pPr>
      <w:r w:rsidRPr="00271113">
        <w:rPr>
          <w:rFonts w:ascii="Times New Roman" w:eastAsia="Times New Roman" w:hAnsi="Times New Roman" w:cs="Times New Roman"/>
          <w:b/>
          <w:lang w:val="sr-Latn-ME"/>
        </w:rPr>
        <w:t xml:space="preserve">Gram-negativni aerobi </w:t>
      </w:r>
    </w:p>
    <w:p w:rsidR="005C4A0F" w:rsidRPr="00271113" w:rsidRDefault="005C4A0F" w:rsidP="00271113">
      <w:pPr>
        <w:tabs>
          <w:tab w:val="left" w:pos="540"/>
          <w:tab w:val="left" w:pos="569"/>
        </w:tabs>
        <w:spacing w:after="0" w:line="240" w:lineRule="auto"/>
        <w:jc w:val="both"/>
        <w:rPr>
          <w:rFonts w:ascii="Times New Roman" w:eastAsia="Times New Roman" w:hAnsi="Times New Roman" w:cs="Times New Roman"/>
          <w:b/>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Escerichia coli,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r w:rsidRPr="00271113">
        <w:rPr>
          <w:rFonts w:ascii="Times New Roman" w:eastAsia="Times New Roman" w:hAnsi="Times New Roman" w:cs="Times New Roman"/>
          <w:i/>
          <w:lang w:val="sr-Latn-ME"/>
        </w:rPr>
        <w:t xml:space="preserve">Proteus mirabilis.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i/>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Većina sojeva Indol-pozitivnih proteus vrsta, mnogi sojevi enterokoka, </w:t>
      </w:r>
      <w:r w:rsidRPr="00271113">
        <w:rPr>
          <w:rFonts w:ascii="Times New Roman" w:eastAsia="Times New Roman" w:hAnsi="Times New Roman" w:cs="Times New Roman"/>
          <w:i/>
          <w:lang w:val="sr-Latn-ME"/>
        </w:rPr>
        <w:t>Enterobacter spp.,</w:t>
      </w:r>
      <w:r w:rsidRPr="00271113">
        <w:rPr>
          <w:rFonts w:ascii="Times New Roman" w:eastAsia="Times New Roman" w:hAnsi="Times New Roman" w:cs="Times New Roman"/>
          <w:lang w:val="sr-Latn-ME"/>
        </w:rPr>
        <w:t xml:space="preserve"> </w:t>
      </w:r>
      <w:r w:rsidRPr="00271113">
        <w:rPr>
          <w:rFonts w:ascii="Times New Roman" w:eastAsia="Times New Roman" w:hAnsi="Times New Roman" w:cs="Times New Roman"/>
          <w:i/>
          <w:lang w:val="sr-Latn-ME"/>
        </w:rPr>
        <w:t>Morganella morganii, Providencia rettgeri, Serratia spp.,</w:t>
      </w:r>
      <w:r w:rsidRPr="00271113">
        <w:rPr>
          <w:rFonts w:ascii="Times New Roman" w:eastAsia="Times New Roman" w:hAnsi="Times New Roman" w:cs="Times New Roman"/>
          <w:lang w:val="sr-Latn-ME"/>
        </w:rPr>
        <w:t xml:space="preserve"> i </w:t>
      </w:r>
      <w:r w:rsidRPr="00271113">
        <w:rPr>
          <w:rFonts w:ascii="Times New Roman" w:eastAsia="Times New Roman" w:hAnsi="Times New Roman" w:cs="Times New Roman"/>
          <w:i/>
          <w:lang w:val="sr-Latn-ME"/>
        </w:rPr>
        <w:t>Pseudomonas spp.</w:t>
      </w:r>
      <w:r w:rsidRPr="00271113">
        <w:rPr>
          <w:rFonts w:ascii="Times New Roman" w:eastAsia="Times New Roman" w:hAnsi="Times New Roman" w:cs="Times New Roman"/>
          <w:lang w:val="sr-Latn-ME"/>
        </w:rPr>
        <w:t xml:space="preserve"> su rezistentni na cefazolin.</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Testovi za utvrđivanje osjetljivosti mikroorganizama:</w:t>
      </w:r>
      <w:r w:rsidRPr="00271113">
        <w:rPr>
          <w:rFonts w:ascii="Times New Roman" w:eastAsia="Times New Roman" w:hAnsi="Times New Roman" w:cs="Times New Roman"/>
          <w:lang w:val="sr-Latn-ME"/>
        </w:rPr>
        <w:t xml:space="preserv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i/>
          <w:lang w:val="sr-Latn-ME"/>
        </w:rPr>
      </w:pPr>
      <w:r w:rsidRPr="00271113">
        <w:rPr>
          <w:rFonts w:ascii="Times New Roman" w:eastAsia="Times New Roman" w:hAnsi="Times New Roman" w:cs="Times New Roman"/>
          <w:b/>
          <w:i/>
          <w:lang w:val="sr-Latn-ME"/>
        </w:rPr>
        <w:t xml:space="preserve">Disk-difuziona metoda: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Kvantitativna metoda koja iziskuje mjerenje prečnika zone pruža najpreciznije procjene osjetljivosti na antibiotike. Jedna od tih procedura preporučuje upotrebu diskova za ispitivanje osjetljivosti na cefazolin. Izvještaji o upotrebi standardizovanih testova osjetljivosti pomoću diskova sa 30 mikrograma cefazolina treba da predstave osjetljivost u skladu sa sljedećim kriterijumima:</w:t>
      </w:r>
    </w:p>
    <w:p w:rsidR="00271113" w:rsidRPr="00271113" w:rsidRDefault="00271113" w:rsidP="00271113">
      <w:pPr>
        <w:numPr>
          <w:ilvl w:val="0"/>
          <w:numId w:val="19"/>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Osjetljivi mikroorganizmi formiraju zonu prečnika 18 mm i veću, pokazujući time da povoljno reaguju na terapiju.</w:t>
      </w:r>
    </w:p>
    <w:p w:rsidR="00271113" w:rsidRPr="00271113" w:rsidRDefault="00271113" w:rsidP="00271113">
      <w:pPr>
        <w:numPr>
          <w:ilvl w:val="0"/>
          <w:numId w:val="19"/>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Srednje osjetljivi mikroorganizmi formiraju zonu prečnika 15-17 mm, pokazujući da će testirani mikroorganizmi biti osjetljivi ako se upotrijebe visoke doze antibiotika ili ako je infekcija zahvatila tkiva ili tečnosti (npr. urin) u kojima se postižu visoke koncentracije antibiotika.</w:t>
      </w:r>
    </w:p>
    <w:p w:rsidR="00271113" w:rsidRPr="00271113" w:rsidRDefault="00271113" w:rsidP="00271113">
      <w:pPr>
        <w:numPr>
          <w:ilvl w:val="0"/>
          <w:numId w:val="19"/>
        </w:numPr>
        <w:tabs>
          <w:tab w:val="left" w:pos="540"/>
          <w:tab w:val="left" w:pos="569"/>
        </w:tabs>
        <w:spacing w:after="0" w:line="240" w:lineRule="auto"/>
        <w:contextualSpacing/>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Rezistentni organizmi formiraju zonu prečnika 14 mm ili manju, pokazujući da treba izabrati drugu terapiju.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Gram-negativni mikroorganizmi testiraju se cefazolinskim diskom (po gore navedenom kriterijumu), od kada je pokazano </w:t>
      </w:r>
      <w:r w:rsidRPr="00271113">
        <w:rPr>
          <w:rFonts w:ascii="Times New Roman" w:eastAsia="Times New Roman" w:hAnsi="Times New Roman" w:cs="Times New Roman"/>
          <w:i/>
          <w:lang w:val="sr-Latn-ME"/>
        </w:rPr>
        <w:t>in vitro</w:t>
      </w:r>
      <w:r w:rsidRPr="00271113">
        <w:rPr>
          <w:rFonts w:ascii="Times New Roman" w:eastAsia="Times New Roman" w:hAnsi="Times New Roman" w:cs="Times New Roman"/>
          <w:lang w:val="sr-Latn-ME"/>
        </w:rPr>
        <w:t xml:space="preserve"> testovima da je cefazolin aktivan protiv nekih sojeva enterobakterija za koje je nađeno da su rezistentni kada su ispitivani na cefalotinskim diskovima. Gram-negativni mikroorganizmi koji formiraju zonu manju od 18 mm na diskovima sa cefalotinom, mogu biti osjetljivi na cefazolin.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Standardizovane procedure zahtijevaju upotrebu kontrolnih mikroorganizama. Na diskovima sa 30 mikrograma cefazolina treba da se formira zona prečnika 21-27 mm za </w:t>
      </w:r>
      <w:r w:rsidRPr="00271113">
        <w:rPr>
          <w:rFonts w:ascii="Times New Roman" w:eastAsia="Times New Roman" w:hAnsi="Times New Roman" w:cs="Times New Roman"/>
          <w:i/>
          <w:lang w:val="sr-Latn-ME"/>
        </w:rPr>
        <w:t>Escherichia coli</w:t>
      </w:r>
      <w:r w:rsidRPr="00271113">
        <w:rPr>
          <w:rFonts w:ascii="Times New Roman" w:eastAsia="Times New Roman" w:hAnsi="Times New Roman" w:cs="Times New Roman"/>
          <w:lang w:val="sr-Latn-ME"/>
        </w:rPr>
        <w:t xml:space="preserve"> ATCC 25922 i 29-35 mm za </w:t>
      </w:r>
      <w:r w:rsidRPr="00271113">
        <w:rPr>
          <w:rFonts w:ascii="Times New Roman" w:eastAsia="Times New Roman" w:hAnsi="Times New Roman" w:cs="Times New Roman"/>
          <w:i/>
          <w:lang w:val="sr-Latn-ME"/>
        </w:rPr>
        <w:t>S. aureus</w:t>
      </w:r>
      <w:r w:rsidRPr="00271113">
        <w:rPr>
          <w:rFonts w:ascii="Times New Roman" w:eastAsia="Times New Roman" w:hAnsi="Times New Roman" w:cs="Times New Roman"/>
          <w:lang w:val="sr-Latn-ME"/>
        </w:rPr>
        <w:t xml:space="preserve"> ATCC 25923.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Cefazolin diskovi ne treba da se koriste za ispitivanje osjetljivosti na druge cefalosporine.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i/>
          <w:lang w:val="sr-Latn-ME"/>
        </w:rPr>
      </w:pPr>
      <w:r w:rsidRPr="00271113">
        <w:rPr>
          <w:rFonts w:ascii="Times New Roman" w:eastAsia="Times New Roman" w:hAnsi="Times New Roman" w:cs="Times New Roman"/>
          <w:b/>
          <w:i/>
          <w:lang w:val="sr-Latn-ME"/>
        </w:rPr>
        <w:t xml:space="preserve">Metoda dilucije: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Bakterijski izolati mogu se smatrati osjetljivim ako minimalna inhibitorna koncentracija (MIC) cefazolina nije veća od 16 mikrograma/ml.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Mikroorganizmi se mogu smatrati rezistentnim ako je MIC ≥ 64 mikrograma/ml.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Za kontrolne sojeve mikroorganizama mjerni opseg za MIC treba da bude: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Staphylococcus aureus</w:t>
      </w:r>
      <w:r w:rsidRPr="00271113">
        <w:rPr>
          <w:rFonts w:ascii="Times New Roman" w:eastAsia="Times New Roman" w:hAnsi="Times New Roman" w:cs="Times New Roman"/>
          <w:lang w:val="sr-Latn-ME"/>
        </w:rPr>
        <w:t xml:space="preserve"> ATCC 25923: 0,25-1,0 mikrograma /ml</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i/>
          <w:lang w:val="sr-Latn-ME"/>
        </w:rPr>
        <w:t>Escherichia coli</w:t>
      </w:r>
      <w:r w:rsidRPr="00271113">
        <w:rPr>
          <w:rFonts w:ascii="Times New Roman" w:eastAsia="Times New Roman" w:hAnsi="Times New Roman" w:cs="Times New Roman"/>
          <w:lang w:val="sr-Latn-ME"/>
        </w:rPr>
        <w:t xml:space="preserve"> ATCC 25922: 1,0-4,0 mikrograma/ml.</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lastRenderedPageBreak/>
        <w:t xml:space="preserve">5.2. </w:t>
      </w:r>
      <w:r w:rsidRPr="00271113">
        <w:rPr>
          <w:rFonts w:ascii="Times New Roman" w:eastAsia="Times New Roman" w:hAnsi="Times New Roman" w:cs="Times New Roman"/>
          <w:b/>
          <w:bCs/>
          <w:lang w:val="sr-Latn-ME"/>
        </w:rPr>
        <w:tab/>
        <w:t xml:space="preserve">Farmakokinetički podaci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Nakon i.m. primjene 500 mg cefazolina zdravim dobrovoljcima, prosječna koncentracija u serumu bila je 37 mikrograma/ml poslije 1 h, i 3 mikrograma/ml poslije 8 h; a nakon primjene doze od 1g: 64 mikrograma/ml poslije 1 h, i 7 mikrograma/ml poslije 8 h.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Nakon i.v. injekcije (bolus) 1g cefazolina zdravim dobrovoljcima, maksimalna koncentracija u serumu bila je približno 185 mikrograma/ml, i 4 mikrograma/ml poslije 8 h.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Poluvrijeme eliminacije cefazolina je približno 1,8 h nakon i.v. primjene, i 2 h nakon i.m. primjene. Poluvrijeme eliminacije je produženo ukoliko postoji bubrežno oštećenje.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Prilikom ispitivanja neprekidne i.v. infuzije 3,5 mg/kg tokom 1 h (približno 250 mg) i 1,5 mg/kg u sljedeća 2 h (približno 100 mg), u trećem satu uspostavljena je ravnotežna koncentracija u serumu od približno 28 mikrograma/ml.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Ispitivanja na hospitalizovanim pacijentima sa infekcijom pokazala su da cefazolin postiže prosječne koncentracije u serumu slične onim kod zdravih dobrovoljaca.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Koncentracija u žuči kod pacijenata bez opstruktivnih bolesti žuči može da dostigne ili premaši serumski nivo i do 5 puta; ipak kod pacijenata sa opstruktivnom bolesti žuči, koncentracija cefazolina u žuči je značajno niža nego u serumu (&lt; 1,0 mikrograma/ml).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U sinovijalnoj tečnosti, nivo cefazolina se može porediti sa onim koji se postiže u serumu 4 h nakon primjene lijeka.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Ispitivanja krvi iz pupčane vrpce pokazuju da cefazolin prolazi placentu. Cefazolin je prisutan u veoma niskim koncentracijama u mlijeku dojilja.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slabo prolazi u cerebrospinalnu tečnost.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Oko 85% lijeka u cirkulaciji vezuje se za proteine plazme.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Cefazolin se izlučuje urinom u nepromijenjenom obliku, uglavnom glomerularnom filtracijom, a djelimično i renalnom tubularnom sekrecijom. Tokom prvih 6 h urinom se izluči približno 60% lijeka, a tokom 24 h i do 70-80%. Maksimalna koncentracija u urinu je približno 2400 mikrograma/ml nakon doze od 500 mg i.m., i 4000 mikrograma/ml nakon doze od 1 g i.m.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Kod pacijenata na peritonealnoj dijalizi (2 l/h), nakon 24-časovne primjene rastvora za dijalizu koji sadrži 50 mg/l ili 150 mg/l cefazolina, prosječne koncentracije cefazolina u serumu su bile približno 10, odnosno približno 30 mikrograma/ml. Srednje vrijednosti maksimalnih koncentracija bile su 29 mikrograma/ml (od 13-44 mikrograma/ml) pri primjeni 50 mg/ml cefazolina (3 pacijenta), i 72 mikrograma/ml (od 26-142 mikrograma/ml) pri primjeni 150 mg/ml cefazolina (6 pacijenata). Na kraju dijalize, aplikovan je 1 g cefazolina u peritonealnu šupljinu i ostavljen, što je rezultovalo prosječnom koncentracijom od 63 mikrograma/ml, tokom 2 h. Intraperitonealna primjena cefazolina se obično dobro podnosi.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U kontrolisanim studijama na odraslim, zdravim dobrovoljcima, koji su primali 1 g cefazolina 4 puta dnevno tokom 10 dana, praćene su CBC, SGOT, SGPT, bilirubin, alkalna fosfataza, urea u plazmi, kreatinin, kao i analize urina. Nisu uočene klinički značajne promjene povezane sa primjenom cefazolina.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lastRenderedPageBreak/>
        <w:t xml:space="preserve">5.3. </w:t>
      </w:r>
      <w:r w:rsidRPr="00271113">
        <w:rPr>
          <w:rFonts w:ascii="Times New Roman" w:eastAsia="Times New Roman" w:hAnsi="Times New Roman" w:cs="Times New Roman"/>
          <w:b/>
          <w:bCs/>
          <w:lang w:val="sr-Latn-ME"/>
        </w:rPr>
        <w:tab/>
        <w:t xml:space="preserve">Pretklinički podaci o bezbjednosti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b/>
          <w:lang w:val="sr-Latn-ME"/>
        </w:rPr>
        <w:t>Karcinogeneza/mutageneza:</w:t>
      </w:r>
      <w:r w:rsidRPr="00271113">
        <w:rPr>
          <w:rFonts w:ascii="Times New Roman" w:eastAsia="Times New Roman" w:hAnsi="Times New Roman" w:cs="Times New Roman"/>
          <w:lang w:val="sr-Latn-ME"/>
        </w:rPr>
        <w:t xml:space="preserve"> Nijesu vršena ispitivanja mutagenosti i dugotrajna ispitivanja na životinjama radi određivanja karcinogenog potencijala cefazolina.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lang w:val="sr-Latn-ME"/>
        </w:rPr>
        <w:t xml:space="preserve">Teratogeni efekti: </w:t>
      </w:r>
      <w:r w:rsidRPr="00271113">
        <w:rPr>
          <w:rFonts w:ascii="Times New Roman" w:eastAsia="Times New Roman" w:hAnsi="Times New Roman" w:cs="Times New Roman"/>
          <w:lang w:val="sr-Latn-ME"/>
        </w:rPr>
        <w:t>Ljekovi B kategorije za upotrebu u trudnoći prema FDA klasifikaciji. Ispitivanja reprodukcije izvršena su na pacovima, miševima i zečevima sa dozama do 25 puta većim od humanih doza. Nisu otkriveni dokazi o smanjenju plodnosti ili oštećenju fetusa usljed primjene cefazolina.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 </w:t>
      </w:r>
      <w:r w:rsidRPr="00271113">
        <w:rPr>
          <w:rFonts w:ascii="Times New Roman" w:eastAsia="Times New Roman" w:hAnsi="Times New Roman" w:cs="Times New Roman"/>
          <w:b/>
          <w:bCs/>
          <w:lang w:val="sr-Latn-ME"/>
        </w:rPr>
        <w:tab/>
        <w:t>FARMACEUTSKI PODACI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6.1. </w:t>
      </w:r>
      <w:r w:rsidRPr="00271113">
        <w:rPr>
          <w:rFonts w:ascii="Times New Roman" w:eastAsia="Times New Roman" w:hAnsi="Times New Roman" w:cs="Times New Roman"/>
          <w:b/>
          <w:bCs/>
          <w:lang w:val="sr-Latn-ME"/>
        </w:rPr>
        <w:tab/>
        <w:t>Lista pomoćnih supstanci (ekscipijenasa)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Lijek ne sadrži pomoćne supstance.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6.2. </w:t>
      </w:r>
      <w:r w:rsidRPr="00271113">
        <w:rPr>
          <w:rFonts w:ascii="Times New Roman" w:eastAsia="Times New Roman" w:hAnsi="Times New Roman" w:cs="Times New Roman"/>
          <w:b/>
          <w:bCs/>
          <w:lang w:val="sr-Latn-ME"/>
        </w:rPr>
        <w:tab/>
        <w:t>Inkompatibilnosti</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rPr>
        <w:t>Cefazolin je inkompatibilan sa sljedećim ljekovima: amikacin disulfat, amobarbital natrijum, askorbinska kiselina, bleomicin sulfat, kalcijum glukoheptonat, kalcijum glukonat, cimetidin hidrohlorid, kolistin metan sulfonat natrijum, eritromicin glukoheptonat, kanamicin sulfat, oksitetraciklin hidrohlorid, pentobarbital natrijum, polimiksin Bsulfat, tetraciklin hidrohlorid.</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6.3. </w:t>
      </w:r>
      <w:r w:rsidRPr="00271113">
        <w:rPr>
          <w:rFonts w:ascii="Times New Roman" w:eastAsia="Times New Roman" w:hAnsi="Times New Roman" w:cs="Times New Roman"/>
          <w:b/>
          <w:bCs/>
          <w:lang w:val="sr-Latn-ME"/>
        </w:rPr>
        <w:tab/>
        <w:t>Rok upotrebe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Rok upotrebe neotvorenog lijeka: 3 godine.</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Cs/>
          <w:lang w:val="sr-Latn-ME"/>
        </w:rPr>
        <w:t>Rok upotrebe nakon pripreme/rastvaranja: upotrijebiti odmah.</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Sa mikrobiološkog stanovišta, lijek treba upotrijebiti odmah. Ako se ne upotrijebi odmah, vrijeme i uslovi čuvanja su odgovornost korisnika i normalno ne smiju biti duži od 24 sata na temperaturi od 2-8°C, osim ako se rekonstitucija ne izvodi u kontrolisanim i validiranim aseptičnim uslovima.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6.4. </w:t>
      </w:r>
      <w:r w:rsidRPr="00271113">
        <w:rPr>
          <w:rFonts w:ascii="Times New Roman" w:eastAsia="Times New Roman" w:hAnsi="Times New Roman" w:cs="Times New Roman"/>
          <w:b/>
          <w:bCs/>
          <w:lang w:val="sr-Latn-ME"/>
        </w:rPr>
        <w:tab/>
        <w:t>Posebne mjere upozorenja pri čuvanju lijeka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Čuvati u originalnom pakovanju, na temperaturi do 25°C.</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Za uslove čuvanja nakon pripreme/rastvaranja lijeka, vidjeti odjeljak 6.3.</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6.5. </w:t>
      </w:r>
      <w:r w:rsidRPr="00271113">
        <w:rPr>
          <w:rFonts w:ascii="Times New Roman" w:eastAsia="Times New Roman" w:hAnsi="Times New Roman" w:cs="Times New Roman"/>
          <w:b/>
          <w:bCs/>
          <w:lang w:val="sr-Latn-ME"/>
        </w:rPr>
        <w:tab/>
        <w:t>Vrsta i sadrža</w:t>
      </w:r>
      <w:bookmarkStart w:id="0" w:name="_GoBack"/>
      <w:bookmarkEnd w:id="0"/>
      <w:r w:rsidRPr="00271113">
        <w:rPr>
          <w:rFonts w:ascii="Times New Roman" w:eastAsia="Times New Roman" w:hAnsi="Times New Roman" w:cs="Times New Roman"/>
          <w:b/>
          <w:bCs/>
          <w:lang w:val="sr-Latn-ME"/>
        </w:rPr>
        <w:t xml:space="preserve">j pakovanja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autoSpaceDE w:val="0"/>
        <w:autoSpaceDN w:val="0"/>
        <w:adjustRightInd w:val="0"/>
        <w:spacing w:after="0" w:line="240" w:lineRule="auto"/>
        <w:jc w:val="both"/>
        <w:rPr>
          <w:rFonts w:ascii="Times New Roman" w:eastAsia="Times New Roman" w:hAnsi="Times New Roman" w:cs="Times New Roman"/>
          <w:i/>
          <w:iCs/>
          <w:lang w:val="sr-Latn-ME" w:eastAsia="sr-Latn-ME"/>
        </w:rPr>
      </w:pPr>
      <w:r w:rsidRPr="00271113">
        <w:rPr>
          <w:rFonts w:ascii="Times New Roman" w:eastAsia="Times New Roman" w:hAnsi="Times New Roman" w:cs="Times New Roman"/>
          <w:lang w:val="sr-Latn-ME" w:eastAsia="sr-Latn-ME"/>
        </w:rPr>
        <w:t>Unutrašnje pakovanje je staklena bočica od 15 ml (tip III) sa bromobutil gumenim čepom i providnim „flip-off“</w:t>
      </w:r>
      <w:r w:rsidRPr="00271113">
        <w:rPr>
          <w:rFonts w:ascii="Times New Roman" w:eastAsia="Times New Roman" w:hAnsi="Times New Roman" w:cs="Times New Roman"/>
          <w:i/>
          <w:iCs/>
          <w:lang w:val="sr-Latn-ME" w:eastAsia="sr-Latn-ME"/>
        </w:rPr>
        <w:t xml:space="preserve"> </w:t>
      </w:r>
      <w:r w:rsidRPr="00271113">
        <w:rPr>
          <w:rFonts w:ascii="Times New Roman" w:eastAsia="Times New Roman" w:hAnsi="Times New Roman" w:cs="Times New Roman"/>
          <w:lang w:val="sr-Latn-ME" w:eastAsia="sr-Latn-ME"/>
        </w:rPr>
        <w:t>poklopcem.</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lang w:val="sr-Latn-ME" w:eastAsia="sr-Latn-ME"/>
        </w:rPr>
      </w:pPr>
      <w:r w:rsidRPr="00271113">
        <w:rPr>
          <w:rFonts w:ascii="Times New Roman" w:eastAsia="Times New Roman" w:hAnsi="Times New Roman" w:cs="Times New Roman"/>
          <w:lang w:val="sr-Latn-ME" w:eastAsia="sr-Latn-ME"/>
        </w:rPr>
        <w:t>Spoljašnje pakovanje je složiva kartonska kutija u kojoj se nalazi 10 staklenih bočica i Uputstvo za lijek.</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FD374A" w:rsidRDefault="00FD374A" w:rsidP="00271113">
      <w:pPr>
        <w:tabs>
          <w:tab w:val="left" w:pos="540"/>
          <w:tab w:val="left" w:pos="569"/>
        </w:tabs>
        <w:spacing w:after="0" w:line="240" w:lineRule="auto"/>
        <w:jc w:val="both"/>
        <w:rPr>
          <w:rFonts w:ascii="Times New Roman" w:eastAsia="Times New Roman" w:hAnsi="Times New Roman" w:cs="Times New Roman"/>
          <w:bCs/>
          <w:lang w:val="sr-Latn-ME"/>
        </w:rPr>
      </w:pPr>
    </w:p>
    <w:p w:rsidR="00FD374A" w:rsidRPr="00271113" w:rsidRDefault="00FD374A"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lastRenderedPageBreak/>
        <w:t xml:space="preserve">6.6. </w:t>
      </w:r>
      <w:r w:rsidRPr="00271113">
        <w:rPr>
          <w:rFonts w:ascii="Times New Roman" w:eastAsia="Times New Roman" w:hAnsi="Times New Roman" w:cs="Times New Roman"/>
          <w:b/>
          <w:bCs/>
          <w:lang w:val="sr-Latn-ME"/>
        </w:rPr>
        <w:tab/>
      </w:r>
      <w:r w:rsidRPr="00271113">
        <w:rPr>
          <w:rFonts w:ascii="Times New Roman" w:eastAsia="Times New Roman" w:hAnsi="Times New Roman" w:cs="Times New Roman"/>
          <w:b/>
          <w:bCs/>
          <w:color w:val="000000"/>
          <w:lang w:val="sr-Latn-ME"/>
        </w:rPr>
        <w:t>Posebne mjere opreza pri odlaganju materijala koji treba odbaciti nakon primjene lijeka</w:t>
      </w:r>
      <w:r w:rsidRPr="00271113">
        <w:rPr>
          <w:rFonts w:ascii="Times New Roman" w:eastAsia="Times New Roman" w:hAnsi="Times New Roman" w:cs="Times New Roman"/>
          <w:b/>
          <w:bCs/>
          <w:lang w:val="sr-Latn-ME"/>
        </w:rPr>
        <w:t xml:space="preserve"> (i druga uputstva za rukovanje lijekom)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Rastvor za </w:t>
      </w:r>
      <w:r w:rsidRPr="00271113">
        <w:rPr>
          <w:rFonts w:ascii="Times New Roman" w:eastAsia="Times New Roman" w:hAnsi="Times New Roman" w:cs="Times New Roman"/>
          <w:b/>
          <w:bCs/>
          <w:lang w:val="sr-Latn-ME"/>
        </w:rPr>
        <w:t xml:space="preserve">intravensku injekciju </w:t>
      </w:r>
      <w:r w:rsidRPr="00271113">
        <w:rPr>
          <w:rFonts w:ascii="Times New Roman" w:eastAsia="Times New Roman" w:hAnsi="Times New Roman" w:cs="Times New Roman"/>
          <w:lang w:val="sr-Latn-ME"/>
        </w:rPr>
        <w:t>priprema se rastvaranjem praška u vodi za injekcije ili 0,9% rastvoru natrijum hlorida. Potrebno je koristiti najmanje 5 ml rastvarača za svaki gram praška.</w:t>
      </w: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Rastvor za </w:t>
      </w:r>
      <w:r w:rsidRPr="00271113">
        <w:rPr>
          <w:rFonts w:ascii="Times New Roman" w:eastAsia="Times New Roman" w:hAnsi="Times New Roman" w:cs="Times New Roman"/>
          <w:b/>
          <w:bCs/>
          <w:lang w:val="sr-Latn-ME"/>
        </w:rPr>
        <w:t xml:space="preserve">intravensku infuziju </w:t>
      </w:r>
      <w:r w:rsidRPr="00271113">
        <w:rPr>
          <w:rFonts w:ascii="Times New Roman" w:eastAsia="Times New Roman" w:hAnsi="Times New Roman" w:cs="Times New Roman"/>
          <w:lang w:val="sr-Latn-ME"/>
        </w:rPr>
        <w:t>priprema se rastvaranjem 1 g cefazolina u 5 ml rastvarača (voda za injekcije ili 0,9% rastvoru natrijum hlorida), pričeka se da se supstanca rastvori, a zatim doda 50 – 100 ml vode za injekciju ili 0,9% rastvor natrijum hlorida i nakon toga se polako infundira.</w:t>
      </w: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 xml:space="preserve">Rastvor za </w:t>
      </w:r>
      <w:r w:rsidRPr="00271113">
        <w:rPr>
          <w:rFonts w:ascii="Times New Roman" w:eastAsia="Times New Roman" w:hAnsi="Times New Roman" w:cs="Times New Roman"/>
          <w:b/>
          <w:bCs/>
          <w:lang w:val="sr-Latn-ME"/>
        </w:rPr>
        <w:t xml:space="preserve">intramuskularnu injekciju </w:t>
      </w:r>
      <w:r w:rsidRPr="00271113">
        <w:rPr>
          <w:rFonts w:ascii="Times New Roman" w:eastAsia="Times New Roman" w:hAnsi="Times New Roman" w:cs="Times New Roman"/>
          <w:lang w:val="sr-Latn-ME"/>
        </w:rPr>
        <w:t>priprema se rastvaranjem 1 g praška u 4 ml 0,5% rastvora lidokain hidrohlorida. Intramuskularna doza aplicira se u mišiće velike mase. Maksimalna doza cefazolina koja se smije upotrijebiti intramuskularno je 1 g.</w:t>
      </w: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Rastvor sa lidokain hidrohloridom kontraindikovan je za intravensku primjenu.</w:t>
      </w: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Upotrebljavati samo bistar i bezbojan rastvor, pripremljen neposredno prije primjene. Lijek smije da se koristi samo jednokratno. Svu preostalu količinu rastvora treba odbaciti u skladu sa važećim propisima.</w:t>
      </w: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p>
    <w:p w:rsidR="00271113" w:rsidRPr="00271113" w:rsidRDefault="00271113" w:rsidP="00271113">
      <w:pPr>
        <w:tabs>
          <w:tab w:val="left" w:pos="720"/>
        </w:tabs>
        <w:autoSpaceDE w:val="0"/>
        <w:autoSpaceDN w:val="0"/>
        <w:adjustRightInd w:val="0"/>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Prije upotrebe, pripremljeni rastvor treba vizuelno pregledati zbog eventualno prisutnih čestica i promjene boje. Rastvor smije da se primijeni samo ako je bistar i ako u njemu nema vidljivih čestica.</w:t>
      </w:r>
    </w:p>
    <w:p w:rsidR="00271113" w:rsidRPr="00271113" w:rsidRDefault="00271113" w:rsidP="00271113">
      <w:pPr>
        <w:spacing w:after="0" w:line="240" w:lineRule="auto"/>
        <w:jc w:val="both"/>
        <w:rPr>
          <w:rFonts w:ascii="Times New Roman" w:eastAsia="Times New Roman" w:hAnsi="Times New Roman" w:cs="Times New Roman"/>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Svu neiskorišćenu količinu lijeka ili otpadnog materijala nakon njegove upotrebe treba ukloniti, u skladu sa važećim propisima.</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7. </w:t>
      </w:r>
      <w:r w:rsidRPr="00271113">
        <w:rPr>
          <w:rFonts w:ascii="Times New Roman" w:eastAsia="Times New Roman" w:hAnsi="Times New Roman" w:cs="Times New Roman"/>
          <w:b/>
          <w:bCs/>
          <w:lang w:val="sr-Latn-ME"/>
        </w:rPr>
        <w:tab/>
        <w:t xml:space="preserve">NOSILAC DOZVOLE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Glosarij d.o.o.</w:t>
      </w:r>
    </w:p>
    <w:p w:rsidR="00271113" w:rsidRPr="00271113" w:rsidRDefault="00271113" w:rsidP="00271113">
      <w:pPr>
        <w:spacing w:after="0" w:line="240" w:lineRule="auto"/>
        <w:jc w:val="both"/>
        <w:rPr>
          <w:rFonts w:ascii="Times New Roman" w:eastAsia="Times New Roman" w:hAnsi="Times New Roman" w:cs="Times New Roman"/>
          <w:lang w:val="sr-Latn-ME"/>
        </w:rPr>
      </w:pPr>
      <w:r w:rsidRPr="00271113">
        <w:rPr>
          <w:rFonts w:ascii="Times New Roman" w:eastAsia="Times New Roman" w:hAnsi="Times New Roman" w:cs="Times New Roman"/>
          <w:lang w:val="sr-Latn-ME"/>
        </w:rPr>
        <w:t>Vojislavljevića 76, Podgorica, Crna Gora</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FD374A" w:rsidRPr="00271113" w:rsidRDefault="00FD374A"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8. </w:t>
      </w:r>
      <w:r w:rsidRPr="00271113">
        <w:rPr>
          <w:rFonts w:ascii="Times New Roman" w:eastAsia="Times New Roman" w:hAnsi="Times New Roman" w:cs="Times New Roman"/>
          <w:b/>
          <w:bCs/>
          <w:lang w:val="sr-Latn-ME"/>
        </w:rPr>
        <w:tab/>
        <w:t>BROJ DOZVOLE ZA STAVLJANJE LIJEKA U PROMET</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eastAsia="sr-Latn-ME"/>
        </w:rPr>
        <w:t>Cefazolin Sandoz</w:t>
      </w:r>
      <w:r w:rsidRPr="00271113">
        <w:rPr>
          <w:rFonts w:ascii="Times New Roman" w:eastAsia="Times New Roman" w:hAnsi="Times New Roman" w:cs="Times New Roman"/>
          <w:vertAlign w:val="superscript"/>
          <w:lang w:val="sr-Latn-ME" w:eastAsia="sr-Latn-ME"/>
        </w:rPr>
        <w:t>®</w:t>
      </w:r>
      <w:r w:rsidRPr="00271113">
        <w:rPr>
          <w:rFonts w:ascii="Times New Roman" w:eastAsia="Times New Roman" w:hAnsi="Times New Roman" w:cs="Times New Roman"/>
          <w:lang w:val="sr-Latn-ME" w:eastAsia="sr-Latn-ME"/>
        </w:rPr>
        <w:t>, prašak za rastvor za injekciju/infuziju, l g, bočica, staklena, 10 x 1 g:</w:t>
      </w:r>
      <w:r w:rsidR="00E0027F" w:rsidRPr="00E0027F">
        <w:t xml:space="preserve"> </w:t>
      </w:r>
      <w:r w:rsidR="00E0027F" w:rsidRPr="00E0027F">
        <w:rPr>
          <w:rFonts w:ascii="Times New Roman" w:eastAsia="Times New Roman" w:hAnsi="Times New Roman" w:cs="Times New Roman"/>
          <w:lang w:val="sr-Latn-ME" w:eastAsia="sr-Latn-ME"/>
        </w:rPr>
        <w:t>2030/19/424 - 5841</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FD374A" w:rsidRPr="00271113" w:rsidRDefault="00FD374A"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
          <w:bCs/>
          <w:lang w:val="sr-Latn-ME"/>
        </w:rPr>
      </w:pPr>
      <w:r w:rsidRPr="00271113">
        <w:rPr>
          <w:rFonts w:ascii="Times New Roman" w:eastAsia="Times New Roman" w:hAnsi="Times New Roman" w:cs="Times New Roman"/>
          <w:b/>
          <w:bCs/>
          <w:lang w:val="sr-Latn-ME"/>
        </w:rPr>
        <w:t xml:space="preserve">9. </w:t>
      </w:r>
      <w:r w:rsidRPr="00271113">
        <w:rPr>
          <w:rFonts w:ascii="Times New Roman" w:eastAsia="Times New Roman" w:hAnsi="Times New Roman" w:cs="Times New Roman"/>
          <w:b/>
          <w:bCs/>
          <w:lang w:val="sr-Latn-ME"/>
        </w:rPr>
        <w:tab/>
        <w:t>DATUM PRVE DOZVOLE/OBNOVE DOZVOLE ZA STAVLJANJE LIJEKA U PROMET</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lang w:val="sr-Latn-ME" w:eastAsia="sr-Latn-ME"/>
        </w:rPr>
        <w:t>Cefazolin Sandoz</w:t>
      </w:r>
      <w:r w:rsidRPr="00271113">
        <w:rPr>
          <w:rFonts w:ascii="Times New Roman" w:eastAsia="Times New Roman" w:hAnsi="Times New Roman" w:cs="Times New Roman"/>
          <w:vertAlign w:val="superscript"/>
          <w:lang w:val="sr-Latn-ME" w:eastAsia="sr-Latn-ME"/>
        </w:rPr>
        <w:t>®</w:t>
      </w:r>
      <w:r w:rsidRPr="00271113">
        <w:rPr>
          <w:rFonts w:ascii="Times New Roman" w:eastAsia="Times New Roman" w:hAnsi="Times New Roman" w:cs="Times New Roman"/>
          <w:lang w:val="sr-Latn-ME" w:eastAsia="sr-Latn-ME"/>
        </w:rPr>
        <w:t>, prašak za rastvor za injekciju/infuziju, l g, bočica, staklena, 10 x 1 g:</w:t>
      </w:r>
      <w:r w:rsidR="00E0027F" w:rsidRPr="00E0027F">
        <w:t xml:space="preserve"> </w:t>
      </w:r>
      <w:r w:rsidR="00E0027F" w:rsidRPr="00E0027F">
        <w:rPr>
          <w:rFonts w:ascii="Times New Roman" w:eastAsia="Times New Roman" w:hAnsi="Times New Roman" w:cs="Times New Roman"/>
          <w:lang w:val="sr-Latn-ME" w:eastAsia="sr-Latn-ME"/>
        </w:rPr>
        <w:t>17.09.2019. godine</w:t>
      </w:r>
    </w:p>
    <w:p w:rsid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FD374A" w:rsidRPr="00271113" w:rsidRDefault="00FD374A"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r w:rsidRPr="00271113">
        <w:rPr>
          <w:rFonts w:ascii="Times New Roman" w:eastAsia="Times New Roman" w:hAnsi="Times New Roman" w:cs="Times New Roman"/>
          <w:b/>
          <w:bCs/>
          <w:lang w:val="sr-Latn-ME"/>
        </w:rPr>
        <w:t xml:space="preserve">10. </w:t>
      </w:r>
      <w:r w:rsidRPr="00271113">
        <w:rPr>
          <w:rFonts w:ascii="Times New Roman" w:eastAsia="Times New Roman" w:hAnsi="Times New Roman" w:cs="Times New Roman"/>
          <w:b/>
          <w:bCs/>
          <w:lang w:val="sr-Latn-ME"/>
        </w:rPr>
        <w:tab/>
        <w:t xml:space="preserve">DATUM REVIZIJE TEKSTA </w:t>
      </w:r>
    </w:p>
    <w:p w:rsidR="00271113" w:rsidRPr="00271113" w:rsidRDefault="00271113" w:rsidP="00271113">
      <w:pPr>
        <w:tabs>
          <w:tab w:val="left" w:pos="540"/>
          <w:tab w:val="left" w:pos="569"/>
        </w:tabs>
        <w:spacing w:after="0" w:line="240" w:lineRule="auto"/>
        <w:jc w:val="both"/>
        <w:rPr>
          <w:rFonts w:ascii="Times New Roman" w:eastAsia="Times New Roman" w:hAnsi="Times New Roman" w:cs="Times New Roman"/>
          <w:bCs/>
          <w:lang w:val="sr-Latn-ME"/>
        </w:rPr>
      </w:pPr>
    </w:p>
    <w:p w:rsidR="00271113" w:rsidRPr="00271113" w:rsidRDefault="00FD374A" w:rsidP="00271113">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Septembar, 2019. godine</w:t>
      </w:r>
    </w:p>
    <w:p w:rsidR="00DA1FB0" w:rsidRPr="00271113" w:rsidRDefault="00DA1FB0" w:rsidP="00271113">
      <w:pPr>
        <w:spacing w:after="0" w:line="240" w:lineRule="auto"/>
        <w:jc w:val="both"/>
        <w:rPr>
          <w:rFonts w:ascii="Times New Roman" w:hAnsi="Times New Roman" w:cs="Times New Roman"/>
          <w:lang w:val="sr-Latn-ME"/>
        </w:rPr>
      </w:pPr>
    </w:p>
    <w:sectPr w:rsidR="00DA1FB0" w:rsidRPr="00271113"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FC" w:rsidRDefault="00C53BFC" w:rsidP="00FF2B5A">
      <w:pPr>
        <w:spacing w:after="0" w:line="240" w:lineRule="auto"/>
      </w:pPr>
      <w:r>
        <w:separator/>
      </w:r>
    </w:p>
  </w:endnote>
  <w:endnote w:type="continuationSeparator" w:id="0">
    <w:p w:rsidR="00C53BFC" w:rsidRDefault="00C53BF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5" w:rsidRPr="00F1527C" w:rsidRDefault="009A27D5"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9A27D5" w:rsidRPr="00F1527C" w:rsidRDefault="009A27D5"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9A27D5" w:rsidRPr="00F1527C" w:rsidRDefault="009A27D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9A27D5" w:rsidRPr="00F1527C" w:rsidRDefault="009A27D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A27D5" w:rsidRPr="00F1527C" w:rsidRDefault="009A27D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A27D5" w:rsidRPr="009318B4" w:rsidRDefault="009A27D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E7A19">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E7A19">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5" w:rsidRPr="00F1527C" w:rsidRDefault="009A27D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9A27D5" w:rsidRPr="00F1527C" w:rsidRDefault="009A27D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9A27D5" w:rsidRPr="00F1527C" w:rsidRDefault="009A27D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9A27D5" w:rsidRPr="00F1527C" w:rsidRDefault="009A27D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A27D5" w:rsidRPr="00F1527C" w:rsidRDefault="009A27D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9A27D5" w:rsidRPr="009318B4" w:rsidRDefault="009A27D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FC" w:rsidRDefault="00C53BFC" w:rsidP="00FF2B5A">
      <w:pPr>
        <w:spacing w:after="0" w:line="240" w:lineRule="auto"/>
      </w:pPr>
      <w:r>
        <w:separator/>
      </w:r>
    </w:p>
  </w:footnote>
  <w:footnote w:type="continuationSeparator" w:id="0">
    <w:p w:rsidR="00C53BFC" w:rsidRDefault="00C53BF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5" w:rsidRDefault="009A27D5" w:rsidP="009318B4">
    <w:pPr>
      <w:pStyle w:val="Header"/>
      <w:rPr>
        <w:sz w:val="16"/>
        <w:szCs w:val="16"/>
      </w:rPr>
    </w:pPr>
  </w:p>
  <w:p w:rsidR="009A27D5" w:rsidRDefault="009A27D5" w:rsidP="00271113">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A27D5" w:rsidRPr="00271113" w:rsidRDefault="009A27D5" w:rsidP="00271113">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5" w:rsidRDefault="009A27D5" w:rsidP="009318B4">
    <w:pPr>
      <w:pStyle w:val="Header"/>
      <w:rPr>
        <w:sz w:val="16"/>
        <w:szCs w:val="16"/>
      </w:rPr>
    </w:pPr>
  </w:p>
  <w:p w:rsidR="009A27D5" w:rsidRDefault="009A27D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A27D5" w:rsidRDefault="009A2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7C89"/>
    <w:multiLevelType w:val="hybridMultilevel"/>
    <w:tmpl w:val="F3441EB0"/>
    <w:lvl w:ilvl="0" w:tplc="A9DC0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B1EF7"/>
    <w:multiLevelType w:val="hybridMultilevel"/>
    <w:tmpl w:val="360608E2"/>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C624B9"/>
    <w:multiLevelType w:val="hybridMultilevel"/>
    <w:tmpl w:val="0ED2018E"/>
    <w:lvl w:ilvl="0" w:tplc="7AF21A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5" w15:restartNumberingAfterBreak="0">
    <w:nsid w:val="202200ED"/>
    <w:multiLevelType w:val="hybridMultilevel"/>
    <w:tmpl w:val="AB567DEE"/>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C30F7"/>
    <w:multiLevelType w:val="hybridMultilevel"/>
    <w:tmpl w:val="7C60CC16"/>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359C5"/>
    <w:multiLevelType w:val="hybridMultilevel"/>
    <w:tmpl w:val="76867A44"/>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937BC"/>
    <w:multiLevelType w:val="hybridMultilevel"/>
    <w:tmpl w:val="FEC8FD3E"/>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5F178B6"/>
    <w:multiLevelType w:val="hybridMultilevel"/>
    <w:tmpl w:val="BC8E2866"/>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852581"/>
    <w:multiLevelType w:val="hybridMultilevel"/>
    <w:tmpl w:val="DCC6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7C41A4"/>
    <w:multiLevelType w:val="hybridMultilevel"/>
    <w:tmpl w:val="00924E10"/>
    <w:lvl w:ilvl="0" w:tplc="DBE0C81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1233E"/>
    <w:multiLevelType w:val="hybridMultilevel"/>
    <w:tmpl w:val="8422AF26"/>
    <w:lvl w:ilvl="0" w:tplc="A9DC0C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D717C"/>
    <w:multiLevelType w:val="hybridMultilevel"/>
    <w:tmpl w:val="6A386900"/>
    <w:lvl w:ilvl="0" w:tplc="2544F2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
  </w:num>
  <w:num w:numId="4">
    <w:abstractNumId w:val="16"/>
  </w:num>
  <w:num w:numId="5">
    <w:abstractNumId w:val="8"/>
  </w:num>
  <w:num w:numId="6">
    <w:abstractNumId w:val="3"/>
  </w:num>
  <w:num w:numId="7">
    <w:abstractNumId w:val="15"/>
  </w:num>
  <w:num w:numId="8">
    <w:abstractNumId w:val="7"/>
  </w:num>
  <w:num w:numId="9">
    <w:abstractNumId w:val="13"/>
  </w:num>
  <w:num w:numId="10">
    <w:abstractNumId w:val="22"/>
  </w:num>
  <w:num w:numId="11">
    <w:abstractNumId w:val="9"/>
  </w:num>
  <w:num w:numId="12">
    <w:abstractNumId w:val="20"/>
  </w:num>
  <w:num w:numId="13">
    <w:abstractNumId w:val="17"/>
  </w:num>
  <w:num w:numId="14">
    <w:abstractNumId w:val="0"/>
  </w:num>
  <w:num w:numId="15">
    <w:abstractNumId w:val="21"/>
  </w:num>
  <w:num w:numId="16">
    <w:abstractNumId w:val="4"/>
  </w:num>
  <w:num w:numId="17">
    <w:abstractNumId w:val="5"/>
  </w:num>
  <w:num w:numId="18">
    <w:abstractNumId w:val="11"/>
  </w:num>
  <w:num w:numId="19">
    <w:abstractNumId w:val="12"/>
  </w:num>
  <w:num w:numId="20">
    <w:abstractNumId w:val="1"/>
  </w:num>
  <w:num w:numId="21">
    <w:abstractNumId w:val="10"/>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71113"/>
    <w:rsid w:val="002B336F"/>
    <w:rsid w:val="0031146A"/>
    <w:rsid w:val="00461135"/>
    <w:rsid w:val="004933DC"/>
    <w:rsid w:val="005152BA"/>
    <w:rsid w:val="005C4A0F"/>
    <w:rsid w:val="005E3E4A"/>
    <w:rsid w:val="00747C4B"/>
    <w:rsid w:val="007E7A19"/>
    <w:rsid w:val="00805838"/>
    <w:rsid w:val="00883AF2"/>
    <w:rsid w:val="009318B4"/>
    <w:rsid w:val="00934541"/>
    <w:rsid w:val="009A27D5"/>
    <w:rsid w:val="00A06058"/>
    <w:rsid w:val="00AD65B0"/>
    <w:rsid w:val="00AF30B1"/>
    <w:rsid w:val="00B234CE"/>
    <w:rsid w:val="00B34AF2"/>
    <w:rsid w:val="00C4240B"/>
    <w:rsid w:val="00C53BFC"/>
    <w:rsid w:val="00C606D3"/>
    <w:rsid w:val="00D45AFE"/>
    <w:rsid w:val="00DA1FB0"/>
    <w:rsid w:val="00E0027F"/>
    <w:rsid w:val="00E0627A"/>
    <w:rsid w:val="00EB2A93"/>
    <w:rsid w:val="00F1527C"/>
    <w:rsid w:val="00F47A5D"/>
    <w:rsid w:val="00FD374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71113"/>
    <w:pPr>
      <w:keepNext/>
      <w:tabs>
        <w:tab w:val="left" w:pos="284"/>
      </w:tabs>
      <w:spacing w:after="0" w:line="240" w:lineRule="auto"/>
      <w:jc w:val="center"/>
      <w:outlineLvl w:val="1"/>
    </w:pPr>
    <w:rPr>
      <w:rFonts w:ascii="Arial" w:eastAsia="Times New Roman" w:hAnsi="Arial" w:cs="Arial"/>
      <w:i/>
      <w:iCs/>
      <w:color w:val="999999"/>
      <w:sz w:val="18"/>
      <w:szCs w:val="24"/>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71113"/>
    <w:rPr>
      <w:rFonts w:ascii="Arial" w:eastAsia="Times New Roman" w:hAnsi="Arial" w:cs="Arial"/>
      <w:i/>
      <w:iCs/>
      <w:color w:val="999999"/>
      <w:sz w:val="18"/>
      <w:szCs w:val="24"/>
      <w:lang w:val="sr-Latn-RS"/>
    </w:rPr>
  </w:style>
  <w:style w:type="numbering" w:customStyle="1" w:styleId="NoList1">
    <w:name w:val="No List1"/>
    <w:next w:val="NoList"/>
    <w:uiPriority w:val="99"/>
    <w:semiHidden/>
    <w:unhideWhenUsed/>
    <w:rsid w:val="00271113"/>
  </w:style>
  <w:style w:type="character" w:styleId="PageNumber">
    <w:name w:val="page number"/>
    <w:basedOn w:val="DefaultParagraphFont"/>
    <w:rsid w:val="00271113"/>
  </w:style>
  <w:style w:type="numbering" w:styleId="111111">
    <w:name w:val="Outline List 2"/>
    <w:basedOn w:val="NoList"/>
    <w:rsid w:val="00271113"/>
    <w:pPr>
      <w:numPr>
        <w:numId w:val="3"/>
      </w:numPr>
    </w:pPr>
  </w:style>
  <w:style w:type="character" w:styleId="CommentReference">
    <w:name w:val="annotation reference"/>
    <w:semiHidden/>
    <w:rsid w:val="00271113"/>
    <w:rPr>
      <w:sz w:val="16"/>
      <w:szCs w:val="16"/>
    </w:rPr>
  </w:style>
  <w:style w:type="paragraph" w:styleId="CommentText">
    <w:name w:val="annotation text"/>
    <w:basedOn w:val="Normal"/>
    <w:link w:val="CommentTextChar"/>
    <w:semiHidden/>
    <w:rsid w:val="00271113"/>
    <w:pPr>
      <w:spacing w:after="0" w:line="240" w:lineRule="auto"/>
    </w:pPr>
    <w:rPr>
      <w:rFonts w:ascii="Times New Roman" w:eastAsia="Times New Roman" w:hAnsi="Times New Roman" w:cs="Times New Roman"/>
      <w:sz w:val="20"/>
      <w:szCs w:val="20"/>
      <w:lang w:val="sr-Latn-RS"/>
    </w:rPr>
  </w:style>
  <w:style w:type="character" w:customStyle="1" w:styleId="CommentTextChar">
    <w:name w:val="Comment Text Char"/>
    <w:basedOn w:val="DefaultParagraphFont"/>
    <w:link w:val="CommentText"/>
    <w:semiHidden/>
    <w:rsid w:val="00271113"/>
    <w:rPr>
      <w:rFonts w:ascii="Times New Roman" w:eastAsia="Times New Roman" w:hAnsi="Times New Roman" w:cs="Times New Roman"/>
      <w:sz w:val="20"/>
      <w:szCs w:val="20"/>
      <w:lang w:val="sr-Latn-RS"/>
    </w:rPr>
  </w:style>
  <w:style w:type="paragraph" w:styleId="CommentSubject">
    <w:name w:val="annotation subject"/>
    <w:basedOn w:val="CommentText"/>
    <w:next w:val="CommentText"/>
    <w:link w:val="CommentSubjectChar"/>
    <w:semiHidden/>
    <w:rsid w:val="00271113"/>
    <w:rPr>
      <w:b/>
      <w:bCs/>
    </w:rPr>
  </w:style>
  <w:style w:type="character" w:customStyle="1" w:styleId="CommentSubjectChar">
    <w:name w:val="Comment Subject Char"/>
    <w:basedOn w:val="CommentTextChar"/>
    <w:link w:val="CommentSubject"/>
    <w:semiHidden/>
    <w:rsid w:val="00271113"/>
    <w:rPr>
      <w:rFonts w:ascii="Times New Roman" w:eastAsia="Times New Roman" w:hAnsi="Times New Roman" w:cs="Times New Roman"/>
      <w:b/>
      <w:bCs/>
      <w:sz w:val="20"/>
      <w:szCs w:val="20"/>
      <w:lang w:val="sr-Latn-RS"/>
    </w:rPr>
  </w:style>
  <w:style w:type="paragraph" w:styleId="BalloonText">
    <w:name w:val="Balloon Text"/>
    <w:basedOn w:val="Normal"/>
    <w:link w:val="BalloonTextChar"/>
    <w:semiHidden/>
    <w:rsid w:val="00271113"/>
    <w:pPr>
      <w:spacing w:after="0" w:line="240" w:lineRule="auto"/>
    </w:pPr>
    <w:rPr>
      <w:rFonts w:ascii="Tahoma" w:eastAsia="Times New Roman" w:hAnsi="Tahoma" w:cs="Tahoma"/>
      <w:sz w:val="16"/>
      <w:szCs w:val="16"/>
      <w:lang w:val="sr-Latn-RS"/>
    </w:rPr>
  </w:style>
  <w:style w:type="character" w:customStyle="1" w:styleId="BalloonTextChar">
    <w:name w:val="Balloon Text Char"/>
    <w:basedOn w:val="DefaultParagraphFont"/>
    <w:link w:val="BalloonText"/>
    <w:semiHidden/>
    <w:rsid w:val="00271113"/>
    <w:rPr>
      <w:rFonts w:ascii="Tahoma" w:eastAsia="Times New Roman" w:hAnsi="Tahoma" w:cs="Tahoma"/>
      <w:sz w:val="16"/>
      <w:szCs w:val="16"/>
      <w:lang w:val="sr-Latn-RS"/>
    </w:rPr>
  </w:style>
  <w:style w:type="paragraph" w:styleId="NoSpacing">
    <w:name w:val="No Spacing"/>
    <w:uiPriority w:val="1"/>
    <w:qFormat/>
    <w:rsid w:val="002711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1113"/>
    <w:pPr>
      <w:spacing w:after="0" w:line="240" w:lineRule="auto"/>
      <w:ind w:left="720"/>
      <w:contextualSpacing/>
    </w:pPr>
    <w:rPr>
      <w:rFonts w:ascii="Times New Roman" w:eastAsia="Times New Roman" w:hAnsi="Times New Roman" w:cs="Times New Roman"/>
      <w:sz w:val="24"/>
      <w:szCs w:val="24"/>
      <w:lang w:val="sr-Latn-RS"/>
    </w:rPr>
  </w:style>
  <w:style w:type="table" w:customStyle="1" w:styleId="TableGrid2">
    <w:name w:val="Table Grid2"/>
    <w:basedOn w:val="TableNormal"/>
    <w:next w:val="TableGrid"/>
    <w:rsid w:val="002711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38D9-B782-41B4-BF9A-E6235D9E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4529</Words>
  <Characters>25819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16</cp:revision>
  <dcterms:created xsi:type="dcterms:W3CDTF">2017-06-23T09:30:00Z</dcterms:created>
  <dcterms:modified xsi:type="dcterms:W3CDTF">2019-09-17T05:57:00Z</dcterms:modified>
</cp:coreProperties>
</file>