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021D48">
      <w:pPr>
        <w:spacing w:after="0" w:line="240" w:lineRule="auto"/>
        <w:jc w:val="center"/>
        <w:rPr>
          <w:rFonts w:ascii="Times New Roman" w:eastAsia="Times New Roman" w:hAnsi="Times New Roman" w:cs="Times New Roman"/>
          <w:lang w:val="sr-Latn-ME"/>
        </w:rPr>
      </w:pPr>
    </w:p>
    <w:p w:rsidR="001A5CB6" w:rsidRPr="001A5CB6" w:rsidRDefault="001A5CB6" w:rsidP="00021D48">
      <w:pPr>
        <w:spacing w:after="0" w:line="240" w:lineRule="auto"/>
        <w:jc w:val="center"/>
        <w:rPr>
          <w:rFonts w:ascii="Times New Roman" w:eastAsia="Times New Roman" w:hAnsi="Times New Roman" w:cs="Times New Roman"/>
          <w:lang w:val="sr-Latn-ME"/>
        </w:rPr>
      </w:pPr>
      <w:r w:rsidRPr="001A5CB6">
        <w:rPr>
          <w:rFonts w:ascii="Times New Roman" w:eastAsia="Times New Roman" w:hAnsi="Times New Roman" w:cs="Times New Roman"/>
          <w:b/>
          <w:bCs/>
          <w:iCs/>
          <w:u w:val="single"/>
          <w:lang w:val="sr-Latn-ME"/>
        </w:rPr>
        <w:t>UPUTSTVO ZA LIJEK</w:t>
      </w:r>
    </w:p>
    <w:p w:rsidR="001A5CB6" w:rsidRPr="001A5CB6" w:rsidRDefault="001A5CB6" w:rsidP="00021D48">
      <w:pPr>
        <w:spacing w:after="0" w:line="240" w:lineRule="auto"/>
        <w:jc w:val="center"/>
        <w:rPr>
          <w:rFonts w:ascii="Times New Roman" w:eastAsia="Times New Roman" w:hAnsi="Times New Roman" w:cs="Times New Roman"/>
          <w:i/>
          <w:color w:val="808080"/>
          <w:lang w:val="sr-Latn-ME"/>
        </w:rPr>
      </w:pPr>
    </w:p>
    <w:p w:rsidR="001A5CB6" w:rsidRPr="001A5CB6" w:rsidRDefault="001A5CB6" w:rsidP="00021D48">
      <w:pPr>
        <w:autoSpaceDE w:val="0"/>
        <w:autoSpaceDN w:val="0"/>
        <w:adjustRightInd w:val="0"/>
        <w:spacing w:after="0" w:line="240" w:lineRule="auto"/>
        <w:jc w:val="center"/>
        <w:rPr>
          <w:rFonts w:ascii="Times New Roman" w:eastAsia="Times New Roman" w:hAnsi="Times New Roman" w:cs="Times New Roman"/>
          <w:b/>
          <w:lang w:val="sr-Latn-ME" w:eastAsia="sr-Latn-ME"/>
        </w:rPr>
      </w:pPr>
      <w:r w:rsidRPr="001A5CB6">
        <w:rPr>
          <w:rFonts w:ascii="Times New Roman" w:eastAsia="Times New Roman" w:hAnsi="Times New Roman" w:cs="Times New Roman"/>
          <w:b/>
          <w:lang w:val="sr-Latn-ME" w:eastAsia="sr-Latn-ME"/>
        </w:rPr>
        <w:t>Cefazolin Sandoz</w:t>
      </w:r>
      <w:r w:rsidRPr="001A5CB6">
        <w:rPr>
          <w:rFonts w:ascii="Times New Roman" w:eastAsia="Times New Roman" w:hAnsi="Times New Roman" w:cs="Times New Roman"/>
          <w:b/>
          <w:vertAlign w:val="superscript"/>
          <w:lang w:val="sr-Latn-ME" w:eastAsia="sr-Latn-ME"/>
        </w:rPr>
        <w:t>®</w:t>
      </w:r>
      <w:r w:rsidRPr="001A5CB6">
        <w:rPr>
          <w:rFonts w:ascii="Times New Roman" w:eastAsia="Times New Roman" w:hAnsi="Times New Roman" w:cs="Times New Roman"/>
          <w:b/>
          <w:lang w:val="sr-Latn-ME" w:eastAsia="sr-Latn-ME"/>
        </w:rPr>
        <w:t>, l g, prašak za rastvor za injekciju/infuziju</w:t>
      </w:r>
    </w:p>
    <w:p w:rsidR="001A5CB6" w:rsidRPr="001A5CB6" w:rsidRDefault="001A5CB6" w:rsidP="00021D48">
      <w:pPr>
        <w:spacing w:after="0" w:line="240" w:lineRule="auto"/>
        <w:jc w:val="center"/>
        <w:rPr>
          <w:rFonts w:ascii="Times New Roman" w:eastAsia="Times New Roman" w:hAnsi="Times New Roman" w:cs="Times New Roman"/>
          <w:lang w:val="sr-Latn-ME"/>
        </w:rPr>
      </w:pPr>
      <w:r w:rsidRPr="001A5CB6">
        <w:rPr>
          <w:rFonts w:ascii="Times New Roman" w:eastAsia="Times New Roman" w:hAnsi="Times New Roman" w:cs="Times New Roman"/>
          <w:lang w:val="sr-Latn-ME" w:eastAsia="sr-Latn-ME"/>
        </w:rPr>
        <w:t>cefazolin</w:t>
      </w:r>
    </w:p>
    <w:p w:rsidR="001A5CB6" w:rsidRPr="001A5CB6" w:rsidRDefault="001A5CB6" w:rsidP="001A5CB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284"/>
          <w:tab w:val="center" w:pos="4320"/>
          <w:tab w:val="right" w:pos="8640"/>
        </w:tabs>
        <w:spacing w:after="0" w:line="240" w:lineRule="auto"/>
        <w:jc w:val="both"/>
        <w:rPr>
          <w:rFonts w:ascii="Times New Roman" w:eastAsia="Times New Roman" w:hAnsi="Times New Roman" w:cs="Times New Roman"/>
          <w:i/>
          <w:iCs/>
          <w:lang w:val="sr-Latn-ME"/>
        </w:rPr>
      </w:pPr>
    </w:p>
    <w:p w:rsidR="001A5CB6" w:rsidRPr="001A5CB6" w:rsidRDefault="001A5CB6" w:rsidP="001A5CB6">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Pažljivo pročitajte ovo uputstvo, prije nego što počnete da koristite ovaj lijek,</w:t>
      </w:r>
      <w:r w:rsidRPr="001A5CB6">
        <w:rPr>
          <w:rFonts w:ascii="Times New Roman" w:eastAsia="Times New Roman" w:hAnsi="Times New Roman" w:cs="Times New Roman"/>
          <w:lang w:val="sr-Latn-ME"/>
        </w:rPr>
        <w:t xml:space="preserve"> </w:t>
      </w:r>
      <w:r w:rsidRPr="001A5CB6">
        <w:rPr>
          <w:rFonts w:ascii="Times New Roman" w:eastAsia="Times New Roman" w:hAnsi="Times New Roman" w:cs="Times New Roman"/>
          <w:b/>
          <w:bCs/>
          <w:lang w:val="sr-Latn-ME"/>
        </w:rPr>
        <w:t xml:space="preserve">jer sadrži </w:t>
      </w:r>
    </w:p>
    <w:p w:rsidR="001A5CB6" w:rsidRPr="001A5CB6" w:rsidRDefault="001A5CB6" w:rsidP="001A5CB6">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informacije koje su važne za Vas</w:t>
      </w:r>
    </w:p>
    <w:p w:rsidR="001A5CB6" w:rsidRPr="001A5CB6" w:rsidRDefault="001A5CB6" w:rsidP="001A5CB6">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Uputstvo sačuvajte. Može biti potrebno da ga ponovo pročitate.</w:t>
      </w:r>
    </w:p>
    <w:p w:rsidR="001A5CB6" w:rsidRPr="001A5CB6" w:rsidRDefault="001A5CB6" w:rsidP="001A5CB6">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Ako imate dodatnih pitanja, obratite se svom ljekaru ili farmaceutu </w:t>
      </w:r>
      <w:r w:rsidRPr="001A5CB6">
        <w:rPr>
          <w:rFonts w:ascii="Times New Roman" w:eastAsia="Times New Roman" w:hAnsi="Times New Roman" w:cs="Times New Roman"/>
          <w:noProof/>
          <w:lang w:val="sr-Latn-ME"/>
        </w:rPr>
        <w:t>ili medicinskoj sestri</w:t>
      </w:r>
      <w:r w:rsidRPr="001A5CB6">
        <w:rPr>
          <w:rFonts w:ascii="Times New Roman" w:eastAsia="Times New Roman" w:hAnsi="Times New Roman" w:cs="Times New Roman"/>
          <w:lang w:val="sr-Latn-ME"/>
        </w:rPr>
        <w:t xml:space="preserve">. </w:t>
      </w:r>
    </w:p>
    <w:p w:rsidR="001A5CB6" w:rsidRPr="001A5CB6" w:rsidRDefault="001A5CB6" w:rsidP="001A5CB6">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Ovaj lijek propisan je Vama i ne smijete ga davati drugima. Može da im škodi, čak i kada imaju iste znake bolesti kao i Vi.</w:t>
      </w:r>
    </w:p>
    <w:p w:rsidR="001A5CB6" w:rsidRPr="001A5CB6" w:rsidRDefault="001A5CB6" w:rsidP="001A5CB6">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1A5CB6">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1A5CB6">
        <w:rPr>
          <w:rFonts w:ascii="Times New Roman" w:eastAsia="Times New Roman" w:hAnsi="Times New Roman" w:cs="Times New Roman"/>
          <w:spacing w:val="-4"/>
          <w:lang w:val="sr-Latn-ME"/>
        </w:rPr>
        <w:t xml:space="preserve">. Pogledajte dio 4. </w:t>
      </w:r>
    </w:p>
    <w:p w:rsidR="001A5CB6" w:rsidRPr="001A5CB6" w:rsidRDefault="001A5CB6" w:rsidP="001A5CB6">
      <w:pPr>
        <w:widowControl w:val="0"/>
        <w:autoSpaceDE w:val="0"/>
        <w:autoSpaceDN w:val="0"/>
        <w:spacing w:after="0" w:line="240" w:lineRule="auto"/>
        <w:ind w:left="600"/>
        <w:jc w:val="both"/>
        <w:rPr>
          <w:rFonts w:ascii="Times New Roman" w:eastAsia="Times New Roman" w:hAnsi="Times New Roman" w:cs="Times New Roman"/>
          <w:lang w:val="sr-Latn-ME"/>
        </w:rPr>
      </w:pPr>
    </w:p>
    <w:p w:rsidR="001A5CB6" w:rsidRPr="001A5CB6" w:rsidRDefault="001A5CB6" w:rsidP="001A5CB6">
      <w:pPr>
        <w:widowControl w:val="0"/>
        <w:autoSpaceDE w:val="0"/>
        <w:autoSpaceDN w:val="0"/>
        <w:spacing w:after="0" w:line="240" w:lineRule="auto"/>
        <w:jc w:val="both"/>
        <w:rPr>
          <w:rFonts w:ascii="Times New Roman" w:eastAsia="Times New Roman" w:hAnsi="Times New Roman" w:cs="Times New Roman"/>
          <w:i/>
          <w:iCs/>
          <w:lang w:val="sr-Latn-ME"/>
        </w:rPr>
      </w:pPr>
    </w:p>
    <w:p w:rsidR="001A5CB6" w:rsidRPr="001A5CB6" w:rsidRDefault="001A5CB6" w:rsidP="001A5CB6">
      <w:pPr>
        <w:widowControl w:val="0"/>
        <w:autoSpaceDE w:val="0"/>
        <w:autoSpaceDN w:val="0"/>
        <w:spacing w:after="0" w:line="240" w:lineRule="auto"/>
        <w:jc w:val="both"/>
        <w:rPr>
          <w:rFonts w:ascii="Times New Roman" w:eastAsia="Times New Roman" w:hAnsi="Times New Roman" w:cs="Times New Roman"/>
          <w:lang w:val="sr-Latn-ME"/>
        </w:rPr>
      </w:pPr>
    </w:p>
    <w:p w:rsidR="001A5CB6" w:rsidRPr="001A5CB6" w:rsidRDefault="001A5CB6" w:rsidP="001A5CB6">
      <w:pPr>
        <w:widowControl w:val="0"/>
        <w:autoSpaceDE w:val="0"/>
        <w:autoSpaceDN w:val="0"/>
        <w:spacing w:after="0" w:line="240" w:lineRule="auto"/>
        <w:ind w:left="600"/>
        <w:jc w:val="both"/>
        <w:rPr>
          <w:rFonts w:ascii="Times New Roman" w:eastAsia="Times New Roman" w:hAnsi="Times New Roman" w:cs="Times New Roman"/>
          <w:lang w:val="sr-Latn-ME"/>
        </w:rPr>
      </w:pPr>
    </w:p>
    <w:p w:rsidR="001A5CB6" w:rsidRPr="001A5CB6" w:rsidRDefault="001A5CB6" w:rsidP="001A5CB6">
      <w:pPr>
        <w:widowControl w:val="0"/>
        <w:autoSpaceDE w:val="0"/>
        <w:autoSpaceDN w:val="0"/>
        <w:spacing w:after="0" w:line="240" w:lineRule="auto"/>
        <w:ind w:left="600"/>
        <w:jc w:val="both"/>
        <w:rPr>
          <w:rFonts w:ascii="Times New Roman" w:eastAsia="Times New Roman" w:hAnsi="Times New Roman" w:cs="Times New Roman"/>
          <w:lang w:val="sr-Latn-ME"/>
        </w:rPr>
      </w:pPr>
    </w:p>
    <w:p w:rsidR="001A5CB6" w:rsidRPr="001A5CB6" w:rsidRDefault="001A5CB6" w:rsidP="001A5CB6">
      <w:pPr>
        <w:widowControl w:val="0"/>
        <w:autoSpaceDE w:val="0"/>
        <w:autoSpaceDN w:val="0"/>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U ovom uputstvu pročitaćete:</w:t>
      </w:r>
    </w:p>
    <w:p w:rsidR="001A5CB6" w:rsidRPr="001A5CB6" w:rsidRDefault="001A5CB6" w:rsidP="001A5CB6">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Šta je lijek </w:t>
      </w:r>
      <w:r w:rsidRPr="001A5CB6">
        <w:rPr>
          <w:rFonts w:ascii="Times New Roman" w:eastAsia="Times New Roman" w:hAnsi="Times New Roman" w:cs="Times New Roman"/>
          <w:lang w:val="sr-Latn-ME" w:eastAsia="sr-Latn-ME"/>
        </w:rPr>
        <w:t>Cefazolin Sandoz</w:t>
      </w:r>
      <w:r w:rsidRPr="001A5CB6">
        <w:rPr>
          <w:rFonts w:ascii="Times New Roman" w:eastAsia="Times New Roman" w:hAnsi="Times New Roman" w:cs="Times New Roman"/>
          <w:lang w:val="sr-Latn-ME"/>
        </w:rPr>
        <w:t xml:space="preserve"> i čemu je namijenjen</w:t>
      </w:r>
    </w:p>
    <w:p w:rsidR="001A5CB6" w:rsidRPr="001A5CB6" w:rsidRDefault="001A5CB6" w:rsidP="001A5CB6">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Šta treba da znate prije nego što uzmete lijek </w:t>
      </w:r>
      <w:r w:rsidRPr="001A5CB6">
        <w:rPr>
          <w:rFonts w:ascii="Times New Roman" w:eastAsia="Times New Roman" w:hAnsi="Times New Roman" w:cs="Times New Roman"/>
          <w:lang w:val="sr-Latn-ME" w:eastAsia="sr-Latn-ME"/>
        </w:rPr>
        <w:t>Cefazolin Sandoz</w:t>
      </w:r>
    </w:p>
    <w:p w:rsidR="001A5CB6" w:rsidRPr="001A5CB6" w:rsidRDefault="001A5CB6" w:rsidP="001A5CB6">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Kako se upotrebljava lijek </w:t>
      </w:r>
      <w:r w:rsidRPr="001A5CB6">
        <w:rPr>
          <w:rFonts w:ascii="Times New Roman" w:eastAsia="Times New Roman" w:hAnsi="Times New Roman" w:cs="Times New Roman"/>
          <w:lang w:val="sr-Latn-ME" w:eastAsia="sr-Latn-ME"/>
        </w:rPr>
        <w:t>Cefazolin Sandoz</w:t>
      </w:r>
    </w:p>
    <w:p w:rsidR="001A5CB6" w:rsidRPr="001A5CB6" w:rsidRDefault="001A5CB6" w:rsidP="001A5CB6">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Moguća neželjena dejstva </w:t>
      </w:r>
    </w:p>
    <w:p w:rsidR="001A5CB6" w:rsidRPr="001A5CB6" w:rsidRDefault="001A5CB6" w:rsidP="001A5CB6">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Kako čuvati lijek </w:t>
      </w:r>
      <w:r w:rsidRPr="001A5CB6">
        <w:rPr>
          <w:rFonts w:ascii="Times New Roman" w:eastAsia="Times New Roman" w:hAnsi="Times New Roman" w:cs="Times New Roman"/>
          <w:lang w:val="sr-Latn-ME" w:eastAsia="sr-Latn-ME"/>
        </w:rPr>
        <w:t>Cefazolin Sandoz</w:t>
      </w:r>
    </w:p>
    <w:p w:rsidR="001A5CB6" w:rsidRPr="001A5CB6" w:rsidRDefault="001A5CB6" w:rsidP="001A5CB6">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lang w:val="sr-Latn-ME"/>
        </w:rPr>
        <w:t xml:space="preserve">Sadržaj pakovanja i dodatne informacije </w:t>
      </w:r>
    </w:p>
    <w:p w:rsidR="001A5CB6" w:rsidRPr="001A5CB6" w:rsidRDefault="001A5CB6" w:rsidP="001A5CB6">
      <w:pPr>
        <w:widowControl w:val="0"/>
        <w:autoSpaceDE w:val="0"/>
        <w:autoSpaceDN w:val="0"/>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br w:type="page"/>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lastRenderedPageBreak/>
        <w:t xml:space="preserve">1. </w:t>
      </w:r>
      <w:r w:rsidRPr="001A5CB6">
        <w:rPr>
          <w:rFonts w:ascii="Times New Roman" w:eastAsia="Times New Roman" w:hAnsi="Times New Roman" w:cs="Times New Roman"/>
          <w:b/>
          <w:bCs/>
          <w:lang w:val="sr-Latn-ME"/>
        </w:rPr>
        <w:tab/>
        <w:t xml:space="preserve">ŠTA JE LIJEK </w:t>
      </w:r>
      <w:r w:rsidRPr="001A5CB6">
        <w:rPr>
          <w:rFonts w:ascii="Times New Roman" w:eastAsia="Times New Roman" w:hAnsi="Times New Roman" w:cs="Times New Roman"/>
          <w:b/>
          <w:lang w:val="sr-Latn-ME" w:eastAsia="sr-Latn-ME"/>
        </w:rPr>
        <w:t>CEFAZOLIN SANDOZ</w:t>
      </w:r>
      <w:r w:rsidRPr="001A5CB6">
        <w:rPr>
          <w:rFonts w:ascii="Times New Roman" w:eastAsia="Times New Roman" w:hAnsi="Times New Roman" w:cs="Times New Roman"/>
          <w:b/>
          <w:bCs/>
          <w:lang w:val="sr-Latn-ME"/>
        </w:rPr>
        <w:t xml:space="preserve"> I ČEMU JE NAMIJENJEN</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Lijek Cefazolin Sandoz sadrži aktivnu supstancu cefazolin, antibiotik iz grupe poznate pod imenom cefalosporini (prva generacija). Koristi se za liječenje infekcija izazvanih osjetljivim mikroorganizmima, uključujući infekcije pluća, kože i mekih tkiva, kostiju i zglobova, urinarne i genitalne infekcije, infekcije srca, septikemije, kao i za prevenciju infekcija nakon određenih hirurških procedura.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Kao i ostali cefalosporini prve generacije, cefazolin je aktivan protiv velikog broja aerobnih Gram-pozitivnih koka, ali je njegova aktivnost mala kada su u pitanju Gram-negativne bakterije (stafilokoke rezistentne na meticilin su jednako rezistentne i na cefazolin, kao i mnogi sojevi enterokoka).</w:t>
      </w:r>
    </w:p>
    <w:p w:rsidR="001A5CB6" w:rsidRDefault="001A5CB6" w:rsidP="001A5CB6">
      <w:pPr>
        <w:spacing w:after="0" w:line="240" w:lineRule="auto"/>
        <w:jc w:val="both"/>
        <w:rPr>
          <w:rFonts w:ascii="Times New Roman" w:eastAsia="Times New Roman" w:hAnsi="Times New Roman" w:cs="Times New Roman"/>
          <w:lang w:val="sr-Latn-ME"/>
        </w:rPr>
      </w:pPr>
    </w:p>
    <w:p w:rsidR="00021D48" w:rsidRPr="001A5CB6" w:rsidRDefault="00021D48"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caps/>
          <w:lang w:val="sr-Latn-ME"/>
        </w:rPr>
      </w:pPr>
      <w:r w:rsidRPr="001A5CB6">
        <w:rPr>
          <w:rFonts w:ascii="Times New Roman" w:eastAsia="Times New Roman" w:hAnsi="Times New Roman" w:cs="Times New Roman"/>
          <w:b/>
          <w:bCs/>
          <w:lang w:val="sr-Latn-ME"/>
        </w:rPr>
        <w:t xml:space="preserve">2. </w:t>
      </w:r>
      <w:r w:rsidRPr="001A5CB6">
        <w:rPr>
          <w:rFonts w:ascii="Times New Roman" w:eastAsia="Times New Roman" w:hAnsi="Times New Roman" w:cs="Times New Roman"/>
          <w:b/>
          <w:bCs/>
          <w:lang w:val="sr-Latn-ME"/>
        </w:rPr>
        <w:tab/>
      </w:r>
      <w:r w:rsidRPr="001A5CB6">
        <w:rPr>
          <w:rFonts w:ascii="Times New Roman" w:eastAsia="Times New Roman" w:hAnsi="Times New Roman" w:cs="Times New Roman"/>
          <w:b/>
          <w:caps/>
          <w:lang w:val="sr-Latn-ME"/>
        </w:rPr>
        <w:t xml:space="preserve">Šta treba da znate prIJe nego što uzmete lIJek </w:t>
      </w:r>
      <w:r w:rsidRPr="001A5CB6">
        <w:rPr>
          <w:rFonts w:ascii="Times New Roman" w:eastAsia="Times New Roman" w:hAnsi="Times New Roman" w:cs="Times New Roman"/>
          <w:b/>
          <w:lang w:val="sr-Latn-ME" w:eastAsia="sr-Latn-ME"/>
        </w:rPr>
        <w:t>CEFAZOLIN SANDOZ</w:t>
      </w:r>
    </w:p>
    <w:p w:rsidR="001A5CB6" w:rsidRPr="001A5CB6" w:rsidRDefault="001A5CB6" w:rsidP="001A5CB6">
      <w:pPr>
        <w:widowControl w:val="0"/>
        <w:autoSpaceDE w:val="0"/>
        <w:autoSpaceDN w:val="0"/>
        <w:spacing w:after="0" w:line="240" w:lineRule="auto"/>
        <w:jc w:val="both"/>
        <w:rPr>
          <w:rFonts w:ascii="Times New Roman" w:eastAsia="Times New Roman" w:hAnsi="Times New Roman" w:cs="Times New Roman"/>
          <w:caps/>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 xml:space="preserve">Lijek </w:t>
      </w:r>
      <w:r w:rsidRPr="001A5CB6">
        <w:rPr>
          <w:rFonts w:ascii="Times New Roman" w:eastAsia="Times New Roman" w:hAnsi="Times New Roman" w:cs="Times New Roman"/>
          <w:b/>
          <w:lang w:val="sr-Latn-ME" w:eastAsia="sr-Latn-ME"/>
        </w:rPr>
        <w:t>Cefazolin Sandoz</w:t>
      </w:r>
      <w:r w:rsidRPr="001A5CB6">
        <w:rPr>
          <w:rFonts w:ascii="Times New Roman" w:eastAsia="Times New Roman" w:hAnsi="Times New Roman" w:cs="Times New Roman"/>
          <w:b/>
          <w:lang w:val="sr-Latn-ME"/>
        </w:rPr>
        <w:t xml:space="preserve"> ne smijete koristiti:</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numPr>
          <w:ilvl w:val="0"/>
          <w:numId w:val="3"/>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ako ste alergični (preosjetljivi) na aktivnu supstancu, kao i kod preosjetljivosti na druge cefalosporinske antibiotike, </w:t>
      </w:r>
    </w:p>
    <w:p w:rsidR="001A5CB6" w:rsidRPr="001A5CB6" w:rsidRDefault="001A5CB6" w:rsidP="001A5CB6">
      <w:pPr>
        <w:numPr>
          <w:ilvl w:val="0"/>
          <w:numId w:val="3"/>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u slučaju potvrđene alergije na penicilin sa teškim alergijskim reakcijama, kao što je anafilaksa (moguća je pojava unakrsne preosjetljivosti između cefazolina i drugih beta-laktamskih antibiotika),</w:t>
      </w:r>
    </w:p>
    <w:p w:rsidR="001A5CB6" w:rsidRPr="001A5CB6" w:rsidRDefault="001A5CB6" w:rsidP="001A5CB6">
      <w:pPr>
        <w:numPr>
          <w:ilvl w:val="0"/>
          <w:numId w:val="3"/>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kod novorođenčadi i odojčadi do mjesec dana starosti, </w:t>
      </w:r>
    </w:p>
    <w:p w:rsidR="001A5CB6" w:rsidRPr="001A5CB6" w:rsidRDefault="001A5CB6" w:rsidP="001A5CB6">
      <w:pPr>
        <w:numPr>
          <w:ilvl w:val="0"/>
          <w:numId w:val="3"/>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ukoliko imate porfiriju.</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Upozorenja i mjere opreza:</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Razgovarajte sa svojim ljekarom, farmaceutom ili medicinskom sestrom, prije nego što primite lijek Cefazolin Sandoz.</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rPr>
        <w:t xml:space="preserve">Upozorite ljekara </w:t>
      </w:r>
      <w:r w:rsidRPr="001A5CB6">
        <w:rPr>
          <w:rFonts w:ascii="Times New Roman" w:eastAsia="Times New Roman" w:hAnsi="Times New Roman" w:cs="Times New Roman"/>
          <w:lang w:val="sr-Latn-ME" w:eastAsia="sr-Latn-ME"/>
        </w:rPr>
        <w:t>ako uzimate druge ljekove, imate neku hroničnu bolest, neki poremećaj metabolizma, preosjetljivi ste na ljekove ili ste imali alergijske reakcije na neke od njih.</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numPr>
          <w:ilvl w:val="0"/>
          <w:numId w:val="12"/>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Primjena cefazolina nosi rizik od pojave reakcije preosjetljivosti, među kojima su i teške reakcije (npr. anafilaktički šok). Stoga se preporučuje odgovarajući alergološki pregled prije započinjanja terapije cefazolinom, kao i mjere opreza tokom terapije. Posebno je važno provjeriti da li postoje anamnestički podaci o preosjetljivosti na bilo koji beta-laktamski antibiotik zbog moguće pojave ukrštene alergije (5 do 10% između penicilina i cefalosporina). U slučaju da postoje takvi podaci, kao i podaci o alergijskim reakcijama na druge ljekove (posebno anafilaktičkim) ili drugim alergijskim poremećajima, cefazolin treba primijeniti sa posebnim oprezom. </w:t>
      </w:r>
    </w:p>
    <w:p w:rsidR="001A5CB6" w:rsidRPr="001A5CB6" w:rsidRDefault="001A5CB6" w:rsidP="001A5CB6">
      <w:pPr>
        <w:spacing w:after="0" w:line="240" w:lineRule="auto"/>
        <w:contextualSpacing/>
        <w:jc w:val="both"/>
        <w:rPr>
          <w:rFonts w:ascii="Times New Roman" w:eastAsia="Times New Roman" w:hAnsi="Times New Roman" w:cs="Times New Roman"/>
          <w:lang w:val="sr-Latn-ME"/>
        </w:rPr>
      </w:pPr>
    </w:p>
    <w:p w:rsidR="001A5CB6" w:rsidRPr="001A5CB6" w:rsidRDefault="001A5CB6" w:rsidP="001A5CB6">
      <w:pPr>
        <w:spacing w:after="0" w:line="240" w:lineRule="auto"/>
        <w:ind w:left="360"/>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Ne preporučuje se primjena cefazolina ukoliko je kod pacijenta zabilježen slučaj anafilaktičke reakcije na primjenu penicilina. </w:t>
      </w:r>
    </w:p>
    <w:p w:rsidR="001A5CB6" w:rsidRPr="001A5CB6" w:rsidRDefault="001A5CB6" w:rsidP="001A5CB6">
      <w:pPr>
        <w:spacing w:after="0" w:line="240" w:lineRule="auto"/>
        <w:ind w:left="360"/>
        <w:contextualSpacing/>
        <w:jc w:val="both"/>
        <w:rPr>
          <w:rFonts w:ascii="Times New Roman" w:eastAsia="Times New Roman" w:hAnsi="Times New Roman" w:cs="Times New Roman"/>
          <w:lang w:val="sr-Latn-ME"/>
        </w:rPr>
      </w:pPr>
    </w:p>
    <w:p w:rsidR="001A5CB6" w:rsidRPr="001A5CB6" w:rsidRDefault="001A5CB6" w:rsidP="001A5CB6">
      <w:pPr>
        <w:spacing w:after="0" w:line="240" w:lineRule="auto"/>
        <w:ind w:left="360"/>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U slučaju da dođe do teških alergijskih reakcija tokom primjene cefazolina, potrebno je odmah prekinuti primjenu lijeka i sprovesti odgovarajuće mjere (npr. dati adrenalin) jer je tada ugrožen život pacijenta. </w:t>
      </w:r>
    </w:p>
    <w:p w:rsidR="001A5CB6" w:rsidRPr="001A5CB6" w:rsidRDefault="001A5CB6" w:rsidP="001A5CB6">
      <w:pPr>
        <w:spacing w:after="0" w:line="240" w:lineRule="auto"/>
        <w:contextualSpacing/>
        <w:jc w:val="both"/>
        <w:rPr>
          <w:rFonts w:ascii="Times New Roman" w:eastAsia="Times New Roman" w:hAnsi="Times New Roman" w:cs="Times New Roman"/>
          <w:lang w:val="sr-Latn-ME"/>
        </w:rPr>
      </w:pPr>
    </w:p>
    <w:p w:rsidR="001A5CB6" w:rsidRPr="001A5CB6" w:rsidRDefault="001A5CB6" w:rsidP="001A5CB6">
      <w:pPr>
        <w:numPr>
          <w:ilvl w:val="0"/>
          <w:numId w:val="12"/>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lastRenderedPageBreak/>
        <w:t xml:space="preserve">Savjetuje se poseban oprez pri primjeni cefazolina kod pacijenata sa bronhijalnom astmom, urtikarijom, polenskom kijavicom ili kod onih koji imaju bilo kakvu vrstu alergije, jer kod ovih pacijenata postoji povećan rizik od teških reakcija preosetljivosti na cefazolin. </w:t>
      </w:r>
    </w:p>
    <w:p w:rsidR="001A5CB6" w:rsidRPr="001A5CB6" w:rsidRDefault="001A5CB6" w:rsidP="001A5CB6">
      <w:pPr>
        <w:spacing w:after="0" w:line="240" w:lineRule="auto"/>
        <w:contextualSpacing/>
        <w:jc w:val="both"/>
        <w:rPr>
          <w:rFonts w:ascii="Times New Roman" w:eastAsia="Times New Roman" w:hAnsi="Times New Roman" w:cs="Times New Roman"/>
          <w:lang w:val="sr-Latn-ME"/>
        </w:rPr>
      </w:pPr>
    </w:p>
    <w:p w:rsidR="001A5CB6" w:rsidRPr="001A5CB6" w:rsidRDefault="001A5CB6" w:rsidP="001A5CB6">
      <w:pPr>
        <w:numPr>
          <w:ilvl w:val="0"/>
          <w:numId w:val="12"/>
        </w:numPr>
        <w:spacing w:after="0" w:line="240" w:lineRule="auto"/>
        <w:contextualSpacing/>
        <w:jc w:val="both"/>
        <w:rPr>
          <w:rFonts w:ascii="Times New Roman" w:eastAsia="Times New Roman" w:hAnsi="Times New Roman" w:cs="Times New Roman"/>
          <w:bCs/>
          <w:lang w:val="sr-Latn-ME"/>
        </w:rPr>
      </w:pPr>
      <w:r w:rsidRPr="001A5CB6">
        <w:rPr>
          <w:rFonts w:ascii="Times New Roman" w:eastAsia="Times New Roman" w:hAnsi="Times New Roman" w:cs="Times New Roman"/>
          <w:lang w:val="sr-Latn-ME"/>
        </w:rPr>
        <w:t>Primjena cefazolina, kao i drugih antibiotika, može dovesti do pojave pseudomembranoznog kolitisa (zapaljenje sluzokože debelog crijeva). Ukoliko se tokom primjene cefazolina jave teški i uporni prolivi, potrebno je prekinuti primjenu ovog lijeka i sprovesti odgovarajuće mjere (npr. oralno davanje vankomicina); inhibitori crijevne peristaltike su kontraindikovani (ne smiju se primjenjivati) kod takvih proliva. Cefazolin treba primjenjivati sa posebnim oprezom kod pacijenata sa gastrointestinalnim oboljenjima, posebno sa kolitisom.</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numPr>
          <w:ilvl w:val="0"/>
          <w:numId w:val="12"/>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Duža primjena antibiotika dovodi do pojave bakterijskih ili gljivičnih superinfekcija (npr. vaginalna kandidijaza) što u nekim slučajevima zahtijeva liječenje.</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numPr>
          <w:ilvl w:val="0"/>
          <w:numId w:val="12"/>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Kod pacijenata sa umjerenom do ozbiljnom bubrežnom insuficijencijom potrebno je korigovati dozu i/ili režim doziranja cefazolina prema klirensu kreatinina (vidjeti poglavlje 3). Poželjno je kontrolisati funkciju bubrega tokom istovremene primjene cefazolina sa potencijalno nefrotoksičnim antibioticima (npr. aminoglikozidnim antibioticima) ili diureticima kao što su furosemid ili etakrinska kiselina.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ind w:left="360"/>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Terapija cefazolinom rijetko može dovesti do poremećaja koagulacije krvi. Stoga je potrebno redovno primjenjivati Quinck-ov test u slučaju kod pacijenata sa oboljenjima koja mogu prouzrokovati krvarenje (npr. ulkusi želuca i crijeva), kao i kod pacijenata kod kojih postoje poremećaji u koagulaciji (urođeni, npr. hemofilija, stečeni, npr. u slučaju parenteralne ishrane, neadekvatne ishrane, poremećaji funkcije jetre i bubrega ili trombocitopenije, medikamentozne terapije, npr. primjene heparina ili oralnih antikoagulanasa). Po potrebi, može se vršiti supstitucija vitamina K (10 mg nedjeljno).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numPr>
          <w:ilvl w:val="0"/>
          <w:numId w:val="12"/>
        </w:numPr>
        <w:spacing w:after="0" w:line="240" w:lineRule="auto"/>
        <w:contextualSpacing/>
        <w:jc w:val="both"/>
        <w:rPr>
          <w:rFonts w:ascii="Times New Roman" w:eastAsia="Times New Roman" w:hAnsi="Times New Roman" w:cs="Times New Roman"/>
          <w:bCs/>
          <w:lang w:val="sr-Latn-ME"/>
        </w:rPr>
      </w:pPr>
      <w:r w:rsidRPr="001A5CB6">
        <w:rPr>
          <w:rFonts w:ascii="Times New Roman" w:eastAsia="Times New Roman" w:hAnsi="Times New Roman" w:cs="Times New Roman"/>
          <w:lang w:val="sr-Latn-ME"/>
        </w:rPr>
        <w:t>Tokom terapije cefazolinom mogući su lažno pozitivni rezultati neenzimskih testova određivanja nivoa glukoze u urinu i Coombs-ovog testa. Takođe, cefazolin može uticati na Jaffe-ov test određivanja nivoa kreatinina (lažno povećanje vrijednosti).</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numPr>
          <w:ilvl w:val="0"/>
          <w:numId w:val="12"/>
        </w:numPr>
        <w:spacing w:after="0" w:line="240" w:lineRule="auto"/>
        <w:contextualSpacing/>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Rastvor za injekcionu i intravensku primjenu može izazvati bolove u slučaju primjene na neodgovarajućim mjestima (intramuskularno ili paravenski).</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Primjena drugih ljekova</w:t>
      </w:r>
    </w:p>
    <w:p w:rsidR="001A5CB6" w:rsidRPr="001A5CB6" w:rsidRDefault="001A5CB6" w:rsidP="001A5CB6">
      <w:pPr>
        <w:tabs>
          <w:tab w:val="left" w:pos="720"/>
        </w:tabs>
        <w:autoSpaceDE w:val="0"/>
        <w:autoSpaceDN w:val="0"/>
        <w:adjustRightInd w:val="0"/>
        <w:spacing w:after="0" w:line="240" w:lineRule="auto"/>
        <w:jc w:val="both"/>
        <w:rPr>
          <w:rFonts w:ascii="Times New Roman" w:eastAsia="Times New Roman" w:hAnsi="Times New Roman" w:cs="Times New Roman"/>
          <w:highlight w:val="yellow"/>
          <w:lang w:val="sr-Latn-ME"/>
        </w:rPr>
      </w:pPr>
    </w:p>
    <w:p w:rsidR="001A5CB6" w:rsidRPr="001A5CB6" w:rsidRDefault="001A5CB6" w:rsidP="001A5CB6">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Obavijestite Vašeg ljekara ili farmaceuta ukoliko primjenjujete, donedavno ste primjenjivali ili ćete možda primjenjivati bilo koje druge ljekove.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Ne preporučuje se miješanje cefazolina sa drugim antibioticima (posebno sa aminoglikozidima) u istom rastvoru za ubrizgavanje.</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Cefazolin je inkompatibilan sa sljedećim ljekovima: amikacin disulfat, amobarbital natrijum, bleomicin sulfat, kalcijum gluceptat, kalcijum glukonat, cimetidin hidrohlorid, kolistin metat natrijum, eritromicin gluceptat, kanamicin sulfat, oksitetraciklin hidrohlorid, pentobarbital natrijum, polimiksin B sulfat i tetraciklin hidrohlorid.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lastRenderedPageBreak/>
        <w:t xml:space="preserve">Cefazolin, kao i drugi antibiotici, može smanjiti efikasnost živih vakcina pri istovremenoj primjeni, pa se takva kombinacija ljekova ne smije primijeniti.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Probenecid inhibira tubularnu sekreciju cefazolina i može mu usporiti renalnu ekskreciju, odnosno potencirati terapijsko dejstvo i/ili neželjena dejstva.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Zahvaljujući specifičnoj strukturi (metiltiadiazoltiometil u bočnom lancu), cefazolin može izazvati disulfiramsku reakciju sa etanolom.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Cefazolin može potencirati dejstvo antikoagulantnih ljekova. Stoga pri istovremenoj primjeni cefazolina sa oralnim antikoagulansima (npr. varfarin) ili većim dozama heparina, potrebno je redovno kontrolisati faktore koagulacije.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Takođe, cefazolin može potencirati nefrotoksične efekte diuretika Henleove petlje, aminoglikozida, vankomicina i drugih nefrotoksičnih ljekova.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Cefazolin ne bi trebalo istovremeno primjenjivati sa antibioticima koji djeluju bakteriostatski (npr. tetraciklini, eritromicin, hloramfenikol, sulfonamidi) zbog uzajamnog smanjenja efikasnosti. S druge strane, drugi baktericidni antibiotici, kao što su aminoglikozidi, mogu potencirati antibakterijsko dejstvo cefazolina. Cefazolin može da smanji efikasnost oralnih kontraceptiva i stoga treba savjetovati pacijente da tokom terapije cefazolinom koriste drugi vid kontracepcije (nehormonsku kontracepciju).</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 xml:space="preserve">Uzimanje lijeka </w:t>
      </w:r>
      <w:r w:rsidRPr="001A5CB6">
        <w:rPr>
          <w:rFonts w:ascii="Times New Roman" w:eastAsia="Times New Roman" w:hAnsi="Times New Roman" w:cs="Times New Roman"/>
          <w:b/>
          <w:lang w:val="sr-Latn-ME" w:eastAsia="sr-Latn-ME"/>
        </w:rPr>
        <w:t>Cefazolin Sandoz</w:t>
      </w:r>
      <w:r w:rsidRPr="001A5CB6">
        <w:rPr>
          <w:rFonts w:ascii="Times New Roman" w:eastAsia="Times New Roman" w:hAnsi="Times New Roman" w:cs="Times New Roman"/>
          <w:b/>
          <w:bCs/>
          <w:lang w:val="sr-Latn-ME"/>
        </w:rPr>
        <w:t xml:space="preserve"> sa hranom ili pićem </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lang w:val="sr-Latn-ME" w:eastAsia="sr-Latn-ME"/>
        </w:rPr>
        <w:t>Nema podataka o tome da uzimanje hrane i pića utiče na djelovanje lijeka.</w:t>
      </w: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Plodnost, trudnoća i dojenje</w:t>
      </w: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Ukoliko ste trudni ili dojite, mislite da ste trudni ili planirate trudnoću, obratite se Vašem ljekaru ili farmaceutu za savjet prije nego što primite ovaj lijek.</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i/>
          <w:lang w:val="sr-Latn-ME"/>
        </w:rPr>
      </w:pPr>
      <w:r w:rsidRPr="001A5CB6">
        <w:rPr>
          <w:rFonts w:ascii="Times New Roman" w:eastAsia="Times New Roman" w:hAnsi="Times New Roman" w:cs="Times New Roman"/>
          <w:i/>
          <w:lang w:val="sr-Latn-ME"/>
        </w:rPr>
        <w:t>Trudnoća</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Ovaj lijek bi trebalo primjenjivati tokom trudnoće, a naročito tokom prvog trimestra, samo u slučaju kada je to opravdano na osnovu pažljive procjene odnosa koristi i rizika.</w:t>
      </w: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1A5CB6" w:rsidRPr="001A5CB6" w:rsidRDefault="001A5CB6" w:rsidP="001A5CB6">
      <w:pPr>
        <w:spacing w:after="0" w:line="240" w:lineRule="auto"/>
        <w:jc w:val="both"/>
        <w:rPr>
          <w:rFonts w:ascii="Times New Roman" w:eastAsia="Times New Roman" w:hAnsi="Times New Roman" w:cs="Times New Roman"/>
          <w:i/>
          <w:lang w:val="sr-Latn-ME"/>
        </w:rPr>
      </w:pPr>
      <w:r w:rsidRPr="001A5CB6">
        <w:rPr>
          <w:rFonts w:ascii="Times New Roman" w:eastAsia="Times New Roman" w:hAnsi="Times New Roman" w:cs="Times New Roman"/>
          <w:i/>
          <w:lang w:val="sr-Latn-ME"/>
        </w:rPr>
        <w:t>Dojenje</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Cefazolin se u veoma malim koncentracijama nalazi u mlijeku dojilja koje su na terapiji ovim lijekom, te se preporučuje da se dojenje obustavi tokom primjene ovog lijeka.</w:t>
      </w: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1A5CB6" w:rsidRDefault="001A5CB6" w:rsidP="001A5CB6">
      <w:pPr>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lang w:val="sr-Latn-ME"/>
        </w:rPr>
        <w:t xml:space="preserve">Uticaj lijeka </w:t>
      </w:r>
      <w:r w:rsidRPr="001A5CB6">
        <w:rPr>
          <w:rFonts w:ascii="Times New Roman" w:eastAsia="Times New Roman" w:hAnsi="Times New Roman" w:cs="Times New Roman"/>
          <w:b/>
          <w:lang w:val="sr-Latn-ME" w:eastAsia="sr-Latn-ME"/>
        </w:rPr>
        <w:t>Cefazolin Sandoz</w:t>
      </w:r>
      <w:r w:rsidRPr="001A5CB6">
        <w:rPr>
          <w:rFonts w:ascii="Times New Roman" w:eastAsia="Times New Roman" w:hAnsi="Times New Roman" w:cs="Times New Roman"/>
          <w:b/>
          <w:lang w:val="sr-Latn-ME"/>
        </w:rPr>
        <w:t xml:space="preserve"> na sposobnost upravljanja vozilima i rukovanje mašinama</w:t>
      </w:r>
      <w:r w:rsidRPr="001A5CB6">
        <w:rPr>
          <w:rFonts w:ascii="Times New Roman" w:eastAsia="Times New Roman" w:hAnsi="Times New Roman" w:cs="Times New Roman"/>
          <w:b/>
          <w:bCs/>
          <w:lang w:val="sr-Latn-ME"/>
        </w:rPr>
        <w:t xml:space="preserve"> </w:t>
      </w:r>
    </w:p>
    <w:p w:rsidR="00021D48" w:rsidRPr="001A5CB6" w:rsidRDefault="00021D48" w:rsidP="001A5CB6">
      <w:pPr>
        <w:spacing w:after="0" w:line="240" w:lineRule="auto"/>
        <w:jc w:val="both"/>
        <w:rPr>
          <w:rFonts w:ascii="Times New Roman" w:eastAsia="Times New Roman" w:hAnsi="Times New Roman" w:cs="Times New Roman"/>
          <w:b/>
          <w:bCs/>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Cefazolin nema ili ima zanemarljiv uticaj na psihofizičke sposobnosti prilikom upravljanja vozilima ili rukovanja mašinama.</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Default="001A5CB6" w:rsidP="001A5CB6">
      <w:pPr>
        <w:widowControl w:val="0"/>
        <w:autoSpaceDE w:val="0"/>
        <w:autoSpaceDN w:val="0"/>
        <w:spacing w:after="0" w:line="240" w:lineRule="auto"/>
        <w:jc w:val="both"/>
        <w:rPr>
          <w:rFonts w:ascii="Times New Roman" w:eastAsia="Times New Roman" w:hAnsi="Times New Roman" w:cs="Times New Roman"/>
          <w:b/>
          <w:lang w:val="sr-Latn-ME" w:eastAsia="sr-Latn-ME"/>
        </w:rPr>
      </w:pPr>
      <w:r w:rsidRPr="001A5CB6">
        <w:rPr>
          <w:rFonts w:ascii="Times New Roman" w:eastAsia="Times New Roman" w:hAnsi="Times New Roman" w:cs="Times New Roman"/>
          <w:b/>
          <w:lang w:val="sr-Latn-ME"/>
        </w:rPr>
        <w:t xml:space="preserve">Važne informacije o nekim sastojcima lijeka </w:t>
      </w:r>
      <w:r w:rsidRPr="001A5CB6">
        <w:rPr>
          <w:rFonts w:ascii="Times New Roman" w:eastAsia="Times New Roman" w:hAnsi="Times New Roman" w:cs="Times New Roman"/>
          <w:b/>
          <w:lang w:val="sr-Latn-ME" w:eastAsia="sr-Latn-ME"/>
        </w:rPr>
        <w:t>Cefazolin Sandoz</w:t>
      </w:r>
    </w:p>
    <w:p w:rsidR="00021D48" w:rsidRPr="001A5CB6" w:rsidRDefault="00021D48" w:rsidP="001A5CB6">
      <w:pPr>
        <w:widowControl w:val="0"/>
        <w:autoSpaceDE w:val="0"/>
        <w:autoSpaceDN w:val="0"/>
        <w:spacing w:after="0" w:line="240" w:lineRule="auto"/>
        <w:jc w:val="both"/>
        <w:rPr>
          <w:rFonts w:ascii="Times New Roman" w:eastAsia="Times New Roman" w:hAnsi="Times New Roman" w:cs="Times New Roman"/>
          <w:i/>
          <w:iCs/>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Lijek Cefazolin Sandoz sadrži 2,2 mmol (što odgovara 48 mg) natrijuma po gramu.</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lastRenderedPageBreak/>
        <w:t>Savjetuje se poseban oprez prilikom upotrebe kod pacijenata koji su na dijeti u kojoj se kontroliše unos</w:t>
      </w:r>
    </w:p>
    <w:p w:rsidR="001A5CB6" w:rsidRPr="001A5CB6" w:rsidRDefault="001A5CB6" w:rsidP="001A5CB6">
      <w:pPr>
        <w:tabs>
          <w:tab w:val="left" w:pos="1725"/>
        </w:tabs>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natrijuma.</w:t>
      </w:r>
    </w:p>
    <w:p w:rsidR="001A5CB6" w:rsidRDefault="001A5CB6" w:rsidP="001A5CB6">
      <w:pPr>
        <w:tabs>
          <w:tab w:val="left" w:pos="1725"/>
        </w:tabs>
        <w:spacing w:after="0" w:line="240" w:lineRule="auto"/>
        <w:jc w:val="both"/>
        <w:rPr>
          <w:rFonts w:ascii="Times New Roman" w:eastAsia="Times New Roman" w:hAnsi="Times New Roman" w:cs="Times New Roman"/>
          <w:lang w:val="sr-Latn-ME"/>
        </w:rPr>
      </w:pPr>
    </w:p>
    <w:p w:rsidR="00021D48" w:rsidRPr="001A5CB6" w:rsidRDefault="00021D48" w:rsidP="001A5CB6">
      <w:pPr>
        <w:tabs>
          <w:tab w:val="left" w:pos="1725"/>
        </w:tabs>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 xml:space="preserve">3. </w:t>
      </w:r>
      <w:r w:rsidRPr="001A5CB6">
        <w:rPr>
          <w:rFonts w:ascii="Times New Roman" w:eastAsia="Times New Roman" w:hAnsi="Times New Roman" w:cs="Times New Roman"/>
          <w:b/>
          <w:bCs/>
          <w:lang w:val="sr-Latn-ME"/>
        </w:rPr>
        <w:tab/>
        <w:t xml:space="preserve">KAKO SE UPOTREBLJAVA LIJEK </w:t>
      </w:r>
      <w:r w:rsidRPr="001A5CB6">
        <w:rPr>
          <w:rFonts w:ascii="Times New Roman" w:eastAsia="Times New Roman" w:hAnsi="Times New Roman" w:cs="Times New Roman"/>
          <w:b/>
          <w:lang w:val="sr-Latn-ME" w:eastAsia="sr-Latn-ME"/>
        </w:rPr>
        <w:t>CEFAZOLIN SANDOZ</w:t>
      </w:r>
    </w:p>
    <w:p w:rsidR="001A5CB6" w:rsidRPr="001A5CB6" w:rsidRDefault="001A5CB6" w:rsidP="001A5CB6">
      <w:pPr>
        <w:spacing w:after="0" w:line="240" w:lineRule="auto"/>
        <w:jc w:val="both"/>
        <w:rPr>
          <w:rFonts w:ascii="Times New Roman" w:eastAsia="Times New Roman" w:hAnsi="Times New Roman" w:cs="Times New Roman"/>
          <w:bCs/>
          <w:caps/>
          <w:lang w:val="sr-Latn-ME"/>
        </w:rPr>
      </w:pPr>
    </w:p>
    <w:p w:rsidR="001A5CB6" w:rsidRPr="001A5CB6" w:rsidRDefault="001A5CB6" w:rsidP="001A5CB6">
      <w:pPr>
        <w:tabs>
          <w:tab w:val="left" w:pos="0"/>
          <w:tab w:val="center" w:pos="4320"/>
          <w:tab w:val="right" w:pos="8640"/>
        </w:tabs>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rsidR="001A5CB6" w:rsidRPr="001A5CB6" w:rsidRDefault="001A5CB6" w:rsidP="001A5CB6">
      <w:pPr>
        <w:tabs>
          <w:tab w:val="left" w:pos="0"/>
          <w:tab w:val="center" w:pos="4320"/>
          <w:tab w:val="right" w:pos="8640"/>
        </w:tabs>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0"/>
          <w:tab w:val="center" w:pos="4320"/>
          <w:tab w:val="right" w:pos="8640"/>
        </w:tabs>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Doziranje:</w:t>
      </w:r>
    </w:p>
    <w:p w:rsidR="001A5CB6" w:rsidRPr="001A5CB6" w:rsidRDefault="001A5CB6" w:rsidP="001A5CB6">
      <w:pPr>
        <w:tabs>
          <w:tab w:val="left" w:pos="0"/>
          <w:tab w:val="center" w:pos="4320"/>
          <w:tab w:val="right" w:pos="8640"/>
        </w:tabs>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0"/>
          <w:tab w:val="center" w:pos="4320"/>
          <w:tab w:val="right" w:pos="8640"/>
        </w:tabs>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Uobičajeno doziranje kod odraslih je 500-1000 mg 3-4 puta dnevno; kod umjerenih infekcija može se davati 500 - 1000 mg dva puta dnevno.</w:t>
      </w:r>
    </w:p>
    <w:p w:rsidR="001A5CB6" w:rsidRPr="001A5CB6" w:rsidRDefault="001A5CB6" w:rsidP="001A5CB6">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tbl>
      <w:tblPr>
        <w:tblStyle w:val="TableGrid2"/>
        <w:tblW w:w="0" w:type="auto"/>
        <w:tblLook w:val="04A0" w:firstRow="1" w:lastRow="0" w:firstColumn="1" w:lastColumn="0" w:noHBand="0" w:noVBand="1"/>
      </w:tblPr>
      <w:tblGrid>
        <w:gridCol w:w="4361"/>
        <w:gridCol w:w="2470"/>
        <w:gridCol w:w="2470"/>
      </w:tblGrid>
      <w:tr w:rsidR="001A5CB6" w:rsidRPr="001A5CB6" w:rsidTr="00474FF9">
        <w:tc>
          <w:tcPr>
            <w:tcW w:w="436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jc w:val="center"/>
              <w:rPr>
                <w:b/>
                <w:bCs/>
                <w:sz w:val="22"/>
                <w:szCs w:val="22"/>
              </w:rPr>
            </w:pPr>
            <w:r w:rsidRPr="001A5CB6">
              <w:rPr>
                <w:b/>
                <w:bCs/>
                <w:sz w:val="22"/>
                <w:szCs w:val="22"/>
              </w:rPr>
              <w:t>Tip infekcije</w:t>
            </w:r>
          </w:p>
        </w:tc>
        <w:tc>
          <w:tcPr>
            <w:tcW w:w="2470"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jc w:val="center"/>
              <w:rPr>
                <w:b/>
                <w:bCs/>
                <w:sz w:val="22"/>
                <w:szCs w:val="22"/>
              </w:rPr>
            </w:pPr>
            <w:r w:rsidRPr="001A5CB6">
              <w:rPr>
                <w:b/>
                <w:bCs/>
                <w:sz w:val="22"/>
                <w:szCs w:val="22"/>
              </w:rPr>
              <w:t>Doza</w:t>
            </w:r>
          </w:p>
        </w:tc>
        <w:tc>
          <w:tcPr>
            <w:tcW w:w="2470"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jc w:val="center"/>
              <w:rPr>
                <w:b/>
                <w:bCs/>
                <w:sz w:val="22"/>
                <w:szCs w:val="22"/>
              </w:rPr>
            </w:pPr>
            <w:r w:rsidRPr="001A5CB6">
              <w:rPr>
                <w:b/>
                <w:bCs/>
                <w:sz w:val="22"/>
                <w:szCs w:val="22"/>
              </w:rPr>
              <w:t>Učestalost davanja</w:t>
            </w:r>
          </w:p>
        </w:tc>
      </w:tr>
      <w:tr w:rsidR="001A5CB6" w:rsidRPr="001A5CB6" w:rsidTr="00474FF9">
        <w:trPr>
          <w:trHeight w:val="438"/>
        </w:trPr>
        <w:tc>
          <w:tcPr>
            <w:tcW w:w="4361"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b/>
                <w:bCs/>
                <w:sz w:val="22"/>
                <w:szCs w:val="22"/>
              </w:rPr>
            </w:pPr>
            <w:r w:rsidRPr="001A5CB6">
              <w:rPr>
                <w:sz w:val="22"/>
                <w:szCs w:val="22"/>
              </w:rPr>
              <w:t>Umjerene do teške infekcije</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b/>
                <w:bCs/>
                <w:sz w:val="22"/>
                <w:szCs w:val="22"/>
              </w:rPr>
            </w:pPr>
            <w:r w:rsidRPr="001A5CB6">
              <w:rPr>
                <w:sz w:val="22"/>
                <w:szCs w:val="22"/>
              </w:rPr>
              <w:t>500 mg – 1 g</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na 6 – 8 h</w:t>
            </w:r>
          </w:p>
        </w:tc>
      </w:tr>
      <w:tr w:rsidR="001A5CB6" w:rsidRPr="001A5CB6" w:rsidTr="00474FF9">
        <w:tc>
          <w:tcPr>
            <w:tcW w:w="4361"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Blage infekcije uzrokovane osjetljivim gram pozitivnim kokama</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b/>
                <w:bCs/>
                <w:sz w:val="22"/>
                <w:szCs w:val="22"/>
              </w:rPr>
            </w:pPr>
            <w:r w:rsidRPr="001A5CB6">
              <w:rPr>
                <w:sz w:val="22"/>
                <w:szCs w:val="22"/>
              </w:rPr>
              <w:t>250 mg do 500 mg</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na 8 h</w:t>
            </w:r>
          </w:p>
        </w:tc>
      </w:tr>
      <w:tr w:rsidR="001A5CB6" w:rsidRPr="001A5CB6" w:rsidTr="00474FF9">
        <w:tc>
          <w:tcPr>
            <w:tcW w:w="4361"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Akutne nekomplikovane infekcije urinarnog trakta</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b/>
                <w:bCs/>
                <w:sz w:val="22"/>
                <w:szCs w:val="22"/>
              </w:rPr>
            </w:pPr>
            <w:r w:rsidRPr="001A5CB6">
              <w:rPr>
                <w:sz w:val="22"/>
                <w:szCs w:val="22"/>
              </w:rPr>
              <w:t>1 g</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na 12 h</w:t>
            </w:r>
          </w:p>
        </w:tc>
      </w:tr>
      <w:tr w:rsidR="001A5CB6" w:rsidRPr="001A5CB6" w:rsidTr="00474FF9">
        <w:trPr>
          <w:trHeight w:val="373"/>
        </w:trPr>
        <w:tc>
          <w:tcPr>
            <w:tcW w:w="4361"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b/>
                <w:bCs/>
                <w:sz w:val="22"/>
                <w:szCs w:val="22"/>
              </w:rPr>
            </w:pPr>
            <w:r w:rsidRPr="001A5CB6">
              <w:rPr>
                <w:sz w:val="22"/>
                <w:szCs w:val="22"/>
              </w:rPr>
              <w:t>Pneumokokna pneumonija</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b/>
                <w:bCs/>
                <w:sz w:val="22"/>
                <w:szCs w:val="22"/>
              </w:rPr>
            </w:pPr>
            <w:r w:rsidRPr="001A5CB6">
              <w:rPr>
                <w:sz w:val="22"/>
                <w:szCs w:val="22"/>
              </w:rPr>
              <w:t>500 mg</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na 12 h</w:t>
            </w:r>
          </w:p>
        </w:tc>
      </w:tr>
      <w:tr w:rsidR="001A5CB6" w:rsidRPr="001A5CB6" w:rsidTr="00474FF9">
        <w:tc>
          <w:tcPr>
            <w:tcW w:w="4361"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Ozbiljne infekcije koje ugrožavaju život (npr. endokarditis, septikemija)</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b/>
                <w:bCs/>
                <w:sz w:val="22"/>
                <w:szCs w:val="22"/>
              </w:rPr>
            </w:pPr>
            <w:r w:rsidRPr="001A5CB6">
              <w:rPr>
                <w:sz w:val="22"/>
                <w:szCs w:val="22"/>
              </w:rPr>
              <w:t>1 g do 1,5 g</w:t>
            </w:r>
          </w:p>
        </w:tc>
        <w:tc>
          <w:tcPr>
            <w:tcW w:w="2470" w:type="dxa"/>
            <w:tcBorders>
              <w:top w:val="single" w:sz="4" w:space="0" w:color="auto"/>
              <w:left w:val="single" w:sz="4" w:space="0" w:color="auto"/>
              <w:bottom w:val="single" w:sz="4" w:space="0" w:color="auto"/>
              <w:right w:val="single" w:sz="4" w:space="0" w:color="auto"/>
            </w:tcBorders>
            <w:vAlign w:val="center"/>
            <w:hideMark/>
          </w:tcPr>
          <w:p w:rsidR="001A5CB6" w:rsidRPr="001A5CB6" w:rsidRDefault="001A5CB6" w:rsidP="00021D48">
            <w:pPr>
              <w:autoSpaceDE w:val="0"/>
              <w:autoSpaceDN w:val="0"/>
              <w:adjustRightInd w:val="0"/>
              <w:jc w:val="center"/>
              <w:rPr>
                <w:sz w:val="22"/>
                <w:szCs w:val="22"/>
              </w:rPr>
            </w:pPr>
            <w:r w:rsidRPr="001A5CB6">
              <w:rPr>
                <w:sz w:val="22"/>
                <w:szCs w:val="22"/>
              </w:rPr>
              <w:t>na 6 h</w:t>
            </w:r>
          </w:p>
        </w:tc>
      </w:tr>
    </w:tbl>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Prosječna dnevna doza za odrasle je 1-4 g, maksimalna dnevna doza je 6 g.</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Podešavanje doza kod pacijenata sa smanjenom renalnom funkcijom:</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Cefazolin se može koristiti kod pacijenata sa smanjenom renalnom funkcijom uz sljedeća podešavanja doza:</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tbl>
      <w:tblPr>
        <w:tblStyle w:val="TableGrid2"/>
        <w:tblW w:w="0" w:type="auto"/>
        <w:tblLook w:val="04A0" w:firstRow="1" w:lastRow="0" w:firstColumn="1" w:lastColumn="0" w:noHBand="0" w:noVBand="1"/>
      </w:tblPr>
      <w:tblGrid>
        <w:gridCol w:w="3936"/>
        <w:gridCol w:w="5365"/>
      </w:tblGrid>
      <w:tr w:rsidR="001A5CB6" w:rsidRPr="001A5CB6" w:rsidTr="00474FF9">
        <w:trPr>
          <w:trHeight w:val="506"/>
        </w:trPr>
        <w:tc>
          <w:tcPr>
            <w:tcW w:w="3936"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540"/>
                <w:tab w:val="left" w:pos="569"/>
              </w:tabs>
              <w:rPr>
                <w:bCs/>
                <w:sz w:val="22"/>
                <w:szCs w:val="22"/>
                <w:u w:val="single"/>
              </w:rPr>
            </w:pPr>
            <w:r w:rsidRPr="001A5CB6">
              <w:rPr>
                <w:sz w:val="22"/>
                <w:szCs w:val="22"/>
              </w:rPr>
              <w:t xml:space="preserve">Klirens kreatinina </w:t>
            </w:r>
            <w:r w:rsidRPr="001A5CB6">
              <w:rPr>
                <w:rFonts w:eastAsia="HiddenHorzOCR"/>
                <w:sz w:val="22"/>
                <w:szCs w:val="22"/>
              </w:rPr>
              <w:t xml:space="preserve">≥ </w:t>
            </w:r>
            <w:r w:rsidRPr="001A5CB6">
              <w:rPr>
                <w:sz w:val="22"/>
                <w:szCs w:val="22"/>
              </w:rPr>
              <w:t>55 ml/min</w:t>
            </w:r>
          </w:p>
        </w:tc>
        <w:tc>
          <w:tcPr>
            <w:tcW w:w="536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540"/>
                <w:tab w:val="left" w:pos="569"/>
              </w:tabs>
              <w:rPr>
                <w:bCs/>
                <w:sz w:val="22"/>
                <w:szCs w:val="22"/>
                <w:u w:val="single"/>
              </w:rPr>
            </w:pPr>
            <w:r w:rsidRPr="001A5CB6">
              <w:rPr>
                <w:sz w:val="22"/>
                <w:szCs w:val="22"/>
              </w:rPr>
              <w:t>Primjenjuje se cjelokupna dnevna doza</w:t>
            </w:r>
          </w:p>
        </w:tc>
      </w:tr>
      <w:tr w:rsidR="001A5CB6" w:rsidRPr="001A5CB6" w:rsidTr="00474FF9">
        <w:trPr>
          <w:trHeight w:val="506"/>
        </w:trPr>
        <w:tc>
          <w:tcPr>
            <w:tcW w:w="3936"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540"/>
                <w:tab w:val="left" w:pos="569"/>
              </w:tabs>
              <w:rPr>
                <w:bCs/>
                <w:sz w:val="22"/>
                <w:szCs w:val="22"/>
                <w:u w:val="single"/>
              </w:rPr>
            </w:pPr>
            <w:r w:rsidRPr="001A5CB6">
              <w:rPr>
                <w:sz w:val="22"/>
                <w:szCs w:val="22"/>
              </w:rPr>
              <w:t>Klirens kreatinina od 35 do 54 ml/min</w:t>
            </w:r>
          </w:p>
        </w:tc>
        <w:tc>
          <w:tcPr>
            <w:tcW w:w="536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rPr>
                <w:sz w:val="22"/>
                <w:szCs w:val="22"/>
              </w:rPr>
            </w:pPr>
            <w:r w:rsidRPr="001A5CB6">
              <w:rPr>
                <w:sz w:val="22"/>
                <w:szCs w:val="22"/>
              </w:rPr>
              <w:t>Primjenjuje se cjelokupna dnevna doza u 8- časovnim intervalima</w:t>
            </w:r>
          </w:p>
        </w:tc>
      </w:tr>
      <w:tr w:rsidR="001A5CB6" w:rsidRPr="001A5CB6" w:rsidTr="00474FF9">
        <w:trPr>
          <w:trHeight w:val="506"/>
        </w:trPr>
        <w:tc>
          <w:tcPr>
            <w:tcW w:w="3936"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540"/>
                <w:tab w:val="left" w:pos="569"/>
              </w:tabs>
              <w:rPr>
                <w:bCs/>
                <w:sz w:val="22"/>
                <w:szCs w:val="22"/>
                <w:u w:val="single"/>
              </w:rPr>
            </w:pPr>
            <w:r w:rsidRPr="001A5CB6">
              <w:rPr>
                <w:sz w:val="22"/>
                <w:szCs w:val="22"/>
              </w:rPr>
              <w:t>Klirens kreatinina od 11 do 34 ml/min</w:t>
            </w:r>
          </w:p>
        </w:tc>
        <w:tc>
          <w:tcPr>
            <w:tcW w:w="536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rPr>
                <w:sz w:val="22"/>
                <w:szCs w:val="22"/>
              </w:rPr>
            </w:pPr>
            <w:r w:rsidRPr="001A5CB6">
              <w:rPr>
                <w:sz w:val="22"/>
                <w:szCs w:val="22"/>
              </w:rPr>
              <w:t>Primjenjuje se 1/2 cjelokupne dnevne doze na svakih 12 h</w:t>
            </w:r>
          </w:p>
        </w:tc>
      </w:tr>
      <w:tr w:rsidR="001A5CB6" w:rsidRPr="001A5CB6" w:rsidTr="00474FF9">
        <w:trPr>
          <w:trHeight w:val="506"/>
        </w:trPr>
        <w:tc>
          <w:tcPr>
            <w:tcW w:w="3936"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540"/>
                <w:tab w:val="left" w:pos="569"/>
              </w:tabs>
              <w:rPr>
                <w:bCs/>
                <w:sz w:val="22"/>
                <w:szCs w:val="22"/>
                <w:u w:val="single"/>
              </w:rPr>
            </w:pPr>
            <w:r w:rsidRPr="001A5CB6">
              <w:rPr>
                <w:sz w:val="22"/>
                <w:szCs w:val="22"/>
              </w:rPr>
              <w:t xml:space="preserve">Klirens kreatinina </w:t>
            </w:r>
            <w:r w:rsidRPr="001A5CB6">
              <w:rPr>
                <w:rFonts w:eastAsia="HiddenHorzOCR"/>
                <w:sz w:val="22"/>
                <w:szCs w:val="22"/>
              </w:rPr>
              <w:t xml:space="preserve">≤ </w:t>
            </w:r>
            <w:r w:rsidRPr="001A5CB6">
              <w:rPr>
                <w:sz w:val="22"/>
                <w:szCs w:val="22"/>
              </w:rPr>
              <w:t>10 ml/min</w:t>
            </w:r>
          </w:p>
        </w:tc>
        <w:tc>
          <w:tcPr>
            <w:tcW w:w="536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rPr>
                <w:sz w:val="22"/>
                <w:szCs w:val="22"/>
              </w:rPr>
            </w:pPr>
            <w:r w:rsidRPr="001A5CB6">
              <w:rPr>
                <w:sz w:val="22"/>
                <w:szCs w:val="22"/>
              </w:rPr>
              <w:t>Primjenjuje se 1/2 cjelokupne dnevne doze na svakih</w:t>
            </w:r>
          </w:p>
          <w:p w:rsidR="001A5CB6" w:rsidRPr="001A5CB6" w:rsidRDefault="001A5CB6" w:rsidP="00021D48">
            <w:pPr>
              <w:tabs>
                <w:tab w:val="left" w:pos="540"/>
                <w:tab w:val="left" w:pos="569"/>
              </w:tabs>
              <w:rPr>
                <w:bCs/>
                <w:sz w:val="22"/>
                <w:szCs w:val="22"/>
                <w:u w:val="single"/>
              </w:rPr>
            </w:pPr>
            <w:r w:rsidRPr="001A5CB6">
              <w:rPr>
                <w:sz w:val="22"/>
                <w:szCs w:val="22"/>
              </w:rPr>
              <w:t>18-24 h</w:t>
            </w:r>
          </w:p>
        </w:tc>
      </w:tr>
    </w:tbl>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Sve preporuke za smanjenje doza primjenjuju se nakon određivanja inicijalne doze koja odgovara ozbiljnosti infekcije. Za pacijente na peritonealnoj dijalizi vidjeti odjeljak 5.2. Sažetka karakteristika lijeka.</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1A5CB6">
        <w:rPr>
          <w:rFonts w:ascii="Times New Roman" w:eastAsia="Times New Roman" w:hAnsi="Times New Roman" w:cs="Times New Roman"/>
          <w:b/>
          <w:lang w:val="sr-Latn-ME" w:eastAsia="sr-Latn-ME"/>
        </w:rPr>
        <w:t>Perioperativna profilaktička upotreba:</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lastRenderedPageBreak/>
        <w:t>Da bi se spriječila postoperativna infekcija pri kontaminirajućoj ili potencijalno kontaminirajućoj hirurškoj proceduri, preporučuju se sljedeće doze:</w:t>
      </w:r>
    </w:p>
    <w:p w:rsidR="001A5CB6" w:rsidRPr="001A5CB6" w:rsidRDefault="001A5CB6" w:rsidP="001A5CB6">
      <w:pPr>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1 g intravenski ili intramuskularno, primjenjuje se pola sata ili jedan sat prije početka operacije;</w:t>
      </w:r>
    </w:p>
    <w:p w:rsidR="001A5CB6" w:rsidRPr="001A5CB6" w:rsidRDefault="001A5CB6" w:rsidP="001A5CB6">
      <w:pPr>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za dugotrajne hirurške procedure (npr. 2 h i duže) primjenjuje se 500 mg - l g intravenski ili intramuskularno, tokom operacije (uz prilagođavanje doza i intervala doziranja u skladu sa trajanjem operacije);</w:t>
      </w:r>
    </w:p>
    <w:p w:rsidR="001A5CB6" w:rsidRPr="001A5CB6" w:rsidRDefault="001A5CB6" w:rsidP="001A5CB6">
      <w:pPr>
        <w:numPr>
          <w:ilvl w:val="0"/>
          <w:numId w:val="4"/>
        </w:numPr>
        <w:spacing w:after="0" w:line="240" w:lineRule="auto"/>
        <w:contextualSpacing/>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500 mg - 1 g intravenski ili intramuskularno svakih 6-8 sati, u toku 24 sata poslije operacije, izuzetno, u nekim slučajevima lijek se može primjenjivati do 5 dana po završetku operacije.</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Značajno je da se:</w:t>
      </w:r>
    </w:p>
    <w:p w:rsidR="001A5CB6" w:rsidRPr="001A5CB6" w:rsidRDefault="001A5CB6" w:rsidP="001A5CB6">
      <w:pPr>
        <w:numPr>
          <w:ilvl w:val="0"/>
          <w:numId w:val="5"/>
        </w:numPr>
        <w:autoSpaceDE w:val="0"/>
        <w:autoSpaceDN w:val="0"/>
        <w:adjustRightInd w:val="0"/>
        <w:spacing w:after="0" w:line="240" w:lineRule="auto"/>
        <w:contextualSpacing/>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preoperativna doza primijeni neposredno prije početka operacije (pola sata - jedan sat), kako bi se postigle odgovarajuće koncentracije antibiotika u serumu i tkivima u trenutku početnog hirurškog reza;</w:t>
      </w:r>
    </w:p>
    <w:p w:rsidR="001A5CB6" w:rsidRPr="001A5CB6" w:rsidRDefault="001A5CB6" w:rsidP="001A5CB6">
      <w:pPr>
        <w:numPr>
          <w:ilvl w:val="0"/>
          <w:numId w:val="5"/>
        </w:numPr>
        <w:autoSpaceDE w:val="0"/>
        <w:autoSpaceDN w:val="0"/>
        <w:adjustRightInd w:val="0"/>
        <w:spacing w:after="0" w:line="240" w:lineRule="auto"/>
        <w:contextualSpacing/>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cefazolin primijeni, ako je potrebno, u podesnim intervalima tokom operacije, kako bi se obezbijedila dovoljna koncentracija antibiotika u trenucima kada se očekuje najveća izloženost infektivnim mikroorganizmima.</w:t>
      </w:r>
    </w:p>
    <w:p w:rsidR="001A5CB6" w:rsidRPr="001A5CB6" w:rsidRDefault="001A5CB6" w:rsidP="001A5CB6">
      <w:pPr>
        <w:autoSpaceDE w:val="0"/>
        <w:autoSpaceDN w:val="0"/>
        <w:adjustRightInd w:val="0"/>
        <w:spacing w:after="0" w:line="240" w:lineRule="auto"/>
        <w:ind w:left="420"/>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Kod operacija gdje pojava infekcija može biti naročito opasna (npr. operacija na otvorenom srcu ili protetska artroplastika), profilaktička primjena cefazolina može se nastaviti 3-5 dana po završetku operacije.</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u w:val="single"/>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Primjena kod djece i adolescenata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Djeci od drugog mjeseca života se daje dnevno 25 do 50 mg cefazolina po kg tjelesne mase, podijeljeno u 3 do 4 pojedinačne doze. Moguće je povećanje dnevne doze na 100 mg cefazolina po kg tjelesne mase kod težih infekcija.</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1A5CB6" w:rsidRDefault="001A5CB6" w:rsidP="001A5CB6">
      <w:pPr>
        <w:autoSpaceDE w:val="0"/>
        <w:autoSpaceDN w:val="0"/>
        <w:adjustRightInd w:val="0"/>
        <w:spacing w:after="0" w:line="240" w:lineRule="auto"/>
        <w:jc w:val="both"/>
        <w:rPr>
          <w:rFonts w:ascii="Times New Roman" w:eastAsia="Times New Roman" w:hAnsi="Times New Roman" w:cs="Times New Roman"/>
          <w:i/>
          <w:iCs/>
          <w:lang w:val="sr-Latn-ME" w:eastAsia="sr-Latn-ME"/>
        </w:rPr>
      </w:pPr>
      <w:r w:rsidRPr="001A5CB6">
        <w:rPr>
          <w:rFonts w:ascii="Times New Roman" w:eastAsia="Times New Roman" w:hAnsi="Times New Roman" w:cs="Times New Roman"/>
          <w:i/>
          <w:iCs/>
          <w:lang w:val="sr-Latn-ME" w:eastAsia="sr-Latn-ME"/>
        </w:rPr>
        <w:t>Djeca sa ograničenom funkcijom bubrega</w:t>
      </w:r>
    </w:p>
    <w:p w:rsidR="00021D48" w:rsidRPr="001A5CB6" w:rsidRDefault="00021D48" w:rsidP="001A5CB6">
      <w:pPr>
        <w:autoSpaceDE w:val="0"/>
        <w:autoSpaceDN w:val="0"/>
        <w:adjustRightInd w:val="0"/>
        <w:spacing w:after="0" w:line="240" w:lineRule="auto"/>
        <w:jc w:val="both"/>
        <w:rPr>
          <w:rFonts w:ascii="Times New Roman" w:eastAsia="Times New Roman" w:hAnsi="Times New Roman" w:cs="Times New Roman"/>
          <w:i/>
          <w:iCs/>
          <w:lang w:val="sr-Latn-ME" w:eastAsia="sr-Latn-ME"/>
        </w:rPr>
      </w:pPr>
    </w:p>
    <w:p w:rsid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Doziranje zavisi od vrijednosti klirensa kreatinina i potrebno je prilagođavanje doze.</w:t>
      </w:r>
    </w:p>
    <w:p w:rsidR="00021D48" w:rsidRPr="001A5CB6" w:rsidRDefault="00021D48"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Klirens kreatinina od 40 do 70 mm/min: 60% uobičajene dnevne doze, podijeljene na 2 jednake pojedinačne doze, primjena svakih 12 sati.</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Klirens kreatinina od 20 do 40 mm/min: 25% uobičajene dnevne doze, podijeljene na 2 jednake pojedinačne doze, primjena svakih 12 sati.</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Klirens kreatinina manji od 20 mm/min: 10% uobičajene dnevne doze, primjena svaka 24 sata.</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Kako bezbjedna upotreba kod prevremeno rođene djece i novorođenčadi (beba do mjesec dana starosti) nije utvrđena, primjena cefazolina kod ove grupe pacijenata se ne preporučuje. Intramuskularna upotreba je pogodna kod djece starije od 30 mjeseci.</w:t>
      </w:r>
    </w:p>
    <w:p w:rsid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021D48" w:rsidRDefault="00021D48"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021D48" w:rsidRDefault="00021D48"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021D48" w:rsidRDefault="00021D48"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021D48" w:rsidRDefault="00021D48"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021D48" w:rsidRDefault="00021D48"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021D48" w:rsidRDefault="00021D48"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021D48" w:rsidRPr="001A5CB6" w:rsidRDefault="00021D48"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tbl>
      <w:tblPr>
        <w:tblStyle w:val="TableGrid2"/>
        <w:tblW w:w="0" w:type="auto"/>
        <w:tblLook w:val="04A0" w:firstRow="1" w:lastRow="0" w:firstColumn="1" w:lastColumn="0" w:noHBand="0" w:noVBand="1"/>
      </w:tblPr>
      <w:tblGrid>
        <w:gridCol w:w="1817"/>
        <w:gridCol w:w="1838"/>
        <w:gridCol w:w="1904"/>
        <w:gridCol w:w="1838"/>
        <w:gridCol w:w="1904"/>
      </w:tblGrid>
      <w:tr w:rsidR="001A5CB6" w:rsidRPr="001A5CB6" w:rsidTr="00474FF9">
        <w:tc>
          <w:tcPr>
            <w:tcW w:w="9301" w:type="dxa"/>
            <w:gridSpan w:val="5"/>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lastRenderedPageBreak/>
              <w:t>Vodič za doziranje kod djece</w:t>
            </w:r>
          </w:p>
        </w:tc>
      </w:tr>
      <w:tr w:rsidR="001A5CB6" w:rsidRPr="001A5CB6" w:rsidTr="00474FF9">
        <w:tc>
          <w:tcPr>
            <w:tcW w:w="1817"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Tjelesna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masa</w:t>
            </w:r>
          </w:p>
        </w:tc>
        <w:tc>
          <w:tcPr>
            <w:tcW w:w="3742" w:type="dxa"/>
            <w:gridSpan w:val="2"/>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25 mg/kg/dan</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podijeljeno u 3 doze</w:t>
            </w:r>
          </w:p>
        </w:tc>
        <w:tc>
          <w:tcPr>
            <w:tcW w:w="3742" w:type="dxa"/>
            <w:gridSpan w:val="2"/>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25 mg/kg/dan</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podijeljeno u 4 doze</w:t>
            </w:r>
          </w:p>
        </w:tc>
      </w:tr>
      <w:tr w:rsidR="001A5CB6" w:rsidRPr="001A5CB6" w:rsidTr="00474FF9">
        <w:tc>
          <w:tcPr>
            <w:tcW w:w="1817"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(kg)</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Prosječna pojedinačna doza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mg/8h</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jc w:val="center"/>
              <w:rPr>
                <w:sz w:val="22"/>
                <w:szCs w:val="22"/>
              </w:rPr>
            </w:pPr>
            <w:r w:rsidRPr="001A5CB6">
              <w:rPr>
                <w:sz w:val="22"/>
                <w:szCs w:val="22"/>
              </w:rPr>
              <w:t>Zapremina (ml)</w:t>
            </w:r>
          </w:p>
          <w:p w:rsidR="001A5CB6" w:rsidRPr="001A5CB6" w:rsidRDefault="001A5CB6" w:rsidP="00021D48">
            <w:pPr>
              <w:autoSpaceDE w:val="0"/>
              <w:autoSpaceDN w:val="0"/>
              <w:adjustRightInd w:val="0"/>
              <w:jc w:val="center"/>
              <w:rPr>
                <w:sz w:val="22"/>
                <w:szCs w:val="22"/>
              </w:rPr>
            </w:pPr>
            <w:r w:rsidRPr="001A5CB6">
              <w:rPr>
                <w:sz w:val="22"/>
                <w:szCs w:val="22"/>
              </w:rPr>
              <w:t>potrebna 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rastvaranje 125</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mg/ml</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Prosječna pojedinačna doza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mg/6h</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jc w:val="center"/>
              <w:rPr>
                <w:sz w:val="22"/>
                <w:szCs w:val="22"/>
              </w:rPr>
            </w:pPr>
            <w:r w:rsidRPr="001A5CB6">
              <w:rPr>
                <w:sz w:val="22"/>
                <w:szCs w:val="22"/>
              </w:rPr>
              <w:t>Zapremina (ml)</w:t>
            </w:r>
          </w:p>
          <w:p w:rsidR="001A5CB6" w:rsidRPr="001A5CB6" w:rsidRDefault="001A5CB6" w:rsidP="00021D48">
            <w:pPr>
              <w:autoSpaceDE w:val="0"/>
              <w:autoSpaceDN w:val="0"/>
              <w:adjustRightInd w:val="0"/>
              <w:jc w:val="center"/>
              <w:rPr>
                <w:sz w:val="22"/>
                <w:szCs w:val="22"/>
              </w:rPr>
            </w:pPr>
            <w:r w:rsidRPr="001A5CB6">
              <w:rPr>
                <w:sz w:val="22"/>
                <w:szCs w:val="22"/>
              </w:rPr>
              <w:t>potrebna 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rastvaranje 125</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mg/ml</w:t>
            </w:r>
          </w:p>
        </w:tc>
      </w:tr>
      <w:tr w:rsidR="001A5CB6" w:rsidRPr="001A5CB6" w:rsidTr="00474FF9">
        <w:tc>
          <w:tcPr>
            <w:tcW w:w="1817"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4,5</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40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0,35 ml</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30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0,25 ml</w:t>
            </w:r>
          </w:p>
        </w:tc>
      </w:tr>
      <w:tr w:rsidR="001A5CB6" w:rsidRPr="001A5CB6" w:rsidTr="00474FF9">
        <w:tc>
          <w:tcPr>
            <w:tcW w:w="1817"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9,0</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75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0,60 ml</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55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0,45 ml</w:t>
            </w:r>
          </w:p>
        </w:tc>
      </w:tr>
      <w:tr w:rsidR="001A5CB6" w:rsidRPr="001A5CB6" w:rsidTr="00474FF9">
        <w:tc>
          <w:tcPr>
            <w:tcW w:w="1817"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13,6</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115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0,90 ml</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85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0,70 ml</w:t>
            </w:r>
          </w:p>
        </w:tc>
      </w:tr>
      <w:tr w:rsidR="001A5CB6" w:rsidRPr="001A5CB6" w:rsidTr="00474FF9">
        <w:tc>
          <w:tcPr>
            <w:tcW w:w="1817"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18,1</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150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1,20 ml</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115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0,90 ml</w:t>
            </w:r>
          </w:p>
        </w:tc>
      </w:tr>
      <w:tr w:rsidR="001A5CB6" w:rsidRPr="001A5CB6" w:rsidTr="00474FF9">
        <w:tc>
          <w:tcPr>
            <w:tcW w:w="1817"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22,7</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190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1,50 ml</w:t>
            </w:r>
          </w:p>
        </w:tc>
        <w:tc>
          <w:tcPr>
            <w:tcW w:w="1838"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140 mg</w:t>
            </w:r>
          </w:p>
        </w:tc>
        <w:tc>
          <w:tcPr>
            <w:tcW w:w="1904"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1,10 ml</w:t>
            </w:r>
          </w:p>
        </w:tc>
      </w:tr>
    </w:tbl>
    <w:p w:rsidR="001A5CB6" w:rsidRPr="001A5CB6" w:rsidRDefault="001A5CB6" w:rsidP="00021D48">
      <w:pPr>
        <w:tabs>
          <w:tab w:val="left" w:pos="540"/>
          <w:tab w:val="left" w:pos="569"/>
        </w:tabs>
        <w:spacing w:after="0" w:line="240" w:lineRule="auto"/>
        <w:jc w:val="center"/>
        <w:rPr>
          <w:rFonts w:ascii="Times New Roman" w:eastAsia="Times New Roman" w:hAnsi="Times New Roman" w:cs="Times New Roman"/>
          <w:bCs/>
          <w:u w:val="single"/>
          <w:lang w:val="sr-Latn-ME"/>
        </w:rPr>
      </w:pPr>
    </w:p>
    <w:tbl>
      <w:tblPr>
        <w:tblStyle w:val="TableGrid2"/>
        <w:tblW w:w="0" w:type="auto"/>
        <w:tblLook w:val="04A0" w:firstRow="1" w:lastRow="0" w:firstColumn="1" w:lastColumn="0" w:noHBand="0" w:noVBand="1"/>
      </w:tblPr>
      <w:tblGrid>
        <w:gridCol w:w="1809"/>
        <w:gridCol w:w="1841"/>
        <w:gridCol w:w="1905"/>
        <w:gridCol w:w="1841"/>
        <w:gridCol w:w="1905"/>
      </w:tblGrid>
      <w:tr w:rsidR="001A5CB6" w:rsidRPr="001A5CB6" w:rsidTr="00474FF9">
        <w:tc>
          <w:tcPr>
            <w:tcW w:w="9301" w:type="dxa"/>
            <w:gridSpan w:val="5"/>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Vodič za doziranje kod djece</w:t>
            </w:r>
          </w:p>
        </w:tc>
      </w:tr>
      <w:tr w:rsidR="001A5CB6" w:rsidRPr="001A5CB6" w:rsidTr="00474FF9">
        <w:tc>
          <w:tcPr>
            <w:tcW w:w="1809"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Tjelesna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masa</w:t>
            </w:r>
          </w:p>
        </w:tc>
        <w:tc>
          <w:tcPr>
            <w:tcW w:w="3746" w:type="dxa"/>
            <w:gridSpan w:val="2"/>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50 mg/kg/dan</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podijeljeno u 3 doze</w:t>
            </w:r>
          </w:p>
        </w:tc>
        <w:tc>
          <w:tcPr>
            <w:tcW w:w="3746" w:type="dxa"/>
            <w:gridSpan w:val="2"/>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50 mg/kg/dan</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podijeljeno u 4 doze</w:t>
            </w:r>
          </w:p>
        </w:tc>
      </w:tr>
      <w:tr w:rsidR="001A5CB6" w:rsidRPr="001A5CB6" w:rsidTr="00474FF9">
        <w:tc>
          <w:tcPr>
            <w:tcW w:w="1809"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(kg)</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Prosječna pojedinačna doza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mg/8h</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jc w:val="center"/>
              <w:rPr>
                <w:sz w:val="22"/>
                <w:szCs w:val="22"/>
              </w:rPr>
            </w:pPr>
            <w:r w:rsidRPr="001A5CB6">
              <w:rPr>
                <w:sz w:val="22"/>
                <w:szCs w:val="22"/>
              </w:rPr>
              <w:t>Zapremina (ml)</w:t>
            </w:r>
          </w:p>
          <w:p w:rsidR="001A5CB6" w:rsidRPr="001A5CB6" w:rsidRDefault="001A5CB6" w:rsidP="00021D48">
            <w:pPr>
              <w:autoSpaceDE w:val="0"/>
              <w:autoSpaceDN w:val="0"/>
              <w:adjustRightInd w:val="0"/>
              <w:jc w:val="center"/>
              <w:rPr>
                <w:sz w:val="22"/>
                <w:szCs w:val="22"/>
              </w:rPr>
            </w:pPr>
            <w:r w:rsidRPr="001A5CB6">
              <w:rPr>
                <w:sz w:val="22"/>
                <w:szCs w:val="22"/>
              </w:rPr>
              <w:t>potrebna 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rastvaranje 225</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mg/ml</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Prosječna pojedinačna doza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mg/6h</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autoSpaceDE w:val="0"/>
              <w:autoSpaceDN w:val="0"/>
              <w:adjustRightInd w:val="0"/>
              <w:jc w:val="center"/>
              <w:rPr>
                <w:sz w:val="22"/>
                <w:szCs w:val="22"/>
              </w:rPr>
            </w:pPr>
            <w:r w:rsidRPr="001A5CB6">
              <w:rPr>
                <w:sz w:val="22"/>
                <w:szCs w:val="22"/>
              </w:rPr>
              <w:t>Zapremina (ml)</w:t>
            </w:r>
          </w:p>
          <w:p w:rsidR="001A5CB6" w:rsidRPr="001A5CB6" w:rsidRDefault="001A5CB6" w:rsidP="00021D48">
            <w:pPr>
              <w:autoSpaceDE w:val="0"/>
              <w:autoSpaceDN w:val="0"/>
              <w:adjustRightInd w:val="0"/>
              <w:jc w:val="center"/>
              <w:rPr>
                <w:sz w:val="22"/>
                <w:szCs w:val="22"/>
              </w:rPr>
            </w:pPr>
            <w:r w:rsidRPr="001A5CB6">
              <w:rPr>
                <w:sz w:val="22"/>
                <w:szCs w:val="22"/>
              </w:rPr>
              <w:t>potrebna za</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rastvaranje 225</w:t>
            </w:r>
          </w:p>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mg/ml</w:t>
            </w:r>
          </w:p>
        </w:tc>
      </w:tr>
      <w:tr w:rsidR="001A5CB6" w:rsidRPr="001A5CB6" w:rsidTr="00474FF9">
        <w:tc>
          <w:tcPr>
            <w:tcW w:w="1809"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4,5</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75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0,35 ml</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55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0,25 ml</w:t>
            </w:r>
          </w:p>
        </w:tc>
      </w:tr>
      <w:tr w:rsidR="001A5CB6" w:rsidRPr="001A5CB6" w:rsidTr="00474FF9">
        <w:tc>
          <w:tcPr>
            <w:tcW w:w="1809"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9,0</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150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0,70 ml</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110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0,50 ml</w:t>
            </w:r>
          </w:p>
        </w:tc>
      </w:tr>
      <w:tr w:rsidR="001A5CB6" w:rsidRPr="001A5CB6" w:rsidTr="00474FF9">
        <w:tc>
          <w:tcPr>
            <w:tcW w:w="1809"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13,6</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225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1,00 ml</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170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0,75 ml</w:t>
            </w:r>
          </w:p>
        </w:tc>
      </w:tr>
      <w:tr w:rsidR="001A5CB6" w:rsidRPr="001A5CB6" w:rsidTr="00474FF9">
        <w:tc>
          <w:tcPr>
            <w:tcW w:w="1809"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18,1</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300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1,35 ml</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225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1,00 ml</w:t>
            </w:r>
          </w:p>
        </w:tc>
      </w:tr>
      <w:tr w:rsidR="001A5CB6" w:rsidRPr="001A5CB6" w:rsidTr="00474FF9">
        <w:tc>
          <w:tcPr>
            <w:tcW w:w="1809"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22,7</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375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1,70 ml</w:t>
            </w:r>
          </w:p>
        </w:tc>
        <w:tc>
          <w:tcPr>
            <w:tcW w:w="1841"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285 mg</w:t>
            </w:r>
          </w:p>
        </w:tc>
        <w:tc>
          <w:tcPr>
            <w:tcW w:w="1905" w:type="dxa"/>
            <w:tcBorders>
              <w:top w:val="single" w:sz="4" w:space="0" w:color="auto"/>
              <w:left w:val="single" w:sz="4" w:space="0" w:color="auto"/>
              <w:bottom w:val="single" w:sz="4" w:space="0" w:color="auto"/>
              <w:right w:val="single" w:sz="4" w:space="0" w:color="auto"/>
            </w:tcBorders>
            <w:hideMark/>
          </w:tcPr>
          <w:p w:rsidR="001A5CB6" w:rsidRPr="001A5CB6" w:rsidRDefault="001A5CB6" w:rsidP="00021D48">
            <w:pPr>
              <w:tabs>
                <w:tab w:val="left" w:pos="720"/>
              </w:tabs>
              <w:autoSpaceDE w:val="0"/>
              <w:autoSpaceDN w:val="0"/>
              <w:adjustRightInd w:val="0"/>
              <w:jc w:val="center"/>
              <w:rPr>
                <w:sz w:val="22"/>
                <w:szCs w:val="22"/>
              </w:rPr>
            </w:pPr>
            <w:r w:rsidRPr="001A5CB6">
              <w:rPr>
                <w:sz w:val="22"/>
                <w:szCs w:val="22"/>
              </w:rPr>
              <w:t>1,25 ml</w:t>
            </w:r>
          </w:p>
        </w:tc>
      </w:tr>
    </w:tbl>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Način primjene</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Cefazolin se može primjenjivati kao:</w:t>
      </w:r>
    </w:p>
    <w:p w:rsidR="001A5CB6" w:rsidRPr="001A5CB6" w:rsidRDefault="001A5CB6" w:rsidP="001A5CB6">
      <w:pPr>
        <w:numPr>
          <w:ilvl w:val="0"/>
          <w:numId w:val="6"/>
        </w:numPr>
        <w:tabs>
          <w:tab w:val="left" w:pos="540"/>
          <w:tab w:val="left" w:pos="569"/>
        </w:tabs>
        <w:spacing w:after="0" w:line="240" w:lineRule="auto"/>
        <w:contextualSpacing/>
        <w:jc w:val="both"/>
        <w:rPr>
          <w:rFonts w:ascii="Times New Roman" w:eastAsia="Times New Roman" w:hAnsi="Times New Roman" w:cs="Times New Roman"/>
          <w:bCs/>
          <w:u w:val="single"/>
          <w:lang w:val="sr-Latn-ME"/>
        </w:rPr>
      </w:pPr>
      <w:r w:rsidRPr="001A5CB6">
        <w:rPr>
          <w:rFonts w:ascii="Times New Roman" w:eastAsia="Times New Roman" w:hAnsi="Times New Roman" w:cs="Times New Roman"/>
          <w:bCs/>
          <w:lang w:val="sr-Latn-ME"/>
        </w:rPr>
        <w:t>i.m. injekcija,</w:t>
      </w:r>
    </w:p>
    <w:p w:rsidR="001A5CB6" w:rsidRPr="001A5CB6" w:rsidRDefault="001A5CB6" w:rsidP="001A5CB6">
      <w:pPr>
        <w:numPr>
          <w:ilvl w:val="0"/>
          <w:numId w:val="6"/>
        </w:numPr>
        <w:tabs>
          <w:tab w:val="left" w:pos="540"/>
          <w:tab w:val="left" w:pos="569"/>
        </w:tabs>
        <w:spacing w:after="0" w:line="240" w:lineRule="auto"/>
        <w:contextualSpacing/>
        <w:jc w:val="both"/>
        <w:rPr>
          <w:rFonts w:ascii="Times New Roman" w:eastAsia="Times New Roman" w:hAnsi="Times New Roman" w:cs="Times New Roman"/>
          <w:bCs/>
          <w:u w:val="single"/>
          <w:lang w:val="sr-Latn-ME"/>
        </w:rPr>
      </w:pPr>
      <w:r w:rsidRPr="001A5CB6">
        <w:rPr>
          <w:rFonts w:ascii="Times New Roman" w:eastAsia="Times New Roman" w:hAnsi="Times New Roman" w:cs="Times New Roman"/>
          <w:bCs/>
          <w:lang w:val="sr-Latn-ME"/>
        </w:rPr>
        <w:t>i.v. direktna (bolus) injekcija ili i.v. infuzija.</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u w:val="single"/>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Ukupna dnevna doza je ista bez obzira na način primjene.</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b/>
          <w:lang w:val="sr-Latn-ME" w:eastAsia="sr-Latn-ME"/>
        </w:rPr>
        <w:t>Priprema rastvora za intramuskularnu upotrebu:</w:t>
      </w:r>
      <w:r w:rsidRPr="001A5CB6">
        <w:rPr>
          <w:rFonts w:ascii="Times New Roman" w:eastAsia="Times New Roman" w:hAnsi="Times New Roman" w:cs="Times New Roman"/>
          <w:lang w:val="sr-Latn-ME" w:eastAsia="sr-Latn-ME"/>
        </w:rPr>
        <w:t xml:space="preserve"> rastvoriti sadržaj ampule u 4 - 5 ml vode za injekcije ili u izotoničnom (0,9%) rastvoru natrijum hlorida uz jače mućkanje do potpunog rastvaranja. Treba vizuelno provjeriti odsustvo čestica prije primjene. Ukoliko su čestice primjetne u rekonstituisanoj tečnosti, rastvor lijeka treba uništiti. Pripremljeni rastvor se daje duboko u mišić.</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b/>
          <w:lang w:val="sr-Latn-ME" w:eastAsia="sr-Latn-ME"/>
        </w:rPr>
        <w:t>Priprema rastvora za kraću intravensku primjenu:</w:t>
      </w:r>
      <w:r w:rsidRPr="001A5CB6">
        <w:rPr>
          <w:rFonts w:ascii="Times New Roman" w:eastAsia="Times New Roman" w:hAnsi="Times New Roman" w:cs="Times New Roman"/>
          <w:lang w:val="sr-Latn-ME" w:eastAsia="sr-Latn-ME"/>
        </w:rPr>
        <w:t xml:space="preserve"> sadržaj ampule rastvoriti sa 10 ml izotoničnog (0,9%) rastvora natrijum hlorida i sporo davati tokom 3 - 5 minuta.</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b/>
          <w:lang w:val="sr-Latn-ME" w:eastAsia="sr-Latn-ME"/>
        </w:rPr>
        <w:t xml:space="preserve">Priprema rastvora za </w:t>
      </w:r>
      <w:r w:rsidRPr="001A5CB6">
        <w:rPr>
          <w:rFonts w:ascii="Times New Roman" w:eastAsia="Times New Roman" w:hAnsi="Times New Roman" w:cs="Times New Roman"/>
          <w:b/>
          <w:u w:val="single"/>
          <w:lang w:val="sr-Latn-ME" w:eastAsia="sr-Latn-ME"/>
        </w:rPr>
        <w:t>dužu intravensku primjenu</w:t>
      </w:r>
      <w:r w:rsidRPr="001A5CB6">
        <w:rPr>
          <w:rFonts w:ascii="Times New Roman" w:eastAsia="Times New Roman" w:hAnsi="Times New Roman" w:cs="Times New Roman"/>
          <w:b/>
          <w:lang w:val="sr-Latn-ME" w:eastAsia="sr-Latn-ME"/>
        </w:rPr>
        <w:t>:</w:t>
      </w:r>
      <w:r w:rsidRPr="001A5CB6">
        <w:rPr>
          <w:rFonts w:ascii="Times New Roman" w:eastAsia="Times New Roman" w:hAnsi="Times New Roman" w:cs="Times New Roman"/>
          <w:lang w:val="sr-Latn-ME" w:eastAsia="sr-Latn-ME"/>
        </w:rPr>
        <w:t xml:space="preserve"> sadržaj ampule rastvoriti u 50 - 100 ml izotoničnog (0,9%) rastvora natrijum hlorida ili 5% rastvora glukoze. Trajanje infuzije je 20 - 30 minuta.</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lang w:val="sr-Latn-ME" w:eastAsia="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lang w:val="sr-Latn-ME" w:eastAsia="sr-Latn-ME"/>
        </w:rPr>
        <w:t>Bočice su namijenjene za jednokratno uzimanje nakon pripreme rastvora.</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lastRenderedPageBreak/>
        <w:t>Rastvor se uvijek priprema svjež i mora se upotrijebiti odmah, zašticen od svjetlosti i toplote (do 25°C).</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Cefazolin i njegov rastvor treba čuvati u originalnom pakovanju u cilju zaštite od svjetlosti (do 25°C).</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Default="001A5CB6" w:rsidP="001A5CB6">
      <w:pPr>
        <w:autoSpaceDE w:val="0"/>
        <w:autoSpaceDN w:val="0"/>
        <w:adjustRightInd w:val="0"/>
        <w:spacing w:after="0" w:line="240" w:lineRule="auto"/>
        <w:jc w:val="both"/>
        <w:rPr>
          <w:rFonts w:ascii="Times New Roman" w:eastAsia="Times New Roman" w:hAnsi="Times New Roman" w:cs="Times New Roman"/>
          <w:b/>
          <w:lang w:val="sr-Latn-ME" w:eastAsia="sr-Latn-ME"/>
        </w:rPr>
      </w:pPr>
      <w:r w:rsidRPr="001A5CB6">
        <w:rPr>
          <w:rFonts w:ascii="Times New Roman" w:eastAsia="Times New Roman" w:hAnsi="Times New Roman" w:cs="Times New Roman"/>
          <w:b/>
          <w:lang w:val="sr-Latn-ME" w:eastAsia="sr-Latn-ME"/>
        </w:rPr>
        <w:t>Trajanje terapije:</w:t>
      </w:r>
    </w:p>
    <w:p w:rsidR="00021D48" w:rsidRPr="001A5CB6" w:rsidRDefault="00021D48" w:rsidP="001A5CB6">
      <w:pPr>
        <w:autoSpaceDE w:val="0"/>
        <w:autoSpaceDN w:val="0"/>
        <w:adjustRightInd w:val="0"/>
        <w:spacing w:after="0" w:line="240" w:lineRule="auto"/>
        <w:jc w:val="both"/>
        <w:rPr>
          <w:rFonts w:ascii="Times New Roman" w:eastAsia="Times New Roman" w:hAnsi="Times New Roman" w:cs="Times New Roman"/>
          <w:b/>
          <w:lang w:val="sr-Latn-ME" w:eastAsia="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Trajanje liječenja se određuje prema reakciji uzročnika i kliničkoj slici. Liječenje bi trebalo da se sprovodi i nakon povlačenja simptoma i da se produži još nekoliko dana. Prosječna dužina terapije iznosi 7 - 10 dana.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 xml:space="preserve">Ako ste primili više lijeka </w:t>
      </w:r>
      <w:r w:rsidRPr="001A5CB6">
        <w:rPr>
          <w:rFonts w:ascii="Times New Roman" w:eastAsia="Times New Roman" w:hAnsi="Times New Roman" w:cs="Times New Roman"/>
          <w:b/>
          <w:lang w:val="sr-Latn-ME" w:eastAsia="sr-Latn-ME"/>
        </w:rPr>
        <w:t>Cefazolin Sandoz</w:t>
      </w:r>
      <w:r w:rsidRPr="001A5CB6">
        <w:rPr>
          <w:rFonts w:ascii="Times New Roman" w:eastAsia="Times New Roman" w:hAnsi="Times New Roman" w:cs="Times New Roman"/>
          <w:b/>
          <w:lang w:val="sr-Latn-ME"/>
        </w:rPr>
        <w:t xml:space="preserve"> nego što je trebalo</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Ovaj lijek se primjenjuje pod strogim nadzorom medicinskog osoblja, tako da je malo vjerovatno da ćete primiti previsoku dozu. Ipak ukoliko imate bilo kakva pitanja obratite se Vašem ljekaru.</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U slučaju predoziranja cefazolinom mogu se javiti lokalne promjene na mestu ubrizgavanja (bol, zapaljenska reakcija, flebitis), kao i tegobe od strane centralnog nervnog sistema (glavobolja, vrtoglavica, parestezije; pojava konvulzija). Takođe, može doći do poremećaja vrijednosti laboratorijskih testova: povećanje nivoa uree, enzima jetre (SGOT, SGPT) i bilirubina u serumu, pozitivan Coombs-ov test, trombocitoza, trombocitopenija, eozinofilija, leukopenija i produžavanje protrombinskog vremena.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U slučaju konvulzija mora se odmah prekinuti primjena cefazolina i primijeniti odgovarajuća antikonvulzivna terapija.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U slučaju trovanja indikovane su mjere ubrzanja eliminacije. Ne postoji specifičan antidot. Cefazolin se eliminiše iz organizma hemodijalizom. </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U pojedinačnim slučajevima može doći do pojave anafilaktičkog šoka i u tom slučaju potrebno je primijeniti odgovarajuće urgentne mjere. </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Takođe, moguća je pojava alergijske reakcije što zahtijeva prekid terapije i sprovođenje terapije desenzibilizacije.</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lang w:val="sr-Latn-ME"/>
        </w:rPr>
      </w:pPr>
    </w:p>
    <w:p w:rsidR="001A5CB6" w:rsidRDefault="001A5CB6" w:rsidP="001A5CB6">
      <w:pPr>
        <w:spacing w:after="0" w:line="240" w:lineRule="auto"/>
        <w:jc w:val="both"/>
        <w:rPr>
          <w:rFonts w:ascii="Times New Roman" w:eastAsia="Times New Roman" w:hAnsi="Times New Roman" w:cs="Times New Roman"/>
          <w:b/>
          <w:lang w:val="sr-Latn-ME" w:eastAsia="sr-Latn-ME"/>
        </w:rPr>
      </w:pPr>
      <w:r w:rsidRPr="001A5CB6">
        <w:rPr>
          <w:rFonts w:ascii="Times New Roman" w:eastAsia="Times New Roman" w:hAnsi="Times New Roman" w:cs="Times New Roman"/>
          <w:b/>
          <w:lang w:val="sr-Latn-ME"/>
        </w:rPr>
        <w:t xml:space="preserve">Ako ste zaboravili da primite lijek </w:t>
      </w:r>
      <w:r w:rsidRPr="001A5CB6">
        <w:rPr>
          <w:rFonts w:ascii="Times New Roman" w:eastAsia="Times New Roman" w:hAnsi="Times New Roman" w:cs="Times New Roman"/>
          <w:b/>
          <w:lang w:val="sr-Latn-ME" w:eastAsia="sr-Latn-ME"/>
        </w:rPr>
        <w:t>Cefazolin Sandoz</w:t>
      </w:r>
    </w:p>
    <w:p w:rsidR="00021D48" w:rsidRPr="001A5CB6" w:rsidRDefault="00021D48" w:rsidP="001A5CB6">
      <w:pPr>
        <w:spacing w:after="0" w:line="240" w:lineRule="auto"/>
        <w:jc w:val="both"/>
        <w:rPr>
          <w:rFonts w:ascii="Times New Roman" w:eastAsia="Times New Roman" w:hAnsi="Times New Roman" w:cs="Times New Roman"/>
          <w:b/>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Vaš ljekar ili medicinska sestra će se pobrinuti da redovno dobijate lijek, tako da nije vjerovatno da će neka doza biti izostavljena. Međutim, recite Vašem ljekaru ako mislite da nijeste primili potrebnu dozu lijeka.</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1A5CB6" w:rsidRPr="001A5CB6" w:rsidRDefault="001A5CB6" w:rsidP="001A5CB6">
      <w:pPr>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Ne uzimajte duplu dozu da bi nadoknadili propuštenu dozu.</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 xml:space="preserve">Ako prestanete da primate lijek </w:t>
      </w:r>
      <w:r w:rsidRPr="001A5CB6">
        <w:rPr>
          <w:rFonts w:ascii="Times New Roman" w:eastAsia="Times New Roman" w:hAnsi="Times New Roman" w:cs="Times New Roman"/>
          <w:b/>
          <w:lang w:val="sr-Latn-ME" w:eastAsia="sr-Latn-ME"/>
        </w:rPr>
        <w:t>Cefazolin Sandoz</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Ne očekuju se nikakvi negativni efekti osim ponovnog razvoja infekcije, ukoliko je u pitanju prijevremeni prekid terapije.</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Ako imate dodatnih pitanja o primjeni ovog lijeka obratite se svom ljekaru, farmaceutu ili medicinskoj sestri.</w:t>
      </w:r>
    </w:p>
    <w:p w:rsid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021D48" w:rsidRDefault="00021D48"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021D48" w:rsidRDefault="00021D48"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021D48" w:rsidRDefault="00021D48"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021D48" w:rsidRPr="001A5CB6" w:rsidRDefault="00021D48"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lastRenderedPageBreak/>
        <w:t xml:space="preserve">4. </w:t>
      </w:r>
      <w:r w:rsidRPr="001A5CB6">
        <w:rPr>
          <w:rFonts w:ascii="Times New Roman" w:eastAsia="Times New Roman" w:hAnsi="Times New Roman" w:cs="Times New Roman"/>
          <w:b/>
          <w:bCs/>
          <w:lang w:val="sr-Latn-ME"/>
        </w:rPr>
        <w:tab/>
        <w:t>MOGUĆA NEŽELJENA DEJSTVA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Kao i svi ljekovi i lijek </w:t>
      </w:r>
      <w:r w:rsidRPr="001A5CB6">
        <w:rPr>
          <w:rFonts w:ascii="Times New Roman" w:eastAsia="Times New Roman" w:hAnsi="Times New Roman" w:cs="Times New Roman"/>
          <w:lang w:val="sr-Latn-ME" w:eastAsia="sr-Latn-ME"/>
        </w:rPr>
        <w:t>Cefazolin Sandoz</w:t>
      </w:r>
      <w:r w:rsidRPr="001A5CB6">
        <w:rPr>
          <w:rFonts w:ascii="Times New Roman" w:eastAsia="Times New Roman" w:hAnsi="Times New Roman" w:cs="Times New Roman"/>
          <w:lang w:val="sr-Latn-ME"/>
        </w:rPr>
        <w:t xml:space="preserve"> može izazvati neželjena dejstva, iako se ona ne moraju javiti kod svakoga.</w:t>
      </w:r>
    </w:p>
    <w:p w:rsidR="001A5CB6" w:rsidRPr="001A5CB6" w:rsidRDefault="001A5CB6" w:rsidP="001A5CB6">
      <w:pPr>
        <w:spacing w:after="0" w:line="240" w:lineRule="auto"/>
        <w:jc w:val="both"/>
        <w:rPr>
          <w:rFonts w:ascii="Times New Roman" w:eastAsia="Calibri" w:hAnsi="Times New Roman" w:cs="Times New Roman"/>
          <w:spacing w:val="-5"/>
          <w:u w:val="single"/>
          <w:lang w:val="sr-Latn-ME"/>
        </w:rPr>
      </w:pPr>
    </w:p>
    <w:p w:rsidR="001A5CB6" w:rsidRPr="001A5CB6" w:rsidRDefault="001A5CB6" w:rsidP="001A5CB6">
      <w:pPr>
        <w:spacing w:after="0" w:line="240" w:lineRule="auto"/>
        <w:jc w:val="both"/>
        <w:rPr>
          <w:rFonts w:ascii="Times New Roman" w:eastAsia="Times New Roman" w:hAnsi="Times New Roman" w:cs="Times New Roman"/>
          <w:i/>
          <w:iCs/>
          <w:lang w:val="sr-Latn-ME"/>
        </w:rPr>
      </w:pPr>
      <w:r w:rsidRPr="001A5CB6">
        <w:rPr>
          <w:rFonts w:ascii="Times New Roman" w:eastAsia="Times New Roman" w:hAnsi="Times New Roman" w:cs="Times New Roman"/>
          <w:i/>
          <w:iCs/>
          <w:lang w:val="sr-Latn-ME"/>
        </w:rPr>
        <w:t>Način navođenja učestalosti neželjenih dejstava:</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Veoma česta neželjena dejstva (mogu da se jave kod više od 1 na 10 pacijenata koji uzimaju lijek):</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Česta neželjena dejstva (mogu da se jave kod najviše 1 na 10 pacijenata koji uzimaju lijek):</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Povremena neželjena dejstva (mogu da se jave kod najviše 1 na 100 pacijenata koji uzimaju lijek):</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Rijetka neželjena dejstva (mogu da se jave kod najviše 1 na 1000 pacijenata koji uzimaju lijek):</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Veoma rijetka neželjena dejstva (mogu da se jave kod najviše 1 na 10000 pacijenata koji uzimaju lijek):</w:t>
      </w: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Nepoznata učestalost: ne može se procijeniti na osnovu dostupnih podataka.</w:t>
      </w:r>
    </w:p>
    <w:p w:rsidR="001A5CB6" w:rsidRPr="001A5CB6" w:rsidRDefault="001A5CB6" w:rsidP="001A5CB6">
      <w:pPr>
        <w:spacing w:after="0" w:line="240" w:lineRule="auto"/>
        <w:jc w:val="both"/>
        <w:rPr>
          <w:rFonts w:ascii="Times New Roman" w:eastAsia="Times New Roman" w:hAnsi="Times New Roman" w:cs="Times New Roman"/>
          <w:i/>
          <w:iCs/>
          <w:lang w:val="sr-Latn-ME"/>
        </w:rPr>
      </w:pPr>
    </w:p>
    <w:p w:rsidR="001A5CB6" w:rsidRPr="001A5CB6" w:rsidRDefault="001A5CB6" w:rsidP="001A5CB6">
      <w:pPr>
        <w:spacing w:after="0" w:line="240" w:lineRule="auto"/>
        <w:jc w:val="both"/>
        <w:rPr>
          <w:rFonts w:ascii="Times New Roman" w:eastAsia="Times New Roman" w:hAnsi="Times New Roman" w:cs="Times New Roman"/>
          <w:i/>
          <w:lang w:val="sr-Latn-ME"/>
        </w:rPr>
      </w:pPr>
      <w:r w:rsidRPr="001A5CB6">
        <w:rPr>
          <w:rFonts w:ascii="Times New Roman" w:eastAsia="Times New Roman" w:hAnsi="Times New Roman" w:cs="Times New Roman"/>
          <w:i/>
          <w:lang w:val="sr-Latn-ME"/>
        </w:rPr>
        <w:t xml:space="preserve">Povremena neželjena dejstva (mogu da se jave kod najviše 1 na 100 pacijenata koji uzimaju lijek): </w:t>
      </w:r>
    </w:p>
    <w:p w:rsidR="001A5CB6" w:rsidRPr="001A5CB6" w:rsidRDefault="001A5CB6" w:rsidP="001A5CB6">
      <w:pPr>
        <w:numPr>
          <w:ilvl w:val="0"/>
          <w:numId w:val="8"/>
        </w:numPr>
        <w:spacing w:after="0" w:line="240" w:lineRule="auto"/>
        <w:ind w:left="360"/>
        <w:jc w:val="both"/>
        <w:rPr>
          <w:rFonts w:ascii="Times New Roman" w:eastAsia="Calibri" w:hAnsi="Times New Roman" w:cs="Times New Roman"/>
          <w:spacing w:val="-5"/>
          <w:u w:val="single"/>
          <w:lang w:val="sr-Latn-ME"/>
        </w:rPr>
      </w:pPr>
      <w:r w:rsidRPr="001A5CB6">
        <w:rPr>
          <w:rFonts w:ascii="Times New Roman" w:eastAsia="Times New Roman" w:hAnsi="Times New Roman" w:cs="Times New Roman"/>
          <w:lang w:val="sr-Latn-ME"/>
        </w:rPr>
        <w:t>alergijske reakcije na koži kao što su osip, koprivnjača i svrab</w:t>
      </w:r>
    </w:p>
    <w:p w:rsidR="001A5CB6" w:rsidRPr="001A5CB6" w:rsidRDefault="001A5CB6" w:rsidP="001A5CB6">
      <w:pPr>
        <w:numPr>
          <w:ilvl w:val="0"/>
          <w:numId w:val="7"/>
        </w:numPr>
        <w:spacing w:after="0" w:line="240" w:lineRule="auto"/>
        <w:ind w:left="360"/>
        <w:jc w:val="both"/>
        <w:rPr>
          <w:rFonts w:ascii="Times New Roman" w:eastAsia="Calibri" w:hAnsi="Times New Roman" w:cs="Times New Roman"/>
          <w:spacing w:val="-5"/>
          <w:u w:val="single"/>
          <w:lang w:val="sr-Latn-ME"/>
        </w:rPr>
      </w:pPr>
      <w:r w:rsidRPr="001A5CB6">
        <w:rPr>
          <w:rFonts w:ascii="Times New Roman" w:eastAsia="Times New Roman" w:hAnsi="Times New Roman" w:cs="Times New Roman"/>
          <w:lang w:val="sr-Latn-ME"/>
        </w:rPr>
        <w:t>gastrointestinalne smetnje u obliku proliva, povraćanja, mučnine, gubitka apetita, nadutosti, bolova u stomaku, koji su lakše prirode i često prestaju još u toku ili nakon završetka terapije. Kod teških i upornih proliva, treba razmotriti postojanje pseudomembranoznog enterokolitisa (zapaljenje crijeva), što zahtijeva prekid terapije i hitno uvođenje odgovarajućih mjera (npr. vankomicin 4 puta po 250mg dnevno, oralno)</w:t>
      </w:r>
    </w:p>
    <w:p w:rsidR="001A5CB6" w:rsidRPr="001A5CB6" w:rsidRDefault="001A5CB6" w:rsidP="001A5CB6">
      <w:pPr>
        <w:numPr>
          <w:ilvl w:val="0"/>
          <w:numId w:val="7"/>
        </w:numPr>
        <w:spacing w:after="0" w:line="240" w:lineRule="auto"/>
        <w:ind w:left="360"/>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nakon intravenske aplikacije, može doći do flebitisa ili do tromboflebitisa (zapaljenje vena)</w:t>
      </w:r>
    </w:p>
    <w:p w:rsidR="001A5CB6" w:rsidRPr="001A5CB6" w:rsidRDefault="001A5CB6" w:rsidP="001A5CB6">
      <w:pPr>
        <w:numPr>
          <w:ilvl w:val="0"/>
          <w:numId w:val="7"/>
        </w:numPr>
        <w:spacing w:after="0" w:line="240" w:lineRule="auto"/>
        <w:ind w:left="360"/>
        <w:jc w:val="both"/>
        <w:rPr>
          <w:rFonts w:ascii="Times New Roman" w:eastAsia="Calibri" w:hAnsi="Times New Roman" w:cs="Times New Roman"/>
          <w:spacing w:val="-5"/>
          <w:u w:val="single"/>
          <w:lang w:val="sr-Latn-ME"/>
        </w:rPr>
      </w:pPr>
      <w:r w:rsidRPr="001A5CB6">
        <w:rPr>
          <w:rFonts w:ascii="Times New Roman" w:eastAsia="Times New Roman" w:hAnsi="Times New Roman" w:cs="Times New Roman"/>
          <w:lang w:val="sr-Latn-ME"/>
        </w:rPr>
        <w:t xml:space="preserve">dugotrajna i ponovljena primjena može dovesti do superinfekcija ili kolonizacije rezistentnim bakterijama ili gljivicama (mlečica, </w:t>
      </w:r>
      <w:r w:rsidRPr="001A5CB6">
        <w:rPr>
          <w:rFonts w:ascii="Times New Roman" w:eastAsia="Times New Roman" w:hAnsi="Times New Roman" w:cs="Times New Roman"/>
          <w:i/>
          <w:lang w:val="sr-Latn-ME"/>
        </w:rPr>
        <w:t>Moniliasis vaginalis</w:t>
      </w:r>
      <w:r w:rsidRPr="001A5CB6">
        <w:rPr>
          <w:rFonts w:ascii="Times New Roman" w:eastAsia="Times New Roman" w:hAnsi="Times New Roman" w:cs="Times New Roman"/>
          <w:lang w:val="sr-Latn-ME"/>
        </w:rPr>
        <w:t>). Pojavljuje se i otvrdnuće.</w:t>
      </w:r>
    </w:p>
    <w:p w:rsidR="001A5CB6" w:rsidRPr="001A5CB6" w:rsidRDefault="001A5CB6" w:rsidP="001A5CB6">
      <w:pPr>
        <w:spacing w:after="0" w:line="240" w:lineRule="auto"/>
        <w:jc w:val="both"/>
        <w:rPr>
          <w:rFonts w:ascii="Times New Roman" w:eastAsia="Calibri" w:hAnsi="Times New Roman" w:cs="Times New Roman"/>
          <w:spacing w:val="-5"/>
          <w:u w:val="single"/>
          <w:lang w:val="sr-Latn-ME"/>
        </w:rPr>
      </w:pPr>
    </w:p>
    <w:p w:rsidR="001A5CB6" w:rsidRPr="001A5CB6" w:rsidRDefault="001A5CB6" w:rsidP="001A5CB6">
      <w:pPr>
        <w:spacing w:after="0" w:line="240" w:lineRule="auto"/>
        <w:jc w:val="both"/>
        <w:rPr>
          <w:rFonts w:ascii="Times New Roman" w:eastAsia="Times New Roman" w:hAnsi="Times New Roman" w:cs="Times New Roman"/>
          <w:i/>
          <w:lang w:val="sr-Latn-ME"/>
        </w:rPr>
      </w:pPr>
      <w:r w:rsidRPr="001A5CB6">
        <w:rPr>
          <w:rFonts w:ascii="Times New Roman" w:eastAsia="Times New Roman" w:hAnsi="Times New Roman" w:cs="Times New Roman"/>
          <w:i/>
          <w:lang w:val="sr-Latn-ME"/>
        </w:rPr>
        <w:t>Rijetka neželjena dejstva (mogu da se jave kod najviše 1 na 1000 pacijenata koji uzimaju lijek):</w:t>
      </w:r>
    </w:p>
    <w:p w:rsidR="001A5CB6" w:rsidRPr="001A5CB6" w:rsidRDefault="001A5CB6" w:rsidP="001A5CB6">
      <w:pPr>
        <w:numPr>
          <w:ilvl w:val="0"/>
          <w:numId w:val="9"/>
        </w:numPr>
        <w:spacing w:after="0" w:line="240" w:lineRule="auto"/>
        <w:jc w:val="both"/>
        <w:rPr>
          <w:rFonts w:ascii="Times New Roman" w:eastAsia="Calibri" w:hAnsi="Times New Roman" w:cs="Times New Roman"/>
          <w:spacing w:val="-5"/>
          <w:u w:val="single"/>
          <w:lang w:val="sr-Latn-ME"/>
        </w:rPr>
      </w:pPr>
      <w:r w:rsidRPr="001A5CB6">
        <w:rPr>
          <w:rFonts w:ascii="Times New Roman" w:eastAsia="Times New Roman" w:hAnsi="Times New Roman" w:cs="Times New Roman"/>
          <w:lang w:val="sr-Latn-ME"/>
        </w:rPr>
        <w:t>dejstvo na krvnu sliku je toksično i alergijsko i može se javiti u obliku trombocitopenije, trombocitoza trombocitemija, neutropenije, leukopenije ili eozinofilije (promjene u broju bijelih krvnih ćelija i krvnih pločica – trombocita). Ove pojave su reverzibilne</w:t>
      </w:r>
    </w:p>
    <w:p w:rsidR="001A5CB6" w:rsidRPr="001A5CB6" w:rsidRDefault="001A5CB6" w:rsidP="001A5CB6">
      <w:pPr>
        <w:numPr>
          <w:ilvl w:val="0"/>
          <w:numId w:val="9"/>
        </w:numPr>
        <w:spacing w:after="0" w:line="240" w:lineRule="auto"/>
        <w:jc w:val="both"/>
        <w:rPr>
          <w:rFonts w:ascii="Times New Roman" w:eastAsia="Calibri" w:hAnsi="Times New Roman" w:cs="Times New Roman"/>
          <w:spacing w:val="-5"/>
          <w:u w:val="single"/>
          <w:lang w:val="sr-Latn-ME"/>
        </w:rPr>
      </w:pPr>
      <w:r w:rsidRPr="001A5CB6">
        <w:rPr>
          <w:rFonts w:ascii="Times New Roman" w:eastAsia="Times New Roman" w:hAnsi="Times New Roman" w:cs="Times New Roman"/>
          <w:lang w:val="sr-Latn-ME"/>
        </w:rPr>
        <w:t>teške reakcije preosjetljivosti kao što je angioneurotski edem (oticanje očnih kapaka, lica, usana ili grla) i temperatura izazvana lijekom</w:t>
      </w:r>
    </w:p>
    <w:p w:rsidR="001A5CB6" w:rsidRPr="001A5CB6" w:rsidRDefault="001A5CB6" w:rsidP="001A5CB6">
      <w:pPr>
        <w:numPr>
          <w:ilvl w:val="0"/>
          <w:numId w:val="9"/>
        </w:numPr>
        <w:spacing w:after="0" w:line="240" w:lineRule="auto"/>
        <w:jc w:val="both"/>
        <w:rPr>
          <w:rFonts w:ascii="Times New Roman" w:eastAsia="Calibri" w:hAnsi="Times New Roman" w:cs="Times New Roman"/>
          <w:spacing w:val="-5"/>
          <w:u w:val="single"/>
          <w:lang w:val="sr-Latn-ME"/>
        </w:rPr>
      </w:pPr>
      <w:r w:rsidRPr="001A5CB6">
        <w:rPr>
          <w:rFonts w:ascii="Times New Roman" w:eastAsia="Times New Roman" w:hAnsi="Times New Roman" w:cs="Times New Roman"/>
          <w:lang w:val="sr-Latn-ME"/>
        </w:rPr>
        <w:t>lakše, prolazno povećanje SGOT i SGPT i AP (enzimi jetre)</w:t>
      </w:r>
    </w:p>
    <w:p w:rsidR="001A5CB6" w:rsidRPr="001A5CB6" w:rsidRDefault="001A5CB6" w:rsidP="001A5CB6">
      <w:pPr>
        <w:numPr>
          <w:ilvl w:val="0"/>
          <w:numId w:val="9"/>
        </w:numPr>
        <w:spacing w:after="0" w:line="240" w:lineRule="auto"/>
        <w:jc w:val="both"/>
        <w:rPr>
          <w:rFonts w:ascii="Times New Roman" w:eastAsia="Calibri" w:hAnsi="Times New Roman" w:cs="Times New Roman"/>
          <w:spacing w:val="-5"/>
          <w:u w:val="single"/>
          <w:lang w:val="sr-Latn-ME"/>
        </w:rPr>
      </w:pPr>
      <w:r w:rsidRPr="001A5CB6">
        <w:rPr>
          <w:rFonts w:ascii="Times New Roman" w:eastAsia="Times New Roman" w:hAnsi="Times New Roman" w:cs="Times New Roman"/>
          <w:lang w:val="sr-Latn-ME"/>
        </w:rPr>
        <w:t>intersticijalni nefritis (upala bubrega) i ostala oboljenja bubrega (sa povećanim nivoom uree i kreatinina u krvi) su primijećena rijetko, najčešće kod teško oboljelih pacijenata koji uzimaju više ljekova.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i/>
          <w:lang w:val="sr-Latn-ME"/>
        </w:rPr>
      </w:pPr>
      <w:r w:rsidRPr="001A5CB6">
        <w:rPr>
          <w:rFonts w:ascii="Times New Roman" w:eastAsia="Times New Roman" w:hAnsi="Times New Roman" w:cs="Times New Roman"/>
          <w:i/>
          <w:lang w:val="sr-Latn-ME"/>
        </w:rPr>
        <w:t>Veoma rijetka neželjena dejstva (mogu da se jave kod najviše 1 na 10000 pacijenata koji uzimaju lijek):</w:t>
      </w:r>
    </w:p>
    <w:p w:rsidR="001A5CB6" w:rsidRPr="001A5CB6" w:rsidRDefault="001A5CB6" w:rsidP="001A5CB6">
      <w:pPr>
        <w:numPr>
          <w:ilvl w:val="0"/>
          <w:numId w:val="10"/>
        </w:num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mogu da se jave smetnje u koagulaciji krvi i krvarenje kao posljedica. Ugroženi su pacijenti sa faktorima rizika koji mogu dovesti do nedostatka vitamina K ili utiču na druge mehanizme koagulacije, kao i pacijenti sa oboljenjima koja izazivaju krvarenje ili ih mogu pojačati.</w:t>
      </w:r>
    </w:p>
    <w:p w:rsidR="001A5CB6" w:rsidRPr="001A5CB6" w:rsidRDefault="001A5CB6" w:rsidP="001A5CB6">
      <w:pPr>
        <w:numPr>
          <w:ilvl w:val="0"/>
          <w:numId w:val="10"/>
        </w:num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može doći do anafilaktičkog šoka opasnog po život</w:t>
      </w:r>
    </w:p>
    <w:p w:rsidR="001A5CB6" w:rsidRPr="001A5CB6" w:rsidRDefault="001A5CB6" w:rsidP="001A5CB6">
      <w:pPr>
        <w:numPr>
          <w:ilvl w:val="0"/>
          <w:numId w:val="10"/>
        </w:num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reverzibilni hepatitis (zapaljenje jetre) i holestatska žutica</w:t>
      </w:r>
    </w:p>
    <w:p w:rsidR="001A5CB6" w:rsidRPr="001A5CB6" w:rsidRDefault="001A5CB6" w:rsidP="001A5CB6">
      <w:pPr>
        <w:numPr>
          <w:ilvl w:val="0"/>
          <w:numId w:val="10"/>
        </w:num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smetnje u koagulaciji krvi. Zbog toga je potrebno redovno sprovoditi kontrole Quick-ove vrijednosti kod pacijenata sa oboljenjima koja mogu dovesti do krvarenja (npr. ulkus želuca ili crijeva), kao i kod pacijenata sa poremećajem koagulacije (urođen: npr. hemofilija; stečen: npr. kod parenteralne ishrane, neuhranjenosti, poremećene funkcije jetre i bubrega ili trombocitopenije; uslovljen lijekovima: npr. heparinom ili oralnim antikoagulansima). Po potrebi moguće je dati nadoknadu vitamina K (10 mg nedeljno).</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i/>
          <w:lang w:val="sr-Latn-ME"/>
        </w:rPr>
      </w:pPr>
      <w:r w:rsidRPr="001A5CB6">
        <w:rPr>
          <w:rFonts w:ascii="Times New Roman" w:eastAsia="Times New Roman" w:hAnsi="Times New Roman" w:cs="Times New Roman"/>
          <w:i/>
          <w:lang w:val="sr-Latn-ME"/>
        </w:rPr>
        <w:lastRenderedPageBreak/>
        <w:t xml:space="preserve">Nepoznata učestalost (ne može se procijeniti na osnovu dostupnih podataka): </w:t>
      </w:r>
    </w:p>
    <w:p w:rsidR="001A5CB6" w:rsidRPr="001A5CB6" w:rsidRDefault="001A5CB6" w:rsidP="001A5CB6">
      <w:pPr>
        <w:numPr>
          <w:ilvl w:val="0"/>
          <w:numId w:val="11"/>
        </w:num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 xml:space="preserve">Stevens-Johnson-ov sindrom. </w:t>
      </w:r>
    </w:p>
    <w:p w:rsidR="001A5CB6" w:rsidRPr="001A5CB6" w:rsidRDefault="001A5CB6" w:rsidP="001A5CB6">
      <w:pPr>
        <w:spacing w:after="0" w:line="240" w:lineRule="auto"/>
        <w:ind w:left="360"/>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Kod prekomjernog doziranja ili kod neprilagođene doze kod pacijenata sa oslabljenom funkcijom bubrega može se javiti glavobolja, vrtoglavica, parestezija, nadraženost centralnog nervnog sistema, mioklonija i grčevi.</w:t>
      </w:r>
    </w:p>
    <w:p w:rsidR="001A5CB6" w:rsidRPr="001A5CB6" w:rsidRDefault="001A5CB6" w:rsidP="001A5CB6">
      <w:pPr>
        <w:spacing w:after="0" w:line="240" w:lineRule="auto"/>
        <w:jc w:val="both"/>
        <w:rPr>
          <w:rFonts w:ascii="Times New Roman" w:eastAsia="Calibri" w:hAnsi="Times New Roman" w:cs="Times New Roman"/>
          <w:spacing w:val="-5"/>
          <w:u w:val="single"/>
          <w:lang w:val="sr-Latn-ME"/>
        </w:rPr>
      </w:pPr>
    </w:p>
    <w:p w:rsidR="001A5CB6" w:rsidRPr="001A5CB6" w:rsidRDefault="001A5CB6" w:rsidP="001A5CB6">
      <w:pPr>
        <w:spacing w:after="0" w:line="240" w:lineRule="auto"/>
        <w:jc w:val="both"/>
        <w:rPr>
          <w:rFonts w:ascii="Times New Roman" w:eastAsia="Calibri" w:hAnsi="Times New Roman" w:cs="Times New Roman"/>
          <w:spacing w:val="-5"/>
          <w:u w:val="single"/>
          <w:lang w:val="sr-Latn-ME"/>
        </w:rPr>
      </w:pPr>
      <w:r w:rsidRPr="001A5CB6">
        <w:rPr>
          <w:rFonts w:ascii="Times New Roman" w:eastAsia="Calibri" w:hAnsi="Times New Roman" w:cs="Times New Roman"/>
          <w:spacing w:val="-5"/>
          <w:u w:val="single"/>
          <w:lang w:val="sr-Latn-ME"/>
        </w:rPr>
        <w:t>Prijavljivanje sumnji na neželjena dejstva</w:t>
      </w:r>
    </w:p>
    <w:p w:rsidR="001A5CB6" w:rsidRPr="001A5CB6" w:rsidRDefault="001A5CB6" w:rsidP="001A5CB6">
      <w:pPr>
        <w:spacing w:after="0" w:line="240" w:lineRule="auto"/>
        <w:jc w:val="both"/>
        <w:rPr>
          <w:rFonts w:ascii="Times New Roman" w:eastAsia="Calibri" w:hAnsi="Times New Roman" w:cs="Times New Roman"/>
          <w:spacing w:val="-5"/>
          <w:u w:val="single"/>
          <w:lang w:val="sr-Latn-ME"/>
        </w:rPr>
      </w:pPr>
    </w:p>
    <w:p w:rsidR="001A5CB6" w:rsidRPr="001A5CB6" w:rsidRDefault="001A5CB6" w:rsidP="001A5CB6">
      <w:pPr>
        <w:spacing w:after="0" w:line="240" w:lineRule="auto"/>
        <w:jc w:val="both"/>
        <w:rPr>
          <w:rFonts w:ascii="Times New Roman" w:eastAsia="Calibri" w:hAnsi="Times New Roman" w:cs="Times New Roman"/>
          <w:spacing w:val="-5"/>
          <w:u w:val="single"/>
          <w:lang w:val="sr-Latn-ME"/>
        </w:rPr>
      </w:pPr>
      <w:r w:rsidRPr="001A5CB6">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1A5CB6">
        <w:rPr>
          <w:rFonts w:ascii="Times New Roman" w:eastAsia="Calibri" w:hAnsi="Times New Roman" w:cs="Times New Roman"/>
          <w:spacing w:val="-4"/>
          <w:lang w:val="sr-Latn-ME"/>
        </w:rPr>
        <w:t xml:space="preserve">. </w:t>
      </w:r>
      <w:r w:rsidRPr="001A5CB6">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 xml:space="preserve">5. </w:t>
      </w:r>
      <w:r w:rsidRPr="001A5CB6">
        <w:rPr>
          <w:rFonts w:ascii="Times New Roman" w:eastAsia="Times New Roman" w:hAnsi="Times New Roman" w:cs="Times New Roman"/>
          <w:b/>
          <w:bCs/>
          <w:lang w:val="sr-Latn-ME"/>
        </w:rPr>
        <w:tab/>
        <w:t xml:space="preserve">KAKO ČUVATI LIJEK </w:t>
      </w:r>
      <w:r w:rsidRPr="001A5CB6">
        <w:rPr>
          <w:rFonts w:ascii="Times New Roman" w:eastAsia="Times New Roman" w:hAnsi="Times New Roman" w:cs="Times New Roman"/>
          <w:b/>
          <w:lang w:val="sr-Latn-ME" w:eastAsia="sr-Latn-ME"/>
        </w:rPr>
        <w:t>CEFAZOLIN SANDOZ</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Lijek čuvajte van pogleda i domašaja djece.</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Ovaj lijek se ne smije upotrijebiti nakon isteka roka upotrebe navedenog na spoljašnjem i unutrašnjem pakovanju nakon „Važi do“. Rok upotrebe odnosi se na poslednji dan navedenog mjeseca.</w:t>
      </w:r>
    </w:p>
    <w:p w:rsidR="001A5CB6" w:rsidRPr="001A5CB6" w:rsidRDefault="001A5CB6" w:rsidP="001A5CB6">
      <w:pPr>
        <w:spacing w:after="0" w:line="240" w:lineRule="auto"/>
        <w:jc w:val="both"/>
        <w:rPr>
          <w:rFonts w:ascii="Times New Roman" w:eastAsia="Times New Roman" w:hAnsi="Times New Roman" w:cs="Times New Roman"/>
          <w:b/>
          <w:bCs/>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Čuvati u originalnom pakovanju, na temperaturi do 25°C.</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Rok upotrebe nakon pripreme/rastvaranja: upotrijebiti odmah.</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Cs/>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Sa mikrobiološkog stanovišta, lijek treba upotrijebiti odmah. Ako se ne upotrijebi odmah, vrijeme i uslovi čuvanja su odgovornost korisnika i normalno ne smiju biti duži od 24 sata na temperaturi od 2-8°C, osim ako se rekonstitucija ne izvodi u kontrolisanim i validiranim aseptičnim uslovima.</w:t>
      </w:r>
    </w:p>
    <w:p w:rsidR="001A5CB6" w:rsidRPr="001A5CB6" w:rsidRDefault="001A5CB6" w:rsidP="001A5CB6">
      <w:pPr>
        <w:spacing w:after="0" w:line="240" w:lineRule="auto"/>
        <w:jc w:val="both"/>
        <w:rPr>
          <w:rFonts w:ascii="Times New Roman" w:eastAsia="Times New Roman" w:hAnsi="Times New Roman" w:cs="Times New Roman"/>
          <w:b/>
          <w:bCs/>
          <w:lang w:val="sr-Latn-ME"/>
        </w:rPr>
      </w:pPr>
    </w:p>
    <w:p w:rsidR="001A5CB6" w:rsidRPr="001A5CB6" w:rsidRDefault="001A5CB6" w:rsidP="001A5CB6">
      <w:pPr>
        <w:spacing w:after="0" w:line="240" w:lineRule="auto"/>
        <w:jc w:val="both"/>
        <w:rPr>
          <w:rFonts w:ascii="Times New Roman" w:eastAsia="Times New Roman" w:hAnsi="Times New Roman" w:cs="Times New Roman"/>
          <w:b/>
          <w:bCs/>
          <w:lang w:val="sr-Latn-ME" w:eastAsia="hr-HR"/>
        </w:rPr>
      </w:pPr>
      <w:r w:rsidRPr="001A5CB6">
        <w:rPr>
          <w:rFonts w:ascii="Times New Roman" w:eastAsia="Times New Roman" w:hAnsi="Times New Roman" w:cs="Times New Roman"/>
          <w:lang w:val="sr-Latn-ME" w:eastAsia="hr-HR"/>
        </w:rPr>
        <w:t>Ljekove ne treba bacati u kanalizaciju, niti kućni otpad. Ove mjere pomažu očuvanju životne sredine.</w:t>
      </w:r>
      <w:r w:rsidR="00021D48">
        <w:rPr>
          <w:rFonts w:ascii="Times New Roman" w:eastAsia="Times New Roman" w:hAnsi="Times New Roman" w:cs="Times New Roman"/>
          <w:lang w:val="sr-Latn-ME" w:eastAsia="hr-HR"/>
        </w:rPr>
        <w:t xml:space="preserve"> </w:t>
      </w:r>
      <w:r w:rsidRPr="001A5CB6">
        <w:rPr>
          <w:rFonts w:ascii="Times New Roman" w:eastAsia="Times New Roman" w:hAnsi="Times New Roman" w:cs="Times New Roman"/>
          <w:lang w:val="sr-Latn-ME" w:eastAsia="hr-HR"/>
        </w:rPr>
        <w:t>Neupotrijebljeni lijek se uništava u skladu sa važećim propisima.</w:t>
      </w:r>
    </w:p>
    <w:p w:rsidR="001A5CB6" w:rsidRDefault="001A5CB6" w:rsidP="001A5CB6">
      <w:pPr>
        <w:spacing w:after="0" w:line="240" w:lineRule="auto"/>
        <w:jc w:val="both"/>
        <w:rPr>
          <w:rFonts w:ascii="Times New Roman" w:eastAsia="Times New Roman" w:hAnsi="Times New Roman" w:cs="Times New Roman"/>
          <w:bCs/>
          <w:lang w:val="sr-Latn-ME"/>
        </w:rPr>
      </w:pPr>
    </w:p>
    <w:p w:rsidR="00021D48" w:rsidRPr="001A5CB6" w:rsidRDefault="00021D48"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b/>
          <w:bCs/>
          <w:lang w:val="sr-Latn-ME"/>
        </w:rPr>
      </w:pPr>
      <w:r w:rsidRPr="001A5CB6">
        <w:rPr>
          <w:rFonts w:ascii="Times New Roman" w:eastAsia="Times New Roman" w:hAnsi="Times New Roman" w:cs="Times New Roman"/>
          <w:b/>
          <w:bCs/>
          <w:lang w:val="sr-Latn-ME"/>
        </w:rPr>
        <w:t xml:space="preserve">6. </w:t>
      </w:r>
      <w:r w:rsidRPr="001A5CB6">
        <w:rPr>
          <w:rFonts w:ascii="Times New Roman" w:eastAsia="Times New Roman" w:hAnsi="Times New Roman" w:cs="Times New Roman"/>
          <w:b/>
          <w:bCs/>
          <w:lang w:val="sr-Latn-ME"/>
        </w:rPr>
        <w:tab/>
        <w:t xml:space="preserve">SADRŽAJ PAKOVANJA I DODATNE INFORMACIJE </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bCs/>
          <w:lang w:val="sr-Latn-ME"/>
        </w:rPr>
        <w:t xml:space="preserve">Šta sadrži lijek </w:t>
      </w:r>
      <w:r w:rsidRPr="001A5CB6">
        <w:rPr>
          <w:rFonts w:ascii="Times New Roman" w:eastAsia="Times New Roman" w:hAnsi="Times New Roman" w:cs="Times New Roman"/>
          <w:b/>
          <w:lang w:val="sr-Latn-ME" w:eastAsia="sr-Latn-ME"/>
        </w:rPr>
        <w:t>Cefazolin Sandoz</w:t>
      </w:r>
    </w:p>
    <w:p w:rsidR="001A5CB6" w:rsidRPr="001A5CB6" w:rsidRDefault="001A5CB6" w:rsidP="001A5CB6">
      <w:pPr>
        <w:keepNext/>
        <w:tabs>
          <w:tab w:val="left" w:pos="720"/>
        </w:tabs>
        <w:spacing w:after="0" w:line="240" w:lineRule="auto"/>
        <w:ind w:right="-2"/>
        <w:jc w:val="both"/>
        <w:rPr>
          <w:rFonts w:ascii="Times New Roman" w:eastAsia="Times New Roman" w:hAnsi="Times New Roman" w:cs="Times New Roman"/>
          <w:b/>
          <w:lang w:val="sr-Latn-ME"/>
        </w:rPr>
      </w:pPr>
    </w:p>
    <w:p w:rsidR="001A5CB6" w:rsidRPr="001A5CB6" w:rsidRDefault="001A5CB6" w:rsidP="001A5CB6">
      <w:pPr>
        <w:keepNext/>
        <w:tabs>
          <w:tab w:val="left" w:pos="720"/>
        </w:tabs>
        <w:spacing w:after="0" w:line="240" w:lineRule="auto"/>
        <w:ind w:right="-2"/>
        <w:jc w:val="both"/>
        <w:rPr>
          <w:rFonts w:ascii="Times New Roman" w:eastAsia="Times New Roman" w:hAnsi="Times New Roman" w:cs="Times New Roman"/>
          <w:i/>
          <w:lang w:val="sr-Latn-ME"/>
        </w:rPr>
      </w:pPr>
      <w:r w:rsidRPr="001A5CB6">
        <w:rPr>
          <w:rFonts w:ascii="Times New Roman" w:eastAsia="Times New Roman" w:hAnsi="Times New Roman" w:cs="Times New Roman"/>
          <w:b/>
          <w:lang w:val="sr-Latn-ME"/>
        </w:rPr>
        <w:t>Aktivna supstanca je:</w:t>
      </w:r>
      <w:r w:rsidRPr="001A5CB6">
        <w:rPr>
          <w:rFonts w:ascii="Times New Roman" w:eastAsia="Times New Roman" w:hAnsi="Times New Roman" w:cs="Times New Roman"/>
          <w:lang w:val="sr-Latn-ME"/>
        </w:rPr>
        <w:t xml:space="preserve"> cefazolin natrijum.</w:t>
      </w: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Jedna bočica sadrž</w:t>
      </w:r>
      <w:r w:rsidR="00C33C67">
        <w:rPr>
          <w:rFonts w:ascii="Times New Roman" w:eastAsia="Times New Roman" w:hAnsi="Times New Roman" w:cs="Times New Roman"/>
          <w:lang w:val="sr-Latn-ME" w:eastAsia="sr-Latn-ME"/>
        </w:rPr>
        <w:t>i 1,048 g cefazolin natrijuma (š</w:t>
      </w:r>
      <w:r w:rsidRPr="001A5CB6">
        <w:rPr>
          <w:rFonts w:ascii="Times New Roman" w:eastAsia="Times New Roman" w:hAnsi="Times New Roman" w:cs="Times New Roman"/>
          <w:lang w:val="sr-Latn-ME" w:eastAsia="sr-Latn-ME"/>
        </w:rPr>
        <w:t>to odgovara 1 g cefazolina).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Ovaj lijek nema pomoćnih supstanci.</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 xml:space="preserve">Kako izgleda lijek </w:t>
      </w:r>
      <w:r w:rsidRPr="001A5CB6">
        <w:rPr>
          <w:rFonts w:ascii="Times New Roman" w:eastAsia="Times New Roman" w:hAnsi="Times New Roman" w:cs="Times New Roman"/>
          <w:b/>
          <w:lang w:val="sr-Latn-ME" w:eastAsia="sr-Latn-ME"/>
        </w:rPr>
        <w:t>Cefazolin Sandoz</w:t>
      </w:r>
      <w:r w:rsidRPr="001A5CB6">
        <w:rPr>
          <w:rFonts w:ascii="Times New Roman" w:eastAsia="Times New Roman" w:hAnsi="Times New Roman" w:cs="Times New Roman"/>
          <w:b/>
          <w:lang w:val="sr-Latn-ME"/>
        </w:rPr>
        <w:t xml:space="preserve"> i sadržaj pakovanja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Bijeli do svijetložuti praša</w:t>
      </w:r>
      <w:bookmarkStart w:id="0" w:name="_GoBack"/>
      <w:bookmarkEnd w:id="0"/>
      <w:r w:rsidRPr="001A5CB6">
        <w:rPr>
          <w:rFonts w:ascii="Times New Roman" w:eastAsia="Times New Roman" w:hAnsi="Times New Roman" w:cs="Times New Roman"/>
          <w:lang w:val="sr-Latn-ME" w:eastAsia="sr-Latn-ME"/>
        </w:rPr>
        <w:t>k.</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autoSpaceDE w:val="0"/>
        <w:autoSpaceDN w:val="0"/>
        <w:adjustRightInd w:val="0"/>
        <w:spacing w:after="0" w:line="240" w:lineRule="auto"/>
        <w:jc w:val="both"/>
        <w:rPr>
          <w:rFonts w:ascii="Times New Roman" w:eastAsia="Times New Roman" w:hAnsi="Times New Roman" w:cs="Times New Roman"/>
          <w:i/>
          <w:iCs/>
          <w:lang w:val="sr-Latn-ME" w:eastAsia="sr-Latn-ME"/>
        </w:rPr>
      </w:pPr>
      <w:r w:rsidRPr="001A5CB6">
        <w:rPr>
          <w:rFonts w:ascii="Times New Roman" w:eastAsia="Times New Roman" w:hAnsi="Times New Roman" w:cs="Times New Roman"/>
          <w:lang w:val="sr-Latn-ME" w:eastAsia="sr-Latn-ME"/>
        </w:rPr>
        <w:lastRenderedPageBreak/>
        <w:t>Unutrašnje pakovanje je staklena bočica od 15 ml (tip III) sa bromobutil gumenim čepom i providnim „flip-off“</w:t>
      </w:r>
      <w:r w:rsidRPr="001A5CB6">
        <w:rPr>
          <w:rFonts w:ascii="Times New Roman" w:eastAsia="Times New Roman" w:hAnsi="Times New Roman" w:cs="Times New Roman"/>
          <w:i/>
          <w:iCs/>
          <w:lang w:val="sr-Latn-ME" w:eastAsia="sr-Latn-ME"/>
        </w:rPr>
        <w:t xml:space="preserve"> </w:t>
      </w:r>
      <w:r w:rsidRPr="001A5CB6">
        <w:rPr>
          <w:rFonts w:ascii="Times New Roman" w:eastAsia="Times New Roman" w:hAnsi="Times New Roman" w:cs="Times New Roman"/>
          <w:lang w:val="sr-Latn-ME" w:eastAsia="sr-Latn-ME"/>
        </w:rPr>
        <w:t>poklopcem.</w:t>
      </w:r>
    </w:p>
    <w:p w:rsidR="001A5CB6" w:rsidRPr="001A5CB6" w:rsidRDefault="001A5CB6" w:rsidP="001A5CB6">
      <w:pPr>
        <w:tabs>
          <w:tab w:val="left" w:pos="540"/>
          <w:tab w:val="left" w:pos="569"/>
        </w:tabs>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Spoljašnje pakovanje je složiva kartonska kutija u kojoj se nalazi 10 staklenih bočica i Uputstvo za lijek.</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Nosilac dozvole i proizvođač</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Nosilac dozvole za lijek:</w:t>
      </w:r>
    </w:p>
    <w:p w:rsidR="001A5CB6" w:rsidRPr="001A5CB6" w:rsidRDefault="001A5CB6" w:rsidP="001A5CB6">
      <w:pPr>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Glosarij d.o.o.</w:t>
      </w:r>
    </w:p>
    <w:p w:rsidR="001A5CB6" w:rsidRPr="001A5CB6" w:rsidRDefault="001A5CB6" w:rsidP="001A5CB6">
      <w:pPr>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Vojislavljevića, 76, Podgorica, Crna Gora</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Proizvođač:</w:t>
      </w:r>
    </w:p>
    <w:p w:rsidR="001A5CB6" w:rsidRPr="001A5CB6" w:rsidRDefault="001A5CB6" w:rsidP="001A5CB6">
      <w:pPr>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Sandoz GmbH</w:t>
      </w:r>
    </w:p>
    <w:p w:rsidR="001A5CB6" w:rsidRPr="001A5CB6" w:rsidRDefault="001A5CB6" w:rsidP="001A5CB6">
      <w:pPr>
        <w:spacing w:after="0" w:line="240" w:lineRule="auto"/>
        <w:jc w:val="both"/>
        <w:rPr>
          <w:rFonts w:ascii="Times New Roman" w:eastAsia="Times New Roman" w:hAnsi="Times New Roman" w:cs="Times New Roman"/>
          <w:bCs/>
          <w:lang w:val="sr-Latn-ME"/>
        </w:rPr>
      </w:pPr>
      <w:r w:rsidRPr="001A5CB6">
        <w:rPr>
          <w:rFonts w:ascii="Times New Roman" w:eastAsia="Times New Roman" w:hAnsi="Times New Roman" w:cs="Times New Roman"/>
          <w:bCs/>
          <w:lang w:val="sr-Latn-ME"/>
        </w:rPr>
        <w:t>Biochemiestrasse 10, Kundl, Austrija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Režim izdavanja lijeka</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lang w:val="sr-Latn-ME"/>
        </w:rPr>
      </w:pPr>
      <w:r w:rsidRPr="001A5CB6">
        <w:rPr>
          <w:rFonts w:ascii="Times New Roman" w:eastAsia="Times New Roman" w:hAnsi="Times New Roman" w:cs="Times New Roman"/>
          <w:lang w:val="sr-Latn-ME"/>
        </w:rPr>
        <w:t>Ograničen recept.</w:t>
      </w:r>
    </w:p>
    <w:p w:rsidR="001A5CB6" w:rsidRPr="001A5CB6" w:rsidRDefault="001A5CB6" w:rsidP="001A5CB6">
      <w:pPr>
        <w:spacing w:after="0" w:line="240" w:lineRule="auto"/>
        <w:jc w:val="both"/>
        <w:rPr>
          <w:rFonts w:ascii="Times New Roman" w:eastAsia="Times New Roman" w:hAnsi="Times New Roman" w:cs="Times New Roman"/>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Broj i datum dozvole</w:t>
      </w: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B97229" w:rsidRDefault="001A5CB6" w:rsidP="001A5CB6">
      <w:pPr>
        <w:tabs>
          <w:tab w:val="left" w:pos="540"/>
          <w:tab w:val="left" w:pos="569"/>
        </w:tabs>
        <w:spacing w:after="0" w:line="240" w:lineRule="auto"/>
        <w:jc w:val="both"/>
        <w:rPr>
          <w:rFonts w:ascii="Times New Roman" w:eastAsia="Times New Roman" w:hAnsi="Times New Roman" w:cs="Times New Roman"/>
          <w:lang w:val="sr-Latn-ME" w:eastAsia="sr-Latn-ME"/>
        </w:rPr>
      </w:pPr>
      <w:r w:rsidRPr="001A5CB6">
        <w:rPr>
          <w:rFonts w:ascii="Times New Roman" w:eastAsia="Times New Roman" w:hAnsi="Times New Roman" w:cs="Times New Roman"/>
          <w:lang w:val="sr-Latn-ME" w:eastAsia="sr-Latn-ME"/>
        </w:rPr>
        <w:t>Cefazolin Sandoz</w:t>
      </w:r>
      <w:r w:rsidRPr="001A5CB6">
        <w:rPr>
          <w:rFonts w:ascii="Times New Roman" w:eastAsia="Times New Roman" w:hAnsi="Times New Roman" w:cs="Times New Roman"/>
          <w:vertAlign w:val="superscript"/>
          <w:lang w:val="sr-Latn-ME" w:eastAsia="sr-Latn-ME"/>
        </w:rPr>
        <w:t>®</w:t>
      </w:r>
      <w:r w:rsidRPr="001A5CB6">
        <w:rPr>
          <w:rFonts w:ascii="Times New Roman" w:eastAsia="Times New Roman" w:hAnsi="Times New Roman" w:cs="Times New Roman"/>
          <w:lang w:val="sr-Latn-ME" w:eastAsia="sr-Latn-ME"/>
        </w:rPr>
        <w:t>, prašak za rastvor za injekciju/infuziju, l g, bočica, staklena, 10 x 1 g:</w:t>
      </w:r>
      <w:r w:rsidR="00B97229">
        <w:rPr>
          <w:rFonts w:ascii="Times New Roman" w:eastAsia="Times New Roman" w:hAnsi="Times New Roman" w:cs="Times New Roman"/>
          <w:lang w:val="sr-Latn-ME" w:eastAsia="sr-Latn-ME"/>
        </w:rPr>
        <w:t xml:space="preserve"> </w:t>
      </w:r>
    </w:p>
    <w:p w:rsidR="001A5CB6" w:rsidRPr="001A5CB6" w:rsidRDefault="00B97229" w:rsidP="001A5CB6">
      <w:pPr>
        <w:tabs>
          <w:tab w:val="left" w:pos="540"/>
          <w:tab w:val="left" w:pos="569"/>
        </w:tabs>
        <w:spacing w:after="0" w:line="240" w:lineRule="auto"/>
        <w:jc w:val="both"/>
        <w:rPr>
          <w:rFonts w:ascii="Times New Roman" w:eastAsia="Times New Roman" w:hAnsi="Times New Roman" w:cs="Times New Roman"/>
          <w:bCs/>
          <w:lang w:val="sr-Latn-ME"/>
        </w:rPr>
      </w:pPr>
      <w:r w:rsidRPr="00B97229">
        <w:rPr>
          <w:rFonts w:ascii="Times New Roman" w:eastAsia="Times New Roman" w:hAnsi="Times New Roman" w:cs="Times New Roman"/>
          <w:lang w:val="sr-Latn-ME" w:eastAsia="sr-Latn-ME"/>
        </w:rPr>
        <w:t xml:space="preserve">2030/19/424 </w:t>
      </w:r>
      <w:r>
        <w:rPr>
          <w:rFonts w:ascii="Times New Roman" w:eastAsia="Times New Roman" w:hAnsi="Times New Roman" w:cs="Times New Roman"/>
          <w:lang w:val="sr-Latn-ME" w:eastAsia="sr-Latn-ME"/>
        </w:rPr>
        <w:t>–</w:t>
      </w:r>
      <w:r w:rsidRPr="00B97229">
        <w:rPr>
          <w:rFonts w:ascii="Times New Roman" w:eastAsia="Times New Roman" w:hAnsi="Times New Roman" w:cs="Times New Roman"/>
          <w:lang w:val="sr-Latn-ME" w:eastAsia="sr-Latn-ME"/>
        </w:rPr>
        <w:t xml:space="preserve"> 5841</w:t>
      </w:r>
      <w:r>
        <w:rPr>
          <w:rFonts w:ascii="Times New Roman" w:eastAsia="Times New Roman" w:hAnsi="Times New Roman" w:cs="Times New Roman"/>
          <w:lang w:val="sr-Latn-ME" w:eastAsia="sr-Latn-ME"/>
        </w:rPr>
        <w:t xml:space="preserve"> od 17.09.2019. godine</w:t>
      </w: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1A5CB6" w:rsidRDefault="001A5CB6" w:rsidP="001A5CB6">
      <w:pPr>
        <w:spacing w:after="0" w:line="240" w:lineRule="auto"/>
        <w:jc w:val="both"/>
        <w:rPr>
          <w:rFonts w:ascii="Times New Roman" w:eastAsia="Times New Roman" w:hAnsi="Times New Roman" w:cs="Times New Roman"/>
          <w:b/>
          <w:lang w:val="sr-Latn-ME"/>
        </w:rPr>
      </w:pPr>
      <w:r w:rsidRPr="001A5CB6">
        <w:rPr>
          <w:rFonts w:ascii="Times New Roman" w:eastAsia="Times New Roman" w:hAnsi="Times New Roman" w:cs="Times New Roman"/>
          <w:b/>
          <w:lang w:val="sr-Latn-ME"/>
        </w:rPr>
        <w:t>Ovo uputstvo je posljednji put odobreno</w:t>
      </w:r>
    </w:p>
    <w:p w:rsidR="00021D48" w:rsidRDefault="00021D48" w:rsidP="001A5CB6">
      <w:pPr>
        <w:spacing w:after="0" w:line="240" w:lineRule="auto"/>
        <w:jc w:val="both"/>
        <w:rPr>
          <w:rFonts w:ascii="Times New Roman" w:eastAsia="Times New Roman" w:hAnsi="Times New Roman" w:cs="Times New Roman"/>
          <w:b/>
          <w:lang w:val="sr-Latn-ME"/>
        </w:rPr>
      </w:pPr>
    </w:p>
    <w:p w:rsidR="00021D48" w:rsidRPr="001A5CB6" w:rsidRDefault="00021D48" w:rsidP="001A5CB6">
      <w:pPr>
        <w:spacing w:after="0" w:line="240" w:lineRule="auto"/>
        <w:jc w:val="both"/>
        <w:rPr>
          <w:rFonts w:ascii="Times New Roman" w:eastAsia="Times New Roman" w:hAnsi="Times New Roman" w:cs="Times New Roman"/>
          <w:lang w:val="sr-Latn-ME"/>
        </w:rPr>
      </w:pPr>
      <w:r w:rsidRPr="00021D48">
        <w:rPr>
          <w:rFonts w:ascii="Times New Roman" w:eastAsia="Times New Roman" w:hAnsi="Times New Roman" w:cs="Times New Roman"/>
          <w:lang w:val="sr-Latn-ME"/>
        </w:rPr>
        <w:t>Septembar, 2019. godine</w:t>
      </w:r>
    </w:p>
    <w:p w:rsidR="001A5CB6" w:rsidRPr="001A5CB6" w:rsidRDefault="001A5CB6" w:rsidP="001A5CB6">
      <w:pPr>
        <w:spacing w:after="0" w:line="240" w:lineRule="auto"/>
        <w:jc w:val="both"/>
        <w:rPr>
          <w:rFonts w:ascii="Times New Roman" w:eastAsia="Times New Roman" w:hAnsi="Times New Roman" w:cs="Times New Roman"/>
          <w:bCs/>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1A5CB6" w:rsidRPr="001A5CB6" w:rsidRDefault="001A5CB6" w:rsidP="001A5CB6">
      <w:pPr>
        <w:spacing w:after="0" w:line="240" w:lineRule="auto"/>
        <w:jc w:val="both"/>
        <w:rPr>
          <w:rFonts w:ascii="Times New Roman" w:eastAsia="Times New Roman" w:hAnsi="Times New Roman" w:cs="Times New Roman"/>
          <w:b/>
          <w:lang w:val="sr-Latn-ME"/>
        </w:rPr>
      </w:pPr>
    </w:p>
    <w:p w:rsidR="00DA1FB0" w:rsidRPr="001A5CB6" w:rsidRDefault="00DA1FB0" w:rsidP="001A5CB6">
      <w:pPr>
        <w:spacing w:line="240" w:lineRule="auto"/>
        <w:jc w:val="both"/>
        <w:rPr>
          <w:rFonts w:ascii="Times New Roman" w:hAnsi="Times New Roman" w:cs="Times New Roman"/>
          <w:lang w:val="sr-Latn-ME"/>
        </w:rPr>
      </w:pPr>
      <w:r w:rsidRPr="001A5CB6">
        <w:rPr>
          <w:rFonts w:ascii="Times New Roman" w:hAnsi="Times New Roman" w:cs="Times New Roman"/>
          <w:lang w:val="sr-Latn-ME"/>
        </w:rPr>
        <w:t xml:space="preserve"> </w:t>
      </w:r>
    </w:p>
    <w:sectPr w:rsidR="00DA1FB0" w:rsidRPr="001A5CB6"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E2F" w:rsidRDefault="00B51E2F" w:rsidP="00FF2B5A">
      <w:pPr>
        <w:spacing w:after="0" w:line="240" w:lineRule="auto"/>
      </w:pPr>
      <w:r>
        <w:separator/>
      </w:r>
    </w:p>
  </w:endnote>
  <w:endnote w:type="continuationSeparator" w:id="0">
    <w:p w:rsidR="00B51E2F" w:rsidRDefault="00B51E2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33C67">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33C67">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E2F" w:rsidRDefault="00B51E2F" w:rsidP="00FF2B5A">
      <w:pPr>
        <w:spacing w:after="0" w:line="240" w:lineRule="auto"/>
      </w:pPr>
      <w:r>
        <w:separator/>
      </w:r>
    </w:p>
  </w:footnote>
  <w:footnote w:type="continuationSeparator" w:id="0">
    <w:p w:rsidR="00B51E2F" w:rsidRDefault="00B51E2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1A5CB6" w:rsidRDefault="009318B4" w:rsidP="001A5CB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21D48" w:rsidRPr="001A5CB6" w:rsidRDefault="00021D48" w:rsidP="001A5CB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1A8"/>
    <w:multiLevelType w:val="hybridMultilevel"/>
    <w:tmpl w:val="772EA112"/>
    <w:lvl w:ilvl="0" w:tplc="A9DC0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292C30F7"/>
    <w:multiLevelType w:val="hybridMultilevel"/>
    <w:tmpl w:val="7C60CC16"/>
    <w:lvl w:ilvl="0" w:tplc="DBE0C816">
      <w:numFmt w:val="bullet"/>
      <w:lvlText w:val="-"/>
      <w:lvlJc w:val="left"/>
      <w:pPr>
        <w:ind w:left="4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630DE4"/>
    <w:multiLevelType w:val="hybridMultilevel"/>
    <w:tmpl w:val="0A908202"/>
    <w:lvl w:ilvl="0" w:tplc="A9DC0C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A3828"/>
    <w:multiLevelType w:val="hybridMultilevel"/>
    <w:tmpl w:val="229E63B4"/>
    <w:lvl w:ilvl="0" w:tplc="A9DC0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FF7457"/>
    <w:multiLevelType w:val="hybridMultilevel"/>
    <w:tmpl w:val="056C7A26"/>
    <w:lvl w:ilvl="0" w:tplc="A9DC0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178B6"/>
    <w:multiLevelType w:val="hybridMultilevel"/>
    <w:tmpl w:val="BC8E2866"/>
    <w:lvl w:ilvl="0" w:tplc="DBE0C816">
      <w:numFmt w:val="bullet"/>
      <w:lvlText w:val="-"/>
      <w:lvlJc w:val="left"/>
      <w:pPr>
        <w:ind w:left="4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73A5C"/>
    <w:multiLevelType w:val="hybridMultilevel"/>
    <w:tmpl w:val="3FDE7E0C"/>
    <w:lvl w:ilvl="0" w:tplc="A9DC0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B02AD7"/>
    <w:multiLevelType w:val="hybridMultilevel"/>
    <w:tmpl w:val="5BE6118C"/>
    <w:lvl w:ilvl="0" w:tplc="A9DC0C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90846"/>
    <w:multiLevelType w:val="hybridMultilevel"/>
    <w:tmpl w:val="3BE65912"/>
    <w:lvl w:ilvl="0" w:tplc="A9DC0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7C41A4"/>
    <w:multiLevelType w:val="hybridMultilevel"/>
    <w:tmpl w:val="00924E10"/>
    <w:lvl w:ilvl="0" w:tplc="DBE0C816">
      <w:numFmt w:val="bullet"/>
      <w:lvlText w:val="-"/>
      <w:lvlJc w:val="left"/>
      <w:pPr>
        <w:ind w:left="4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7"/>
  </w:num>
  <w:num w:numId="3">
    <w:abstractNumId w:val="8"/>
  </w:num>
  <w:num w:numId="4">
    <w:abstractNumId w:val="2"/>
  </w:num>
  <w:num w:numId="5">
    <w:abstractNumId w:val="6"/>
  </w:num>
  <w:num w:numId="6">
    <w:abstractNumId w:val="11"/>
  </w:num>
  <w:num w:numId="7">
    <w:abstractNumId w:val="3"/>
  </w:num>
  <w:num w:numId="8">
    <w:abstractNumId w:val="9"/>
  </w:num>
  <w:num w:numId="9">
    <w:abstractNumId w:val="4"/>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1D48"/>
    <w:rsid w:val="00040894"/>
    <w:rsid w:val="00116FE6"/>
    <w:rsid w:val="001A5CB6"/>
    <w:rsid w:val="002B336F"/>
    <w:rsid w:val="0031146A"/>
    <w:rsid w:val="00461135"/>
    <w:rsid w:val="00747C4B"/>
    <w:rsid w:val="00805838"/>
    <w:rsid w:val="00883AF2"/>
    <w:rsid w:val="009318B4"/>
    <w:rsid w:val="00934541"/>
    <w:rsid w:val="00A06058"/>
    <w:rsid w:val="00AF30B1"/>
    <w:rsid w:val="00B234CE"/>
    <w:rsid w:val="00B34AF2"/>
    <w:rsid w:val="00B51E2F"/>
    <w:rsid w:val="00B545B5"/>
    <w:rsid w:val="00B97229"/>
    <w:rsid w:val="00C33C67"/>
    <w:rsid w:val="00C4240B"/>
    <w:rsid w:val="00C606D3"/>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A5CB6"/>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FFF5-997C-46F2-A859-35D155ED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9</cp:revision>
  <dcterms:created xsi:type="dcterms:W3CDTF">2017-06-23T09:30:00Z</dcterms:created>
  <dcterms:modified xsi:type="dcterms:W3CDTF">2019-09-17T05:59:00Z</dcterms:modified>
</cp:coreProperties>
</file>