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CE9" w:rsidRPr="002510A5" w:rsidRDefault="00B91CE9" w:rsidP="00B91CE9">
      <w:pPr>
        <w:jc w:val="center"/>
        <w:rPr>
          <w:b/>
          <w:bCs/>
          <w:iCs/>
          <w:sz w:val="22"/>
          <w:szCs w:val="22"/>
          <w:u w:val="single"/>
        </w:rPr>
      </w:pPr>
      <w:r w:rsidRPr="002510A5">
        <w:rPr>
          <w:b/>
          <w:bCs/>
          <w:iCs/>
          <w:sz w:val="22"/>
          <w:szCs w:val="22"/>
          <w:u w:val="single"/>
        </w:rPr>
        <w:t>SAŽETAK KARAKTERISTIKA LIJEKA</w:t>
      </w:r>
    </w:p>
    <w:p w:rsidR="00B91CE9" w:rsidRDefault="00B91CE9" w:rsidP="00B91CE9">
      <w:pPr>
        <w:tabs>
          <w:tab w:val="left" w:pos="540"/>
          <w:tab w:val="left" w:pos="569"/>
        </w:tabs>
        <w:rPr>
          <w:noProof/>
          <w:sz w:val="22"/>
          <w:szCs w:val="22"/>
          <w:lang w:val="hr-HR"/>
        </w:rPr>
      </w:pPr>
    </w:p>
    <w:p w:rsidR="00B91CE9" w:rsidRDefault="00B91CE9" w:rsidP="008E19D1">
      <w:pPr>
        <w:tabs>
          <w:tab w:val="left" w:pos="540"/>
          <w:tab w:val="left" w:pos="569"/>
        </w:tabs>
        <w:jc w:val="both"/>
        <w:rPr>
          <w:b/>
          <w:bCs/>
          <w:sz w:val="22"/>
          <w:szCs w:val="22"/>
        </w:rPr>
      </w:pPr>
      <w:r w:rsidRPr="00786071">
        <w:rPr>
          <w:b/>
          <w:bCs/>
          <w:sz w:val="22"/>
          <w:szCs w:val="22"/>
        </w:rPr>
        <w:t>1.</w:t>
      </w:r>
      <w:r w:rsidRPr="00786071">
        <w:rPr>
          <w:b/>
          <w:bCs/>
          <w:sz w:val="22"/>
          <w:szCs w:val="22"/>
        </w:rPr>
        <w:tab/>
        <w:t>NAZIV LIJEKA</w:t>
      </w:r>
    </w:p>
    <w:p w:rsidR="001766BB" w:rsidRPr="001142C2" w:rsidRDefault="001766BB" w:rsidP="008E19D1">
      <w:pPr>
        <w:tabs>
          <w:tab w:val="left" w:pos="540"/>
          <w:tab w:val="left" w:pos="569"/>
        </w:tabs>
        <w:jc w:val="both"/>
        <w:rPr>
          <w:b/>
          <w:bCs/>
          <w:sz w:val="22"/>
          <w:szCs w:val="22"/>
        </w:rPr>
      </w:pPr>
    </w:p>
    <w:p w:rsidR="00B91CE9" w:rsidRPr="00B65ADA" w:rsidRDefault="00B91CE9" w:rsidP="008E19D1">
      <w:pPr>
        <w:pStyle w:val="Header"/>
        <w:tabs>
          <w:tab w:val="left" w:pos="284"/>
        </w:tabs>
        <w:jc w:val="both"/>
        <w:rPr>
          <w:sz w:val="22"/>
          <w:szCs w:val="22"/>
          <w:lang w:val="sr-Latn-CS"/>
        </w:rPr>
      </w:pPr>
      <w:r>
        <w:rPr>
          <w:bCs/>
          <w:sz w:val="22"/>
          <w:szCs w:val="22"/>
          <w:lang w:val="sr-Latn-CS"/>
        </w:rPr>
        <w:t>Duphalac</w:t>
      </w:r>
      <w:r w:rsidRPr="0036258A">
        <w:rPr>
          <w:sz w:val="22"/>
          <w:szCs w:val="22"/>
          <w:vertAlign w:val="superscript"/>
          <w:lang w:val="sr-Latn-CS"/>
        </w:rPr>
        <w:t>®</w:t>
      </w:r>
      <w:r>
        <w:rPr>
          <w:sz w:val="22"/>
          <w:szCs w:val="22"/>
          <w:lang w:val="sr-Latn-CS"/>
        </w:rPr>
        <w:t xml:space="preserve"> fruit</w:t>
      </w:r>
      <w:r>
        <w:rPr>
          <w:bCs/>
          <w:sz w:val="22"/>
          <w:szCs w:val="22"/>
          <w:lang w:val="sr-Latn-CS"/>
        </w:rPr>
        <w:t>, 667 g/</w:t>
      </w:r>
      <w:r w:rsidR="006F1099">
        <w:rPr>
          <w:bCs/>
          <w:sz w:val="22"/>
          <w:szCs w:val="22"/>
          <w:lang w:val="sr-Latn-CS"/>
        </w:rPr>
        <w:t>l</w:t>
      </w:r>
      <w:r>
        <w:rPr>
          <w:bCs/>
          <w:sz w:val="22"/>
          <w:szCs w:val="22"/>
          <w:lang w:val="sr-Latn-CS"/>
        </w:rPr>
        <w:t>, oralni rastvor</w:t>
      </w:r>
    </w:p>
    <w:p w:rsidR="00B91CE9" w:rsidRPr="00BD3154" w:rsidRDefault="00B91CE9" w:rsidP="008E19D1">
      <w:pPr>
        <w:pStyle w:val="Header"/>
        <w:tabs>
          <w:tab w:val="left" w:pos="284"/>
        </w:tabs>
        <w:jc w:val="both"/>
        <w:rPr>
          <w:sz w:val="22"/>
          <w:szCs w:val="22"/>
          <w:lang w:val="sr-Latn-ME"/>
        </w:rPr>
      </w:pPr>
      <w:r>
        <w:rPr>
          <w:sz w:val="22"/>
          <w:szCs w:val="22"/>
          <w:lang w:val="sr-Latn-CS"/>
        </w:rPr>
        <w:t>laktuloza</w:t>
      </w:r>
    </w:p>
    <w:p w:rsidR="00B91CE9" w:rsidRPr="00786071" w:rsidRDefault="00B91CE9" w:rsidP="008E19D1">
      <w:pPr>
        <w:jc w:val="both"/>
        <w:rPr>
          <w:bCs/>
          <w:sz w:val="22"/>
          <w:szCs w:val="22"/>
          <w:lang w:val="sv-SE"/>
        </w:rPr>
      </w:pPr>
    </w:p>
    <w:p w:rsidR="00B91CE9" w:rsidRPr="00786071" w:rsidRDefault="00B91CE9" w:rsidP="008E19D1">
      <w:pPr>
        <w:tabs>
          <w:tab w:val="left" w:pos="540"/>
          <w:tab w:val="left" w:pos="569"/>
        </w:tabs>
        <w:jc w:val="both"/>
        <w:rPr>
          <w:b/>
          <w:bCs/>
          <w:sz w:val="22"/>
          <w:szCs w:val="22"/>
        </w:rPr>
      </w:pPr>
      <w:r w:rsidRPr="00786071">
        <w:rPr>
          <w:b/>
          <w:bCs/>
          <w:sz w:val="22"/>
          <w:szCs w:val="22"/>
        </w:rPr>
        <w:t xml:space="preserve">2. </w:t>
      </w:r>
      <w:r w:rsidRPr="00786071">
        <w:rPr>
          <w:b/>
          <w:bCs/>
          <w:sz w:val="22"/>
          <w:szCs w:val="22"/>
        </w:rPr>
        <w:tab/>
        <w:t>KVALITATIVNI I KVANTITATIVNI SASTAV</w:t>
      </w:r>
    </w:p>
    <w:p w:rsidR="00B91CE9" w:rsidRDefault="00B91CE9" w:rsidP="008E19D1">
      <w:pPr>
        <w:pStyle w:val="Header"/>
        <w:tabs>
          <w:tab w:val="left" w:pos="284"/>
        </w:tabs>
        <w:jc w:val="both"/>
        <w:rPr>
          <w:rFonts w:cs="Arial"/>
          <w:sz w:val="22"/>
          <w:lang w:val="sr-Latn-CS"/>
        </w:rPr>
      </w:pPr>
    </w:p>
    <w:p w:rsidR="00B91CE9" w:rsidRDefault="00B91CE9" w:rsidP="008E19D1">
      <w:pPr>
        <w:pStyle w:val="Header"/>
        <w:tabs>
          <w:tab w:val="left" w:pos="284"/>
        </w:tabs>
        <w:jc w:val="both"/>
        <w:rPr>
          <w:rFonts w:cs="Arial"/>
          <w:sz w:val="22"/>
          <w:lang w:val="sr-Latn-CS"/>
        </w:rPr>
      </w:pPr>
      <w:r w:rsidRPr="00D464E3">
        <w:rPr>
          <w:rFonts w:cs="Arial"/>
          <w:sz w:val="22"/>
          <w:lang w:val="sr-Latn-CS"/>
        </w:rPr>
        <w:t>1 m</w:t>
      </w:r>
      <w:r w:rsidR="006F1099">
        <w:rPr>
          <w:rFonts w:cs="Arial"/>
          <w:sz w:val="22"/>
          <w:lang w:val="sr-Latn-CS"/>
        </w:rPr>
        <w:t>l</w:t>
      </w:r>
      <w:r w:rsidRPr="00D464E3">
        <w:rPr>
          <w:rFonts w:cs="Arial"/>
          <w:sz w:val="22"/>
          <w:lang w:val="sr-Latn-CS"/>
        </w:rPr>
        <w:t xml:space="preserve"> oralnog rastvora sadrži 667 mg laktuloze.</w:t>
      </w:r>
    </w:p>
    <w:p w:rsidR="008E19D1" w:rsidRPr="00D464E3" w:rsidRDefault="008E19D1" w:rsidP="008E19D1">
      <w:pPr>
        <w:pStyle w:val="Header"/>
        <w:tabs>
          <w:tab w:val="left" w:pos="284"/>
        </w:tabs>
        <w:jc w:val="both"/>
        <w:rPr>
          <w:rFonts w:cs="Arial"/>
          <w:sz w:val="22"/>
          <w:lang w:val="sr-Latn-CS"/>
        </w:rPr>
      </w:pPr>
    </w:p>
    <w:p w:rsidR="00B91CE9" w:rsidRDefault="00B91CE9" w:rsidP="008E19D1">
      <w:pPr>
        <w:pStyle w:val="Header"/>
        <w:tabs>
          <w:tab w:val="left" w:pos="284"/>
        </w:tabs>
        <w:jc w:val="both"/>
        <w:rPr>
          <w:sz w:val="22"/>
          <w:szCs w:val="22"/>
          <w:lang w:val="sr-Latn-CS"/>
        </w:rPr>
      </w:pPr>
      <w:r>
        <w:rPr>
          <w:sz w:val="22"/>
          <w:szCs w:val="22"/>
          <w:lang w:val="sr-Latn-CS"/>
        </w:rPr>
        <w:t>Lijek može da sadrži male količine laktoze, galaktoze i fruktoze.</w:t>
      </w:r>
    </w:p>
    <w:p w:rsidR="008E19D1" w:rsidRDefault="008E19D1" w:rsidP="008E19D1">
      <w:pPr>
        <w:pStyle w:val="Header"/>
        <w:tabs>
          <w:tab w:val="left" w:pos="284"/>
        </w:tabs>
        <w:jc w:val="both"/>
        <w:rPr>
          <w:sz w:val="22"/>
          <w:szCs w:val="22"/>
          <w:lang w:val="sr-Latn-CS"/>
        </w:rPr>
      </w:pPr>
    </w:p>
    <w:p w:rsidR="00B91CE9" w:rsidRPr="00786071" w:rsidRDefault="00B91CE9" w:rsidP="008E19D1">
      <w:pPr>
        <w:jc w:val="both"/>
        <w:rPr>
          <w:sz w:val="22"/>
          <w:szCs w:val="22"/>
          <w:lang w:val="sr-Latn-CS"/>
        </w:rPr>
      </w:pPr>
      <w:r w:rsidRPr="00786071">
        <w:rPr>
          <w:sz w:val="22"/>
          <w:szCs w:val="22"/>
          <w:lang w:val="sr-Latn-CS"/>
        </w:rPr>
        <w:t>Za spisak svih ekscipijenasa, pogledati dio 6.1.</w:t>
      </w:r>
    </w:p>
    <w:p w:rsidR="00B91CE9" w:rsidRPr="00786071" w:rsidRDefault="00B91CE9" w:rsidP="008E19D1">
      <w:pPr>
        <w:jc w:val="both"/>
        <w:rPr>
          <w:sz w:val="22"/>
          <w:szCs w:val="22"/>
          <w:lang w:val="sr-Latn-CS"/>
        </w:rPr>
      </w:pPr>
    </w:p>
    <w:p w:rsidR="00B91CE9" w:rsidRPr="00786071" w:rsidRDefault="00B91CE9" w:rsidP="008E19D1">
      <w:pPr>
        <w:tabs>
          <w:tab w:val="left" w:pos="540"/>
          <w:tab w:val="left" w:pos="569"/>
        </w:tabs>
        <w:jc w:val="both"/>
        <w:rPr>
          <w:b/>
          <w:bCs/>
          <w:sz w:val="22"/>
          <w:szCs w:val="22"/>
        </w:rPr>
      </w:pPr>
      <w:r w:rsidRPr="00786071">
        <w:rPr>
          <w:b/>
          <w:bCs/>
          <w:sz w:val="22"/>
          <w:szCs w:val="22"/>
        </w:rPr>
        <w:t xml:space="preserve">3. </w:t>
      </w:r>
      <w:r w:rsidRPr="00786071">
        <w:rPr>
          <w:b/>
          <w:bCs/>
          <w:sz w:val="22"/>
          <w:szCs w:val="22"/>
        </w:rPr>
        <w:tab/>
        <w:t xml:space="preserve">FARMACEUTSKI OBLIK </w:t>
      </w:r>
    </w:p>
    <w:p w:rsidR="00B91CE9" w:rsidRPr="00786071" w:rsidRDefault="00B91CE9" w:rsidP="008E19D1">
      <w:pPr>
        <w:jc w:val="both"/>
        <w:rPr>
          <w:bCs/>
          <w:sz w:val="22"/>
          <w:szCs w:val="22"/>
          <w:lang w:val="sr-Latn-CS"/>
        </w:rPr>
      </w:pPr>
    </w:p>
    <w:p w:rsidR="00B91CE9" w:rsidRPr="001142C2" w:rsidRDefault="00B91CE9" w:rsidP="008E19D1">
      <w:pPr>
        <w:tabs>
          <w:tab w:val="left" w:pos="284"/>
        </w:tabs>
        <w:jc w:val="both"/>
        <w:rPr>
          <w:rFonts w:cs="Arial"/>
          <w:sz w:val="22"/>
          <w:lang w:val="sr-Latn-CS"/>
        </w:rPr>
      </w:pPr>
      <w:r w:rsidRPr="001142C2">
        <w:rPr>
          <w:rFonts w:cs="Arial"/>
          <w:sz w:val="22"/>
          <w:lang w:val="sr-Latn-CS"/>
        </w:rPr>
        <w:t xml:space="preserve">Oralni rastvor. </w:t>
      </w:r>
    </w:p>
    <w:p w:rsidR="00B91CE9" w:rsidRDefault="00B91CE9" w:rsidP="008E19D1">
      <w:pPr>
        <w:jc w:val="both"/>
        <w:rPr>
          <w:rFonts w:cs="Arial"/>
          <w:sz w:val="22"/>
          <w:lang w:val="sr-Latn-CS"/>
        </w:rPr>
      </w:pPr>
      <w:r w:rsidRPr="001142C2">
        <w:rPr>
          <w:rFonts w:cs="Arial"/>
          <w:sz w:val="22"/>
          <w:lang w:val="sr-Latn-CS"/>
        </w:rPr>
        <w:t>Bistra, viskozna tečnost, bezbojna do braonkastožute boje.</w:t>
      </w:r>
    </w:p>
    <w:p w:rsidR="00B91CE9" w:rsidRPr="00786071" w:rsidRDefault="00B91CE9" w:rsidP="008E19D1">
      <w:pPr>
        <w:jc w:val="both"/>
        <w:rPr>
          <w:bCs/>
          <w:sz w:val="22"/>
          <w:szCs w:val="22"/>
          <w:lang w:val="sr-Latn-CS"/>
        </w:rPr>
      </w:pPr>
    </w:p>
    <w:p w:rsidR="00B91CE9" w:rsidRPr="00786071" w:rsidRDefault="00B91CE9" w:rsidP="008E19D1">
      <w:pPr>
        <w:tabs>
          <w:tab w:val="left" w:pos="540"/>
          <w:tab w:val="left" w:pos="569"/>
        </w:tabs>
        <w:jc w:val="both"/>
        <w:rPr>
          <w:b/>
          <w:bCs/>
          <w:sz w:val="22"/>
          <w:szCs w:val="22"/>
        </w:rPr>
      </w:pPr>
      <w:r w:rsidRPr="00786071">
        <w:rPr>
          <w:b/>
          <w:bCs/>
          <w:sz w:val="22"/>
          <w:szCs w:val="22"/>
        </w:rPr>
        <w:t xml:space="preserve">4. </w:t>
      </w:r>
      <w:r w:rsidRPr="00786071">
        <w:rPr>
          <w:b/>
          <w:bCs/>
          <w:sz w:val="22"/>
          <w:szCs w:val="22"/>
        </w:rPr>
        <w:tab/>
        <w:t>KLINIČKI PODACI</w:t>
      </w:r>
    </w:p>
    <w:p w:rsidR="00B91CE9" w:rsidRPr="00786071" w:rsidRDefault="00B91CE9" w:rsidP="008E19D1">
      <w:pPr>
        <w:tabs>
          <w:tab w:val="left" w:pos="540"/>
          <w:tab w:val="left" w:pos="569"/>
        </w:tabs>
        <w:jc w:val="both"/>
        <w:rPr>
          <w:bCs/>
          <w:sz w:val="22"/>
          <w:szCs w:val="22"/>
        </w:rPr>
      </w:pPr>
    </w:p>
    <w:p w:rsidR="00B91CE9" w:rsidRDefault="00B91CE9" w:rsidP="008E19D1">
      <w:pPr>
        <w:tabs>
          <w:tab w:val="left" w:pos="540"/>
          <w:tab w:val="left" w:pos="569"/>
        </w:tabs>
        <w:jc w:val="both"/>
        <w:rPr>
          <w:b/>
          <w:bCs/>
          <w:sz w:val="22"/>
          <w:szCs w:val="22"/>
        </w:rPr>
      </w:pPr>
      <w:r w:rsidRPr="00786071">
        <w:rPr>
          <w:b/>
          <w:bCs/>
          <w:sz w:val="22"/>
          <w:szCs w:val="22"/>
        </w:rPr>
        <w:t xml:space="preserve">4.1. </w:t>
      </w:r>
      <w:r w:rsidRPr="00786071">
        <w:rPr>
          <w:b/>
          <w:bCs/>
          <w:sz w:val="22"/>
          <w:szCs w:val="22"/>
        </w:rPr>
        <w:tab/>
        <w:t>Terapijske indikacije</w:t>
      </w:r>
    </w:p>
    <w:p w:rsidR="00B91CE9" w:rsidRPr="00786071" w:rsidRDefault="00B91CE9" w:rsidP="008E19D1">
      <w:pPr>
        <w:tabs>
          <w:tab w:val="left" w:pos="540"/>
          <w:tab w:val="left" w:pos="569"/>
        </w:tabs>
        <w:jc w:val="both"/>
        <w:rPr>
          <w:b/>
          <w:bCs/>
          <w:sz w:val="22"/>
          <w:szCs w:val="22"/>
        </w:rPr>
      </w:pPr>
    </w:p>
    <w:p w:rsidR="00B91CE9" w:rsidRPr="001142C2" w:rsidRDefault="00B91CE9" w:rsidP="008E19D1">
      <w:pPr>
        <w:tabs>
          <w:tab w:val="left" w:pos="284"/>
          <w:tab w:val="center" w:pos="4536"/>
          <w:tab w:val="right" w:pos="9072"/>
        </w:tabs>
        <w:jc w:val="both"/>
        <w:rPr>
          <w:rFonts w:cs="Arial"/>
          <w:sz w:val="22"/>
          <w:szCs w:val="22"/>
          <w:lang w:val="sr-Latn-CS"/>
        </w:rPr>
      </w:pPr>
      <w:r w:rsidRPr="001142C2">
        <w:rPr>
          <w:rFonts w:cs="Arial"/>
          <w:sz w:val="22"/>
          <w:szCs w:val="22"/>
          <w:lang w:val="sr-Latn-CS"/>
        </w:rPr>
        <w:t>Konstipacija: regulacija fiziološkog ritma kolona.</w:t>
      </w:r>
    </w:p>
    <w:p w:rsidR="00B91CE9" w:rsidRDefault="00B91CE9" w:rsidP="008E19D1">
      <w:pPr>
        <w:tabs>
          <w:tab w:val="left" w:pos="540"/>
          <w:tab w:val="left" w:pos="569"/>
        </w:tabs>
        <w:jc w:val="both"/>
        <w:rPr>
          <w:rFonts w:cs="Arial"/>
          <w:sz w:val="22"/>
          <w:szCs w:val="22"/>
          <w:lang w:val="sr-Latn-CS"/>
        </w:rPr>
      </w:pPr>
      <w:r w:rsidRPr="001142C2">
        <w:rPr>
          <w:rFonts w:cs="Arial"/>
          <w:sz w:val="22"/>
          <w:szCs w:val="22"/>
          <w:lang w:val="sr-Latn-CS"/>
        </w:rPr>
        <w:t>U stanjima u kojima se meka stolica smatra medicinski korisnom (hemoroidi, operacija kolona/analne regije).</w:t>
      </w:r>
    </w:p>
    <w:p w:rsidR="00B91CE9" w:rsidRPr="00786071" w:rsidRDefault="00B91CE9" w:rsidP="008E19D1">
      <w:pPr>
        <w:tabs>
          <w:tab w:val="left" w:pos="540"/>
          <w:tab w:val="left" w:pos="569"/>
        </w:tabs>
        <w:jc w:val="both"/>
        <w:rPr>
          <w:bCs/>
          <w:sz w:val="22"/>
          <w:szCs w:val="22"/>
        </w:rPr>
      </w:pPr>
    </w:p>
    <w:p w:rsidR="00B91CE9" w:rsidRDefault="00B91CE9" w:rsidP="008E19D1">
      <w:pPr>
        <w:tabs>
          <w:tab w:val="left" w:pos="540"/>
          <w:tab w:val="left" w:pos="569"/>
        </w:tabs>
        <w:jc w:val="both"/>
        <w:rPr>
          <w:b/>
          <w:bCs/>
          <w:sz w:val="22"/>
          <w:szCs w:val="22"/>
        </w:rPr>
      </w:pPr>
      <w:r w:rsidRPr="00786071">
        <w:rPr>
          <w:b/>
          <w:bCs/>
          <w:sz w:val="22"/>
          <w:szCs w:val="22"/>
        </w:rPr>
        <w:t xml:space="preserve">4.2. </w:t>
      </w:r>
      <w:r w:rsidRPr="00786071">
        <w:rPr>
          <w:b/>
          <w:bCs/>
          <w:sz w:val="22"/>
          <w:szCs w:val="22"/>
        </w:rPr>
        <w:tab/>
        <w:t>Doziranje i način primjene</w:t>
      </w:r>
    </w:p>
    <w:p w:rsidR="001766BB" w:rsidRPr="00786071" w:rsidRDefault="001766BB" w:rsidP="008E19D1">
      <w:pPr>
        <w:tabs>
          <w:tab w:val="left" w:pos="540"/>
          <w:tab w:val="left" w:pos="569"/>
        </w:tabs>
        <w:jc w:val="both"/>
        <w:rPr>
          <w:b/>
          <w:bCs/>
          <w:sz w:val="22"/>
          <w:szCs w:val="22"/>
        </w:rPr>
      </w:pPr>
    </w:p>
    <w:p w:rsidR="00B91CE9" w:rsidRPr="00786071" w:rsidRDefault="00B91CE9" w:rsidP="008E19D1">
      <w:pPr>
        <w:tabs>
          <w:tab w:val="left" w:pos="540"/>
          <w:tab w:val="left" w:pos="569"/>
        </w:tabs>
        <w:jc w:val="both"/>
        <w:rPr>
          <w:bCs/>
          <w:sz w:val="22"/>
          <w:szCs w:val="22"/>
          <w:u w:val="single"/>
        </w:rPr>
      </w:pPr>
      <w:r w:rsidRPr="00786071">
        <w:rPr>
          <w:bCs/>
          <w:sz w:val="22"/>
          <w:szCs w:val="22"/>
          <w:u w:val="single"/>
        </w:rPr>
        <w:t>Način primjene</w:t>
      </w:r>
    </w:p>
    <w:p w:rsidR="00B91CE9" w:rsidRDefault="00B91CE9" w:rsidP="008E19D1">
      <w:pPr>
        <w:pStyle w:val="Header"/>
        <w:tabs>
          <w:tab w:val="left" w:pos="284"/>
        </w:tabs>
        <w:jc w:val="both"/>
        <w:rPr>
          <w:rFonts w:cs="Arial"/>
          <w:sz w:val="22"/>
          <w:szCs w:val="22"/>
          <w:lang w:val="sr-Latn-CS"/>
        </w:rPr>
      </w:pPr>
    </w:p>
    <w:p w:rsidR="00B91CE9" w:rsidRPr="00D464E3" w:rsidRDefault="00B91CE9" w:rsidP="008E19D1">
      <w:pPr>
        <w:pStyle w:val="Header"/>
        <w:tabs>
          <w:tab w:val="left" w:pos="284"/>
        </w:tabs>
        <w:jc w:val="both"/>
        <w:rPr>
          <w:rFonts w:cs="Arial"/>
          <w:sz w:val="22"/>
          <w:szCs w:val="22"/>
          <w:lang w:val="sr-Latn-CS"/>
        </w:rPr>
      </w:pPr>
      <w:r w:rsidRPr="00D464E3">
        <w:rPr>
          <w:rFonts w:cs="Arial"/>
          <w:sz w:val="22"/>
          <w:szCs w:val="22"/>
          <w:lang w:val="sr-Latn-CS"/>
        </w:rPr>
        <w:t>Oralni rastvor laktuloze može se koristiti razblažen ili nerazblažen.</w:t>
      </w:r>
    </w:p>
    <w:p w:rsidR="00B91CE9" w:rsidRDefault="00B91CE9" w:rsidP="008E19D1">
      <w:pPr>
        <w:pStyle w:val="Header"/>
        <w:tabs>
          <w:tab w:val="left" w:pos="284"/>
        </w:tabs>
        <w:jc w:val="both"/>
        <w:rPr>
          <w:rFonts w:cs="Arial"/>
          <w:bCs/>
          <w:sz w:val="22"/>
          <w:szCs w:val="22"/>
          <w:u w:val="single"/>
        </w:rPr>
      </w:pPr>
    </w:p>
    <w:p w:rsidR="00B91CE9" w:rsidRPr="00716B09" w:rsidRDefault="00B91CE9" w:rsidP="008E19D1">
      <w:pPr>
        <w:pStyle w:val="Header"/>
        <w:tabs>
          <w:tab w:val="left" w:pos="284"/>
        </w:tabs>
        <w:jc w:val="both"/>
        <w:rPr>
          <w:rFonts w:cs="Arial"/>
          <w:bCs/>
          <w:sz w:val="22"/>
          <w:szCs w:val="22"/>
          <w:u w:val="single"/>
        </w:rPr>
      </w:pPr>
      <w:r w:rsidRPr="00716B09">
        <w:rPr>
          <w:rFonts w:cs="Arial"/>
          <w:bCs/>
          <w:sz w:val="22"/>
          <w:szCs w:val="22"/>
          <w:u w:val="single"/>
        </w:rPr>
        <w:t>Doziranje</w:t>
      </w:r>
    </w:p>
    <w:p w:rsidR="00B91CE9" w:rsidRPr="00D464E3" w:rsidRDefault="00B91CE9" w:rsidP="008E19D1">
      <w:pPr>
        <w:pStyle w:val="Header"/>
        <w:tabs>
          <w:tab w:val="left" w:pos="284"/>
        </w:tabs>
        <w:jc w:val="both"/>
        <w:rPr>
          <w:rFonts w:cs="Arial"/>
          <w:sz w:val="22"/>
          <w:szCs w:val="22"/>
          <w:lang w:val="sr-Latn-CS"/>
        </w:rPr>
      </w:pPr>
    </w:p>
    <w:p w:rsidR="00B91CE9" w:rsidRDefault="00B91CE9" w:rsidP="008E19D1">
      <w:pPr>
        <w:pStyle w:val="Header"/>
        <w:tabs>
          <w:tab w:val="left" w:pos="284"/>
        </w:tabs>
        <w:jc w:val="both"/>
        <w:rPr>
          <w:rFonts w:cs="Arial"/>
          <w:sz w:val="22"/>
          <w:szCs w:val="22"/>
          <w:lang w:val="sr-Latn-CS"/>
        </w:rPr>
      </w:pPr>
      <w:r w:rsidRPr="00D464E3">
        <w:rPr>
          <w:rFonts w:cs="Arial"/>
          <w:sz w:val="22"/>
          <w:szCs w:val="22"/>
          <w:lang w:val="sr-Latn-CS"/>
        </w:rPr>
        <w:t>Pojedinačnu dozu laktuloze progutati odjednom i ne držati u ustima duži vremenski period.</w:t>
      </w:r>
    </w:p>
    <w:p w:rsidR="008E19D1" w:rsidRPr="00D464E3" w:rsidRDefault="008E19D1" w:rsidP="008E19D1">
      <w:pPr>
        <w:pStyle w:val="Header"/>
        <w:tabs>
          <w:tab w:val="left" w:pos="284"/>
        </w:tabs>
        <w:jc w:val="both"/>
        <w:rPr>
          <w:rFonts w:cs="Arial"/>
          <w:sz w:val="22"/>
          <w:szCs w:val="22"/>
          <w:lang w:val="sr-Latn-CS"/>
        </w:rPr>
      </w:pPr>
    </w:p>
    <w:p w:rsidR="00B91CE9" w:rsidRDefault="00B91CE9" w:rsidP="008E19D1">
      <w:pPr>
        <w:pStyle w:val="Header"/>
        <w:tabs>
          <w:tab w:val="left" w:pos="284"/>
        </w:tabs>
        <w:jc w:val="both"/>
        <w:rPr>
          <w:rFonts w:cs="Arial"/>
          <w:sz w:val="22"/>
          <w:szCs w:val="22"/>
          <w:lang w:val="sr-Latn-CS"/>
        </w:rPr>
      </w:pPr>
      <w:r w:rsidRPr="00D464E3">
        <w:rPr>
          <w:rFonts w:cs="Arial"/>
          <w:sz w:val="22"/>
          <w:szCs w:val="22"/>
          <w:lang w:val="sr-Latn-CS"/>
        </w:rPr>
        <w:t xml:space="preserve">Doziranje treba podesiti u skladu sa individualnim potrebama pacijenta. </w:t>
      </w:r>
    </w:p>
    <w:p w:rsidR="008E19D1" w:rsidRPr="00D464E3" w:rsidRDefault="008E19D1" w:rsidP="008E19D1">
      <w:pPr>
        <w:pStyle w:val="Header"/>
        <w:tabs>
          <w:tab w:val="left" w:pos="284"/>
        </w:tabs>
        <w:jc w:val="both"/>
        <w:rPr>
          <w:rFonts w:cs="Arial"/>
          <w:sz w:val="22"/>
          <w:szCs w:val="22"/>
          <w:lang w:val="sr-Latn-CS"/>
        </w:rPr>
      </w:pPr>
    </w:p>
    <w:p w:rsidR="00B91CE9" w:rsidRDefault="00B91CE9" w:rsidP="008E19D1">
      <w:pPr>
        <w:pStyle w:val="Header"/>
        <w:tabs>
          <w:tab w:val="left" w:pos="284"/>
        </w:tabs>
        <w:jc w:val="both"/>
        <w:rPr>
          <w:rFonts w:cs="Arial"/>
          <w:sz w:val="22"/>
          <w:szCs w:val="22"/>
          <w:lang w:val="sr-Latn-CS"/>
        </w:rPr>
      </w:pPr>
      <w:r w:rsidRPr="00D464E3">
        <w:rPr>
          <w:rFonts w:cs="Arial"/>
          <w:sz w:val="22"/>
          <w:szCs w:val="22"/>
          <w:lang w:val="sr-Latn-CS"/>
        </w:rPr>
        <w:t>Kada se dozira jednom dnevno, dozu treba uzimati uv</w:t>
      </w:r>
      <w:r>
        <w:rPr>
          <w:rFonts w:cs="Arial"/>
          <w:sz w:val="22"/>
          <w:szCs w:val="22"/>
          <w:lang w:val="sr-Latn-CS"/>
        </w:rPr>
        <w:t>ij</w:t>
      </w:r>
      <w:r w:rsidRPr="00D464E3">
        <w:rPr>
          <w:rFonts w:cs="Arial"/>
          <w:sz w:val="22"/>
          <w:szCs w:val="22"/>
          <w:lang w:val="sr-Latn-CS"/>
        </w:rPr>
        <w:t>ek u isto vr</w:t>
      </w:r>
      <w:r>
        <w:rPr>
          <w:rFonts w:cs="Arial"/>
          <w:sz w:val="22"/>
          <w:szCs w:val="22"/>
          <w:lang w:val="sr-Latn-CS"/>
        </w:rPr>
        <w:t>ij</w:t>
      </w:r>
      <w:r w:rsidRPr="00D464E3">
        <w:rPr>
          <w:rFonts w:cs="Arial"/>
          <w:sz w:val="22"/>
          <w:szCs w:val="22"/>
          <w:lang w:val="sr-Latn-CS"/>
        </w:rPr>
        <w:t xml:space="preserve">eme, npr. tokom doručka. </w:t>
      </w:r>
    </w:p>
    <w:p w:rsidR="008E19D1" w:rsidRPr="00D464E3" w:rsidRDefault="008E19D1" w:rsidP="008E19D1">
      <w:pPr>
        <w:pStyle w:val="Header"/>
        <w:tabs>
          <w:tab w:val="left" w:pos="284"/>
        </w:tabs>
        <w:jc w:val="both"/>
        <w:rPr>
          <w:rFonts w:cs="Arial"/>
          <w:sz w:val="22"/>
          <w:szCs w:val="22"/>
          <w:lang w:val="sr-Latn-CS"/>
        </w:rPr>
      </w:pPr>
    </w:p>
    <w:p w:rsidR="00B91CE9" w:rsidRDefault="00B91CE9" w:rsidP="008E19D1">
      <w:pPr>
        <w:pStyle w:val="Header"/>
        <w:tabs>
          <w:tab w:val="left" w:pos="284"/>
        </w:tabs>
        <w:jc w:val="both"/>
        <w:rPr>
          <w:rFonts w:cs="Arial"/>
          <w:sz w:val="22"/>
          <w:szCs w:val="22"/>
          <w:lang w:val="sr-Latn-CS"/>
        </w:rPr>
      </w:pPr>
      <w:r>
        <w:rPr>
          <w:rFonts w:cs="Arial"/>
          <w:sz w:val="22"/>
          <w:szCs w:val="22"/>
          <w:lang w:val="sr-Latn-CS"/>
        </w:rPr>
        <w:t xml:space="preserve">Tokom </w:t>
      </w:r>
      <w:r w:rsidRPr="00D464E3">
        <w:rPr>
          <w:rFonts w:cs="Arial"/>
          <w:sz w:val="22"/>
          <w:szCs w:val="22"/>
          <w:lang w:val="sr-Latn-CS"/>
        </w:rPr>
        <w:t>terapij</w:t>
      </w:r>
      <w:r>
        <w:rPr>
          <w:rFonts w:cs="Arial"/>
          <w:sz w:val="22"/>
          <w:szCs w:val="22"/>
          <w:lang w:val="sr-Latn-CS"/>
        </w:rPr>
        <w:t>e</w:t>
      </w:r>
      <w:r w:rsidRPr="00D464E3">
        <w:rPr>
          <w:rFonts w:cs="Arial"/>
          <w:sz w:val="22"/>
          <w:szCs w:val="22"/>
          <w:lang w:val="sr-Latn-CS"/>
        </w:rPr>
        <w:t xml:space="preserve"> laksativima preporučuje se unos dovoljne količine tečnosti (1.5 – 2 litra što odgovara 6-8 čaša) tokom dana.</w:t>
      </w:r>
    </w:p>
    <w:p w:rsidR="008E19D1" w:rsidRPr="00D464E3" w:rsidRDefault="008E19D1" w:rsidP="008E19D1">
      <w:pPr>
        <w:pStyle w:val="Header"/>
        <w:tabs>
          <w:tab w:val="left" w:pos="284"/>
        </w:tabs>
        <w:jc w:val="both"/>
        <w:rPr>
          <w:rFonts w:cs="Arial"/>
          <w:sz w:val="22"/>
          <w:szCs w:val="22"/>
          <w:lang w:val="sr-Latn-CS"/>
        </w:rPr>
      </w:pPr>
    </w:p>
    <w:p w:rsidR="00B91CE9" w:rsidRDefault="00B91CE9" w:rsidP="008E19D1">
      <w:pPr>
        <w:pStyle w:val="Header"/>
        <w:tabs>
          <w:tab w:val="left" w:pos="284"/>
        </w:tabs>
        <w:jc w:val="both"/>
        <w:rPr>
          <w:rFonts w:cs="Arial"/>
          <w:sz w:val="22"/>
          <w:szCs w:val="22"/>
          <w:lang w:val="de-DE"/>
        </w:rPr>
      </w:pPr>
      <w:r>
        <w:rPr>
          <w:rFonts w:cs="Arial"/>
          <w:sz w:val="22"/>
          <w:szCs w:val="22"/>
          <w:lang w:val="de-DE"/>
        </w:rPr>
        <w:t>Za doziranje</w:t>
      </w:r>
      <w:r w:rsidRPr="00D464E3">
        <w:rPr>
          <w:rFonts w:cs="Arial"/>
          <w:sz w:val="22"/>
          <w:szCs w:val="22"/>
          <w:lang w:val="de-DE"/>
        </w:rPr>
        <w:t xml:space="preserve"> može da se koristi m</w:t>
      </w:r>
      <w:r>
        <w:rPr>
          <w:rFonts w:cs="Arial"/>
          <w:sz w:val="22"/>
          <w:szCs w:val="22"/>
          <w:lang w:val="de-DE"/>
        </w:rPr>
        <w:t>j</w:t>
      </w:r>
      <w:r w:rsidRPr="00D464E3">
        <w:rPr>
          <w:rFonts w:cs="Arial"/>
          <w:sz w:val="22"/>
          <w:szCs w:val="22"/>
          <w:lang w:val="de-DE"/>
        </w:rPr>
        <w:t>erna čašica.</w:t>
      </w:r>
    </w:p>
    <w:p w:rsidR="008E19D1" w:rsidRDefault="008E19D1" w:rsidP="008E19D1">
      <w:pPr>
        <w:pStyle w:val="Header"/>
        <w:tabs>
          <w:tab w:val="left" w:pos="284"/>
        </w:tabs>
        <w:jc w:val="both"/>
        <w:rPr>
          <w:rFonts w:cs="Arial"/>
          <w:sz w:val="22"/>
          <w:szCs w:val="22"/>
          <w:lang w:val="de-DE"/>
        </w:rPr>
      </w:pPr>
    </w:p>
    <w:p w:rsidR="001766BB" w:rsidRDefault="001766BB" w:rsidP="008E19D1">
      <w:pPr>
        <w:pStyle w:val="Header"/>
        <w:tabs>
          <w:tab w:val="left" w:pos="284"/>
        </w:tabs>
        <w:jc w:val="both"/>
        <w:rPr>
          <w:rFonts w:cs="Arial"/>
          <w:sz w:val="22"/>
          <w:szCs w:val="22"/>
          <w:lang w:val="de-DE"/>
        </w:rPr>
      </w:pPr>
    </w:p>
    <w:p w:rsidR="00B91CE9" w:rsidRDefault="00B91CE9" w:rsidP="008E19D1">
      <w:pPr>
        <w:pStyle w:val="Header"/>
        <w:tabs>
          <w:tab w:val="left" w:pos="284"/>
        </w:tabs>
        <w:jc w:val="both"/>
        <w:rPr>
          <w:rFonts w:cs="Arial"/>
          <w:b/>
          <w:sz w:val="22"/>
          <w:szCs w:val="22"/>
          <w:lang w:val="de-DE"/>
        </w:rPr>
      </w:pPr>
      <w:r w:rsidRPr="00D464E3">
        <w:rPr>
          <w:rFonts w:cs="Arial"/>
          <w:b/>
          <w:sz w:val="22"/>
          <w:szCs w:val="22"/>
          <w:lang w:val="de-DE"/>
        </w:rPr>
        <w:lastRenderedPageBreak/>
        <w:t>Preporuke za doziranje kod konstipacije ili kada se meka stolica smatra medicinski korisnom</w:t>
      </w:r>
    </w:p>
    <w:p w:rsidR="001766BB" w:rsidRPr="00D464E3" w:rsidRDefault="001766BB" w:rsidP="008E19D1">
      <w:pPr>
        <w:pStyle w:val="Header"/>
        <w:tabs>
          <w:tab w:val="left" w:pos="284"/>
        </w:tabs>
        <w:jc w:val="both"/>
        <w:rPr>
          <w:rFonts w:cs="Arial"/>
          <w:b/>
          <w:sz w:val="22"/>
          <w:szCs w:val="22"/>
          <w:lang w:val="de-DE"/>
        </w:rPr>
      </w:pPr>
    </w:p>
    <w:p w:rsidR="00B91CE9" w:rsidRPr="00D464E3" w:rsidRDefault="00B91CE9" w:rsidP="008E19D1">
      <w:pPr>
        <w:pStyle w:val="Header"/>
        <w:tabs>
          <w:tab w:val="left" w:pos="284"/>
        </w:tabs>
        <w:jc w:val="both"/>
        <w:rPr>
          <w:rFonts w:cs="Arial"/>
          <w:sz w:val="22"/>
          <w:szCs w:val="22"/>
          <w:lang w:val="de-DE"/>
        </w:rPr>
      </w:pPr>
      <w:r w:rsidRPr="00D464E3">
        <w:rPr>
          <w:rFonts w:cs="Arial"/>
          <w:sz w:val="22"/>
          <w:szCs w:val="22"/>
          <w:lang w:val="de-DE"/>
        </w:rPr>
        <w:t>Laktuloza se može davati jednom dnevno ili pod</w:t>
      </w:r>
      <w:r>
        <w:rPr>
          <w:rFonts w:cs="Arial"/>
          <w:sz w:val="22"/>
          <w:szCs w:val="22"/>
          <w:lang w:val="de-DE"/>
        </w:rPr>
        <w:t>ij</w:t>
      </w:r>
      <w:r w:rsidRPr="00D464E3">
        <w:rPr>
          <w:rFonts w:cs="Arial"/>
          <w:sz w:val="22"/>
          <w:szCs w:val="22"/>
          <w:lang w:val="de-DE"/>
        </w:rPr>
        <w:t xml:space="preserve">eljno u dve doze. </w:t>
      </w:r>
      <w:r>
        <w:rPr>
          <w:rFonts w:cs="Arial"/>
          <w:sz w:val="22"/>
          <w:szCs w:val="22"/>
          <w:lang w:val="de-DE"/>
        </w:rPr>
        <w:t>Za doziranje</w:t>
      </w:r>
      <w:r w:rsidRPr="00D464E3">
        <w:rPr>
          <w:rFonts w:cs="Arial"/>
          <w:sz w:val="22"/>
          <w:szCs w:val="22"/>
          <w:lang w:val="de-DE"/>
        </w:rPr>
        <w:t xml:space="preserve"> može da se koristi priložena m</w:t>
      </w:r>
      <w:r>
        <w:rPr>
          <w:rFonts w:cs="Arial"/>
          <w:sz w:val="22"/>
          <w:szCs w:val="22"/>
          <w:lang w:val="de-DE"/>
        </w:rPr>
        <w:t>j</w:t>
      </w:r>
      <w:r w:rsidRPr="00D464E3">
        <w:rPr>
          <w:rFonts w:cs="Arial"/>
          <w:sz w:val="22"/>
          <w:szCs w:val="22"/>
          <w:lang w:val="de-DE"/>
        </w:rPr>
        <w:t xml:space="preserve">erna čašica. </w:t>
      </w:r>
    </w:p>
    <w:p w:rsidR="00B91CE9" w:rsidRPr="00D464E3" w:rsidRDefault="00B91CE9" w:rsidP="001766BB">
      <w:pPr>
        <w:pStyle w:val="Header"/>
        <w:tabs>
          <w:tab w:val="left" w:pos="284"/>
        </w:tabs>
        <w:jc w:val="both"/>
        <w:rPr>
          <w:rFonts w:cs="Arial"/>
          <w:sz w:val="22"/>
          <w:szCs w:val="22"/>
          <w:lang w:val="de-DE"/>
        </w:rPr>
      </w:pPr>
    </w:p>
    <w:p w:rsidR="00B91CE9" w:rsidRPr="00D464E3" w:rsidRDefault="00B91CE9" w:rsidP="008E19D1">
      <w:pPr>
        <w:pStyle w:val="Header"/>
        <w:tabs>
          <w:tab w:val="left" w:pos="284"/>
        </w:tabs>
        <w:jc w:val="both"/>
        <w:rPr>
          <w:rFonts w:cs="Arial"/>
          <w:sz w:val="22"/>
          <w:szCs w:val="22"/>
          <w:lang w:val="de-DE"/>
        </w:rPr>
      </w:pPr>
      <w:r w:rsidRPr="00D464E3">
        <w:rPr>
          <w:rFonts w:cs="Arial"/>
          <w:sz w:val="22"/>
          <w:szCs w:val="22"/>
          <w:lang w:val="de-DE"/>
        </w:rPr>
        <w:t xml:space="preserve">Nakon nekoliko dana početna doza može da se prilagodi tako da doza održavanja bude odgovarajuća terapijskom odgovoru. Može biti potrebno </w:t>
      </w:r>
      <w:r>
        <w:rPr>
          <w:rFonts w:cs="Arial"/>
          <w:sz w:val="22"/>
          <w:szCs w:val="22"/>
          <w:lang w:val="de-DE"/>
        </w:rPr>
        <w:t>da prođe nekoliko dana</w:t>
      </w:r>
      <w:r w:rsidRPr="00D464E3">
        <w:rPr>
          <w:rFonts w:cs="Arial"/>
          <w:sz w:val="22"/>
          <w:szCs w:val="22"/>
          <w:lang w:val="de-DE"/>
        </w:rPr>
        <w:t xml:space="preserve"> (2 – 3 dana)</w:t>
      </w:r>
      <w:r>
        <w:rPr>
          <w:rFonts w:cs="Arial"/>
          <w:sz w:val="22"/>
          <w:szCs w:val="22"/>
          <w:lang w:val="de-DE"/>
        </w:rPr>
        <w:t xml:space="preserve"> nakon započinjanja primjene lijeka,</w:t>
      </w:r>
      <w:r w:rsidRPr="00D464E3">
        <w:rPr>
          <w:rFonts w:cs="Arial"/>
          <w:sz w:val="22"/>
          <w:szCs w:val="22"/>
          <w:lang w:val="de-DE"/>
        </w:rPr>
        <w:t xml:space="preserve"> do postizanja terapijskog efekta. </w:t>
      </w:r>
    </w:p>
    <w:p w:rsidR="00B91CE9" w:rsidRDefault="00B91CE9" w:rsidP="008E19D1">
      <w:pPr>
        <w:pStyle w:val="Header"/>
        <w:tabs>
          <w:tab w:val="left" w:pos="284"/>
        </w:tabs>
        <w:jc w:val="both"/>
        <w:rPr>
          <w:rFonts w:cs="Arial"/>
          <w:sz w:val="22"/>
          <w:szCs w:val="22"/>
          <w:lang w:val="fr-FR"/>
        </w:rPr>
      </w:pPr>
    </w:p>
    <w:p w:rsidR="00B91CE9" w:rsidRPr="00716B09" w:rsidRDefault="00B91CE9" w:rsidP="008E19D1">
      <w:pPr>
        <w:pStyle w:val="Header"/>
        <w:tabs>
          <w:tab w:val="left" w:pos="284"/>
        </w:tabs>
        <w:jc w:val="both"/>
        <w:rPr>
          <w:rFonts w:cs="Arial"/>
          <w:color w:val="FF0000"/>
          <w:sz w:val="22"/>
          <w:szCs w:val="22"/>
          <w:lang w:val="fr-FR"/>
        </w:rPr>
      </w:pPr>
      <w:r w:rsidRPr="00B67BAC">
        <w:rPr>
          <w:rFonts w:cs="Arial"/>
          <w:sz w:val="22"/>
          <w:szCs w:val="22"/>
          <w:lang w:val="fr-FR"/>
        </w:rPr>
        <w:t>Duphalac</w:t>
      </w:r>
      <w:r>
        <w:rPr>
          <w:b/>
          <w:bCs/>
          <w:sz w:val="22"/>
          <w:szCs w:val="22"/>
          <w:vertAlign w:val="superscript"/>
          <w:lang w:val="de-DE"/>
        </w:rPr>
        <w:t xml:space="preserve">® </w:t>
      </w:r>
      <w:r w:rsidRPr="00D464E3">
        <w:rPr>
          <w:sz w:val="22"/>
          <w:szCs w:val="22"/>
          <w:lang w:val="fr-FR"/>
        </w:rPr>
        <w:t xml:space="preserve">fruit </w:t>
      </w:r>
      <w:r w:rsidRPr="00B67BAC">
        <w:rPr>
          <w:rFonts w:cs="Arial"/>
          <w:sz w:val="22"/>
          <w:szCs w:val="22"/>
          <w:lang w:val="fr-FR"/>
        </w:rPr>
        <w:t>oralni rastvor u boci</w:t>
      </w:r>
      <w:r>
        <w:rPr>
          <w:rFonts w:cs="Arial"/>
          <w:sz w:val="22"/>
          <w:szCs w:val="22"/>
          <w:lang w:val="fr-FR"/>
        </w:rPr>
        <w:t> :</w:t>
      </w:r>
      <w:r w:rsidRPr="00B67BAC">
        <w:rPr>
          <w:rFonts w:cs="Arial"/>
          <w:sz w:val="22"/>
          <w:szCs w:val="22"/>
          <w:lang w:val="fr-FR"/>
        </w:rPr>
        <w:t xml:space="preserve"> </w:t>
      </w:r>
    </w:p>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3444"/>
        <w:gridCol w:w="3444"/>
      </w:tblGrid>
      <w:tr w:rsidR="00E46E9E" w:rsidTr="00447A51">
        <w:tc>
          <w:tcPr>
            <w:tcW w:w="2660" w:type="dxa"/>
            <w:tcBorders>
              <w:top w:val="single" w:sz="4" w:space="0" w:color="auto"/>
              <w:left w:val="single" w:sz="4" w:space="0" w:color="auto"/>
              <w:bottom w:val="single" w:sz="4" w:space="0" w:color="auto"/>
              <w:right w:val="single" w:sz="4" w:space="0" w:color="auto"/>
            </w:tcBorders>
          </w:tcPr>
          <w:p w:rsidR="00E46E9E" w:rsidRDefault="00E46E9E" w:rsidP="00447A51">
            <w:pPr>
              <w:pStyle w:val="Header"/>
              <w:tabs>
                <w:tab w:val="left" w:pos="284"/>
              </w:tabs>
              <w:spacing w:line="276" w:lineRule="auto"/>
              <w:rPr>
                <w:rFonts w:cs="Arial"/>
                <w:sz w:val="22"/>
                <w:lang w:val="fr-FR"/>
              </w:rPr>
            </w:pPr>
            <w:r>
              <w:rPr>
                <w:rFonts w:cs="Arial"/>
                <w:sz w:val="22"/>
                <w:lang w:val="fr-FR"/>
              </w:rPr>
              <w:t>Pacijent</w:t>
            </w:r>
          </w:p>
        </w:tc>
        <w:tc>
          <w:tcPr>
            <w:tcW w:w="3402" w:type="dxa"/>
            <w:tcBorders>
              <w:top w:val="single" w:sz="4" w:space="0" w:color="auto"/>
              <w:left w:val="single" w:sz="4" w:space="0" w:color="auto"/>
              <w:bottom w:val="single" w:sz="4" w:space="0" w:color="auto"/>
              <w:right w:val="single" w:sz="4" w:space="0" w:color="auto"/>
            </w:tcBorders>
            <w:hideMark/>
          </w:tcPr>
          <w:p w:rsidR="00E46E9E" w:rsidRDefault="00E46E9E" w:rsidP="00447A51">
            <w:pPr>
              <w:pStyle w:val="Header"/>
              <w:tabs>
                <w:tab w:val="left" w:pos="284"/>
              </w:tabs>
              <w:spacing w:line="276" w:lineRule="auto"/>
              <w:rPr>
                <w:rFonts w:cs="Arial"/>
                <w:sz w:val="22"/>
                <w:lang w:val="fr-FR"/>
              </w:rPr>
            </w:pPr>
            <w:r>
              <w:rPr>
                <w:rFonts w:cs="Arial"/>
                <w:sz w:val="22"/>
                <w:lang w:val="fr-FR"/>
              </w:rPr>
              <w:t>Početna dnevna doza</w:t>
            </w:r>
          </w:p>
        </w:tc>
        <w:tc>
          <w:tcPr>
            <w:tcW w:w="3402" w:type="dxa"/>
            <w:tcBorders>
              <w:top w:val="single" w:sz="4" w:space="0" w:color="auto"/>
              <w:left w:val="single" w:sz="4" w:space="0" w:color="auto"/>
              <w:bottom w:val="single" w:sz="4" w:space="0" w:color="auto"/>
              <w:right w:val="single" w:sz="4" w:space="0" w:color="auto"/>
            </w:tcBorders>
            <w:hideMark/>
          </w:tcPr>
          <w:p w:rsidR="00E46E9E" w:rsidRDefault="00E46E9E" w:rsidP="00447A51">
            <w:pPr>
              <w:pStyle w:val="Header"/>
              <w:tabs>
                <w:tab w:val="left" w:pos="284"/>
              </w:tabs>
              <w:spacing w:line="276" w:lineRule="auto"/>
              <w:rPr>
                <w:rFonts w:cs="Arial"/>
                <w:sz w:val="22"/>
                <w:lang w:val="fr-FR"/>
              </w:rPr>
            </w:pPr>
            <w:r>
              <w:rPr>
                <w:rFonts w:cs="Arial"/>
                <w:sz w:val="22"/>
                <w:lang w:val="fr-FR"/>
              </w:rPr>
              <w:t>Dnevna doza održavanja</w:t>
            </w:r>
          </w:p>
        </w:tc>
      </w:tr>
      <w:tr w:rsidR="00E46E9E" w:rsidRPr="00D464E3" w:rsidTr="00447A51">
        <w:tc>
          <w:tcPr>
            <w:tcW w:w="2660" w:type="dxa"/>
            <w:tcBorders>
              <w:top w:val="single" w:sz="4" w:space="0" w:color="auto"/>
              <w:left w:val="single" w:sz="4" w:space="0" w:color="auto"/>
              <w:bottom w:val="single" w:sz="4" w:space="0" w:color="auto"/>
              <w:right w:val="single" w:sz="4" w:space="0" w:color="auto"/>
            </w:tcBorders>
            <w:hideMark/>
          </w:tcPr>
          <w:p w:rsidR="00E46E9E" w:rsidRDefault="00E46E9E" w:rsidP="00447A51">
            <w:pPr>
              <w:pStyle w:val="Header"/>
              <w:tabs>
                <w:tab w:val="left" w:pos="284"/>
              </w:tabs>
              <w:spacing w:line="276" w:lineRule="auto"/>
              <w:rPr>
                <w:rFonts w:cs="Arial"/>
                <w:sz w:val="22"/>
                <w:lang w:val="fr-FR"/>
              </w:rPr>
            </w:pPr>
            <w:r>
              <w:rPr>
                <w:rFonts w:cs="Arial"/>
                <w:sz w:val="22"/>
                <w:lang w:val="fr-FR"/>
              </w:rPr>
              <w:t>Odrasli i adolescenti</w:t>
            </w:r>
          </w:p>
        </w:tc>
        <w:tc>
          <w:tcPr>
            <w:tcW w:w="3402" w:type="dxa"/>
            <w:tcBorders>
              <w:top w:val="single" w:sz="4" w:space="0" w:color="auto"/>
              <w:left w:val="single" w:sz="4" w:space="0" w:color="auto"/>
              <w:bottom w:val="single" w:sz="4" w:space="0" w:color="auto"/>
              <w:right w:val="single" w:sz="4" w:space="0" w:color="auto"/>
            </w:tcBorders>
            <w:hideMark/>
          </w:tcPr>
          <w:p w:rsidR="00E46E9E" w:rsidRDefault="00E46E9E" w:rsidP="00E46E9E">
            <w:pPr>
              <w:pStyle w:val="Header"/>
              <w:tabs>
                <w:tab w:val="left" w:pos="284"/>
              </w:tabs>
              <w:spacing w:line="276" w:lineRule="auto"/>
              <w:rPr>
                <w:rFonts w:cs="Arial"/>
                <w:sz w:val="22"/>
                <w:lang w:val="fr-FR"/>
              </w:rPr>
            </w:pPr>
            <w:r>
              <w:rPr>
                <w:rFonts w:cs="Arial"/>
                <w:sz w:val="22"/>
                <w:lang w:val="fr-FR"/>
              </w:rPr>
              <w:t>15-45 m</w:t>
            </w:r>
            <w:r>
              <w:rPr>
                <w:rFonts w:cs="Arial"/>
                <w:sz w:val="22"/>
                <w:lang w:val="fr-FR"/>
              </w:rPr>
              <w:t>l</w:t>
            </w:r>
            <w:r>
              <w:rPr>
                <w:rFonts w:cs="Arial"/>
                <w:sz w:val="22"/>
                <w:lang w:val="fr-FR"/>
              </w:rPr>
              <w:t xml:space="preserve">, (10-30 g laktuloze) </w:t>
            </w:r>
          </w:p>
        </w:tc>
        <w:tc>
          <w:tcPr>
            <w:tcW w:w="3402" w:type="dxa"/>
            <w:tcBorders>
              <w:top w:val="single" w:sz="4" w:space="0" w:color="auto"/>
              <w:left w:val="single" w:sz="4" w:space="0" w:color="auto"/>
              <w:bottom w:val="single" w:sz="4" w:space="0" w:color="auto"/>
              <w:right w:val="single" w:sz="4" w:space="0" w:color="auto"/>
            </w:tcBorders>
            <w:hideMark/>
          </w:tcPr>
          <w:p w:rsidR="00E46E9E" w:rsidRDefault="00E46E9E" w:rsidP="00E46E9E">
            <w:pPr>
              <w:pStyle w:val="Header"/>
              <w:tabs>
                <w:tab w:val="left" w:pos="284"/>
              </w:tabs>
              <w:spacing w:line="276" w:lineRule="auto"/>
              <w:rPr>
                <w:rFonts w:cs="Arial"/>
                <w:sz w:val="22"/>
                <w:lang w:val="fr-FR"/>
              </w:rPr>
            </w:pPr>
            <w:r>
              <w:rPr>
                <w:rFonts w:cs="Arial"/>
                <w:sz w:val="22"/>
                <w:lang w:val="fr-FR"/>
              </w:rPr>
              <w:t>15-30 m</w:t>
            </w:r>
            <w:r>
              <w:rPr>
                <w:rFonts w:cs="Arial"/>
                <w:sz w:val="22"/>
                <w:lang w:val="fr-FR"/>
              </w:rPr>
              <w:t>l</w:t>
            </w:r>
            <w:r>
              <w:rPr>
                <w:rFonts w:cs="Arial"/>
                <w:sz w:val="22"/>
                <w:lang w:val="fr-FR"/>
              </w:rPr>
              <w:t xml:space="preserve"> (10-20 g laktuloze), </w:t>
            </w:r>
          </w:p>
        </w:tc>
      </w:tr>
      <w:tr w:rsidR="00E46E9E" w:rsidTr="00447A51">
        <w:tc>
          <w:tcPr>
            <w:tcW w:w="2660" w:type="dxa"/>
            <w:tcBorders>
              <w:top w:val="single" w:sz="4" w:space="0" w:color="auto"/>
              <w:left w:val="single" w:sz="4" w:space="0" w:color="auto"/>
              <w:bottom w:val="single" w:sz="4" w:space="0" w:color="auto"/>
              <w:right w:val="single" w:sz="4" w:space="0" w:color="auto"/>
            </w:tcBorders>
            <w:hideMark/>
          </w:tcPr>
          <w:p w:rsidR="00E46E9E" w:rsidRDefault="00E46E9E" w:rsidP="00447A51">
            <w:pPr>
              <w:pStyle w:val="Header"/>
              <w:tabs>
                <w:tab w:val="left" w:pos="284"/>
              </w:tabs>
              <w:spacing w:line="276" w:lineRule="auto"/>
              <w:rPr>
                <w:rFonts w:cs="Arial"/>
                <w:sz w:val="22"/>
                <w:lang w:val="fr-FR"/>
              </w:rPr>
            </w:pPr>
            <w:r>
              <w:rPr>
                <w:rFonts w:cs="Arial"/>
                <w:sz w:val="22"/>
                <w:lang w:val="fr-FR"/>
              </w:rPr>
              <w:t>Djeca (7-14 godina)</w:t>
            </w:r>
          </w:p>
        </w:tc>
        <w:tc>
          <w:tcPr>
            <w:tcW w:w="3402" w:type="dxa"/>
            <w:tcBorders>
              <w:top w:val="single" w:sz="4" w:space="0" w:color="auto"/>
              <w:left w:val="single" w:sz="4" w:space="0" w:color="auto"/>
              <w:bottom w:val="single" w:sz="4" w:space="0" w:color="auto"/>
              <w:right w:val="single" w:sz="4" w:space="0" w:color="auto"/>
            </w:tcBorders>
            <w:hideMark/>
          </w:tcPr>
          <w:p w:rsidR="00E46E9E" w:rsidRDefault="00E46E9E" w:rsidP="00E46E9E">
            <w:pPr>
              <w:pStyle w:val="Header"/>
              <w:tabs>
                <w:tab w:val="left" w:pos="284"/>
              </w:tabs>
              <w:spacing w:line="276" w:lineRule="auto"/>
              <w:rPr>
                <w:rFonts w:cs="Arial"/>
                <w:sz w:val="22"/>
                <w:lang w:val="fr-FR"/>
              </w:rPr>
            </w:pPr>
            <w:r>
              <w:rPr>
                <w:rFonts w:cs="Arial"/>
                <w:sz w:val="22"/>
                <w:lang w:val="fr-FR"/>
              </w:rPr>
              <w:t>15 m</w:t>
            </w:r>
            <w:r>
              <w:rPr>
                <w:rFonts w:cs="Arial"/>
                <w:sz w:val="22"/>
                <w:lang w:val="fr-FR"/>
              </w:rPr>
              <w:t>l</w:t>
            </w:r>
            <w:r>
              <w:rPr>
                <w:rFonts w:cs="Arial"/>
                <w:sz w:val="22"/>
                <w:lang w:val="fr-FR"/>
              </w:rPr>
              <w:t xml:space="preserve">, (10 g laktuloze) </w:t>
            </w:r>
          </w:p>
        </w:tc>
        <w:tc>
          <w:tcPr>
            <w:tcW w:w="3402" w:type="dxa"/>
            <w:tcBorders>
              <w:top w:val="single" w:sz="4" w:space="0" w:color="auto"/>
              <w:left w:val="single" w:sz="4" w:space="0" w:color="auto"/>
              <w:bottom w:val="single" w:sz="4" w:space="0" w:color="auto"/>
              <w:right w:val="single" w:sz="4" w:space="0" w:color="auto"/>
            </w:tcBorders>
            <w:hideMark/>
          </w:tcPr>
          <w:p w:rsidR="00E46E9E" w:rsidRDefault="00E46E9E" w:rsidP="00E46E9E">
            <w:pPr>
              <w:pStyle w:val="Header"/>
              <w:tabs>
                <w:tab w:val="left" w:pos="284"/>
              </w:tabs>
              <w:spacing w:line="276" w:lineRule="auto"/>
              <w:rPr>
                <w:rFonts w:cs="Arial"/>
                <w:sz w:val="22"/>
                <w:lang w:val="fr-FR"/>
              </w:rPr>
            </w:pPr>
            <w:r>
              <w:rPr>
                <w:rFonts w:cs="Arial"/>
                <w:sz w:val="22"/>
                <w:lang w:val="fr-FR"/>
              </w:rPr>
              <w:t>10-15 m</w:t>
            </w:r>
            <w:r>
              <w:rPr>
                <w:rFonts w:cs="Arial"/>
                <w:sz w:val="22"/>
                <w:lang w:val="fr-FR"/>
              </w:rPr>
              <w:t>l</w:t>
            </w:r>
            <w:r>
              <w:rPr>
                <w:rFonts w:cs="Arial"/>
                <w:sz w:val="22"/>
                <w:lang w:val="fr-FR"/>
              </w:rPr>
              <w:t xml:space="preserve"> (7-10 g laktuloze), </w:t>
            </w:r>
          </w:p>
        </w:tc>
      </w:tr>
      <w:tr w:rsidR="00E46E9E" w:rsidTr="00447A51">
        <w:tc>
          <w:tcPr>
            <w:tcW w:w="2660" w:type="dxa"/>
            <w:tcBorders>
              <w:top w:val="single" w:sz="4" w:space="0" w:color="auto"/>
              <w:left w:val="single" w:sz="4" w:space="0" w:color="auto"/>
              <w:bottom w:val="single" w:sz="4" w:space="0" w:color="auto"/>
              <w:right w:val="single" w:sz="4" w:space="0" w:color="auto"/>
            </w:tcBorders>
            <w:hideMark/>
          </w:tcPr>
          <w:p w:rsidR="00E46E9E" w:rsidRDefault="00E46E9E" w:rsidP="00447A51">
            <w:pPr>
              <w:pStyle w:val="Header"/>
              <w:tabs>
                <w:tab w:val="left" w:pos="284"/>
              </w:tabs>
              <w:spacing w:line="276" w:lineRule="auto"/>
              <w:rPr>
                <w:rFonts w:cs="Arial"/>
                <w:sz w:val="22"/>
                <w:lang w:val="fr-FR"/>
              </w:rPr>
            </w:pPr>
            <w:r>
              <w:rPr>
                <w:rFonts w:cs="Arial"/>
                <w:sz w:val="22"/>
                <w:lang w:val="fr-FR"/>
              </w:rPr>
              <w:t>Djeca (1-6 godina)</w:t>
            </w:r>
          </w:p>
        </w:tc>
        <w:tc>
          <w:tcPr>
            <w:tcW w:w="3402" w:type="dxa"/>
            <w:tcBorders>
              <w:top w:val="single" w:sz="4" w:space="0" w:color="auto"/>
              <w:left w:val="single" w:sz="4" w:space="0" w:color="auto"/>
              <w:bottom w:val="single" w:sz="4" w:space="0" w:color="auto"/>
              <w:right w:val="single" w:sz="4" w:space="0" w:color="auto"/>
            </w:tcBorders>
            <w:hideMark/>
          </w:tcPr>
          <w:p w:rsidR="00E46E9E" w:rsidRDefault="00E46E9E" w:rsidP="00E46E9E">
            <w:pPr>
              <w:pStyle w:val="Header"/>
              <w:tabs>
                <w:tab w:val="left" w:pos="284"/>
              </w:tabs>
              <w:spacing w:line="276" w:lineRule="auto"/>
              <w:rPr>
                <w:rFonts w:cs="Arial"/>
                <w:sz w:val="22"/>
                <w:lang w:val="fr-FR"/>
              </w:rPr>
            </w:pPr>
            <w:r>
              <w:rPr>
                <w:rFonts w:cs="Arial"/>
                <w:sz w:val="22"/>
                <w:lang w:val="fr-FR"/>
              </w:rPr>
              <w:t>5-10 m</w:t>
            </w:r>
            <w:r>
              <w:rPr>
                <w:rFonts w:cs="Arial"/>
                <w:sz w:val="22"/>
                <w:lang w:val="fr-FR"/>
              </w:rPr>
              <w:t>l</w:t>
            </w:r>
            <w:r>
              <w:rPr>
                <w:rFonts w:cs="Arial"/>
                <w:sz w:val="22"/>
                <w:lang w:val="fr-FR"/>
              </w:rPr>
              <w:t xml:space="preserve"> (3-7 g laktuloze)</w:t>
            </w:r>
          </w:p>
        </w:tc>
        <w:tc>
          <w:tcPr>
            <w:tcW w:w="3402" w:type="dxa"/>
            <w:tcBorders>
              <w:top w:val="single" w:sz="4" w:space="0" w:color="auto"/>
              <w:left w:val="single" w:sz="4" w:space="0" w:color="auto"/>
              <w:bottom w:val="single" w:sz="4" w:space="0" w:color="auto"/>
              <w:right w:val="single" w:sz="4" w:space="0" w:color="auto"/>
            </w:tcBorders>
            <w:hideMark/>
          </w:tcPr>
          <w:p w:rsidR="00E46E9E" w:rsidRDefault="00E46E9E" w:rsidP="00E46E9E">
            <w:pPr>
              <w:pStyle w:val="Header"/>
              <w:tabs>
                <w:tab w:val="left" w:pos="284"/>
              </w:tabs>
              <w:spacing w:line="276" w:lineRule="auto"/>
              <w:rPr>
                <w:rFonts w:cs="Arial"/>
                <w:sz w:val="22"/>
                <w:lang w:val="fr-FR"/>
              </w:rPr>
            </w:pPr>
            <w:r>
              <w:rPr>
                <w:rFonts w:cs="Arial"/>
                <w:sz w:val="22"/>
                <w:lang w:val="fr-FR"/>
              </w:rPr>
              <w:t>5-10 m</w:t>
            </w:r>
            <w:r>
              <w:rPr>
                <w:rFonts w:cs="Arial"/>
                <w:sz w:val="22"/>
                <w:lang w:val="fr-FR"/>
              </w:rPr>
              <w:t>l</w:t>
            </w:r>
            <w:r>
              <w:rPr>
                <w:rFonts w:cs="Arial"/>
                <w:sz w:val="22"/>
                <w:lang w:val="fr-FR"/>
              </w:rPr>
              <w:t xml:space="preserve"> (3-7 g laktuloze)</w:t>
            </w:r>
          </w:p>
        </w:tc>
      </w:tr>
      <w:tr w:rsidR="00E46E9E" w:rsidTr="00447A51">
        <w:tc>
          <w:tcPr>
            <w:tcW w:w="2660" w:type="dxa"/>
            <w:tcBorders>
              <w:top w:val="single" w:sz="4" w:space="0" w:color="auto"/>
              <w:left w:val="single" w:sz="4" w:space="0" w:color="auto"/>
              <w:bottom w:val="single" w:sz="4" w:space="0" w:color="auto"/>
              <w:right w:val="single" w:sz="4" w:space="0" w:color="auto"/>
            </w:tcBorders>
            <w:hideMark/>
          </w:tcPr>
          <w:p w:rsidR="00E46E9E" w:rsidRDefault="00E46E9E" w:rsidP="00447A51">
            <w:pPr>
              <w:pStyle w:val="Header"/>
              <w:tabs>
                <w:tab w:val="left" w:pos="284"/>
              </w:tabs>
              <w:spacing w:line="276" w:lineRule="auto"/>
              <w:rPr>
                <w:rFonts w:cs="Arial"/>
                <w:sz w:val="22"/>
                <w:lang w:val="fr-FR"/>
              </w:rPr>
            </w:pPr>
            <w:r>
              <w:rPr>
                <w:rFonts w:cs="Arial"/>
                <w:sz w:val="22"/>
                <w:lang w:val="fr-FR"/>
              </w:rPr>
              <w:t>Odojčad ispod 1 godine</w:t>
            </w:r>
          </w:p>
        </w:tc>
        <w:tc>
          <w:tcPr>
            <w:tcW w:w="3402" w:type="dxa"/>
            <w:tcBorders>
              <w:top w:val="single" w:sz="4" w:space="0" w:color="auto"/>
              <w:left w:val="single" w:sz="4" w:space="0" w:color="auto"/>
              <w:bottom w:val="single" w:sz="4" w:space="0" w:color="auto"/>
              <w:right w:val="single" w:sz="4" w:space="0" w:color="auto"/>
            </w:tcBorders>
            <w:hideMark/>
          </w:tcPr>
          <w:p w:rsidR="00E46E9E" w:rsidRDefault="00E46E9E" w:rsidP="00E46E9E">
            <w:pPr>
              <w:pStyle w:val="Header"/>
              <w:tabs>
                <w:tab w:val="left" w:pos="284"/>
              </w:tabs>
              <w:spacing w:line="276" w:lineRule="auto"/>
              <w:rPr>
                <w:rFonts w:cs="Arial"/>
                <w:sz w:val="22"/>
                <w:lang w:val="fr-FR"/>
              </w:rPr>
            </w:pPr>
            <w:r>
              <w:rPr>
                <w:rFonts w:cs="Arial"/>
                <w:sz w:val="22"/>
                <w:lang w:val="fr-FR"/>
              </w:rPr>
              <w:t>Do 5 m</w:t>
            </w:r>
            <w:r>
              <w:rPr>
                <w:rFonts w:cs="Arial"/>
                <w:sz w:val="22"/>
                <w:lang w:val="fr-FR"/>
              </w:rPr>
              <w:t>l</w:t>
            </w:r>
            <w:r>
              <w:rPr>
                <w:rFonts w:cs="Arial"/>
                <w:sz w:val="22"/>
                <w:lang w:val="fr-FR"/>
              </w:rPr>
              <w:t xml:space="preserve"> (do 3 g laktuloze)</w:t>
            </w:r>
          </w:p>
        </w:tc>
        <w:tc>
          <w:tcPr>
            <w:tcW w:w="3402" w:type="dxa"/>
            <w:tcBorders>
              <w:top w:val="single" w:sz="4" w:space="0" w:color="auto"/>
              <w:left w:val="single" w:sz="4" w:space="0" w:color="auto"/>
              <w:bottom w:val="single" w:sz="4" w:space="0" w:color="auto"/>
              <w:right w:val="single" w:sz="4" w:space="0" w:color="auto"/>
            </w:tcBorders>
            <w:hideMark/>
          </w:tcPr>
          <w:p w:rsidR="00E46E9E" w:rsidRDefault="00E46E9E" w:rsidP="00E46E9E">
            <w:pPr>
              <w:pStyle w:val="Header"/>
              <w:tabs>
                <w:tab w:val="left" w:pos="284"/>
              </w:tabs>
              <w:spacing w:line="276" w:lineRule="auto"/>
              <w:rPr>
                <w:rFonts w:cs="Arial"/>
                <w:sz w:val="22"/>
                <w:lang w:val="fr-FR"/>
              </w:rPr>
            </w:pPr>
            <w:r>
              <w:rPr>
                <w:rFonts w:cs="Arial"/>
                <w:sz w:val="22"/>
                <w:lang w:val="fr-FR"/>
              </w:rPr>
              <w:t>Do 5 m</w:t>
            </w:r>
            <w:r>
              <w:rPr>
                <w:rFonts w:cs="Arial"/>
                <w:sz w:val="22"/>
                <w:lang w:val="fr-FR"/>
              </w:rPr>
              <w:t>l</w:t>
            </w:r>
            <w:r>
              <w:rPr>
                <w:rFonts w:cs="Arial"/>
                <w:sz w:val="22"/>
                <w:lang w:val="fr-FR"/>
              </w:rPr>
              <w:t xml:space="preserve"> (do 3 g laktuloze)</w:t>
            </w:r>
          </w:p>
        </w:tc>
      </w:tr>
    </w:tbl>
    <w:p w:rsidR="00B91CE9" w:rsidRPr="00B67BAC" w:rsidRDefault="00B91CE9" w:rsidP="008E19D1">
      <w:pPr>
        <w:pStyle w:val="Header"/>
        <w:tabs>
          <w:tab w:val="left" w:pos="284"/>
        </w:tabs>
        <w:jc w:val="both"/>
        <w:rPr>
          <w:rFonts w:cs="Arial"/>
          <w:sz w:val="22"/>
          <w:szCs w:val="22"/>
          <w:lang w:val="sr-Latn-ME"/>
        </w:rPr>
      </w:pPr>
    </w:p>
    <w:p w:rsidR="001766BB" w:rsidRDefault="00B91CE9" w:rsidP="008E19D1">
      <w:pPr>
        <w:pStyle w:val="Header"/>
        <w:tabs>
          <w:tab w:val="left" w:pos="284"/>
        </w:tabs>
        <w:jc w:val="both"/>
        <w:rPr>
          <w:rFonts w:cs="Arial"/>
          <w:sz w:val="22"/>
          <w:szCs w:val="22"/>
          <w:u w:val="single"/>
          <w:lang w:val="sr-Latn-ME"/>
        </w:rPr>
      </w:pPr>
      <w:r w:rsidRPr="00981C74">
        <w:rPr>
          <w:rFonts w:cs="Arial"/>
          <w:sz w:val="22"/>
          <w:szCs w:val="22"/>
          <w:u w:val="single"/>
          <w:lang w:val="sr-Latn-ME"/>
        </w:rPr>
        <w:t>Starije osobe i pacijenti sa renalnom ili hepatičnom insuficijencijom</w:t>
      </w:r>
    </w:p>
    <w:p w:rsidR="00B91CE9" w:rsidRPr="00B67BAC" w:rsidRDefault="00B91CE9" w:rsidP="008E19D1">
      <w:pPr>
        <w:pStyle w:val="Header"/>
        <w:tabs>
          <w:tab w:val="left" w:pos="284"/>
        </w:tabs>
        <w:jc w:val="both"/>
        <w:rPr>
          <w:rFonts w:cs="Arial"/>
          <w:sz w:val="22"/>
          <w:szCs w:val="22"/>
          <w:lang w:val="fr-FR"/>
        </w:rPr>
      </w:pPr>
      <w:r w:rsidRPr="00981C74">
        <w:rPr>
          <w:rFonts w:cs="Arial"/>
          <w:sz w:val="22"/>
          <w:szCs w:val="22"/>
          <w:lang w:val="sr-Latn-ME"/>
        </w:rPr>
        <w:t xml:space="preserve">Nema posebnih preporuka za doziranje, jer je sistemsko izlaganje dejstvu </w:t>
      </w:r>
      <w:r w:rsidRPr="00B67BAC">
        <w:rPr>
          <w:rFonts w:cs="Arial"/>
          <w:sz w:val="22"/>
          <w:szCs w:val="22"/>
          <w:lang w:val="sr-Latn-ME"/>
        </w:rPr>
        <w:t>laktuloze neznatno.</w:t>
      </w:r>
    </w:p>
    <w:p w:rsidR="00B91CE9" w:rsidRPr="00786071" w:rsidRDefault="00B91CE9" w:rsidP="008E19D1">
      <w:pPr>
        <w:tabs>
          <w:tab w:val="left" w:pos="540"/>
          <w:tab w:val="left" w:pos="569"/>
        </w:tabs>
        <w:jc w:val="both"/>
        <w:rPr>
          <w:bCs/>
          <w:sz w:val="22"/>
          <w:szCs w:val="22"/>
        </w:rPr>
      </w:pPr>
      <w:bookmarkStart w:id="0" w:name="_GoBack"/>
      <w:bookmarkEnd w:id="0"/>
    </w:p>
    <w:p w:rsidR="00B91CE9" w:rsidRDefault="00B91CE9" w:rsidP="008E19D1">
      <w:pPr>
        <w:tabs>
          <w:tab w:val="left" w:pos="540"/>
          <w:tab w:val="left" w:pos="569"/>
        </w:tabs>
        <w:jc w:val="both"/>
        <w:rPr>
          <w:b/>
          <w:bCs/>
          <w:sz w:val="22"/>
          <w:szCs w:val="22"/>
        </w:rPr>
      </w:pPr>
      <w:r w:rsidRPr="00786071">
        <w:rPr>
          <w:b/>
          <w:bCs/>
          <w:sz w:val="22"/>
          <w:szCs w:val="22"/>
        </w:rPr>
        <w:t xml:space="preserve">4.3. </w:t>
      </w:r>
      <w:r w:rsidRPr="00786071">
        <w:rPr>
          <w:b/>
          <w:bCs/>
          <w:sz w:val="22"/>
          <w:szCs w:val="22"/>
        </w:rPr>
        <w:tab/>
        <w:t>Kontraindikacije</w:t>
      </w:r>
    </w:p>
    <w:p w:rsidR="008E19D1" w:rsidRPr="008E19D1" w:rsidRDefault="00B91CE9" w:rsidP="008E19D1">
      <w:pPr>
        <w:pStyle w:val="ListParagraph"/>
        <w:numPr>
          <w:ilvl w:val="0"/>
          <w:numId w:val="1"/>
        </w:numPr>
        <w:tabs>
          <w:tab w:val="left" w:pos="284"/>
          <w:tab w:val="center" w:pos="4536"/>
          <w:tab w:val="right" w:pos="9072"/>
        </w:tabs>
        <w:spacing w:before="80" w:after="80"/>
        <w:jc w:val="both"/>
        <w:rPr>
          <w:rFonts w:cs="Arial"/>
          <w:bCs/>
          <w:sz w:val="22"/>
          <w:szCs w:val="22"/>
          <w:lang w:val="it-IT"/>
        </w:rPr>
      </w:pPr>
      <w:r w:rsidRPr="000B3B41">
        <w:rPr>
          <w:rFonts w:cs="Arial"/>
          <w:bCs/>
          <w:sz w:val="22"/>
          <w:szCs w:val="22"/>
          <w:lang w:val="it-IT"/>
        </w:rPr>
        <w:t xml:space="preserve">Poznata preosjetljivost na aktivnu supstancu ili neku od pomoćnih supstanci koje su navedene u odjeljku 6.1 </w:t>
      </w:r>
    </w:p>
    <w:p w:rsidR="008E19D1" w:rsidRPr="008E19D1" w:rsidRDefault="00B91CE9" w:rsidP="008E19D1">
      <w:pPr>
        <w:pStyle w:val="ListParagraph"/>
        <w:numPr>
          <w:ilvl w:val="0"/>
          <w:numId w:val="1"/>
        </w:numPr>
        <w:tabs>
          <w:tab w:val="left" w:pos="284"/>
          <w:tab w:val="center" w:pos="4536"/>
          <w:tab w:val="right" w:pos="9072"/>
        </w:tabs>
        <w:spacing w:before="80" w:after="80"/>
        <w:jc w:val="both"/>
        <w:rPr>
          <w:rFonts w:cs="Arial"/>
          <w:bCs/>
          <w:sz w:val="22"/>
          <w:szCs w:val="22"/>
          <w:lang w:val="it-IT"/>
        </w:rPr>
      </w:pPr>
      <w:r w:rsidRPr="000B3B41">
        <w:rPr>
          <w:rFonts w:cs="Arial"/>
          <w:bCs/>
          <w:sz w:val="22"/>
          <w:szCs w:val="22"/>
          <w:lang w:val="it-IT"/>
        </w:rPr>
        <w:t>Galaktozemija</w:t>
      </w:r>
    </w:p>
    <w:p w:rsidR="00B91CE9" w:rsidRPr="000B3B41" w:rsidRDefault="00B91CE9" w:rsidP="008E19D1">
      <w:pPr>
        <w:pStyle w:val="ListParagraph"/>
        <w:numPr>
          <w:ilvl w:val="0"/>
          <w:numId w:val="1"/>
        </w:numPr>
        <w:tabs>
          <w:tab w:val="left" w:pos="284"/>
        </w:tabs>
        <w:jc w:val="both"/>
        <w:rPr>
          <w:sz w:val="22"/>
          <w:szCs w:val="22"/>
          <w:lang w:val="sr-Latn-CS"/>
        </w:rPr>
      </w:pPr>
      <w:r w:rsidRPr="000B3B41">
        <w:rPr>
          <w:rFonts w:cs="Arial"/>
          <w:sz w:val="22"/>
          <w:szCs w:val="22"/>
          <w:lang w:val="it-IT"/>
        </w:rPr>
        <w:t>Gastrointestinalna opstrukcija, digestivne perforacije ili rizik od perforacija u gastrointestinalnom traktu.</w:t>
      </w:r>
    </w:p>
    <w:p w:rsidR="00B91CE9" w:rsidRPr="00786071" w:rsidRDefault="00B91CE9" w:rsidP="008E19D1">
      <w:pPr>
        <w:tabs>
          <w:tab w:val="left" w:pos="540"/>
          <w:tab w:val="left" w:pos="569"/>
        </w:tabs>
        <w:jc w:val="both"/>
        <w:rPr>
          <w:bCs/>
          <w:sz w:val="22"/>
          <w:szCs w:val="22"/>
        </w:rPr>
      </w:pPr>
    </w:p>
    <w:p w:rsidR="00B91CE9" w:rsidRPr="00786071" w:rsidRDefault="00B91CE9" w:rsidP="008E19D1">
      <w:pPr>
        <w:tabs>
          <w:tab w:val="left" w:pos="540"/>
          <w:tab w:val="left" w:pos="569"/>
        </w:tabs>
        <w:jc w:val="both"/>
        <w:rPr>
          <w:b/>
          <w:bCs/>
          <w:sz w:val="22"/>
          <w:szCs w:val="22"/>
        </w:rPr>
      </w:pPr>
      <w:r w:rsidRPr="00786071">
        <w:rPr>
          <w:b/>
          <w:bCs/>
          <w:sz w:val="22"/>
          <w:szCs w:val="22"/>
        </w:rPr>
        <w:t xml:space="preserve">4.4. </w:t>
      </w:r>
      <w:r w:rsidRPr="00786071">
        <w:rPr>
          <w:b/>
          <w:bCs/>
          <w:sz w:val="22"/>
          <w:szCs w:val="22"/>
        </w:rPr>
        <w:tab/>
        <w:t>Posebna upozorenja i mjere opreza pri upotrebi lijeka</w:t>
      </w:r>
    </w:p>
    <w:p w:rsidR="00B91CE9" w:rsidRDefault="00B91CE9" w:rsidP="008E19D1">
      <w:pPr>
        <w:pStyle w:val="Header"/>
        <w:tabs>
          <w:tab w:val="left" w:pos="284"/>
        </w:tabs>
        <w:jc w:val="both"/>
        <w:rPr>
          <w:rFonts w:cs="Arial"/>
          <w:sz w:val="22"/>
          <w:szCs w:val="22"/>
          <w:lang w:val="it-IT"/>
        </w:rPr>
      </w:pPr>
    </w:p>
    <w:p w:rsidR="00B91CE9" w:rsidRDefault="00B91CE9" w:rsidP="008E19D1">
      <w:pPr>
        <w:pStyle w:val="Header"/>
        <w:tabs>
          <w:tab w:val="left" w:pos="284"/>
        </w:tabs>
        <w:jc w:val="both"/>
        <w:rPr>
          <w:rFonts w:cs="Arial"/>
          <w:sz w:val="22"/>
          <w:szCs w:val="22"/>
          <w:lang w:val="it-IT"/>
        </w:rPr>
      </w:pPr>
      <w:r>
        <w:rPr>
          <w:rFonts w:cs="Arial"/>
          <w:sz w:val="22"/>
          <w:szCs w:val="22"/>
          <w:lang w:val="it-IT"/>
        </w:rPr>
        <w:t xml:space="preserve">Prije započinjanja terapije neophodno je procijeniti postojanje simptoma abdominalnog bola neutvrđenog porijekla kako bi se isključile nedijagnostikovane perforacije ili opstrukcije ili druga nedijagnostikovana oboljenja/stanja. </w:t>
      </w:r>
    </w:p>
    <w:p w:rsidR="00B91CE9" w:rsidRDefault="00B91CE9" w:rsidP="008E19D1">
      <w:pPr>
        <w:pStyle w:val="Header"/>
        <w:tabs>
          <w:tab w:val="left" w:pos="284"/>
        </w:tabs>
        <w:jc w:val="both"/>
        <w:rPr>
          <w:rFonts w:cs="Arial"/>
          <w:sz w:val="22"/>
          <w:szCs w:val="22"/>
          <w:lang w:val="it-IT"/>
        </w:rPr>
      </w:pPr>
    </w:p>
    <w:p w:rsidR="00B91CE9" w:rsidRDefault="00B91CE9" w:rsidP="008E19D1">
      <w:pPr>
        <w:pStyle w:val="Header"/>
        <w:tabs>
          <w:tab w:val="left" w:pos="284"/>
        </w:tabs>
        <w:jc w:val="both"/>
        <w:rPr>
          <w:rFonts w:cs="Arial"/>
          <w:sz w:val="22"/>
          <w:szCs w:val="22"/>
          <w:lang w:val="it-IT"/>
        </w:rPr>
      </w:pPr>
      <w:r>
        <w:rPr>
          <w:rFonts w:cs="Arial"/>
          <w:sz w:val="22"/>
          <w:szCs w:val="22"/>
          <w:lang w:val="it-IT"/>
        </w:rPr>
        <w:t>U slučaju nedovoljnog terapijskog efekta nakon nekoliko dana, potrebno je preispitati dozu lijeka i/ili dodatne mjere.</w:t>
      </w:r>
    </w:p>
    <w:p w:rsidR="008E19D1" w:rsidRDefault="008E19D1" w:rsidP="008E19D1">
      <w:pPr>
        <w:pStyle w:val="Header"/>
        <w:tabs>
          <w:tab w:val="left" w:pos="284"/>
        </w:tabs>
        <w:jc w:val="both"/>
        <w:rPr>
          <w:rFonts w:cs="Arial"/>
          <w:sz w:val="22"/>
          <w:szCs w:val="22"/>
          <w:lang w:val="it-IT"/>
        </w:rPr>
      </w:pPr>
    </w:p>
    <w:p w:rsidR="001766BB" w:rsidRDefault="00B91CE9" w:rsidP="008E19D1">
      <w:pPr>
        <w:pStyle w:val="Header"/>
        <w:tabs>
          <w:tab w:val="left" w:pos="284"/>
        </w:tabs>
        <w:jc w:val="both"/>
        <w:rPr>
          <w:rFonts w:cs="Arial"/>
          <w:sz w:val="22"/>
          <w:szCs w:val="22"/>
          <w:lang w:val="it-IT"/>
        </w:rPr>
      </w:pPr>
      <w:r>
        <w:rPr>
          <w:rFonts w:cs="Arial"/>
          <w:sz w:val="22"/>
          <w:szCs w:val="22"/>
          <w:lang w:val="it-IT"/>
        </w:rPr>
        <w:t>Laktulozu treba pažljivo primjenjivati kod pacijenata intolerantnih na laktozu (vidjeti odjeljak 6.1.)</w:t>
      </w:r>
    </w:p>
    <w:p w:rsidR="008E19D1" w:rsidRDefault="008E19D1" w:rsidP="008E19D1">
      <w:pPr>
        <w:pStyle w:val="Header"/>
        <w:tabs>
          <w:tab w:val="left" w:pos="284"/>
        </w:tabs>
        <w:jc w:val="both"/>
        <w:rPr>
          <w:rFonts w:cs="Arial"/>
          <w:sz w:val="22"/>
          <w:szCs w:val="22"/>
          <w:lang w:val="it-IT"/>
        </w:rPr>
      </w:pPr>
    </w:p>
    <w:p w:rsidR="00B91CE9" w:rsidRDefault="00B91CE9" w:rsidP="008E19D1">
      <w:pPr>
        <w:pStyle w:val="Header"/>
        <w:tabs>
          <w:tab w:val="left" w:pos="284"/>
        </w:tabs>
        <w:jc w:val="both"/>
        <w:rPr>
          <w:rFonts w:cs="Arial"/>
          <w:sz w:val="22"/>
          <w:szCs w:val="22"/>
          <w:lang w:val="it-IT"/>
        </w:rPr>
      </w:pPr>
      <w:r w:rsidRPr="00B67BAC">
        <w:rPr>
          <w:rFonts w:cs="Arial"/>
          <w:sz w:val="22"/>
          <w:szCs w:val="22"/>
          <w:lang w:val="it-IT"/>
        </w:rPr>
        <w:t xml:space="preserve">Doze </w:t>
      </w:r>
      <w:r>
        <w:rPr>
          <w:rFonts w:cs="Arial"/>
          <w:sz w:val="22"/>
          <w:szCs w:val="22"/>
          <w:lang w:val="it-IT"/>
        </w:rPr>
        <w:t xml:space="preserve">lijeka </w:t>
      </w:r>
      <w:r w:rsidRPr="00B67BAC">
        <w:rPr>
          <w:rFonts w:cs="Arial"/>
          <w:sz w:val="22"/>
          <w:szCs w:val="22"/>
          <w:lang w:val="it-IT"/>
        </w:rPr>
        <w:t xml:space="preserve">koje </w:t>
      </w:r>
      <w:r>
        <w:rPr>
          <w:rFonts w:cs="Arial"/>
          <w:sz w:val="22"/>
          <w:szCs w:val="22"/>
          <w:lang w:val="it-IT"/>
        </w:rPr>
        <w:t>se koriste</w:t>
      </w:r>
      <w:r w:rsidRPr="00B67BAC">
        <w:rPr>
          <w:rFonts w:cs="Arial"/>
          <w:sz w:val="22"/>
          <w:szCs w:val="22"/>
          <w:lang w:val="it-IT"/>
        </w:rPr>
        <w:t xml:space="preserve"> </w:t>
      </w:r>
      <w:r>
        <w:rPr>
          <w:rFonts w:cs="Arial"/>
          <w:sz w:val="22"/>
          <w:szCs w:val="22"/>
          <w:lang w:val="it-IT"/>
        </w:rPr>
        <w:t xml:space="preserve">u </w:t>
      </w:r>
      <w:r>
        <w:rPr>
          <w:rFonts w:cs="Arial"/>
          <w:sz w:val="22"/>
          <w:szCs w:val="22"/>
          <w:lang w:val="sr-Latn-RS"/>
        </w:rPr>
        <w:t xml:space="preserve">liječenju </w:t>
      </w:r>
      <w:r>
        <w:rPr>
          <w:rFonts w:cs="Arial"/>
          <w:sz w:val="22"/>
          <w:szCs w:val="22"/>
          <w:lang w:val="it-IT"/>
        </w:rPr>
        <w:t>kon</w:t>
      </w:r>
      <w:r w:rsidRPr="00B67BAC">
        <w:rPr>
          <w:rFonts w:cs="Arial"/>
          <w:sz w:val="22"/>
          <w:szCs w:val="22"/>
          <w:lang w:val="it-IT"/>
        </w:rPr>
        <w:t xml:space="preserve">stipacije ne </w:t>
      </w:r>
      <w:r>
        <w:rPr>
          <w:rFonts w:cs="Arial"/>
          <w:sz w:val="22"/>
          <w:szCs w:val="22"/>
          <w:lang w:val="it-IT"/>
        </w:rPr>
        <w:t>bi trebalo da izazivaju probleme kod</w:t>
      </w:r>
      <w:r w:rsidRPr="00B67BAC">
        <w:rPr>
          <w:rFonts w:cs="Arial"/>
          <w:sz w:val="22"/>
          <w:szCs w:val="22"/>
          <w:lang w:val="it-IT"/>
        </w:rPr>
        <w:t xml:space="preserve"> dijabetičar</w:t>
      </w:r>
      <w:r>
        <w:rPr>
          <w:rFonts w:cs="Arial"/>
          <w:sz w:val="22"/>
          <w:szCs w:val="22"/>
          <w:lang w:val="it-IT"/>
        </w:rPr>
        <w:t xml:space="preserve">a, ali visoke doze koje se obično koriste za liječenje hepatičke encefalopatije treba uzeti u razmatranje pri liječenju pacijenata sa dijabetes melitusom. </w:t>
      </w:r>
    </w:p>
    <w:p w:rsidR="00B91CE9" w:rsidRPr="007C4B07" w:rsidRDefault="00B91CE9" w:rsidP="001766BB">
      <w:pPr>
        <w:jc w:val="both"/>
        <w:rPr>
          <w:rFonts w:cs="Arial"/>
          <w:color w:val="FF0000"/>
          <w:sz w:val="22"/>
          <w:szCs w:val="22"/>
          <w:lang w:val="it-IT"/>
        </w:rPr>
      </w:pPr>
    </w:p>
    <w:p w:rsidR="00B91CE9" w:rsidRDefault="00B91CE9" w:rsidP="001766BB">
      <w:pPr>
        <w:pStyle w:val="Header"/>
        <w:tabs>
          <w:tab w:val="left" w:pos="284"/>
        </w:tabs>
        <w:jc w:val="both"/>
        <w:rPr>
          <w:rFonts w:cs="Arial"/>
          <w:sz w:val="22"/>
          <w:szCs w:val="22"/>
          <w:lang w:val="it-IT"/>
        </w:rPr>
      </w:pPr>
      <w:r w:rsidRPr="00B67BAC">
        <w:rPr>
          <w:rFonts w:cs="Arial"/>
          <w:sz w:val="22"/>
          <w:szCs w:val="22"/>
          <w:lang w:val="it-IT"/>
        </w:rPr>
        <w:t>Hronična upotreba u neodgovarajućim dozama</w:t>
      </w:r>
      <w:r>
        <w:rPr>
          <w:rFonts w:cs="Arial"/>
          <w:sz w:val="22"/>
          <w:szCs w:val="22"/>
          <w:lang w:val="it-IT"/>
        </w:rPr>
        <w:t>, kao</w:t>
      </w:r>
      <w:r w:rsidRPr="00B67BAC">
        <w:rPr>
          <w:rFonts w:cs="Arial"/>
          <w:sz w:val="22"/>
          <w:szCs w:val="22"/>
          <w:lang w:val="it-IT"/>
        </w:rPr>
        <w:t xml:space="preserve"> i pogrešna upotreba mogu dovesti do dijareje i poremećaja balansa elektrolita. </w:t>
      </w:r>
    </w:p>
    <w:p w:rsidR="008E19D1" w:rsidRPr="00B67BAC" w:rsidRDefault="008E19D1" w:rsidP="001766BB">
      <w:pPr>
        <w:pStyle w:val="Header"/>
        <w:tabs>
          <w:tab w:val="left" w:pos="284"/>
        </w:tabs>
        <w:jc w:val="both"/>
        <w:rPr>
          <w:rFonts w:cs="Arial"/>
          <w:sz w:val="22"/>
          <w:szCs w:val="22"/>
          <w:lang w:val="it-IT"/>
        </w:rPr>
      </w:pPr>
    </w:p>
    <w:p w:rsidR="00B91CE9" w:rsidRDefault="00B91CE9" w:rsidP="001766BB">
      <w:pPr>
        <w:pStyle w:val="Header"/>
        <w:tabs>
          <w:tab w:val="left" w:pos="284"/>
        </w:tabs>
        <w:jc w:val="both"/>
        <w:rPr>
          <w:rFonts w:cs="Arial"/>
          <w:sz w:val="22"/>
          <w:szCs w:val="22"/>
          <w:lang w:val="it-IT"/>
        </w:rPr>
      </w:pPr>
      <w:r w:rsidRPr="00B67BAC">
        <w:rPr>
          <w:rFonts w:cs="Arial"/>
          <w:sz w:val="22"/>
          <w:szCs w:val="22"/>
          <w:lang w:val="it-IT"/>
        </w:rPr>
        <w:t>Treba uzeti u obzir da refleks pražnjenja može biti poremećen tokom l</w:t>
      </w:r>
      <w:r>
        <w:rPr>
          <w:rFonts w:cs="Arial"/>
          <w:sz w:val="22"/>
          <w:szCs w:val="22"/>
          <w:lang w:val="it-IT"/>
        </w:rPr>
        <w:t>ij</w:t>
      </w:r>
      <w:r w:rsidRPr="00B67BAC">
        <w:rPr>
          <w:rFonts w:cs="Arial"/>
          <w:sz w:val="22"/>
          <w:szCs w:val="22"/>
          <w:lang w:val="it-IT"/>
        </w:rPr>
        <w:t>ečenja.</w:t>
      </w:r>
    </w:p>
    <w:p w:rsidR="00B91CE9" w:rsidRDefault="00B91CE9" w:rsidP="001766BB">
      <w:pPr>
        <w:pStyle w:val="Header"/>
        <w:tabs>
          <w:tab w:val="left" w:pos="284"/>
        </w:tabs>
        <w:jc w:val="both"/>
        <w:rPr>
          <w:rFonts w:cs="Arial"/>
          <w:sz w:val="22"/>
          <w:szCs w:val="22"/>
          <w:lang w:val="it-IT"/>
        </w:rPr>
      </w:pPr>
    </w:p>
    <w:p w:rsidR="00B91CE9" w:rsidRDefault="00B91CE9" w:rsidP="001766BB">
      <w:pPr>
        <w:pStyle w:val="Header"/>
        <w:tabs>
          <w:tab w:val="left" w:pos="284"/>
        </w:tabs>
        <w:jc w:val="both"/>
        <w:rPr>
          <w:rFonts w:cs="Arial"/>
          <w:sz w:val="22"/>
          <w:szCs w:val="22"/>
          <w:lang w:val="it-IT"/>
        </w:rPr>
      </w:pPr>
      <w:r>
        <w:rPr>
          <w:rFonts w:cs="Arial"/>
          <w:sz w:val="22"/>
          <w:szCs w:val="22"/>
          <w:lang w:val="it-IT"/>
        </w:rPr>
        <w:t xml:space="preserve">Lijek sadrži laktozu, galaktozu i male količine fruktoze. </w:t>
      </w:r>
      <w:r w:rsidRPr="00B67BAC">
        <w:rPr>
          <w:rFonts w:cs="Arial"/>
          <w:sz w:val="22"/>
          <w:szCs w:val="22"/>
          <w:lang w:val="it-IT"/>
        </w:rPr>
        <w:t>Pacijenti sa r</w:t>
      </w:r>
      <w:r>
        <w:rPr>
          <w:rFonts w:cs="Arial"/>
          <w:sz w:val="22"/>
          <w:szCs w:val="22"/>
          <w:lang w:val="it-IT"/>
        </w:rPr>
        <w:t>ij</w:t>
      </w:r>
      <w:r w:rsidRPr="00B67BAC">
        <w:rPr>
          <w:rFonts w:cs="Arial"/>
          <w:sz w:val="22"/>
          <w:szCs w:val="22"/>
          <w:lang w:val="it-IT"/>
        </w:rPr>
        <w:t>etkim nasl</w:t>
      </w:r>
      <w:r>
        <w:rPr>
          <w:rFonts w:cs="Arial"/>
          <w:sz w:val="22"/>
          <w:szCs w:val="22"/>
          <w:lang w:val="it-IT"/>
        </w:rPr>
        <w:t>j</w:t>
      </w:r>
      <w:r w:rsidRPr="00B67BAC">
        <w:rPr>
          <w:rFonts w:cs="Arial"/>
          <w:sz w:val="22"/>
          <w:szCs w:val="22"/>
          <w:lang w:val="it-IT"/>
        </w:rPr>
        <w:t xml:space="preserve">ednim oboljenjima </w:t>
      </w:r>
      <w:r>
        <w:rPr>
          <w:rFonts w:cs="Arial"/>
          <w:sz w:val="22"/>
          <w:szCs w:val="22"/>
          <w:lang w:val="it-IT"/>
        </w:rPr>
        <w:t>ne</w:t>
      </w:r>
      <w:r w:rsidRPr="00B67BAC">
        <w:rPr>
          <w:rFonts w:cs="Arial"/>
          <w:sz w:val="22"/>
          <w:szCs w:val="22"/>
          <w:lang w:val="it-IT"/>
        </w:rPr>
        <w:t>tolerancije na galaktozu</w:t>
      </w:r>
      <w:r>
        <w:rPr>
          <w:rFonts w:cs="Arial"/>
          <w:sz w:val="22"/>
          <w:szCs w:val="22"/>
          <w:lang w:val="it-IT"/>
        </w:rPr>
        <w:t xml:space="preserve"> ili fruktozu</w:t>
      </w:r>
      <w:r w:rsidRPr="00B67BAC">
        <w:rPr>
          <w:rFonts w:cs="Arial"/>
          <w:sz w:val="22"/>
          <w:szCs w:val="22"/>
          <w:lang w:val="it-IT"/>
        </w:rPr>
        <w:t xml:space="preserve">, </w:t>
      </w:r>
      <w:r>
        <w:rPr>
          <w:rFonts w:cs="Arial"/>
          <w:sz w:val="22"/>
          <w:szCs w:val="22"/>
          <w:lang w:val="it-IT"/>
        </w:rPr>
        <w:t>deficijencije</w:t>
      </w:r>
      <w:r w:rsidRPr="00B67BAC">
        <w:rPr>
          <w:rFonts w:cs="Arial"/>
          <w:sz w:val="22"/>
          <w:szCs w:val="22"/>
          <w:lang w:val="it-IT"/>
        </w:rPr>
        <w:t xml:space="preserve"> Lapp laktaze ili </w:t>
      </w:r>
      <w:r>
        <w:rPr>
          <w:rFonts w:cs="Arial"/>
          <w:sz w:val="22"/>
          <w:szCs w:val="22"/>
          <w:lang w:val="it-IT"/>
        </w:rPr>
        <w:t xml:space="preserve">glukozno-galaktoznom </w:t>
      </w:r>
      <w:r w:rsidRPr="00B67BAC">
        <w:rPr>
          <w:rFonts w:cs="Arial"/>
          <w:sz w:val="22"/>
          <w:szCs w:val="22"/>
          <w:lang w:val="it-IT"/>
        </w:rPr>
        <w:t>malapsorpcij</w:t>
      </w:r>
      <w:r>
        <w:rPr>
          <w:rFonts w:cs="Arial"/>
          <w:sz w:val="22"/>
          <w:szCs w:val="22"/>
          <w:lang w:val="it-IT"/>
        </w:rPr>
        <w:t>om</w:t>
      </w:r>
      <w:r w:rsidRPr="00B67BAC">
        <w:rPr>
          <w:rFonts w:cs="Arial"/>
          <w:sz w:val="22"/>
          <w:szCs w:val="22"/>
          <w:lang w:val="it-IT"/>
        </w:rPr>
        <w:t xml:space="preserve">, ne </w:t>
      </w:r>
      <w:r>
        <w:rPr>
          <w:rFonts w:cs="Arial"/>
          <w:sz w:val="22"/>
          <w:szCs w:val="22"/>
          <w:lang w:val="it-IT"/>
        </w:rPr>
        <w:t>treba da koriste</w:t>
      </w:r>
      <w:r w:rsidRPr="00B67BAC">
        <w:rPr>
          <w:rFonts w:cs="Arial"/>
          <w:sz w:val="22"/>
          <w:szCs w:val="22"/>
          <w:lang w:val="it-IT"/>
        </w:rPr>
        <w:t xml:space="preserve"> ovaj l</w:t>
      </w:r>
      <w:r>
        <w:rPr>
          <w:rFonts w:cs="Arial"/>
          <w:sz w:val="22"/>
          <w:szCs w:val="22"/>
          <w:lang w:val="it-IT"/>
        </w:rPr>
        <w:t>ij</w:t>
      </w:r>
      <w:r w:rsidRPr="00B67BAC">
        <w:rPr>
          <w:rFonts w:cs="Arial"/>
          <w:sz w:val="22"/>
          <w:szCs w:val="22"/>
          <w:lang w:val="it-IT"/>
        </w:rPr>
        <w:t>ek.</w:t>
      </w:r>
      <w:r>
        <w:rPr>
          <w:rFonts w:cs="Arial"/>
          <w:sz w:val="22"/>
          <w:szCs w:val="22"/>
          <w:lang w:val="it-IT"/>
        </w:rPr>
        <w:t xml:space="preserve"> </w:t>
      </w:r>
    </w:p>
    <w:p w:rsidR="00B91CE9" w:rsidRPr="00B67BAC" w:rsidRDefault="00B91CE9" w:rsidP="001766BB">
      <w:pPr>
        <w:pStyle w:val="Header"/>
        <w:tabs>
          <w:tab w:val="left" w:pos="284"/>
        </w:tabs>
        <w:jc w:val="both"/>
        <w:rPr>
          <w:rFonts w:cs="Arial"/>
          <w:sz w:val="22"/>
          <w:szCs w:val="22"/>
          <w:lang w:val="it-IT"/>
        </w:rPr>
      </w:pPr>
    </w:p>
    <w:p w:rsidR="00B91CE9" w:rsidRDefault="00B91CE9" w:rsidP="001766BB">
      <w:pPr>
        <w:pStyle w:val="Header"/>
        <w:tabs>
          <w:tab w:val="left" w:pos="284"/>
        </w:tabs>
        <w:jc w:val="both"/>
        <w:rPr>
          <w:rFonts w:cs="Arial"/>
          <w:sz w:val="22"/>
          <w:szCs w:val="22"/>
          <w:lang w:val="it-IT"/>
        </w:rPr>
      </w:pPr>
      <w:r w:rsidRPr="00B67BAC">
        <w:rPr>
          <w:rFonts w:cs="Arial"/>
          <w:sz w:val="22"/>
          <w:szCs w:val="22"/>
          <w:lang w:val="it-IT"/>
        </w:rPr>
        <w:t>D</w:t>
      </w:r>
      <w:r>
        <w:rPr>
          <w:rFonts w:cs="Arial"/>
          <w:sz w:val="22"/>
          <w:szCs w:val="22"/>
          <w:lang w:val="it-IT"/>
        </w:rPr>
        <w:t>j</w:t>
      </w:r>
      <w:r w:rsidRPr="00B67BAC">
        <w:rPr>
          <w:rFonts w:cs="Arial"/>
          <w:sz w:val="22"/>
          <w:szCs w:val="22"/>
          <w:lang w:val="it-IT"/>
        </w:rPr>
        <w:t>eca</w:t>
      </w:r>
    </w:p>
    <w:p w:rsidR="008E19D1" w:rsidRPr="00B67BAC" w:rsidRDefault="008E19D1" w:rsidP="001766BB">
      <w:pPr>
        <w:pStyle w:val="Header"/>
        <w:tabs>
          <w:tab w:val="left" w:pos="284"/>
        </w:tabs>
        <w:jc w:val="both"/>
        <w:rPr>
          <w:rFonts w:cs="Arial"/>
          <w:sz w:val="22"/>
          <w:szCs w:val="22"/>
          <w:lang w:val="it-IT"/>
        </w:rPr>
      </w:pPr>
    </w:p>
    <w:p w:rsidR="00B91CE9" w:rsidRPr="00786071" w:rsidRDefault="00B91CE9" w:rsidP="001766BB">
      <w:pPr>
        <w:tabs>
          <w:tab w:val="left" w:pos="540"/>
          <w:tab w:val="left" w:pos="569"/>
        </w:tabs>
        <w:jc w:val="both"/>
        <w:rPr>
          <w:sz w:val="22"/>
          <w:szCs w:val="22"/>
          <w:u w:val="single"/>
        </w:rPr>
      </w:pPr>
      <w:r w:rsidRPr="00B67BAC">
        <w:rPr>
          <w:rFonts w:cs="Arial"/>
          <w:sz w:val="22"/>
          <w:szCs w:val="22"/>
          <w:lang w:val="it-IT"/>
        </w:rPr>
        <w:t>Laksative kod d</w:t>
      </w:r>
      <w:r>
        <w:rPr>
          <w:rFonts w:cs="Arial"/>
          <w:sz w:val="22"/>
          <w:szCs w:val="22"/>
          <w:lang w:val="it-IT"/>
        </w:rPr>
        <w:t>j</w:t>
      </w:r>
      <w:r w:rsidRPr="00B67BAC">
        <w:rPr>
          <w:rFonts w:cs="Arial"/>
          <w:sz w:val="22"/>
          <w:szCs w:val="22"/>
          <w:lang w:val="it-IT"/>
        </w:rPr>
        <w:t>ece treba prim</w:t>
      </w:r>
      <w:r>
        <w:rPr>
          <w:rFonts w:cs="Arial"/>
          <w:sz w:val="22"/>
          <w:szCs w:val="22"/>
          <w:lang w:val="it-IT"/>
        </w:rPr>
        <w:t>j</w:t>
      </w:r>
      <w:r w:rsidRPr="00B67BAC">
        <w:rPr>
          <w:rFonts w:cs="Arial"/>
          <w:sz w:val="22"/>
          <w:szCs w:val="22"/>
          <w:lang w:val="it-IT"/>
        </w:rPr>
        <w:t xml:space="preserve">enjivati </w:t>
      </w:r>
      <w:r>
        <w:rPr>
          <w:rFonts w:cs="Arial"/>
          <w:sz w:val="22"/>
          <w:szCs w:val="22"/>
          <w:lang w:val="it-IT"/>
        </w:rPr>
        <w:t>u izuzetnim slučajevima</w:t>
      </w:r>
      <w:r w:rsidRPr="00B67BAC">
        <w:rPr>
          <w:rFonts w:cs="Arial"/>
          <w:sz w:val="22"/>
          <w:szCs w:val="22"/>
          <w:lang w:val="it-IT"/>
        </w:rPr>
        <w:t xml:space="preserve"> i pod medicinskim nadzorom. </w:t>
      </w:r>
    </w:p>
    <w:p w:rsidR="00B91CE9" w:rsidRPr="00786071" w:rsidRDefault="00B91CE9" w:rsidP="001766BB">
      <w:pPr>
        <w:tabs>
          <w:tab w:val="left" w:pos="540"/>
          <w:tab w:val="left" w:pos="569"/>
        </w:tabs>
        <w:jc w:val="both"/>
        <w:rPr>
          <w:bCs/>
          <w:sz w:val="22"/>
          <w:szCs w:val="22"/>
        </w:rPr>
      </w:pPr>
    </w:p>
    <w:p w:rsidR="00B91CE9" w:rsidRDefault="00B91CE9" w:rsidP="00B91CE9">
      <w:pPr>
        <w:tabs>
          <w:tab w:val="left" w:pos="540"/>
          <w:tab w:val="left" w:pos="569"/>
        </w:tabs>
        <w:rPr>
          <w:b/>
          <w:bCs/>
          <w:sz w:val="22"/>
          <w:szCs w:val="22"/>
        </w:rPr>
      </w:pPr>
      <w:r w:rsidRPr="00786071">
        <w:rPr>
          <w:b/>
          <w:bCs/>
          <w:sz w:val="22"/>
          <w:szCs w:val="22"/>
        </w:rPr>
        <w:t>4.5.</w:t>
      </w:r>
      <w:r>
        <w:rPr>
          <w:b/>
          <w:bCs/>
          <w:sz w:val="22"/>
          <w:szCs w:val="22"/>
        </w:rPr>
        <w:tab/>
      </w:r>
      <w:r w:rsidRPr="00786071">
        <w:rPr>
          <w:b/>
          <w:bCs/>
          <w:sz w:val="22"/>
          <w:szCs w:val="22"/>
        </w:rPr>
        <w:t>Interakcije sa drugim ljekovima i druge vrste interakcija</w:t>
      </w:r>
    </w:p>
    <w:p w:rsidR="001766BB" w:rsidRPr="00786071" w:rsidRDefault="001766BB" w:rsidP="00B91CE9">
      <w:pPr>
        <w:tabs>
          <w:tab w:val="left" w:pos="540"/>
          <w:tab w:val="left" w:pos="569"/>
        </w:tabs>
        <w:rPr>
          <w:b/>
          <w:bCs/>
          <w:sz w:val="22"/>
          <w:szCs w:val="22"/>
        </w:rPr>
      </w:pPr>
    </w:p>
    <w:p w:rsidR="00B91CE9" w:rsidRPr="00D60476" w:rsidRDefault="00B91CE9" w:rsidP="00B91CE9">
      <w:pPr>
        <w:tabs>
          <w:tab w:val="left" w:pos="284"/>
        </w:tabs>
        <w:jc w:val="both"/>
        <w:rPr>
          <w:rFonts w:cs="Arial"/>
          <w:sz w:val="22"/>
          <w:szCs w:val="22"/>
          <w:lang w:val="it-IT"/>
        </w:rPr>
      </w:pPr>
      <w:r w:rsidRPr="00D60476">
        <w:rPr>
          <w:rFonts w:cs="Arial"/>
          <w:sz w:val="22"/>
          <w:szCs w:val="22"/>
          <w:lang w:val="it-IT"/>
        </w:rPr>
        <w:t>Studije interakcija ni</w:t>
      </w:r>
      <w:r>
        <w:rPr>
          <w:rFonts w:cs="Arial"/>
          <w:sz w:val="22"/>
          <w:szCs w:val="22"/>
          <w:lang w:val="it-IT"/>
        </w:rPr>
        <w:t>je</w:t>
      </w:r>
      <w:r w:rsidRPr="00D60476">
        <w:rPr>
          <w:rFonts w:cs="Arial"/>
          <w:sz w:val="22"/>
          <w:szCs w:val="22"/>
          <w:lang w:val="it-IT"/>
        </w:rPr>
        <w:t>su rađene.</w:t>
      </w:r>
    </w:p>
    <w:p w:rsidR="00B91CE9" w:rsidRPr="00786071" w:rsidRDefault="00B91CE9" w:rsidP="00B91CE9">
      <w:pPr>
        <w:tabs>
          <w:tab w:val="left" w:pos="540"/>
          <w:tab w:val="left" w:pos="569"/>
        </w:tabs>
        <w:rPr>
          <w:bCs/>
          <w:sz w:val="22"/>
          <w:szCs w:val="22"/>
        </w:rPr>
      </w:pPr>
    </w:p>
    <w:p w:rsidR="00B91CE9" w:rsidRDefault="00B91CE9" w:rsidP="00B91CE9">
      <w:pPr>
        <w:tabs>
          <w:tab w:val="left" w:pos="540"/>
          <w:tab w:val="left" w:pos="569"/>
        </w:tabs>
        <w:rPr>
          <w:b/>
          <w:sz w:val="22"/>
          <w:szCs w:val="22"/>
          <w:lang w:val="sr-Latn-CS"/>
        </w:rPr>
      </w:pPr>
      <w:r w:rsidRPr="00786071">
        <w:rPr>
          <w:b/>
          <w:bCs/>
          <w:sz w:val="22"/>
          <w:szCs w:val="22"/>
        </w:rPr>
        <w:t xml:space="preserve">4.6. </w:t>
      </w:r>
      <w:r w:rsidRPr="00786071">
        <w:rPr>
          <w:b/>
          <w:bCs/>
          <w:sz w:val="22"/>
          <w:szCs w:val="22"/>
        </w:rPr>
        <w:tab/>
      </w:r>
      <w:r>
        <w:rPr>
          <w:b/>
          <w:sz w:val="22"/>
          <w:szCs w:val="22"/>
          <w:lang w:val="sr-Latn-CS"/>
        </w:rPr>
        <w:t>Plodnost, trudnoća i dojenje</w:t>
      </w:r>
    </w:p>
    <w:p w:rsidR="00B91CE9" w:rsidRDefault="00B91CE9" w:rsidP="00B91CE9">
      <w:pPr>
        <w:tabs>
          <w:tab w:val="left" w:pos="540"/>
          <w:tab w:val="left" w:pos="569"/>
        </w:tabs>
        <w:rPr>
          <w:sz w:val="22"/>
          <w:szCs w:val="22"/>
          <w:u w:val="single"/>
        </w:rPr>
      </w:pPr>
    </w:p>
    <w:p w:rsidR="00B91CE9" w:rsidRDefault="00B91CE9" w:rsidP="00B91CE9">
      <w:pPr>
        <w:tabs>
          <w:tab w:val="left" w:pos="540"/>
          <w:tab w:val="left" w:pos="569"/>
        </w:tabs>
        <w:rPr>
          <w:sz w:val="22"/>
          <w:szCs w:val="22"/>
          <w:u w:val="single"/>
        </w:rPr>
      </w:pPr>
      <w:r w:rsidRPr="007A3ECB">
        <w:rPr>
          <w:sz w:val="22"/>
          <w:szCs w:val="22"/>
          <w:u w:val="single"/>
        </w:rPr>
        <w:t>Plodnost</w:t>
      </w:r>
    </w:p>
    <w:p w:rsidR="008E19D1" w:rsidRDefault="008E19D1" w:rsidP="00B91CE9">
      <w:pPr>
        <w:tabs>
          <w:tab w:val="left" w:pos="540"/>
          <w:tab w:val="left" w:pos="569"/>
        </w:tabs>
        <w:rPr>
          <w:sz w:val="22"/>
          <w:szCs w:val="22"/>
          <w:u w:val="single"/>
        </w:rPr>
      </w:pPr>
    </w:p>
    <w:p w:rsidR="00B91CE9" w:rsidRPr="007A3ECB" w:rsidRDefault="00B91CE9" w:rsidP="00B91CE9">
      <w:pPr>
        <w:tabs>
          <w:tab w:val="left" w:pos="540"/>
          <w:tab w:val="left" w:pos="569"/>
        </w:tabs>
        <w:rPr>
          <w:sz w:val="22"/>
          <w:szCs w:val="22"/>
          <w:u w:val="single"/>
        </w:rPr>
      </w:pPr>
      <w:r w:rsidRPr="00D60476">
        <w:rPr>
          <w:rFonts w:cs="Arial"/>
          <w:sz w:val="22"/>
          <w:lang w:val="it-IT"/>
        </w:rPr>
        <w:t>Ne očekuje se uticaj leka na fertilitet, jer je sistemsko izlaganje dejstvu laktuloze neznatno.</w:t>
      </w:r>
    </w:p>
    <w:p w:rsidR="00B91CE9" w:rsidRDefault="00B91CE9" w:rsidP="00B91CE9">
      <w:pPr>
        <w:tabs>
          <w:tab w:val="left" w:pos="540"/>
          <w:tab w:val="left" w:pos="569"/>
        </w:tabs>
        <w:rPr>
          <w:sz w:val="22"/>
          <w:szCs w:val="22"/>
          <w:u w:val="single"/>
        </w:rPr>
      </w:pPr>
    </w:p>
    <w:p w:rsidR="00B91CE9" w:rsidRDefault="00B91CE9" w:rsidP="00B91CE9">
      <w:pPr>
        <w:tabs>
          <w:tab w:val="left" w:pos="540"/>
          <w:tab w:val="left" w:pos="569"/>
        </w:tabs>
        <w:rPr>
          <w:sz w:val="22"/>
          <w:szCs w:val="22"/>
          <w:u w:val="single"/>
        </w:rPr>
      </w:pPr>
      <w:r w:rsidRPr="007A3ECB">
        <w:rPr>
          <w:sz w:val="22"/>
          <w:szCs w:val="22"/>
          <w:u w:val="single"/>
        </w:rPr>
        <w:t>Trudnoća</w:t>
      </w:r>
    </w:p>
    <w:p w:rsidR="008E19D1" w:rsidRDefault="008E19D1" w:rsidP="00B91CE9">
      <w:pPr>
        <w:tabs>
          <w:tab w:val="left" w:pos="540"/>
          <w:tab w:val="left" w:pos="569"/>
        </w:tabs>
        <w:rPr>
          <w:sz w:val="22"/>
          <w:szCs w:val="22"/>
          <w:u w:val="single"/>
        </w:rPr>
      </w:pPr>
    </w:p>
    <w:p w:rsidR="00B91CE9" w:rsidRDefault="00B91CE9" w:rsidP="00B91CE9">
      <w:pPr>
        <w:pStyle w:val="Header"/>
        <w:tabs>
          <w:tab w:val="left" w:pos="284"/>
        </w:tabs>
        <w:rPr>
          <w:rFonts w:cs="Arial"/>
          <w:sz w:val="22"/>
          <w:lang w:val="it-IT"/>
        </w:rPr>
      </w:pPr>
      <w:r>
        <w:rPr>
          <w:rFonts w:cs="Arial"/>
          <w:sz w:val="22"/>
          <w:lang w:val="it-IT"/>
        </w:rPr>
        <w:t>Ne očekuje se uticaj leka na trudnoću, jer je sistemsko izlaganje dejstvu laktuloze neznatno.</w:t>
      </w:r>
    </w:p>
    <w:p w:rsidR="00B91CE9" w:rsidRDefault="00B91CE9" w:rsidP="00B91CE9">
      <w:pPr>
        <w:pStyle w:val="Header"/>
        <w:tabs>
          <w:tab w:val="left" w:pos="284"/>
        </w:tabs>
        <w:rPr>
          <w:rFonts w:cs="Arial"/>
          <w:sz w:val="22"/>
          <w:lang w:val="it-IT"/>
        </w:rPr>
      </w:pPr>
      <w:r>
        <w:rPr>
          <w:rFonts w:cs="Arial"/>
          <w:sz w:val="22"/>
          <w:lang w:val="it-IT"/>
        </w:rPr>
        <w:t>Duphalac</w:t>
      </w:r>
      <w:r>
        <w:rPr>
          <w:b/>
          <w:bCs/>
          <w:sz w:val="22"/>
          <w:szCs w:val="22"/>
          <w:vertAlign w:val="superscript"/>
          <w:lang w:val="de-DE"/>
        </w:rPr>
        <w:t xml:space="preserve">® </w:t>
      </w:r>
      <w:r>
        <w:rPr>
          <w:rFonts w:cs="Arial"/>
          <w:sz w:val="22"/>
          <w:lang w:val="it-IT"/>
        </w:rPr>
        <w:t>fruit se može primenjivati kod trudnica (vidjeti odeljak 5.3).</w:t>
      </w:r>
    </w:p>
    <w:p w:rsidR="00B91CE9" w:rsidRDefault="00B91CE9" w:rsidP="00B91CE9">
      <w:pPr>
        <w:tabs>
          <w:tab w:val="left" w:pos="540"/>
          <w:tab w:val="left" w:pos="569"/>
        </w:tabs>
        <w:rPr>
          <w:sz w:val="22"/>
          <w:szCs w:val="22"/>
          <w:u w:val="single"/>
        </w:rPr>
      </w:pPr>
    </w:p>
    <w:p w:rsidR="00B91CE9" w:rsidRDefault="00B91CE9" w:rsidP="00B91CE9">
      <w:pPr>
        <w:tabs>
          <w:tab w:val="left" w:pos="540"/>
          <w:tab w:val="left" w:pos="569"/>
        </w:tabs>
        <w:rPr>
          <w:sz w:val="22"/>
          <w:szCs w:val="22"/>
          <w:u w:val="single"/>
        </w:rPr>
      </w:pPr>
      <w:r w:rsidRPr="007A3ECB">
        <w:rPr>
          <w:sz w:val="22"/>
          <w:szCs w:val="22"/>
          <w:u w:val="single"/>
        </w:rPr>
        <w:t xml:space="preserve">Dojenje </w:t>
      </w:r>
    </w:p>
    <w:p w:rsidR="008E19D1" w:rsidRDefault="008E19D1" w:rsidP="00B91CE9">
      <w:pPr>
        <w:tabs>
          <w:tab w:val="left" w:pos="540"/>
          <w:tab w:val="left" w:pos="569"/>
        </w:tabs>
        <w:rPr>
          <w:sz w:val="22"/>
          <w:szCs w:val="22"/>
          <w:u w:val="single"/>
        </w:rPr>
      </w:pPr>
    </w:p>
    <w:p w:rsidR="00B91CE9" w:rsidRPr="00D60476" w:rsidRDefault="00B91CE9" w:rsidP="00B91CE9">
      <w:pPr>
        <w:tabs>
          <w:tab w:val="left" w:pos="284"/>
          <w:tab w:val="center" w:pos="4536"/>
          <w:tab w:val="right" w:pos="9072"/>
        </w:tabs>
        <w:jc w:val="both"/>
        <w:rPr>
          <w:rFonts w:cs="Arial"/>
          <w:sz w:val="22"/>
          <w:lang w:val="it-IT"/>
        </w:rPr>
      </w:pPr>
      <w:r w:rsidRPr="00D60476">
        <w:rPr>
          <w:rFonts w:cs="Arial"/>
          <w:sz w:val="22"/>
          <w:lang w:val="it-IT"/>
        </w:rPr>
        <w:t>Ne očekuje se uticaj l</w:t>
      </w:r>
      <w:r>
        <w:rPr>
          <w:rFonts w:cs="Arial"/>
          <w:sz w:val="22"/>
          <w:lang w:val="it-IT"/>
        </w:rPr>
        <w:t>ij</w:t>
      </w:r>
      <w:r w:rsidRPr="00D60476">
        <w:rPr>
          <w:rFonts w:cs="Arial"/>
          <w:sz w:val="22"/>
          <w:lang w:val="it-IT"/>
        </w:rPr>
        <w:t>eka na novorođenče/odojče, jer su dojilje neznatno izložene sistemskom dejstvu laktuloze. Duphalac</w:t>
      </w:r>
      <w:r w:rsidRPr="00D60476">
        <w:rPr>
          <w:b/>
          <w:bCs/>
          <w:sz w:val="22"/>
          <w:szCs w:val="22"/>
          <w:vertAlign w:val="superscript"/>
          <w:lang w:val="de-DE" w:eastAsia="x-none"/>
        </w:rPr>
        <w:t xml:space="preserve">® </w:t>
      </w:r>
      <w:r w:rsidRPr="00D60476">
        <w:rPr>
          <w:rFonts w:cs="Arial"/>
          <w:sz w:val="22"/>
          <w:lang w:val="it-IT"/>
        </w:rPr>
        <w:t>fruit se može koristiti tokom perioda dojenja (vid</w:t>
      </w:r>
      <w:r>
        <w:rPr>
          <w:rFonts w:cs="Arial"/>
          <w:sz w:val="22"/>
          <w:lang w:val="it-IT"/>
        </w:rPr>
        <w:t>j</w:t>
      </w:r>
      <w:r w:rsidRPr="00D60476">
        <w:rPr>
          <w:rFonts w:cs="Arial"/>
          <w:sz w:val="22"/>
          <w:lang w:val="it-IT"/>
        </w:rPr>
        <w:t>eti od</w:t>
      </w:r>
      <w:r>
        <w:rPr>
          <w:rFonts w:cs="Arial"/>
          <w:sz w:val="22"/>
          <w:lang w:val="it-IT"/>
        </w:rPr>
        <w:t>j</w:t>
      </w:r>
      <w:r w:rsidRPr="00D60476">
        <w:rPr>
          <w:rFonts w:cs="Arial"/>
          <w:sz w:val="22"/>
          <w:lang w:val="it-IT"/>
        </w:rPr>
        <w:t>eljak 5.3).</w:t>
      </w:r>
    </w:p>
    <w:p w:rsidR="00B91CE9" w:rsidRDefault="00B91CE9" w:rsidP="00B91CE9">
      <w:pPr>
        <w:tabs>
          <w:tab w:val="left" w:pos="540"/>
          <w:tab w:val="left" w:pos="569"/>
        </w:tabs>
        <w:ind w:left="540" w:hanging="540"/>
        <w:rPr>
          <w:b/>
          <w:bCs/>
          <w:sz w:val="22"/>
          <w:szCs w:val="22"/>
        </w:rPr>
      </w:pPr>
    </w:p>
    <w:p w:rsidR="00B91CE9" w:rsidRDefault="00B91CE9" w:rsidP="00B91CE9">
      <w:pPr>
        <w:tabs>
          <w:tab w:val="left" w:pos="540"/>
          <w:tab w:val="left" w:pos="569"/>
        </w:tabs>
        <w:ind w:left="540" w:hanging="540"/>
        <w:rPr>
          <w:b/>
          <w:bCs/>
          <w:sz w:val="22"/>
          <w:szCs w:val="22"/>
        </w:rPr>
      </w:pPr>
      <w:r w:rsidRPr="00786071">
        <w:rPr>
          <w:b/>
          <w:bCs/>
          <w:sz w:val="22"/>
          <w:szCs w:val="22"/>
        </w:rPr>
        <w:t xml:space="preserve">4.7. </w:t>
      </w:r>
      <w:r w:rsidRPr="00786071">
        <w:rPr>
          <w:b/>
          <w:bCs/>
          <w:sz w:val="22"/>
          <w:szCs w:val="22"/>
        </w:rPr>
        <w:tab/>
        <w:t xml:space="preserve">Uticaj na </w:t>
      </w:r>
      <w:r>
        <w:rPr>
          <w:b/>
          <w:bCs/>
          <w:sz w:val="22"/>
          <w:szCs w:val="22"/>
        </w:rPr>
        <w:t xml:space="preserve">sposobnost </w:t>
      </w:r>
      <w:r w:rsidRPr="00786071">
        <w:rPr>
          <w:b/>
          <w:bCs/>
          <w:sz w:val="22"/>
          <w:szCs w:val="22"/>
        </w:rPr>
        <w:t>upravljanja vozilima i rukovanj</w:t>
      </w:r>
      <w:r>
        <w:rPr>
          <w:b/>
          <w:bCs/>
          <w:sz w:val="22"/>
          <w:szCs w:val="22"/>
        </w:rPr>
        <w:t>e</w:t>
      </w:r>
      <w:r w:rsidRPr="00786071">
        <w:rPr>
          <w:b/>
          <w:bCs/>
          <w:sz w:val="22"/>
          <w:szCs w:val="22"/>
        </w:rPr>
        <w:t xml:space="preserve"> mašinama</w:t>
      </w:r>
    </w:p>
    <w:p w:rsidR="001766BB" w:rsidRPr="00786071" w:rsidRDefault="001766BB" w:rsidP="00B91CE9">
      <w:pPr>
        <w:tabs>
          <w:tab w:val="left" w:pos="540"/>
          <w:tab w:val="left" w:pos="569"/>
        </w:tabs>
        <w:ind w:left="540" w:hanging="540"/>
        <w:rPr>
          <w:b/>
          <w:bCs/>
          <w:sz w:val="22"/>
          <w:szCs w:val="22"/>
        </w:rPr>
      </w:pPr>
    </w:p>
    <w:p w:rsidR="00B91CE9" w:rsidRDefault="00B91CE9" w:rsidP="00B91CE9">
      <w:pPr>
        <w:tabs>
          <w:tab w:val="left" w:pos="540"/>
          <w:tab w:val="left" w:pos="569"/>
        </w:tabs>
        <w:rPr>
          <w:rFonts w:cs="Arial"/>
          <w:sz w:val="22"/>
          <w:szCs w:val="22"/>
          <w:lang w:val="sr-Latn-CS"/>
        </w:rPr>
      </w:pPr>
      <w:r w:rsidRPr="00D60476">
        <w:rPr>
          <w:rFonts w:cs="Arial"/>
          <w:sz w:val="22"/>
          <w:szCs w:val="22"/>
          <w:lang w:val="sr-Latn-CS"/>
        </w:rPr>
        <w:t>Laktuloza nema ili ima zanemariv uticaj na sposobnost upravljanja motornim vozilima ili mašinama.</w:t>
      </w:r>
    </w:p>
    <w:p w:rsidR="008E19D1" w:rsidRPr="00786071" w:rsidRDefault="008E19D1" w:rsidP="00B91CE9">
      <w:pPr>
        <w:tabs>
          <w:tab w:val="left" w:pos="540"/>
          <w:tab w:val="left" w:pos="569"/>
        </w:tabs>
        <w:rPr>
          <w:b/>
          <w:bCs/>
          <w:sz w:val="22"/>
          <w:szCs w:val="22"/>
        </w:rPr>
      </w:pPr>
    </w:p>
    <w:p w:rsidR="00B91CE9" w:rsidRDefault="00B91CE9" w:rsidP="00B91CE9">
      <w:pPr>
        <w:tabs>
          <w:tab w:val="left" w:pos="540"/>
          <w:tab w:val="left" w:pos="569"/>
        </w:tabs>
        <w:rPr>
          <w:b/>
          <w:bCs/>
          <w:sz w:val="22"/>
          <w:szCs w:val="22"/>
        </w:rPr>
      </w:pPr>
    </w:p>
    <w:p w:rsidR="00B91CE9" w:rsidRDefault="00B91CE9" w:rsidP="00B91CE9">
      <w:pPr>
        <w:tabs>
          <w:tab w:val="left" w:pos="540"/>
          <w:tab w:val="left" w:pos="569"/>
        </w:tabs>
        <w:rPr>
          <w:b/>
          <w:bCs/>
          <w:sz w:val="22"/>
          <w:szCs w:val="22"/>
        </w:rPr>
      </w:pPr>
      <w:r w:rsidRPr="00786071">
        <w:rPr>
          <w:b/>
          <w:bCs/>
          <w:sz w:val="22"/>
          <w:szCs w:val="22"/>
        </w:rPr>
        <w:t xml:space="preserve">4.8. </w:t>
      </w:r>
      <w:r w:rsidRPr="00786071">
        <w:rPr>
          <w:b/>
          <w:bCs/>
          <w:sz w:val="22"/>
          <w:szCs w:val="22"/>
        </w:rPr>
        <w:tab/>
        <w:t>Neželjena dejstva</w:t>
      </w:r>
    </w:p>
    <w:p w:rsidR="00B91CE9" w:rsidRPr="00786071" w:rsidRDefault="00B91CE9" w:rsidP="00B91CE9">
      <w:pPr>
        <w:tabs>
          <w:tab w:val="left" w:pos="540"/>
          <w:tab w:val="left" w:pos="569"/>
        </w:tabs>
        <w:rPr>
          <w:b/>
          <w:bCs/>
          <w:sz w:val="22"/>
          <w:szCs w:val="22"/>
        </w:rPr>
      </w:pPr>
    </w:p>
    <w:p w:rsidR="00B91CE9" w:rsidRDefault="00B91CE9" w:rsidP="00B91CE9">
      <w:pPr>
        <w:pStyle w:val="Header"/>
        <w:tabs>
          <w:tab w:val="left" w:pos="284"/>
        </w:tabs>
        <w:rPr>
          <w:rFonts w:cs="Arial"/>
          <w:sz w:val="22"/>
          <w:u w:val="single"/>
          <w:lang w:val="sr-Latn-CS"/>
        </w:rPr>
      </w:pPr>
      <w:r w:rsidRPr="00D464E3">
        <w:rPr>
          <w:rFonts w:cs="Arial"/>
          <w:sz w:val="22"/>
          <w:u w:val="single"/>
          <w:lang w:val="sr-Latn-CS"/>
        </w:rPr>
        <w:t>Sažetak bezb</w:t>
      </w:r>
      <w:r>
        <w:rPr>
          <w:rFonts w:cs="Arial"/>
          <w:sz w:val="22"/>
          <w:u w:val="single"/>
          <w:lang w:val="sr-Latn-CS"/>
        </w:rPr>
        <w:t>j</w:t>
      </w:r>
      <w:r w:rsidRPr="00D464E3">
        <w:rPr>
          <w:rFonts w:cs="Arial"/>
          <w:sz w:val="22"/>
          <w:u w:val="single"/>
          <w:lang w:val="sr-Latn-CS"/>
        </w:rPr>
        <w:t>ednosnog profila</w:t>
      </w:r>
    </w:p>
    <w:p w:rsidR="001766BB" w:rsidRPr="00D464E3" w:rsidRDefault="001766BB" w:rsidP="00B91CE9">
      <w:pPr>
        <w:pStyle w:val="Header"/>
        <w:tabs>
          <w:tab w:val="left" w:pos="284"/>
        </w:tabs>
        <w:rPr>
          <w:rFonts w:cs="Arial"/>
          <w:sz w:val="22"/>
          <w:u w:val="single"/>
          <w:lang w:val="sr-Latn-CS"/>
        </w:rPr>
      </w:pPr>
    </w:p>
    <w:p w:rsidR="00B91CE9" w:rsidRDefault="00B91CE9" w:rsidP="00B91CE9">
      <w:pPr>
        <w:pStyle w:val="Header"/>
        <w:tabs>
          <w:tab w:val="left" w:pos="284"/>
        </w:tabs>
        <w:jc w:val="both"/>
        <w:rPr>
          <w:rFonts w:cs="Arial"/>
          <w:sz w:val="22"/>
          <w:lang w:val="sr-Latn-CS"/>
        </w:rPr>
      </w:pPr>
      <w:r w:rsidRPr="00D464E3">
        <w:rPr>
          <w:rFonts w:cs="Arial"/>
          <w:sz w:val="22"/>
          <w:lang w:val="sr-Latn-CS"/>
        </w:rPr>
        <w:t>Tokom prvih nekoliko dana l</w:t>
      </w:r>
      <w:r>
        <w:rPr>
          <w:rFonts w:cs="Arial"/>
          <w:sz w:val="22"/>
          <w:lang w:val="sr-Latn-CS"/>
        </w:rPr>
        <w:t>ij</w:t>
      </w:r>
      <w:r w:rsidRPr="00D464E3">
        <w:rPr>
          <w:rFonts w:cs="Arial"/>
          <w:sz w:val="22"/>
          <w:lang w:val="sr-Latn-CS"/>
        </w:rPr>
        <w:t>ečenja može se javiti flatulencija. Po pravilu ona nestaje posl</w:t>
      </w:r>
      <w:r>
        <w:rPr>
          <w:rFonts w:cs="Arial"/>
          <w:sz w:val="22"/>
          <w:lang w:val="sr-Latn-CS"/>
        </w:rPr>
        <w:t>ij</w:t>
      </w:r>
      <w:r w:rsidRPr="00D464E3">
        <w:rPr>
          <w:rFonts w:cs="Arial"/>
          <w:sz w:val="22"/>
          <w:lang w:val="sr-Latn-CS"/>
        </w:rPr>
        <w:t xml:space="preserve">e nekoliko dana. </w:t>
      </w:r>
    </w:p>
    <w:p w:rsidR="00B91CE9" w:rsidRPr="00D464E3" w:rsidRDefault="00B91CE9" w:rsidP="00B91CE9">
      <w:pPr>
        <w:pStyle w:val="Header"/>
        <w:tabs>
          <w:tab w:val="left" w:pos="284"/>
        </w:tabs>
        <w:jc w:val="both"/>
        <w:rPr>
          <w:rFonts w:cs="Arial"/>
          <w:sz w:val="22"/>
          <w:lang w:val="sr-Latn-CS"/>
        </w:rPr>
      </w:pPr>
    </w:p>
    <w:p w:rsidR="00B91CE9" w:rsidRDefault="00B91CE9" w:rsidP="00B91CE9">
      <w:pPr>
        <w:pStyle w:val="Header"/>
        <w:tabs>
          <w:tab w:val="left" w:pos="284"/>
        </w:tabs>
        <w:jc w:val="both"/>
        <w:rPr>
          <w:rFonts w:cs="Arial"/>
          <w:sz w:val="22"/>
          <w:lang w:val="sr-Latn-CS"/>
        </w:rPr>
      </w:pPr>
      <w:r w:rsidRPr="00D464E3">
        <w:rPr>
          <w:rFonts w:cs="Arial"/>
          <w:sz w:val="22"/>
          <w:lang w:val="sr-Latn-CS"/>
        </w:rPr>
        <w:t>Kada se prim</w:t>
      </w:r>
      <w:r>
        <w:rPr>
          <w:rFonts w:cs="Arial"/>
          <w:sz w:val="22"/>
          <w:lang w:val="sr-Latn-CS"/>
        </w:rPr>
        <w:t>j</w:t>
      </w:r>
      <w:r w:rsidRPr="00D464E3">
        <w:rPr>
          <w:rFonts w:cs="Arial"/>
          <w:sz w:val="22"/>
          <w:lang w:val="sr-Latn-CS"/>
        </w:rPr>
        <w:t xml:space="preserve">enjuju doze koje su veće od propisanih, mogu da se jave bolovi u trbuhu i dijareja. U takvim slučajevima dozu treba smanjiti. </w:t>
      </w:r>
    </w:p>
    <w:p w:rsidR="001766BB" w:rsidRDefault="001766BB" w:rsidP="00B91CE9">
      <w:pPr>
        <w:pStyle w:val="Header"/>
        <w:tabs>
          <w:tab w:val="left" w:pos="284"/>
        </w:tabs>
        <w:jc w:val="both"/>
        <w:rPr>
          <w:rFonts w:cs="Arial"/>
          <w:sz w:val="22"/>
          <w:lang w:val="sr-Latn-CS"/>
        </w:rPr>
      </w:pPr>
    </w:p>
    <w:p w:rsidR="00B91CE9" w:rsidRDefault="00B91CE9" w:rsidP="00B91CE9">
      <w:pPr>
        <w:pStyle w:val="Header"/>
        <w:tabs>
          <w:tab w:val="left" w:pos="284"/>
        </w:tabs>
        <w:jc w:val="both"/>
        <w:rPr>
          <w:rFonts w:cs="Arial"/>
          <w:sz w:val="22"/>
          <w:u w:val="single"/>
          <w:lang w:val="sr-Latn-CS"/>
        </w:rPr>
      </w:pPr>
      <w:r w:rsidRPr="00D464E3">
        <w:rPr>
          <w:rFonts w:cs="Arial"/>
          <w:sz w:val="22"/>
          <w:u w:val="single"/>
          <w:lang w:val="sr-Latn-CS"/>
        </w:rPr>
        <w:t>Tabelarni prikaz neželjenih reakcija</w:t>
      </w:r>
    </w:p>
    <w:p w:rsidR="001766BB" w:rsidRPr="00D464E3" w:rsidRDefault="001766BB" w:rsidP="00B91CE9">
      <w:pPr>
        <w:pStyle w:val="Header"/>
        <w:tabs>
          <w:tab w:val="left" w:pos="284"/>
        </w:tabs>
        <w:jc w:val="both"/>
        <w:rPr>
          <w:rFonts w:cs="Arial"/>
          <w:sz w:val="22"/>
          <w:u w:val="single"/>
          <w:lang w:val="sr-Latn-CS"/>
        </w:rPr>
      </w:pPr>
    </w:p>
    <w:p w:rsidR="00B91CE9" w:rsidRPr="00D464E3" w:rsidRDefault="00B91CE9" w:rsidP="00B91CE9">
      <w:pPr>
        <w:pStyle w:val="Header"/>
        <w:tabs>
          <w:tab w:val="left" w:pos="284"/>
        </w:tabs>
        <w:jc w:val="both"/>
        <w:rPr>
          <w:sz w:val="22"/>
          <w:lang w:val="sr-Latn-CS"/>
        </w:rPr>
      </w:pPr>
      <w:r w:rsidRPr="00D464E3">
        <w:rPr>
          <w:rFonts w:cs="Arial"/>
          <w:sz w:val="22"/>
          <w:lang w:val="sr-Latn-CS"/>
        </w:rPr>
        <w:lastRenderedPageBreak/>
        <w:t>Sl</w:t>
      </w:r>
      <w:r>
        <w:rPr>
          <w:rFonts w:cs="Arial"/>
          <w:sz w:val="22"/>
          <w:lang w:val="sr-Latn-CS"/>
        </w:rPr>
        <w:t>j</w:t>
      </w:r>
      <w:r w:rsidRPr="00D464E3">
        <w:rPr>
          <w:rFonts w:cs="Arial"/>
          <w:sz w:val="22"/>
          <w:lang w:val="sr-Latn-CS"/>
        </w:rPr>
        <w:t>edeć</w:t>
      </w:r>
      <w:r>
        <w:rPr>
          <w:rFonts w:cs="Arial"/>
          <w:sz w:val="22"/>
          <w:lang w:val="sr-Latn-CS"/>
        </w:rPr>
        <w:t>a</w:t>
      </w:r>
      <w:r w:rsidRPr="00D464E3">
        <w:rPr>
          <w:rFonts w:cs="Arial"/>
          <w:sz w:val="22"/>
          <w:lang w:val="sr-Latn-CS"/>
        </w:rPr>
        <w:t xml:space="preserve"> neželjen</w:t>
      </w:r>
      <w:r>
        <w:rPr>
          <w:rFonts w:cs="Arial"/>
          <w:sz w:val="22"/>
          <w:lang w:val="sr-Latn-CS"/>
        </w:rPr>
        <w:t>a</w:t>
      </w:r>
      <w:r w:rsidRPr="00D464E3">
        <w:rPr>
          <w:rFonts w:cs="Arial"/>
          <w:sz w:val="22"/>
          <w:lang w:val="sr-Latn-CS"/>
        </w:rPr>
        <w:t xml:space="preserve"> </w:t>
      </w:r>
      <w:r>
        <w:rPr>
          <w:rFonts w:cs="Arial"/>
          <w:sz w:val="22"/>
          <w:lang w:val="sr-Latn-CS"/>
        </w:rPr>
        <w:t>dejstva</w:t>
      </w:r>
      <w:r w:rsidRPr="00D464E3">
        <w:rPr>
          <w:rFonts w:cs="Arial"/>
          <w:sz w:val="22"/>
          <w:lang w:val="sr-Latn-CS"/>
        </w:rPr>
        <w:t xml:space="preserve"> su opisan</w:t>
      </w:r>
      <w:r>
        <w:rPr>
          <w:rFonts w:cs="Arial"/>
          <w:sz w:val="22"/>
          <w:lang w:val="sr-Latn-CS"/>
        </w:rPr>
        <w:t>a,</w:t>
      </w:r>
      <w:r w:rsidRPr="00D464E3">
        <w:rPr>
          <w:rFonts w:cs="Arial"/>
          <w:sz w:val="22"/>
          <w:lang w:val="sr-Latn-CS"/>
        </w:rPr>
        <w:t xml:space="preserve"> sa dol</w:t>
      </w:r>
      <w:r>
        <w:rPr>
          <w:rFonts w:cs="Arial"/>
          <w:sz w:val="22"/>
          <w:lang w:val="sr-Latn-CS"/>
        </w:rPr>
        <w:t>j</w:t>
      </w:r>
      <w:r w:rsidRPr="00D464E3">
        <w:rPr>
          <w:rFonts w:cs="Arial"/>
          <w:sz w:val="22"/>
          <w:lang w:val="sr-Latn-CS"/>
        </w:rPr>
        <w:t>e navedenom učestalošću</w:t>
      </w:r>
      <w:r>
        <w:rPr>
          <w:rFonts w:cs="Arial"/>
          <w:sz w:val="22"/>
          <w:lang w:val="sr-Latn-CS"/>
        </w:rPr>
        <w:t>,</w:t>
      </w:r>
      <w:r w:rsidRPr="00D464E3">
        <w:rPr>
          <w:rFonts w:cs="Arial"/>
          <w:sz w:val="22"/>
          <w:lang w:val="sr-Latn-CS"/>
        </w:rPr>
        <w:t xml:space="preserve"> kod pacijenata l</w:t>
      </w:r>
      <w:r>
        <w:rPr>
          <w:rFonts w:cs="Arial"/>
          <w:sz w:val="22"/>
          <w:lang w:val="sr-Latn-CS"/>
        </w:rPr>
        <w:t>ij</w:t>
      </w:r>
      <w:r w:rsidRPr="00D464E3">
        <w:rPr>
          <w:rFonts w:cs="Arial"/>
          <w:sz w:val="22"/>
          <w:lang w:val="sr-Latn-CS"/>
        </w:rPr>
        <w:t>ečenih laktulozom u placebo kontrolisanim kliničkim ispitivanjima (veoma često (</w:t>
      </w:r>
      <w:r w:rsidRPr="00D464E3">
        <w:rPr>
          <w:sz w:val="22"/>
          <w:lang w:val="sr-Latn-CS"/>
        </w:rPr>
        <w:t>≥</w:t>
      </w:r>
      <w:r w:rsidRPr="00D464E3">
        <w:rPr>
          <w:rFonts w:cs="Arial"/>
          <w:sz w:val="22"/>
          <w:lang w:val="sr-Latn-CS"/>
        </w:rPr>
        <w:t>1/10), često (</w:t>
      </w:r>
      <w:r w:rsidRPr="00D464E3">
        <w:rPr>
          <w:sz w:val="22"/>
          <w:lang w:val="sr-Latn-CS"/>
        </w:rPr>
        <w:t>≥</w:t>
      </w:r>
      <w:r w:rsidRPr="00D464E3">
        <w:rPr>
          <w:rFonts w:cs="Arial"/>
          <w:sz w:val="22"/>
          <w:lang w:val="sr-Latn-CS"/>
        </w:rPr>
        <w:t xml:space="preserve">1/100 do </w:t>
      </w:r>
      <w:r w:rsidRPr="00D464E3">
        <w:rPr>
          <w:sz w:val="22"/>
          <w:lang w:val="sr-Latn-CS"/>
        </w:rPr>
        <w:t>&lt;</w:t>
      </w:r>
      <w:r w:rsidRPr="00D464E3">
        <w:rPr>
          <w:rFonts w:cs="Arial"/>
          <w:sz w:val="22"/>
          <w:lang w:val="sr-Latn-CS"/>
        </w:rPr>
        <w:t>1/10), povremeno (</w:t>
      </w:r>
      <w:r w:rsidRPr="00D464E3">
        <w:rPr>
          <w:sz w:val="22"/>
          <w:lang w:val="sr-Latn-CS"/>
        </w:rPr>
        <w:t>≥</w:t>
      </w:r>
      <w:r w:rsidRPr="00D464E3">
        <w:rPr>
          <w:rFonts w:cs="Arial"/>
          <w:sz w:val="22"/>
          <w:lang w:val="sr-Latn-CS"/>
        </w:rPr>
        <w:t xml:space="preserve">1/1000 do </w:t>
      </w:r>
      <w:r w:rsidRPr="00D464E3">
        <w:rPr>
          <w:sz w:val="22"/>
          <w:lang w:val="sr-Latn-CS"/>
        </w:rPr>
        <w:t>&lt;</w:t>
      </w:r>
      <w:r w:rsidRPr="00D464E3">
        <w:rPr>
          <w:rFonts w:cs="Arial"/>
          <w:sz w:val="22"/>
          <w:lang w:val="sr-Latn-CS"/>
        </w:rPr>
        <w:t>1/100); r</w:t>
      </w:r>
      <w:r>
        <w:rPr>
          <w:rFonts w:cs="Arial"/>
          <w:sz w:val="22"/>
          <w:lang w:val="sr-Latn-CS"/>
        </w:rPr>
        <w:t>ij</w:t>
      </w:r>
      <w:r w:rsidRPr="00D464E3">
        <w:rPr>
          <w:rFonts w:cs="Arial"/>
          <w:sz w:val="22"/>
          <w:lang w:val="sr-Latn-CS"/>
        </w:rPr>
        <w:t>etko (</w:t>
      </w:r>
      <w:r w:rsidRPr="00D464E3">
        <w:rPr>
          <w:sz w:val="22"/>
          <w:lang w:val="sr-Latn-CS"/>
        </w:rPr>
        <w:t>≥1/10000 do &lt;1/1000); veoma r</w:t>
      </w:r>
      <w:r>
        <w:rPr>
          <w:sz w:val="22"/>
          <w:lang w:val="sr-Latn-CS"/>
        </w:rPr>
        <w:t>ij</w:t>
      </w:r>
      <w:r w:rsidRPr="00D464E3">
        <w:rPr>
          <w:sz w:val="22"/>
          <w:lang w:val="sr-Latn-CS"/>
        </w:rPr>
        <w:t>etko (&lt;1/10000)</w:t>
      </w:r>
      <w:r>
        <w:rPr>
          <w:sz w:val="22"/>
          <w:lang w:val="sr-Latn-CS"/>
        </w:rPr>
        <w:t>)</w:t>
      </w:r>
      <w:r w:rsidRPr="00D464E3">
        <w:rPr>
          <w:sz w:val="22"/>
          <w:lang w:val="sr-Latn-CS"/>
        </w:rPr>
        <w:t>.</w:t>
      </w:r>
    </w:p>
    <w:p w:rsidR="00B91CE9" w:rsidRDefault="00B91CE9" w:rsidP="00B91CE9">
      <w:pPr>
        <w:pStyle w:val="Header"/>
        <w:rPr>
          <w:sz w:val="22"/>
          <w:szCs w:val="22"/>
          <w:lang w:val="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817"/>
        <w:gridCol w:w="1898"/>
        <w:gridCol w:w="1899"/>
        <w:gridCol w:w="1899"/>
      </w:tblGrid>
      <w:tr w:rsidR="00B91CE9" w:rsidRPr="002D081C" w:rsidTr="00A0079D">
        <w:tc>
          <w:tcPr>
            <w:tcW w:w="1980" w:type="dxa"/>
            <w:tcBorders>
              <w:top w:val="single" w:sz="4" w:space="0" w:color="auto"/>
              <w:left w:val="single" w:sz="4" w:space="0" w:color="auto"/>
              <w:bottom w:val="single" w:sz="4" w:space="0" w:color="auto"/>
              <w:right w:val="single" w:sz="4" w:space="0" w:color="auto"/>
            </w:tcBorders>
          </w:tcPr>
          <w:p w:rsidR="00B91CE9" w:rsidRPr="00D06889" w:rsidRDefault="00B91CE9" w:rsidP="00A0079D">
            <w:pPr>
              <w:pStyle w:val="Header"/>
              <w:tabs>
                <w:tab w:val="left" w:pos="284"/>
              </w:tabs>
              <w:spacing w:line="276" w:lineRule="auto"/>
              <w:rPr>
                <w:rFonts w:cs="Arial"/>
                <w:b/>
                <w:sz w:val="22"/>
                <w:szCs w:val="22"/>
                <w:lang w:val="it-IT"/>
              </w:rPr>
            </w:pPr>
            <w:r>
              <w:rPr>
                <w:rFonts w:cs="Arial"/>
                <w:b/>
                <w:sz w:val="22"/>
                <w:szCs w:val="22"/>
                <w:lang w:val="it-IT"/>
              </w:rPr>
              <w:t>K</w:t>
            </w:r>
            <w:r w:rsidRPr="00D06889">
              <w:rPr>
                <w:rFonts w:cs="Arial"/>
                <w:b/>
                <w:sz w:val="22"/>
                <w:szCs w:val="22"/>
                <w:lang w:val="it-IT"/>
              </w:rPr>
              <w:t xml:space="preserve">lasifikacija </w:t>
            </w:r>
            <w:r>
              <w:rPr>
                <w:rFonts w:cs="Arial"/>
                <w:b/>
                <w:sz w:val="22"/>
                <w:szCs w:val="22"/>
                <w:lang w:val="it-IT"/>
              </w:rPr>
              <w:t xml:space="preserve">sistema organa </w:t>
            </w:r>
            <w:r w:rsidRPr="00D06889">
              <w:rPr>
                <w:rFonts w:cs="Arial"/>
                <w:b/>
                <w:sz w:val="22"/>
                <w:szCs w:val="22"/>
                <w:lang w:val="it-IT"/>
              </w:rPr>
              <w:t>po MedDRA</w:t>
            </w:r>
          </w:p>
        </w:tc>
        <w:tc>
          <w:tcPr>
            <w:tcW w:w="1817" w:type="dxa"/>
            <w:tcBorders>
              <w:top w:val="single" w:sz="4" w:space="0" w:color="auto"/>
              <w:left w:val="single" w:sz="4" w:space="0" w:color="auto"/>
              <w:bottom w:val="single" w:sz="4" w:space="0" w:color="auto"/>
              <w:right w:val="single" w:sz="4" w:space="0" w:color="auto"/>
            </w:tcBorders>
            <w:hideMark/>
          </w:tcPr>
          <w:p w:rsidR="00B91CE9" w:rsidRPr="00D06889" w:rsidRDefault="00B91CE9" w:rsidP="00A0079D">
            <w:pPr>
              <w:pStyle w:val="Header"/>
              <w:spacing w:line="276" w:lineRule="auto"/>
              <w:rPr>
                <w:rFonts w:cs="Arial"/>
                <w:b/>
                <w:sz w:val="22"/>
                <w:szCs w:val="22"/>
                <w:lang w:val="it-IT"/>
              </w:rPr>
            </w:pPr>
            <w:r w:rsidRPr="00D06889">
              <w:rPr>
                <w:rFonts w:cs="Arial"/>
                <w:b/>
                <w:sz w:val="22"/>
                <w:szCs w:val="22"/>
                <w:lang w:val="it-IT"/>
              </w:rPr>
              <w:t xml:space="preserve">Veoma često </w:t>
            </w:r>
          </w:p>
          <w:p w:rsidR="00B91CE9" w:rsidRPr="004B03AB" w:rsidRDefault="00B91CE9" w:rsidP="00A0079D">
            <w:pPr>
              <w:pStyle w:val="Header"/>
              <w:tabs>
                <w:tab w:val="left" w:pos="284"/>
              </w:tabs>
              <w:spacing w:line="276" w:lineRule="auto"/>
              <w:rPr>
                <w:rFonts w:cs="Arial"/>
                <w:b/>
                <w:sz w:val="22"/>
                <w:szCs w:val="22"/>
                <w:lang w:val="it-IT"/>
              </w:rPr>
            </w:pPr>
            <w:r w:rsidRPr="004B03AB">
              <w:rPr>
                <w:b/>
                <w:sz w:val="22"/>
                <w:szCs w:val="22"/>
                <w:lang w:val="it-IT"/>
              </w:rPr>
              <w:t>≥</w:t>
            </w:r>
            <w:r w:rsidRPr="004B03AB">
              <w:rPr>
                <w:rFonts w:cs="Arial"/>
                <w:b/>
                <w:sz w:val="22"/>
                <w:szCs w:val="22"/>
                <w:lang w:val="it-IT"/>
              </w:rPr>
              <w:t>1/10</w:t>
            </w:r>
          </w:p>
        </w:tc>
        <w:tc>
          <w:tcPr>
            <w:tcW w:w="1898" w:type="dxa"/>
            <w:tcBorders>
              <w:top w:val="single" w:sz="4" w:space="0" w:color="auto"/>
              <w:left w:val="single" w:sz="4" w:space="0" w:color="auto"/>
              <w:bottom w:val="single" w:sz="4" w:space="0" w:color="auto"/>
              <w:right w:val="single" w:sz="4" w:space="0" w:color="auto"/>
            </w:tcBorders>
            <w:hideMark/>
          </w:tcPr>
          <w:p w:rsidR="00B91CE9" w:rsidRPr="004B03AB" w:rsidRDefault="00B91CE9" w:rsidP="00A0079D">
            <w:pPr>
              <w:pStyle w:val="Header"/>
              <w:tabs>
                <w:tab w:val="left" w:pos="284"/>
              </w:tabs>
              <w:spacing w:line="276" w:lineRule="auto"/>
              <w:rPr>
                <w:rFonts w:cs="Arial"/>
                <w:b/>
                <w:sz w:val="22"/>
                <w:szCs w:val="22"/>
                <w:lang w:val="it-IT"/>
              </w:rPr>
            </w:pPr>
            <w:r w:rsidRPr="004B03AB">
              <w:rPr>
                <w:rFonts w:cs="Arial"/>
                <w:b/>
                <w:sz w:val="22"/>
                <w:szCs w:val="22"/>
                <w:lang w:val="it-IT"/>
              </w:rPr>
              <w:t xml:space="preserve">Često </w:t>
            </w:r>
          </w:p>
          <w:p w:rsidR="00B91CE9" w:rsidRPr="00264152" w:rsidRDefault="00B91CE9" w:rsidP="00A0079D">
            <w:pPr>
              <w:pStyle w:val="Header"/>
              <w:tabs>
                <w:tab w:val="left" w:pos="284"/>
              </w:tabs>
              <w:spacing w:line="276" w:lineRule="auto"/>
              <w:rPr>
                <w:rFonts w:cs="Arial"/>
                <w:b/>
                <w:sz w:val="22"/>
                <w:szCs w:val="22"/>
                <w:lang w:val="it-IT"/>
              </w:rPr>
            </w:pPr>
            <w:r w:rsidRPr="00264152">
              <w:rPr>
                <w:b/>
                <w:sz w:val="22"/>
                <w:szCs w:val="22"/>
                <w:lang w:val="it-IT"/>
              </w:rPr>
              <w:t>≥</w:t>
            </w:r>
            <w:r w:rsidRPr="00264152">
              <w:rPr>
                <w:rFonts w:cs="Arial"/>
                <w:b/>
                <w:sz w:val="22"/>
                <w:szCs w:val="22"/>
                <w:lang w:val="it-IT"/>
              </w:rPr>
              <w:t>1/100, &lt;1/10</w:t>
            </w:r>
          </w:p>
        </w:tc>
        <w:tc>
          <w:tcPr>
            <w:tcW w:w="1899" w:type="dxa"/>
            <w:tcBorders>
              <w:top w:val="single" w:sz="4" w:space="0" w:color="auto"/>
              <w:left w:val="single" w:sz="4" w:space="0" w:color="auto"/>
              <w:bottom w:val="single" w:sz="4" w:space="0" w:color="auto"/>
              <w:right w:val="single" w:sz="4" w:space="0" w:color="auto"/>
            </w:tcBorders>
            <w:hideMark/>
          </w:tcPr>
          <w:p w:rsidR="00B91CE9" w:rsidRPr="00211359" w:rsidRDefault="00B91CE9" w:rsidP="00A0079D">
            <w:pPr>
              <w:pStyle w:val="Header"/>
              <w:tabs>
                <w:tab w:val="left" w:pos="284"/>
              </w:tabs>
              <w:spacing w:line="276" w:lineRule="auto"/>
              <w:rPr>
                <w:rFonts w:cs="Arial"/>
                <w:b/>
                <w:sz w:val="22"/>
                <w:szCs w:val="22"/>
                <w:lang w:val="it-IT"/>
              </w:rPr>
            </w:pPr>
            <w:r w:rsidRPr="00211359">
              <w:rPr>
                <w:rFonts w:cs="Arial"/>
                <w:b/>
                <w:sz w:val="22"/>
                <w:szCs w:val="22"/>
                <w:lang w:val="it-IT"/>
              </w:rPr>
              <w:t>Povremeno</w:t>
            </w:r>
          </w:p>
          <w:p w:rsidR="00B91CE9" w:rsidRPr="009F44B0" w:rsidRDefault="00B91CE9" w:rsidP="00A0079D">
            <w:pPr>
              <w:pStyle w:val="Header"/>
              <w:tabs>
                <w:tab w:val="left" w:pos="284"/>
              </w:tabs>
              <w:spacing w:line="276" w:lineRule="auto"/>
              <w:rPr>
                <w:rFonts w:cs="Arial"/>
                <w:b/>
                <w:sz w:val="22"/>
                <w:szCs w:val="22"/>
              </w:rPr>
            </w:pPr>
            <w:r w:rsidRPr="00CF021F">
              <w:rPr>
                <w:b/>
                <w:sz w:val="22"/>
                <w:szCs w:val="22"/>
                <w:lang w:val="it-IT"/>
              </w:rPr>
              <w:t>≥</w:t>
            </w:r>
            <w:r w:rsidRPr="00CF021F">
              <w:rPr>
                <w:rFonts w:cs="Arial"/>
                <w:b/>
                <w:sz w:val="22"/>
                <w:szCs w:val="22"/>
                <w:lang w:val="it-IT"/>
              </w:rPr>
              <w:t>1/1 000, &lt;1/100</w:t>
            </w:r>
          </w:p>
        </w:tc>
        <w:tc>
          <w:tcPr>
            <w:tcW w:w="1899" w:type="dxa"/>
            <w:tcBorders>
              <w:top w:val="single" w:sz="4" w:space="0" w:color="auto"/>
              <w:left w:val="single" w:sz="4" w:space="0" w:color="auto"/>
              <w:bottom w:val="single" w:sz="4" w:space="0" w:color="auto"/>
              <w:right w:val="single" w:sz="4" w:space="0" w:color="auto"/>
            </w:tcBorders>
            <w:hideMark/>
          </w:tcPr>
          <w:p w:rsidR="00B91CE9" w:rsidRPr="00E23D6F" w:rsidRDefault="00B91CE9" w:rsidP="00A0079D">
            <w:pPr>
              <w:pStyle w:val="Header"/>
              <w:tabs>
                <w:tab w:val="left" w:pos="284"/>
              </w:tabs>
              <w:spacing w:line="276" w:lineRule="auto"/>
              <w:rPr>
                <w:rFonts w:cs="Arial"/>
                <w:b/>
                <w:sz w:val="22"/>
                <w:szCs w:val="22"/>
                <w:lang w:val="it-IT"/>
              </w:rPr>
            </w:pPr>
            <w:r w:rsidRPr="00E23D6F">
              <w:rPr>
                <w:rFonts w:cs="Arial"/>
                <w:b/>
                <w:sz w:val="22"/>
                <w:szCs w:val="22"/>
                <w:lang w:val="it-IT"/>
              </w:rPr>
              <w:t>R</w:t>
            </w:r>
            <w:r>
              <w:rPr>
                <w:rFonts w:cs="Arial"/>
                <w:b/>
                <w:sz w:val="22"/>
                <w:szCs w:val="22"/>
                <w:lang w:val="it-IT"/>
              </w:rPr>
              <w:t>ij</w:t>
            </w:r>
            <w:r w:rsidRPr="00E23D6F">
              <w:rPr>
                <w:rFonts w:cs="Arial"/>
                <w:b/>
                <w:sz w:val="22"/>
                <w:szCs w:val="22"/>
                <w:lang w:val="it-IT"/>
              </w:rPr>
              <w:t>etko</w:t>
            </w:r>
          </w:p>
          <w:p w:rsidR="00B91CE9" w:rsidRPr="00E23D6F" w:rsidRDefault="00B91CE9" w:rsidP="00A0079D">
            <w:pPr>
              <w:pStyle w:val="Header"/>
              <w:tabs>
                <w:tab w:val="left" w:pos="284"/>
              </w:tabs>
              <w:spacing w:line="276" w:lineRule="auto"/>
              <w:rPr>
                <w:rFonts w:cs="Arial"/>
                <w:b/>
                <w:sz w:val="22"/>
                <w:szCs w:val="22"/>
                <w:lang w:val="it-IT"/>
              </w:rPr>
            </w:pPr>
            <w:r w:rsidRPr="00E23D6F">
              <w:rPr>
                <w:b/>
                <w:sz w:val="22"/>
                <w:szCs w:val="22"/>
                <w:lang w:val="it-IT"/>
              </w:rPr>
              <w:t>≥</w:t>
            </w:r>
            <w:r w:rsidRPr="00E23D6F">
              <w:rPr>
                <w:rFonts w:cs="Arial"/>
                <w:b/>
                <w:sz w:val="22"/>
                <w:szCs w:val="22"/>
                <w:lang w:val="it-IT"/>
              </w:rPr>
              <w:t>1/10 000</w:t>
            </w:r>
          </w:p>
          <w:p w:rsidR="00B91CE9" w:rsidRPr="009F44B0" w:rsidRDefault="00B91CE9" w:rsidP="00A0079D">
            <w:pPr>
              <w:pStyle w:val="Header"/>
              <w:tabs>
                <w:tab w:val="left" w:pos="284"/>
              </w:tabs>
              <w:spacing w:line="276" w:lineRule="auto"/>
              <w:rPr>
                <w:rFonts w:cs="Arial"/>
                <w:b/>
                <w:sz w:val="22"/>
                <w:szCs w:val="22"/>
              </w:rPr>
            </w:pPr>
            <w:r w:rsidRPr="009F44B0">
              <w:rPr>
                <w:rFonts w:cs="Arial"/>
                <w:b/>
                <w:sz w:val="22"/>
                <w:szCs w:val="22"/>
              </w:rPr>
              <w:t>&lt;1/1 000</w:t>
            </w:r>
          </w:p>
        </w:tc>
      </w:tr>
      <w:tr w:rsidR="00B91CE9" w:rsidRPr="002D081C" w:rsidTr="00A0079D">
        <w:tc>
          <w:tcPr>
            <w:tcW w:w="1980" w:type="dxa"/>
            <w:tcBorders>
              <w:top w:val="single" w:sz="4" w:space="0" w:color="auto"/>
              <w:left w:val="single" w:sz="4" w:space="0" w:color="auto"/>
              <w:bottom w:val="single" w:sz="4" w:space="0" w:color="auto"/>
              <w:right w:val="single" w:sz="4" w:space="0" w:color="auto"/>
            </w:tcBorders>
            <w:hideMark/>
          </w:tcPr>
          <w:p w:rsidR="00B91CE9" w:rsidRPr="00D06889" w:rsidRDefault="00B91CE9" w:rsidP="00A0079D">
            <w:pPr>
              <w:pStyle w:val="Header"/>
              <w:tabs>
                <w:tab w:val="left" w:pos="284"/>
              </w:tabs>
              <w:spacing w:line="276" w:lineRule="auto"/>
              <w:rPr>
                <w:rFonts w:cs="Arial"/>
                <w:b/>
                <w:sz w:val="22"/>
                <w:szCs w:val="22"/>
                <w:lang w:val="it-IT"/>
              </w:rPr>
            </w:pPr>
            <w:r w:rsidRPr="00D06889">
              <w:rPr>
                <w:rFonts w:cs="Arial"/>
                <w:b/>
                <w:sz w:val="22"/>
                <w:szCs w:val="22"/>
                <w:lang w:val="it-IT"/>
              </w:rPr>
              <w:t>Gastrointestinalni poremećaji</w:t>
            </w:r>
          </w:p>
        </w:tc>
        <w:tc>
          <w:tcPr>
            <w:tcW w:w="1817" w:type="dxa"/>
            <w:tcBorders>
              <w:top w:val="single" w:sz="4" w:space="0" w:color="auto"/>
              <w:left w:val="single" w:sz="4" w:space="0" w:color="auto"/>
              <w:bottom w:val="single" w:sz="4" w:space="0" w:color="auto"/>
              <w:right w:val="single" w:sz="4" w:space="0" w:color="auto"/>
            </w:tcBorders>
            <w:hideMark/>
          </w:tcPr>
          <w:p w:rsidR="00B91CE9" w:rsidRPr="00021FDC" w:rsidRDefault="00B91CE9" w:rsidP="00A0079D">
            <w:pPr>
              <w:pStyle w:val="Header"/>
              <w:tabs>
                <w:tab w:val="left" w:pos="284"/>
              </w:tabs>
              <w:spacing w:line="276" w:lineRule="auto"/>
              <w:rPr>
                <w:rFonts w:cs="Arial"/>
                <w:sz w:val="22"/>
                <w:szCs w:val="22"/>
                <w:lang w:val="it-IT"/>
              </w:rPr>
            </w:pPr>
            <w:r w:rsidRPr="00D06889">
              <w:rPr>
                <w:rFonts w:cs="Arial"/>
                <w:sz w:val="22"/>
                <w:szCs w:val="22"/>
                <w:lang w:val="it-IT"/>
              </w:rPr>
              <w:t>D</w:t>
            </w:r>
            <w:r w:rsidRPr="00021FDC">
              <w:rPr>
                <w:rFonts w:cs="Arial"/>
                <w:sz w:val="22"/>
                <w:szCs w:val="22"/>
                <w:lang w:val="it-IT"/>
              </w:rPr>
              <w:t>ijareja</w:t>
            </w:r>
          </w:p>
        </w:tc>
        <w:tc>
          <w:tcPr>
            <w:tcW w:w="1898" w:type="dxa"/>
            <w:tcBorders>
              <w:top w:val="single" w:sz="4" w:space="0" w:color="auto"/>
              <w:left w:val="single" w:sz="4" w:space="0" w:color="auto"/>
              <w:bottom w:val="single" w:sz="4" w:space="0" w:color="auto"/>
              <w:right w:val="single" w:sz="4" w:space="0" w:color="auto"/>
            </w:tcBorders>
            <w:hideMark/>
          </w:tcPr>
          <w:p w:rsidR="00B91CE9" w:rsidRPr="004B03AB" w:rsidRDefault="00B91CE9" w:rsidP="00A0079D">
            <w:pPr>
              <w:pStyle w:val="Header"/>
              <w:tabs>
                <w:tab w:val="left" w:pos="284"/>
              </w:tabs>
              <w:spacing w:line="276" w:lineRule="auto"/>
              <w:rPr>
                <w:rFonts w:cs="Arial"/>
                <w:sz w:val="22"/>
                <w:szCs w:val="22"/>
                <w:lang w:val="it-IT"/>
              </w:rPr>
            </w:pPr>
            <w:r w:rsidRPr="004B03AB">
              <w:rPr>
                <w:rFonts w:cs="Arial"/>
                <w:sz w:val="22"/>
                <w:szCs w:val="22"/>
                <w:lang w:val="it-IT"/>
              </w:rPr>
              <w:t>Flatulencija, abdominalni bol, mučnina, povraćanje</w:t>
            </w:r>
          </w:p>
        </w:tc>
        <w:tc>
          <w:tcPr>
            <w:tcW w:w="1899" w:type="dxa"/>
            <w:tcBorders>
              <w:top w:val="single" w:sz="4" w:space="0" w:color="auto"/>
              <w:left w:val="single" w:sz="4" w:space="0" w:color="auto"/>
              <w:bottom w:val="single" w:sz="4" w:space="0" w:color="auto"/>
              <w:right w:val="single" w:sz="4" w:space="0" w:color="auto"/>
            </w:tcBorders>
          </w:tcPr>
          <w:p w:rsidR="00B91CE9" w:rsidRPr="004B03AB" w:rsidRDefault="00B91CE9" w:rsidP="00A0079D">
            <w:pPr>
              <w:pStyle w:val="Header"/>
              <w:tabs>
                <w:tab w:val="left" w:pos="284"/>
              </w:tabs>
              <w:spacing w:line="276" w:lineRule="auto"/>
              <w:rPr>
                <w:rFonts w:cs="Arial"/>
                <w:sz w:val="22"/>
                <w:szCs w:val="22"/>
                <w:lang w:val="it-IT"/>
              </w:rPr>
            </w:pPr>
          </w:p>
        </w:tc>
        <w:tc>
          <w:tcPr>
            <w:tcW w:w="1899" w:type="dxa"/>
            <w:tcBorders>
              <w:top w:val="single" w:sz="4" w:space="0" w:color="auto"/>
              <w:left w:val="single" w:sz="4" w:space="0" w:color="auto"/>
              <w:bottom w:val="single" w:sz="4" w:space="0" w:color="auto"/>
              <w:right w:val="single" w:sz="4" w:space="0" w:color="auto"/>
            </w:tcBorders>
          </w:tcPr>
          <w:p w:rsidR="00B91CE9" w:rsidRPr="009F44B0" w:rsidRDefault="00B91CE9" w:rsidP="00A0079D">
            <w:pPr>
              <w:pStyle w:val="Header"/>
              <w:tabs>
                <w:tab w:val="left" w:pos="284"/>
              </w:tabs>
              <w:spacing w:line="276" w:lineRule="auto"/>
              <w:rPr>
                <w:rFonts w:cs="Arial"/>
                <w:b/>
                <w:sz w:val="22"/>
                <w:szCs w:val="22"/>
              </w:rPr>
            </w:pPr>
          </w:p>
        </w:tc>
      </w:tr>
      <w:tr w:rsidR="00B91CE9" w:rsidRPr="002D081C" w:rsidTr="00A0079D">
        <w:tc>
          <w:tcPr>
            <w:tcW w:w="1980" w:type="dxa"/>
            <w:tcBorders>
              <w:top w:val="single" w:sz="4" w:space="0" w:color="auto"/>
              <w:left w:val="single" w:sz="4" w:space="0" w:color="auto"/>
              <w:bottom w:val="single" w:sz="4" w:space="0" w:color="auto"/>
              <w:right w:val="single" w:sz="4" w:space="0" w:color="auto"/>
            </w:tcBorders>
            <w:hideMark/>
          </w:tcPr>
          <w:p w:rsidR="00B91CE9" w:rsidRPr="00D06889" w:rsidRDefault="00B91CE9" w:rsidP="00A0079D">
            <w:pPr>
              <w:pStyle w:val="Header"/>
              <w:tabs>
                <w:tab w:val="left" w:pos="284"/>
              </w:tabs>
              <w:spacing w:line="276" w:lineRule="auto"/>
              <w:rPr>
                <w:rFonts w:cs="Arial"/>
                <w:b/>
                <w:sz w:val="22"/>
                <w:szCs w:val="22"/>
                <w:lang w:val="it-IT"/>
              </w:rPr>
            </w:pPr>
            <w:r w:rsidRPr="00D06889">
              <w:rPr>
                <w:rFonts w:cs="Arial"/>
                <w:b/>
                <w:sz w:val="22"/>
                <w:szCs w:val="22"/>
                <w:lang w:val="it-IT"/>
              </w:rPr>
              <w:t xml:space="preserve">Laboratorijska ispitivanja </w:t>
            </w:r>
          </w:p>
        </w:tc>
        <w:tc>
          <w:tcPr>
            <w:tcW w:w="1817" w:type="dxa"/>
            <w:tcBorders>
              <w:top w:val="single" w:sz="4" w:space="0" w:color="auto"/>
              <w:left w:val="single" w:sz="4" w:space="0" w:color="auto"/>
              <w:bottom w:val="single" w:sz="4" w:space="0" w:color="auto"/>
              <w:right w:val="single" w:sz="4" w:space="0" w:color="auto"/>
            </w:tcBorders>
          </w:tcPr>
          <w:p w:rsidR="00B91CE9" w:rsidRPr="004B03AB" w:rsidRDefault="00B91CE9" w:rsidP="00A0079D">
            <w:pPr>
              <w:pStyle w:val="Header"/>
              <w:tabs>
                <w:tab w:val="left" w:pos="284"/>
              </w:tabs>
              <w:spacing w:line="276" w:lineRule="auto"/>
              <w:rPr>
                <w:rFonts w:cs="Arial"/>
                <w:sz w:val="22"/>
                <w:szCs w:val="22"/>
                <w:lang w:val="it-IT"/>
              </w:rPr>
            </w:pPr>
          </w:p>
        </w:tc>
        <w:tc>
          <w:tcPr>
            <w:tcW w:w="1898" w:type="dxa"/>
            <w:tcBorders>
              <w:top w:val="single" w:sz="4" w:space="0" w:color="auto"/>
              <w:left w:val="single" w:sz="4" w:space="0" w:color="auto"/>
              <w:bottom w:val="single" w:sz="4" w:space="0" w:color="auto"/>
              <w:right w:val="single" w:sz="4" w:space="0" w:color="auto"/>
            </w:tcBorders>
          </w:tcPr>
          <w:p w:rsidR="00B91CE9" w:rsidRPr="004B03AB" w:rsidRDefault="00B91CE9" w:rsidP="00A0079D">
            <w:pPr>
              <w:pStyle w:val="Header"/>
              <w:tabs>
                <w:tab w:val="left" w:pos="284"/>
              </w:tabs>
              <w:spacing w:line="276" w:lineRule="auto"/>
              <w:rPr>
                <w:rFonts w:cs="Arial"/>
                <w:sz w:val="22"/>
                <w:szCs w:val="22"/>
                <w:lang w:val="it-IT"/>
              </w:rPr>
            </w:pPr>
          </w:p>
        </w:tc>
        <w:tc>
          <w:tcPr>
            <w:tcW w:w="1899" w:type="dxa"/>
            <w:tcBorders>
              <w:top w:val="single" w:sz="4" w:space="0" w:color="auto"/>
              <w:left w:val="single" w:sz="4" w:space="0" w:color="auto"/>
              <w:bottom w:val="single" w:sz="4" w:space="0" w:color="auto"/>
              <w:right w:val="single" w:sz="4" w:space="0" w:color="auto"/>
            </w:tcBorders>
            <w:hideMark/>
          </w:tcPr>
          <w:p w:rsidR="00B91CE9" w:rsidRPr="00264152" w:rsidRDefault="00B91CE9" w:rsidP="00A0079D">
            <w:pPr>
              <w:pStyle w:val="Header"/>
              <w:tabs>
                <w:tab w:val="left" w:pos="284"/>
              </w:tabs>
              <w:spacing w:line="276" w:lineRule="auto"/>
              <w:rPr>
                <w:rFonts w:cs="Arial"/>
                <w:sz w:val="22"/>
                <w:szCs w:val="22"/>
                <w:lang w:val="it-IT"/>
              </w:rPr>
            </w:pPr>
            <w:r w:rsidRPr="00264152">
              <w:rPr>
                <w:rFonts w:cs="Arial"/>
                <w:sz w:val="22"/>
                <w:szCs w:val="22"/>
                <w:lang w:val="it-IT"/>
              </w:rPr>
              <w:t>Disbalans elektrolita kao posl</w:t>
            </w:r>
            <w:r>
              <w:rPr>
                <w:rFonts w:cs="Arial"/>
                <w:sz w:val="22"/>
                <w:szCs w:val="22"/>
                <w:lang w:val="it-IT"/>
              </w:rPr>
              <w:t>j</w:t>
            </w:r>
            <w:r w:rsidRPr="00264152">
              <w:rPr>
                <w:rFonts w:cs="Arial"/>
                <w:sz w:val="22"/>
                <w:szCs w:val="22"/>
                <w:lang w:val="it-IT"/>
              </w:rPr>
              <w:t>edica dijareje</w:t>
            </w:r>
          </w:p>
        </w:tc>
        <w:tc>
          <w:tcPr>
            <w:tcW w:w="1899" w:type="dxa"/>
            <w:tcBorders>
              <w:top w:val="single" w:sz="4" w:space="0" w:color="auto"/>
              <w:left w:val="single" w:sz="4" w:space="0" w:color="auto"/>
              <w:bottom w:val="single" w:sz="4" w:space="0" w:color="auto"/>
              <w:right w:val="single" w:sz="4" w:space="0" w:color="auto"/>
            </w:tcBorders>
          </w:tcPr>
          <w:p w:rsidR="00B91CE9" w:rsidRPr="009F44B0" w:rsidRDefault="00B91CE9" w:rsidP="00A0079D">
            <w:pPr>
              <w:pStyle w:val="Header"/>
              <w:tabs>
                <w:tab w:val="left" w:pos="284"/>
              </w:tabs>
              <w:spacing w:line="276" w:lineRule="auto"/>
              <w:rPr>
                <w:rFonts w:cs="Arial"/>
                <w:b/>
                <w:sz w:val="22"/>
                <w:szCs w:val="22"/>
              </w:rPr>
            </w:pPr>
          </w:p>
        </w:tc>
      </w:tr>
    </w:tbl>
    <w:p w:rsidR="001766BB" w:rsidRDefault="001766BB" w:rsidP="00B91CE9">
      <w:pPr>
        <w:pStyle w:val="Header"/>
        <w:tabs>
          <w:tab w:val="left" w:pos="284"/>
        </w:tabs>
        <w:spacing w:before="80" w:after="80"/>
        <w:rPr>
          <w:rFonts w:cs="Arial"/>
          <w:b/>
          <w:bCs/>
          <w:sz w:val="22"/>
        </w:rPr>
      </w:pPr>
    </w:p>
    <w:p w:rsidR="00B91CE9" w:rsidRDefault="00B91CE9" w:rsidP="00B91CE9">
      <w:pPr>
        <w:pStyle w:val="Header"/>
        <w:tabs>
          <w:tab w:val="left" w:pos="284"/>
        </w:tabs>
        <w:spacing w:before="80" w:after="80"/>
        <w:rPr>
          <w:rFonts w:cs="Arial"/>
          <w:b/>
          <w:bCs/>
          <w:sz w:val="22"/>
        </w:rPr>
      </w:pPr>
      <w:r w:rsidRPr="009F44B0">
        <w:rPr>
          <w:rFonts w:cs="Arial"/>
          <w:b/>
          <w:bCs/>
          <w:sz w:val="22"/>
        </w:rPr>
        <w:t>D</w:t>
      </w:r>
      <w:r>
        <w:rPr>
          <w:rFonts w:cs="Arial"/>
          <w:b/>
          <w:bCs/>
          <w:sz w:val="22"/>
        </w:rPr>
        <w:t>j</w:t>
      </w:r>
      <w:r w:rsidRPr="009F44B0">
        <w:rPr>
          <w:rFonts w:cs="Arial"/>
          <w:b/>
          <w:bCs/>
          <w:sz w:val="22"/>
        </w:rPr>
        <w:t>eca</w:t>
      </w:r>
    </w:p>
    <w:p w:rsidR="00B91CE9" w:rsidRDefault="00B91CE9" w:rsidP="00B91CE9">
      <w:pPr>
        <w:pStyle w:val="Header"/>
        <w:tabs>
          <w:tab w:val="left" w:pos="284"/>
        </w:tabs>
        <w:spacing w:before="80" w:after="80"/>
        <w:rPr>
          <w:rFonts w:cs="Arial"/>
          <w:bCs/>
          <w:sz w:val="22"/>
        </w:rPr>
      </w:pPr>
      <w:r w:rsidRPr="009F44B0">
        <w:rPr>
          <w:rFonts w:cs="Arial"/>
          <w:bCs/>
          <w:sz w:val="22"/>
        </w:rPr>
        <w:t>Kod d</w:t>
      </w:r>
      <w:r>
        <w:rPr>
          <w:rFonts w:cs="Arial"/>
          <w:bCs/>
          <w:sz w:val="22"/>
        </w:rPr>
        <w:t>j</w:t>
      </w:r>
      <w:r w:rsidRPr="009F44B0">
        <w:rPr>
          <w:rFonts w:cs="Arial"/>
          <w:bCs/>
          <w:sz w:val="22"/>
        </w:rPr>
        <w:t>ece se očekuje sličan bezb</w:t>
      </w:r>
      <w:r>
        <w:rPr>
          <w:rFonts w:cs="Arial"/>
          <w:bCs/>
          <w:sz w:val="22"/>
        </w:rPr>
        <w:t>j</w:t>
      </w:r>
      <w:r w:rsidRPr="009F44B0">
        <w:rPr>
          <w:rFonts w:cs="Arial"/>
          <w:bCs/>
          <w:sz w:val="22"/>
        </w:rPr>
        <w:t>ednosni profil kao kod odraslih.</w:t>
      </w:r>
    </w:p>
    <w:p w:rsidR="001766BB" w:rsidRPr="00786071" w:rsidRDefault="00B91CE9" w:rsidP="00B91CE9">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rsidR="00B91CE9" w:rsidRPr="00786071" w:rsidRDefault="00B91CE9" w:rsidP="00B91CE9">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B91CE9" w:rsidRPr="00786071" w:rsidRDefault="00B91CE9" w:rsidP="00B91CE9">
      <w:pPr>
        <w:pStyle w:val="NoSpacing"/>
        <w:jc w:val="both"/>
        <w:rPr>
          <w:rFonts w:eastAsia="Calibri"/>
          <w:sz w:val="22"/>
          <w:szCs w:val="22"/>
          <w:lang w:val="sr-Latn-RS"/>
        </w:rPr>
      </w:pPr>
      <w:r w:rsidRPr="00786071">
        <w:rPr>
          <w:rFonts w:eastAsia="Calibri"/>
          <w:sz w:val="22"/>
          <w:szCs w:val="22"/>
          <w:lang w:val="sr-Latn-RS"/>
        </w:rPr>
        <w:t>Agencija za ljekove i medicinska sredstva Crne Gore</w:t>
      </w:r>
    </w:p>
    <w:p w:rsidR="00B91CE9" w:rsidRPr="00786071" w:rsidRDefault="00B91CE9" w:rsidP="00B91CE9">
      <w:pPr>
        <w:pStyle w:val="NoSpacing"/>
        <w:jc w:val="both"/>
        <w:rPr>
          <w:rFonts w:eastAsia="Calibri"/>
          <w:sz w:val="22"/>
          <w:szCs w:val="22"/>
          <w:lang w:val="sr-Latn-RS"/>
        </w:rPr>
      </w:pPr>
      <w:r w:rsidRPr="00786071">
        <w:rPr>
          <w:rFonts w:eastAsia="Calibri"/>
          <w:sz w:val="22"/>
          <w:szCs w:val="22"/>
          <w:lang w:val="sr-Latn-RS"/>
        </w:rPr>
        <w:t>Odjeljenje za farmakovigilancu</w:t>
      </w:r>
    </w:p>
    <w:p w:rsidR="00B91CE9" w:rsidRPr="00786071" w:rsidRDefault="00B91CE9" w:rsidP="00B91CE9">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rsidR="00B91CE9" w:rsidRPr="00786071" w:rsidRDefault="00B91CE9" w:rsidP="00B91CE9">
      <w:pPr>
        <w:pStyle w:val="NoSpacing"/>
        <w:rPr>
          <w:rFonts w:eastAsia="Calibri"/>
          <w:sz w:val="22"/>
          <w:szCs w:val="22"/>
          <w:lang w:val="sr-Latn-RS"/>
        </w:rPr>
      </w:pPr>
    </w:p>
    <w:p w:rsidR="00B91CE9" w:rsidRPr="00786071" w:rsidRDefault="00B91CE9" w:rsidP="00B91CE9">
      <w:pPr>
        <w:pStyle w:val="NoSpacing"/>
        <w:jc w:val="both"/>
        <w:rPr>
          <w:rFonts w:eastAsia="Calibri"/>
          <w:sz w:val="22"/>
          <w:szCs w:val="22"/>
          <w:lang w:val="sr-Latn-RS"/>
        </w:rPr>
      </w:pPr>
      <w:r w:rsidRPr="00786071">
        <w:rPr>
          <w:rFonts w:eastAsia="Calibri"/>
          <w:sz w:val="22"/>
          <w:szCs w:val="22"/>
          <w:lang w:val="sr-Latn-RS"/>
        </w:rPr>
        <w:t>tel: +382 (0) 20 310 280</w:t>
      </w:r>
    </w:p>
    <w:p w:rsidR="00B91CE9" w:rsidRPr="00786071" w:rsidRDefault="00B91CE9" w:rsidP="00B91CE9">
      <w:pPr>
        <w:pStyle w:val="NoSpacing"/>
        <w:jc w:val="both"/>
        <w:rPr>
          <w:rFonts w:eastAsia="Calibri"/>
          <w:sz w:val="22"/>
          <w:szCs w:val="22"/>
          <w:lang w:val="sr-Latn-RS"/>
        </w:rPr>
      </w:pPr>
      <w:r w:rsidRPr="00786071">
        <w:rPr>
          <w:rFonts w:eastAsia="Calibri"/>
          <w:sz w:val="22"/>
          <w:szCs w:val="22"/>
          <w:lang w:val="sr-Latn-RS"/>
        </w:rPr>
        <w:t>fax: +382 (0) 20 310 581</w:t>
      </w:r>
    </w:p>
    <w:p w:rsidR="00B91CE9" w:rsidRPr="00786071" w:rsidRDefault="00D00082" w:rsidP="00B91CE9">
      <w:pPr>
        <w:pStyle w:val="NoSpacing"/>
        <w:jc w:val="both"/>
        <w:rPr>
          <w:rFonts w:eastAsia="Calibri"/>
          <w:sz w:val="22"/>
          <w:szCs w:val="22"/>
          <w:lang w:val="sr-Latn-RS"/>
        </w:rPr>
      </w:pPr>
      <w:hyperlink r:id="rId8" w:history="1">
        <w:r w:rsidR="00B91CE9" w:rsidRPr="00786071">
          <w:rPr>
            <w:rFonts w:eastAsia="Calibri"/>
            <w:color w:val="0000FF"/>
            <w:sz w:val="22"/>
            <w:szCs w:val="22"/>
            <w:u w:val="single"/>
            <w:lang w:val="sr-Latn-RS"/>
          </w:rPr>
          <w:t>www.calims.me</w:t>
        </w:r>
      </w:hyperlink>
    </w:p>
    <w:p w:rsidR="00B91CE9" w:rsidRDefault="00D00082" w:rsidP="00B91CE9">
      <w:pPr>
        <w:pStyle w:val="NoSpacing"/>
        <w:jc w:val="both"/>
        <w:rPr>
          <w:rFonts w:eastAsia="Calibri"/>
          <w:color w:val="0000FF"/>
          <w:sz w:val="22"/>
          <w:szCs w:val="22"/>
          <w:u w:val="single"/>
          <w:lang w:val="sr-Latn-RS"/>
        </w:rPr>
      </w:pPr>
      <w:hyperlink r:id="rId9" w:history="1">
        <w:r w:rsidR="00B91CE9" w:rsidRPr="00786071">
          <w:rPr>
            <w:rFonts w:eastAsia="Calibri"/>
            <w:color w:val="0000FF"/>
            <w:sz w:val="22"/>
            <w:szCs w:val="22"/>
            <w:u w:val="single"/>
            <w:lang w:val="sr-Latn-RS"/>
          </w:rPr>
          <w:t>nezeljenadejstva@calims.me</w:t>
        </w:r>
      </w:hyperlink>
    </w:p>
    <w:p w:rsidR="008E19D1" w:rsidRPr="00786071" w:rsidRDefault="008E19D1" w:rsidP="00B91CE9">
      <w:pPr>
        <w:pStyle w:val="NoSpacing"/>
        <w:jc w:val="both"/>
        <w:rPr>
          <w:rFonts w:eastAsia="Calibri"/>
          <w:color w:val="0000FF"/>
          <w:sz w:val="22"/>
          <w:szCs w:val="22"/>
          <w:u w:val="single"/>
          <w:lang w:val="sr-Latn-RS"/>
        </w:rPr>
      </w:pPr>
    </w:p>
    <w:p w:rsidR="00B91CE9" w:rsidRPr="00786071" w:rsidRDefault="00B91CE9" w:rsidP="00B91CE9">
      <w:pPr>
        <w:pStyle w:val="NoSpacing"/>
        <w:jc w:val="both"/>
        <w:rPr>
          <w:rFonts w:eastAsia="Calibri"/>
          <w:sz w:val="22"/>
          <w:szCs w:val="22"/>
          <w:lang w:val="sr-Latn-RS"/>
        </w:rPr>
      </w:pPr>
      <w:r w:rsidRPr="00786071">
        <w:rPr>
          <w:rFonts w:eastAsia="Calibri"/>
          <w:sz w:val="22"/>
          <w:szCs w:val="22"/>
          <w:lang w:val="sr-Latn-RS"/>
        </w:rPr>
        <w:t>putem IS zdravstvene zaštite</w:t>
      </w:r>
    </w:p>
    <w:p w:rsidR="00B91CE9" w:rsidRDefault="00B91CE9" w:rsidP="008E19D1">
      <w:pPr>
        <w:tabs>
          <w:tab w:val="left" w:pos="540"/>
          <w:tab w:val="left" w:pos="569"/>
        </w:tabs>
        <w:jc w:val="both"/>
        <w:rPr>
          <w:b/>
          <w:bCs/>
          <w:sz w:val="22"/>
          <w:szCs w:val="22"/>
        </w:rPr>
      </w:pPr>
      <w:r w:rsidRPr="00786071">
        <w:rPr>
          <w:b/>
          <w:bCs/>
          <w:sz w:val="22"/>
          <w:szCs w:val="22"/>
        </w:rPr>
        <w:t xml:space="preserve">4.9. </w:t>
      </w:r>
      <w:r w:rsidRPr="00786071">
        <w:rPr>
          <w:b/>
          <w:bCs/>
          <w:sz w:val="22"/>
          <w:szCs w:val="22"/>
        </w:rPr>
        <w:tab/>
        <w:t xml:space="preserve">Predoziranje </w:t>
      </w:r>
    </w:p>
    <w:p w:rsidR="00B91CE9" w:rsidRPr="00786071" w:rsidRDefault="00B91CE9" w:rsidP="008E19D1">
      <w:pPr>
        <w:tabs>
          <w:tab w:val="left" w:pos="540"/>
          <w:tab w:val="left" w:pos="569"/>
        </w:tabs>
        <w:jc w:val="both"/>
        <w:rPr>
          <w:b/>
          <w:bCs/>
          <w:sz w:val="22"/>
          <w:szCs w:val="22"/>
        </w:rPr>
      </w:pPr>
    </w:p>
    <w:p w:rsidR="00B91CE9" w:rsidRPr="00B021EF" w:rsidRDefault="00B91CE9" w:rsidP="008E19D1">
      <w:pPr>
        <w:tabs>
          <w:tab w:val="left" w:pos="284"/>
          <w:tab w:val="center" w:pos="4536"/>
          <w:tab w:val="right" w:pos="9072"/>
        </w:tabs>
        <w:jc w:val="both"/>
        <w:rPr>
          <w:rFonts w:cs="Arial"/>
          <w:sz w:val="22"/>
          <w:szCs w:val="22"/>
        </w:rPr>
      </w:pPr>
      <w:r w:rsidRPr="00B021EF">
        <w:rPr>
          <w:rFonts w:cs="Arial"/>
          <w:sz w:val="22"/>
          <w:szCs w:val="22"/>
        </w:rPr>
        <w:t>Ako su doze previsoke može doći do sl</w:t>
      </w:r>
      <w:r>
        <w:rPr>
          <w:rFonts w:cs="Arial"/>
          <w:sz w:val="22"/>
          <w:szCs w:val="22"/>
        </w:rPr>
        <w:t>j</w:t>
      </w:r>
      <w:r w:rsidRPr="00B021EF">
        <w:rPr>
          <w:rFonts w:cs="Arial"/>
          <w:sz w:val="22"/>
          <w:szCs w:val="22"/>
        </w:rPr>
        <w:t>edećeg:</w:t>
      </w:r>
    </w:p>
    <w:p w:rsidR="00B91CE9" w:rsidRPr="00B021EF" w:rsidRDefault="00B91CE9" w:rsidP="008E19D1">
      <w:pPr>
        <w:tabs>
          <w:tab w:val="left" w:pos="284"/>
          <w:tab w:val="center" w:pos="4536"/>
          <w:tab w:val="right" w:pos="9072"/>
        </w:tabs>
        <w:jc w:val="both"/>
        <w:rPr>
          <w:rFonts w:cs="Arial"/>
          <w:sz w:val="22"/>
          <w:szCs w:val="22"/>
          <w:lang w:val="it-IT"/>
        </w:rPr>
      </w:pPr>
      <w:r w:rsidRPr="00B021EF">
        <w:rPr>
          <w:rFonts w:cs="Arial"/>
          <w:sz w:val="22"/>
          <w:szCs w:val="22"/>
        </w:rPr>
        <w:t xml:space="preserve">Simptomi: </w:t>
      </w:r>
      <w:r w:rsidRPr="00B021EF">
        <w:rPr>
          <w:rFonts w:cs="Arial"/>
          <w:sz w:val="22"/>
          <w:szCs w:val="22"/>
          <w:lang w:val="it-IT"/>
        </w:rPr>
        <w:t>abdominalni bol, gubitak elektrolita i dijareja.</w:t>
      </w:r>
    </w:p>
    <w:p w:rsidR="00B91CE9" w:rsidRDefault="00B91CE9" w:rsidP="008E19D1">
      <w:pPr>
        <w:tabs>
          <w:tab w:val="left" w:pos="540"/>
          <w:tab w:val="left" w:pos="569"/>
        </w:tabs>
        <w:jc w:val="both"/>
        <w:rPr>
          <w:rFonts w:cs="Arial"/>
          <w:sz w:val="22"/>
          <w:szCs w:val="22"/>
          <w:lang w:val="it-IT"/>
        </w:rPr>
      </w:pPr>
      <w:r w:rsidRPr="00B021EF">
        <w:rPr>
          <w:rFonts w:cs="Arial"/>
          <w:sz w:val="22"/>
          <w:szCs w:val="22"/>
          <w:lang w:val="it-IT"/>
        </w:rPr>
        <w:t>Terapija: prekid l</w:t>
      </w:r>
      <w:r>
        <w:rPr>
          <w:rFonts w:cs="Arial"/>
          <w:sz w:val="22"/>
          <w:szCs w:val="22"/>
          <w:lang w:val="it-IT"/>
        </w:rPr>
        <w:t>ij</w:t>
      </w:r>
      <w:r w:rsidRPr="00B021EF">
        <w:rPr>
          <w:rFonts w:cs="Arial"/>
          <w:sz w:val="22"/>
          <w:szCs w:val="22"/>
          <w:lang w:val="it-IT"/>
        </w:rPr>
        <w:t>ečenja ili smanjenje doze. Prekom</w:t>
      </w:r>
      <w:r>
        <w:rPr>
          <w:rFonts w:cs="Arial"/>
          <w:sz w:val="22"/>
          <w:szCs w:val="22"/>
          <w:lang w:val="it-IT"/>
        </w:rPr>
        <w:t>j</w:t>
      </w:r>
      <w:r w:rsidRPr="00B021EF">
        <w:rPr>
          <w:rFonts w:cs="Arial"/>
          <w:sz w:val="22"/>
          <w:szCs w:val="22"/>
          <w:lang w:val="it-IT"/>
        </w:rPr>
        <w:t>eran gubitak tečnosti usl</w:t>
      </w:r>
      <w:r>
        <w:rPr>
          <w:rFonts w:cs="Arial"/>
          <w:sz w:val="22"/>
          <w:szCs w:val="22"/>
          <w:lang w:val="it-IT"/>
        </w:rPr>
        <w:t>j</w:t>
      </w:r>
      <w:r w:rsidRPr="00B021EF">
        <w:rPr>
          <w:rFonts w:cs="Arial"/>
          <w:sz w:val="22"/>
          <w:szCs w:val="22"/>
          <w:lang w:val="it-IT"/>
        </w:rPr>
        <w:t>ed dijareje ili povraćanja može da zaht</w:t>
      </w:r>
      <w:r>
        <w:rPr>
          <w:rFonts w:cs="Arial"/>
          <w:sz w:val="22"/>
          <w:szCs w:val="22"/>
          <w:lang w:val="it-IT"/>
        </w:rPr>
        <w:t>ij</w:t>
      </w:r>
      <w:r w:rsidRPr="00B021EF">
        <w:rPr>
          <w:rFonts w:cs="Arial"/>
          <w:sz w:val="22"/>
          <w:szCs w:val="22"/>
          <w:lang w:val="it-IT"/>
        </w:rPr>
        <w:t>eva korekciju poremećaja elektrolita.</w:t>
      </w:r>
    </w:p>
    <w:p w:rsidR="00B91CE9" w:rsidRDefault="00B91CE9" w:rsidP="008E19D1">
      <w:pPr>
        <w:tabs>
          <w:tab w:val="left" w:pos="540"/>
          <w:tab w:val="left" w:pos="569"/>
        </w:tabs>
        <w:jc w:val="both"/>
        <w:rPr>
          <w:b/>
          <w:bCs/>
          <w:sz w:val="22"/>
          <w:szCs w:val="22"/>
        </w:rPr>
      </w:pPr>
    </w:p>
    <w:p w:rsidR="00B91CE9" w:rsidRPr="00786071" w:rsidRDefault="00B91CE9" w:rsidP="008E19D1">
      <w:pPr>
        <w:tabs>
          <w:tab w:val="left" w:pos="540"/>
          <w:tab w:val="left" w:pos="569"/>
        </w:tabs>
        <w:jc w:val="both"/>
        <w:rPr>
          <w:b/>
          <w:bCs/>
          <w:sz w:val="22"/>
          <w:szCs w:val="22"/>
        </w:rPr>
      </w:pPr>
      <w:r w:rsidRPr="00786071">
        <w:rPr>
          <w:b/>
          <w:bCs/>
          <w:sz w:val="22"/>
          <w:szCs w:val="22"/>
        </w:rPr>
        <w:t xml:space="preserve">5. </w:t>
      </w:r>
      <w:r w:rsidRPr="00786071">
        <w:rPr>
          <w:b/>
          <w:bCs/>
          <w:sz w:val="22"/>
          <w:szCs w:val="22"/>
        </w:rPr>
        <w:tab/>
        <w:t>FARMAKOLOŠKI PODACI</w:t>
      </w:r>
    </w:p>
    <w:p w:rsidR="00B91CE9" w:rsidRPr="00786071" w:rsidRDefault="00B91CE9" w:rsidP="008E19D1">
      <w:pPr>
        <w:tabs>
          <w:tab w:val="left" w:pos="540"/>
          <w:tab w:val="left" w:pos="569"/>
        </w:tabs>
        <w:jc w:val="both"/>
        <w:rPr>
          <w:b/>
          <w:bCs/>
          <w:sz w:val="22"/>
          <w:szCs w:val="22"/>
        </w:rPr>
      </w:pPr>
    </w:p>
    <w:p w:rsidR="00B91CE9" w:rsidRPr="00786071" w:rsidRDefault="00B91CE9" w:rsidP="008E19D1">
      <w:pPr>
        <w:tabs>
          <w:tab w:val="left" w:pos="540"/>
          <w:tab w:val="left" w:pos="569"/>
        </w:tabs>
        <w:jc w:val="both"/>
        <w:rPr>
          <w:b/>
          <w:bCs/>
          <w:sz w:val="22"/>
          <w:szCs w:val="22"/>
        </w:rPr>
      </w:pPr>
      <w:r w:rsidRPr="00786071">
        <w:rPr>
          <w:b/>
          <w:bCs/>
          <w:sz w:val="22"/>
          <w:szCs w:val="22"/>
        </w:rPr>
        <w:t xml:space="preserve">5.1. </w:t>
      </w:r>
      <w:r w:rsidRPr="00786071">
        <w:rPr>
          <w:b/>
          <w:bCs/>
          <w:sz w:val="22"/>
          <w:szCs w:val="22"/>
        </w:rPr>
        <w:tab/>
        <w:t xml:space="preserve">Farmakodinamski podaci </w:t>
      </w:r>
    </w:p>
    <w:p w:rsidR="00B91CE9" w:rsidRPr="00786071" w:rsidRDefault="00B91CE9" w:rsidP="008E19D1">
      <w:pPr>
        <w:tabs>
          <w:tab w:val="left" w:pos="540"/>
          <w:tab w:val="left" w:pos="569"/>
        </w:tabs>
        <w:jc w:val="both"/>
        <w:rPr>
          <w:b/>
          <w:bCs/>
          <w:sz w:val="22"/>
          <w:szCs w:val="22"/>
        </w:rPr>
      </w:pPr>
    </w:p>
    <w:p w:rsidR="00B91CE9" w:rsidRPr="00786071" w:rsidRDefault="00B91CE9" w:rsidP="008E19D1">
      <w:pPr>
        <w:tabs>
          <w:tab w:val="left" w:pos="540"/>
          <w:tab w:val="left" w:pos="569"/>
        </w:tabs>
        <w:jc w:val="both"/>
        <w:rPr>
          <w:bCs/>
          <w:sz w:val="22"/>
          <w:szCs w:val="22"/>
        </w:rPr>
      </w:pPr>
      <w:r w:rsidRPr="00786071">
        <w:rPr>
          <w:bCs/>
          <w:sz w:val="22"/>
          <w:szCs w:val="22"/>
        </w:rPr>
        <w:lastRenderedPageBreak/>
        <w:t>Farmakoterapijska grupa:</w:t>
      </w:r>
      <w:r w:rsidRPr="00F5372E">
        <w:rPr>
          <w:rFonts w:cs="Arial"/>
          <w:sz w:val="22"/>
          <w:lang w:val="it-IT"/>
        </w:rPr>
        <w:t xml:space="preserve"> </w:t>
      </w:r>
      <w:r>
        <w:rPr>
          <w:rFonts w:cs="Arial"/>
          <w:sz w:val="22"/>
          <w:lang w:val="it-IT"/>
        </w:rPr>
        <w:t xml:space="preserve">Laksativi; osmotski </w:t>
      </w:r>
      <w:r w:rsidRPr="009F44B0">
        <w:rPr>
          <w:rFonts w:cs="Arial"/>
          <w:sz w:val="22"/>
        </w:rPr>
        <w:t>laksativi</w:t>
      </w:r>
    </w:p>
    <w:p w:rsidR="00B91CE9" w:rsidRPr="00786071" w:rsidRDefault="00B91CE9" w:rsidP="008E19D1">
      <w:pPr>
        <w:tabs>
          <w:tab w:val="left" w:pos="540"/>
          <w:tab w:val="left" w:pos="569"/>
        </w:tabs>
        <w:jc w:val="both"/>
        <w:rPr>
          <w:bCs/>
          <w:sz w:val="22"/>
          <w:szCs w:val="22"/>
        </w:rPr>
      </w:pPr>
    </w:p>
    <w:p w:rsidR="00B91CE9" w:rsidRDefault="00B91CE9" w:rsidP="008E19D1">
      <w:pPr>
        <w:tabs>
          <w:tab w:val="left" w:pos="540"/>
          <w:tab w:val="left" w:pos="569"/>
        </w:tabs>
        <w:jc w:val="both"/>
        <w:rPr>
          <w:bCs/>
          <w:sz w:val="22"/>
          <w:szCs w:val="22"/>
        </w:rPr>
      </w:pPr>
      <w:r w:rsidRPr="00786071">
        <w:rPr>
          <w:bCs/>
          <w:sz w:val="22"/>
          <w:szCs w:val="22"/>
        </w:rPr>
        <w:t>ATC kod:</w:t>
      </w:r>
      <w:r w:rsidRPr="00F5372E">
        <w:rPr>
          <w:rFonts w:cs="Arial"/>
          <w:sz w:val="22"/>
        </w:rPr>
        <w:t xml:space="preserve"> </w:t>
      </w:r>
      <w:r w:rsidRPr="009F44B0">
        <w:rPr>
          <w:rFonts w:cs="Arial"/>
          <w:sz w:val="22"/>
        </w:rPr>
        <w:t>A06AD11</w:t>
      </w:r>
    </w:p>
    <w:p w:rsidR="00B91CE9" w:rsidRPr="00786071" w:rsidRDefault="00B91CE9" w:rsidP="008E19D1">
      <w:pPr>
        <w:tabs>
          <w:tab w:val="left" w:pos="540"/>
          <w:tab w:val="left" w:pos="569"/>
        </w:tabs>
        <w:jc w:val="both"/>
        <w:rPr>
          <w:bCs/>
          <w:sz w:val="22"/>
          <w:szCs w:val="22"/>
        </w:rPr>
      </w:pPr>
    </w:p>
    <w:p w:rsidR="00B91CE9" w:rsidRPr="00D75CCD" w:rsidRDefault="00B91CE9" w:rsidP="008E19D1">
      <w:pPr>
        <w:pStyle w:val="Header"/>
        <w:tabs>
          <w:tab w:val="left" w:pos="284"/>
        </w:tabs>
        <w:jc w:val="both"/>
        <w:rPr>
          <w:rFonts w:cs="Arial"/>
          <w:sz w:val="22"/>
          <w:szCs w:val="22"/>
          <w:lang w:val="it-IT"/>
        </w:rPr>
      </w:pPr>
      <w:r w:rsidRPr="00D464E3">
        <w:rPr>
          <w:rFonts w:cs="Arial"/>
          <w:sz w:val="22"/>
          <w:szCs w:val="22"/>
          <w:lang w:val="sr-Latn-CS"/>
        </w:rPr>
        <w:t>Crevna bakterijska flora u kolonu metaboliše laktulozu u nisko molekulske organske kiseline. Organske kiseline dovode do</w:t>
      </w:r>
      <w:r w:rsidRPr="00D75CCD">
        <w:rPr>
          <w:rFonts w:cs="Arial"/>
          <w:sz w:val="22"/>
          <w:szCs w:val="22"/>
          <w:lang w:val="it-IT"/>
        </w:rPr>
        <w:t xml:space="preserve"> </w:t>
      </w:r>
      <w:r>
        <w:rPr>
          <w:rFonts w:cs="Arial"/>
          <w:sz w:val="22"/>
          <w:szCs w:val="22"/>
          <w:lang w:val="it-IT"/>
        </w:rPr>
        <w:t xml:space="preserve">smanjenja </w:t>
      </w:r>
      <w:r w:rsidRPr="00D75CCD">
        <w:rPr>
          <w:rFonts w:cs="Arial"/>
          <w:sz w:val="22"/>
          <w:szCs w:val="22"/>
          <w:lang w:val="it-IT"/>
        </w:rPr>
        <w:t>pH vr</w:t>
      </w:r>
      <w:r>
        <w:rPr>
          <w:rFonts w:cs="Arial"/>
          <w:sz w:val="22"/>
          <w:szCs w:val="22"/>
          <w:lang w:val="it-IT"/>
        </w:rPr>
        <w:t>ij</w:t>
      </w:r>
      <w:r w:rsidRPr="00D75CCD">
        <w:rPr>
          <w:rFonts w:cs="Arial"/>
          <w:sz w:val="22"/>
          <w:szCs w:val="22"/>
          <w:lang w:val="it-IT"/>
        </w:rPr>
        <w:t xml:space="preserve">ednosti </w:t>
      </w:r>
      <w:r>
        <w:rPr>
          <w:rFonts w:cs="Arial"/>
          <w:sz w:val="22"/>
          <w:szCs w:val="22"/>
          <w:lang w:val="it-IT"/>
        </w:rPr>
        <w:t>u lumenu kolona i do efekta</w:t>
      </w:r>
      <w:r w:rsidRPr="00D75CCD">
        <w:rPr>
          <w:rFonts w:cs="Arial"/>
          <w:sz w:val="22"/>
          <w:szCs w:val="22"/>
          <w:lang w:val="it-IT"/>
        </w:rPr>
        <w:t xml:space="preserve"> osmotsk</w:t>
      </w:r>
      <w:r>
        <w:rPr>
          <w:rFonts w:cs="Arial"/>
          <w:sz w:val="22"/>
          <w:szCs w:val="22"/>
          <w:lang w:val="it-IT"/>
        </w:rPr>
        <w:t xml:space="preserve">og </w:t>
      </w:r>
      <w:r w:rsidRPr="00D75CCD">
        <w:rPr>
          <w:rFonts w:cs="Arial"/>
          <w:sz w:val="22"/>
          <w:szCs w:val="22"/>
          <w:lang w:val="it-IT"/>
        </w:rPr>
        <w:t>povećanja volumena sadržaja u kolonu</w:t>
      </w:r>
      <w:r>
        <w:rPr>
          <w:rFonts w:cs="Arial"/>
          <w:sz w:val="22"/>
          <w:szCs w:val="22"/>
          <w:lang w:val="it-IT"/>
        </w:rPr>
        <w:t xml:space="preserve">. Navedeni efekti </w:t>
      </w:r>
      <w:r w:rsidRPr="00D75CCD">
        <w:rPr>
          <w:rFonts w:cs="Arial"/>
          <w:sz w:val="22"/>
          <w:szCs w:val="22"/>
          <w:lang w:val="it-IT"/>
        </w:rPr>
        <w:t>stimuliš</w:t>
      </w:r>
      <w:r>
        <w:rPr>
          <w:rFonts w:cs="Arial"/>
          <w:sz w:val="22"/>
          <w:szCs w:val="22"/>
          <w:lang w:val="it-IT"/>
        </w:rPr>
        <w:t>u</w:t>
      </w:r>
      <w:r w:rsidRPr="00D75CCD">
        <w:rPr>
          <w:rFonts w:cs="Arial"/>
          <w:sz w:val="22"/>
          <w:szCs w:val="22"/>
          <w:lang w:val="it-IT"/>
        </w:rPr>
        <w:t xml:space="preserve"> peristaltik</w:t>
      </w:r>
      <w:r>
        <w:rPr>
          <w:rFonts w:cs="Arial"/>
          <w:sz w:val="22"/>
          <w:szCs w:val="22"/>
          <w:lang w:val="it-IT"/>
        </w:rPr>
        <w:t>u</w:t>
      </w:r>
      <w:r w:rsidRPr="00D75CCD">
        <w:rPr>
          <w:rFonts w:cs="Arial"/>
          <w:sz w:val="22"/>
          <w:szCs w:val="22"/>
          <w:lang w:val="it-IT"/>
        </w:rPr>
        <w:t xml:space="preserve"> kolona i </w:t>
      </w:r>
      <w:r>
        <w:rPr>
          <w:rFonts w:cs="Arial"/>
          <w:sz w:val="22"/>
          <w:szCs w:val="22"/>
          <w:lang w:val="it-IT"/>
        </w:rPr>
        <w:t xml:space="preserve">obnavljaju </w:t>
      </w:r>
      <w:r w:rsidRPr="00D75CCD">
        <w:rPr>
          <w:rFonts w:cs="Arial"/>
          <w:sz w:val="22"/>
          <w:szCs w:val="22"/>
          <w:lang w:val="it-IT"/>
        </w:rPr>
        <w:t>normal</w:t>
      </w:r>
      <w:r>
        <w:rPr>
          <w:rFonts w:cs="Arial"/>
          <w:sz w:val="22"/>
          <w:szCs w:val="22"/>
          <w:lang w:val="it-IT"/>
        </w:rPr>
        <w:t>nu</w:t>
      </w:r>
      <w:r w:rsidRPr="00D75CCD">
        <w:rPr>
          <w:rFonts w:cs="Arial"/>
          <w:sz w:val="22"/>
          <w:szCs w:val="22"/>
          <w:lang w:val="it-IT"/>
        </w:rPr>
        <w:t xml:space="preserve"> konzistencij</w:t>
      </w:r>
      <w:r>
        <w:rPr>
          <w:rFonts w:cs="Arial"/>
          <w:sz w:val="22"/>
          <w:szCs w:val="22"/>
          <w:lang w:val="it-IT"/>
        </w:rPr>
        <w:t>u</w:t>
      </w:r>
      <w:r w:rsidRPr="00D75CCD">
        <w:rPr>
          <w:rFonts w:cs="Arial"/>
          <w:sz w:val="22"/>
          <w:szCs w:val="22"/>
          <w:lang w:val="it-IT"/>
        </w:rPr>
        <w:t xml:space="preserve"> fecesa. </w:t>
      </w:r>
      <w:r>
        <w:rPr>
          <w:rFonts w:cs="Arial"/>
          <w:sz w:val="22"/>
          <w:szCs w:val="22"/>
          <w:lang w:val="it-IT"/>
        </w:rPr>
        <w:t>Kon</w:t>
      </w:r>
      <w:r w:rsidRPr="00D75CCD">
        <w:rPr>
          <w:rFonts w:cs="Arial"/>
          <w:sz w:val="22"/>
          <w:szCs w:val="22"/>
          <w:lang w:val="it-IT"/>
        </w:rPr>
        <w:t>stipacija se ublažava i obnavlja se fiziološk</w:t>
      </w:r>
      <w:r>
        <w:rPr>
          <w:rFonts w:cs="Arial"/>
          <w:sz w:val="22"/>
          <w:szCs w:val="22"/>
          <w:lang w:val="it-IT"/>
        </w:rPr>
        <w:t>i ritam</w:t>
      </w:r>
      <w:r w:rsidRPr="00D75CCD">
        <w:rPr>
          <w:rFonts w:cs="Arial"/>
          <w:sz w:val="22"/>
          <w:szCs w:val="22"/>
          <w:lang w:val="it-IT"/>
        </w:rPr>
        <w:t xml:space="preserve"> pra</w:t>
      </w:r>
      <w:r w:rsidRPr="00D75CCD">
        <w:rPr>
          <w:rFonts w:cs="Arial"/>
          <w:sz w:val="22"/>
          <w:szCs w:val="22"/>
          <w:lang w:val="sr-Latn-CS"/>
        </w:rPr>
        <w:t>ž</w:t>
      </w:r>
      <w:r w:rsidRPr="00D75CCD">
        <w:rPr>
          <w:rFonts w:cs="Arial"/>
          <w:sz w:val="22"/>
          <w:szCs w:val="22"/>
          <w:lang w:val="it-IT"/>
        </w:rPr>
        <w:t>njenj</w:t>
      </w:r>
      <w:r>
        <w:rPr>
          <w:rFonts w:cs="Arial"/>
          <w:sz w:val="22"/>
          <w:szCs w:val="22"/>
          <w:lang w:val="it-IT"/>
        </w:rPr>
        <w:t>a.</w:t>
      </w:r>
    </w:p>
    <w:p w:rsidR="00B91CE9" w:rsidRPr="00D75CCD" w:rsidRDefault="00B91CE9" w:rsidP="008E19D1">
      <w:pPr>
        <w:pStyle w:val="Header"/>
        <w:tabs>
          <w:tab w:val="left" w:pos="284"/>
        </w:tabs>
        <w:jc w:val="both"/>
        <w:rPr>
          <w:rFonts w:cs="Arial"/>
          <w:sz w:val="22"/>
          <w:szCs w:val="22"/>
          <w:lang w:val="it-IT"/>
        </w:rPr>
      </w:pPr>
    </w:p>
    <w:p w:rsidR="00B91CE9" w:rsidRDefault="00B91CE9" w:rsidP="008E19D1">
      <w:pPr>
        <w:tabs>
          <w:tab w:val="left" w:pos="540"/>
          <w:tab w:val="left" w:pos="569"/>
        </w:tabs>
        <w:jc w:val="both"/>
        <w:rPr>
          <w:rFonts w:cs="Arial"/>
          <w:sz w:val="22"/>
          <w:szCs w:val="22"/>
          <w:lang w:val="it-IT"/>
        </w:rPr>
      </w:pPr>
      <w:r w:rsidRPr="00D75CCD">
        <w:rPr>
          <w:rFonts w:cs="Arial"/>
          <w:sz w:val="22"/>
          <w:szCs w:val="22"/>
          <w:lang w:val="it-IT"/>
        </w:rPr>
        <w:t>Laktuloza kao prebiotik pojačava rast bakterija</w:t>
      </w:r>
      <w:r>
        <w:rPr>
          <w:rFonts w:cs="Arial"/>
          <w:sz w:val="22"/>
          <w:szCs w:val="22"/>
          <w:lang w:val="it-IT"/>
        </w:rPr>
        <w:t xml:space="preserve"> koje doprinose pozitivnom balansu crijevne flore,</w:t>
      </w:r>
      <w:r w:rsidRPr="00D75CCD">
        <w:rPr>
          <w:rFonts w:cs="Arial"/>
          <w:sz w:val="22"/>
          <w:szCs w:val="22"/>
          <w:lang w:val="it-IT"/>
        </w:rPr>
        <w:t xml:space="preserve"> kao što su </w:t>
      </w:r>
      <w:r w:rsidRPr="00D75CCD">
        <w:rPr>
          <w:rFonts w:cs="Arial"/>
          <w:i/>
          <w:sz w:val="22"/>
          <w:szCs w:val="22"/>
          <w:lang w:val="it-IT"/>
        </w:rPr>
        <w:t xml:space="preserve">Bifidobacterium </w:t>
      </w:r>
      <w:r w:rsidRPr="00D75CCD">
        <w:rPr>
          <w:rFonts w:cs="Arial"/>
          <w:sz w:val="22"/>
          <w:szCs w:val="22"/>
          <w:lang w:val="it-IT"/>
        </w:rPr>
        <w:t>i</w:t>
      </w:r>
      <w:r w:rsidRPr="00D75CCD">
        <w:rPr>
          <w:rFonts w:cs="Arial"/>
          <w:i/>
          <w:sz w:val="22"/>
          <w:szCs w:val="22"/>
          <w:lang w:val="it-IT"/>
        </w:rPr>
        <w:t xml:space="preserve"> Lactobacillus</w:t>
      </w:r>
      <w:r w:rsidRPr="00D75CCD">
        <w:rPr>
          <w:rFonts w:cs="Arial"/>
          <w:sz w:val="22"/>
          <w:szCs w:val="22"/>
          <w:lang w:val="it-IT"/>
        </w:rPr>
        <w:t xml:space="preserve">, dok može suprimirati rast potencijalno patogenih bakterija kao što su </w:t>
      </w:r>
      <w:r w:rsidRPr="00D75CCD">
        <w:rPr>
          <w:rFonts w:cs="Arial"/>
          <w:i/>
          <w:sz w:val="22"/>
          <w:szCs w:val="22"/>
          <w:lang w:val="it-IT"/>
        </w:rPr>
        <w:t xml:space="preserve">Clostridium </w:t>
      </w:r>
      <w:r w:rsidRPr="00D75CCD">
        <w:rPr>
          <w:rFonts w:cs="Arial"/>
          <w:sz w:val="22"/>
          <w:szCs w:val="22"/>
          <w:lang w:val="it-IT"/>
        </w:rPr>
        <w:t xml:space="preserve">i </w:t>
      </w:r>
      <w:r w:rsidRPr="00D75CCD">
        <w:rPr>
          <w:rFonts w:cs="Arial"/>
          <w:i/>
          <w:sz w:val="22"/>
          <w:szCs w:val="22"/>
          <w:lang w:val="it-IT"/>
        </w:rPr>
        <w:t xml:space="preserve">Echerichia coli. </w:t>
      </w:r>
      <w:r w:rsidRPr="00D75CCD">
        <w:rPr>
          <w:rFonts w:cs="Arial"/>
          <w:sz w:val="22"/>
          <w:szCs w:val="22"/>
          <w:lang w:val="it-IT"/>
        </w:rPr>
        <w:t>To može da dovede do pozitivnog balansa u cr</w:t>
      </w:r>
      <w:r>
        <w:rPr>
          <w:rFonts w:cs="Arial"/>
          <w:sz w:val="22"/>
          <w:szCs w:val="22"/>
          <w:lang w:val="it-IT"/>
        </w:rPr>
        <w:t>ij</w:t>
      </w:r>
      <w:r w:rsidRPr="00D75CCD">
        <w:rPr>
          <w:rFonts w:cs="Arial"/>
          <w:sz w:val="22"/>
          <w:szCs w:val="22"/>
          <w:lang w:val="it-IT"/>
        </w:rPr>
        <w:t>evnoj flori.</w:t>
      </w:r>
    </w:p>
    <w:p w:rsidR="00B91CE9" w:rsidRPr="00B06A5D" w:rsidRDefault="00B91CE9" w:rsidP="008E19D1">
      <w:pPr>
        <w:tabs>
          <w:tab w:val="left" w:pos="540"/>
          <w:tab w:val="left" w:pos="569"/>
        </w:tabs>
        <w:jc w:val="both"/>
        <w:rPr>
          <w:rFonts w:cs="Arial"/>
          <w:sz w:val="22"/>
          <w:szCs w:val="22"/>
          <w:lang w:val="it-IT"/>
        </w:rPr>
      </w:pPr>
    </w:p>
    <w:p w:rsidR="00B91CE9" w:rsidRPr="00786071" w:rsidRDefault="00B91CE9" w:rsidP="008E19D1">
      <w:pPr>
        <w:tabs>
          <w:tab w:val="left" w:pos="540"/>
          <w:tab w:val="left" w:pos="569"/>
        </w:tabs>
        <w:jc w:val="both"/>
        <w:rPr>
          <w:b/>
          <w:bCs/>
          <w:sz w:val="22"/>
          <w:szCs w:val="22"/>
        </w:rPr>
      </w:pPr>
      <w:r w:rsidRPr="00786071">
        <w:rPr>
          <w:b/>
          <w:bCs/>
          <w:sz w:val="22"/>
          <w:szCs w:val="22"/>
        </w:rPr>
        <w:t xml:space="preserve">5.2. </w:t>
      </w:r>
      <w:r w:rsidRPr="00786071">
        <w:rPr>
          <w:b/>
          <w:bCs/>
          <w:sz w:val="22"/>
          <w:szCs w:val="22"/>
        </w:rPr>
        <w:tab/>
        <w:t xml:space="preserve">Farmakokinetički podaci </w:t>
      </w:r>
    </w:p>
    <w:p w:rsidR="00B91CE9" w:rsidRDefault="00B91CE9" w:rsidP="008E19D1">
      <w:pPr>
        <w:tabs>
          <w:tab w:val="left" w:pos="540"/>
          <w:tab w:val="left" w:pos="569"/>
        </w:tabs>
        <w:jc w:val="both"/>
        <w:rPr>
          <w:rFonts w:cs="Arial"/>
          <w:sz w:val="22"/>
          <w:szCs w:val="22"/>
          <w:lang w:val="sr-Latn-CS"/>
        </w:rPr>
      </w:pPr>
    </w:p>
    <w:p w:rsidR="00B91CE9" w:rsidRDefault="00B91CE9" w:rsidP="008E19D1">
      <w:pPr>
        <w:tabs>
          <w:tab w:val="left" w:pos="540"/>
          <w:tab w:val="left" w:pos="569"/>
        </w:tabs>
        <w:jc w:val="both"/>
        <w:rPr>
          <w:rFonts w:cs="Arial"/>
          <w:sz w:val="22"/>
          <w:szCs w:val="22"/>
          <w:lang w:val="de-DE"/>
        </w:rPr>
      </w:pPr>
      <w:r w:rsidRPr="00F5372E">
        <w:rPr>
          <w:rFonts w:cs="Arial"/>
          <w:sz w:val="22"/>
          <w:szCs w:val="22"/>
          <w:lang w:val="sr-Latn-CS"/>
        </w:rPr>
        <w:t>Laktuloza se veoma slabo resorbuje nakon oralne prim</w:t>
      </w:r>
      <w:r>
        <w:rPr>
          <w:rFonts w:cs="Arial"/>
          <w:sz w:val="22"/>
          <w:szCs w:val="22"/>
          <w:lang w:val="sr-Latn-CS"/>
        </w:rPr>
        <w:t>j</w:t>
      </w:r>
      <w:r w:rsidRPr="00F5372E">
        <w:rPr>
          <w:rFonts w:cs="Arial"/>
          <w:sz w:val="22"/>
          <w:szCs w:val="22"/>
          <w:lang w:val="sr-Latn-CS"/>
        </w:rPr>
        <w:t xml:space="preserve">ene i dolazi do kolona u nepromenjenom obliku. </w:t>
      </w:r>
      <w:r w:rsidRPr="00F5372E">
        <w:rPr>
          <w:rFonts w:cs="Arial"/>
          <w:sz w:val="22"/>
          <w:szCs w:val="22"/>
          <w:lang w:val="de-DE"/>
        </w:rPr>
        <w:t>U kolonu se metaboliše bakterijama cr</w:t>
      </w:r>
      <w:r>
        <w:rPr>
          <w:rFonts w:cs="Arial"/>
          <w:sz w:val="22"/>
          <w:szCs w:val="22"/>
          <w:lang w:val="de-DE"/>
        </w:rPr>
        <w:t>ij</w:t>
      </w:r>
      <w:r w:rsidRPr="00F5372E">
        <w:rPr>
          <w:rFonts w:cs="Arial"/>
          <w:sz w:val="22"/>
          <w:szCs w:val="22"/>
          <w:lang w:val="de-DE"/>
        </w:rPr>
        <w:t>evne flore. Metabolizam je potpun pri dozama od 25-50 g ili 40-75 m</w:t>
      </w:r>
      <w:r w:rsidR="006F1099">
        <w:rPr>
          <w:rFonts w:cs="Arial"/>
          <w:sz w:val="22"/>
          <w:szCs w:val="22"/>
          <w:lang w:val="de-DE"/>
        </w:rPr>
        <w:t>l</w:t>
      </w:r>
      <w:r w:rsidRPr="00F5372E">
        <w:rPr>
          <w:rFonts w:cs="Arial"/>
          <w:sz w:val="22"/>
          <w:szCs w:val="22"/>
          <w:lang w:val="de-DE"/>
        </w:rPr>
        <w:t>. Pri većim dozama d</w:t>
      </w:r>
      <w:r>
        <w:rPr>
          <w:rFonts w:cs="Arial"/>
          <w:sz w:val="22"/>
          <w:szCs w:val="22"/>
          <w:lang w:val="de-DE"/>
        </w:rPr>
        <w:t>i</w:t>
      </w:r>
      <w:r w:rsidRPr="00F5372E">
        <w:rPr>
          <w:rFonts w:cs="Arial"/>
          <w:sz w:val="22"/>
          <w:szCs w:val="22"/>
          <w:lang w:val="de-DE"/>
        </w:rPr>
        <w:t>o l</w:t>
      </w:r>
      <w:r>
        <w:rPr>
          <w:rFonts w:cs="Arial"/>
          <w:sz w:val="22"/>
          <w:szCs w:val="22"/>
          <w:lang w:val="de-DE"/>
        </w:rPr>
        <w:t>ij</w:t>
      </w:r>
      <w:r w:rsidRPr="00F5372E">
        <w:rPr>
          <w:rFonts w:cs="Arial"/>
          <w:sz w:val="22"/>
          <w:szCs w:val="22"/>
          <w:lang w:val="de-DE"/>
        </w:rPr>
        <w:t>eka se može izlučiti neprom</w:t>
      </w:r>
      <w:r>
        <w:rPr>
          <w:rFonts w:cs="Arial"/>
          <w:sz w:val="22"/>
          <w:szCs w:val="22"/>
          <w:lang w:val="de-DE"/>
        </w:rPr>
        <w:t>ij</w:t>
      </w:r>
      <w:r w:rsidRPr="00F5372E">
        <w:rPr>
          <w:rFonts w:cs="Arial"/>
          <w:sz w:val="22"/>
          <w:szCs w:val="22"/>
          <w:lang w:val="de-DE"/>
        </w:rPr>
        <w:t>enjen.</w:t>
      </w:r>
    </w:p>
    <w:p w:rsidR="00B91CE9" w:rsidRPr="00786071" w:rsidRDefault="00B91CE9" w:rsidP="008E19D1">
      <w:pPr>
        <w:tabs>
          <w:tab w:val="left" w:pos="540"/>
          <w:tab w:val="left" w:pos="569"/>
        </w:tabs>
        <w:jc w:val="both"/>
        <w:rPr>
          <w:bCs/>
          <w:sz w:val="22"/>
          <w:szCs w:val="22"/>
        </w:rPr>
      </w:pPr>
    </w:p>
    <w:p w:rsidR="00B91CE9" w:rsidRPr="00786071" w:rsidRDefault="00B91CE9" w:rsidP="008E19D1">
      <w:pPr>
        <w:tabs>
          <w:tab w:val="left" w:pos="540"/>
          <w:tab w:val="left" w:pos="569"/>
        </w:tabs>
        <w:jc w:val="both"/>
        <w:rPr>
          <w:b/>
          <w:bCs/>
          <w:sz w:val="22"/>
          <w:szCs w:val="22"/>
        </w:rPr>
      </w:pPr>
      <w:r w:rsidRPr="00786071">
        <w:rPr>
          <w:b/>
          <w:bCs/>
          <w:sz w:val="22"/>
          <w:szCs w:val="22"/>
        </w:rPr>
        <w:t xml:space="preserve">5.3. </w:t>
      </w:r>
      <w:r w:rsidRPr="00786071">
        <w:rPr>
          <w:b/>
          <w:bCs/>
          <w:sz w:val="22"/>
          <w:szCs w:val="22"/>
        </w:rPr>
        <w:tab/>
        <w:t xml:space="preserve">Pretklinički podaci o bezbjednosti </w:t>
      </w:r>
    </w:p>
    <w:p w:rsidR="00B91CE9" w:rsidRDefault="00B91CE9" w:rsidP="008E19D1">
      <w:pPr>
        <w:tabs>
          <w:tab w:val="left" w:pos="284"/>
          <w:tab w:val="center" w:pos="4536"/>
          <w:tab w:val="right" w:pos="9072"/>
        </w:tabs>
        <w:jc w:val="both"/>
        <w:rPr>
          <w:rFonts w:cs="Arial"/>
          <w:sz w:val="22"/>
          <w:lang w:val="sr-Latn-CS"/>
        </w:rPr>
      </w:pPr>
    </w:p>
    <w:p w:rsidR="00B91CE9" w:rsidRPr="00F5372E" w:rsidRDefault="00B91CE9" w:rsidP="008E19D1">
      <w:pPr>
        <w:tabs>
          <w:tab w:val="left" w:pos="284"/>
          <w:tab w:val="center" w:pos="4536"/>
          <w:tab w:val="right" w:pos="9072"/>
        </w:tabs>
        <w:jc w:val="both"/>
        <w:rPr>
          <w:rFonts w:cs="Arial"/>
          <w:sz w:val="22"/>
          <w:lang w:val="x-none" w:eastAsia="x-none"/>
        </w:rPr>
      </w:pPr>
      <w:r w:rsidRPr="00F5372E">
        <w:rPr>
          <w:rFonts w:cs="Arial"/>
          <w:sz w:val="22"/>
          <w:lang w:val="sr-Latn-CS"/>
        </w:rPr>
        <w:t>U studijama akutne, subhronične i hronične toksičnosti na različitim vrstama životinja, pokazano je da laktuloza ima veoma nisku toksičnost. Opisani efekti su više posl</w:t>
      </w:r>
      <w:r>
        <w:rPr>
          <w:rFonts w:cs="Arial"/>
          <w:sz w:val="22"/>
          <w:lang w:val="sr-Latn-CS"/>
        </w:rPr>
        <w:t>j</w:t>
      </w:r>
      <w:r w:rsidRPr="00F5372E">
        <w:rPr>
          <w:rFonts w:cs="Arial"/>
          <w:sz w:val="22"/>
          <w:lang w:val="sr-Latn-CS"/>
        </w:rPr>
        <w:t xml:space="preserve">edica </w:t>
      </w:r>
      <w:r w:rsidRPr="00F5372E">
        <w:rPr>
          <w:rFonts w:cs="Arial"/>
          <w:sz w:val="22"/>
          <w:lang w:val="x-none" w:eastAsia="x-none"/>
        </w:rPr>
        <w:t>uvećanja zapremine sadržaja gastrointestinalnog trakta nego specifičnog toksičnog dejstva.</w:t>
      </w:r>
    </w:p>
    <w:p w:rsidR="00B91CE9" w:rsidRPr="00F5372E" w:rsidRDefault="00B91CE9" w:rsidP="008E19D1">
      <w:pPr>
        <w:tabs>
          <w:tab w:val="left" w:pos="284"/>
          <w:tab w:val="center" w:pos="4536"/>
          <w:tab w:val="right" w:pos="9072"/>
        </w:tabs>
        <w:jc w:val="both"/>
        <w:rPr>
          <w:rFonts w:cs="Arial"/>
          <w:sz w:val="22"/>
          <w:lang w:val="sr-Latn-CS"/>
        </w:rPr>
      </w:pPr>
    </w:p>
    <w:p w:rsidR="00B91CE9" w:rsidRPr="00F5372E" w:rsidRDefault="00B91CE9" w:rsidP="008E19D1">
      <w:pPr>
        <w:tabs>
          <w:tab w:val="left" w:pos="284"/>
          <w:tab w:val="center" w:pos="4536"/>
          <w:tab w:val="right" w:pos="9072"/>
        </w:tabs>
        <w:jc w:val="both"/>
        <w:rPr>
          <w:rFonts w:cs="Arial"/>
          <w:sz w:val="22"/>
          <w:lang w:val="sr-Latn-CS"/>
        </w:rPr>
      </w:pPr>
      <w:r w:rsidRPr="00F5372E">
        <w:rPr>
          <w:rFonts w:cs="Arial"/>
          <w:sz w:val="22"/>
          <w:lang w:val="sr-Latn-CS"/>
        </w:rPr>
        <w:t>U eksperimentima reproduktivne i teratogene toksičnosti na kunićima, pacovima i miševima ni</w:t>
      </w:r>
      <w:r>
        <w:rPr>
          <w:rFonts w:cs="Arial"/>
          <w:sz w:val="22"/>
          <w:lang w:val="sr-Latn-CS"/>
        </w:rPr>
        <w:t>je</w:t>
      </w:r>
      <w:r w:rsidRPr="00F5372E">
        <w:rPr>
          <w:rFonts w:cs="Arial"/>
          <w:sz w:val="22"/>
          <w:lang w:val="sr-Latn-CS"/>
        </w:rPr>
        <w:t xml:space="preserve">su uočeni neželjeni efekti. </w:t>
      </w:r>
    </w:p>
    <w:p w:rsidR="00B91CE9" w:rsidRPr="00786071" w:rsidRDefault="00B91CE9" w:rsidP="008E19D1">
      <w:pPr>
        <w:tabs>
          <w:tab w:val="left" w:pos="540"/>
          <w:tab w:val="left" w:pos="569"/>
        </w:tabs>
        <w:jc w:val="both"/>
        <w:rPr>
          <w:b/>
          <w:bCs/>
          <w:sz w:val="22"/>
          <w:szCs w:val="22"/>
        </w:rPr>
      </w:pPr>
    </w:p>
    <w:p w:rsidR="00B91CE9" w:rsidRPr="00786071" w:rsidRDefault="00B91CE9" w:rsidP="008E19D1">
      <w:pPr>
        <w:tabs>
          <w:tab w:val="left" w:pos="540"/>
          <w:tab w:val="left" w:pos="569"/>
        </w:tabs>
        <w:jc w:val="both"/>
        <w:rPr>
          <w:b/>
          <w:bCs/>
          <w:sz w:val="22"/>
          <w:szCs w:val="22"/>
        </w:rPr>
      </w:pPr>
      <w:r w:rsidRPr="00786071">
        <w:rPr>
          <w:b/>
          <w:bCs/>
          <w:sz w:val="22"/>
          <w:szCs w:val="22"/>
        </w:rPr>
        <w:t xml:space="preserve">6. </w:t>
      </w:r>
      <w:r w:rsidRPr="00786071">
        <w:rPr>
          <w:b/>
          <w:bCs/>
          <w:sz w:val="22"/>
          <w:szCs w:val="22"/>
        </w:rPr>
        <w:tab/>
        <w:t>FARMACEUTSKI PODACI</w:t>
      </w:r>
    </w:p>
    <w:p w:rsidR="00B91CE9" w:rsidRPr="00786071" w:rsidRDefault="00B91CE9" w:rsidP="008E19D1">
      <w:pPr>
        <w:tabs>
          <w:tab w:val="left" w:pos="540"/>
          <w:tab w:val="left" w:pos="569"/>
        </w:tabs>
        <w:jc w:val="both"/>
        <w:rPr>
          <w:bCs/>
          <w:sz w:val="22"/>
          <w:szCs w:val="22"/>
        </w:rPr>
      </w:pPr>
    </w:p>
    <w:p w:rsidR="00B91CE9" w:rsidRDefault="00B91CE9" w:rsidP="008E19D1">
      <w:pPr>
        <w:tabs>
          <w:tab w:val="left" w:pos="540"/>
          <w:tab w:val="left" w:pos="569"/>
        </w:tabs>
        <w:jc w:val="both"/>
        <w:rPr>
          <w:b/>
          <w:bCs/>
          <w:sz w:val="22"/>
          <w:szCs w:val="22"/>
        </w:rPr>
      </w:pPr>
      <w:r w:rsidRPr="00786071">
        <w:rPr>
          <w:b/>
          <w:bCs/>
          <w:sz w:val="22"/>
          <w:szCs w:val="22"/>
        </w:rPr>
        <w:t xml:space="preserve">6.1. </w:t>
      </w:r>
      <w:r w:rsidRPr="00786071">
        <w:rPr>
          <w:b/>
          <w:bCs/>
          <w:sz w:val="22"/>
          <w:szCs w:val="22"/>
        </w:rPr>
        <w:tab/>
        <w:t>Lista pomoćnih supstanci (ekscipijenasa)</w:t>
      </w:r>
    </w:p>
    <w:p w:rsidR="00B91CE9" w:rsidRPr="00786071" w:rsidRDefault="00B91CE9" w:rsidP="008E19D1">
      <w:pPr>
        <w:tabs>
          <w:tab w:val="left" w:pos="540"/>
          <w:tab w:val="left" w:pos="569"/>
        </w:tabs>
        <w:jc w:val="both"/>
        <w:rPr>
          <w:b/>
          <w:bCs/>
          <w:sz w:val="22"/>
          <w:szCs w:val="22"/>
        </w:rPr>
      </w:pPr>
    </w:p>
    <w:p w:rsidR="00B91CE9" w:rsidRDefault="00B91CE9" w:rsidP="008E19D1">
      <w:pPr>
        <w:tabs>
          <w:tab w:val="left" w:pos="540"/>
          <w:tab w:val="left" w:pos="569"/>
        </w:tabs>
        <w:jc w:val="both"/>
        <w:rPr>
          <w:sz w:val="22"/>
          <w:szCs w:val="22"/>
          <w:lang w:val="it-IT"/>
        </w:rPr>
      </w:pPr>
      <w:r w:rsidRPr="00C166A0">
        <w:rPr>
          <w:sz w:val="22"/>
          <w:szCs w:val="22"/>
          <w:lang w:val="sr-Latn-ME"/>
        </w:rPr>
        <w:t>L</w:t>
      </w:r>
      <w:r>
        <w:rPr>
          <w:sz w:val="22"/>
          <w:szCs w:val="22"/>
          <w:lang w:val="sr-Latn-ME"/>
        </w:rPr>
        <w:t>ij</w:t>
      </w:r>
      <w:r w:rsidRPr="00C166A0">
        <w:rPr>
          <w:sz w:val="22"/>
          <w:szCs w:val="22"/>
          <w:lang w:val="sr-Latn-ME"/>
        </w:rPr>
        <w:t>ek Duphalac</w:t>
      </w:r>
      <w:r w:rsidRPr="00C166A0">
        <w:rPr>
          <w:b/>
          <w:bCs/>
          <w:sz w:val="22"/>
          <w:szCs w:val="22"/>
          <w:vertAlign w:val="superscript"/>
          <w:lang w:val="de-DE"/>
        </w:rPr>
        <w:t xml:space="preserve">® </w:t>
      </w:r>
      <w:r w:rsidRPr="00C166A0">
        <w:rPr>
          <w:sz w:val="22"/>
          <w:szCs w:val="22"/>
          <w:lang w:val="sr-Latn-ME"/>
        </w:rPr>
        <w:t>fruit oralni rastvor sadrži aromu šljive (prirodna aroma</w:t>
      </w:r>
      <w:r w:rsidRPr="00C166A0">
        <w:rPr>
          <w:sz w:val="22"/>
          <w:szCs w:val="22"/>
          <w:lang w:val="sr-Latn-RS"/>
        </w:rPr>
        <w:t xml:space="preserve"> šljive WONF)</w:t>
      </w:r>
      <w:r w:rsidRPr="00C166A0">
        <w:rPr>
          <w:sz w:val="22"/>
          <w:szCs w:val="22"/>
          <w:lang w:val="sr-Latn-ME"/>
        </w:rPr>
        <w:t xml:space="preserve"> i ne sadrži dodatne pomoćne supstance, ali može da sadrži šećere (npr. laktozu, galaktozu, fruktozu) poreklom </w:t>
      </w:r>
      <w:r w:rsidRPr="00C166A0">
        <w:rPr>
          <w:sz w:val="22"/>
          <w:szCs w:val="22"/>
          <w:lang w:val="it-IT"/>
        </w:rPr>
        <w:t>iz sintetskog puta</w:t>
      </w:r>
      <w:r>
        <w:rPr>
          <w:sz w:val="22"/>
          <w:szCs w:val="22"/>
          <w:lang w:val="it-IT"/>
        </w:rPr>
        <w:t>.</w:t>
      </w:r>
    </w:p>
    <w:p w:rsidR="008E19D1" w:rsidRDefault="008E19D1" w:rsidP="008E19D1">
      <w:pPr>
        <w:tabs>
          <w:tab w:val="left" w:pos="540"/>
          <w:tab w:val="left" w:pos="569"/>
        </w:tabs>
        <w:jc w:val="both"/>
        <w:rPr>
          <w:sz w:val="22"/>
          <w:szCs w:val="22"/>
          <w:lang w:val="it-IT"/>
        </w:rPr>
      </w:pPr>
    </w:p>
    <w:p w:rsidR="00B91CE9" w:rsidRPr="00786071" w:rsidRDefault="00B91CE9" w:rsidP="00B91CE9">
      <w:pPr>
        <w:tabs>
          <w:tab w:val="left" w:pos="540"/>
          <w:tab w:val="left" w:pos="569"/>
        </w:tabs>
        <w:rPr>
          <w:bCs/>
          <w:sz w:val="22"/>
          <w:szCs w:val="22"/>
        </w:rPr>
      </w:pPr>
    </w:p>
    <w:p w:rsidR="00B91CE9" w:rsidRDefault="00B91CE9" w:rsidP="00B91CE9">
      <w:pPr>
        <w:tabs>
          <w:tab w:val="left" w:pos="540"/>
          <w:tab w:val="left" w:pos="569"/>
        </w:tabs>
        <w:rPr>
          <w:b/>
          <w:bCs/>
          <w:sz w:val="22"/>
          <w:szCs w:val="22"/>
        </w:rPr>
      </w:pPr>
      <w:r w:rsidRPr="00786071">
        <w:rPr>
          <w:b/>
          <w:bCs/>
          <w:sz w:val="22"/>
          <w:szCs w:val="22"/>
        </w:rPr>
        <w:t xml:space="preserve">6.2. </w:t>
      </w:r>
      <w:r w:rsidRPr="00786071">
        <w:rPr>
          <w:b/>
          <w:bCs/>
          <w:sz w:val="22"/>
          <w:szCs w:val="22"/>
        </w:rPr>
        <w:tab/>
        <w:t>Inkompatibilnosti</w:t>
      </w:r>
    </w:p>
    <w:p w:rsidR="00B91CE9" w:rsidRPr="00786071" w:rsidRDefault="00B91CE9" w:rsidP="00B91CE9">
      <w:pPr>
        <w:tabs>
          <w:tab w:val="left" w:pos="540"/>
          <w:tab w:val="left" w:pos="569"/>
        </w:tabs>
        <w:rPr>
          <w:b/>
          <w:bCs/>
          <w:sz w:val="22"/>
          <w:szCs w:val="22"/>
        </w:rPr>
      </w:pPr>
    </w:p>
    <w:p w:rsidR="008E19D1" w:rsidRPr="008E19D1" w:rsidRDefault="00B91CE9" w:rsidP="008E19D1">
      <w:pPr>
        <w:tabs>
          <w:tab w:val="left" w:pos="540"/>
          <w:tab w:val="left" w:pos="569"/>
        </w:tabs>
        <w:rPr>
          <w:b/>
          <w:bCs/>
          <w:sz w:val="22"/>
          <w:szCs w:val="22"/>
        </w:rPr>
      </w:pPr>
      <w:r>
        <w:rPr>
          <w:rFonts w:cs="Arial"/>
          <w:sz w:val="22"/>
          <w:lang w:val="it-IT"/>
        </w:rPr>
        <w:t>Nijesu poznate inkompatibilnosti sa drugim ljekovima.</w:t>
      </w:r>
    </w:p>
    <w:p w:rsidR="00B91CE9" w:rsidRPr="00C369C2" w:rsidRDefault="00B91CE9" w:rsidP="00B91CE9">
      <w:pPr>
        <w:tabs>
          <w:tab w:val="left" w:pos="284"/>
        </w:tabs>
        <w:jc w:val="both"/>
        <w:rPr>
          <w:sz w:val="22"/>
          <w:szCs w:val="22"/>
          <w:lang w:val="sr-Latn-CS"/>
        </w:rPr>
      </w:pPr>
      <w:r w:rsidRPr="00C369C2">
        <w:rPr>
          <w:sz w:val="22"/>
          <w:szCs w:val="22"/>
          <w:lang w:val="sr-Latn-CS"/>
        </w:rPr>
        <w:t>3 godine.</w:t>
      </w:r>
    </w:p>
    <w:p w:rsidR="00B91CE9" w:rsidRDefault="00B91CE9" w:rsidP="00B91CE9">
      <w:pPr>
        <w:tabs>
          <w:tab w:val="left" w:pos="540"/>
          <w:tab w:val="left" w:pos="569"/>
        </w:tabs>
        <w:rPr>
          <w:sz w:val="22"/>
          <w:szCs w:val="22"/>
          <w:lang w:val="sr-Latn-CS"/>
        </w:rPr>
      </w:pPr>
      <w:r w:rsidRPr="00C369C2">
        <w:rPr>
          <w:sz w:val="22"/>
          <w:szCs w:val="22"/>
          <w:lang w:val="sr-Latn-CS"/>
        </w:rPr>
        <w:t>Rok upotrebe nakon prvog otvaranja boce je 5 m</w:t>
      </w:r>
      <w:r>
        <w:rPr>
          <w:sz w:val="22"/>
          <w:szCs w:val="22"/>
          <w:lang w:val="sr-Latn-CS"/>
        </w:rPr>
        <w:t>j</w:t>
      </w:r>
      <w:r w:rsidRPr="00C369C2">
        <w:rPr>
          <w:sz w:val="22"/>
          <w:szCs w:val="22"/>
          <w:lang w:val="sr-Latn-CS"/>
        </w:rPr>
        <w:t>eseci.</w:t>
      </w:r>
    </w:p>
    <w:p w:rsidR="00B91CE9" w:rsidRPr="00786071" w:rsidRDefault="00B91CE9" w:rsidP="00B91CE9">
      <w:pPr>
        <w:tabs>
          <w:tab w:val="left" w:pos="540"/>
          <w:tab w:val="left" w:pos="569"/>
        </w:tabs>
        <w:rPr>
          <w:bCs/>
          <w:sz w:val="22"/>
          <w:szCs w:val="22"/>
        </w:rPr>
      </w:pPr>
    </w:p>
    <w:p w:rsidR="00B91CE9" w:rsidRDefault="00B91CE9" w:rsidP="00B91CE9">
      <w:pPr>
        <w:tabs>
          <w:tab w:val="left" w:pos="540"/>
          <w:tab w:val="left" w:pos="569"/>
        </w:tabs>
        <w:rPr>
          <w:b/>
          <w:bCs/>
          <w:sz w:val="22"/>
          <w:szCs w:val="22"/>
        </w:rPr>
      </w:pPr>
      <w:r w:rsidRPr="00786071">
        <w:rPr>
          <w:b/>
          <w:bCs/>
          <w:sz w:val="22"/>
          <w:szCs w:val="22"/>
        </w:rPr>
        <w:t xml:space="preserve">6.4. </w:t>
      </w:r>
      <w:r w:rsidRPr="00786071">
        <w:rPr>
          <w:b/>
          <w:bCs/>
          <w:sz w:val="22"/>
          <w:szCs w:val="22"/>
        </w:rPr>
        <w:tab/>
        <w:t>Posebne mjere upozorenja pri čuvanju lijeka</w:t>
      </w:r>
    </w:p>
    <w:p w:rsidR="00B91CE9" w:rsidRPr="00786071" w:rsidRDefault="00B91CE9" w:rsidP="00B91CE9">
      <w:pPr>
        <w:tabs>
          <w:tab w:val="left" w:pos="540"/>
          <w:tab w:val="left" w:pos="569"/>
        </w:tabs>
        <w:rPr>
          <w:b/>
          <w:bCs/>
          <w:sz w:val="22"/>
          <w:szCs w:val="22"/>
        </w:rPr>
      </w:pPr>
    </w:p>
    <w:p w:rsidR="00B91CE9" w:rsidRPr="00786071" w:rsidRDefault="00B91CE9" w:rsidP="00B91CE9">
      <w:pPr>
        <w:tabs>
          <w:tab w:val="left" w:pos="540"/>
          <w:tab w:val="left" w:pos="569"/>
        </w:tabs>
        <w:rPr>
          <w:bCs/>
          <w:sz w:val="22"/>
          <w:szCs w:val="22"/>
        </w:rPr>
      </w:pPr>
      <w:r w:rsidRPr="00C369C2">
        <w:rPr>
          <w:bCs/>
          <w:sz w:val="22"/>
          <w:szCs w:val="22"/>
        </w:rPr>
        <w:t>Bez posebnih temperaturnih uslova čuvanja. Čuvati u originalnom pakovanju.</w:t>
      </w:r>
    </w:p>
    <w:p w:rsidR="00B91CE9" w:rsidRDefault="00B91CE9" w:rsidP="00B91CE9">
      <w:pPr>
        <w:tabs>
          <w:tab w:val="left" w:pos="540"/>
          <w:tab w:val="left" w:pos="569"/>
        </w:tabs>
        <w:rPr>
          <w:b/>
          <w:bCs/>
          <w:sz w:val="22"/>
          <w:szCs w:val="22"/>
        </w:rPr>
      </w:pPr>
    </w:p>
    <w:p w:rsidR="00B91CE9" w:rsidRDefault="00B91CE9" w:rsidP="00B91CE9">
      <w:pPr>
        <w:tabs>
          <w:tab w:val="left" w:pos="540"/>
          <w:tab w:val="left" w:pos="569"/>
        </w:tabs>
        <w:rPr>
          <w:b/>
          <w:bCs/>
          <w:sz w:val="22"/>
          <w:szCs w:val="22"/>
        </w:rPr>
      </w:pPr>
      <w:r w:rsidRPr="00786071">
        <w:rPr>
          <w:b/>
          <w:bCs/>
          <w:sz w:val="22"/>
          <w:szCs w:val="22"/>
        </w:rPr>
        <w:t xml:space="preserve">6.5. </w:t>
      </w:r>
      <w:r w:rsidRPr="00786071">
        <w:rPr>
          <w:b/>
          <w:bCs/>
          <w:sz w:val="22"/>
          <w:szCs w:val="22"/>
        </w:rPr>
        <w:tab/>
        <w:t xml:space="preserve">Vrsta i sadržaj pakovanja </w:t>
      </w:r>
    </w:p>
    <w:p w:rsidR="00B91CE9" w:rsidRPr="00786071" w:rsidRDefault="00B91CE9" w:rsidP="00B91CE9">
      <w:pPr>
        <w:tabs>
          <w:tab w:val="left" w:pos="540"/>
          <w:tab w:val="left" w:pos="569"/>
        </w:tabs>
        <w:rPr>
          <w:b/>
          <w:bCs/>
          <w:sz w:val="22"/>
          <w:szCs w:val="22"/>
        </w:rPr>
      </w:pPr>
    </w:p>
    <w:p w:rsidR="00B91CE9" w:rsidRPr="00C369C2" w:rsidRDefault="00B91CE9" w:rsidP="00B91CE9">
      <w:pPr>
        <w:tabs>
          <w:tab w:val="center" w:pos="4536"/>
          <w:tab w:val="right" w:pos="9072"/>
        </w:tabs>
        <w:jc w:val="both"/>
        <w:rPr>
          <w:rFonts w:cs="Arial"/>
          <w:sz w:val="22"/>
          <w:lang w:val="it-IT"/>
        </w:rPr>
      </w:pPr>
      <w:r w:rsidRPr="00C369C2">
        <w:rPr>
          <w:sz w:val="22"/>
          <w:szCs w:val="22"/>
          <w:lang w:val="sr-Latn-ME"/>
        </w:rPr>
        <w:t xml:space="preserve">Unutrašnje pakovanje je </w:t>
      </w:r>
      <w:r w:rsidRPr="00C369C2">
        <w:rPr>
          <w:rFonts w:cs="Arial"/>
          <w:sz w:val="22"/>
          <w:lang w:val="it-IT"/>
        </w:rPr>
        <w:t>plastična (HDPE) boca sa zatvaračem sa navojem od polipropilena (PP) koja sadrži 200 m</w:t>
      </w:r>
      <w:r w:rsidR="006F1099">
        <w:rPr>
          <w:rFonts w:cs="Arial"/>
          <w:sz w:val="22"/>
          <w:lang w:val="it-IT"/>
        </w:rPr>
        <w:t>l</w:t>
      </w:r>
      <w:r w:rsidRPr="00C369C2">
        <w:rPr>
          <w:rFonts w:cs="Arial"/>
          <w:sz w:val="22"/>
          <w:lang w:val="it-IT"/>
        </w:rPr>
        <w:t xml:space="preserve"> oralnog rastvora; Plastična (PP), graduisana m</w:t>
      </w:r>
      <w:r>
        <w:rPr>
          <w:rFonts w:cs="Arial"/>
          <w:sz w:val="22"/>
          <w:lang w:val="it-IT"/>
        </w:rPr>
        <w:t>j</w:t>
      </w:r>
      <w:r w:rsidRPr="00C369C2">
        <w:rPr>
          <w:rFonts w:cs="Arial"/>
          <w:sz w:val="22"/>
          <w:lang w:val="it-IT"/>
        </w:rPr>
        <w:t>erica (oznake: 2.5 m</w:t>
      </w:r>
      <w:r w:rsidR="006F1099">
        <w:rPr>
          <w:rFonts w:cs="Arial"/>
          <w:sz w:val="22"/>
          <w:lang w:val="it-IT"/>
        </w:rPr>
        <w:t>l</w:t>
      </w:r>
      <w:r w:rsidRPr="00C369C2">
        <w:rPr>
          <w:rFonts w:cs="Arial"/>
          <w:sz w:val="22"/>
          <w:lang w:val="it-IT"/>
        </w:rPr>
        <w:t>, 5 m</w:t>
      </w:r>
      <w:r w:rsidR="006F1099">
        <w:rPr>
          <w:rFonts w:cs="Arial"/>
          <w:sz w:val="22"/>
          <w:lang w:val="it-IT"/>
        </w:rPr>
        <w:t>l</w:t>
      </w:r>
      <w:r w:rsidRPr="00C369C2">
        <w:rPr>
          <w:rFonts w:cs="Arial"/>
          <w:sz w:val="22"/>
          <w:lang w:val="it-IT"/>
        </w:rPr>
        <w:t>, 10 m</w:t>
      </w:r>
      <w:r w:rsidR="006F1099">
        <w:rPr>
          <w:rFonts w:cs="Arial"/>
          <w:sz w:val="22"/>
          <w:lang w:val="it-IT"/>
        </w:rPr>
        <w:t>l</w:t>
      </w:r>
      <w:r w:rsidRPr="00C369C2">
        <w:rPr>
          <w:rFonts w:cs="Arial"/>
          <w:sz w:val="22"/>
          <w:lang w:val="it-IT"/>
        </w:rPr>
        <w:t>, 15 m</w:t>
      </w:r>
      <w:r w:rsidR="006F1099">
        <w:rPr>
          <w:rFonts w:cs="Arial"/>
          <w:sz w:val="22"/>
          <w:lang w:val="it-IT"/>
        </w:rPr>
        <w:t>l</w:t>
      </w:r>
      <w:r w:rsidRPr="00C369C2">
        <w:rPr>
          <w:rFonts w:cs="Arial"/>
          <w:sz w:val="22"/>
          <w:lang w:val="it-IT"/>
        </w:rPr>
        <w:t>, 20 m</w:t>
      </w:r>
      <w:r w:rsidR="006F1099">
        <w:rPr>
          <w:rFonts w:cs="Arial"/>
          <w:sz w:val="22"/>
          <w:lang w:val="it-IT"/>
        </w:rPr>
        <w:t>l</w:t>
      </w:r>
      <w:r w:rsidRPr="00C369C2">
        <w:rPr>
          <w:rFonts w:cs="Arial"/>
          <w:sz w:val="22"/>
          <w:lang w:val="it-IT"/>
        </w:rPr>
        <w:t>, 25 m</w:t>
      </w:r>
      <w:r w:rsidR="006F1099">
        <w:rPr>
          <w:rFonts w:cs="Arial"/>
          <w:sz w:val="22"/>
          <w:lang w:val="it-IT"/>
        </w:rPr>
        <w:t>l</w:t>
      </w:r>
      <w:r w:rsidRPr="00C369C2">
        <w:rPr>
          <w:rFonts w:cs="Arial"/>
          <w:sz w:val="22"/>
          <w:lang w:val="it-IT"/>
        </w:rPr>
        <w:t>, 30 m</w:t>
      </w:r>
      <w:r w:rsidR="006F1099">
        <w:rPr>
          <w:rFonts w:cs="Arial"/>
          <w:sz w:val="22"/>
          <w:lang w:val="it-IT"/>
        </w:rPr>
        <w:t>l</w:t>
      </w:r>
      <w:r w:rsidRPr="00C369C2">
        <w:rPr>
          <w:rFonts w:cs="Arial"/>
          <w:sz w:val="22"/>
          <w:lang w:val="it-IT"/>
        </w:rPr>
        <w:t>) pričvršćena je na bocu.</w:t>
      </w:r>
    </w:p>
    <w:p w:rsidR="00B91CE9" w:rsidRPr="00C369C2" w:rsidRDefault="00B91CE9" w:rsidP="00B91CE9">
      <w:pPr>
        <w:tabs>
          <w:tab w:val="left" w:pos="284"/>
          <w:tab w:val="center" w:pos="4536"/>
          <w:tab w:val="right" w:pos="9072"/>
        </w:tabs>
        <w:jc w:val="both"/>
        <w:rPr>
          <w:rFonts w:cs="Arial"/>
          <w:sz w:val="22"/>
          <w:lang w:val="it-IT"/>
        </w:rPr>
      </w:pPr>
      <w:r w:rsidRPr="00C369C2">
        <w:rPr>
          <w:rFonts w:cs="Arial"/>
          <w:sz w:val="22"/>
          <w:lang w:val="it-IT"/>
        </w:rPr>
        <w:t>Spoljnje pakovanje je kartonska kutija koja sadrži bocu od 200 m</w:t>
      </w:r>
      <w:r w:rsidR="006F1099">
        <w:rPr>
          <w:rFonts w:cs="Arial"/>
          <w:sz w:val="22"/>
          <w:lang w:val="it-IT"/>
        </w:rPr>
        <w:t>l</w:t>
      </w:r>
      <w:r w:rsidRPr="00C369C2">
        <w:rPr>
          <w:rFonts w:cs="Arial"/>
          <w:sz w:val="22"/>
          <w:lang w:val="it-IT"/>
        </w:rPr>
        <w:t xml:space="preserve"> i Uputstvo za l</w:t>
      </w:r>
      <w:r>
        <w:rPr>
          <w:rFonts w:cs="Arial"/>
          <w:sz w:val="22"/>
          <w:lang w:val="it-IT"/>
        </w:rPr>
        <w:t>ij</w:t>
      </w:r>
      <w:r w:rsidRPr="00C369C2">
        <w:rPr>
          <w:rFonts w:cs="Arial"/>
          <w:sz w:val="22"/>
          <w:lang w:val="it-IT"/>
        </w:rPr>
        <w:t>ek.</w:t>
      </w:r>
    </w:p>
    <w:p w:rsidR="00B91CE9" w:rsidRPr="00C369C2" w:rsidRDefault="00B91CE9" w:rsidP="00B91CE9">
      <w:pPr>
        <w:tabs>
          <w:tab w:val="center" w:pos="4536"/>
          <w:tab w:val="right" w:pos="9072"/>
        </w:tabs>
        <w:jc w:val="both"/>
        <w:rPr>
          <w:rFonts w:cs="Arial"/>
          <w:sz w:val="22"/>
          <w:lang w:val="it-IT"/>
        </w:rPr>
      </w:pPr>
    </w:p>
    <w:p w:rsidR="00B91CE9" w:rsidRDefault="00B91CE9" w:rsidP="00B91CE9">
      <w:pPr>
        <w:tabs>
          <w:tab w:val="left" w:pos="540"/>
          <w:tab w:val="left" w:pos="569"/>
        </w:tabs>
        <w:rPr>
          <w:b/>
          <w:bCs/>
          <w:sz w:val="22"/>
          <w:szCs w:val="22"/>
        </w:rPr>
      </w:pPr>
      <w:r w:rsidRPr="00786071">
        <w:rPr>
          <w:b/>
          <w:bCs/>
          <w:sz w:val="22"/>
          <w:szCs w:val="22"/>
        </w:rPr>
        <w:t xml:space="preserve">6.6. </w:t>
      </w:r>
      <w:r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Pr>
          <w:b/>
          <w:bCs/>
          <w:sz w:val="22"/>
          <w:szCs w:val="22"/>
        </w:rPr>
        <w:t xml:space="preserve">(i druga uputsva za rukovanje lijekom) </w:t>
      </w:r>
    </w:p>
    <w:p w:rsidR="00B91CE9" w:rsidRDefault="00B91CE9" w:rsidP="00B91CE9">
      <w:pPr>
        <w:tabs>
          <w:tab w:val="left" w:pos="540"/>
          <w:tab w:val="left" w:pos="569"/>
        </w:tabs>
        <w:rPr>
          <w:b/>
          <w:bCs/>
          <w:sz w:val="22"/>
          <w:szCs w:val="22"/>
        </w:rPr>
      </w:pPr>
    </w:p>
    <w:p w:rsidR="00B91CE9" w:rsidRDefault="00B91CE9" w:rsidP="00B91CE9">
      <w:pPr>
        <w:tabs>
          <w:tab w:val="left" w:pos="540"/>
          <w:tab w:val="left" w:pos="569"/>
        </w:tabs>
        <w:rPr>
          <w:sz w:val="22"/>
          <w:szCs w:val="22"/>
          <w:lang w:val="sr-Latn-CS"/>
        </w:rPr>
      </w:pPr>
      <w:r w:rsidRPr="00C369C2">
        <w:rPr>
          <w:sz w:val="22"/>
          <w:szCs w:val="22"/>
          <w:lang w:val="sr-Latn-CS"/>
        </w:rPr>
        <w:t>Neupotr</w:t>
      </w:r>
      <w:r>
        <w:rPr>
          <w:sz w:val="22"/>
          <w:szCs w:val="22"/>
          <w:lang w:val="sr-Latn-CS"/>
        </w:rPr>
        <w:t>ij</w:t>
      </w:r>
      <w:r w:rsidRPr="00C369C2">
        <w:rPr>
          <w:sz w:val="22"/>
          <w:szCs w:val="22"/>
          <w:lang w:val="sr-Latn-CS"/>
        </w:rPr>
        <w:t>ebljeni l</w:t>
      </w:r>
      <w:r>
        <w:rPr>
          <w:sz w:val="22"/>
          <w:szCs w:val="22"/>
          <w:lang w:val="sr-Latn-CS"/>
        </w:rPr>
        <w:t>ij</w:t>
      </w:r>
      <w:r w:rsidRPr="00C369C2">
        <w:rPr>
          <w:sz w:val="22"/>
          <w:szCs w:val="22"/>
          <w:lang w:val="sr-Latn-CS"/>
        </w:rPr>
        <w:t>ek se uništava u skladu sa važećim propisima.</w:t>
      </w:r>
    </w:p>
    <w:p w:rsidR="00B91CE9" w:rsidRPr="00786071" w:rsidRDefault="00B91CE9" w:rsidP="00B91CE9">
      <w:pPr>
        <w:tabs>
          <w:tab w:val="left" w:pos="540"/>
          <w:tab w:val="left" w:pos="569"/>
        </w:tabs>
        <w:rPr>
          <w:bCs/>
          <w:sz w:val="22"/>
          <w:szCs w:val="22"/>
        </w:rPr>
      </w:pPr>
    </w:p>
    <w:p w:rsidR="00B91CE9" w:rsidRPr="00786071" w:rsidRDefault="00B91CE9" w:rsidP="00B91CE9">
      <w:pPr>
        <w:tabs>
          <w:tab w:val="left" w:pos="540"/>
          <w:tab w:val="left" w:pos="569"/>
        </w:tabs>
        <w:rPr>
          <w:b/>
          <w:bCs/>
          <w:sz w:val="22"/>
          <w:szCs w:val="22"/>
        </w:rPr>
      </w:pPr>
      <w:r w:rsidRPr="00786071">
        <w:rPr>
          <w:b/>
          <w:bCs/>
          <w:sz w:val="22"/>
          <w:szCs w:val="22"/>
        </w:rPr>
        <w:t xml:space="preserve">7. </w:t>
      </w:r>
      <w:r w:rsidRPr="00786071">
        <w:rPr>
          <w:b/>
          <w:bCs/>
          <w:sz w:val="22"/>
          <w:szCs w:val="22"/>
        </w:rPr>
        <w:tab/>
        <w:t xml:space="preserve">NOSILAC DOZVOLE </w:t>
      </w:r>
    </w:p>
    <w:p w:rsidR="00B91CE9" w:rsidRDefault="00B91CE9" w:rsidP="00B91CE9">
      <w:pPr>
        <w:tabs>
          <w:tab w:val="left" w:pos="540"/>
          <w:tab w:val="left" w:pos="569"/>
        </w:tabs>
        <w:rPr>
          <w:bCs/>
          <w:sz w:val="22"/>
          <w:szCs w:val="22"/>
        </w:rPr>
      </w:pPr>
    </w:p>
    <w:p w:rsidR="00B91CE9" w:rsidRDefault="00B91CE9" w:rsidP="00B91CE9">
      <w:pPr>
        <w:tabs>
          <w:tab w:val="left" w:pos="540"/>
          <w:tab w:val="left" w:pos="569"/>
        </w:tabs>
        <w:rPr>
          <w:bCs/>
          <w:sz w:val="22"/>
          <w:szCs w:val="22"/>
        </w:rPr>
      </w:pPr>
      <w:r>
        <w:rPr>
          <w:bCs/>
          <w:sz w:val="22"/>
          <w:szCs w:val="22"/>
        </w:rPr>
        <w:t xml:space="preserve">Glosarij d.o.o. Vojislavljevića 76, </w:t>
      </w:r>
      <w:r w:rsidR="00720547">
        <w:rPr>
          <w:bCs/>
          <w:sz w:val="22"/>
          <w:szCs w:val="22"/>
        </w:rPr>
        <w:t xml:space="preserve">81 000 </w:t>
      </w:r>
      <w:r>
        <w:rPr>
          <w:bCs/>
          <w:sz w:val="22"/>
          <w:szCs w:val="22"/>
        </w:rPr>
        <w:t>Podgorica, Crna Gora</w:t>
      </w:r>
    </w:p>
    <w:p w:rsidR="00B91CE9" w:rsidRPr="00786071" w:rsidRDefault="00B91CE9" w:rsidP="00B91CE9">
      <w:pPr>
        <w:tabs>
          <w:tab w:val="left" w:pos="540"/>
          <w:tab w:val="left" w:pos="569"/>
        </w:tabs>
        <w:rPr>
          <w:bCs/>
          <w:sz w:val="22"/>
          <w:szCs w:val="22"/>
        </w:rPr>
      </w:pPr>
    </w:p>
    <w:p w:rsidR="00B91CE9" w:rsidRDefault="00B91CE9" w:rsidP="00B91CE9">
      <w:pPr>
        <w:tabs>
          <w:tab w:val="left" w:pos="540"/>
          <w:tab w:val="left" w:pos="569"/>
        </w:tabs>
        <w:rPr>
          <w:b/>
          <w:bCs/>
          <w:sz w:val="22"/>
          <w:szCs w:val="22"/>
        </w:rPr>
      </w:pPr>
      <w:r w:rsidRPr="00786071">
        <w:rPr>
          <w:b/>
          <w:bCs/>
          <w:sz w:val="22"/>
          <w:szCs w:val="22"/>
        </w:rPr>
        <w:t xml:space="preserve">8. </w:t>
      </w:r>
      <w:r w:rsidRPr="00786071">
        <w:rPr>
          <w:b/>
          <w:bCs/>
          <w:sz w:val="22"/>
          <w:szCs w:val="22"/>
        </w:rPr>
        <w:tab/>
        <w:t>BROJ DOZVOLE</w:t>
      </w:r>
      <w:r>
        <w:rPr>
          <w:b/>
          <w:bCs/>
          <w:sz w:val="22"/>
          <w:szCs w:val="22"/>
        </w:rPr>
        <w:t xml:space="preserve"> ZA STAVLJANJE LIJEKA U PROMET</w:t>
      </w:r>
    </w:p>
    <w:p w:rsidR="00044DC3" w:rsidRPr="00786071" w:rsidRDefault="00044DC3" w:rsidP="00B91CE9">
      <w:pPr>
        <w:tabs>
          <w:tab w:val="left" w:pos="540"/>
          <w:tab w:val="left" w:pos="569"/>
        </w:tabs>
        <w:rPr>
          <w:b/>
          <w:bCs/>
          <w:sz w:val="22"/>
          <w:szCs w:val="22"/>
        </w:rPr>
      </w:pPr>
    </w:p>
    <w:p w:rsidR="00B91CE9" w:rsidRPr="00786071" w:rsidRDefault="00044DC3" w:rsidP="00B91CE9">
      <w:pPr>
        <w:tabs>
          <w:tab w:val="left" w:pos="540"/>
          <w:tab w:val="left" w:pos="569"/>
        </w:tabs>
        <w:rPr>
          <w:bCs/>
          <w:sz w:val="22"/>
          <w:szCs w:val="22"/>
        </w:rPr>
      </w:pPr>
      <w:r w:rsidRPr="00044DC3">
        <w:rPr>
          <w:bCs/>
          <w:sz w:val="22"/>
          <w:szCs w:val="22"/>
        </w:rPr>
        <w:t>Duphalac® fruit, oralni rastvor, 667g/l, boca, 1x200ml</w:t>
      </w:r>
      <w:r>
        <w:rPr>
          <w:bCs/>
          <w:sz w:val="22"/>
          <w:szCs w:val="22"/>
        </w:rPr>
        <w:t xml:space="preserve">: 2030/19/466-4384 </w:t>
      </w:r>
    </w:p>
    <w:p w:rsidR="00B91CE9" w:rsidRPr="00786071" w:rsidRDefault="00B91CE9" w:rsidP="00B91CE9">
      <w:pPr>
        <w:tabs>
          <w:tab w:val="left" w:pos="540"/>
          <w:tab w:val="left" w:pos="569"/>
        </w:tabs>
        <w:rPr>
          <w:bCs/>
          <w:sz w:val="22"/>
          <w:szCs w:val="22"/>
        </w:rPr>
      </w:pPr>
    </w:p>
    <w:p w:rsidR="00B91CE9" w:rsidRPr="00786071" w:rsidRDefault="00B91CE9" w:rsidP="00B91CE9">
      <w:pPr>
        <w:tabs>
          <w:tab w:val="left" w:pos="540"/>
          <w:tab w:val="left" w:pos="569"/>
        </w:tabs>
        <w:rPr>
          <w:b/>
          <w:bCs/>
          <w:sz w:val="22"/>
          <w:szCs w:val="22"/>
        </w:rPr>
      </w:pPr>
      <w:r w:rsidRPr="00786071">
        <w:rPr>
          <w:b/>
          <w:bCs/>
          <w:sz w:val="22"/>
          <w:szCs w:val="22"/>
        </w:rPr>
        <w:t xml:space="preserve">9. </w:t>
      </w:r>
      <w:r w:rsidRPr="00786071">
        <w:rPr>
          <w:b/>
          <w:bCs/>
          <w:sz w:val="22"/>
          <w:szCs w:val="22"/>
        </w:rPr>
        <w:tab/>
        <w:t xml:space="preserve">DATUM </w:t>
      </w:r>
      <w:r>
        <w:rPr>
          <w:b/>
          <w:bCs/>
          <w:sz w:val="22"/>
          <w:szCs w:val="22"/>
        </w:rPr>
        <w:t xml:space="preserve">PRVE </w:t>
      </w:r>
      <w:r w:rsidRPr="00786071">
        <w:rPr>
          <w:b/>
          <w:bCs/>
          <w:sz w:val="22"/>
          <w:szCs w:val="22"/>
        </w:rPr>
        <w:t>DOZVOLE</w:t>
      </w:r>
      <w:r>
        <w:rPr>
          <w:b/>
          <w:bCs/>
          <w:sz w:val="22"/>
          <w:szCs w:val="22"/>
        </w:rPr>
        <w:t>/OBNOVE DOZVOLE ZA STAVLJANJE LIJEKA U PROMET</w:t>
      </w:r>
    </w:p>
    <w:p w:rsidR="00B91CE9" w:rsidRDefault="00B91CE9" w:rsidP="00B91CE9">
      <w:pPr>
        <w:tabs>
          <w:tab w:val="left" w:pos="540"/>
          <w:tab w:val="left" w:pos="569"/>
        </w:tabs>
        <w:rPr>
          <w:bCs/>
          <w:sz w:val="22"/>
          <w:szCs w:val="22"/>
        </w:rPr>
      </w:pPr>
    </w:p>
    <w:p w:rsidR="00B91CE9" w:rsidRDefault="00044DC3" w:rsidP="00B91CE9">
      <w:pPr>
        <w:tabs>
          <w:tab w:val="left" w:pos="540"/>
          <w:tab w:val="left" w:pos="569"/>
        </w:tabs>
        <w:rPr>
          <w:bCs/>
          <w:sz w:val="22"/>
          <w:szCs w:val="22"/>
        </w:rPr>
      </w:pPr>
      <w:r w:rsidRPr="00044DC3">
        <w:rPr>
          <w:bCs/>
          <w:sz w:val="22"/>
          <w:szCs w:val="22"/>
        </w:rPr>
        <w:t>Duphalac® fruit, oralni rastvor, 667g/l, boca, 1x200ml</w:t>
      </w:r>
      <w:r>
        <w:rPr>
          <w:bCs/>
          <w:sz w:val="22"/>
          <w:szCs w:val="22"/>
        </w:rPr>
        <w:t>: 23.09.2019. godine</w:t>
      </w:r>
    </w:p>
    <w:p w:rsidR="00044DC3" w:rsidRPr="00786071" w:rsidRDefault="00044DC3" w:rsidP="00B91CE9">
      <w:pPr>
        <w:tabs>
          <w:tab w:val="left" w:pos="540"/>
          <w:tab w:val="left" w:pos="569"/>
        </w:tabs>
        <w:rPr>
          <w:bCs/>
          <w:sz w:val="22"/>
          <w:szCs w:val="22"/>
        </w:rPr>
      </w:pPr>
    </w:p>
    <w:p w:rsidR="00B91CE9" w:rsidRPr="00786071" w:rsidRDefault="00B91CE9" w:rsidP="00B91CE9">
      <w:pPr>
        <w:tabs>
          <w:tab w:val="left" w:pos="540"/>
          <w:tab w:val="left" w:pos="569"/>
        </w:tabs>
        <w:ind w:left="540" w:hanging="540"/>
        <w:rPr>
          <w:bCs/>
          <w:sz w:val="22"/>
          <w:szCs w:val="22"/>
        </w:rPr>
      </w:pPr>
      <w:r w:rsidRPr="00786071">
        <w:rPr>
          <w:b/>
          <w:bCs/>
          <w:sz w:val="22"/>
          <w:szCs w:val="22"/>
        </w:rPr>
        <w:t xml:space="preserve">10. </w:t>
      </w:r>
      <w:r w:rsidRPr="00786071">
        <w:rPr>
          <w:b/>
          <w:bCs/>
          <w:sz w:val="22"/>
          <w:szCs w:val="22"/>
        </w:rPr>
        <w:tab/>
        <w:t xml:space="preserve">DATUM REVIZIJE TEKSTA </w:t>
      </w:r>
    </w:p>
    <w:p w:rsidR="00B91CE9" w:rsidRDefault="00B91CE9" w:rsidP="00B91CE9">
      <w:pPr>
        <w:tabs>
          <w:tab w:val="left" w:pos="540"/>
          <w:tab w:val="left" w:pos="569"/>
        </w:tabs>
        <w:rPr>
          <w:bCs/>
          <w:sz w:val="22"/>
          <w:szCs w:val="22"/>
        </w:rPr>
      </w:pPr>
    </w:p>
    <w:p w:rsidR="00B91CE9" w:rsidRPr="00786071" w:rsidRDefault="00044DC3" w:rsidP="00B91CE9">
      <w:pPr>
        <w:rPr>
          <w:sz w:val="22"/>
          <w:szCs w:val="22"/>
          <w:lang w:val="pl-PL"/>
        </w:rPr>
      </w:pPr>
      <w:r>
        <w:rPr>
          <w:sz w:val="22"/>
          <w:szCs w:val="22"/>
          <w:lang w:val="pl-PL"/>
        </w:rPr>
        <w:t>Septembar, 2019. godine</w:t>
      </w:r>
    </w:p>
    <w:p w:rsidR="00DA1FB0" w:rsidRPr="002B336F" w:rsidRDefault="00DA1FB0" w:rsidP="002B336F">
      <w:r w:rsidRPr="002B336F">
        <w:t xml:space="preserve"> </w:t>
      </w:r>
    </w:p>
    <w:p w:rsidR="00B91CE9" w:rsidRPr="002B336F" w:rsidRDefault="00B91CE9"/>
    <w:sectPr w:rsidR="00B91CE9" w:rsidRPr="002B336F"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0082" w:rsidRDefault="00D00082" w:rsidP="00FF2B5A">
      <w:r>
        <w:separator/>
      </w:r>
    </w:p>
  </w:endnote>
  <w:endnote w:type="continuationSeparator" w:id="0">
    <w:p w:rsidR="00D00082" w:rsidRDefault="00D00082" w:rsidP="00FF2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jc w:val="center"/>
      <w:rPr>
        <w:sz w:val="20"/>
        <w:szCs w:val="20"/>
        <w:lang w:val="sr-Latn-ME"/>
      </w:rPr>
    </w:pPr>
  </w:p>
  <w:p w:rsidR="00F1527C" w:rsidRPr="00F1527C" w:rsidRDefault="00F1527C" w:rsidP="00F1527C">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F1527C" w:rsidRPr="00F1527C" w:rsidRDefault="00F1527C" w:rsidP="00F1527C">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F1527C" w:rsidRPr="00F1527C" w:rsidRDefault="00F1527C" w:rsidP="00F1527C">
    <w:pPr>
      <w:tabs>
        <w:tab w:val="center" w:pos="4320"/>
        <w:tab w:val="right" w:pos="8640"/>
      </w:tabs>
      <w:jc w:val="center"/>
      <w:rPr>
        <w:sz w:val="16"/>
        <w:szCs w:val="18"/>
        <w:lang w:val="sr-Latn-ME"/>
      </w:rPr>
    </w:pPr>
  </w:p>
  <w:p w:rsidR="00F1527C" w:rsidRPr="00F1527C" w:rsidRDefault="00F1527C" w:rsidP="00F1527C">
    <w:pPr>
      <w:tabs>
        <w:tab w:val="center" w:pos="4320"/>
        <w:tab w:val="right" w:pos="8640"/>
      </w:tabs>
      <w:rPr>
        <w:sz w:val="20"/>
        <w:szCs w:val="20"/>
        <w:lang w:val="sr-Latn-ME"/>
      </w:rPr>
    </w:pPr>
  </w:p>
  <w:p w:rsidR="009318B4" w:rsidRPr="009318B4" w:rsidRDefault="00F1527C" w:rsidP="00F1527C">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sidR="00E46E9E">
      <w:rPr>
        <w:noProof/>
        <w:sz w:val="20"/>
        <w:szCs w:val="20"/>
        <w:lang w:val="sr-Latn-ME"/>
      </w:rPr>
      <w:t>2</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sidR="00E46E9E">
      <w:rPr>
        <w:noProof/>
        <w:sz w:val="20"/>
        <w:szCs w:val="20"/>
        <w:lang w:val="sr-Latn-ME"/>
      </w:rPr>
      <w:t>6</w:t>
    </w:r>
    <w:r w:rsidRPr="00F1527C">
      <w:rPr>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jc w:val="center"/>
      <w:rPr>
        <w:sz w:val="20"/>
        <w:szCs w:val="20"/>
        <w:lang w:val="sr-Latn-ME"/>
      </w:rPr>
    </w:pPr>
  </w:p>
  <w:p w:rsidR="00B34AF2" w:rsidRPr="00F1527C" w:rsidRDefault="00B34AF2" w:rsidP="00B34AF2">
    <w:pPr>
      <w:tabs>
        <w:tab w:val="center" w:pos="4320"/>
        <w:tab w:val="right" w:pos="8640"/>
      </w:tabs>
      <w:jc w:val="center"/>
      <w:rPr>
        <w:color w:val="E65900"/>
        <w:sz w:val="16"/>
        <w:szCs w:val="18"/>
        <w:lang w:val="sr-Latn-ME"/>
      </w:rPr>
    </w:pPr>
    <w:r w:rsidRPr="00F1527C">
      <w:rPr>
        <w:color w:val="FA0000"/>
        <w:sz w:val="16"/>
        <w:szCs w:val="18"/>
        <w:lang w:val="sr-Latn-ME"/>
      </w:rPr>
      <w:t>Agencija za ljekove i medicinska sredstva Crne Gore,</w:t>
    </w:r>
    <w:r w:rsidRPr="00F1527C">
      <w:rPr>
        <w:sz w:val="16"/>
        <w:szCs w:val="18"/>
        <w:lang w:val="sr-Latn-ME"/>
      </w:rPr>
      <w:t xml:space="preserve"> </w:t>
    </w:r>
    <w:r w:rsidRPr="00F1527C">
      <w:rPr>
        <w:color w:val="E65900"/>
        <w:sz w:val="16"/>
        <w:szCs w:val="18"/>
        <w:lang w:val="sr-Latn-ME"/>
      </w:rPr>
      <w:t>81000 Podgorica, Bul. Ivana Crnojevića 64a</w:t>
    </w:r>
  </w:p>
  <w:p w:rsidR="00B34AF2" w:rsidRPr="00F1527C" w:rsidRDefault="00B34AF2" w:rsidP="00B34AF2">
    <w:pPr>
      <w:tabs>
        <w:tab w:val="center" w:pos="4320"/>
        <w:tab w:val="right" w:pos="8640"/>
      </w:tabs>
      <w:jc w:val="center"/>
      <w:rPr>
        <w:color w:val="FA0000"/>
        <w:sz w:val="16"/>
        <w:szCs w:val="18"/>
        <w:lang w:val="sr-Latn-ME"/>
      </w:rPr>
    </w:pPr>
    <w:r w:rsidRPr="00F1527C">
      <w:rPr>
        <w:color w:val="E65900"/>
        <w:sz w:val="16"/>
        <w:szCs w:val="18"/>
        <w:lang w:val="sr-Latn-ME"/>
      </w:rPr>
      <w:t>tel: +382 (0) 20 310 280</w:t>
    </w:r>
    <w:r>
      <w:rPr>
        <w:color w:val="E65900"/>
        <w:sz w:val="16"/>
        <w:szCs w:val="18"/>
        <w:lang w:val="sr-Latn-ME"/>
      </w:rPr>
      <w:t>,</w:t>
    </w:r>
    <w:r w:rsidRPr="00F1527C">
      <w:rPr>
        <w:color w:val="E65900"/>
        <w:sz w:val="16"/>
        <w:szCs w:val="18"/>
        <w:lang w:val="sr-Latn-ME"/>
      </w:rPr>
      <w:t xml:space="preserve"> </w:t>
    </w:r>
    <w:r w:rsidRPr="00F1527C">
      <w:rPr>
        <w:color w:val="FA0000"/>
        <w:sz w:val="16"/>
        <w:szCs w:val="18"/>
        <w:lang w:val="sr-Latn-ME"/>
      </w:rPr>
      <w:t>fax: +382 (0) 20 310 581,</w:t>
    </w:r>
    <w:r w:rsidRPr="00F1527C">
      <w:rPr>
        <w:sz w:val="16"/>
        <w:szCs w:val="18"/>
        <w:lang w:val="sr-Latn-ME"/>
      </w:rPr>
      <w:t xml:space="preserve"> </w:t>
    </w:r>
    <w:r w:rsidRPr="00F1527C">
      <w:rPr>
        <w:color w:val="E65900"/>
        <w:sz w:val="16"/>
        <w:szCs w:val="18"/>
        <w:lang w:val="sr-Latn-ME"/>
      </w:rPr>
      <w:t>e-mail: info@calims.me,</w:t>
    </w:r>
    <w:r w:rsidRPr="00F1527C">
      <w:rPr>
        <w:sz w:val="16"/>
        <w:szCs w:val="18"/>
        <w:lang w:val="sr-Latn-ME"/>
      </w:rPr>
      <w:t xml:space="preserve"> </w:t>
    </w:r>
    <w:r w:rsidRPr="00F1527C">
      <w:rPr>
        <w:color w:val="FA0000"/>
        <w:sz w:val="16"/>
        <w:szCs w:val="18"/>
        <w:lang w:val="sr-Latn-ME"/>
      </w:rPr>
      <w:t>www.calims.me</w:t>
    </w:r>
    <w:r w:rsidRPr="00F1527C">
      <w:rPr>
        <w:color w:val="FF0000"/>
        <w:sz w:val="16"/>
        <w:szCs w:val="18"/>
        <w:lang w:val="sr-Latn-ME"/>
      </w:rPr>
      <w:t>,</w:t>
    </w:r>
    <w:r w:rsidRPr="00F1527C">
      <w:rPr>
        <w:sz w:val="16"/>
        <w:szCs w:val="18"/>
        <w:lang w:val="sr-Latn-ME"/>
      </w:rPr>
      <w:t xml:space="preserve"> </w:t>
    </w:r>
    <w:r w:rsidRPr="00F1527C">
      <w:rPr>
        <w:color w:val="E65900"/>
        <w:sz w:val="16"/>
        <w:szCs w:val="18"/>
        <w:lang w:val="sr-Latn-ME"/>
      </w:rPr>
      <w:t>PIB: 02739658,</w:t>
    </w:r>
    <w:r w:rsidRPr="00F1527C">
      <w:rPr>
        <w:sz w:val="16"/>
        <w:szCs w:val="18"/>
        <w:lang w:val="sr-Latn-ME"/>
      </w:rPr>
      <w:t xml:space="preserve"> </w:t>
    </w:r>
    <w:r w:rsidRPr="00F1527C">
      <w:rPr>
        <w:color w:val="FA0000"/>
        <w:sz w:val="16"/>
        <w:szCs w:val="18"/>
        <w:lang w:val="sr-Latn-ME"/>
      </w:rPr>
      <w:t>žiro račun: 520-3603-33</w:t>
    </w:r>
  </w:p>
  <w:p w:rsidR="00B34AF2" w:rsidRPr="00F1527C" w:rsidRDefault="00B34AF2" w:rsidP="00B34AF2">
    <w:pPr>
      <w:tabs>
        <w:tab w:val="center" w:pos="4320"/>
        <w:tab w:val="right" w:pos="8640"/>
      </w:tabs>
      <w:jc w:val="center"/>
      <w:rPr>
        <w:sz w:val="16"/>
        <w:szCs w:val="18"/>
        <w:lang w:val="sr-Latn-ME"/>
      </w:rPr>
    </w:pPr>
  </w:p>
  <w:p w:rsidR="00B34AF2" w:rsidRPr="00F1527C" w:rsidRDefault="00B34AF2" w:rsidP="00B34AF2">
    <w:pPr>
      <w:tabs>
        <w:tab w:val="center" w:pos="4320"/>
        <w:tab w:val="right" w:pos="8640"/>
      </w:tabs>
      <w:rPr>
        <w:sz w:val="20"/>
        <w:szCs w:val="20"/>
        <w:lang w:val="sr-Latn-ME"/>
      </w:rPr>
    </w:pPr>
  </w:p>
  <w:p w:rsidR="00B34AF2" w:rsidRPr="009318B4" w:rsidRDefault="00B34AF2" w:rsidP="00B34AF2">
    <w:pPr>
      <w:tabs>
        <w:tab w:val="center" w:pos="4320"/>
        <w:tab w:val="right" w:pos="8640"/>
      </w:tabs>
      <w:jc w:val="center"/>
      <w:rPr>
        <w:lang w:val="sr-Latn-ME"/>
      </w:rPr>
    </w:pPr>
    <w:r w:rsidRPr="00F1527C">
      <w:rPr>
        <w:sz w:val="20"/>
        <w:szCs w:val="20"/>
        <w:lang w:val="sr-Latn-ME"/>
      </w:rPr>
      <w:fldChar w:fldCharType="begin"/>
    </w:r>
    <w:r w:rsidRPr="00F1527C">
      <w:rPr>
        <w:sz w:val="20"/>
        <w:szCs w:val="20"/>
        <w:lang w:val="sr-Latn-ME"/>
      </w:rPr>
      <w:instrText xml:space="preserve"> PAGE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r w:rsidRPr="00F1527C">
      <w:rPr>
        <w:sz w:val="20"/>
        <w:szCs w:val="20"/>
        <w:lang w:val="sr-Latn-ME"/>
      </w:rPr>
      <w:t xml:space="preserve"> / </w:t>
    </w:r>
    <w:r w:rsidRPr="00F1527C">
      <w:rPr>
        <w:sz w:val="20"/>
        <w:szCs w:val="20"/>
        <w:lang w:val="sr-Latn-ME"/>
      </w:rPr>
      <w:fldChar w:fldCharType="begin"/>
    </w:r>
    <w:r w:rsidRPr="00F1527C">
      <w:rPr>
        <w:sz w:val="20"/>
        <w:szCs w:val="20"/>
        <w:lang w:val="sr-Latn-ME"/>
      </w:rPr>
      <w:instrText xml:space="preserve"> NUMPAGES </w:instrText>
    </w:r>
    <w:r w:rsidRPr="00F1527C">
      <w:rPr>
        <w:sz w:val="20"/>
        <w:szCs w:val="20"/>
        <w:lang w:val="sr-Latn-ME"/>
      </w:rPr>
      <w:fldChar w:fldCharType="separate"/>
    </w:r>
    <w:r>
      <w:rPr>
        <w:noProof/>
        <w:sz w:val="20"/>
        <w:szCs w:val="20"/>
        <w:lang w:val="sr-Latn-ME"/>
      </w:rPr>
      <w:t>1</w:t>
    </w:r>
    <w:r w:rsidRPr="00F1527C">
      <w:rPr>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0082" w:rsidRDefault="00D00082" w:rsidP="00FF2B5A">
      <w:r>
        <w:separator/>
      </w:r>
    </w:p>
  </w:footnote>
  <w:footnote w:type="continuationSeparator" w:id="0">
    <w:p w:rsidR="00D00082" w:rsidRDefault="00D00082" w:rsidP="00FF2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44A"/>
    <w:multiLevelType w:val="hybridMultilevel"/>
    <w:tmpl w:val="7B3625E4"/>
    <w:lvl w:ilvl="0" w:tplc="AE7C5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27EEE"/>
    <w:rsid w:val="00044DC3"/>
    <w:rsid w:val="000729F9"/>
    <w:rsid w:val="00116FE6"/>
    <w:rsid w:val="001766BB"/>
    <w:rsid w:val="002B336F"/>
    <w:rsid w:val="0031146A"/>
    <w:rsid w:val="00461135"/>
    <w:rsid w:val="006F1099"/>
    <w:rsid w:val="00720547"/>
    <w:rsid w:val="00747C4B"/>
    <w:rsid w:val="007E0449"/>
    <w:rsid w:val="00805838"/>
    <w:rsid w:val="00883AF2"/>
    <w:rsid w:val="008844F7"/>
    <w:rsid w:val="008E19D1"/>
    <w:rsid w:val="009318B4"/>
    <w:rsid w:val="00934541"/>
    <w:rsid w:val="00A06058"/>
    <w:rsid w:val="00AF30B1"/>
    <w:rsid w:val="00B234CE"/>
    <w:rsid w:val="00B34AF2"/>
    <w:rsid w:val="00B4479F"/>
    <w:rsid w:val="00B91CE9"/>
    <w:rsid w:val="00C4240B"/>
    <w:rsid w:val="00C606D3"/>
    <w:rsid w:val="00D00082"/>
    <w:rsid w:val="00D45AFE"/>
    <w:rsid w:val="00DA1FB0"/>
    <w:rsid w:val="00E0627A"/>
    <w:rsid w:val="00E46E9E"/>
    <w:rsid w:val="00EB2138"/>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C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1CE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91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C8DEB-9D07-40F0-908C-AE4B4135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1444</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Jovana Tomic</cp:lastModifiedBy>
  <cp:revision>9</cp:revision>
  <dcterms:created xsi:type="dcterms:W3CDTF">2019-09-20T06:50:00Z</dcterms:created>
  <dcterms:modified xsi:type="dcterms:W3CDTF">2019-09-23T07:57:00Z</dcterms:modified>
</cp:coreProperties>
</file>