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BBD" w:rsidRPr="00E07BBD" w:rsidRDefault="00E07BBD" w:rsidP="00C42D32">
      <w:pPr>
        <w:spacing w:after="0" w:line="240" w:lineRule="auto"/>
        <w:jc w:val="center"/>
        <w:rPr>
          <w:rFonts w:ascii="Times New Roman" w:eastAsia="Times New Roman" w:hAnsi="Times New Roman" w:cs="Times New Roman"/>
          <w:b/>
          <w:bCs/>
          <w:iCs/>
          <w:u w:val="single"/>
          <w:lang w:val="sr-Latn-ME"/>
        </w:rPr>
      </w:pPr>
      <w:r w:rsidRPr="00E07BBD">
        <w:rPr>
          <w:rFonts w:ascii="Times New Roman" w:eastAsia="Times New Roman" w:hAnsi="Times New Roman" w:cs="Times New Roman"/>
          <w:b/>
          <w:bCs/>
          <w:iCs/>
          <w:u w:val="single"/>
          <w:lang w:val="sr-Latn-ME"/>
        </w:rPr>
        <w:t>SAŽETAK KARAKTERISTIKA LIJEKA</w:t>
      </w:r>
    </w:p>
    <w:p w:rsidR="00E07BBD" w:rsidRPr="00E07BBD" w:rsidRDefault="00E07BBD" w:rsidP="00C42D32">
      <w:pPr>
        <w:tabs>
          <w:tab w:val="left" w:pos="284"/>
        </w:tabs>
        <w:spacing w:after="0" w:line="240" w:lineRule="auto"/>
        <w:jc w:val="both"/>
        <w:rPr>
          <w:rFonts w:ascii="Times New Roman" w:eastAsia="Times New Roman" w:hAnsi="Times New Roman" w:cs="Times New Roman"/>
          <w:color w:val="FF0000"/>
          <w:lang w:val="sr-Latn-ME"/>
        </w:rPr>
      </w:pPr>
      <w:r w:rsidRPr="00E07BBD">
        <w:rPr>
          <w:rFonts w:ascii="Times New Roman" w:eastAsia="Times New Roman" w:hAnsi="Times New Roman" w:cs="Times New Roman"/>
          <w:color w:val="FF0000"/>
          <w:lang w:val="sr-Latn-ME"/>
        </w:rPr>
        <w:t xml:space="preserve"> </w:t>
      </w:r>
    </w:p>
    <w:p w:rsidR="00C42D32" w:rsidRDefault="00C42D32" w:rsidP="00C42D32">
      <w:pPr>
        <w:tabs>
          <w:tab w:val="left" w:pos="284"/>
        </w:tabs>
        <w:spacing w:after="0" w:line="240" w:lineRule="auto"/>
        <w:jc w:val="both"/>
        <w:rPr>
          <w:rFonts w:ascii="Times New Roman" w:eastAsia="Times New Roman" w:hAnsi="Times New Roman" w:cs="Times New Roman"/>
          <w:b/>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b/>
          <w:lang w:val="sr-Latn-ME"/>
        </w:rPr>
      </w:pPr>
      <w:r w:rsidRPr="00E07BBD">
        <w:rPr>
          <w:rFonts w:ascii="Times New Roman" w:eastAsia="Times New Roman" w:hAnsi="Times New Roman" w:cs="Times New Roman"/>
          <w:b/>
          <w:lang w:val="sr-Latn-ME"/>
        </w:rPr>
        <w:t>1. NAZIV LIJEKA</w:t>
      </w:r>
    </w:p>
    <w:p w:rsidR="00C42D32" w:rsidRDefault="00C42D32" w:rsidP="00C42D32">
      <w:pPr>
        <w:autoSpaceDE w:val="0"/>
        <w:autoSpaceDN w:val="0"/>
        <w:adjustRightInd w:val="0"/>
        <w:spacing w:after="0" w:line="240" w:lineRule="auto"/>
        <w:jc w:val="both"/>
        <w:rPr>
          <w:rFonts w:ascii="Times New Roman" w:eastAsia="Times New 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 New Roman" w:hAnsi="Times New Roman" w:cs="Times New Roman"/>
          <w:lang w:val="sr-Latn-ME"/>
        </w:rPr>
        <w:t xml:space="preserve">Pemetrexed Accord 500 mg </w:t>
      </w:r>
      <w:r w:rsidRPr="00E07BBD">
        <w:rPr>
          <w:rFonts w:ascii="Times New Roman" w:eastAsia="TimesNewRoman" w:hAnsi="Times New Roman" w:cs="Times New Roman"/>
          <w:lang w:val="sr-Latn-ME"/>
        </w:rPr>
        <w:t>prašak za koncentrat za rastvor za infuziju</w:t>
      </w:r>
    </w:p>
    <w:p w:rsidR="00E07BBD" w:rsidRPr="00E07BBD" w:rsidRDefault="00E07BBD" w:rsidP="00C42D32">
      <w:pPr>
        <w:tabs>
          <w:tab w:val="left" w:pos="284"/>
        </w:tabs>
        <w:spacing w:after="0" w:line="240" w:lineRule="auto"/>
        <w:jc w:val="both"/>
        <w:rPr>
          <w:rFonts w:ascii="Times New Roman" w:eastAsia="Times New Roman" w:hAnsi="Times New Roman" w:cs="Times New Roman"/>
          <w:bCs/>
          <w:lang w:val="sr-Latn-ME"/>
        </w:rPr>
      </w:pPr>
    </w:p>
    <w:p w:rsidR="00E07BBD" w:rsidRDefault="00E07BBD" w:rsidP="00C42D32">
      <w:pPr>
        <w:tabs>
          <w:tab w:val="left" w:pos="284"/>
        </w:tabs>
        <w:spacing w:after="0" w:line="240" w:lineRule="auto"/>
        <w:jc w:val="both"/>
        <w:rPr>
          <w:rFonts w:ascii="Times New Roman" w:eastAsia="TimesNewRoman" w:hAnsi="Times New Roman" w:cs="Times New Roman"/>
          <w:lang w:val="sr-Latn-ME"/>
        </w:rPr>
      </w:pPr>
      <w:r w:rsidRPr="00E07BBD">
        <w:rPr>
          <w:rFonts w:ascii="Times New Roman" w:eastAsia="Times New Roman" w:hAnsi="Times New Roman" w:cs="Times New Roman"/>
          <w:lang w:val="sr-Latn-ME"/>
        </w:rPr>
        <w:t>INN:</w:t>
      </w:r>
      <w:r w:rsidRPr="00E07BBD">
        <w:rPr>
          <w:rFonts w:ascii="Times New Roman" w:eastAsia="TimesNewRoman" w:hAnsi="Times New Roman" w:cs="Times New Roman"/>
          <w:lang w:val="sr-Latn-ME"/>
        </w:rPr>
        <w:t xml:space="preserve"> pemetreksed</w:t>
      </w:r>
    </w:p>
    <w:p w:rsidR="00C42D32" w:rsidRDefault="00C42D32" w:rsidP="00C42D32">
      <w:pPr>
        <w:tabs>
          <w:tab w:val="left" w:pos="284"/>
        </w:tabs>
        <w:spacing w:after="0" w:line="240" w:lineRule="auto"/>
        <w:jc w:val="both"/>
        <w:rPr>
          <w:rFonts w:ascii="Times New Roman" w:eastAsia="TimesNewRoman" w:hAnsi="Times New Roman" w:cs="Times New Roman"/>
          <w:lang w:val="sr-Latn-ME"/>
        </w:rPr>
      </w:pPr>
    </w:p>
    <w:p w:rsidR="00C42D32" w:rsidRPr="00E07BBD" w:rsidRDefault="00C42D32" w:rsidP="00C42D32">
      <w:pPr>
        <w:tabs>
          <w:tab w:val="left" w:pos="284"/>
        </w:tabs>
        <w:spacing w:after="0" w:line="240" w:lineRule="auto"/>
        <w:jc w:val="both"/>
        <w:rPr>
          <w:rFonts w:ascii="Times New Roman" w:eastAsia="Times New Roman" w:hAnsi="Times New Roman" w:cs="Times New Roman"/>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b/>
          <w:lang w:val="sr-Latn-ME"/>
        </w:rPr>
      </w:pPr>
      <w:r w:rsidRPr="00E07BBD">
        <w:rPr>
          <w:rFonts w:ascii="Times New Roman" w:eastAsia="Times New Roman" w:hAnsi="Times New Roman" w:cs="Times New Roman"/>
          <w:b/>
          <w:lang w:val="sr-Latn-ME"/>
        </w:rPr>
        <w:t>2. KVALITATIVNI I KVANTITATIVNI SASTAV</w:t>
      </w:r>
    </w:p>
    <w:p w:rsidR="00C42D32" w:rsidRDefault="00C42D32" w:rsidP="00C42D32">
      <w:pPr>
        <w:tabs>
          <w:tab w:val="left" w:pos="284"/>
        </w:tabs>
        <w:spacing w:after="0" w:line="240" w:lineRule="auto"/>
        <w:jc w:val="both"/>
        <w:rPr>
          <w:rFonts w:ascii="Times New Roman" w:eastAsia="TimesNewRoman" w:hAnsi="Times New Roman" w:cs="Times New Roman"/>
          <w:lang w:val="sr-Latn-ME"/>
        </w:rPr>
      </w:pPr>
    </w:p>
    <w:p w:rsidR="00E07BBD" w:rsidRPr="00E07BBD" w:rsidRDefault="00E07BBD" w:rsidP="00C42D32">
      <w:pPr>
        <w:tabs>
          <w:tab w:val="left" w:pos="284"/>
        </w:tabs>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Jedna bočica sadrži 500 mg pemetrekseda (u obliku pemetreksed dinatrijum hemipentahidrata).</w:t>
      </w:r>
    </w:p>
    <w:p w:rsidR="00E07BBD" w:rsidRPr="00E07BBD" w:rsidRDefault="00E07BBD" w:rsidP="00C42D32">
      <w:pPr>
        <w:tabs>
          <w:tab w:val="left" w:pos="284"/>
        </w:tabs>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Pomoćne supstance sa potvrđenim dejstvom:</w:t>
      </w:r>
    </w:p>
    <w:p w:rsidR="00E07BBD" w:rsidRPr="00E07BBD" w:rsidRDefault="00E07BBD" w:rsidP="00C42D32">
      <w:pPr>
        <w:tabs>
          <w:tab w:val="left" w:pos="284"/>
        </w:tabs>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Jedna bočica sadrži približno 54 mg natrijuma.</w:t>
      </w:r>
    </w:p>
    <w:p w:rsidR="00E07BBD" w:rsidRPr="00E07BBD" w:rsidRDefault="00E07BBD" w:rsidP="00C42D32">
      <w:pPr>
        <w:tabs>
          <w:tab w:val="left" w:pos="284"/>
        </w:tabs>
        <w:spacing w:after="0" w:line="240" w:lineRule="auto"/>
        <w:jc w:val="both"/>
        <w:rPr>
          <w:rFonts w:ascii="Times New Roman" w:eastAsia="TimesNewRoman" w:hAnsi="Times New Roman" w:cs="Times New Roman"/>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lang w:val="sr-Latn-ME"/>
        </w:rPr>
      </w:pPr>
      <w:r w:rsidRPr="00E07BBD">
        <w:rPr>
          <w:rFonts w:ascii="Times New Roman" w:eastAsia="Times New Roman" w:hAnsi="Times New Roman" w:cs="Times New Roman"/>
          <w:lang w:val="sr-Latn-ME"/>
        </w:rPr>
        <w:t>Nakon rekonstitucije (vidjeti dio 6.6), jedna bočica sadrži 25 mg/ml pemetrekseda.</w:t>
      </w:r>
    </w:p>
    <w:p w:rsidR="00E07BBD" w:rsidRPr="00E07BBD" w:rsidRDefault="00E07BBD" w:rsidP="00C42D32">
      <w:pPr>
        <w:tabs>
          <w:tab w:val="left" w:pos="284"/>
        </w:tabs>
        <w:spacing w:after="0" w:line="240" w:lineRule="auto"/>
        <w:jc w:val="both"/>
        <w:rPr>
          <w:rFonts w:ascii="Times New Roman" w:eastAsia="TimesNewRoman" w:hAnsi="Times New Roman" w:cs="Times New Roman"/>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lang w:val="sr-Latn-ME"/>
        </w:rPr>
      </w:pPr>
      <w:r w:rsidRPr="00E07BBD">
        <w:rPr>
          <w:rFonts w:ascii="Times New Roman" w:eastAsia="TimesNewRoman" w:hAnsi="Times New Roman" w:cs="Times New Roman"/>
          <w:lang w:val="sr-Latn-ME"/>
        </w:rPr>
        <w:t>Za spisak svih ekscipijenasa, pogledati dio 6.1.</w:t>
      </w:r>
    </w:p>
    <w:p w:rsidR="00C42D32" w:rsidRDefault="00C42D32" w:rsidP="00C42D32">
      <w:pPr>
        <w:tabs>
          <w:tab w:val="left" w:pos="284"/>
        </w:tabs>
        <w:spacing w:after="0" w:line="240" w:lineRule="auto"/>
        <w:jc w:val="both"/>
        <w:rPr>
          <w:rFonts w:ascii="Times New Roman" w:eastAsia="Times New Roman" w:hAnsi="Times New Roman" w:cs="Times New Roman"/>
          <w:b/>
          <w:lang w:val="sr-Latn-ME"/>
        </w:rPr>
      </w:pPr>
    </w:p>
    <w:p w:rsidR="00C42D32" w:rsidRDefault="00C42D32" w:rsidP="00C42D32">
      <w:pPr>
        <w:tabs>
          <w:tab w:val="left" w:pos="284"/>
        </w:tabs>
        <w:spacing w:after="0" w:line="240" w:lineRule="auto"/>
        <w:jc w:val="both"/>
        <w:rPr>
          <w:rFonts w:ascii="Times New Roman" w:eastAsia="Times New Roman" w:hAnsi="Times New Roman" w:cs="Times New Roman"/>
          <w:b/>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b/>
          <w:lang w:val="sr-Latn-ME"/>
        </w:rPr>
      </w:pPr>
      <w:r w:rsidRPr="00E07BBD">
        <w:rPr>
          <w:rFonts w:ascii="Times New Roman" w:eastAsia="Times New Roman" w:hAnsi="Times New Roman" w:cs="Times New Roman"/>
          <w:b/>
          <w:lang w:val="sr-Latn-ME"/>
        </w:rPr>
        <w:t>3. FARMACEUTSKI OBLIK</w:t>
      </w:r>
    </w:p>
    <w:p w:rsidR="00C42D32" w:rsidRDefault="00C42D32"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Prašak za koncentrat za rastvor za infuziju.</w:t>
      </w:r>
    </w:p>
    <w:p w:rsidR="00E07BBD" w:rsidRPr="00E07BBD" w:rsidRDefault="00E07BBD" w:rsidP="00C42D32">
      <w:pPr>
        <w:tabs>
          <w:tab w:val="left" w:pos="284"/>
        </w:tabs>
        <w:spacing w:before="200" w:after="0" w:line="240" w:lineRule="auto"/>
        <w:jc w:val="both"/>
        <w:rPr>
          <w:rFonts w:ascii="Times New Roman" w:eastAsia="Times New Roman" w:hAnsi="Times New Roman" w:cs="Times New Roman"/>
          <w:lang w:val="sr-Latn-ME"/>
        </w:rPr>
      </w:pPr>
      <w:r w:rsidRPr="00E07BBD">
        <w:rPr>
          <w:rFonts w:ascii="Times New Roman" w:eastAsia="TimesNewRoman" w:hAnsi="Times New Roman" w:cs="Times New Roman"/>
          <w:lang w:val="sr-Latn-ME"/>
        </w:rPr>
        <w:t xml:space="preserve">Bijele do svijetložute boje ili zelenkasto žuti liofilizovani prašak. </w:t>
      </w:r>
    </w:p>
    <w:p w:rsidR="00C42D32" w:rsidRDefault="00C42D32" w:rsidP="00C42D32">
      <w:pPr>
        <w:tabs>
          <w:tab w:val="left" w:pos="284"/>
        </w:tabs>
        <w:spacing w:after="0" w:line="240" w:lineRule="auto"/>
        <w:jc w:val="both"/>
        <w:rPr>
          <w:rFonts w:ascii="Times New Roman" w:eastAsia="Times New Roman" w:hAnsi="Times New Roman" w:cs="Times New Roman"/>
          <w:b/>
          <w:lang w:val="sr-Latn-ME"/>
        </w:rPr>
      </w:pPr>
    </w:p>
    <w:p w:rsidR="00C42D32" w:rsidRDefault="00C42D32" w:rsidP="00C42D32">
      <w:pPr>
        <w:tabs>
          <w:tab w:val="left" w:pos="284"/>
        </w:tabs>
        <w:spacing w:after="0" w:line="240" w:lineRule="auto"/>
        <w:jc w:val="both"/>
        <w:rPr>
          <w:rFonts w:ascii="Times New Roman" w:eastAsia="Times New Roman" w:hAnsi="Times New Roman" w:cs="Times New Roman"/>
          <w:b/>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b/>
          <w:lang w:val="sr-Latn-ME"/>
        </w:rPr>
      </w:pPr>
      <w:r w:rsidRPr="00E07BBD">
        <w:rPr>
          <w:rFonts w:ascii="Times New Roman" w:eastAsia="Times New Roman" w:hAnsi="Times New Roman" w:cs="Times New Roman"/>
          <w:b/>
          <w:lang w:val="sr-Latn-ME"/>
        </w:rPr>
        <w:t>4. KLINIČKI PODACI</w:t>
      </w:r>
    </w:p>
    <w:p w:rsidR="00C42D32" w:rsidRDefault="00C42D32" w:rsidP="00C42D32">
      <w:pPr>
        <w:tabs>
          <w:tab w:val="left" w:pos="284"/>
        </w:tabs>
        <w:spacing w:after="0" w:line="240" w:lineRule="auto"/>
        <w:jc w:val="both"/>
        <w:rPr>
          <w:rFonts w:ascii="Times New Roman" w:eastAsia="Times New Roman" w:hAnsi="Times New Roman" w:cs="Times New Roman"/>
          <w:b/>
          <w:bCs/>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b/>
          <w:bCs/>
          <w:lang w:val="sr-Latn-ME"/>
        </w:rPr>
      </w:pPr>
      <w:r w:rsidRPr="00E07BBD">
        <w:rPr>
          <w:rFonts w:ascii="Times New Roman" w:eastAsia="Times New Roman" w:hAnsi="Times New Roman" w:cs="Times New Roman"/>
          <w:b/>
          <w:bCs/>
          <w:lang w:val="sr-Latn-ME"/>
        </w:rPr>
        <w:t>4.1. Terapijske indikacije</w:t>
      </w:r>
    </w:p>
    <w:p w:rsidR="00E07BBD" w:rsidRPr="00E07BBD" w:rsidRDefault="00E07BBD" w:rsidP="00C42D32">
      <w:pPr>
        <w:tabs>
          <w:tab w:val="left" w:pos="284"/>
        </w:tabs>
        <w:spacing w:after="0" w:line="240" w:lineRule="auto"/>
        <w:jc w:val="both"/>
        <w:rPr>
          <w:rFonts w:ascii="Times New Roman" w:eastAsia="Times New Roman" w:hAnsi="Times New Roman" w:cs="Times New Roman"/>
          <w:b/>
          <w:b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Maligni mezoteliom pleure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Lijek </w:t>
      </w: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je u kombinaciji sa cisplatinom indikovan za liječenje pacijenata sa inoperabilnim malignim mezoteliomom pleure, koji prethodno nisu primali hemoterapiju.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Nemikrocelularni karcinom pluća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 New Roman" w:hAnsi="Times New Roman" w:cs="Times New Roman"/>
          <w:lang w:val="sr-Latn-ME"/>
        </w:rPr>
        <w:t xml:space="preserve">Lijek Pemetrexed Accord je u kombinaciji sa cisplatinom indikovan u prvoj liniji liječenja pacijenata sa lokalno uznapredovalim ili metastatskim </w:t>
      </w:r>
      <w:r w:rsidRPr="00E07BBD">
        <w:rPr>
          <w:rFonts w:ascii="Times New Roman" w:eastAsia="TimesNewRoman" w:hAnsi="Times New Roman" w:cs="Times New Roman"/>
          <w:lang w:val="sr-Latn-ME"/>
        </w:rPr>
        <w:t xml:space="preserve">nemikrocelularnim karcinomom pluća </w:t>
      </w:r>
      <w:r w:rsidRPr="00E07BBD">
        <w:rPr>
          <w:rFonts w:ascii="Times New Roman" w:eastAsia="Times New Roman" w:hAnsi="Times New Roman" w:cs="Times New Roman"/>
          <w:lang w:val="sr-Latn-ME"/>
        </w:rPr>
        <w:t>kod kojeg histološki ne prevladavaju skvamozne ćelije (vidjeti dio 5.1).</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lang w:val="sr-Latn-ME"/>
        </w:rPr>
      </w:pPr>
      <w:r w:rsidRPr="00E07BBD">
        <w:rPr>
          <w:rFonts w:ascii="Times New Roman" w:eastAsia="TimesNewRoman" w:hAnsi="Times New Roman" w:cs="Times New Roman"/>
          <w:lang w:val="sr-Latn-ME"/>
        </w:rPr>
        <w:t xml:space="preserve">Lijek </w:t>
      </w:r>
      <w:r w:rsidRPr="00E07BBD">
        <w:rPr>
          <w:rFonts w:ascii="Times New Roman" w:eastAsia="Times New Roman" w:hAnsi="Times New Roman" w:cs="Times New Roman"/>
          <w:lang w:val="sr-Latn-ME"/>
        </w:rPr>
        <w:t xml:space="preserve">Pemetrexed Accord je indikovan kao monoterapija u terapiji održavanja lokalno uznapredovalog ili metastatskog </w:t>
      </w:r>
      <w:r w:rsidRPr="00E07BBD">
        <w:rPr>
          <w:rFonts w:ascii="Times New Roman" w:eastAsia="TimesNewRoman" w:hAnsi="Times New Roman" w:cs="Times New Roman"/>
          <w:lang w:val="sr-Latn-ME"/>
        </w:rPr>
        <w:t xml:space="preserve">nemikrocelularnog karcinoma pluća </w:t>
      </w:r>
      <w:r w:rsidRPr="00E07BBD">
        <w:rPr>
          <w:rFonts w:ascii="Times New Roman" w:eastAsia="Times New Roman" w:hAnsi="Times New Roman" w:cs="Times New Roman"/>
          <w:lang w:val="sr-Latn-ME"/>
        </w:rPr>
        <w:t>kod kojeg histološki ne prevladavaju skvamozne ćelije kod pacijenata kod kojih bolest nije napredovala neposredno nakon hemoterapije na bazi platine.</w:t>
      </w: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u w:val="single"/>
          <w:lang w:val="sr-Latn-ME"/>
        </w:rPr>
      </w:pP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lang w:val="sr-Latn-ME"/>
        </w:rPr>
      </w:pPr>
      <w:r w:rsidRPr="00E07BBD">
        <w:rPr>
          <w:rFonts w:ascii="Times New Roman" w:eastAsia="TimesNewRoman" w:hAnsi="Times New Roman" w:cs="Times New Roman"/>
          <w:lang w:val="sr-Latn-ME"/>
        </w:rPr>
        <w:lastRenderedPageBreak/>
        <w:t xml:space="preserve">Lijek </w:t>
      </w: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je indikovan kao monoterapija u drugoj liniji liječenja pacijenata sa lokalno uznapredovalim ili metastatskim nemikrocelularnim karcinomom pluća kod kojeg histološki ne prevladavaju skvamozne ćelije (vidjeti dio 5.1).</w:t>
      </w:r>
    </w:p>
    <w:p w:rsidR="00E07BBD" w:rsidRPr="00E07BBD" w:rsidRDefault="00E07BBD" w:rsidP="00C42D32">
      <w:pPr>
        <w:tabs>
          <w:tab w:val="left" w:pos="284"/>
        </w:tabs>
        <w:spacing w:after="0" w:line="240" w:lineRule="auto"/>
        <w:jc w:val="both"/>
        <w:rPr>
          <w:rFonts w:ascii="Times New Roman" w:eastAsia="Times New Roman" w:hAnsi="Times New Roman" w:cs="Times New Roman"/>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b/>
          <w:bCs/>
          <w:lang w:val="sr-Latn-ME"/>
        </w:rPr>
      </w:pPr>
      <w:r w:rsidRPr="00E07BBD">
        <w:rPr>
          <w:rFonts w:ascii="Times New Roman" w:eastAsia="Times New Roman" w:hAnsi="Times New Roman" w:cs="Times New Roman"/>
          <w:b/>
          <w:bCs/>
          <w:lang w:val="sr-Latn-ME"/>
        </w:rPr>
        <w:t>4.2. Doziranje i način primjene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Primjena lijeka </w:t>
      </w: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mora da se odvija samo pod nadzorom ljekara koji je obučen za primjenu antitumorske hemoterapije.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u w:val="single"/>
          <w:lang w:val="sr-Latn-ME"/>
        </w:rPr>
        <w:t>Doziranje</w:t>
      </w:r>
      <w:r w:rsidRPr="00E07BBD">
        <w:rPr>
          <w:rFonts w:ascii="Times New Roman" w:eastAsia="TimesNewRoman" w:hAnsi="Times New Roman" w:cs="Times New Roman"/>
          <w:lang w:val="sr-Latn-ME"/>
        </w:rPr>
        <w:t xml:space="preserve">: </w:t>
      </w:r>
    </w:p>
    <w:p w:rsidR="00E07BBD" w:rsidRPr="00E07BBD" w:rsidRDefault="00E07BBD" w:rsidP="00C42D32">
      <w:pPr>
        <w:tabs>
          <w:tab w:val="left" w:pos="284"/>
        </w:tabs>
        <w:spacing w:after="0" w:line="240" w:lineRule="auto"/>
        <w:jc w:val="both"/>
        <w:rPr>
          <w:rFonts w:ascii="Times New Roman" w:eastAsia="TimesNewRoman" w:hAnsi="Times New Roman" w:cs="Times New Roman"/>
          <w:i/>
          <w:lang w:val="sr-Latn-ME"/>
        </w:rPr>
      </w:pPr>
      <w:r w:rsidRPr="00E07BBD">
        <w:rPr>
          <w:rFonts w:ascii="Times New Roman" w:eastAsia="Times New Roman" w:hAnsi="Times New Roman" w:cs="Times New Roman"/>
          <w:i/>
          <w:lang w:val="sr-Latn-ME"/>
        </w:rPr>
        <w:t xml:space="preserve">Lijek Pemetrexed Accord </w:t>
      </w:r>
      <w:r w:rsidRPr="00E07BBD">
        <w:rPr>
          <w:rFonts w:ascii="Times New Roman" w:eastAsia="TimesNewRoman" w:hAnsi="Times New Roman" w:cs="Times New Roman"/>
          <w:i/>
          <w:lang w:val="sr-Latn-ME"/>
        </w:rPr>
        <w:t>u kombinaciji sa cisplatinom</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Preporučena doza lijeka </w:t>
      </w:r>
      <w:r w:rsidRPr="00E07BBD">
        <w:rPr>
          <w:rFonts w:ascii="Times New Roman" w:eastAsia="Times New Roman" w:hAnsi="Times New Roman" w:cs="Times New Roman"/>
          <w:lang w:val="sr-Latn-ME"/>
        </w:rPr>
        <w:t xml:space="preserve">Pemetrexed Accord </w:t>
      </w:r>
      <w:r w:rsidRPr="00E07BBD">
        <w:rPr>
          <w:rFonts w:ascii="Times New Roman" w:eastAsia="TimesNewRoman" w:hAnsi="Times New Roman" w:cs="Times New Roman"/>
          <w:lang w:val="sr-Latn-ME"/>
        </w:rPr>
        <w:t>je 500 mg/m</w:t>
      </w:r>
      <w:r w:rsidRPr="00E07BBD">
        <w:rPr>
          <w:rFonts w:ascii="Times New Roman" w:eastAsia="TimesNewRoman" w:hAnsi="Times New Roman" w:cs="Times New Roman"/>
          <w:vertAlign w:val="superscript"/>
          <w:lang w:val="sr-Latn-ME"/>
        </w:rPr>
        <w:t>2</w:t>
      </w:r>
      <w:r w:rsidRPr="00E07BBD">
        <w:rPr>
          <w:rFonts w:ascii="Times New Roman" w:eastAsia="TimesNewRoman" w:hAnsi="Times New Roman" w:cs="Times New Roman"/>
          <w:lang w:val="sr-Latn-ME"/>
        </w:rPr>
        <w:t xml:space="preserve"> površine tijela, primijenjena u obliku intravenske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infuzije tokom 10 minuta prvog dana svakog 21-dnevnog ciklusa. Preporučena doza cisplatina je 75 mg/m</w:t>
      </w:r>
      <w:r w:rsidRPr="00E07BBD">
        <w:rPr>
          <w:rFonts w:ascii="Times New Roman" w:eastAsia="TimesNewRoman" w:hAnsi="Times New Roman" w:cs="Times New Roman"/>
          <w:vertAlign w:val="superscript"/>
          <w:lang w:val="sr-Latn-ME"/>
        </w:rPr>
        <w:t>2</w:t>
      </w:r>
      <w:r w:rsidRPr="00E07BBD">
        <w:rPr>
          <w:rFonts w:ascii="Times New Roman" w:eastAsia="TimesNewRoman" w:hAnsi="Times New Roman" w:cs="Times New Roman"/>
          <w:lang w:val="sr-Latn-ME"/>
        </w:rPr>
        <w:t xml:space="preserve"> površine tijela, primijenjena infuzijom u trajanju od 2 sata, približno 30 minuta po završetku infuzije pemetrekseda, prvog dana svakog 21-dnevnog ciklusa. </w:t>
      </w:r>
      <w:r w:rsidRPr="00E07BBD">
        <w:rPr>
          <w:rFonts w:ascii="Times New Roman" w:eastAsia="TimesNewRoman" w:hAnsi="Times New Roman" w:cs="Times New Roman"/>
          <w:u w:val="single"/>
          <w:lang w:val="sr-Latn-ME"/>
        </w:rPr>
        <w:t>Pacijentu se mora dati odgovarajuća antiemetička terapija i obezbijediti odgovarajuća hidratacija prije i/ili poslije primjene cisplatina</w:t>
      </w:r>
      <w:r w:rsidRPr="00E07BBD">
        <w:rPr>
          <w:rFonts w:ascii="Times New Roman" w:eastAsia="TimesNewRoman" w:hAnsi="Times New Roman" w:cs="Times New Roman"/>
          <w:lang w:val="sr-Latn-ME"/>
        </w:rPr>
        <w:t xml:space="preserve"> (specifične preporuke i uputstvo za doziranje cisplatina vidjeti u Sažetku karakteristika lijeka za cisplatin).</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lang w:val="sr-Latn-ME"/>
        </w:rPr>
      </w:pPr>
      <w:r w:rsidRPr="00E07BBD">
        <w:rPr>
          <w:rFonts w:ascii="Times New Roman" w:eastAsia="Times New Roman" w:hAnsi="Times New Roman" w:cs="Times New Roman"/>
          <w:i/>
          <w:lang w:val="sr-Latn-ME"/>
        </w:rPr>
        <w:t>Lijek Pemetrexed Accord</w:t>
      </w:r>
      <w:r w:rsidRPr="00E07BBD">
        <w:rPr>
          <w:rFonts w:ascii="Times New Roman" w:eastAsia="TimesNewRoman" w:hAnsi="Times New Roman" w:cs="Times New Roman"/>
          <w:i/>
          <w:lang w:val="sr-Latn-ME"/>
        </w:rPr>
        <w:t xml:space="preserve"> u monoterapiji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Za liječenje pacijenata sa nemikrocelularnim karcinomom pluća nakon prethodno sprovedene hemoterapije, preporučena doza lijeka </w:t>
      </w: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je 500 mg/m</w:t>
      </w:r>
      <w:r w:rsidRPr="00E07BBD">
        <w:rPr>
          <w:rFonts w:ascii="Times New Roman" w:eastAsia="TimesNewRoman" w:hAnsi="Times New Roman" w:cs="Times New Roman"/>
          <w:vertAlign w:val="superscript"/>
          <w:lang w:val="sr-Latn-ME"/>
        </w:rPr>
        <w:t>2</w:t>
      </w:r>
      <w:r w:rsidRPr="00E07BBD">
        <w:rPr>
          <w:rFonts w:ascii="Times New Roman" w:eastAsia="TimesNewRoman" w:hAnsi="Times New Roman" w:cs="Times New Roman"/>
          <w:lang w:val="sr-Latn-ME"/>
        </w:rPr>
        <w:t xml:space="preserve"> tjelesne površine, primijenjena u obliku intravenske infuzije tokom 10 minuta, prvog dana svakog 21-dnevnog terapijskog ciklusa.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lang w:val="sr-Latn-ME"/>
        </w:rPr>
      </w:pPr>
      <w:r w:rsidRPr="00E07BBD">
        <w:rPr>
          <w:rFonts w:ascii="Times New Roman" w:eastAsia="TimesNewRoman" w:hAnsi="Times New Roman" w:cs="Times New Roman"/>
          <w:i/>
          <w:lang w:val="sr-Latn-ME"/>
        </w:rPr>
        <w:t>Režim premedikacije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Da bi se smanjila učestalost i težina kožnih reakcija, dan prije primjene lijeka, na sam dan primjene infuzije i dan poslije infuzije pacijentu treba dati kortikosteroid. Doza kortikosteroida treba da je ekvivalentna dozi od 4 mg deksametazona, primijenjena oralno dva puta na dan (vidjeti dio 4.4).</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Pacijenti liječeni pemetreksedom moraju, u cilju smanjenja toksičnosti, da primaju dopunsku terapiju vitaminima (vidjeti dio 4.4). Pacijenti moraju svakodnevno da uzimaju folnu kiselinu ili multivitaminski preparat koji sadrži folnu kiselinu (350 do 1000 mikrograma). U periodu od sedam dana prije prve doze pemetrekseda, pacijent mora uzeti najmanje 5 doza folne kiseline, a uzimanje folne kiseline mora da se nastavi tokom cjelokupnog trajanja terapije, kao i 21 dan nakon posljednje primljene doze pemetrekseda. U periodu od nedjelju dana prije prve doze pemetrekseda, pacijenti moraju, takođe, da prime intramuskularnu injekciju vitamina B</w:t>
      </w:r>
      <w:r w:rsidRPr="00E07BBD">
        <w:rPr>
          <w:rFonts w:ascii="Times New Roman" w:eastAsia="TimesNewRoman" w:hAnsi="Times New Roman" w:cs="Times New Roman"/>
          <w:vertAlign w:val="subscript"/>
          <w:lang w:val="sr-Latn-ME"/>
        </w:rPr>
        <w:t xml:space="preserve">12 </w:t>
      </w:r>
      <w:r w:rsidRPr="00E07BBD">
        <w:rPr>
          <w:rFonts w:ascii="Times New Roman" w:eastAsia="TimesNewRoman" w:hAnsi="Times New Roman" w:cs="Times New Roman"/>
          <w:lang w:val="sr-Latn-ME"/>
        </w:rPr>
        <w:t>(1000 mikrograma), a potom po jednu intramuskularnu injekciju na svaka tri terapijska ciklusa. Sve naredne injekcije vitamina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 xml:space="preserve"> mogu se davati istog dana kad i infuzija pemetrekseda.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lang w:val="sr-Latn-ME"/>
        </w:rPr>
      </w:pPr>
      <w:r w:rsidRPr="00E07BBD">
        <w:rPr>
          <w:rFonts w:ascii="Times New Roman" w:eastAsia="TimesNewRoman" w:hAnsi="Times New Roman" w:cs="Times New Roman"/>
          <w:i/>
          <w:lang w:val="sr-Latn-ME"/>
        </w:rPr>
        <w:t>Praćenje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Kod pacijenata koji primaju pemetreksed prije svake doze treba provjeriti kompletnu krvnu sliku, uključujući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diferencijalnu krvnu sliku i broj trombocita. Prije svake primjene hemoterapije moraju se obavezno izvršiiti laboratorijske analize krvi, kako bi se procijenila funkcija bubrega i jetre. Prije početka svakog ciklusa hemoterapije pacijenti moraju da imaju sljedeće vrijednosti laboratorijskih parametara: apsolutni broj neutrofila (ABN) mora da bude ≥ 1500 ćelija/mm</w:t>
      </w:r>
      <w:r w:rsidRPr="00E07BBD">
        <w:rPr>
          <w:rFonts w:ascii="Times New Roman" w:eastAsia="TimesNewRoman" w:hAnsi="Times New Roman" w:cs="Times New Roman"/>
          <w:vertAlign w:val="superscript"/>
          <w:lang w:val="sr-Latn-ME"/>
        </w:rPr>
        <w:t>3</w:t>
      </w:r>
      <w:r w:rsidRPr="00E07BBD">
        <w:rPr>
          <w:rFonts w:ascii="Times New Roman" w:eastAsia="TimesNewRoman" w:hAnsi="Times New Roman" w:cs="Times New Roman"/>
          <w:lang w:val="sr-Latn-ME"/>
        </w:rPr>
        <w:t>, a broj trombocita mora da bude ≥ 100 000 ćelija/mm</w:t>
      </w:r>
      <w:r w:rsidRPr="00E07BBD">
        <w:rPr>
          <w:rFonts w:ascii="Times New Roman" w:eastAsia="TimesNewRoman" w:hAnsi="Times New Roman" w:cs="Times New Roman"/>
          <w:vertAlign w:val="superscript"/>
          <w:lang w:val="sr-Latn-ME"/>
        </w:rPr>
        <w:t>3</w:t>
      </w:r>
      <w:r w:rsidRPr="00E07BBD">
        <w:rPr>
          <w:rFonts w:ascii="Times New Roman" w:eastAsia="TimesNewRoman" w:hAnsi="Times New Roman" w:cs="Times New Roman"/>
          <w:lang w:val="sr-Latn-ME"/>
        </w:rPr>
        <w:t>. Klirens kreatinina mora da bude ≥ 45 ml/min.</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Vrijednost ukupnog bilirubina mora da bude ≤ 1,5 puta iznad gornje granice normalnih vrijednosti. Vrijednosti alkalne fosfataze (AP), aspartat aminotransferaze (AST ili SGOT) i alanin aminotransferaze (ALT ili SGPT) moraju da budu </w:t>
      </w:r>
      <w:r w:rsidRPr="00E07BBD">
        <w:rPr>
          <w:rFonts w:ascii="Times New Roman" w:eastAsia="ArialUnicodeMS" w:hAnsi="Times New Roman" w:cs="Times New Roman"/>
          <w:lang w:val="sr-Latn-ME"/>
        </w:rPr>
        <w:t xml:space="preserve">≤ </w:t>
      </w:r>
      <w:r w:rsidRPr="00E07BBD">
        <w:rPr>
          <w:rFonts w:ascii="Times New Roman" w:eastAsia="TimesNewRoman" w:hAnsi="Times New Roman" w:cs="Times New Roman"/>
          <w:lang w:val="sr-Latn-ME"/>
        </w:rPr>
        <w:t xml:space="preserve">3 puta iznad gornje granice normalnih vrijednosti.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 xml:space="preserve">Vrijednosti alkalne fosfataze, AST i ALT od </w:t>
      </w:r>
      <w:r w:rsidRPr="00E07BBD">
        <w:rPr>
          <w:rFonts w:ascii="Times New Roman" w:eastAsia="ArialUnicodeMS" w:hAnsi="Times New Roman" w:cs="Times New Roman"/>
          <w:lang w:val="sr-Latn-ME"/>
        </w:rPr>
        <w:t xml:space="preserve">≤ </w:t>
      </w:r>
      <w:r w:rsidRPr="00E07BBD">
        <w:rPr>
          <w:rFonts w:ascii="Times New Roman" w:eastAsia="TimesNewRoman" w:hAnsi="Times New Roman" w:cs="Times New Roman"/>
          <w:lang w:val="sr-Latn-ME"/>
        </w:rPr>
        <w:t>5 puta iznad gornje granice normale smatraju se prihvatljivim ako je karcinomom zahvaćena i jetra.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lang w:val="sr-Latn-ME"/>
        </w:rPr>
      </w:pPr>
      <w:r w:rsidRPr="00E07BBD">
        <w:rPr>
          <w:rFonts w:ascii="Times New Roman" w:eastAsia="TimesNewRoman" w:hAnsi="Times New Roman" w:cs="Times New Roman"/>
          <w:i/>
          <w:lang w:val="sr-Latn-ME"/>
        </w:rPr>
        <w:t>Prilagođavanje doze</w:t>
      </w:r>
    </w:p>
    <w:p w:rsid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Prilagođavanje doze na početku svakog narednog ciklusa treba da se vrši na osnovu najnižih hematoloških vrijednosti ili na osnovu maksimalne nehematološke toksičnosti u prethodnom ciklusu hemoterapije. Terapija se može odložiti da bi se ostavilo dovoljno vremena za oporavak pacijenta. Po oporavku, pacijente treba ponovo uključiti u terapiju, prema smjernicama prikazanim u tabelama 1, 2 i 3, koje važe za primjenu lijeka </w:t>
      </w:r>
      <w:r w:rsidRPr="00E07BBD">
        <w:rPr>
          <w:rFonts w:ascii="Times New Roman" w:eastAsia="Times New Roman" w:hAnsi="Times New Roman" w:cs="Times New Roman"/>
          <w:lang w:val="sr-Latn-ME"/>
        </w:rPr>
        <w:t xml:space="preserve">Pemetrexed Accord </w:t>
      </w:r>
      <w:r w:rsidRPr="00E07BBD">
        <w:rPr>
          <w:rFonts w:ascii="Times New Roman" w:eastAsia="TimesNewRoman" w:hAnsi="Times New Roman" w:cs="Times New Roman"/>
          <w:lang w:val="sr-Latn-ME"/>
        </w:rPr>
        <w:t>u monoterapiji ili u kombinaciji sa cisplatinom.</w:t>
      </w:r>
    </w:p>
    <w:p w:rsidR="00C42D32" w:rsidRPr="00E07BBD" w:rsidRDefault="00C42D32" w:rsidP="00C42D32">
      <w:pPr>
        <w:autoSpaceDE w:val="0"/>
        <w:autoSpaceDN w:val="0"/>
        <w:adjustRightInd w:val="0"/>
        <w:spacing w:after="0" w:line="240" w:lineRule="auto"/>
        <w:jc w:val="both"/>
        <w:rPr>
          <w:rFonts w:ascii="Times New Roman" w:eastAsia="TimesNewRoman" w:hAnsi="Times New Roman" w:cs="Times New Roman"/>
          <w:lang w:val="sr-Latn-ME"/>
        </w:rPr>
      </w:pPr>
    </w:p>
    <w:tbl>
      <w:tblPr>
        <w:tblStyle w:val="TableGrid2"/>
        <w:tblW w:w="0" w:type="auto"/>
        <w:tblLook w:val="04A0" w:firstRow="1" w:lastRow="0" w:firstColumn="1" w:lastColumn="0" w:noHBand="0" w:noVBand="1"/>
      </w:tblPr>
      <w:tblGrid>
        <w:gridCol w:w="4210"/>
        <w:gridCol w:w="5407"/>
      </w:tblGrid>
      <w:tr w:rsidR="00E07BBD" w:rsidRPr="00E07BBD" w:rsidTr="00C42D32">
        <w:tc>
          <w:tcPr>
            <w:tcW w:w="9855" w:type="dxa"/>
            <w:gridSpan w:val="2"/>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 xml:space="preserve">  Tabela 1:</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 xml:space="preserve">  Tabela za prilagođavanje doze lijeka </w:t>
            </w:r>
            <w:r w:rsidRPr="00E07BBD">
              <w:rPr>
                <w:b/>
                <w:sz w:val="22"/>
                <w:szCs w:val="22"/>
                <w:lang w:val="sr-Latn-ME"/>
              </w:rPr>
              <w:t>Pemetrexed Accord</w:t>
            </w:r>
            <w:r w:rsidRPr="00E07BBD">
              <w:rPr>
                <w:sz w:val="22"/>
                <w:szCs w:val="22"/>
                <w:lang w:val="sr-Latn-ME"/>
              </w:rPr>
              <w:t xml:space="preserve"> </w:t>
            </w:r>
            <w:r w:rsidRPr="00E07BBD">
              <w:rPr>
                <w:rFonts w:eastAsia="TimesNewRoman"/>
                <w:b/>
                <w:bCs/>
                <w:sz w:val="22"/>
                <w:szCs w:val="22"/>
                <w:lang w:val="sr-Latn-ME"/>
              </w:rPr>
              <w:t>(u monoterapiji ili u kombinaciji) i</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 xml:space="preserve">  cisplatina - hematološka toksičnost</w:t>
            </w:r>
          </w:p>
          <w:p w:rsidR="00E07BBD" w:rsidRPr="00E07BBD" w:rsidRDefault="00E07BBD" w:rsidP="00C42D32">
            <w:pPr>
              <w:autoSpaceDE w:val="0"/>
              <w:autoSpaceDN w:val="0"/>
              <w:adjustRightInd w:val="0"/>
              <w:jc w:val="both"/>
              <w:rPr>
                <w:rFonts w:eastAsia="TimesNewRoman"/>
                <w:b/>
                <w:bCs/>
                <w:sz w:val="22"/>
                <w:szCs w:val="22"/>
                <w:lang w:val="sr-Latn-ME"/>
              </w:rPr>
            </w:pPr>
          </w:p>
        </w:tc>
      </w:tr>
      <w:tr w:rsidR="00E07BBD" w:rsidRPr="00E07BBD" w:rsidTr="00C42D32">
        <w:tc>
          <w:tcPr>
            <w:tcW w:w="4306"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Najmanji ABN &lt; 500/mm</w:t>
            </w:r>
            <w:r w:rsidRPr="00E07BBD">
              <w:rPr>
                <w:rFonts w:eastAsia="TimesNewRoman"/>
                <w:sz w:val="22"/>
                <w:szCs w:val="22"/>
                <w:vertAlign w:val="superscript"/>
                <w:lang w:val="sr-Latn-ME"/>
              </w:rPr>
              <w:t>3</w:t>
            </w:r>
            <w:r w:rsidRPr="00E07BBD">
              <w:rPr>
                <w:rFonts w:eastAsia="TimesNewRoman"/>
                <w:sz w:val="22"/>
                <w:szCs w:val="22"/>
                <w:lang w:val="sr-Latn-ME"/>
              </w:rPr>
              <w:t xml:space="preserve"> i najmanji broj trombocita ≥ 50 000/mm3</w:t>
            </w:r>
          </w:p>
          <w:p w:rsidR="00E07BBD" w:rsidRPr="00E07BBD" w:rsidRDefault="00E07BBD" w:rsidP="00C42D32">
            <w:pPr>
              <w:autoSpaceDE w:val="0"/>
              <w:autoSpaceDN w:val="0"/>
              <w:adjustRightInd w:val="0"/>
              <w:rPr>
                <w:rFonts w:eastAsia="TimesNewRoman"/>
                <w:b/>
                <w:bCs/>
                <w:sz w:val="22"/>
                <w:szCs w:val="22"/>
                <w:lang w:val="sr-Latn-ME"/>
              </w:rPr>
            </w:pPr>
          </w:p>
        </w:tc>
        <w:tc>
          <w:tcPr>
            <w:tcW w:w="5549"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75% prethodne doze (i </w:t>
            </w:r>
            <w:r w:rsidRPr="00E07BBD">
              <w:rPr>
                <w:sz w:val="22"/>
                <w:szCs w:val="22"/>
                <w:lang w:val="sr-Latn-ME"/>
              </w:rPr>
              <w:t xml:space="preserve">Pemetrexed Accord </w:t>
            </w:r>
            <w:r w:rsidRPr="00E07BBD">
              <w:rPr>
                <w:rFonts w:eastAsia="TimesNewRoman"/>
                <w:sz w:val="22"/>
                <w:szCs w:val="22"/>
                <w:lang w:val="sr-Latn-ME"/>
              </w:rPr>
              <w:t>i cisplatin)</w:t>
            </w:r>
          </w:p>
          <w:p w:rsidR="00E07BBD" w:rsidRPr="00E07BBD" w:rsidRDefault="00E07BBD" w:rsidP="00C42D32">
            <w:pPr>
              <w:autoSpaceDE w:val="0"/>
              <w:autoSpaceDN w:val="0"/>
              <w:adjustRightInd w:val="0"/>
              <w:jc w:val="both"/>
              <w:rPr>
                <w:rFonts w:eastAsia="TimesNewRoman"/>
                <w:b/>
                <w:bCs/>
                <w:sz w:val="22"/>
                <w:szCs w:val="22"/>
                <w:lang w:val="sr-Latn-ME"/>
              </w:rPr>
            </w:pPr>
          </w:p>
        </w:tc>
      </w:tr>
      <w:tr w:rsidR="00E07BBD" w:rsidRPr="00E07BBD" w:rsidTr="00C42D32">
        <w:tc>
          <w:tcPr>
            <w:tcW w:w="4306"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Najmanji broj trombocita &lt; 50 000/mm</w:t>
            </w:r>
            <w:r w:rsidRPr="00E07BBD">
              <w:rPr>
                <w:rFonts w:eastAsia="TimesNewRoman"/>
                <w:sz w:val="22"/>
                <w:szCs w:val="22"/>
                <w:vertAlign w:val="superscript"/>
                <w:lang w:val="sr-Latn-ME"/>
              </w:rPr>
              <w:t>3</w:t>
            </w:r>
            <w:r w:rsidRPr="00E07BBD">
              <w:rPr>
                <w:rFonts w:eastAsia="TimesNewRoman"/>
                <w:sz w:val="22"/>
                <w:szCs w:val="22"/>
                <w:lang w:val="sr-Latn-ME"/>
              </w:rPr>
              <w:t xml:space="preserve"> nezavisno od najmanjeg ABN</w:t>
            </w:r>
          </w:p>
          <w:p w:rsidR="00E07BBD" w:rsidRPr="00E07BBD" w:rsidRDefault="00E07BBD" w:rsidP="00C42D32">
            <w:pPr>
              <w:autoSpaceDE w:val="0"/>
              <w:autoSpaceDN w:val="0"/>
              <w:adjustRightInd w:val="0"/>
              <w:rPr>
                <w:rFonts w:eastAsia="TimesNewRoman"/>
                <w:b/>
                <w:bCs/>
                <w:sz w:val="22"/>
                <w:szCs w:val="22"/>
                <w:lang w:val="sr-Latn-ME"/>
              </w:rPr>
            </w:pPr>
          </w:p>
        </w:tc>
        <w:tc>
          <w:tcPr>
            <w:tcW w:w="5549"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75% prethodne doze (i</w:t>
            </w:r>
            <w:r w:rsidRPr="00E07BBD">
              <w:rPr>
                <w:sz w:val="22"/>
                <w:szCs w:val="22"/>
                <w:lang w:val="sr-Latn-ME"/>
              </w:rPr>
              <w:t xml:space="preserve"> Pemetrexed Accord</w:t>
            </w:r>
            <w:r w:rsidRPr="00E07BBD">
              <w:rPr>
                <w:rFonts w:eastAsia="TimesNewRoman"/>
                <w:sz w:val="22"/>
                <w:szCs w:val="22"/>
                <w:lang w:val="sr-Latn-ME"/>
              </w:rPr>
              <w:t xml:space="preserve"> cisplatin)</w:t>
            </w:r>
          </w:p>
          <w:p w:rsidR="00E07BBD" w:rsidRPr="00E07BBD" w:rsidRDefault="00E07BBD" w:rsidP="00C42D32">
            <w:pPr>
              <w:autoSpaceDE w:val="0"/>
              <w:autoSpaceDN w:val="0"/>
              <w:adjustRightInd w:val="0"/>
              <w:jc w:val="both"/>
              <w:rPr>
                <w:rFonts w:eastAsia="TimesNewRoman"/>
                <w:b/>
                <w:bCs/>
                <w:sz w:val="22"/>
                <w:szCs w:val="22"/>
                <w:lang w:val="sr-Latn-ME"/>
              </w:rPr>
            </w:pPr>
          </w:p>
        </w:tc>
      </w:tr>
      <w:tr w:rsidR="00E07BBD" w:rsidRPr="00E07BBD" w:rsidTr="00C42D32">
        <w:trPr>
          <w:trHeight w:val="56"/>
        </w:trPr>
        <w:tc>
          <w:tcPr>
            <w:tcW w:w="4306" w:type="dxa"/>
          </w:tcPr>
          <w:p w:rsidR="00E07BBD" w:rsidRPr="00E07BBD" w:rsidRDefault="00E07BBD" w:rsidP="00C42D32">
            <w:pPr>
              <w:autoSpaceDE w:val="0"/>
              <w:autoSpaceDN w:val="0"/>
              <w:adjustRightInd w:val="0"/>
              <w:rPr>
                <w:rFonts w:eastAsia="TimesNewRoman"/>
                <w:b/>
                <w:bCs/>
                <w:sz w:val="22"/>
                <w:szCs w:val="22"/>
                <w:lang w:val="sr-Latn-ME"/>
              </w:rPr>
            </w:pPr>
            <w:r w:rsidRPr="00E07BBD">
              <w:rPr>
                <w:rFonts w:eastAsia="TimesNewRoman"/>
                <w:sz w:val="22"/>
                <w:szCs w:val="22"/>
                <w:lang w:val="sr-Latn-ME"/>
              </w:rPr>
              <w:t>Najmanji broj trombocita &lt; 50 000/mm</w:t>
            </w:r>
            <w:r w:rsidRPr="00E07BBD">
              <w:rPr>
                <w:rFonts w:eastAsia="TimesNewRoman"/>
                <w:sz w:val="22"/>
                <w:szCs w:val="22"/>
                <w:vertAlign w:val="superscript"/>
                <w:lang w:val="sr-Latn-ME"/>
              </w:rPr>
              <w:t>3</w:t>
            </w:r>
            <w:r w:rsidRPr="00E07BBD">
              <w:rPr>
                <w:rFonts w:eastAsia="TimesNewRoman"/>
                <w:sz w:val="22"/>
                <w:szCs w:val="22"/>
                <w:lang w:val="sr-Latn-ME"/>
              </w:rPr>
              <w:t xml:space="preserve"> sa krvarenjima</w:t>
            </w:r>
            <w:r w:rsidRPr="00E07BBD">
              <w:rPr>
                <w:rFonts w:eastAsia="TimesNewRoman"/>
                <w:sz w:val="22"/>
                <w:szCs w:val="22"/>
                <w:vertAlign w:val="superscript"/>
                <w:lang w:val="sr-Latn-ME"/>
              </w:rPr>
              <w:t>a</w:t>
            </w:r>
            <w:r w:rsidRPr="00E07BBD">
              <w:rPr>
                <w:rFonts w:eastAsia="TimesNewRoman"/>
                <w:sz w:val="22"/>
                <w:szCs w:val="22"/>
                <w:lang w:val="sr-Latn-ME"/>
              </w:rPr>
              <w:t>, nezavisno od najmanjeg ABN</w:t>
            </w:r>
          </w:p>
        </w:tc>
        <w:tc>
          <w:tcPr>
            <w:tcW w:w="5549"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50%  prethodne doze (i </w:t>
            </w:r>
            <w:r w:rsidRPr="00E07BBD">
              <w:rPr>
                <w:sz w:val="22"/>
                <w:szCs w:val="22"/>
                <w:lang w:val="sr-Latn-ME"/>
              </w:rPr>
              <w:t>Pemetrexed Accord</w:t>
            </w:r>
            <w:r w:rsidRPr="00E07BBD">
              <w:rPr>
                <w:rFonts w:eastAsia="TimesNewRoman"/>
                <w:sz w:val="22"/>
                <w:szCs w:val="22"/>
                <w:lang w:val="sr-Latn-ME"/>
              </w:rPr>
              <w:t xml:space="preserve"> i cisplatin)</w:t>
            </w:r>
          </w:p>
          <w:p w:rsidR="00E07BBD" w:rsidRPr="00E07BBD" w:rsidRDefault="00E07BBD" w:rsidP="00C42D32">
            <w:pPr>
              <w:autoSpaceDE w:val="0"/>
              <w:autoSpaceDN w:val="0"/>
              <w:adjustRightInd w:val="0"/>
              <w:jc w:val="both"/>
              <w:rPr>
                <w:rFonts w:eastAsia="TimesNewRoman"/>
                <w:b/>
                <w:bCs/>
                <w:sz w:val="22"/>
                <w:szCs w:val="22"/>
                <w:lang w:val="sr-Latn-ME"/>
              </w:rPr>
            </w:pP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vertAlign w:val="superscript"/>
          <w:lang w:val="sr-Latn-ME"/>
        </w:rPr>
        <w:t>a</w:t>
      </w:r>
      <w:r w:rsidRPr="00E07BBD">
        <w:rPr>
          <w:rFonts w:ascii="Times New Roman" w:eastAsia="TimesNewRoman" w:hAnsi="Times New Roman" w:cs="Times New Roman"/>
          <w:lang w:val="sr-Latn-ME"/>
        </w:rPr>
        <w:t>Ovi kriterijumi odgovaraju definiciji krvarenja stepena ≥ 2. prema Opštim kriterijumima toksičnosti Nacionalnog instituta za rak (</w:t>
      </w:r>
      <w:r w:rsidRPr="00E07BBD">
        <w:rPr>
          <w:rFonts w:ascii="Times New Roman" w:eastAsia="TimesNewRoman" w:hAnsi="Times New Roman" w:cs="Times New Roman"/>
          <w:i/>
          <w:iCs/>
          <w:lang w:val="sr-Latn-ME"/>
        </w:rPr>
        <w:t>National Cancer Institute Common Toxicity Criteria,</w:t>
      </w:r>
      <w:r w:rsidRPr="00E07BBD">
        <w:rPr>
          <w:rFonts w:ascii="Times New Roman" w:eastAsia="TimesNewRoman" w:hAnsi="Times New Roman" w:cs="Times New Roman"/>
          <w:lang w:val="sr-Latn-ME"/>
        </w:rPr>
        <w:t xml:space="preserve"> CTC v2.0; NCI 1998)</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Ako se kod pacijenata razvije nehematološka toksičnost koja je ≥ 3. stepena (s izuzetkom neurotoksičnosti), primjenu lijeka </w:t>
      </w: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treba obustaviti dok se vrijednosti ne vrate na nivo prije početka terapije ili niži. Nakon toga terapiju treba nastaviti prema smjernicama iz tabele 2.</w:t>
      </w:r>
    </w:p>
    <w:p w:rsidR="00C42D32" w:rsidRPr="00E07BBD" w:rsidRDefault="00C42D32" w:rsidP="00C42D32">
      <w:pPr>
        <w:autoSpaceDE w:val="0"/>
        <w:autoSpaceDN w:val="0"/>
        <w:adjustRightInd w:val="0"/>
        <w:spacing w:after="0" w:line="240" w:lineRule="auto"/>
        <w:jc w:val="both"/>
        <w:rPr>
          <w:rFonts w:ascii="Times New Roman" w:eastAsia="TimesNewRoman" w:hAnsi="Times New Roman" w:cs="Times New Roman"/>
          <w:lang w:val="sr-Latn-ME"/>
        </w:rPr>
      </w:pPr>
    </w:p>
    <w:tbl>
      <w:tblPr>
        <w:tblStyle w:val="TableGrid2"/>
        <w:tblW w:w="0" w:type="auto"/>
        <w:tblLook w:val="04A0" w:firstRow="1" w:lastRow="0" w:firstColumn="1" w:lastColumn="0" w:noHBand="0" w:noVBand="1"/>
      </w:tblPr>
      <w:tblGrid>
        <w:gridCol w:w="3203"/>
        <w:gridCol w:w="3873"/>
        <w:gridCol w:w="2541"/>
      </w:tblGrid>
      <w:tr w:rsidR="00E07BBD" w:rsidRPr="00E07BBD" w:rsidTr="00C42D32">
        <w:tc>
          <w:tcPr>
            <w:tcW w:w="9855" w:type="dxa"/>
            <w:gridSpan w:val="3"/>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Tabela 2:</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 xml:space="preserve">Tabela za prilagođavanje doze lijeka </w:t>
            </w:r>
            <w:r w:rsidRPr="00E07BBD">
              <w:rPr>
                <w:b/>
                <w:sz w:val="22"/>
                <w:szCs w:val="22"/>
                <w:lang w:val="sr-Latn-ME"/>
              </w:rPr>
              <w:t>Pemetrexed Accord</w:t>
            </w:r>
            <w:r w:rsidRPr="00E07BBD">
              <w:rPr>
                <w:rFonts w:eastAsia="TimesNewRoman"/>
                <w:b/>
                <w:bCs/>
                <w:sz w:val="22"/>
                <w:szCs w:val="22"/>
                <w:lang w:val="sr-Latn-ME"/>
              </w:rPr>
              <w:t xml:space="preserve"> (u monoterapiji ili u kombinaciji) i</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 xml:space="preserve">cisplatina - nehematološka toksičnost </w:t>
            </w:r>
            <w:r w:rsidRPr="00E07BBD">
              <w:rPr>
                <w:rFonts w:eastAsia="TimesNewRoman"/>
                <w:b/>
                <w:bCs/>
                <w:sz w:val="22"/>
                <w:szCs w:val="22"/>
                <w:vertAlign w:val="superscript"/>
                <w:lang w:val="sr-Latn-ME"/>
              </w:rPr>
              <w:t>a,b</w:t>
            </w:r>
          </w:p>
        </w:tc>
      </w:tr>
      <w:tr w:rsidR="00E07BBD" w:rsidRPr="00E07BBD" w:rsidTr="00C42D32">
        <w:tc>
          <w:tcPr>
            <w:tcW w:w="3274" w:type="dxa"/>
          </w:tcPr>
          <w:p w:rsidR="00E07BBD" w:rsidRPr="00E07BBD" w:rsidRDefault="00E07BBD" w:rsidP="00C42D32">
            <w:pPr>
              <w:autoSpaceDE w:val="0"/>
              <w:autoSpaceDN w:val="0"/>
              <w:adjustRightInd w:val="0"/>
              <w:jc w:val="both"/>
              <w:rPr>
                <w:rFonts w:eastAsia="TimesNewRoman"/>
                <w:sz w:val="22"/>
                <w:szCs w:val="22"/>
                <w:lang w:val="sr-Latn-ME"/>
              </w:rPr>
            </w:pPr>
          </w:p>
        </w:tc>
        <w:tc>
          <w:tcPr>
            <w:tcW w:w="3980"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 xml:space="preserve">Doza lijeka </w:t>
            </w:r>
            <w:r w:rsidRPr="00E07BBD">
              <w:rPr>
                <w:b/>
                <w:sz w:val="22"/>
                <w:szCs w:val="22"/>
                <w:lang w:val="sr-Latn-ME"/>
              </w:rPr>
              <w:t>Pemetrexed Accord</w:t>
            </w:r>
            <w:r w:rsidRPr="00E07BBD">
              <w:rPr>
                <w:sz w:val="22"/>
                <w:szCs w:val="22"/>
                <w:u w:val="single"/>
                <w:lang w:val="sr-Latn-ME"/>
              </w:rPr>
              <w:t xml:space="preserve"> </w:t>
            </w:r>
            <w:r w:rsidRPr="00E07BBD">
              <w:rPr>
                <w:rFonts w:eastAsia="TimesNewRoman"/>
                <w:b/>
                <w:bCs/>
                <w:sz w:val="22"/>
                <w:szCs w:val="22"/>
                <w:lang w:val="sr-Latn-ME"/>
              </w:rPr>
              <w:t>(mg/m</w:t>
            </w:r>
            <w:r w:rsidRPr="00E07BBD">
              <w:rPr>
                <w:rFonts w:eastAsia="TimesNewRoman"/>
                <w:b/>
                <w:bCs/>
                <w:sz w:val="22"/>
                <w:szCs w:val="22"/>
                <w:vertAlign w:val="superscript"/>
                <w:lang w:val="sr-Latn-ME"/>
              </w:rPr>
              <w:t>2</w:t>
            </w:r>
            <w:r w:rsidRPr="00E07BBD">
              <w:rPr>
                <w:rFonts w:eastAsia="TimesNewRoman"/>
                <w:b/>
                <w:bCs/>
                <w:sz w:val="22"/>
                <w:szCs w:val="22"/>
                <w:lang w:val="sr-Latn-ME"/>
              </w:rPr>
              <w:t>)</w:t>
            </w:r>
          </w:p>
          <w:p w:rsidR="00E07BBD" w:rsidRPr="00E07BBD" w:rsidRDefault="00E07BBD" w:rsidP="00C42D32">
            <w:pPr>
              <w:autoSpaceDE w:val="0"/>
              <w:autoSpaceDN w:val="0"/>
              <w:adjustRightInd w:val="0"/>
              <w:jc w:val="both"/>
              <w:rPr>
                <w:rFonts w:eastAsia="TimesNewRoman"/>
                <w:sz w:val="22"/>
                <w:szCs w:val="22"/>
                <w:lang w:val="sr-Latn-ME"/>
              </w:rPr>
            </w:pPr>
          </w:p>
        </w:tc>
        <w:tc>
          <w:tcPr>
            <w:tcW w:w="2601"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Doza cisplatina (mg/m</w:t>
            </w:r>
            <w:r w:rsidRPr="00E07BBD">
              <w:rPr>
                <w:rFonts w:eastAsia="TimesNewRoman"/>
                <w:b/>
                <w:bCs/>
                <w:sz w:val="22"/>
                <w:szCs w:val="22"/>
                <w:vertAlign w:val="superscript"/>
                <w:lang w:val="sr-Latn-ME"/>
              </w:rPr>
              <w:t>2</w:t>
            </w:r>
            <w:r w:rsidRPr="00E07BBD">
              <w:rPr>
                <w:rFonts w:eastAsia="TimesNewRoman"/>
                <w:b/>
                <w:bCs/>
                <w:sz w:val="22"/>
                <w:szCs w:val="22"/>
                <w:lang w:val="sr-Latn-ME"/>
              </w:rPr>
              <w:t>)</w:t>
            </w:r>
          </w:p>
          <w:p w:rsidR="00E07BBD" w:rsidRPr="00E07BBD" w:rsidRDefault="00E07BBD" w:rsidP="00C42D32">
            <w:pPr>
              <w:autoSpaceDE w:val="0"/>
              <w:autoSpaceDN w:val="0"/>
              <w:adjustRightInd w:val="0"/>
              <w:jc w:val="both"/>
              <w:rPr>
                <w:rFonts w:eastAsia="TimesNewRoman"/>
                <w:sz w:val="22"/>
                <w:szCs w:val="22"/>
                <w:lang w:val="sr-Latn-ME"/>
              </w:rPr>
            </w:pPr>
          </w:p>
        </w:tc>
      </w:tr>
      <w:tr w:rsidR="00E07BBD" w:rsidRPr="00E07BBD" w:rsidTr="00C42D32">
        <w:tc>
          <w:tcPr>
            <w:tcW w:w="3274"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Sve toksičnosti 3. ili 4. stepena, izuzev mukozitisa</w:t>
            </w:r>
          </w:p>
        </w:tc>
        <w:tc>
          <w:tcPr>
            <w:tcW w:w="398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75% prethodne doze</w:t>
            </w:r>
          </w:p>
        </w:tc>
        <w:tc>
          <w:tcPr>
            <w:tcW w:w="26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75% prethodne doze</w:t>
            </w:r>
          </w:p>
        </w:tc>
      </w:tr>
      <w:tr w:rsidR="00E07BBD" w:rsidRPr="00E07BBD" w:rsidTr="00C42D32">
        <w:trPr>
          <w:trHeight w:val="962"/>
        </w:trPr>
        <w:tc>
          <w:tcPr>
            <w:tcW w:w="3274"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Svaka dijareja koja zahtijeva</w:t>
            </w:r>
          </w:p>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hospitalizaciju (nezavisno od stepena) ili dijareja 3. ili 4. stepena</w:t>
            </w:r>
          </w:p>
          <w:p w:rsidR="00E07BBD" w:rsidRPr="00E07BBD" w:rsidRDefault="00E07BBD" w:rsidP="00C42D32">
            <w:pPr>
              <w:autoSpaceDE w:val="0"/>
              <w:autoSpaceDN w:val="0"/>
              <w:adjustRightInd w:val="0"/>
              <w:rPr>
                <w:rFonts w:eastAsia="TimesNewRoman"/>
                <w:sz w:val="22"/>
                <w:szCs w:val="22"/>
                <w:lang w:val="sr-Latn-ME"/>
              </w:rPr>
            </w:pPr>
          </w:p>
        </w:tc>
        <w:tc>
          <w:tcPr>
            <w:tcW w:w="398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75% prethodne doze</w:t>
            </w:r>
          </w:p>
        </w:tc>
        <w:tc>
          <w:tcPr>
            <w:tcW w:w="26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75% prethodne doze</w:t>
            </w:r>
          </w:p>
        </w:tc>
      </w:tr>
      <w:tr w:rsidR="00E07BBD" w:rsidRPr="00E07BBD" w:rsidTr="00C42D32">
        <w:trPr>
          <w:trHeight w:val="521"/>
        </w:trPr>
        <w:tc>
          <w:tcPr>
            <w:tcW w:w="3274"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Mukozitis 3. ili 4. stepena</w:t>
            </w:r>
          </w:p>
        </w:tc>
        <w:tc>
          <w:tcPr>
            <w:tcW w:w="398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50% prethodne doze</w:t>
            </w:r>
          </w:p>
        </w:tc>
        <w:tc>
          <w:tcPr>
            <w:tcW w:w="26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100% prethodne doze</w:t>
            </w: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vertAlign w:val="superscript"/>
          <w:lang w:val="sr-Latn-ME"/>
        </w:rPr>
        <w:t>a</w:t>
      </w:r>
      <w:r w:rsidRPr="00E07BBD">
        <w:rPr>
          <w:rFonts w:ascii="Times New Roman" w:eastAsia="TimesNewRoman" w:hAnsi="Times New Roman" w:cs="Times New Roman"/>
          <w:lang w:val="sr-Latn-ME"/>
        </w:rPr>
        <w:t xml:space="preserve"> Opšti kriterijumi toksičnosti Nacionalnog instituta za rak (CTC v2.0; NCI 1998)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vertAlign w:val="superscript"/>
          <w:lang w:val="sr-Latn-ME"/>
        </w:rPr>
        <w:t>b</w:t>
      </w:r>
      <w:r w:rsidRPr="00E07BBD">
        <w:rPr>
          <w:rFonts w:ascii="Times New Roman" w:eastAsia="TimesNewRoman" w:hAnsi="Times New Roman" w:cs="Times New Roman"/>
          <w:lang w:val="sr-Latn-ME"/>
        </w:rPr>
        <w:t xml:space="preserve"> Izuzev neurotoksičnosti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 xml:space="preserve">U tabeli 3. date su preporuke za prilagođavanje doze lijeka </w:t>
      </w:r>
      <w:r w:rsidRPr="00E07BBD">
        <w:rPr>
          <w:rFonts w:ascii="Times New Roman" w:eastAsia="Times New Roman" w:hAnsi="Times New Roman" w:cs="Times New Roman"/>
          <w:lang w:val="sr-Latn-ME"/>
        </w:rPr>
        <w:t xml:space="preserve">Pemetrexed Accord </w:t>
      </w:r>
      <w:r w:rsidRPr="00E07BBD">
        <w:rPr>
          <w:rFonts w:ascii="Times New Roman" w:eastAsia="TimesNewRoman" w:hAnsi="Times New Roman" w:cs="Times New Roman"/>
          <w:lang w:val="sr-Latn-ME"/>
        </w:rPr>
        <w:t>i cisplatina u slučaju neurotoksičnosti. Ukoliko se registruje neurotoksičnost 3. ili 4. stepena, terapija se mora prekinuti.</w:t>
      </w:r>
    </w:p>
    <w:tbl>
      <w:tblPr>
        <w:tblStyle w:val="TableGrid2"/>
        <w:tblW w:w="0" w:type="auto"/>
        <w:tblLook w:val="04A0" w:firstRow="1" w:lastRow="0" w:firstColumn="1" w:lastColumn="0" w:noHBand="0" w:noVBand="1"/>
      </w:tblPr>
      <w:tblGrid>
        <w:gridCol w:w="3199"/>
        <w:gridCol w:w="3911"/>
        <w:gridCol w:w="2507"/>
      </w:tblGrid>
      <w:tr w:rsidR="00E07BBD" w:rsidRPr="00E07BBD" w:rsidTr="00C42D32">
        <w:tc>
          <w:tcPr>
            <w:tcW w:w="9855" w:type="dxa"/>
            <w:gridSpan w:val="3"/>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b/>
                <w:bCs/>
                <w:sz w:val="22"/>
                <w:szCs w:val="22"/>
                <w:lang w:val="sr-Latn-ME"/>
              </w:rPr>
              <w:t>Tabela 3</w:t>
            </w:r>
            <w:r w:rsidRPr="00E07BBD">
              <w:rPr>
                <w:rFonts w:eastAsia="TimesNewRoman"/>
                <w:sz w:val="22"/>
                <w:szCs w:val="22"/>
                <w:lang w:val="sr-Latn-ME"/>
              </w:rPr>
              <w:t>:</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 xml:space="preserve">Tabela za prilagođavanje doze lijeka </w:t>
            </w:r>
            <w:r w:rsidRPr="00E07BBD">
              <w:rPr>
                <w:b/>
                <w:sz w:val="22"/>
                <w:szCs w:val="22"/>
                <w:lang w:val="sr-Latn-ME"/>
              </w:rPr>
              <w:t>Pemetrexed Accord</w:t>
            </w:r>
            <w:r w:rsidRPr="00E07BBD">
              <w:rPr>
                <w:sz w:val="22"/>
                <w:szCs w:val="22"/>
                <w:lang w:val="sr-Latn-ME"/>
              </w:rPr>
              <w:t xml:space="preserve"> </w:t>
            </w:r>
            <w:r w:rsidRPr="00E07BBD">
              <w:rPr>
                <w:rFonts w:eastAsia="TimesNewRoman"/>
                <w:b/>
                <w:bCs/>
                <w:sz w:val="22"/>
                <w:szCs w:val="22"/>
                <w:lang w:val="sr-Latn-ME"/>
              </w:rPr>
              <w:t>(u monoterapiji ili u kombinaciji) i</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b/>
                <w:bCs/>
                <w:sz w:val="22"/>
                <w:szCs w:val="22"/>
                <w:lang w:val="sr-Latn-ME"/>
              </w:rPr>
              <w:t>cisplatina – neurotoksičnost</w:t>
            </w:r>
          </w:p>
        </w:tc>
      </w:tr>
      <w:tr w:rsidR="00E07BBD" w:rsidRPr="00E07BBD" w:rsidTr="00C42D32">
        <w:tc>
          <w:tcPr>
            <w:tcW w:w="328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b/>
                <w:bCs/>
                <w:sz w:val="22"/>
                <w:szCs w:val="22"/>
                <w:lang w:val="sr-Latn-ME"/>
              </w:rPr>
              <w:t>Stepen po CTC</w:t>
            </w:r>
            <w:r w:rsidRPr="00E07BBD">
              <w:rPr>
                <w:rFonts w:eastAsia="TimesNewRoman"/>
                <w:b/>
                <w:bCs/>
                <w:sz w:val="22"/>
                <w:szCs w:val="22"/>
                <w:vertAlign w:val="superscript"/>
                <w:lang w:val="sr-Latn-ME"/>
              </w:rPr>
              <w:t>a</w:t>
            </w:r>
          </w:p>
        </w:tc>
        <w:tc>
          <w:tcPr>
            <w:tcW w:w="4008" w:type="dxa"/>
          </w:tcPr>
          <w:p w:rsidR="00E07BBD" w:rsidRPr="00E07BBD" w:rsidRDefault="00E07BBD" w:rsidP="00C42D32">
            <w:pPr>
              <w:autoSpaceDE w:val="0"/>
              <w:autoSpaceDN w:val="0"/>
              <w:adjustRightInd w:val="0"/>
              <w:jc w:val="both"/>
              <w:rPr>
                <w:rFonts w:eastAsia="TimesNewRoman"/>
                <w:b/>
                <w:sz w:val="22"/>
                <w:szCs w:val="22"/>
                <w:lang w:val="sr-Latn-ME"/>
              </w:rPr>
            </w:pPr>
            <w:r w:rsidRPr="00E07BBD">
              <w:rPr>
                <w:rFonts w:eastAsia="TimesNewRoman"/>
                <w:b/>
                <w:bCs/>
                <w:sz w:val="22"/>
                <w:szCs w:val="22"/>
                <w:lang w:val="sr-Latn-ME"/>
              </w:rPr>
              <w:t xml:space="preserve">Doza lijeka </w:t>
            </w:r>
            <w:r w:rsidRPr="00E07BBD">
              <w:rPr>
                <w:b/>
                <w:sz w:val="22"/>
                <w:szCs w:val="22"/>
                <w:lang w:val="sr-Latn-ME"/>
              </w:rPr>
              <w:t>Pemetrexed Accord</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(mg/m</w:t>
            </w:r>
            <w:r w:rsidRPr="00E07BBD">
              <w:rPr>
                <w:rFonts w:eastAsia="TimesNewRoman"/>
                <w:b/>
                <w:bCs/>
                <w:sz w:val="22"/>
                <w:szCs w:val="22"/>
                <w:vertAlign w:val="superscript"/>
                <w:lang w:val="sr-Latn-ME"/>
              </w:rPr>
              <w:t>2</w:t>
            </w:r>
            <w:r w:rsidRPr="00E07BBD">
              <w:rPr>
                <w:rFonts w:eastAsia="TimesNewRoman"/>
                <w:b/>
                <w:bCs/>
                <w:sz w:val="22"/>
                <w:szCs w:val="22"/>
                <w:lang w:val="sr-Latn-ME"/>
              </w:rPr>
              <w:t>)</w:t>
            </w:r>
          </w:p>
          <w:p w:rsidR="00E07BBD" w:rsidRPr="00E07BBD" w:rsidRDefault="00E07BBD" w:rsidP="00C42D32">
            <w:pPr>
              <w:autoSpaceDE w:val="0"/>
              <w:autoSpaceDN w:val="0"/>
              <w:adjustRightInd w:val="0"/>
              <w:jc w:val="both"/>
              <w:rPr>
                <w:rFonts w:eastAsia="TimesNewRoman"/>
                <w:sz w:val="22"/>
                <w:szCs w:val="22"/>
                <w:lang w:val="sr-Latn-ME"/>
              </w:rPr>
            </w:pPr>
          </w:p>
        </w:tc>
        <w:tc>
          <w:tcPr>
            <w:tcW w:w="2559"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Doza cisplatina (mg/m</w:t>
            </w:r>
            <w:r w:rsidRPr="00E07BBD">
              <w:rPr>
                <w:rFonts w:eastAsia="TimesNewRoman"/>
                <w:b/>
                <w:bCs/>
                <w:sz w:val="22"/>
                <w:szCs w:val="22"/>
                <w:vertAlign w:val="superscript"/>
                <w:lang w:val="sr-Latn-ME"/>
              </w:rPr>
              <w:t>2</w:t>
            </w:r>
            <w:r w:rsidRPr="00E07BBD">
              <w:rPr>
                <w:rFonts w:eastAsia="TimesNewRoman"/>
                <w:b/>
                <w:bCs/>
                <w:sz w:val="22"/>
                <w:szCs w:val="22"/>
                <w:lang w:val="sr-Latn-ME"/>
              </w:rPr>
              <w:t>)</w:t>
            </w:r>
          </w:p>
          <w:p w:rsidR="00E07BBD" w:rsidRPr="00E07BBD" w:rsidRDefault="00E07BBD" w:rsidP="00C42D32">
            <w:pPr>
              <w:autoSpaceDE w:val="0"/>
              <w:autoSpaceDN w:val="0"/>
              <w:adjustRightInd w:val="0"/>
              <w:jc w:val="both"/>
              <w:rPr>
                <w:rFonts w:eastAsia="TimesNewRoman"/>
                <w:sz w:val="22"/>
                <w:szCs w:val="22"/>
                <w:lang w:val="sr-Latn-ME"/>
              </w:rPr>
            </w:pPr>
          </w:p>
        </w:tc>
      </w:tr>
      <w:tr w:rsidR="00E07BBD" w:rsidRPr="00E07BBD" w:rsidTr="00C42D32">
        <w:tc>
          <w:tcPr>
            <w:tcW w:w="3288" w:type="dxa"/>
          </w:tcPr>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0-1</w:t>
            </w:r>
          </w:p>
          <w:p w:rsidR="00E07BBD" w:rsidRPr="00E07BBD" w:rsidRDefault="00E07BBD" w:rsidP="00C42D32">
            <w:pPr>
              <w:tabs>
                <w:tab w:val="left" w:pos="284"/>
              </w:tabs>
              <w:jc w:val="both"/>
              <w:rPr>
                <w:rFonts w:eastAsia="TimesNewRoman"/>
                <w:sz w:val="22"/>
                <w:szCs w:val="22"/>
                <w:lang w:val="sr-Latn-ME"/>
              </w:rPr>
            </w:pPr>
          </w:p>
        </w:tc>
        <w:tc>
          <w:tcPr>
            <w:tcW w:w="400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100% prethodne doze</w:t>
            </w:r>
          </w:p>
        </w:tc>
        <w:tc>
          <w:tcPr>
            <w:tcW w:w="2559"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100% prethodne doze</w:t>
            </w:r>
          </w:p>
        </w:tc>
      </w:tr>
      <w:tr w:rsidR="00E07BBD" w:rsidRPr="00E07BBD" w:rsidTr="00C42D32">
        <w:trPr>
          <w:trHeight w:val="395"/>
        </w:trPr>
        <w:tc>
          <w:tcPr>
            <w:tcW w:w="328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w:t>
            </w:r>
          </w:p>
        </w:tc>
        <w:tc>
          <w:tcPr>
            <w:tcW w:w="400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100% prethodne doze</w:t>
            </w:r>
          </w:p>
          <w:p w:rsidR="00E07BBD" w:rsidRPr="00E07BBD" w:rsidRDefault="00E07BBD" w:rsidP="00C42D32">
            <w:pPr>
              <w:autoSpaceDE w:val="0"/>
              <w:autoSpaceDN w:val="0"/>
              <w:adjustRightInd w:val="0"/>
              <w:jc w:val="both"/>
              <w:rPr>
                <w:rFonts w:eastAsia="TimesNewRoman"/>
                <w:sz w:val="22"/>
                <w:szCs w:val="22"/>
                <w:lang w:val="sr-Latn-ME"/>
              </w:rPr>
            </w:pPr>
          </w:p>
        </w:tc>
        <w:tc>
          <w:tcPr>
            <w:tcW w:w="2559"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50% prethodne doze</w:t>
            </w: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vertAlign w:val="superscript"/>
          <w:lang w:val="sr-Latn-ME"/>
        </w:rPr>
        <w:t xml:space="preserve">a </w:t>
      </w:r>
      <w:r w:rsidRPr="00E07BBD">
        <w:rPr>
          <w:rFonts w:ascii="Times New Roman" w:eastAsia="TimesNewRoman" w:hAnsi="Times New Roman" w:cs="Times New Roman"/>
          <w:lang w:val="sr-Latn-ME"/>
        </w:rPr>
        <w:t>Opšti kriterijumi toksičnosti Nacionalnog instituta za rak (CTC v2.0; NCI 1998)</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Liječenje lijekom </w:t>
      </w: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se mora obustaviti ukoliko se kod pacijenta ispolji bilo kakva hematološka ili nehematološka toksičnost 3. ili 4. stepena nakon dva smanjenja doze, ili odmah kada se uoči neurotoksičnost 3. ili 4. stepena.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i/>
          <w:iCs/>
          <w:lang w:val="sr-Latn-ME"/>
        </w:rPr>
        <w:t>Starije osobe:</w:t>
      </w:r>
      <w:r w:rsidRPr="00E07BBD">
        <w:rPr>
          <w:rFonts w:ascii="Times New Roman" w:eastAsia="TimesNewRoman" w:hAnsi="Times New Roman" w:cs="Times New Roman"/>
          <w:lang w:val="sr-Latn-ME"/>
        </w:rPr>
        <w:t xml:space="preserve"> Klinička ispitivanja nisu ukazala na to da je kod pacijenata starijih od 65 godina rizik za pojavu neželjenih događaja povećan u odnosu na pacijente mlađe od 65 godina. Nisu potrebne redukcije doza osim onih koje se preporučuju za sve pacijente.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iCs/>
          <w:lang w:val="sr-Latn-ME"/>
        </w:rPr>
      </w:pPr>
      <w:r w:rsidRPr="00E07BBD">
        <w:rPr>
          <w:rFonts w:ascii="Times New Roman" w:eastAsia="TimesNewRoman" w:hAnsi="Times New Roman" w:cs="Times New Roman"/>
          <w:i/>
          <w:iCs/>
          <w:lang w:val="sr-Latn-ME"/>
        </w:rPr>
        <w:t>Pedijatrijska populacija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Nije relevantna primjena lijeka </w:t>
      </w: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kod pedijatrijske populacije sa malignim mezoteliomom pleure i nemikrocelularnim karcinomom pluća.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i/>
          <w:iCs/>
          <w:lang w:val="sr-Latn-ME"/>
        </w:rPr>
        <w:t>Pacijenti sa oštećenjem bubrega:</w:t>
      </w:r>
      <w:r w:rsidRPr="00E07BBD">
        <w:rPr>
          <w:rFonts w:ascii="Times New Roman" w:eastAsia="TimesNewRoman" w:hAnsi="Times New Roman" w:cs="Times New Roman"/>
          <w:lang w:val="sr-Latn-ME"/>
        </w:rPr>
        <w:t xml:space="preserve"> (Klirens izračunat standardnom </w:t>
      </w:r>
      <w:r w:rsidRPr="00E07BBD">
        <w:rPr>
          <w:rFonts w:ascii="Times New Roman" w:eastAsia="TimesNewRoman" w:hAnsi="Times New Roman" w:cs="Times New Roman"/>
          <w:i/>
          <w:iCs/>
          <w:lang w:val="sr-Latn-ME"/>
        </w:rPr>
        <w:t>Cockcroft-Gault</w:t>
      </w:r>
      <w:r w:rsidRPr="00E07BBD">
        <w:rPr>
          <w:rFonts w:ascii="Times New Roman" w:eastAsia="TimesNewRoman" w:hAnsi="Times New Roman" w:cs="Times New Roman"/>
          <w:lang w:val="sr-Latn-ME"/>
        </w:rPr>
        <w:t>-ovom formulom ili mjerenjem brzine glomerularne filtracije serumskog klirensa Tc99m-DPTA): Pemetreksed se prvenstveno eliminiše putem bubrega u nepromijenjenom obliku. U kliničkim ispitivanjima kod pacijenata sa klirensom kreatinina ≥ 45 ml/min nije bilo potrebno posebno prilagođavanje doze, osim navedenog u preporukama koje se odnose na sve pacijente. O primjeni pemetrekseda kod pacijenata sa klirensom kreatinina manjim od 45 ml/min nema dovoljno podataka; stoga se primjena pemetrekseda kod ovih pacijenata ne preporučuje (vidjeti dio 4.4).</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i/>
          <w:iCs/>
          <w:lang w:val="sr-Latn-ME"/>
        </w:rPr>
        <w:t>Pacijenti sa oštećenjem jetre:</w:t>
      </w:r>
      <w:r w:rsidRPr="00E07BBD">
        <w:rPr>
          <w:rFonts w:ascii="Times New Roman" w:eastAsia="TimesNewRoman" w:hAnsi="Times New Roman" w:cs="Times New Roman"/>
          <w:lang w:val="sr-Latn-ME"/>
        </w:rPr>
        <w:t xml:space="preserve"> Nije utvrđen odnos između vrijednosti AST (SGOT), ALT (SGPT) ili ukupnog bilirubina i farmakokinetike pemetrekseda. Međutim, nisu posebno ispitivani pacijenti sa oštećenjem jetre kod kojih je vrijednost bilirubina bila &gt; 1,5 puta od gornje granice normalne vrijednosti i/ili vrijednost aminotransferaze &gt; 3,0 puta od gornje granice normale (bez metastaza u jetri) ili &gt; 5,0 puta iznad gornje granice normale (uz metastaze u jetri).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u w:val="single"/>
          <w:lang w:val="sr-Latn-ME"/>
        </w:rPr>
        <w:t>Način primjene</w:t>
      </w:r>
      <w:r w:rsidRPr="00E07BBD">
        <w:rPr>
          <w:rFonts w:ascii="Times New Roman" w:eastAsia="TimesNewRoman" w:hAnsi="Times New Roman" w:cs="Times New Roman"/>
          <w:lang w:val="sr-Latn-ME"/>
        </w:rPr>
        <w:t>:</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Za mjere predostrožnosti koje treba preduzeti prije rukovanja ili primjene lijeka</w:t>
      </w:r>
      <w:r w:rsidRPr="00E07BBD">
        <w:rPr>
          <w:rFonts w:ascii="Times New Roman" w:eastAsia="Times New Roman" w:hAnsi="Times New Roman" w:cs="Times New Roman"/>
          <w:lang w:val="sr-Latn-ME"/>
        </w:rPr>
        <w:t xml:space="preserve"> Pemetrexed Accord,</w:t>
      </w:r>
      <w:r w:rsidRPr="00E07BBD">
        <w:rPr>
          <w:rFonts w:ascii="Times New Roman" w:eastAsia="TimesNewRoman" w:hAnsi="Times New Roman" w:cs="Times New Roman"/>
          <w:lang w:val="sr-Latn-ME"/>
        </w:rPr>
        <w:t xml:space="preserve"> vidjeti dio 6.6.</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Lijek </w:t>
      </w: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se mora primjenjivati putem intravenske infuzije tokom 10 minuta prvog dana svakog 21-dnevnog ciklusa. Za instrukcije o rekonstituciji i razblaživanju lijeka </w:t>
      </w: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prije primjene, vidjeti dio 6.6.</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lastRenderedPageBreak/>
        <w:t>4.3. Kontraindikacije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Preosjetljivost na pemetreksed ili na neku od pomoćnih supstanci navedenih u dijelu 6.1.</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Dojenje (vidjeti dio 4.6).</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Istovremena primjena vakcine protiv žute groznice (vidjeti dio 4.5).</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4.4. Posebna upozorenja i mjere opreza pri upotrebi lijeka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Pemetreksed može da suprimira funkciju kostne srži što se manifestuje neutropenijom, trombocitopenijom i anemijom (ili pancitopenijom) (vidjeti dio 4.8). Mijelosupresija predstavlja toksičnost koja obično ograničava dozu. U toku terapije pemetreksedom, pacijente treba pažljivo pratiti na mijelosupresiju, a pemetreksed se ne smije davati pacijentima dok se apsolutni broj neutrofila (ABN) ne vrati na nivo ≥1500 ćelija/mm</w:t>
      </w:r>
      <w:r w:rsidRPr="00E07BBD">
        <w:rPr>
          <w:rFonts w:ascii="Times New Roman" w:eastAsia="TimesNewRoman" w:hAnsi="Times New Roman" w:cs="Times New Roman"/>
          <w:vertAlign w:val="superscript"/>
          <w:lang w:val="sr-Latn-ME"/>
        </w:rPr>
        <w:t>3</w:t>
      </w:r>
      <w:r w:rsidRPr="00E07BBD">
        <w:rPr>
          <w:rFonts w:ascii="Times New Roman" w:eastAsia="TimesNewRoman" w:hAnsi="Times New Roman" w:cs="Times New Roman"/>
          <w:lang w:val="sr-Latn-ME"/>
        </w:rPr>
        <w:t>, a broj trombocita na ≥100 000 ćelija/mm</w:t>
      </w:r>
      <w:r w:rsidRPr="00E07BBD">
        <w:rPr>
          <w:rFonts w:ascii="Times New Roman" w:eastAsia="TimesNewRoman" w:hAnsi="Times New Roman" w:cs="Times New Roman"/>
          <w:vertAlign w:val="superscript"/>
          <w:lang w:val="sr-Latn-ME"/>
        </w:rPr>
        <w:t>3</w:t>
      </w:r>
      <w:r w:rsidRPr="00E07BBD">
        <w:rPr>
          <w:rFonts w:ascii="Times New Roman" w:eastAsia="TimesNewRoman" w:hAnsi="Times New Roman" w:cs="Times New Roman"/>
          <w:lang w:val="sr-Latn-ME"/>
        </w:rPr>
        <w:t>. Redukcije doze u narednim ciklusima zasnivaju se na najnižim vrijednostima ABN, broju trombocita i najvećoj nehematološkoj toksičnosti iz prethodnog ciklusa (vidjeti dio 4.2).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Prijavljena je manja toksičnost, kao i smanjenje hematološke i nehematološke toksičnosti stepena 3/4, poput neutropenije, febrilne neutropenije i infekcija praćenih neutropenijom stepena 3/4, ako je sprovedena preterapijska primjena folne kiseline i vitamina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 Stoga svim pacijentima na terapiji pemetreksedom mora biti propisana folna kiselina i vitamin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 xml:space="preserve"> kao profilaktička mjera u cilju redukovanja toksičnosti terapije (vidjeti dio 4.2).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Kod pacijenata koji prije terapije nisu primali kortikosteroid prijavljene su kožne reakcije. Prethodna terapija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deksametazonom (ili ekvivalentnim lijekom) može da doprinese smanjenju učestalosti i težine kožnih reakcija (vidjeti dio 4.2).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S obzirom na to da je nedovoljan broj pacijenata sa klirensom kreatinina manjim od 45 ml/min obuhvaćen kliničkim ispitivanjima, primjena pemetrekseda kod pacijenata sa klirensom kreatinina &lt; 45 ml/min se ne preporučuje (vidjeti dio 4.2).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Pacijenti sa blagim do umjerenim oštećenjem bubrega (klirens kreatinina 45-79 ml/min) treba da izbjegavaju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uzimanje nesteroidnih antiinflamatornih ljekova (NSAIL), kao što su ibuprofen i acetilsalicilna kiselina (&gt;1,3</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g dnevno) 2 dana prije, na sam dan i tokom 2 dana nakon primjene pemetrekseda (vidjeti dio 4.5).</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Kod pacijenata sa blagim do umjerenim oštećenjem bubrega kod kojih je potrebno sprovesti terapiju pemetreksedom, treba prekinuti primjenu NSAIL sa dugim poluvremenom eliminacije najmanje 5 dana prije,</w:t>
      </w:r>
    </w:p>
    <w:p w:rsidR="00E07BBD" w:rsidRPr="00E07BBD" w:rsidRDefault="00E07BBD" w:rsidP="00C42D32">
      <w:pPr>
        <w:tabs>
          <w:tab w:val="left" w:pos="284"/>
        </w:tabs>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na sam dan i bar 2 dana poslije primjene pemetrekseda (vidjeti dio 4.5).</w:t>
      </w:r>
    </w:p>
    <w:p w:rsidR="00E07BBD" w:rsidRPr="00E07BBD" w:rsidRDefault="00E07BBD" w:rsidP="00C42D32">
      <w:pPr>
        <w:tabs>
          <w:tab w:val="left" w:pos="284"/>
        </w:tabs>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lang w:val="sr-Latn-ME"/>
        </w:rPr>
      </w:pPr>
      <w:r w:rsidRPr="00E07BBD">
        <w:rPr>
          <w:rFonts w:ascii="Times New Roman" w:eastAsia="TimesNewRoman" w:hAnsi="Times New Roman" w:cs="Times New Roman"/>
          <w:lang w:val="sr-Latn-ME"/>
        </w:rPr>
        <w:t>Ozbiljni bubrežni događaji, uključujući akutnu insuficijenciju bubrega, prijavljivani su kada je pemetreksed primjenjivan sam ili u kombinaciji sa drugim hemioterapeuticima. Mnogi pacijenti kod kojih se ovo javilo imali su postojeće faktore rizika za razvoj bubrežnih komplikacija uključujući dehidrataciju, postojeću hipertenziju ili dijabetes.</w:t>
      </w:r>
      <w:r w:rsidRPr="00E07BBD">
        <w:rPr>
          <w:rFonts w:ascii="Times New Roman" w:eastAsia="Times New Roman" w:hAnsi="Times New Roman" w:cs="Times New Roman"/>
          <w:lang w:val="sr-Latn-ME"/>
        </w:rPr>
        <w:t xml:space="preserve"> Prijavljeni su nefrogeni dijabetes insipidus i bubrežna tubularna nekroza sa pemetreksidom kao i kod drugih hemoterapijskih agenasa. Kod pacijenata sa akutnom tubularnom nekrozom, smanjenom renalnom funkcijom i sa znacima i simptomima nefrogenog dijabetes insipudisa (npr. </w:t>
      </w:r>
      <w:r w:rsidRPr="00E07BBD">
        <w:rPr>
          <w:rFonts w:ascii="Times New Roman" w:eastAsia="TimesNewRomanPSMT" w:hAnsi="Times New Roman" w:cs="Times New Roman"/>
          <w:lang w:val="sr-Latn-ME"/>
        </w:rPr>
        <w:t>hipernatrijemija</w:t>
      </w:r>
      <w:r w:rsidRPr="00E07BBD">
        <w:rPr>
          <w:rFonts w:ascii="Times New Roman" w:eastAsia="Times New Roman" w:hAnsi="Times New Roman" w:cs="Times New Roman"/>
          <w:lang w:val="sr-Latn-ME"/>
        </w:rPr>
        <w:t>) je neophodan redovan nadzor.</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Nije sasvim jasno kako na pemetreksed utiče pojava tečnosti u „trećem prostoru“, kao što su pleuralna efuzija ili ascites. Studija faze II sa pemetreksedom kod 31 pacijenta sa solidnim tumorom i stabilnim volumenom tečnosti u „trećem prostoru“ nije pokazala razliku ravnotežne koncentracije u plazmi ili klirensa pemetrekseda u odnosu na pacijente kod kojih nije bilo nakupljanja tečnosti u „trećem prostoru“. Stoga, prije primjene pemetrekseda treba razmotriti drenažu nakupljene tečnosti iz „trećeg prostora“, ali to ne mora biti neophodno.</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Zabilježena je pojava teške dehidratacije kao posljedica gastrointestinalne toksičnosti kod primjene pemetrekseda u kombinaciji sa cisplatinom. Stoga prije i/ili poslije primjene terapije, pacijentima treba obezbijediti odgovarajuću antiemetičku terapiju i odgovarajuću hidrataciju.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 kliničkim ispitivanjima pemetrekseda, i to obično kada je primjenjivan u kombinaciji sa drugim citotoksičnim lijekom, povremeno su prijavljivani ozbiljni kardiovaskularni događaji, uključujući infarkt miokarda, kao i cerebrovaskularni događaji. Većina pacijenata kod kojih su uočeni ovi događaji već je imala prisutne kardiovaskularne faktore rizika (vidjeti dio 4.8).</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Kod pacijenata sa karcinomom imunološki status je često oslabljen. Stoga se ne preporučuje istovremena primjena živih atenuisanih vakcina (vidjeti djelove 4.3 i 4.5).</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Pemetreksed može izazvati oštećenja genetskog materijala. Polno zrelim muškarcima se savjetuje da ne planiraju potomstvo tokom terapije, kao ni u periodu do 6 mjeseci poslije terapije. Preporučuje se korišćenje kontraceptivnih mjera ili apstinencija. Imajući u vidu mogućnost da terapija pemetreksedom može da dovede do ireverzibilne neplodnosti, muškarcima se preporučuje da prije početka terapije potraže stručni savjet o načinu deponovanja sperme.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Žene u reproduktivnom dobu moraju u toku terapije pemetreksedom da koriste efikasne mjere kontracepcije (vidjeti dio 4.6).</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Slučajevi radijacionog pneumonitisa su prijavljivani kod pacijenata koji su prije, tokom ili nakon terapije pemetreksedom bili na terapiji zračenjem. Posebnu pažnju treba obratiti na te pacijente i uz oprez primjenjivati  druge ljekove koji povećavaju osjetljivost na zračenje.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Prijavljeni su slučajevi radijacionog „recall“ dermatitisa (inflamatorna reakcija na koži) kod pacijenata koji su primali radijacionu terapiju prije više nedjelja ili godina.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lang w:val="sr-Latn-ME"/>
        </w:rPr>
      </w:pPr>
      <w:r w:rsidRPr="00E07BBD">
        <w:rPr>
          <w:rFonts w:ascii="Times New Roman" w:eastAsia="Times New Roman" w:hAnsi="Times New Roman" w:cs="Times New Roman"/>
          <w:lang w:val="sr-Latn-ME"/>
        </w:rPr>
        <w:t>Pomoćne supstance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 New Roman" w:hAnsi="Times New Roman" w:cs="Times New Roman"/>
          <w:lang w:val="sr-Latn-ME"/>
        </w:rPr>
        <w:t>Pemetrexed Accord</w:t>
      </w:r>
      <w:r w:rsidRPr="00E07BBD">
        <w:rPr>
          <w:rFonts w:ascii="Times New Roman" w:eastAsia="TimesNewRoman" w:hAnsi="Times New Roman" w:cs="Times New Roman"/>
          <w:lang w:val="sr-Latn-ME"/>
        </w:rPr>
        <w:t xml:space="preserve"> 500 mg</w:t>
      </w:r>
      <w:r w:rsidRPr="00E07BBD">
        <w:rPr>
          <w:rFonts w:ascii="Times New Roman" w:eastAsia="Times New Roman" w:hAnsi="Times New Roman" w:cs="Times New Roman"/>
          <w:lang w:val="sr-Latn-ME"/>
        </w:rPr>
        <w:t xml:space="preserve"> p</w:t>
      </w:r>
      <w:r w:rsidRPr="00E07BBD">
        <w:rPr>
          <w:rFonts w:ascii="Times New Roman" w:eastAsia="TimesNewRoman" w:hAnsi="Times New Roman" w:cs="Times New Roman"/>
          <w:lang w:val="sr-Latn-ME"/>
        </w:rPr>
        <w:t>rašak za koncentrat za rastvor za infuziju sadrži približno 54 mg natrijuma (2,35 mmol) po bočici. To treba uzeti u obzir kod pacijenata čiji način ishrane zahtijeva kontrolisan unos soli.</w:t>
      </w:r>
    </w:p>
    <w:p w:rsidR="00E07BBD" w:rsidRPr="00E07BBD" w:rsidRDefault="00E07BBD" w:rsidP="00C42D32">
      <w:pPr>
        <w:tabs>
          <w:tab w:val="left" w:pos="284"/>
        </w:tabs>
        <w:spacing w:after="0" w:line="240" w:lineRule="auto"/>
        <w:jc w:val="both"/>
        <w:rPr>
          <w:rFonts w:ascii="Times New Roman" w:eastAsia="Times New Roman" w:hAnsi="Times New Roman" w:cs="Times New Roman"/>
          <w:color w:val="FF0000"/>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b/>
          <w:bCs/>
          <w:lang w:val="sr-Latn-ME"/>
        </w:rPr>
      </w:pPr>
      <w:r w:rsidRPr="00E07BBD">
        <w:rPr>
          <w:rFonts w:ascii="Times New Roman" w:eastAsia="Times New Roman" w:hAnsi="Times New Roman" w:cs="Times New Roman"/>
          <w:b/>
          <w:bCs/>
          <w:lang w:val="sr-Latn-ME"/>
        </w:rPr>
        <w:t>4.5. Interakcije sa drugim ljekovima i druge vrste interakcija</w:t>
      </w:r>
    </w:p>
    <w:p w:rsidR="00E07BBD" w:rsidRPr="00E07BBD" w:rsidRDefault="00E07BBD" w:rsidP="00C42D32">
      <w:pPr>
        <w:tabs>
          <w:tab w:val="left" w:pos="284"/>
        </w:tabs>
        <w:spacing w:after="0" w:line="240" w:lineRule="auto"/>
        <w:jc w:val="both"/>
        <w:rPr>
          <w:rFonts w:ascii="Times New Roman" w:eastAsia="Times New 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Pemetreksed se uglavnom eliminiše putem bubrega u nepromijenjenom obliku i to tubularnom sekrecijom, a u manjoj mjeri glomerularnom filtracijom. Istovremena primjena sa nefrotoksičnim ljekovima (npr. aminoglikozidom, diureticima Henleove petlje, jedinjenjima platine, ciklosporinom) može da dovede do odloženog klirensa pemetrekseda. Kod primjene ove kombinacije ljekova potreban je oprez. Ukoliko je potrebno, treba pažljivo pratiti klirens kreatinina.</w:t>
      </w: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Istovremena primjena ljekova koji se takođe eliminišu tubularnom sekrecijom (npr. probenecida, penicilina) može da uspori klirens pemetrekseda. Potreban je oprez kada se ovi ljekovi primjenjuju u kombinaciji sa pemetreksedom. Ako je potrebno, treba pažljivo pratiti klirens kreatinina.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Kod pacijenata sa normalnom funkcijom bubrega (klirens kreatinina ≥80 ml/min), visoke doze NSAIL (npr. ibuprofena &gt; 1600 mg/dnevno) i više doze acetilsalicilne kiseline (≥ 1,3 g dnevno) mogu da smanje eliminaciju pemetrekseda, povećavajući na taj način učestalost pojave neželjenih događaja vezanih za primjenu pemetrekseda. Zato je neophodan oprez kad se više doze NSAIL ili acetilsalicilne kiseline primjenjuju istovremeno sa pemetreksedom kod pacijenata sa normalnom funkcijom bubrega (klirens kreatinina ≥80 ml/min).</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Kod pacijenata sa blagom do umjerenom insuficijencijom bubrega (klirens kreatinina 45-79 ml/min), istovremenu primjenu pemetrekseda sa NSAIL (npr. ibuprofenom) ili višim dozama acetilsalicilne kiseline treba izbjegavati bar 2 dana prije, na sam dan i najmanje 2 dana poslije primjene pemetrekseda (vidjeti dio 4.4).</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 nedostatku podataka koji se odnose na potencijalne interakcije sa NSAIL sa dužim poluvremenom eliminacije, npr. piroksikamom ili rofekoksibom, njihovu istovremenu primjenu sa pemetreksedom kod pacijenata sa blagom do umjerenom insuficijencijom bubrega treba prekinuti bar 5 dana prije, na sam dan i najmanje 2 dana poslije primjene pemetrekseda (vidjeti dio 4.4). Ukoliko je neophodna istovremena primjena ljekova iz grupe NSAIL, pacijente treba pažljivo pratiti kako bi se uočili eventualni znaci toksičnosti, pogotovo mijelosupresije i gastrointestinalne toksičnosti.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Pemetreksed se u ograničenoj mjeri metaboliše u jetri. Rezultati </w:t>
      </w:r>
      <w:r w:rsidRPr="00E07BBD">
        <w:rPr>
          <w:rFonts w:ascii="Times New Roman" w:eastAsia="TimesNewRoman" w:hAnsi="Times New Roman" w:cs="Times New Roman"/>
          <w:i/>
          <w:iCs/>
          <w:lang w:val="sr-Latn-ME"/>
        </w:rPr>
        <w:t xml:space="preserve">in vitro </w:t>
      </w:r>
      <w:r w:rsidRPr="00E07BBD">
        <w:rPr>
          <w:rFonts w:ascii="Times New Roman" w:eastAsia="TimesNewRoman" w:hAnsi="Times New Roman" w:cs="Times New Roman"/>
          <w:lang w:val="sr-Latn-ME"/>
        </w:rPr>
        <w:t>studija na mikrozomima humane jetre pokazali su da pemetreksed vjerovatno neće izazvati klinički značajnu inhibiciju metaboličkog klirensa ljekova koji se metabolišu posredstvom CYP3A, CYP2D6, CYP2C9 i CYP1A2.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Interakcije koje su zajedničke za sve citotoksične ljekove: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Zbog povećanog rizika od tromboze, onkološkim pacijentima se često daje antikoagulantna terapija. Zbog velike intraindividualne varijabilnosti koagulacionog statusa u toku bolesti i mogućnosti interakcije između oralnih antikoagulansa i antitumorske hemioterapije, neophodno je češće praćenje INR-a </w:t>
      </w:r>
      <w:r w:rsidRPr="00E07BBD">
        <w:rPr>
          <w:rFonts w:ascii="Times New Roman" w:eastAsia="TimesNewRoman" w:hAnsi="Times New Roman" w:cs="Times New Roman"/>
          <w:i/>
          <w:lang w:val="sr-Latn-ME"/>
        </w:rPr>
        <w:t>(International Normalized Ratio)</w:t>
      </w:r>
      <w:r w:rsidRPr="00E07BBD">
        <w:rPr>
          <w:rFonts w:ascii="Times New Roman" w:eastAsia="TimesNewRoman" w:hAnsi="Times New Roman" w:cs="Times New Roman"/>
          <w:lang w:val="sr-Latn-ME"/>
        </w:rPr>
        <w:t xml:space="preserve"> ukoliko se donese odluka da se pacijent liječi oralnim antikoagulansima.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Kontraindikovana je istovremena primjena vakcine protiv žute groznice zbog rizika od smrtonosne generalizovane vakcinalne bolesti (vidjeti dio 4.3).</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Ne preporučuje se istovremena primjena živih atenuisanih vakcina (izuzev vakcine protiv žute groznice, čija je istovremena primjena kontraindikovana) zbog rizika od sistemske bolesti koja može biti smrtonosna. Rizik je povećan kod pacijenata koji su već imunokompromitovani zbog osnovne bolesti. Treba koristiti inaktivisanu vakcinu, ako postoji (poliomijelitis) (vidjeti dio 4.4).</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i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4.6 Plodnost, trudnoća i dojenje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Plodnost:</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Zbog mogućnosti da pemetreksed izazove ireverzibilnu neplodnost, muškarcima se preporučuje da prije početka terapije potraže savjet o načinu deponovanja sperme.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lastRenderedPageBreak/>
        <w:t>Kontracepcija kod muškaraca i žena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Žene u reproduktivnom dobu moraju da koriste efikasnu kontracepciju tokom terapije pemetreksedom. Pemetreksed može izazvati oštećenja genetskog materijala. Polno zrelim muškarcima se savjetuje da ne planiraju potomstvo tokom terapije, kao ni u periodu do 6 mjeseci poslije terapije. Preporučuje se primjena kontraceptivnih mjera ili apstinencija.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Trudnoća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Nema podataka o primjeni pemetrekseda kod trudnica, ali se sumnja da pemetreksed, kao i ostali antimetaboliti, uzrokuje ozbiljne urođene defekte ako se primjenjuje tokom trudnoće. Istraživanja na životinjama su pokazala reproduktivnu toksičnost (vidjeti dio 5.3). Pemetreksed se ne smije koristiti u trudnoći, osim ukoliko je to izričito neophodno, i tek nakon pažljive procjene potreba majke i mogućih rizika po fetus (vidjeti dio 4.4).</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Dojenje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Pošto nije poznato da li pemetreksed prelazi u majčino mlijeko, ne mogu se isključiti neželjeni efekti na odojče. U toku terapije pemetreksedom dojenje se mora prekinuti (vidjeti dio 4.3).</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4.7. Uticaj na sposobnost upravljanja vozilima i rukovanje mašinama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Nisu sprovedena ispitivanja o uticaju pemetrekseda na sposobnost upravljanja vozilima i rukovanje mašinama. Ipak, prijavljeno je da pemetreksed može da izazove umor. Zato pacijente treba upozoriti da, u slučaju pojave umora, ne upravljaju vozilom niti rukuju mašinama.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4.8. Neželjena dejstva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Sažetak bezbjednosnog profila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u w:val="single"/>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Najčešće prijavljena neželjena dejstva pemetrekseda, bilo da se on primjenjivao kao monoterapija ili u kombinaciji sa drugim ljekovima, su supresija koštane srži koja se manifestuje kao anemija, neutropenija, leukopenija, trombocitopenija; zatim gastrointestinalna toksičnost koja se ispoljava kao anoreksija, mučnina, povraćanje, proliv, konstipacija, faringitis, mukozitis i stomatitis. Ostala neželjena dejstva uključuju renalnu toksičnost, povišene vrijednosti aminotransferaza, alopeciju, umor, dehidrataciju, osip, infekciju/sepsu i neuropatiju. Među rijetko zabilježene događaje spadaju </w:t>
      </w:r>
      <w:r w:rsidRPr="00E07BBD">
        <w:rPr>
          <w:rFonts w:ascii="Times New Roman" w:eastAsia="TimesNewRoman" w:hAnsi="Times New Roman" w:cs="Times New Roman"/>
          <w:i/>
          <w:iCs/>
          <w:lang w:val="sr-Latn-ME"/>
        </w:rPr>
        <w:t xml:space="preserve">Stevens-Johnson </w:t>
      </w:r>
      <w:r w:rsidRPr="00E07BBD">
        <w:rPr>
          <w:rFonts w:ascii="Times New Roman" w:eastAsia="TimesNewRoman" w:hAnsi="Times New Roman" w:cs="Times New Roman"/>
          <w:lang w:val="sr-Latn-ME"/>
        </w:rPr>
        <w:t>sindrom i toksična epidermalna nekroliza.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Tabelarni prikaz neželjenih reakcija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u w:val="single"/>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 tabeli koja slijedi navedene su učestalost i težina neželjenih dejstava koja su prijavljena kod &gt;5% od 168 pacijenata sa mezoteliomom, randomizovanih u grupu koja je primala cisplatin i pemetreksed i 163 pacijenta sa mezoteliomom, randomizovanih u grupu koja je primala samo cisplatin. U obje terapijske grupe pacijenti, koji prethodno nisu nikad primali hemioterapiju, dobijali su adekvatnu dopunsku terapiju folnom kiselinom 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vitaminom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iCs/>
          <w:lang w:val="sr-Latn-ME"/>
        </w:rPr>
      </w:pPr>
      <w:r w:rsidRPr="00E07BBD">
        <w:rPr>
          <w:rFonts w:ascii="Times New Roman" w:eastAsia="TimesNewRoman" w:hAnsi="Times New Roman" w:cs="Times New Roman"/>
          <w:i/>
          <w:iCs/>
          <w:lang w:val="sr-Latn-ME"/>
        </w:rPr>
        <w:t>Neželjene reakcije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Procjena učestalosti: veoma česta (≥1/10), česta (≥1/100 i &lt; 1/10), povremena (≥1/1000 i &lt; 1/100), rijetka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(≥1/10000 i &lt; 1/1000), veoma rijetka (&lt; 1/10000) i nepoznata (ne može se procijeniti na osnovu raspoloživih</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podataka-spontanih prijava).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Unutar svake grupe učestalosti, neželjena dejstva su prikazana po opadajućem stepenu ozbiljnosti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tbl>
      <w:tblPr>
        <w:tblStyle w:val="TableGrid2"/>
        <w:tblW w:w="10008" w:type="dxa"/>
        <w:tblLayout w:type="fixed"/>
        <w:tblLook w:val="04A0" w:firstRow="1" w:lastRow="0" w:firstColumn="1" w:lastColumn="0" w:noHBand="0" w:noVBand="1"/>
      </w:tblPr>
      <w:tblGrid>
        <w:gridCol w:w="2122"/>
        <w:gridCol w:w="1226"/>
        <w:gridCol w:w="1681"/>
        <w:gridCol w:w="1201"/>
        <w:gridCol w:w="1258"/>
        <w:gridCol w:w="1155"/>
        <w:gridCol w:w="1365"/>
      </w:tblGrid>
      <w:tr w:rsidR="00E07BBD" w:rsidRPr="00E07BBD" w:rsidTr="00C42D32">
        <w:trPr>
          <w:trHeight w:val="286"/>
        </w:trPr>
        <w:tc>
          <w:tcPr>
            <w:tcW w:w="2122" w:type="dxa"/>
            <w:vMerge w:val="restart"/>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Klasa</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sistema</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organa</w:t>
            </w:r>
          </w:p>
          <w:p w:rsidR="00E07BBD" w:rsidRPr="00E07BBD" w:rsidRDefault="00E07BBD" w:rsidP="00C42D32">
            <w:pPr>
              <w:autoSpaceDE w:val="0"/>
              <w:autoSpaceDN w:val="0"/>
              <w:adjustRightInd w:val="0"/>
              <w:jc w:val="both"/>
              <w:rPr>
                <w:rFonts w:eastAsia="TimesNewRoman"/>
                <w:sz w:val="22"/>
                <w:szCs w:val="22"/>
                <w:lang w:val="sr-Latn-ME"/>
              </w:rPr>
            </w:pPr>
          </w:p>
        </w:tc>
        <w:tc>
          <w:tcPr>
            <w:tcW w:w="1226"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b/>
                <w:bCs/>
                <w:sz w:val="22"/>
                <w:szCs w:val="22"/>
                <w:lang w:val="sr-Latn-ME"/>
              </w:rPr>
              <w:t>Učestalost</w:t>
            </w:r>
          </w:p>
        </w:tc>
        <w:tc>
          <w:tcPr>
            <w:tcW w:w="1681"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b/>
                <w:bCs/>
                <w:sz w:val="22"/>
                <w:szCs w:val="22"/>
                <w:lang w:val="sr-Latn-ME"/>
              </w:rPr>
              <w:t>Događaj*</w:t>
            </w:r>
          </w:p>
        </w:tc>
        <w:tc>
          <w:tcPr>
            <w:tcW w:w="2459" w:type="dxa"/>
            <w:gridSpan w:val="2"/>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b/>
                <w:bCs/>
                <w:sz w:val="22"/>
                <w:szCs w:val="22"/>
                <w:lang w:val="sr-Latn-ME"/>
              </w:rPr>
              <w:t>Pemetreksed  /cisplatin</w:t>
            </w:r>
          </w:p>
        </w:tc>
        <w:tc>
          <w:tcPr>
            <w:tcW w:w="2520" w:type="dxa"/>
            <w:gridSpan w:val="2"/>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b/>
                <w:bCs/>
                <w:sz w:val="22"/>
                <w:szCs w:val="22"/>
                <w:lang w:val="sr-Latn-ME"/>
              </w:rPr>
              <w:t>Cisplatin</w:t>
            </w:r>
          </w:p>
        </w:tc>
      </w:tr>
      <w:tr w:rsidR="00E07BBD" w:rsidRPr="00E07BBD" w:rsidTr="00C42D32">
        <w:trPr>
          <w:trHeight w:val="417"/>
        </w:trPr>
        <w:tc>
          <w:tcPr>
            <w:tcW w:w="2122" w:type="dxa"/>
            <w:vMerge/>
          </w:tcPr>
          <w:p w:rsidR="00E07BBD" w:rsidRPr="00E07BBD" w:rsidRDefault="00E07BBD" w:rsidP="00C42D32">
            <w:pPr>
              <w:autoSpaceDE w:val="0"/>
              <w:autoSpaceDN w:val="0"/>
              <w:adjustRightInd w:val="0"/>
              <w:jc w:val="both"/>
              <w:rPr>
                <w:rFonts w:eastAsia="TimesNewRoman"/>
                <w:b/>
                <w:b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b/>
                <w:bCs/>
                <w:sz w:val="22"/>
                <w:szCs w:val="22"/>
                <w:lang w:val="sr-Latn-ME"/>
              </w:rPr>
            </w:pPr>
          </w:p>
        </w:tc>
        <w:tc>
          <w:tcPr>
            <w:tcW w:w="1681" w:type="dxa"/>
            <w:vMerge/>
          </w:tcPr>
          <w:p w:rsidR="00E07BBD" w:rsidRPr="00E07BBD" w:rsidRDefault="00E07BBD" w:rsidP="00C42D32">
            <w:pPr>
              <w:autoSpaceDE w:val="0"/>
              <w:autoSpaceDN w:val="0"/>
              <w:adjustRightInd w:val="0"/>
              <w:jc w:val="both"/>
              <w:rPr>
                <w:rFonts w:eastAsia="TimesNewRoman"/>
                <w:b/>
                <w:bCs/>
                <w:sz w:val="22"/>
                <w:szCs w:val="22"/>
                <w:lang w:val="sr-Latn-ME"/>
              </w:rPr>
            </w:pPr>
          </w:p>
        </w:tc>
        <w:tc>
          <w:tcPr>
            <w:tcW w:w="2459" w:type="dxa"/>
            <w:gridSpan w:val="2"/>
          </w:tcPr>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(N=168)</w:t>
            </w:r>
          </w:p>
        </w:tc>
        <w:tc>
          <w:tcPr>
            <w:tcW w:w="2520" w:type="dxa"/>
            <w:gridSpan w:val="2"/>
          </w:tcPr>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(N=163)</w:t>
            </w:r>
          </w:p>
        </w:tc>
      </w:tr>
      <w:tr w:rsidR="00E07BBD" w:rsidRPr="00E07BBD" w:rsidTr="00C42D32">
        <w:trPr>
          <w:trHeight w:val="786"/>
        </w:trPr>
        <w:tc>
          <w:tcPr>
            <w:tcW w:w="2122" w:type="dxa"/>
            <w:vMerge/>
          </w:tcPr>
          <w:p w:rsidR="00E07BBD" w:rsidRPr="00E07BBD" w:rsidRDefault="00E07BBD" w:rsidP="00C42D32">
            <w:pPr>
              <w:autoSpaceDE w:val="0"/>
              <w:autoSpaceDN w:val="0"/>
              <w:adjustRightInd w:val="0"/>
              <w:jc w:val="both"/>
              <w:rPr>
                <w:rFonts w:eastAsia="TimesNewRoman"/>
                <w:b/>
                <w:b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b/>
                <w:bCs/>
                <w:sz w:val="22"/>
                <w:szCs w:val="22"/>
                <w:lang w:val="sr-Latn-ME"/>
              </w:rPr>
            </w:pPr>
          </w:p>
        </w:tc>
        <w:tc>
          <w:tcPr>
            <w:tcW w:w="1681" w:type="dxa"/>
            <w:vMerge/>
          </w:tcPr>
          <w:p w:rsidR="00E07BBD" w:rsidRPr="00E07BBD" w:rsidRDefault="00E07BBD" w:rsidP="00C42D32">
            <w:pPr>
              <w:autoSpaceDE w:val="0"/>
              <w:autoSpaceDN w:val="0"/>
              <w:adjustRightInd w:val="0"/>
              <w:jc w:val="both"/>
              <w:rPr>
                <w:rFonts w:eastAsia="TimesNewRoman"/>
                <w:b/>
                <w:bCs/>
                <w:sz w:val="22"/>
                <w:szCs w:val="22"/>
                <w:lang w:val="sr-Latn-ME"/>
              </w:rPr>
            </w:pPr>
          </w:p>
        </w:tc>
        <w:tc>
          <w:tcPr>
            <w:tcW w:w="1201" w:type="dxa"/>
          </w:tcPr>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Svi stepeni</w:t>
            </w:r>
          </w:p>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Toksičnosti (%)</w:t>
            </w:r>
          </w:p>
        </w:tc>
        <w:tc>
          <w:tcPr>
            <w:tcW w:w="1258" w:type="dxa"/>
          </w:tcPr>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Toksičnost</w:t>
            </w:r>
          </w:p>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3-4. stepena</w:t>
            </w:r>
          </w:p>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w:t>
            </w:r>
          </w:p>
        </w:tc>
        <w:tc>
          <w:tcPr>
            <w:tcW w:w="1155" w:type="dxa"/>
          </w:tcPr>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Svi stepeni</w:t>
            </w:r>
          </w:p>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toksičnosti</w:t>
            </w:r>
          </w:p>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w:t>
            </w:r>
          </w:p>
        </w:tc>
        <w:tc>
          <w:tcPr>
            <w:tcW w:w="1365" w:type="dxa"/>
          </w:tcPr>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Toksičnost</w:t>
            </w:r>
          </w:p>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3-4. stepena</w:t>
            </w:r>
          </w:p>
          <w:p w:rsidR="00E07BBD" w:rsidRPr="00E07BBD" w:rsidRDefault="00E07BBD" w:rsidP="00C42D32">
            <w:pPr>
              <w:tabs>
                <w:tab w:val="left" w:pos="284"/>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w:t>
            </w:r>
          </w:p>
        </w:tc>
      </w:tr>
      <w:tr w:rsidR="00E07BBD" w:rsidRPr="00E07BBD" w:rsidTr="00C42D32">
        <w:trPr>
          <w:trHeight w:val="531"/>
        </w:trPr>
        <w:tc>
          <w:tcPr>
            <w:tcW w:w="2122" w:type="dxa"/>
            <w:vMerge w:val="restart"/>
          </w:tcPr>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Poremećaji krvi i</w:t>
            </w:r>
          </w:p>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limfnog sistema</w:t>
            </w:r>
          </w:p>
          <w:p w:rsidR="00E07BBD" w:rsidRPr="00E07BBD" w:rsidRDefault="00E07BBD" w:rsidP="00C42D32">
            <w:pPr>
              <w:autoSpaceDE w:val="0"/>
              <w:autoSpaceDN w:val="0"/>
              <w:adjustRightInd w:val="0"/>
              <w:rPr>
                <w:rFonts w:eastAsia="TimesNewRoman"/>
                <w:sz w:val="22"/>
                <w:szCs w:val="22"/>
                <w:lang w:val="sr-Latn-ME"/>
              </w:rPr>
            </w:pPr>
          </w:p>
        </w:tc>
        <w:tc>
          <w:tcPr>
            <w:tcW w:w="1226"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broj</w:t>
            </w:r>
          </w:p>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neutrofila/</w:t>
            </w:r>
          </w:p>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granulocita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56,0</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23,2</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13,5</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3,1</w:t>
            </w:r>
          </w:p>
        </w:tc>
      </w:tr>
      <w:tr w:rsidR="00E07BBD" w:rsidRPr="00E07BBD" w:rsidTr="00C42D32">
        <w:trPr>
          <w:trHeight w:val="545"/>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broj</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leukocita</w:t>
            </w:r>
          </w:p>
        </w:tc>
        <w:tc>
          <w:tcPr>
            <w:tcW w:w="1201"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53,0</w:t>
            </w:r>
          </w:p>
        </w:tc>
        <w:tc>
          <w:tcPr>
            <w:tcW w:w="1258"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14,9</w:t>
            </w:r>
          </w:p>
        </w:tc>
        <w:tc>
          <w:tcPr>
            <w:tcW w:w="1155"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16</w:t>
            </w:r>
          </w:p>
        </w:tc>
        <w:tc>
          <w:tcPr>
            <w:tcW w:w="1365"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0,6</w:t>
            </w:r>
          </w:p>
        </w:tc>
      </w:tr>
      <w:tr w:rsidR="00E07BBD" w:rsidRPr="00E07BBD" w:rsidTr="00C42D32">
        <w:trPr>
          <w:trHeight w:val="231"/>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Snižene vrijednosti</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hemoglobina</w:t>
            </w:r>
          </w:p>
        </w:tc>
        <w:tc>
          <w:tcPr>
            <w:tcW w:w="1201"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26,2</w:t>
            </w:r>
          </w:p>
        </w:tc>
        <w:tc>
          <w:tcPr>
            <w:tcW w:w="1258"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4,2</w:t>
            </w:r>
          </w:p>
        </w:tc>
        <w:tc>
          <w:tcPr>
            <w:tcW w:w="1155"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10,4</w:t>
            </w:r>
          </w:p>
        </w:tc>
        <w:tc>
          <w:tcPr>
            <w:tcW w:w="1365"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0,0</w:t>
            </w:r>
          </w:p>
        </w:tc>
      </w:tr>
      <w:tr w:rsidR="00E07BBD" w:rsidRPr="00E07BBD" w:rsidTr="00C42D32">
        <w:trPr>
          <w:trHeight w:val="163"/>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broj</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trombocita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23.2</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5.4</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8.6</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0,0</w:t>
            </w:r>
          </w:p>
        </w:tc>
      </w:tr>
      <w:tr w:rsidR="00E07BBD" w:rsidRPr="00E07BBD" w:rsidTr="00C42D32">
        <w:tc>
          <w:tcPr>
            <w:tcW w:w="2122"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i/>
                <w:iCs/>
                <w:sz w:val="22"/>
                <w:szCs w:val="22"/>
                <w:lang w:val="sr-Latn-ME"/>
              </w:rPr>
              <w:t>Poremećaji metabolizma i ishrane</w:t>
            </w:r>
          </w:p>
        </w:tc>
        <w:tc>
          <w:tcPr>
            <w:tcW w:w="1226" w:type="dxa"/>
          </w:tcPr>
          <w:p w:rsidR="00E07BBD" w:rsidRPr="00E07BBD" w:rsidRDefault="00E07BBD" w:rsidP="00C42D32">
            <w:pPr>
              <w:autoSpaceDE w:val="0"/>
              <w:autoSpaceDN w:val="0"/>
              <w:adjustRightInd w:val="0"/>
              <w:jc w:val="both"/>
              <w:rPr>
                <w:rFonts w:eastAsia="TimesNewRoman"/>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Često</w:t>
            </w: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Dehidratacija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PSMT"/>
                <w:sz w:val="22"/>
                <w:szCs w:val="22"/>
                <w:lang w:val="sr-Latn-ME"/>
              </w:rPr>
              <w:t>6.5</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PSMT"/>
                <w:sz w:val="22"/>
                <w:szCs w:val="22"/>
                <w:lang w:val="sr-Latn-ME"/>
              </w:rPr>
              <w:t>4.2</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PSMT"/>
                <w:sz w:val="22"/>
                <w:szCs w:val="22"/>
                <w:lang w:val="sr-Latn-ME"/>
              </w:rPr>
              <w:t>0.6</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PSMT"/>
                <w:sz w:val="22"/>
                <w:szCs w:val="22"/>
                <w:lang w:val="sr-Latn-ME"/>
              </w:rPr>
              <w:t>0.6</w:t>
            </w:r>
          </w:p>
        </w:tc>
      </w:tr>
      <w:tr w:rsidR="00E07BBD" w:rsidRPr="00E07BBD" w:rsidTr="00C42D32">
        <w:trPr>
          <w:trHeight w:val="557"/>
        </w:trPr>
        <w:tc>
          <w:tcPr>
            <w:tcW w:w="2122" w:type="dxa"/>
            <w:vMerge w:val="restart"/>
          </w:tcPr>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Poremećaji</w:t>
            </w:r>
          </w:p>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nervnog sistema</w:t>
            </w:r>
          </w:p>
        </w:tc>
        <w:tc>
          <w:tcPr>
            <w:tcW w:w="122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Senzorna neuropatija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10.1</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9.8</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r>
      <w:tr w:rsidR="00E07BBD" w:rsidRPr="00E07BBD" w:rsidTr="00C42D32">
        <w:trPr>
          <w:trHeight w:val="190"/>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Poremećaj ukusa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7.7</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6.1</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r>
      <w:tr w:rsidR="00E07BBD" w:rsidRPr="00E07BBD" w:rsidTr="00C42D32">
        <w:tc>
          <w:tcPr>
            <w:tcW w:w="2122" w:type="dxa"/>
          </w:tcPr>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Poremećaji oka</w:t>
            </w:r>
          </w:p>
        </w:tc>
        <w:tc>
          <w:tcPr>
            <w:tcW w:w="122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Konjunktivitis</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5.4</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r>
      <w:tr w:rsidR="00E07BBD" w:rsidRPr="00E07BBD" w:rsidTr="00C42D32">
        <w:trPr>
          <w:trHeight w:val="149"/>
        </w:trPr>
        <w:tc>
          <w:tcPr>
            <w:tcW w:w="2122" w:type="dxa"/>
            <w:vMerge w:val="restart"/>
          </w:tcPr>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Gastrointestinalni</w:t>
            </w:r>
          </w:p>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poremećaji</w:t>
            </w:r>
          </w:p>
        </w:tc>
        <w:tc>
          <w:tcPr>
            <w:tcW w:w="1226"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Dijareja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16.7</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3.6</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8.0</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r>
      <w:tr w:rsidR="00E07BBD" w:rsidRPr="00E07BBD" w:rsidTr="00C42D32">
        <w:trPr>
          <w:trHeight w:val="90"/>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Povraćanje</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56.5</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10.7</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49.7</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4.3</w:t>
            </w:r>
          </w:p>
        </w:tc>
      </w:tr>
      <w:tr w:rsidR="00E07BBD" w:rsidRPr="00E07BBD" w:rsidTr="00C42D32">
        <w:trPr>
          <w:trHeight w:val="108"/>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Stomatitis / faringitis</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23.2</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3.0</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6.1</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r>
      <w:tr w:rsidR="00E07BBD" w:rsidRPr="00E07BBD" w:rsidTr="00C42D32">
        <w:trPr>
          <w:trHeight w:val="136"/>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Mučnina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82.1</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11.9</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76.7</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5.5</w:t>
            </w:r>
          </w:p>
        </w:tc>
      </w:tr>
      <w:tr w:rsidR="00E07BBD" w:rsidRPr="00E07BBD" w:rsidTr="00C42D32">
        <w:trPr>
          <w:trHeight w:val="109"/>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Anoreksija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20.2</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1.2</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14.1</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r>
      <w:tr w:rsidR="00E07BBD" w:rsidRPr="00E07BBD" w:rsidTr="00C42D32">
        <w:trPr>
          <w:trHeight w:val="64"/>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Konstipacija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11.9</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7.4</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r>
      <w:tr w:rsidR="00E07BBD" w:rsidRPr="00E07BBD" w:rsidTr="00C42D32">
        <w:trPr>
          <w:trHeight w:val="248"/>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Dispepsija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5.4</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r>
      <w:tr w:rsidR="00E07BBD" w:rsidRPr="00E07BBD" w:rsidTr="00C42D32">
        <w:trPr>
          <w:trHeight w:val="245"/>
        </w:trPr>
        <w:tc>
          <w:tcPr>
            <w:tcW w:w="2122" w:type="dxa"/>
            <w:vMerge w:val="restart"/>
          </w:tcPr>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Poremećaji kože i</w:t>
            </w:r>
          </w:p>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potkožnog tkiva</w:t>
            </w:r>
          </w:p>
        </w:tc>
        <w:tc>
          <w:tcPr>
            <w:tcW w:w="1226"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Osip</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16.1</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4.9</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r>
      <w:tr w:rsidR="00E07BBD" w:rsidRPr="00E07BBD" w:rsidTr="00C42D32">
        <w:trPr>
          <w:trHeight w:val="326"/>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Alopecija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11.3</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5.5</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0.0***</w:t>
            </w:r>
          </w:p>
        </w:tc>
      </w:tr>
      <w:tr w:rsidR="00E07BBD" w:rsidRPr="00E07BBD" w:rsidTr="00C42D32">
        <w:trPr>
          <w:trHeight w:val="435"/>
        </w:trPr>
        <w:tc>
          <w:tcPr>
            <w:tcW w:w="2122" w:type="dxa"/>
            <w:vMerge w:val="restart"/>
          </w:tcPr>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Poremećaji</w:t>
            </w:r>
          </w:p>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bubrega i</w:t>
            </w:r>
          </w:p>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urinarnog sistema</w:t>
            </w:r>
          </w:p>
        </w:tc>
        <w:tc>
          <w:tcPr>
            <w:tcW w:w="1226"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Povećane vrijednosti</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kreatinina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10.7</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9.8</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1.2</w:t>
            </w:r>
          </w:p>
        </w:tc>
      </w:tr>
      <w:tr w:rsidR="00E07BBD" w:rsidRPr="00E07BBD" w:rsidTr="00C42D32">
        <w:trPr>
          <w:trHeight w:val="326"/>
        </w:trPr>
        <w:tc>
          <w:tcPr>
            <w:tcW w:w="2122" w:type="dxa"/>
            <w:vMerge/>
          </w:tcPr>
          <w:p w:rsidR="00E07BBD" w:rsidRPr="00E07BBD" w:rsidRDefault="00E07BBD" w:rsidP="00C42D32">
            <w:pPr>
              <w:autoSpaceDE w:val="0"/>
              <w:autoSpaceDN w:val="0"/>
              <w:adjustRightInd w:val="0"/>
              <w:rPr>
                <w:rFonts w:eastAsia="TimesNewRoman"/>
                <w:i/>
                <w:iCs/>
                <w:sz w:val="22"/>
                <w:szCs w:val="22"/>
                <w:lang w:val="sr-Latn-ME"/>
              </w:rPr>
            </w:pPr>
          </w:p>
        </w:tc>
        <w:tc>
          <w:tcPr>
            <w:tcW w:w="1226"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klirens</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kreatinina**</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16.1</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0.6</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17.8</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1.8</w:t>
            </w:r>
          </w:p>
        </w:tc>
      </w:tr>
      <w:tr w:rsidR="00E07BBD" w:rsidRPr="00E07BBD" w:rsidTr="00C42D32">
        <w:tc>
          <w:tcPr>
            <w:tcW w:w="2122" w:type="dxa"/>
          </w:tcPr>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Opšti poremećaji</w:t>
            </w:r>
          </w:p>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i reakcije na</w:t>
            </w:r>
          </w:p>
          <w:p w:rsidR="00E07BBD" w:rsidRPr="00E07BBD" w:rsidRDefault="00E07BBD" w:rsidP="00C42D32">
            <w:pPr>
              <w:autoSpaceDE w:val="0"/>
              <w:autoSpaceDN w:val="0"/>
              <w:adjustRightInd w:val="0"/>
              <w:rPr>
                <w:rFonts w:eastAsia="TimesNewRoman"/>
                <w:i/>
                <w:iCs/>
                <w:sz w:val="22"/>
                <w:szCs w:val="22"/>
                <w:lang w:val="sr-Latn-ME"/>
              </w:rPr>
            </w:pPr>
            <w:r w:rsidRPr="00E07BBD">
              <w:rPr>
                <w:rFonts w:eastAsia="TimesNewRoman"/>
                <w:i/>
                <w:iCs/>
                <w:sz w:val="22"/>
                <w:szCs w:val="22"/>
                <w:lang w:val="sr-Latn-ME"/>
              </w:rPr>
              <w:t>mjestu primjene</w:t>
            </w:r>
          </w:p>
        </w:tc>
        <w:tc>
          <w:tcPr>
            <w:tcW w:w="122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68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Umor</w:t>
            </w:r>
          </w:p>
        </w:tc>
        <w:tc>
          <w:tcPr>
            <w:tcW w:w="1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47.6</w:t>
            </w:r>
          </w:p>
        </w:tc>
        <w:tc>
          <w:tcPr>
            <w:tcW w:w="125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10.1</w:t>
            </w:r>
          </w:p>
        </w:tc>
        <w:tc>
          <w:tcPr>
            <w:tcW w:w="115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42.3</w:t>
            </w:r>
          </w:p>
        </w:tc>
        <w:tc>
          <w:tcPr>
            <w:tcW w:w="136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PSMT"/>
                <w:sz w:val="22"/>
                <w:szCs w:val="22"/>
                <w:lang w:val="sr-Latn-ME"/>
              </w:rPr>
              <w:t>9.2</w:t>
            </w: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 Za svaki stepen toksičnosti vidjeti CTC, verziju 2 Nacionalnog instituta za rak, osim za termin „smanjenje klirensa kreatinina“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izveden iz termina „ostali renalni/urogenitalni poremećaji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u skladu sa opštim kriterijumima toksičnosti Nacionalnog instituta za rak CTC (v2.0; NCI 1998), poremećaj ukusa i alopeciju treba prijavljivati samo kao neželjena dejstva stepena 1 ili 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 ovu tabelu uključena su sva neželjena dejstva čija je učestalost bila najmanje 5% i za koja je izvještač procijenio da bi mogla biti povezana sa primjenom pemetrekseda i cisplatina.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Među klinički značajne oblike toksičnosti prema CTC kriterijumima, prijavljene kod ≥ l% i ≤ 5% pacijenata randomizovanih da primaju cisplatin i pemetreksed, ubrajaju se: bubrežna insuficijencija, infekcija, pireksija, febrilna neutropenija, povišene vrijednosti AST, ALT i GGT, urtikarija i bol u grudima.</w:t>
      </w: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lang w:val="sr-Latn-ME"/>
        </w:rPr>
      </w:pPr>
      <w:r w:rsidRPr="00E07BBD">
        <w:rPr>
          <w:rFonts w:ascii="Times New Roman" w:eastAsia="TimesNewRoman" w:hAnsi="Times New Roman" w:cs="Times New Roman"/>
          <w:lang w:val="sr-Latn-ME"/>
        </w:rPr>
        <w:t>Klinički značajni toksični efekti prema CTC kriterijumima, prijavljeni kod &lt; 1% pacijenata randomizovanih da primaju cisplatin i pemetreksed, obuhvataju aritmiju i motornu neuropatiju.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lang w:val="sr-Latn-ME"/>
        </w:rPr>
      </w:pPr>
      <w:r w:rsidRPr="00E07BBD">
        <w:rPr>
          <w:rFonts w:ascii="Times New Roman" w:eastAsia="TimesNewRoman" w:hAnsi="Times New Roman" w:cs="Times New Roman"/>
          <w:lang w:val="sr-Latn-ME"/>
        </w:rPr>
        <w:t>U tabeli koja slijedi, navedene su učestalost i težina neželjenih događaja prijavljenih kod &gt; 5% od 265 pacijenata randomizovanih u grupu koja je primala samo pemetreksed uz dodatak folne kiseline i vitamin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 xml:space="preserve"> i 276 pacijenata randomizovanih u grupu koja je primala samo docetaksel. Kod svih pacijenata je potvrđena dijagnoza lokalno uznapredovalog ili metastatskog nemikrocelularnog karcinoma pluća, a svi su prethodno primali hemoterapiju.</w:t>
      </w:r>
    </w:p>
    <w:p w:rsidR="00E07BBD" w:rsidRPr="00E07BBD" w:rsidRDefault="00E07BBD" w:rsidP="00C42D32">
      <w:pPr>
        <w:tabs>
          <w:tab w:val="left" w:pos="284"/>
        </w:tabs>
        <w:spacing w:after="0" w:line="240" w:lineRule="auto"/>
        <w:jc w:val="both"/>
        <w:rPr>
          <w:rFonts w:ascii="Times New Roman" w:eastAsia="Times New Roman" w:hAnsi="Times New Roman" w:cs="Times New Roman"/>
          <w:b/>
          <w:bCs/>
          <w:color w:val="FF0000"/>
          <w:lang w:val="sr-Latn-ME"/>
        </w:rPr>
      </w:pPr>
    </w:p>
    <w:tbl>
      <w:tblPr>
        <w:tblStyle w:val="TableGrid2"/>
        <w:tblW w:w="9855" w:type="dxa"/>
        <w:tblLayout w:type="fixed"/>
        <w:tblLook w:val="04A0" w:firstRow="1" w:lastRow="0" w:firstColumn="1" w:lastColumn="0" w:noHBand="0" w:noVBand="1"/>
      </w:tblPr>
      <w:tblGrid>
        <w:gridCol w:w="2122"/>
        <w:gridCol w:w="1275"/>
        <w:gridCol w:w="1701"/>
        <w:gridCol w:w="1134"/>
        <w:gridCol w:w="1276"/>
        <w:gridCol w:w="1134"/>
        <w:gridCol w:w="1213"/>
      </w:tblGrid>
      <w:tr w:rsidR="00E07BBD" w:rsidRPr="00E07BBD" w:rsidTr="00C42D32">
        <w:trPr>
          <w:trHeight w:val="544"/>
        </w:trPr>
        <w:tc>
          <w:tcPr>
            <w:tcW w:w="2122" w:type="dxa"/>
            <w:vMerge w:val="restart"/>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Klasa</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organskog</w:t>
            </w:r>
          </w:p>
          <w:p w:rsidR="00E07BBD" w:rsidRPr="00E07BBD" w:rsidRDefault="00E07BBD" w:rsidP="00C42D32">
            <w:pPr>
              <w:tabs>
                <w:tab w:val="left" w:pos="284"/>
              </w:tabs>
              <w:jc w:val="both"/>
              <w:rPr>
                <w:sz w:val="22"/>
                <w:szCs w:val="22"/>
                <w:lang w:val="sr-Latn-ME"/>
              </w:rPr>
            </w:pPr>
            <w:r w:rsidRPr="00E07BBD">
              <w:rPr>
                <w:b/>
                <w:bCs/>
                <w:sz w:val="22"/>
                <w:szCs w:val="22"/>
                <w:lang w:val="sr-Latn-ME"/>
              </w:rPr>
              <w:t>sistema</w:t>
            </w:r>
          </w:p>
        </w:tc>
        <w:tc>
          <w:tcPr>
            <w:tcW w:w="1275" w:type="dxa"/>
            <w:vMerge w:val="restart"/>
          </w:tcPr>
          <w:p w:rsidR="00E07BBD" w:rsidRPr="00E07BBD" w:rsidRDefault="00E07BBD" w:rsidP="00C42D32">
            <w:pPr>
              <w:tabs>
                <w:tab w:val="left" w:pos="284"/>
              </w:tabs>
              <w:jc w:val="both"/>
              <w:rPr>
                <w:sz w:val="22"/>
                <w:szCs w:val="22"/>
                <w:lang w:val="sr-Latn-ME"/>
              </w:rPr>
            </w:pPr>
            <w:r w:rsidRPr="00E07BBD">
              <w:rPr>
                <w:b/>
                <w:bCs/>
                <w:sz w:val="22"/>
                <w:szCs w:val="22"/>
                <w:lang w:val="sr-Latn-ME"/>
              </w:rPr>
              <w:t>Učestalost</w:t>
            </w:r>
          </w:p>
        </w:tc>
        <w:tc>
          <w:tcPr>
            <w:tcW w:w="1701" w:type="dxa"/>
            <w:vMerge w:val="restart"/>
          </w:tcPr>
          <w:p w:rsidR="00E07BBD" w:rsidRPr="00E07BBD" w:rsidRDefault="00E07BBD" w:rsidP="00C42D32">
            <w:pPr>
              <w:tabs>
                <w:tab w:val="left" w:pos="284"/>
              </w:tabs>
              <w:jc w:val="both"/>
              <w:rPr>
                <w:sz w:val="22"/>
                <w:szCs w:val="22"/>
                <w:lang w:val="sr-Latn-ME"/>
              </w:rPr>
            </w:pPr>
            <w:r w:rsidRPr="00E07BBD">
              <w:rPr>
                <w:b/>
                <w:bCs/>
                <w:sz w:val="22"/>
                <w:szCs w:val="22"/>
                <w:lang w:val="sr-Latn-ME"/>
              </w:rPr>
              <w:t>Događaj*</w:t>
            </w:r>
          </w:p>
        </w:tc>
        <w:tc>
          <w:tcPr>
            <w:tcW w:w="2410" w:type="dxa"/>
            <w:gridSpan w:val="2"/>
          </w:tcPr>
          <w:p w:rsidR="00E07BBD" w:rsidRPr="00E07BBD" w:rsidRDefault="00E07BBD" w:rsidP="00C42D32">
            <w:pPr>
              <w:tabs>
                <w:tab w:val="left" w:pos="284"/>
              </w:tabs>
              <w:jc w:val="both"/>
              <w:rPr>
                <w:sz w:val="22"/>
                <w:szCs w:val="22"/>
                <w:lang w:val="sr-Latn-ME"/>
              </w:rPr>
            </w:pPr>
            <w:r w:rsidRPr="00E07BBD">
              <w:rPr>
                <w:b/>
                <w:bCs/>
                <w:sz w:val="22"/>
                <w:szCs w:val="22"/>
                <w:lang w:val="sr-Latn-ME"/>
              </w:rPr>
              <w:t>Pemetreksed N=265</w:t>
            </w:r>
          </w:p>
        </w:tc>
        <w:tc>
          <w:tcPr>
            <w:tcW w:w="2347" w:type="dxa"/>
            <w:gridSpan w:val="2"/>
          </w:tcPr>
          <w:p w:rsidR="00E07BBD" w:rsidRPr="00E07BBD" w:rsidRDefault="00E07BBD" w:rsidP="00C42D32">
            <w:pPr>
              <w:tabs>
                <w:tab w:val="left" w:pos="284"/>
              </w:tabs>
              <w:jc w:val="both"/>
              <w:rPr>
                <w:sz w:val="22"/>
                <w:szCs w:val="22"/>
                <w:lang w:val="sr-Latn-ME"/>
              </w:rPr>
            </w:pPr>
            <w:r w:rsidRPr="00E07BBD">
              <w:rPr>
                <w:b/>
                <w:bCs/>
                <w:sz w:val="22"/>
                <w:szCs w:val="22"/>
                <w:lang w:val="sr-Latn-ME"/>
              </w:rPr>
              <w:t>Docetaksel N= 276</w:t>
            </w:r>
          </w:p>
        </w:tc>
      </w:tr>
      <w:tr w:rsidR="00E07BBD" w:rsidRPr="00E07BBD" w:rsidTr="00C42D32">
        <w:trPr>
          <w:trHeight w:val="217"/>
        </w:trPr>
        <w:tc>
          <w:tcPr>
            <w:tcW w:w="2122" w:type="dxa"/>
            <w:vMerge/>
          </w:tcPr>
          <w:p w:rsidR="00E07BBD" w:rsidRPr="00E07BBD" w:rsidRDefault="00E07BBD" w:rsidP="00C42D32">
            <w:pPr>
              <w:autoSpaceDE w:val="0"/>
              <w:autoSpaceDN w:val="0"/>
              <w:adjustRightInd w:val="0"/>
              <w:jc w:val="both"/>
              <w:rPr>
                <w:b/>
                <w:bCs/>
                <w:sz w:val="22"/>
                <w:szCs w:val="22"/>
                <w:lang w:val="sr-Latn-ME"/>
              </w:rPr>
            </w:pPr>
          </w:p>
        </w:tc>
        <w:tc>
          <w:tcPr>
            <w:tcW w:w="1275" w:type="dxa"/>
            <w:vMerge/>
          </w:tcPr>
          <w:p w:rsidR="00E07BBD" w:rsidRPr="00E07BBD" w:rsidRDefault="00E07BBD" w:rsidP="00C42D32">
            <w:pPr>
              <w:tabs>
                <w:tab w:val="left" w:pos="284"/>
              </w:tabs>
              <w:jc w:val="both"/>
              <w:rPr>
                <w:b/>
                <w:bCs/>
                <w:sz w:val="22"/>
                <w:szCs w:val="22"/>
                <w:lang w:val="sr-Latn-ME"/>
              </w:rPr>
            </w:pPr>
          </w:p>
        </w:tc>
        <w:tc>
          <w:tcPr>
            <w:tcW w:w="1701" w:type="dxa"/>
            <w:vMerge/>
          </w:tcPr>
          <w:p w:rsidR="00E07BBD" w:rsidRPr="00E07BBD" w:rsidRDefault="00E07BBD" w:rsidP="00C42D32">
            <w:pPr>
              <w:tabs>
                <w:tab w:val="left" w:pos="284"/>
              </w:tabs>
              <w:jc w:val="both"/>
              <w:rPr>
                <w:b/>
                <w:bCs/>
                <w:sz w:val="22"/>
                <w:szCs w:val="22"/>
                <w:lang w:val="sr-Latn-ME"/>
              </w:rPr>
            </w:pPr>
          </w:p>
        </w:tc>
        <w:tc>
          <w:tcPr>
            <w:tcW w:w="1134" w:type="dxa"/>
          </w:tcPr>
          <w:p w:rsidR="00E07BBD" w:rsidRPr="00E07BBD" w:rsidRDefault="00E07BBD" w:rsidP="00C42D32">
            <w:pPr>
              <w:autoSpaceDE w:val="0"/>
              <w:autoSpaceDN w:val="0"/>
              <w:adjustRightInd w:val="0"/>
              <w:rPr>
                <w:b/>
                <w:bCs/>
                <w:sz w:val="22"/>
                <w:szCs w:val="22"/>
                <w:lang w:val="sr-Latn-ME"/>
              </w:rPr>
            </w:pPr>
            <w:r w:rsidRPr="00E07BBD">
              <w:rPr>
                <w:b/>
                <w:bCs/>
                <w:sz w:val="22"/>
                <w:szCs w:val="22"/>
                <w:lang w:val="sr-Latn-ME"/>
              </w:rPr>
              <w:t>Svi stepeni</w:t>
            </w:r>
          </w:p>
          <w:p w:rsidR="00E07BBD" w:rsidRPr="00E07BBD" w:rsidRDefault="00E07BBD" w:rsidP="00C42D32">
            <w:pPr>
              <w:autoSpaceDE w:val="0"/>
              <w:autoSpaceDN w:val="0"/>
              <w:adjustRightInd w:val="0"/>
              <w:rPr>
                <w:b/>
                <w:bCs/>
                <w:sz w:val="22"/>
                <w:szCs w:val="22"/>
                <w:lang w:val="sr-Latn-ME"/>
              </w:rPr>
            </w:pPr>
            <w:r w:rsidRPr="00E07BBD">
              <w:rPr>
                <w:b/>
                <w:bCs/>
                <w:sz w:val="22"/>
                <w:szCs w:val="22"/>
                <w:lang w:val="sr-Latn-ME"/>
              </w:rPr>
              <w:t>toksičnosti</w:t>
            </w:r>
          </w:p>
          <w:p w:rsidR="00E07BBD" w:rsidRPr="00E07BBD" w:rsidRDefault="00E07BBD" w:rsidP="00C42D32">
            <w:pPr>
              <w:tabs>
                <w:tab w:val="left" w:pos="284"/>
              </w:tabs>
              <w:rPr>
                <w:b/>
                <w:bCs/>
                <w:sz w:val="22"/>
                <w:szCs w:val="22"/>
                <w:lang w:val="sr-Latn-ME"/>
              </w:rPr>
            </w:pPr>
            <w:r w:rsidRPr="00E07BBD">
              <w:rPr>
                <w:b/>
                <w:bCs/>
                <w:sz w:val="22"/>
                <w:szCs w:val="22"/>
                <w:lang w:val="sr-Latn-ME"/>
              </w:rPr>
              <w:t>(%)</w:t>
            </w:r>
          </w:p>
        </w:tc>
        <w:tc>
          <w:tcPr>
            <w:tcW w:w="1276" w:type="dxa"/>
          </w:tcPr>
          <w:p w:rsidR="00E07BBD" w:rsidRPr="00E07BBD" w:rsidRDefault="00E07BBD" w:rsidP="00C42D32">
            <w:pPr>
              <w:autoSpaceDE w:val="0"/>
              <w:autoSpaceDN w:val="0"/>
              <w:adjustRightInd w:val="0"/>
              <w:rPr>
                <w:b/>
                <w:bCs/>
                <w:sz w:val="22"/>
                <w:szCs w:val="22"/>
                <w:lang w:val="sr-Latn-ME"/>
              </w:rPr>
            </w:pPr>
            <w:r w:rsidRPr="00E07BBD">
              <w:rPr>
                <w:b/>
                <w:bCs/>
                <w:sz w:val="22"/>
                <w:szCs w:val="22"/>
                <w:lang w:val="sr-Latn-ME"/>
              </w:rPr>
              <w:t>Toksičnost 3-4. stepena (%)</w:t>
            </w:r>
          </w:p>
        </w:tc>
        <w:tc>
          <w:tcPr>
            <w:tcW w:w="1134" w:type="dxa"/>
          </w:tcPr>
          <w:p w:rsidR="00E07BBD" w:rsidRPr="00E07BBD" w:rsidRDefault="00E07BBD" w:rsidP="00C42D32">
            <w:pPr>
              <w:autoSpaceDE w:val="0"/>
              <w:autoSpaceDN w:val="0"/>
              <w:adjustRightInd w:val="0"/>
              <w:rPr>
                <w:b/>
                <w:bCs/>
                <w:sz w:val="22"/>
                <w:szCs w:val="22"/>
                <w:lang w:val="sr-Latn-ME"/>
              </w:rPr>
            </w:pPr>
            <w:r w:rsidRPr="00E07BBD">
              <w:rPr>
                <w:b/>
                <w:bCs/>
                <w:sz w:val="22"/>
                <w:szCs w:val="22"/>
                <w:lang w:val="sr-Latn-ME"/>
              </w:rPr>
              <w:t>Svi stepeni</w:t>
            </w:r>
          </w:p>
          <w:p w:rsidR="00E07BBD" w:rsidRPr="00E07BBD" w:rsidRDefault="00E07BBD" w:rsidP="00C42D32">
            <w:pPr>
              <w:autoSpaceDE w:val="0"/>
              <w:autoSpaceDN w:val="0"/>
              <w:adjustRightInd w:val="0"/>
              <w:rPr>
                <w:b/>
                <w:bCs/>
                <w:sz w:val="22"/>
                <w:szCs w:val="22"/>
                <w:lang w:val="sr-Latn-ME"/>
              </w:rPr>
            </w:pPr>
            <w:r w:rsidRPr="00E07BBD">
              <w:rPr>
                <w:b/>
                <w:bCs/>
                <w:sz w:val="22"/>
                <w:szCs w:val="22"/>
                <w:lang w:val="sr-Latn-ME"/>
              </w:rPr>
              <w:t>toksičnosti</w:t>
            </w:r>
          </w:p>
          <w:p w:rsidR="00E07BBD" w:rsidRPr="00E07BBD" w:rsidRDefault="00E07BBD" w:rsidP="00C42D32">
            <w:pPr>
              <w:tabs>
                <w:tab w:val="left" w:pos="284"/>
              </w:tabs>
              <w:rPr>
                <w:b/>
                <w:bCs/>
                <w:sz w:val="22"/>
                <w:szCs w:val="22"/>
                <w:lang w:val="sr-Latn-ME"/>
              </w:rPr>
            </w:pPr>
            <w:r w:rsidRPr="00E07BBD">
              <w:rPr>
                <w:b/>
                <w:bCs/>
                <w:sz w:val="22"/>
                <w:szCs w:val="22"/>
                <w:lang w:val="sr-Latn-ME"/>
              </w:rPr>
              <w:t>(%)</w:t>
            </w:r>
          </w:p>
        </w:tc>
        <w:tc>
          <w:tcPr>
            <w:tcW w:w="1213" w:type="dxa"/>
          </w:tcPr>
          <w:p w:rsidR="00E07BBD" w:rsidRPr="00E07BBD" w:rsidRDefault="00E07BBD" w:rsidP="00C42D32">
            <w:pPr>
              <w:autoSpaceDE w:val="0"/>
              <w:autoSpaceDN w:val="0"/>
              <w:adjustRightInd w:val="0"/>
              <w:rPr>
                <w:b/>
                <w:bCs/>
                <w:sz w:val="22"/>
                <w:szCs w:val="22"/>
                <w:lang w:val="sr-Latn-ME"/>
              </w:rPr>
            </w:pPr>
            <w:r w:rsidRPr="00E07BBD">
              <w:rPr>
                <w:b/>
                <w:bCs/>
                <w:sz w:val="22"/>
                <w:szCs w:val="22"/>
                <w:lang w:val="sr-Latn-ME"/>
              </w:rPr>
              <w:t>Toksičnost 3-4.</w:t>
            </w:r>
            <w:r w:rsidR="00C42D32">
              <w:rPr>
                <w:b/>
                <w:bCs/>
                <w:sz w:val="22"/>
                <w:szCs w:val="22"/>
                <w:lang w:val="sr-Latn-ME"/>
              </w:rPr>
              <w:t xml:space="preserve"> </w:t>
            </w:r>
            <w:r w:rsidRPr="00E07BBD">
              <w:rPr>
                <w:b/>
                <w:bCs/>
                <w:sz w:val="22"/>
                <w:szCs w:val="22"/>
                <w:lang w:val="sr-Latn-ME"/>
              </w:rPr>
              <w:t>stepena (%)</w:t>
            </w:r>
          </w:p>
        </w:tc>
      </w:tr>
      <w:tr w:rsidR="00E07BBD" w:rsidRPr="00E07BBD" w:rsidTr="00C42D32">
        <w:trPr>
          <w:trHeight w:val="217"/>
        </w:trPr>
        <w:tc>
          <w:tcPr>
            <w:tcW w:w="2122"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 krvi i</w:t>
            </w:r>
          </w:p>
          <w:p w:rsidR="00E07BBD" w:rsidRPr="00E07BBD" w:rsidRDefault="00E07BBD" w:rsidP="00C42D32">
            <w:pPr>
              <w:tabs>
                <w:tab w:val="left" w:pos="284"/>
              </w:tabs>
              <w:jc w:val="both"/>
              <w:rPr>
                <w:sz w:val="22"/>
                <w:szCs w:val="22"/>
                <w:lang w:val="sr-Latn-ME"/>
              </w:rPr>
            </w:pPr>
            <w:r w:rsidRPr="00E07BBD">
              <w:rPr>
                <w:i/>
                <w:iCs/>
                <w:sz w:val="22"/>
                <w:szCs w:val="22"/>
                <w:lang w:val="sr-Latn-ME"/>
              </w:rPr>
              <w:t>limfnog sistema</w:t>
            </w:r>
          </w:p>
        </w:tc>
        <w:tc>
          <w:tcPr>
            <w:tcW w:w="1275"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broj</w:t>
            </w: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neutrofila/</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granulocita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10,9</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5,3</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45,3</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40,2</w:t>
            </w:r>
          </w:p>
        </w:tc>
      </w:tr>
      <w:tr w:rsidR="00E07BBD" w:rsidRPr="00E07BBD" w:rsidTr="00C42D32">
        <w:trPr>
          <w:trHeight w:val="149"/>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broj</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leukocita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12,1</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4,2</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34,1</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27,2</w:t>
            </w:r>
          </w:p>
        </w:tc>
      </w:tr>
      <w:tr w:rsidR="00E07BBD" w:rsidRPr="00E07BBD" w:rsidTr="00C42D32">
        <w:trPr>
          <w:trHeight w:val="253"/>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Snižene vrijednosti</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hemoglobina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19,2</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4,2</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22,1</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4,3</w:t>
            </w:r>
          </w:p>
        </w:tc>
      </w:tr>
      <w:tr w:rsidR="00E07BBD" w:rsidRPr="00E07BBD" w:rsidTr="00C42D32">
        <w:trPr>
          <w:trHeight w:val="217"/>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tcPr>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broj</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trombocita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8,3</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1,9</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1,1</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0,4</w:t>
            </w:r>
          </w:p>
        </w:tc>
      </w:tr>
      <w:tr w:rsidR="00E07BBD" w:rsidRPr="00E07BBD" w:rsidTr="00C42D32">
        <w:trPr>
          <w:trHeight w:val="117"/>
        </w:trPr>
        <w:tc>
          <w:tcPr>
            <w:tcW w:w="2122"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Gastrointestinaln</w:t>
            </w:r>
          </w:p>
          <w:p w:rsidR="00E07BBD" w:rsidRPr="00E07BBD" w:rsidRDefault="00E07BBD" w:rsidP="00C42D32">
            <w:pPr>
              <w:tabs>
                <w:tab w:val="left" w:pos="284"/>
              </w:tabs>
              <w:jc w:val="both"/>
              <w:rPr>
                <w:sz w:val="22"/>
                <w:szCs w:val="22"/>
                <w:lang w:val="sr-Latn-ME"/>
              </w:rPr>
            </w:pPr>
            <w:r w:rsidRPr="00E07BBD">
              <w:rPr>
                <w:i/>
                <w:iCs/>
                <w:sz w:val="22"/>
                <w:szCs w:val="22"/>
                <w:lang w:val="sr-Latn-ME"/>
              </w:rPr>
              <w:t>i poremećaji</w:t>
            </w:r>
          </w:p>
        </w:tc>
        <w:tc>
          <w:tcPr>
            <w:tcW w:w="1275"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Dijareja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12,8</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0,4</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24,3</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2,5</w:t>
            </w:r>
          </w:p>
        </w:tc>
      </w:tr>
      <w:tr w:rsidR="00E07BBD" w:rsidRPr="00E07BBD" w:rsidTr="00C42D32">
        <w:trPr>
          <w:trHeight w:val="135"/>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Povraćanje</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16,2</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1,5</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12,0</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1,1</w:t>
            </w:r>
          </w:p>
        </w:tc>
      </w:tr>
      <w:tr w:rsidR="00E07BBD" w:rsidRPr="00E07BBD" w:rsidTr="00C42D32">
        <w:trPr>
          <w:trHeight w:val="109"/>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Stomatitis/ Faringitis</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14,7</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1,1</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17,4</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1,1</w:t>
            </w:r>
          </w:p>
        </w:tc>
      </w:tr>
      <w:tr w:rsidR="00E07BBD" w:rsidRPr="00E07BBD" w:rsidTr="00C42D32">
        <w:trPr>
          <w:trHeight w:val="163"/>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Mučnina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30,9</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2,6</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16,7</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1,8</w:t>
            </w:r>
          </w:p>
        </w:tc>
      </w:tr>
      <w:tr w:rsidR="00E07BBD" w:rsidRPr="00E07BBD" w:rsidTr="00C42D32">
        <w:trPr>
          <w:trHeight w:val="190"/>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Anoreksija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21,9</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1,9</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23,9</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2,5</w:t>
            </w:r>
          </w:p>
        </w:tc>
      </w:tr>
      <w:tr w:rsidR="00E07BBD" w:rsidRPr="00E07BBD" w:rsidTr="00C42D32">
        <w:trPr>
          <w:trHeight w:val="217"/>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tcPr>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Konstipacija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5,7</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4,0</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571"/>
        </w:trPr>
        <w:tc>
          <w:tcPr>
            <w:tcW w:w="2122"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lastRenderedPageBreak/>
              <w:t>Hepatobilijarni</w:t>
            </w:r>
          </w:p>
          <w:p w:rsidR="00E07BBD" w:rsidRPr="00E07BBD" w:rsidRDefault="00E07BBD" w:rsidP="00C42D32">
            <w:pPr>
              <w:tabs>
                <w:tab w:val="left" w:pos="284"/>
              </w:tabs>
              <w:jc w:val="both"/>
              <w:rPr>
                <w:sz w:val="22"/>
                <w:szCs w:val="22"/>
                <w:lang w:val="sr-Latn-ME"/>
              </w:rPr>
            </w:pPr>
            <w:r w:rsidRPr="00E07BBD">
              <w:rPr>
                <w:i/>
                <w:iCs/>
                <w:sz w:val="22"/>
                <w:szCs w:val="22"/>
                <w:lang w:val="sr-Latn-ME"/>
              </w:rPr>
              <w:t>poremećaji</w:t>
            </w:r>
          </w:p>
        </w:tc>
        <w:tc>
          <w:tcPr>
            <w:tcW w:w="1275" w:type="dxa"/>
            <w:vMerge w:val="restart"/>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Povišene vrijednosti</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ALT (SGPT)</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7,9</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1,9</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1,4</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258"/>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tabs>
                <w:tab w:val="left" w:pos="284"/>
              </w:tabs>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Povišene vrijednosti</w:t>
            </w: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AST (SGOT)</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6,8</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1,1</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0,7</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0,7</w:t>
            </w:r>
          </w:p>
        </w:tc>
      </w:tr>
      <w:tr w:rsidR="00E07BBD" w:rsidRPr="00E07BBD" w:rsidTr="00C42D32">
        <w:trPr>
          <w:trHeight w:val="285"/>
        </w:trPr>
        <w:tc>
          <w:tcPr>
            <w:tcW w:w="2122"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 kože i</w:t>
            </w:r>
          </w:p>
          <w:p w:rsidR="00E07BBD" w:rsidRPr="00E07BBD" w:rsidRDefault="00E07BBD" w:rsidP="00C42D32">
            <w:pPr>
              <w:tabs>
                <w:tab w:val="left" w:pos="284"/>
              </w:tabs>
              <w:jc w:val="both"/>
              <w:rPr>
                <w:sz w:val="22"/>
                <w:szCs w:val="22"/>
                <w:lang w:val="sr-Latn-ME"/>
              </w:rPr>
            </w:pPr>
            <w:r w:rsidRPr="00E07BBD">
              <w:rPr>
                <w:i/>
                <w:iCs/>
                <w:sz w:val="22"/>
                <w:szCs w:val="22"/>
                <w:lang w:val="sr-Latn-ME"/>
              </w:rPr>
              <w:t>potkožnog tkiva</w:t>
            </w:r>
          </w:p>
        </w:tc>
        <w:tc>
          <w:tcPr>
            <w:tcW w:w="127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Osip kože/</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deskvamacija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14,0</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6,2</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190"/>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val="restart"/>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Pruritus</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6,8</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0,4</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1,8</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258"/>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tabs>
                <w:tab w:val="left" w:pos="284"/>
              </w:tabs>
              <w:jc w:val="both"/>
              <w:rPr>
                <w:sz w:val="22"/>
                <w:szCs w:val="22"/>
                <w:lang w:val="sr-Latn-ME"/>
              </w:rPr>
            </w:pPr>
          </w:p>
        </w:tc>
        <w:tc>
          <w:tcPr>
            <w:tcW w:w="170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Alopecija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6,4</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0,4**</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37,7</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2,2**</w:t>
            </w:r>
          </w:p>
        </w:tc>
      </w:tr>
      <w:tr w:rsidR="00E07BBD" w:rsidRPr="00E07BBD" w:rsidTr="00C42D32">
        <w:trPr>
          <w:trHeight w:val="421"/>
        </w:trPr>
        <w:tc>
          <w:tcPr>
            <w:tcW w:w="2122"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Opšti poremećaji</w:t>
            </w:r>
          </w:p>
          <w:p w:rsidR="00E07BBD" w:rsidRPr="00E07BBD" w:rsidRDefault="00E07BBD" w:rsidP="00C42D32">
            <w:pPr>
              <w:tabs>
                <w:tab w:val="left" w:pos="284"/>
              </w:tabs>
              <w:jc w:val="both"/>
              <w:rPr>
                <w:sz w:val="22"/>
                <w:szCs w:val="22"/>
                <w:lang w:val="sr-Latn-ME"/>
              </w:rPr>
            </w:pPr>
            <w:r w:rsidRPr="00E07BBD">
              <w:rPr>
                <w:i/>
                <w:iCs/>
                <w:sz w:val="22"/>
                <w:szCs w:val="22"/>
                <w:lang w:val="sr-Latn-ME"/>
              </w:rPr>
              <w:t>i reakcije na mjestu primjene</w:t>
            </w:r>
          </w:p>
        </w:tc>
        <w:tc>
          <w:tcPr>
            <w:tcW w:w="127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Umor</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34,0</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5,3</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35,9</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5,4</w:t>
            </w:r>
          </w:p>
        </w:tc>
      </w:tr>
      <w:tr w:rsidR="00E07BBD" w:rsidRPr="00E07BBD" w:rsidTr="00C42D32">
        <w:trPr>
          <w:trHeight w:val="598"/>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Groznica</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8,3</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7,6</w:t>
            </w:r>
          </w:p>
        </w:tc>
        <w:tc>
          <w:tcPr>
            <w:tcW w:w="1213"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Za svaki stepen toksičnosti vidjeti CTC, verziju 2 Nacionalnog instituta za rak</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u skladu sa opštim kriterijumima toksičnosti Nacionalnog instituta za rak (CTC) (v2.0; NCI 1998), alopeciju treba prijavljivati samo kao neželjeno dejstvo stepena 1 ili 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 ovu tabelu uključena su sva neželjena dejstva čija je učestalost bila najmanje 5% i za koja je izvještač procijenio da bi mogla biti povezana sa primjenom pemetrekseda.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Klinički značajni toksični efekti prema CTC kriterijumima, prijavljeni kod ≥ l% i ≤ 5% pacijenata randomizovanih u grupu koja je primala pemetreksed, obuhvataju: infekciju bez neutropenije, febrilnu neutropeniju, alergijsku reakciju/preosjetljivost, povišene vrijednosti kreatinina, motornu neuropatiju, senzornu neuropatiju, multiformni eritem i bol u abdomenu.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Klinički značajni toksični efekti prema CTC kriterijumima, prijavljeni kod &lt; 1% pacijenata randomizovanih u grupu koja je primala pemetreksed, obuhvataju supraventrikularne aritmije.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Klinički značajni oblici toksičnosti 3. i 4. stepena utvrđeni laboratorijskim analizama bili su podjednaki u objedinjenim rezultatima tri ispitivanja faze 2 pemetrekseda u monoterapiji (n=164) i prethodno navedenog ispitivanja monoterapije pemetreksedom faze 3, sa izuzetkom neutropenije (12,8% prema 5,3%) i povišenih vrijednosti alanin aminotransferaze (15,2% prema 1,9%). Ove razlike su vjerovatno posljedica razlika u strukturi populacije pacijenata, pošto su u ispitivanja faze 2 bile uključene i pacijentkinje sa karcinomom dojke koje prethodno nisu primale hemoterapiju i one koje su prethodno liječene intenzivnom hemoterapijom sa već prisutnim metastazama u jetri i/ili abnormalnim vrijednostima enzima jetre na početku ispitivanja.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Sljedeća tabela prikazuje učestalost i težinu neželjenih dejstava za koje se smatra da bi mogla da budu povezana sa ispitivanim lijekom, a koja su prijavljena kod &gt; 5% od 839 pacijenata sa nemikrocelularnim karcinomom pluća (NSCLC) koji su bili randomizovani da primaju cisplatin i pemetreksed i 830 pacijenata sa NSCLC koji su bili randomizovani da primaju cisplatin i gemcitabin. Svi pacijenti su primali ispitivanu terapiju kao inicijalnu terapiju za lokalno uznapredovali ili metastatski NSCLC i svi pacijenti u obje ispitivane grupe su bili u potpunosti suplementirani folnom kiselinom i vitaminom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tbl>
      <w:tblPr>
        <w:tblStyle w:val="TableGrid2"/>
        <w:tblW w:w="9855" w:type="dxa"/>
        <w:tblLayout w:type="fixed"/>
        <w:tblLook w:val="04A0" w:firstRow="1" w:lastRow="0" w:firstColumn="1" w:lastColumn="0" w:noHBand="0" w:noVBand="1"/>
      </w:tblPr>
      <w:tblGrid>
        <w:gridCol w:w="2122"/>
        <w:gridCol w:w="1275"/>
        <w:gridCol w:w="1701"/>
        <w:gridCol w:w="1134"/>
        <w:gridCol w:w="1276"/>
        <w:gridCol w:w="1134"/>
        <w:gridCol w:w="1213"/>
      </w:tblGrid>
      <w:tr w:rsidR="00E07BBD" w:rsidRPr="00E07BBD" w:rsidTr="00C42D32">
        <w:trPr>
          <w:cantSplit/>
          <w:trHeight w:val="245"/>
          <w:tblHeader/>
        </w:trPr>
        <w:tc>
          <w:tcPr>
            <w:tcW w:w="2122" w:type="dxa"/>
            <w:vMerge w:val="restart"/>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lastRenderedPageBreak/>
              <w:t>Klasa</w:t>
            </w:r>
          </w:p>
          <w:p w:rsidR="00E07BBD" w:rsidRPr="00E07BBD" w:rsidRDefault="00E07BBD" w:rsidP="00C42D32">
            <w:pPr>
              <w:autoSpaceDE w:val="0"/>
              <w:autoSpaceDN w:val="0"/>
              <w:adjustRightInd w:val="0"/>
              <w:jc w:val="both"/>
              <w:rPr>
                <w:rFonts w:eastAsia="TimesNewRoman"/>
                <w:sz w:val="22"/>
                <w:szCs w:val="22"/>
                <w:lang w:val="sr-Latn-ME"/>
              </w:rPr>
            </w:pPr>
            <w:r w:rsidRPr="00E07BBD">
              <w:rPr>
                <w:b/>
                <w:bCs/>
                <w:sz w:val="22"/>
                <w:szCs w:val="22"/>
                <w:lang w:val="sr-Latn-ME"/>
              </w:rPr>
              <w:t>sistema organa</w:t>
            </w:r>
          </w:p>
        </w:tc>
        <w:tc>
          <w:tcPr>
            <w:tcW w:w="1275"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b/>
                <w:bCs/>
                <w:sz w:val="22"/>
                <w:szCs w:val="22"/>
                <w:lang w:val="sr-Latn-ME"/>
              </w:rPr>
              <w:t>Učestalost</w:t>
            </w:r>
          </w:p>
        </w:tc>
        <w:tc>
          <w:tcPr>
            <w:tcW w:w="1701"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b/>
                <w:bCs/>
                <w:sz w:val="22"/>
                <w:szCs w:val="22"/>
                <w:lang w:val="sr-Latn-ME"/>
              </w:rPr>
              <w:t>Događaj**</w:t>
            </w:r>
          </w:p>
        </w:tc>
        <w:tc>
          <w:tcPr>
            <w:tcW w:w="2410" w:type="dxa"/>
            <w:gridSpan w:val="2"/>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Pemetreksed/cisplatin</w:t>
            </w:r>
          </w:p>
          <w:p w:rsidR="00E07BBD" w:rsidRPr="00E07BBD" w:rsidRDefault="00E07BBD" w:rsidP="00C42D32">
            <w:pPr>
              <w:autoSpaceDE w:val="0"/>
              <w:autoSpaceDN w:val="0"/>
              <w:adjustRightInd w:val="0"/>
              <w:jc w:val="both"/>
              <w:rPr>
                <w:rFonts w:eastAsia="TimesNewRoman"/>
                <w:sz w:val="22"/>
                <w:szCs w:val="22"/>
                <w:lang w:val="sr-Latn-ME"/>
              </w:rPr>
            </w:pPr>
            <w:r w:rsidRPr="00E07BBD">
              <w:rPr>
                <w:b/>
                <w:bCs/>
                <w:sz w:val="22"/>
                <w:szCs w:val="22"/>
                <w:lang w:val="sr-Latn-ME"/>
              </w:rPr>
              <w:t>(N = 839)</w:t>
            </w:r>
          </w:p>
        </w:tc>
        <w:tc>
          <w:tcPr>
            <w:tcW w:w="2347" w:type="dxa"/>
            <w:gridSpan w:val="2"/>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Gemcitabin/cisplatin</w:t>
            </w:r>
          </w:p>
          <w:p w:rsidR="00E07BBD" w:rsidRPr="00E07BBD" w:rsidRDefault="00E07BBD" w:rsidP="00C42D32">
            <w:pPr>
              <w:autoSpaceDE w:val="0"/>
              <w:autoSpaceDN w:val="0"/>
              <w:adjustRightInd w:val="0"/>
              <w:jc w:val="both"/>
              <w:rPr>
                <w:rFonts w:eastAsia="TimesNewRoman"/>
                <w:sz w:val="22"/>
                <w:szCs w:val="22"/>
                <w:lang w:val="sr-Latn-ME"/>
              </w:rPr>
            </w:pPr>
            <w:r w:rsidRPr="00E07BBD">
              <w:rPr>
                <w:b/>
                <w:bCs/>
                <w:sz w:val="22"/>
                <w:szCs w:val="22"/>
                <w:lang w:val="sr-Latn-ME"/>
              </w:rPr>
              <w:t>(N = 830)</w:t>
            </w:r>
          </w:p>
        </w:tc>
      </w:tr>
      <w:tr w:rsidR="00E07BBD" w:rsidRPr="00E07BBD" w:rsidTr="00C42D32">
        <w:trPr>
          <w:cantSplit/>
          <w:trHeight w:val="258"/>
          <w:tblHeader/>
        </w:trPr>
        <w:tc>
          <w:tcPr>
            <w:tcW w:w="2122" w:type="dxa"/>
            <w:vMerge/>
          </w:tcPr>
          <w:p w:rsidR="00E07BBD" w:rsidRPr="00E07BBD" w:rsidRDefault="00E07BBD" w:rsidP="00C42D32">
            <w:pPr>
              <w:autoSpaceDE w:val="0"/>
              <w:autoSpaceDN w:val="0"/>
              <w:adjustRightInd w:val="0"/>
              <w:jc w:val="both"/>
              <w:rPr>
                <w:b/>
                <w:bCs/>
                <w:sz w:val="22"/>
                <w:szCs w:val="22"/>
                <w:lang w:val="sr-Latn-ME"/>
              </w:rPr>
            </w:pPr>
          </w:p>
        </w:tc>
        <w:tc>
          <w:tcPr>
            <w:tcW w:w="1275" w:type="dxa"/>
            <w:vMerge/>
          </w:tcPr>
          <w:p w:rsidR="00E07BBD" w:rsidRPr="00E07BBD" w:rsidRDefault="00E07BBD" w:rsidP="00C42D32">
            <w:pPr>
              <w:autoSpaceDE w:val="0"/>
              <w:autoSpaceDN w:val="0"/>
              <w:adjustRightInd w:val="0"/>
              <w:jc w:val="both"/>
              <w:rPr>
                <w:b/>
                <w:bCs/>
                <w:sz w:val="22"/>
                <w:szCs w:val="22"/>
                <w:lang w:val="sr-Latn-ME"/>
              </w:rPr>
            </w:pPr>
          </w:p>
        </w:tc>
        <w:tc>
          <w:tcPr>
            <w:tcW w:w="1701" w:type="dxa"/>
            <w:vMerge/>
          </w:tcPr>
          <w:p w:rsidR="00E07BBD" w:rsidRPr="00E07BBD" w:rsidRDefault="00E07BBD" w:rsidP="00C42D32">
            <w:pPr>
              <w:autoSpaceDE w:val="0"/>
              <w:autoSpaceDN w:val="0"/>
              <w:adjustRightInd w:val="0"/>
              <w:jc w:val="both"/>
              <w:rPr>
                <w:b/>
                <w:bCs/>
                <w:sz w:val="22"/>
                <w:szCs w:val="22"/>
                <w:lang w:val="sr-Latn-ME"/>
              </w:rPr>
            </w:pPr>
          </w:p>
        </w:tc>
        <w:tc>
          <w:tcPr>
            <w:tcW w:w="1134"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Svi stepeni</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toksičnosti</w:t>
            </w:r>
          </w:p>
          <w:p w:rsidR="00E07BBD" w:rsidRPr="00E07BBD" w:rsidRDefault="00E07BBD" w:rsidP="00C42D32">
            <w:pPr>
              <w:autoSpaceDE w:val="0"/>
              <w:autoSpaceDN w:val="0"/>
              <w:adjustRightInd w:val="0"/>
              <w:jc w:val="both"/>
              <w:rPr>
                <w:rFonts w:eastAsia="TimesNewRoman"/>
                <w:sz w:val="22"/>
                <w:szCs w:val="22"/>
                <w:lang w:val="sr-Latn-ME"/>
              </w:rPr>
            </w:pPr>
            <w:r w:rsidRPr="00E07BBD">
              <w:rPr>
                <w:b/>
                <w:bCs/>
                <w:sz w:val="22"/>
                <w:szCs w:val="22"/>
                <w:lang w:val="sr-Latn-ME"/>
              </w:rPr>
              <w:t>(%)</w:t>
            </w:r>
          </w:p>
        </w:tc>
        <w:tc>
          <w:tcPr>
            <w:tcW w:w="1276"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Toksičnost</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3-4.stepena</w:t>
            </w:r>
          </w:p>
          <w:p w:rsidR="00E07BBD" w:rsidRPr="00E07BBD" w:rsidRDefault="00E07BBD" w:rsidP="00C42D32">
            <w:pPr>
              <w:autoSpaceDE w:val="0"/>
              <w:autoSpaceDN w:val="0"/>
              <w:adjustRightInd w:val="0"/>
              <w:jc w:val="both"/>
              <w:rPr>
                <w:rFonts w:eastAsia="TimesNewRoman"/>
                <w:sz w:val="22"/>
                <w:szCs w:val="22"/>
                <w:lang w:val="sr-Latn-ME"/>
              </w:rPr>
            </w:pPr>
            <w:r w:rsidRPr="00E07BBD">
              <w:rPr>
                <w:b/>
                <w:bCs/>
                <w:sz w:val="22"/>
                <w:szCs w:val="22"/>
                <w:lang w:val="sr-Latn-ME"/>
              </w:rPr>
              <w:t>(%)</w:t>
            </w:r>
          </w:p>
        </w:tc>
        <w:tc>
          <w:tcPr>
            <w:tcW w:w="1134"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Svi stepeni</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taksičnosti</w:t>
            </w:r>
          </w:p>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b/>
                <w:bCs/>
                <w:sz w:val="22"/>
                <w:szCs w:val="22"/>
                <w:lang w:val="sr-Latn-ME"/>
              </w:rPr>
              <w:t>(%)</w:t>
            </w:r>
          </w:p>
        </w:tc>
        <w:tc>
          <w:tcPr>
            <w:tcW w:w="1213"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Toksičnost</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3-4.</w:t>
            </w:r>
            <w:r w:rsidR="005F5DF2">
              <w:rPr>
                <w:b/>
                <w:bCs/>
                <w:sz w:val="22"/>
                <w:szCs w:val="22"/>
                <w:lang w:val="sr-Latn-ME"/>
              </w:rPr>
              <w:t xml:space="preserve"> </w:t>
            </w:r>
            <w:r w:rsidRPr="00E07BBD">
              <w:rPr>
                <w:b/>
                <w:bCs/>
                <w:sz w:val="22"/>
                <w:szCs w:val="22"/>
                <w:lang w:val="sr-Latn-ME"/>
              </w:rPr>
              <w:t>stepena</w:t>
            </w:r>
          </w:p>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b/>
                <w:bCs/>
                <w:sz w:val="22"/>
                <w:szCs w:val="22"/>
                <w:lang w:val="sr-Latn-ME"/>
              </w:rPr>
              <w:t>(%)</w:t>
            </w:r>
          </w:p>
        </w:tc>
      </w:tr>
      <w:tr w:rsidR="00E07BBD" w:rsidRPr="00E07BBD" w:rsidTr="00C42D32">
        <w:trPr>
          <w:cantSplit/>
          <w:trHeight w:val="584"/>
        </w:trPr>
        <w:tc>
          <w:tcPr>
            <w:tcW w:w="2122"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 krvi i</w:t>
            </w:r>
          </w:p>
          <w:p w:rsidR="00E07BBD" w:rsidRPr="00E07BBD" w:rsidRDefault="00E07BBD" w:rsidP="00C42D32">
            <w:pPr>
              <w:autoSpaceDE w:val="0"/>
              <w:autoSpaceDN w:val="0"/>
              <w:adjustRightInd w:val="0"/>
              <w:jc w:val="both"/>
              <w:rPr>
                <w:rFonts w:eastAsia="TimesNewRoman"/>
                <w:sz w:val="22"/>
                <w:szCs w:val="22"/>
                <w:lang w:val="sr-Latn-ME"/>
              </w:rPr>
            </w:pPr>
            <w:r w:rsidRPr="00E07BBD">
              <w:rPr>
                <w:i/>
                <w:iCs/>
                <w:sz w:val="22"/>
                <w:szCs w:val="22"/>
                <w:lang w:val="sr-Latn-ME"/>
              </w:rPr>
              <w:t>limfnog sistema</w:t>
            </w:r>
          </w:p>
        </w:tc>
        <w:tc>
          <w:tcPr>
            <w:tcW w:w="1275"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Snižen hemoglobin</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33,0*</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5,6*</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45,7*</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9,9*</w:t>
            </w:r>
          </w:p>
        </w:tc>
      </w:tr>
      <w:tr w:rsidR="00E07BBD" w:rsidRPr="00E07BBD" w:rsidTr="00C42D32">
        <w:trPr>
          <w:cantSplit/>
          <w:trHeight w:val="326"/>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broj</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neutrofila</w:t>
            </w:r>
          </w:p>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/granulocita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29,0*</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15,1*</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38,4*</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26,7*</w:t>
            </w:r>
          </w:p>
        </w:tc>
      </w:tr>
      <w:tr w:rsidR="00E07BBD" w:rsidRPr="00E07BBD" w:rsidTr="00C42D32">
        <w:trPr>
          <w:cantSplit/>
          <w:trHeight w:val="298"/>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broj</w:t>
            </w:r>
          </w:p>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leukocita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17,8</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4,8*</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20,6</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7,6*</w:t>
            </w:r>
          </w:p>
        </w:tc>
      </w:tr>
      <w:tr w:rsidR="00E07BBD" w:rsidRPr="00E07BBD" w:rsidTr="00C42D32">
        <w:trPr>
          <w:cantSplit/>
          <w:trHeight w:val="259"/>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Smanjen broj</w:t>
            </w:r>
          </w:p>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trombocita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10,1*</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4,1*</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26,6*</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12,7*</w:t>
            </w:r>
          </w:p>
        </w:tc>
      </w:tr>
      <w:tr w:rsidR="00E07BBD" w:rsidRPr="00E07BBD" w:rsidTr="00C42D32">
        <w:trPr>
          <w:cantSplit/>
          <w:trHeight w:val="245"/>
        </w:trPr>
        <w:tc>
          <w:tcPr>
            <w:tcW w:w="2122"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w:t>
            </w:r>
          </w:p>
          <w:p w:rsidR="00E07BBD" w:rsidRPr="00E07BBD" w:rsidRDefault="00E07BBD" w:rsidP="00C42D32">
            <w:pPr>
              <w:autoSpaceDE w:val="0"/>
              <w:autoSpaceDN w:val="0"/>
              <w:adjustRightInd w:val="0"/>
              <w:jc w:val="both"/>
              <w:rPr>
                <w:rFonts w:eastAsia="TimesNewRoman"/>
                <w:sz w:val="22"/>
                <w:szCs w:val="22"/>
                <w:lang w:val="sr-Latn-ME"/>
              </w:rPr>
            </w:pPr>
            <w:r w:rsidRPr="00E07BBD">
              <w:rPr>
                <w:i/>
                <w:iCs/>
                <w:sz w:val="22"/>
                <w:szCs w:val="22"/>
                <w:lang w:val="sr-Latn-ME"/>
              </w:rPr>
              <w:t>nervnog sistema</w:t>
            </w:r>
          </w:p>
        </w:tc>
        <w:tc>
          <w:tcPr>
            <w:tcW w:w="1275"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Neuropatija -</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senzorna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8,5*</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0,0*</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12,4*</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0,6*</w:t>
            </w:r>
          </w:p>
        </w:tc>
      </w:tr>
      <w:tr w:rsidR="00E07BBD" w:rsidRPr="00E07BBD" w:rsidTr="00C42D32">
        <w:trPr>
          <w:cantSplit/>
          <w:trHeight w:val="258"/>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Poremećaj ukusa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8,1</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0,0***</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8,9</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0,0***</w:t>
            </w:r>
          </w:p>
        </w:tc>
      </w:tr>
      <w:tr w:rsidR="00E07BBD" w:rsidRPr="00E07BBD" w:rsidTr="00C42D32">
        <w:trPr>
          <w:cantSplit/>
          <w:trHeight w:val="193"/>
        </w:trPr>
        <w:tc>
          <w:tcPr>
            <w:tcW w:w="2122"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Gastrointestinalni poremećaji</w:t>
            </w:r>
          </w:p>
        </w:tc>
        <w:tc>
          <w:tcPr>
            <w:tcW w:w="1275" w:type="dxa"/>
            <w:vMerge w:val="restart"/>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Mučnina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56,1</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7,2*</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53,4</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3,9*</w:t>
            </w:r>
          </w:p>
        </w:tc>
      </w:tr>
      <w:tr w:rsidR="00E07BBD" w:rsidRPr="00E07BBD" w:rsidTr="00C42D32">
        <w:trPr>
          <w:cantSplit/>
          <w:trHeight w:val="149"/>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Povraćanje</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39,7</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6,1</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35,5</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6,1</w:t>
            </w:r>
          </w:p>
        </w:tc>
      </w:tr>
      <w:tr w:rsidR="00E07BBD" w:rsidRPr="00E07BBD" w:rsidTr="00C42D32">
        <w:trPr>
          <w:cantSplit/>
          <w:trHeight w:val="108"/>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Anoreksija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26,6</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2,4*</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24,2</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0,7*</w:t>
            </w:r>
          </w:p>
        </w:tc>
      </w:tr>
      <w:tr w:rsidR="00E07BBD" w:rsidRPr="00E07BBD" w:rsidTr="00C42D32">
        <w:trPr>
          <w:cantSplit/>
          <w:trHeight w:val="117"/>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Konstipacija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21,0</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0,8</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19,5</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0,4</w:t>
            </w:r>
          </w:p>
        </w:tc>
      </w:tr>
      <w:tr w:rsidR="00E07BBD" w:rsidRPr="00E07BBD" w:rsidTr="00C42D32">
        <w:trPr>
          <w:cantSplit/>
          <w:trHeight w:val="117"/>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Stomatitis/</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faringitis</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13,5</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0,8</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12,4</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0,1</w:t>
            </w:r>
          </w:p>
        </w:tc>
      </w:tr>
      <w:tr w:rsidR="00E07BBD" w:rsidRPr="00E07BBD" w:rsidTr="00C42D32">
        <w:trPr>
          <w:cantSplit/>
          <w:trHeight w:val="253"/>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vMerge/>
          </w:tcPr>
          <w:p w:rsidR="00E07BBD" w:rsidRPr="00E07BBD" w:rsidRDefault="00E07BBD" w:rsidP="00C42D32">
            <w:pPr>
              <w:autoSpaceDE w:val="0"/>
              <w:autoSpaceDN w:val="0"/>
              <w:adjustRightInd w:val="0"/>
              <w:jc w:val="both"/>
              <w:rPr>
                <w:rFonts w:eastAsia="TimesNewRoman"/>
                <w:sz w:val="22"/>
                <w:szCs w:val="22"/>
                <w:lang w:val="sr-Latn-ME"/>
              </w:rPr>
            </w:pP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Dijareja bez</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kolostome</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12,4</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1,3</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12,8</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1,6</w:t>
            </w:r>
          </w:p>
        </w:tc>
      </w:tr>
      <w:tr w:rsidR="00E07BBD" w:rsidRPr="00E07BBD" w:rsidTr="00C42D32">
        <w:trPr>
          <w:cantSplit/>
          <w:trHeight w:val="285"/>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Dispepsija/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Gorušica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5,2</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0,1</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5,9</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0,0</w:t>
            </w:r>
          </w:p>
        </w:tc>
      </w:tr>
      <w:tr w:rsidR="00E07BBD" w:rsidRPr="00E07BBD" w:rsidTr="00C42D32">
        <w:trPr>
          <w:cantSplit/>
          <w:trHeight w:val="435"/>
        </w:trPr>
        <w:tc>
          <w:tcPr>
            <w:tcW w:w="2122"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 kože i</w:t>
            </w:r>
          </w:p>
          <w:p w:rsidR="00E07BBD" w:rsidRPr="00E07BBD" w:rsidRDefault="00E07BBD" w:rsidP="00C42D32">
            <w:pPr>
              <w:autoSpaceDE w:val="0"/>
              <w:autoSpaceDN w:val="0"/>
              <w:adjustRightInd w:val="0"/>
              <w:jc w:val="both"/>
              <w:rPr>
                <w:rFonts w:eastAsia="TimesNewRoman"/>
                <w:sz w:val="22"/>
                <w:szCs w:val="22"/>
                <w:lang w:val="sr-Latn-ME"/>
              </w:rPr>
            </w:pPr>
            <w:r w:rsidRPr="00E07BBD">
              <w:rPr>
                <w:i/>
                <w:iCs/>
                <w:sz w:val="22"/>
                <w:szCs w:val="22"/>
                <w:lang w:val="sr-Latn-ME"/>
              </w:rPr>
              <w:t>potkožnog tkiva</w:t>
            </w:r>
          </w:p>
        </w:tc>
        <w:tc>
          <w:tcPr>
            <w:tcW w:w="127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Alopecija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11,9*</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0,0***</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21,4*</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0,5***</w:t>
            </w:r>
          </w:p>
        </w:tc>
      </w:tr>
      <w:tr w:rsidR="00E07BBD" w:rsidRPr="00E07BBD" w:rsidTr="00C42D32">
        <w:trPr>
          <w:cantSplit/>
          <w:trHeight w:val="326"/>
        </w:trPr>
        <w:tc>
          <w:tcPr>
            <w:tcW w:w="2122" w:type="dxa"/>
            <w:vMerge/>
          </w:tcPr>
          <w:p w:rsidR="00E07BBD" w:rsidRPr="00E07BBD" w:rsidRDefault="00E07BBD" w:rsidP="00C42D32">
            <w:pPr>
              <w:autoSpaceDE w:val="0"/>
              <w:autoSpaceDN w:val="0"/>
              <w:adjustRightInd w:val="0"/>
              <w:jc w:val="both"/>
              <w:rPr>
                <w:i/>
                <w:iCs/>
                <w:sz w:val="22"/>
                <w:szCs w:val="22"/>
                <w:lang w:val="sr-Latn-ME"/>
              </w:rPr>
            </w:pPr>
          </w:p>
        </w:tc>
        <w:tc>
          <w:tcPr>
            <w:tcW w:w="1275" w:type="dxa"/>
          </w:tcPr>
          <w:p w:rsidR="00E07BBD" w:rsidRPr="00E07BBD" w:rsidRDefault="00E07BBD" w:rsidP="00C42D32">
            <w:pPr>
              <w:tabs>
                <w:tab w:val="left" w:pos="284"/>
              </w:tabs>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Osip/</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Deskvamacija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6,6</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0,1</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8,0</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0,5</w:t>
            </w:r>
          </w:p>
        </w:tc>
      </w:tr>
      <w:tr w:rsidR="00E07BBD" w:rsidRPr="00E07BBD" w:rsidTr="00C42D32">
        <w:trPr>
          <w:cantSplit/>
        </w:trPr>
        <w:tc>
          <w:tcPr>
            <w:tcW w:w="2122" w:type="dxa"/>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 bubrega i urinarnog</w:t>
            </w:r>
          </w:p>
          <w:p w:rsidR="00E07BBD" w:rsidRPr="00E07BBD" w:rsidRDefault="00E07BBD" w:rsidP="00C42D32">
            <w:pPr>
              <w:autoSpaceDE w:val="0"/>
              <w:autoSpaceDN w:val="0"/>
              <w:adjustRightInd w:val="0"/>
              <w:jc w:val="both"/>
              <w:rPr>
                <w:rFonts w:eastAsia="TimesNewRoman"/>
                <w:sz w:val="22"/>
                <w:szCs w:val="22"/>
                <w:lang w:val="sr-Latn-ME"/>
              </w:rPr>
            </w:pPr>
            <w:r w:rsidRPr="00E07BBD">
              <w:rPr>
                <w:i/>
                <w:iCs/>
                <w:sz w:val="22"/>
                <w:szCs w:val="22"/>
                <w:lang w:val="sr-Latn-ME"/>
              </w:rPr>
              <w:t>sistema</w:t>
            </w:r>
          </w:p>
        </w:tc>
        <w:tc>
          <w:tcPr>
            <w:tcW w:w="127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Povišene vrijednosti</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kreatinina</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10,1*</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0,8</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6,9*</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0,5</w:t>
            </w:r>
          </w:p>
        </w:tc>
      </w:tr>
      <w:tr w:rsidR="00E07BBD" w:rsidRPr="00E07BBD" w:rsidTr="00C42D32">
        <w:trPr>
          <w:cantSplit/>
        </w:trPr>
        <w:tc>
          <w:tcPr>
            <w:tcW w:w="2122" w:type="dxa"/>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Opšti</w:t>
            </w:r>
          </w:p>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 i</w:t>
            </w:r>
          </w:p>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reakcije na</w:t>
            </w:r>
          </w:p>
          <w:p w:rsidR="00E07BBD" w:rsidRPr="00E07BBD" w:rsidRDefault="00E07BBD" w:rsidP="00C42D32">
            <w:pPr>
              <w:autoSpaceDE w:val="0"/>
              <w:autoSpaceDN w:val="0"/>
              <w:adjustRightInd w:val="0"/>
              <w:jc w:val="both"/>
              <w:rPr>
                <w:rFonts w:eastAsia="TimesNewRoman"/>
                <w:sz w:val="22"/>
                <w:szCs w:val="22"/>
                <w:lang w:val="sr-Latn-ME"/>
              </w:rPr>
            </w:pPr>
            <w:r w:rsidRPr="00E07BBD">
              <w:rPr>
                <w:i/>
                <w:iCs/>
                <w:sz w:val="22"/>
                <w:szCs w:val="22"/>
                <w:lang w:val="sr-Latn-ME"/>
              </w:rPr>
              <w:t>mjestu primjene</w:t>
            </w:r>
          </w:p>
        </w:tc>
        <w:tc>
          <w:tcPr>
            <w:tcW w:w="1275"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često</w:t>
            </w:r>
          </w:p>
        </w:tc>
        <w:tc>
          <w:tcPr>
            <w:tcW w:w="17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Umor</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42.7</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6.7</w:t>
            </w:r>
          </w:p>
        </w:tc>
        <w:tc>
          <w:tcPr>
            <w:tcW w:w="113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44.9</w:t>
            </w:r>
          </w:p>
        </w:tc>
        <w:tc>
          <w:tcPr>
            <w:tcW w:w="121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4.9</w:t>
            </w: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iCs/>
          <w:lang w:val="sr-Latn-ME"/>
        </w:rPr>
      </w:pPr>
      <w:r w:rsidRPr="00E07BBD">
        <w:rPr>
          <w:rFonts w:ascii="Times New Roman" w:eastAsia="TimesNewRoman" w:hAnsi="Times New Roman" w:cs="Times New Roman"/>
          <w:lang w:val="sr-Latn-ME"/>
        </w:rPr>
        <w:t xml:space="preserve">* P-vrijednost &lt;0.05 poredeći pemetreksed/cisplatin u odnosu na gemcitabin/cisplatin, pomoću </w:t>
      </w:r>
      <w:r w:rsidRPr="00E07BBD">
        <w:rPr>
          <w:rFonts w:ascii="Times New Roman" w:eastAsia="TimesNewRoman" w:hAnsi="Times New Roman" w:cs="Times New Roman"/>
          <w:i/>
          <w:iCs/>
          <w:lang w:val="sr-Latn-ME"/>
        </w:rPr>
        <w:t>Fisher Exact</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testa.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Za sve stepene toksičnosti vidjeti CTC, verziju 2 Nacionalnog instituta za rak (v2.0; NCI 1998).</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u skladu sa opštim kriterijumima toksičnosti Nacionalnog instituta za rak (CTC) (v2.0; NCI 1998), poremećaj ukusa i alopeciju treba prijavljivati samo kao neželjena dejstva stepena 1 ili 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U ovu tabelu uključena su sva neželjena dejstva čija je učestalost bila najmanje 5% i za koja je izvještač procijenio da bi mogla biti povezana sa primjenom pemetrekseda i cisplatina.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Klinički značajni toksični efekti, prijavljeni kod ≥ l% i ≤ 5% pacijenata, randomizovanih na terapiju pemetreksedom i cisplatinom, obuhvataju: povećanje vrijednosti AST, povećanje vrijednosti ALT, infekciju, febrilnu neutropeniju, bubrežnu insuficijenciju, pireksiju, dehidrataciju, konjunktivitis i smanjen klirens kreatinina.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Klinički značajni toksični efekti, prijavljeni kod &lt; 1% pacijenata, randomizovanih na terapiju cisplatinom i pemetreksedom, obuhvataju: povišene vrijednosti GGT (gama-glutamil-transferaze), bol u grudima, aritmiju i motornu neuropatiju.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Klinički značajna toksičnost u odnosu na pol bila je slična ukupnoj populaciji pacijenata koji su primali pemetreksed i cisplatin.</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Sljedeća tabela prikazuje učestalost i težinu neželjenih dejstava za koja se smatra da mogu biti povezana sa ispitivanim lijekom i koja su prijavljena kod &gt; 5% od 800 pacijenata koji su bili randomizovani da primaju samo pemetreksed i 402 pacijenta koji su bili randomizovani da primaju placebo u studiji održavanja pemetreksedom kao monoterapijom (JMEN: N=663) i studiji kontinuirane terapije odražavanja pemetreksedom (PARAMOUNT:N=539). Svim pacijentima je dijagnostikovan stadijum IIIB ili IV NSCLC 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prethodno su primali hemoterapiju na bazi platine. Pacijenti u obje terapijske grupe su primali dopunsku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terapiju sa folnom kiselinom i vitaminom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w:t>
      </w:r>
    </w:p>
    <w:p w:rsidR="00E07BBD" w:rsidRPr="00E07BBD" w:rsidRDefault="00E07BBD" w:rsidP="00C42D32">
      <w:pPr>
        <w:tabs>
          <w:tab w:val="left" w:pos="284"/>
        </w:tabs>
        <w:spacing w:after="0" w:line="240" w:lineRule="auto"/>
        <w:jc w:val="both"/>
        <w:rPr>
          <w:rFonts w:ascii="Times New Roman" w:eastAsia="Times New Roman" w:hAnsi="Times New Roman" w:cs="Times New Roman"/>
          <w:color w:val="FF0000"/>
          <w:lang w:val="sr-Latn-ME"/>
        </w:rPr>
      </w:pPr>
    </w:p>
    <w:tbl>
      <w:tblPr>
        <w:tblStyle w:val="TableGrid2"/>
        <w:tblW w:w="9776" w:type="dxa"/>
        <w:tblLook w:val="04A0" w:firstRow="1" w:lastRow="0" w:firstColumn="1" w:lastColumn="0" w:noHBand="0" w:noVBand="1"/>
      </w:tblPr>
      <w:tblGrid>
        <w:gridCol w:w="1953"/>
        <w:gridCol w:w="1338"/>
        <w:gridCol w:w="1484"/>
        <w:gridCol w:w="1248"/>
        <w:gridCol w:w="1267"/>
        <w:gridCol w:w="1219"/>
        <w:gridCol w:w="1267"/>
      </w:tblGrid>
      <w:tr w:rsidR="00E07BBD" w:rsidRPr="00E07BBD" w:rsidTr="00C42D32">
        <w:trPr>
          <w:trHeight w:val="353"/>
          <w:tblHeader/>
        </w:trPr>
        <w:tc>
          <w:tcPr>
            <w:tcW w:w="1985" w:type="dxa"/>
            <w:vMerge w:val="restart"/>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Klasa</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sistema</w:t>
            </w:r>
          </w:p>
          <w:p w:rsidR="00E07BBD" w:rsidRPr="00E07BBD" w:rsidRDefault="00E07BBD" w:rsidP="00C42D32">
            <w:pPr>
              <w:tabs>
                <w:tab w:val="left" w:pos="284"/>
              </w:tabs>
              <w:jc w:val="both"/>
              <w:rPr>
                <w:sz w:val="22"/>
                <w:szCs w:val="22"/>
                <w:lang w:val="sr-Latn-ME"/>
              </w:rPr>
            </w:pPr>
            <w:r w:rsidRPr="00E07BBD">
              <w:rPr>
                <w:b/>
                <w:bCs/>
                <w:sz w:val="22"/>
                <w:szCs w:val="22"/>
                <w:lang w:val="sr-Latn-ME"/>
              </w:rPr>
              <w:t>organa</w:t>
            </w:r>
          </w:p>
        </w:tc>
        <w:tc>
          <w:tcPr>
            <w:tcW w:w="1351" w:type="dxa"/>
            <w:vMerge w:val="restart"/>
          </w:tcPr>
          <w:p w:rsidR="00E07BBD" w:rsidRPr="00E07BBD" w:rsidRDefault="00E07BBD" w:rsidP="00C42D32">
            <w:pPr>
              <w:tabs>
                <w:tab w:val="left" w:pos="284"/>
              </w:tabs>
              <w:jc w:val="both"/>
              <w:rPr>
                <w:sz w:val="22"/>
                <w:szCs w:val="22"/>
                <w:lang w:val="sr-Latn-ME"/>
              </w:rPr>
            </w:pPr>
            <w:r w:rsidRPr="00E07BBD">
              <w:rPr>
                <w:b/>
                <w:bCs/>
                <w:sz w:val="22"/>
                <w:szCs w:val="22"/>
                <w:lang w:val="sr-Latn-ME"/>
              </w:rPr>
              <w:t>Učestalost</w:t>
            </w:r>
            <w:r w:rsidRPr="00E07BBD">
              <w:rPr>
                <w:rFonts w:eastAsia="TimesNewRoman"/>
                <w:sz w:val="22"/>
                <w:szCs w:val="22"/>
                <w:lang w:val="sr-Latn-ME"/>
              </w:rPr>
              <w:t>*</w:t>
            </w:r>
          </w:p>
        </w:tc>
        <w:tc>
          <w:tcPr>
            <w:tcW w:w="1500" w:type="dxa"/>
            <w:vMerge w:val="restart"/>
          </w:tcPr>
          <w:p w:rsidR="00E07BBD" w:rsidRPr="00E07BBD" w:rsidRDefault="00E07BBD" w:rsidP="00C42D32">
            <w:pPr>
              <w:tabs>
                <w:tab w:val="left" w:pos="284"/>
              </w:tabs>
              <w:jc w:val="both"/>
              <w:rPr>
                <w:sz w:val="22"/>
                <w:szCs w:val="22"/>
                <w:lang w:val="sr-Latn-ME"/>
              </w:rPr>
            </w:pPr>
            <w:r w:rsidRPr="00E07BBD">
              <w:rPr>
                <w:b/>
                <w:bCs/>
                <w:sz w:val="22"/>
                <w:szCs w:val="22"/>
                <w:lang w:val="sr-Latn-ME"/>
              </w:rPr>
              <w:t>Događaj</w:t>
            </w:r>
            <w:r w:rsidRPr="00E07BBD">
              <w:rPr>
                <w:rFonts w:eastAsia="TimesNewRoman"/>
                <w:sz w:val="22"/>
                <w:szCs w:val="22"/>
                <w:lang w:val="sr-Latn-ME"/>
              </w:rPr>
              <w:t>**</w:t>
            </w:r>
          </w:p>
        </w:tc>
        <w:tc>
          <w:tcPr>
            <w:tcW w:w="2530" w:type="dxa"/>
            <w:gridSpan w:val="2"/>
          </w:tcPr>
          <w:p w:rsidR="00E07BBD" w:rsidRPr="00E07BBD" w:rsidRDefault="00E07BBD" w:rsidP="00C42D32">
            <w:pPr>
              <w:autoSpaceDE w:val="0"/>
              <w:autoSpaceDN w:val="0"/>
              <w:adjustRightInd w:val="0"/>
              <w:jc w:val="both"/>
              <w:rPr>
                <w:rFonts w:eastAsia="TimesNewRoman"/>
                <w:sz w:val="22"/>
                <w:szCs w:val="22"/>
                <w:lang w:val="sr-Latn-ME"/>
              </w:rPr>
            </w:pPr>
            <w:r w:rsidRPr="00E07BBD">
              <w:rPr>
                <w:b/>
                <w:bCs/>
                <w:sz w:val="22"/>
                <w:szCs w:val="22"/>
                <w:lang w:val="sr-Latn-ME"/>
              </w:rPr>
              <w:t>Pemetreksed</w:t>
            </w:r>
            <w:r w:rsidRPr="00E07BBD">
              <w:rPr>
                <w:rFonts w:eastAsia="TimesNewRoman"/>
                <w:sz w:val="22"/>
                <w:szCs w:val="22"/>
                <w:lang w:val="sr-Latn-ME"/>
              </w:rPr>
              <w:t>***</w:t>
            </w:r>
          </w:p>
          <w:p w:rsidR="00E07BBD" w:rsidRPr="00E07BBD" w:rsidRDefault="00E07BBD" w:rsidP="00C42D32">
            <w:pPr>
              <w:tabs>
                <w:tab w:val="left" w:pos="284"/>
              </w:tabs>
              <w:jc w:val="both"/>
              <w:rPr>
                <w:sz w:val="22"/>
                <w:szCs w:val="22"/>
                <w:lang w:val="sr-Latn-ME"/>
              </w:rPr>
            </w:pPr>
            <w:r w:rsidRPr="00E07BBD">
              <w:rPr>
                <w:b/>
                <w:bCs/>
                <w:sz w:val="22"/>
                <w:szCs w:val="22"/>
                <w:lang w:val="sr-Latn-ME"/>
              </w:rPr>
              <w:t>(N = 800)</w:t>
            </w:r>
          </w:p>
        </w:tc>
        <w:tc>
          <w:tcPr>
            <w:tcW w:w="2410" w:type="dxa"/>
            <w:gridSpan w:val="2"/>
          </w:tcPr>
          <w:p w:rsidR="00E07BBD" w:rsidRPr="00E07BBD" w:rsidRDefault="00E07BBD" w:rsidP="00C42D32">
            <w:pPr>
              <w:autoSpaceDE w:val="0"/>
              <w:autoSpaceDN w:val="0"/>
              <w:adjustRightInd w:val="0"/>
              <w:jc w:val="both"/>
              <w:rPr>
                <w:rFonts w:eastAsia="TimesNewRoman"/>
                <w:sz w:val="22"/>
                <w:szCs w:val="22"/>
                <w:lang w:val="sr-Latn-ME"/>
              </w:rPr>
            </w:pPr>
            <w:r w:rsidRPr="00E07BBD">
              <w:rPr>
                <w:b/>
                <w:bCs/>
                <w:sz w:val="22"/>
                <w:szCs w:val="22"/>
                <w:lang w:val="sr-Latn-ME"/>
              </w:rPr>
              <w:t>Placebo</w:t>
            </w:r>
            <w:r w:rsidRPr="00E07BBD">
              <w:rPr>
                <w:rFonts w:eastAsia="TimesNewRoman"/>
                <w:sz w:val="22"/>
                <w:szCs w:val="22"/>
                <w:lang w:val="sr-Latn-ME"/>
              </w:rPr>
              <w:t>***</w:t>
            </w:r>
          </w:p>
          <w:p w:rsidR="00E07BBD" w:rsidRPr="00E07BBD" w:rsidRDefault="00E07BBD" w:rsidP="00C42D32">
            <w:pPr>
              <w:tabs>
                <w:tab w:val="left" w:pos="284"/>
              </w:tabs>
              <w:jc w:val="both"/>
              <w:rPr>
                <w:sz w:val="22"/>
                <w:szCs w:val="22"/>
                <w:lang w:val="sr-Latn-ME"/>
              </w:rPr>
            </w:pPr>
            <w:r w:rsidRPr="00E07BBD">
              <w:rPr>
                <w:b/>
                <w:bCs/>
                <w:sz w:val="22"/>
                <w:szCs w:val="22"/>
                <w:lang w:val="sr-Latn-ME"/>
              </w:rPr>
              <w:t>(N = 402)</w:t>
            </w:r>
          </w:p>
        </w:tc>
      </w:tr>
      <w:tr w:rsidR="00E07BBD" w:rsidRPr="00E07BBD" w:rsidTr="00C42D32">
        <w:trPr>
          <w:trHeight w:val="408"/>
          <w:tblHeader/>
        </w:trPr>
        <w:tc>
          <w:tcPr>
            <w:tcW w:w="1985" w:type="dxa"/>
            <w:vMerge/>
          </w:tcPr>
          <w:p w:rsidR="00E07BBD" w:rsidRPr="00E07BBD" w:rsidRDefault="00E07BBD" w:rsidP="00C42D32">
            <w:pPr>
              <w:autoSpaceDE w:val="0"/>
              <w:autoSpaceDN w:val="0"/>
              <w:adjustRightInd w:val="0"/>
              <w:jc w:val="both"/>
              <w:rPr>
                <w:b/>
                <w:bCs/>
                <w:sz w:val="22"/>
                <w:szCs w:val="22"/>
                <w:lang w:val="sr-Latn-ME"/>
              </w:rPr>
            </w:pPr>
          </w:p>
        </w:tc>
        <w:tc>
          <w:tcPr>
            <w:tcW w:w="1351" w:type="dxa"/>
            <w:vMerge/>
          </w:tcPr>
          <w:p w:rsidR="00E07BBD" w:rsidRPr="00E07BBD" w:rsidRDefault="00E07BBD" w:rsidP="00C42D32">
            <w:pPr>
              <w:tabs>
                <w:tab w:val="left" w:pos="284"/>
              </w:tabs>
              <w:jc w:val="both"/>
              <w:rPr>
                <w:b/>
                <w:bCs/>
                <w:sz w:val="22"/>
                <w:szCs w:val="22"/>
                <w:lang w:val="sr-Latn-ME"/>
              </w:rPr>
            </w:pPr>
          </w:p>
        </w:tc>
        <w:tc>
          <w:tcPr>
            <w:tcW w:w="1500" w:type="dxa"/>
            <w:vMerge/>
          </w:tcPr>
          <w:p w:rsidR="00E07BBD" w:rsidRPr="00E07BBD" w:rsidRDefault="00E07BBD" w:rsidP="00C42D32">
            <w:pPr>
              <w:tabs>
                <w:tab w:val="left" w:pos="284"/>
              </w:tabs>
              <w:jc w:val="both"/>
              <w:rPr>
                <w:b/>
                <w:bCs/>
                <w:sz w:val="22"/>
                <w:szCs w:val="22"/>
                <w:lang w:val="sr-Latn-ME"/>
              </w:rPr>
            </w:pPr>
          </w:p>
        </w:tc>
        <w:tc>
          <w:tcPr>
            <w:tcW w:w="1255"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Svi stepeni</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toksičnosti</w:t>
            </w:r>
          </w:p>
          <w:p w:rsidR="00E07BBD" w:rsidRPr="00E07BBD" w:rsidRDefault="00E07BBD" w:rsidP="00C42D32">
            <w:pPr>
              <w:autoSpaceDE w:val="0"/>
              <w:autoSpaceDN w:val="0"/>
              <w:adjustRightInd w:val="0"/>
              <w:jc w:val="both"/>
              <w:rPr>
                <w:sz w:val="22"/>
                <w:szCs w:val="22"/>
                <w:lang w:val="sr-Latn-ME"/>
              </w:rPr>
            </w:pPr>
            <w:r w:rsidRPr="00E07BBD">
              <w:rPr>
                <w:b/>
                <w:bCs/>
                <w:sz w:val="22"/>
                <w:szCs w:val="22"/>
                <w:lang w:val="sr-Latn-ME"/>
              </w:rPr>
              <w:t>(%)</w:t>
            </w:r>
          </w:p>
        </w:tc>
        <w:tc>
          <w:tcPr>
            <w:tcW w:w="1275"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Toksičnost</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3-4.</w:t>
            </w:r>
            <w:r w:rsidR="00350968">
              <w:rPr>
                <w:b/>
                <w:bCs/>
                <w:sz w:val="22"/>
                <w:szCs w:val="22"/>
                <w:lang w:val="sr-Latn-ME"/>
              </w:rPr>
              <w:t xml:space="preserve"> </w:t>
            </w:r>
            <w:r w:rsidRPr="00E07BBD">
              <w:rPr>
                <w:b/>
                <w:bCs/>
                <w:sz w:val="22"/>
                <w:szCs w:val="22"/>
                <w:lang w:val="sr-Latn-ME"/>
              </w:rPr>
              <w:t>stepena</w:t>
            </w:r>
          </w:p>
          <w:p w:rsidR="00E07BBD" w:rsidRPr="00E07BBD" w:rsidRDefault="00E07BBD" w:rsidP="00C42D32">
            <w:pPr>
              <w:tabs>
                <w:tab w:val="left" w:pos="284"/>
              </w:tabs>
              <w:jc w:val="both"/>
              <w:rPr>
                <w:sz w:val="22"/>
                <w:szCs w:val="22"/>
                <w:lang w:val="sr-Latn-ME"/>
              </w:rPr>
            </w:pPr>
            <w:r w:rsidRPr="00E07BBD">
              <w:rPr>
                <w:b/>
                <w:bCs/>
                <w:sz w:val="22"/>
                <w:szCs w:val="22"/>
                <w:lang w:val="sr-Latn-ME"/>
              </w:rPr>
              <w:t>(%)</w:t>
            </w:r>
          </w:p>
        </w:tc>
        <w:tc>
          <w:tcPr>
            <w:tcW w:w="1134"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Svi stepeni</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toksičnosti</w:t>
            </w:r>
          </w:p>
          <w:p w:rsidR="00E07BBD" w:rsidRPr="00E07BBD" w:rsidRDefault="00E07BBD" w:rsidP="00C42D32">
            <w:pPr>
              <w:tabs>
                <w:tab w:val="left" w:pos="284"/>
              </w:tabs>
              <w:jc w:val="both"/>
              <w:rPr>
                <w:sz w:val="22"/>
                <w:szCs w:val="22"/>
                <w:lang w:val="sr-Latn-ME"/>
              </w:rPr>
            </w:pPr>
            <w:r w:rsidRPr="00E07BBD">
              <w:rPr>
                <w:b/>
                <w:bCs/>
                <w:sz w:val="22"/>
                <w:szCs w:val="22"/>
                <w:lang w:val="sr-Latn-ME"/>
              </w:rPr>
              <w:t>(%)</w:t>
            </w:r>
          </w:p>
        </w:tc>
        <w:tc>
          <w:tcPr>
            <w:tcW w:w="1276"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Toksičnost</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3-4. stepena</w:t>
            </w:r>
          </w:p>
          <w:p w:rsidR="00E07BBD" w:rsidRPr="00E07BBD" w:rsidRDefault="00E07BBD" w:rsidP="00C42D32">
            <w:pPr>
              <w:tabs>
                <w:tab w:val="left" w:pos="284"/>
              </w:tabs>
              <w:jc w:val="both"/>
              <w:rPr>
                <w:sz w:val="22"/>
                <w:szCs w:val="22"/>
                <w:lang w:val="sr-Latn-ME"/>
              </w:rPr>
            </w:pPr>
            <w:r w:rsidRPr="00E07BBD">
              <w:rPr>
                <w:b/>
                <w:bCs/>
                <w:sz w:val="22"/>
                <w:szCs w:val="22"/>
                <w:lang w:val="sr-Latn-ME"/>
              </w:rPr>
              <w:t>(%)</w:t>
            </w:r>
          </w:p>
        </w:tc>
      </w:tr>
      <w:tr w:rsidR="00E07BBD" w:rsidRPr="00E07BBD" w:rsidTr="00C42D32">
        <w:trPr>
          <w:trHeight w:val="271"/>
        </w:trPr>
        <w:tc>
          <w:tcPr>
            <w:tcW w:w="1985"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 krvi i</w:t>
            </w:r>
          </w:p>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limfnog</w:t>
            </w:r>
          </w:p>
          <w:p w:rsidR="00E07BBD" w:rsidRPr="00E07BBD" w:rsidRDefault="00E07BBD" w:rsidP="00C42D32">
            <w:pPr>
              <w:tabs>
                <w:tab w:val="left" w:pos="284"/>
              </w:tabs>
              <w:jc w:val="both"/>
              <w:rPr>
                <w:sz w:val="22"/>
                <w:szCs w:val="22"/>
                <w:lang w:val="sr-Latn-ME"/>
              </w:rPr>
            </w:pPr>
            <w:r w:rsidRPr="00E07BBD">
              <w:rPr>
                <w:i/>
                <w:iCs/>
                <w:sz w:val="22"/>
                <w:szCs w:val="22"/>
                <w:lang w:val="sr-Latn-ME"/>
              </w:rPr>
              <w:t>sistema</w:t>
            </w:r>
          </w:p>
        </w:tc>
        <w:tc>
          <w:tcPr>
            <w:tcW w:w="135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Snižene</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vrijednosti</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hemoglobina</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18,0</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4,5</w:t>
            </w:r>
          </w:p>
        </w:tc>
        <w:tc>
          <w:tcPr>
            <w:tcW w:w="1134" w:type="dxa"/>
            <w:tcBorders>
              <w:bottom w:val="single" w:sz="4" w:space="0" w:color="auto"/>
            </w:tcBorders>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5,2</w:t>
            </w:r>
          </w:p>
        </w:tc>
        <w:tc>
          <w:tcPr>
            <w:tcW w:w="1276" w:type="dxa"/>
            <w:tcBorders>
              <w:bottom w:val="single" w:sz="4" w:space="0" w:color="auto"/>
            </w:tcBorders>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0,5</w:t>
            </w:r>
          </w:p>
        </w:tc>
      </w:tr>
      <w:tr w:rsidR="00E07BBD" w:rsidRPr="00E07BBD" w:rsidTr="00C42D32">
        <w:trPr>
          <w:trHeight w:val="285"/>
        </w:trPr>
        <w:tc>
          <w:tcPr>
            <w:tcW w:w="1985" w:type="dxa"/>
            <w:vMerge/>
          </w:tcPr>
          <w:p w:rsidR="00E07BBD" w:rsidRPr="00E07BBD" w:rsidRDefault="00E07BBD" w:rsidP="00C42D32">
            <w:pPr>
              <w:autoSpaceDE w:val="0"/>
              <w:autoSpaceDN w:val="0"/>
              <w:adjustRightInd w:val="0"/>
              <w:jc w:val="both"/>
              <w:rPr>
                <w:i/>
                <w:iCs/>
                <w:sz w:val="22"/>
                <w:szCs w:val="22"/>
                <w:lang w:val="sr-Latn-ME"/>
              </w:rPr>
            </w:pPr>
          </w:p>
        </w:tc>
        <w:tc>
          <w:tcPr>
            <w:tcW w:w="1351" w:type="dxa"/>
            <w:vMerge w:val="restart"/>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Snižen broj</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leukocita</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5,8</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1,9</w:t>
            </w:r>
          </w:p>
        </w:tc>
        <w:tc>
          <w:tcPr>
            <w:tcW w:w="1134" w:type="dxa"/>
            <w:tcBorders>
              <w:bottom w:val="single" w:sz="4" w:space="0" w:color="auto"/>
            </w:tcBorders>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0,7</w:t>
            </w:r>
          </w:p>
        </w:tc>
        <w:tc>
          <w:tcPr>
            <w:tcW w:w="1276" w:type="dxa"/>
            <w:tcBorders>
              <w:bottom w:val="single" w:sz="4" w:space="0" w:color="auto"/>
            </w:tcBorders>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0,2</w:t>
            </w:r>
          </w:p>
        </w:tc>
      </w:tr>
      <w:tr w:rsidR="00E07BBD" w:rsidRPr="00E07BBD" w:rsidTr="00C42D32">
        <w:trPr>
          <w:trHeight w:val="377"/>
        </w:trPr>
        <w:tc>
          <w:tcPr>
            <w:tcW w:w="1985" w:type="dxa"/>
            <w:vMerge/>
          </w:tcPr>
          <w:p w:rsidR="00E07BBD" w:rsidRPr="00E07BBD" w:rsidRDefault="00E07BBD" w:rsidP="00C42D32">
            <w:pPr>
              <w:autoSpaceDE w:val="0"/>
              <w:autoSpaceDN w:val="0"/>
              <w:adjustRightInd w:val="0"/>
              <w:jc w:val="both"/>
              <w:rPr>
                <w:i/>
                <w:iCs/>
                <w:sz w:val="22"/>
                <w:szCs w:val="22"/>
                <w:lang w:val="sr-Latn-ME"/>
              </w:rPr>
            </w:pPr>
          </w:p>
        </w:tc>
        <w:tc>
          <w:tcPr>
            <w:tcW w:w="1351" w:type="dxa"/>
            <w:vMerge/>
          </w:tcPr>
          <w:p w:rsidR="00E07BBD" w:rsidRPr="00E07BBD" w:rsidRDefault="00E07BBD" w:rsidP="00C42D32">
            <w:pPr>
              <w:tabs>
                <w:tab w:val="left" w:pos="284"/>
              </w:tabs>
              <w:jc w:val="both"/>
              <w:rPr>
                <w:sz w:val="22"/>
                <w:szCs w:val="22"/>
                <w:lang w:val="sr-Latn-ME"/>
              </w:rPr>
            </w:pP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Snižen broj</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neutrofila</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8,4</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4,4</w:t>
            </w:r>
          </w:p>
        </w:tc>
        <w:tc>
          <w:tcPr>
            <w:tcW w:w="1134" w:type="dxa"/>
            <w:tcBorders>
              <w:bottom w:val="single" w:sz="4" w:space="0" w:color="auto"/>
            </w:tcBorders>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0,2</w:t>
            </w:r>
          </w:p>
        </w:tc>
        <w:tc>
          <w:tcPr>
            <w:tcW w:w="1276" w:type="dxa"/>
            <w:tcBorders>
              <w:bottom w:val="single" w:sz="4" w:space="0" w:color="auto"/>
            </w:tcBorders>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c>
          <w:tcPr>
            <w:tcW w:w="1985" w:type="dxa"/>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w:t>
            </w:r>
          </w:p>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nervnog</w:t>
            </w:r>
          </w:p>
          <w:p w:rsidR="00E07BBD" w:rsidRPr="00E07BBD" w:rsidRDefault="00E07BBD" w:rsidP="00C42D32">
            <w:pPr>
              <w:tabs>
                <w:tab w:val="left" w:pos="284"/>
              </w:tabs>
              <w:jc w:val="both"/>
              <w:rPr>
                <w:sz w:val="22"/>
                <w:szCs w:val="22"/>
                <w:lang w:val="sr-Latn-ME"/>
              </w:rPr>
            </w:pPr>
            <w:r w:rsidRPr="00E07BBD">
              <w:rPr>
                <w:i/>
                <w:iCs/>
                <w:sz w:val="22"/>
                <w:szCs w:val="22"/>
                <w:lang w:val="sr-Latn-ME"/>
              </w:rPr>
              <w:t>sistema</w:t>
            </w:r>
          </w:p>
        </w:tc>
        <w:tc>
          <w:tcPr>
            <w:tcW w:w="135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Neuropatija</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-senzorna</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7,4</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0,6</w:t>
            </w:r>
          </w:p>
        </w:tc>
        <w:tc>
          <w:tcPr>
            <w:tcW w:w="1134" w:type="dxa"/>
            <w:tcBorders>
              <w:top w:val="single" w:sz="4" w:space="0" w:color="auto"/>
            </w:tcBorders>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5,0</w:t>
            </w:r>
          </w:p>
        </w:tc>
        <w:tc>
          <w:tcPr>
            <w:tcW w:w="1276" w:type="dxa"/>
            <w:tcBorders>
              <w:top w:val="single" w:sz="4" w:space="0" w:color="auto"/>
            </w:tcBorders>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0,2</w:t>
            </w:r>
          </w:p>
        </w:tc>
      </w:tr>
      <w:tr w:rsidR="00E07BBD" w:rsidRPr="00E07BBD" w:rsidTr="00C42D32">
        <w:trPr>
          <w:trHeight w:val="299"/>
        </w:trPr>
        <w:tc>
          <w:tcPr>
            <w:tcW w:w="1985"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Gastrointestinalni</w:t>
            </w:r>
          </w:p>
          <w:p w:rsidR="00E07BBD" w:rsidRPr="00E07BBD" w:rsidRDefault="00E07BBD" w:rsidP="00C42D32">
            <w:pPr>
              <w:tabs>
                <w:tab w:val="left" w:pos="284"/>
              </w:tabs>
              <w:jc w:val="both"/>
              <w:rPr>
                <w:sz w:val="22"/>
                <w:szCs w:val="22"/>
                <w:lang w:val="sr-Latn-ME"/>
              </w:rPr>
            </w:pPr>
            <w:r w:rsidRPr="00E07BBD">
              <w:rPr>
                <w:i/>
                <w:iCs/>
                <w:sz w:val="22"/>
                <w:szCs w:val="22"/>
                <w:lang w:val="sr-Latn-ME"/>
              </w:rPr>
              <w:t>poremećaji</w:t>
            </w:r>
          </w:p>
        </w:tc>
        <w:tc>
          <w:tcPr>
            <w:tcW w:w="135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Mučnina </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Anoreksija</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17,3</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12,8</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0,8</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1,1</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4,0</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3,2</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0,2</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258"/>
        </w:trPr>
        <w:tc>
          <w:tcPr>
            <w:tcW w:w="1985" w:type="dxa"/>
            <w:vMerge/>
          </w:tcPr>
          <w:p w:rsidR="00E07BBD" w:rsidRPr="00E07BBD" w:rsidRDefault="00E07BBD" w:rsidP="00C42D32">
            <w:pPr>
              <w:autoSpaceDE w:val="0"/>
              <w:autoSpaceDN w:val="0"/>
              <w:adjustRightInd w:val="0"/>
              <w:jc w:val="both"/>
              <w:rPr>
                <w:i/>
                <w:iCs/>
                <w:sz w:val="22"/>
                <w:szCs w:val="22"/>
                <w:lang w:val="sr-Latn-ME"/>
              </w:rPr>
            </w:pPr>
          </w:p>
        </w:tc>
        <w:tc>
          <w:tcPr>
            <w:tcW w:w="1351" w:type="dxa"/>
            <w:vMerge w:val="restart"/>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Povraćanje</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8,4</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0,3</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1,5</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177"/>
        </w:trPr>
        <w:tc>
          <w:tcPr>
            <w:tcW w:w="1985" w:type="dxa"/>
            <w:vMerge/>
          </w:tcPr>
          <w:p w:rsidR="00E07BBD" w:rsidRPr="00E07BBD" w:rsidRDefault="00E07BBD" w:rsidP="00C42D32">
            <w:pPr>
              <w:autoSpaceDE w:val="0"/>
              <w:autoSpaceDN w:val="0"/>
              <w:adjustRightInd w:val="0"/>
              <w:jc w:val="both"/>
              <w:rPr>
                <w:i/>
                <w:iCs/>
                <w:sz w:val="22"/>
                <w:szCs w:val="22"/>
                <w:lang w:val="sr-Latn-ME"/>
              </w:rPr>
            </w:pPr>
          </w:p>
        </w:tc>
        <w:tc>
          <w:tcPr>
            <w:tcW w:w="1351" w:type="dxa"/>
            <w:vMerge/>
          </w:tcPr>
          <w:p w:rsidR="00E07BBD" w:rsidRPr="00E07BBD" w:rsidRDefault="00E07BBD" w:rsidP="00C42D32">
            <w:pPr>
              <w:tabs>
                <w:tab w:val="left" w:pos="284"/>
              </w:tabs>
              <w:jc w:val="both"/>
              <w:rPr>
                <w:rFonts w:eastAsia="TimesNewRoman"/>
                <w:sz w:val="22"/>
                <w:szCs w:val="22"/>
                <w:lang w:val="sr-Latn-ME"/>
              </w:rPr>
            </w:pP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Mukozitis/</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st</w:t>
            </w: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omatitis</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6,8</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0,1</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1,7</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218"/>
        </w:trPr>
        <w:tc>
          <w:tcPr>
            <w:tcW w:w="1985"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Hepatobilijarni poremećaji</w:t>
            </w:r>
          </w:p>
        </w:tc>
        <w:tc>
          <w:tcPr>
            <w:tcW w:w="1351" w:type="dxa"/>
            <w:vMerge w:val="restart"/>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Povišene</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vrijednosti</w:t>
            </w:r>
          </w:p>
          <w:p w:rsidR="00E07BBD" w:rsidRPr="00E07BBD" w:rsidRDefault="00E07BBD" w:rsidP="00C42D32">
            <w:pPr>
              <w:autoSpaceDE w:val="0"/>
              <w:autoSpaceDN w:val="0"/>
              <w:adjustRightInd w:val="0"/>
              <w:jc w:val="both"/>
              <w:rPr>
                <w:sz w:val="22"/>
                <w:szCs w:val="22"/>
                <w:lang w:val="sr-Latn-ME"/>
              </w:rPr>
            </w:pPr>
            <w:r w:rsidRPr="00E07BBD">
              <w:rPr>
                <w:rFonts w:eastAsia="TimesNewRoman"/>
                <w:sz w:val="22"/>
                <w:szCs w:val="22"/>
                <w:lang w:val="sr-Latn-ME"/>
              </w:rPr>
              <w:t>ALT (SGPT)</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6,5</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0,1</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2,2</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285"/>
        </w:trPr>
        <w:tc>
          <w:tcPr>
            <w:tcW w:w="1985" w:type="dxa"/>
            <w:vMerge/>
          </w:tcPr>
          <w:p w:rsidR="00E07BBD" w:rsidRPr="00E07BBD" w:rsidRDefault="00E07BBD" w:rsidP="00C42D32">
            <w:pPr>
              <w:autoSpaceDE w:val="0"/>
              <w:autoSpaceDN w:val="0"/>
              <w:adjustRightInd w:val="0"/>
              <w:jc w:val="both"/>
              <w:rPr>
                <w:i/>
                <w:iCs/>
                <w:sz w:val="22"/>
                <w:szCs w:val="22"/>
                <w:lang w:val="sr-Latn-ME"/>
              </w:rPr>
            </w:pPr>
          </w:p>
        </w:tc>
        <w:tc>
          <w:tcPr>
            <w:tcW w:w="1351" w:type="dxa"/>
            <w:vMerge/>
          </w:tcPr>
          <w:p w:rsidR="00E07BBD" w:rsidRPr="00E07BBD" w:rsidRDefault="00E07BBD" w:rsidP="00C42D32">
            <w:pPr>
              <w:tabs>
                <w:tab w:val="left" w:pos="284"/>
              </w:tabs>
              <w:jc w:val="both"/>
              <w:rPr>
                <w:rFonts w:eastAsia="TimesNewRoman"/>
                <w:sz w:val="22"/>
                <w:szCs w:val="22"/>
                <w:lang w:val="sr-Latn-ME"/>
              </w:rPr>
            </w:pP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Povišene</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vrijednosti</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lastRenderedPageBreak/>
              <w:t>AST (SGOT)</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lastRenderedPageBreak/>
              <w:t>5,9</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1,7</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c>
          <w:tcPr>
            <w:tcW w:w="1985" w:type="dxa"/>
          </w:tcPr>
          <w:p w:rsidR="00E07BBD" w:rsidRPr="00E07BBD" w:rsidRDefault="00E07BBD" w:rsidP="00C42D32">
            <w:pPr>
              <w:autoSpaceDE w:val="0"/>
              <w:autoSpaceDN w:val="0"/>
              <w:adjustRightInd w:val="0"/>
              <w:jc w:val="both"/>
              <w:rPr>
                <w:sz w:val="22"/>
                <w:szCs w:val="22"/>
                <w:lang w:val="sr-Latn-ME"/>
              </w:rPr>
            </w:pPr>
            <w:r w:rsidRPr="00E07BBD">
              <w:rPr>
                <w:i/>
                <w:iCs/>
                <w:sz w:val="22"/>
                <w:szCs w:val="22"/>
                <w:lang w:val="sr-Latn-ME"/>
              </w:rPr>
              <w:t>Poremećaji kože i potkožnog tkiva</w:t>
            </w:r>
          </w:p>
        </w:tc>
        <w:tc>
          <w:tcPr>
            <w:tcW w:w="135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Osip/</w:t>
            </w:r>
          </w:p>
          <w:p w:rsidR="00E07BBD" w:rsidRPr="00E07BBD" w:rsidRDefault="00E07BBD" w:rsidP="00C42D32">
            <w:pPr>
              <w:autoSpaceDE w:val="0"/>
              <w:autoSpaceDN w:val="0"/>
              <w:adjustRightInd w:val="0"/>
              <w:jc w:val="both"/>
              <w:rPr>
                <w:sz w:val="22"/>
                <w:szCs w:val="22"/>
                <w:lang w:val="sr-Latn-ME"/>
              </w:rPr>
            </w:pPr>
            <w:r w:rsidRPr="00E07BBD">
              <w:rPr>
                <w:rFonts w:eastAsia="TimesNewRoman"/>
                <w:sz w:val="22"/>
                <w:szCs w:val="22"/>
                <w:lang w:val="sr-Latn-ME"/>
              </w:rPr>
              <w:t>deskvamacija</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8,1</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0,1</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3,7</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462"/>
        </w:trPr>
        <w:tc>
          <w:tcPr>
            <w:tcW w:w="1985" w:type="dxa"/>
            <w:vMerge w:val="restart"/>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Opšti</w:t>
            </w:r>
          </w:p>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 i</w:t>
            </w:r>
          </w:p>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reakcije na</w:t>
            </w:r>
          </w:p>
          <w:p w:rsidR="00E07BBD" w:rsidRPr="00E07BBD" w:rsidRDefault="00E07BBD" w:rsidP="00C42D32">
            <w:pPr>
              <w:tabs>
                <w:tab w:val="left" w:pos="284"/>
              </w:tabs>
              <w:jc w:val="both"/>
              <w:rPr>
                <w:sz w:val="22"/>
                <w:szCs w:val="22"/>
                <w:lang w:val="sr-Latn-ME"/>
              </w:rPr>
            </w:pPr>
            <w:r w:rsidRPr="00E07BBD">
              <w:rPr>
                <w:i/>
                <w:iCs/>
                <w:sz w:val="22"/>
                <w:szCs w:val="22"/>
                <w:lang w:val="sr-Latn-ME"/>
              </w:rPr>
              <w:t>mjestu primjene</w:t>
            </w:r>
          </w:p>
        </w:tc>
        <w:tc>
          <w:tcPr>
            <w:tcW w:w="135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Veoma</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Malaksalost</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24,1</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5,3</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10,9</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0,7</w:t>
            </w:r>
          </w:p>
        </w:tc>
      </w:tr>
      <w:tr w:rsidR="00E07BBD" w:rsidRPr="00E07BBD" w:rsidTr="00C42D32">
        <w:trPr>
          <w:trHeight w:val="312"/>
        </w:trPr>
        <w:tc>
          <w:tcPr>
            <w:tcW w:w="1985" w:type="dxa"/>
            <w:vMerge/>
          </w:tcPr>
          <w:p w:rsidR="00E07BBD" w:rsidRPr="00E07BBD" w:rsidRDefault="00E07BBD" w:rsidP="00C42D32">
            <w:pPr>
              <w:autoSpaceDE w:val="0"/>
              <w:autoSpaceDN w:val="0"/>
              <w:adjustRightInd w:val="0"/>
              <w:jc w:val="both"/>
              <w:rPr>
                <w:i/>
                <w:iCs/>
                <w:sz w:val="22"/>
                <w:szCs w:val="22"/>
                <w:lang w:val="sr-Latn-ME"/>
              </w:rPr>
            </w:pPr>
          </w:p>
        </w:tc>
        <w:tc>
          <w:tcPr>
            <w:tcW w:w="1351" w:type="dxa"/>
            <w:vMerge w:val="restart"/>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Bol</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7,6</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0,9</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4,5</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rPr>
          <w:trHeight w:val="231"/>
        </w:trPr>
        <w:tc>
          <w:tcPr>
            <w:tcW w:w="1985" w:type="dxa"/>
            <w:vMerge/>
          </w:tcPr>
          <w:p w:rsidR="00E07BBD" w:rsidRPr="00E07BBD" w:rsidRDefault="00E07BBD" w:rsidP="00C42D32">
            <w:pPr>
              <w:autoSpaceDE w:val="0"/>
              <w:autoSpaceDN w:val="0"/>
              <w:adjustRightInd w:val="0"/>
              <w:jc w:val="both"/>
              <w:rPr>
                <w:i/>
                <w:iCs/>
                <w:sz w:val="22"/>
                <w:szCs w:val="22"/>
                <w:lang w:val="sr-Latn-ME"/>
              </w:rPr>
            </w:pPr>
          </w:p>
        </w:tc>
        <w:tc>
          <w:tcPr>
            <w:tcW w:w="1351" w:type="dxa"/>
            <w:vMerge/>
          </w:tcPr>
          <w:p w:rsidR="00E07BBD" w:rsidRPr="00E07BBD" w:rsidRDefault="00E07BBD" w:rsidP="00C42D32">
            <w:pPr>
              <w:tabs>
                <w:tab w:val="left" w:pos="284"/>
              </w:tabs>
              <w:jc w:val="both"/>
              <w:rPr>
                <w:sz w:val="22"/>
                <w:szCs w:val="22"/>
                <w:lang w:val="sr-Latn-ME"/>
              </w:rPr>
            </w:pPr>
          </w:p>
        </w:tc>
        <w:tc>
          <w:tcPr>
            <w:tcW w:w="1500"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Edem</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5,6</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1,5</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r w:rsidR="00E07BBD" w:rsidRPr="00E07BBD" w:rsidTr="00C42D32">
        <w:tc>
          <w:tcPr>
            <w:tcW w:w="1985" w:type="dxa"/>
          </w:tcPr>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Poremećaji  bubrega</w:t>
            </w:r>
          </w:p>
          <w:p w:rsidR="00E07BBD" w:rsidRPr="00E07BBD" w:rsidRDefault="00E07BBD" w:rsidP="00C42D32">
            <w:pPr>
              <w:autoSpaceDE w:val="0"/>
              <w:autoSpaceDN w:val="0"/>
              <w:adjustRightInd w:val="0"/>
              <w:jc w:val="both"/>
              <w:rPr>
                <w:i/>
                <w:iCs/>
                <w:sz w:val="22"/>
                <w:szCs w:val="22"/>
                <w:lang w:val="sr-Latn-ME"/>
              </w:rPr>
            </w:pPr>
            <w:r w:rsidRPr="00E07BBD">
              <w:rPr>
                <w:i/>
                <w:iCs/>
                <w:sz w:val="22"/>
                <w:szCs w:val="22"/>
                <w:lang w:val="sr-Latn-ME"/>
              </w:rPr>
              <w:t>i urinarnog</w:t>
            </w:r>
          </w:p>
          <w:p w:rsidR="00E07BBD" w:rsidRPr="00E07BBD" w:rsidRDefault="00E07BBD" w:rsidP="00C42D32">
            <w:pPr>
              <w:tabs>
                <w:tab w:val="left" w:pos="284"/>
              </w:tabs>
              <w:jc w:val="both"/>
              <w:rPr>
                <w:sz w:val="22"/>
                <w:szCs w:val="22"/>
                <w:lang w:val="sr-Latn-ME"/>
              </w:rPr>
            </w:pPr>
            <w:r w:rsidRPr="00E07BBD">
              <w:rPr>
                <w:i/>
                <w:iCs/>
                <w:sz w:val="22"/>
                <w:szCs w:val="22"/>
                <w:lang w:val="sr-Latn-ME"/>
              </w:rPr>
              <w:t>sistema</w:t>
            </w:r>
          </w:p>
        </w:tc>
        <w:tc>
          <w:tcPr>
            <w:tcW w:w="1351"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Često</w:t>
            </w:r>
          </w:p>
        </w:tc>
        <w:tc>
          <w:tcPr>
            <w:tcW w:w="1500"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Poremećaji</w:t>
            </w:r>
          </w:p>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bubrega****</w:t>
            </w:r>
          </w:p>
        </w:tc>
        <w:tc>
          <w:tcPr>
            <w:tcW w:w="125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7,6</w:t>
            </w:r>
          </w:p>
        </w:tc>
        <w:tc>
          <w:tcPr>
            <w:tcW w:w="1275"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0,9</w:t>
            </w:r>
          </w:p>
        </w:tc>
        <w:tc>
          <w:tcPr>
            <w:tcW w:w="1134"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1,7</w:t>
            </w:r>
          </w:p>
        </w:tc>
        <w:tc>
          <w:tcPr>
            <w:tcW w:w="1276" w:type="dxa"/>
          </w:tcPr>
          <w:p w:rsidR="00E07BBD" w:rsidRPr="00E07BBD" w:rsidRDefault="00E07BBD" w:rsidP="00C42D32">
            <w:pPr>
              <w:tabs>
                <w:tab w:val="left" w:pos="284"/>
              </w:tabs>
              <w:jc w:val="both"/>
              <w:rPr>
                <w:sz w:val="22"/>
                <w:szCs w:val="22"/>
                <w:lang w:val="sr-Latn-ME"/>
              </w:rPr>
            </w:pPr>
            <w:r w:rsidRPr="00E07BBD">
              <w:rPr>
                <w:rFonts w:eastAsia="TimesNewRoman"/>
                <w:sz w:val="22"/>
                <w:szCs w:val="22"/>
                <w:lang w:val="sr-Latn-ME"/>
              </w:rPr>
              <w:t>0,0</w:t>
            </w: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Skraćenice: ALT = alanin aminotransferaza; AST = aspartat aminotransferaza; CTCAE (engl. </w:t>
      </w:r>
      <w:r w:rsidRPr="00E07BBD">
        <w:rPr>
          <w:rFonts w:ascii="Times New Roman" w:eastAsia="TimesNewRoman" w:hAnsi="Times New Roman" w:cs="Times New Roman"/>
          <w:i/>
          <w:iCs/>
          <w:lang w:val="sr-Latn-ME"/>
        </w:rPr>
        <w:t>Common Terminology Criteria for Adverse Event</w:t>
      </w:r>
      <w:r w:rsidRPr="00E07BBD">
        <w:rPr>
          <w:rFonts w:ascii="Times New Roman" w:eastAsia="TimesNewRoman" w:hAnsi="Times New Roman" w:cs="Times New Roman"/>
          <w:lang w:val="sr-Latn-ME"/>
        </w:rPr>
        <w:t>), Zajednička terminologija za neželjene događaje; NCI (engl.</w:t>
      </w:r>
      <w:r w:rsidRPr="00E07BBD">
        <w:rPr>
          <w:rFonts w:ascii="Times New Roman" w:eastAsia="TimesNewRoman" w:hAnsi="Times New Roman" w:cs="Times New Roman"/>
          <w:i/>
          <w:iCs/>
          <w:lang w:val="sr-Latn-ME"/>
        </w:rPr>
        <w:t xml:space="preserve"> National Cancer Institute</w:t>
      </w:r>
      <w:r w:rsidRPr="00E07BBD">
        <w:rPr>
          <w:rFonts w:ascii="Times New Roman" w:eastAsia="TimesNewRoman" w:hAnsi="Times New Roman" w:cs="Times New Roman"/>
          <w:lang w:val="sr-Latn-ME"/>
        </w:rPr>
        <w:t xml:space="preserve">), Nacionalni institut za rak; SGOT (engl. </w:t>
      </w:r>
      <w:r w:rsidRPr="00E07BBD">
        <w:rPr>
          <w:rFonts w:ascii="Times New Roman" w:eastAsia="TimesNewRoman" w:hAnsi="Times New Roman" w:cs="Times New Roman"/>
          <w:i/>
          <w:iCs/>
          <w:lang w:val="sr-Latn-ME"/>
        </w:rPr>
        <w:t>serum glutamic oxaloacectic aminotransferase</w:t>
      </w:r>
      <w:r w:rsidRPr="00E07BBD">
        <w:rPr>
          <w:rFonts w:ascii="Times New Roman" w:eastAsia="TimesNewRoman" w:hAnsi="Times New Roman" w:cs="Times New Roman"/>
          <w:lang w:val="sr-Latn-ME"/>
        </w:rPr>
        <w:t xml:space="preserve">), serumska glutamate oksaloacetat aminotransferaza; SGPT (engl. </w:t>
      </w:r>
      <w:r w:rsidRPr="00E07BBD">
        <w:rPr>
          <w:rFonts w:ascii="Times New Roman" w:eastAsia="TimesNewRoman" w:hAnsi="Times New Roman" w:cs="Times New Roman"/>
          <w:i/>
          <w:iCs/>
          <w:lang w:val="sr-Latn-ME"/>
        </w:rPr>
        <w:t>serum glutamic pyruvic aminotransferase</w:t>
      </w:r>
      <w:r w:rsidRPr="00E07BBD">
        <w:rPr>
          <w:rFonts w:ascii="Times New Roman" w:eastAsia="TimesNewRoman" w:hAnsi="Times New Roman" w:cs="Times New Roman"/>
          <w:lang w:val="sr-Latn-ME"/>
        </w:rPr>
        <w:t>), serumska glutamat piruvična aminotransferaza.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Definicija učestalosti: veoma često ≥ 10%; često &gt; 5% i &lt; 10%. U ovu tabelu uključena su sva neželjena dejstva čija je učestalost bila najmanje 5% i za koja je izveštač procijenio da bi mogla biti povezana sa primjenom pemetrekseda.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Za sve stepene toksičnosti vidjeti NCI CTCAE kriterijum (verzija 3.0; NCI 2003). Učestalost prijava je prikazana u skladu sa CTCAE verzijom 3.0.</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Integrisana tabela neželjenih reakcija objedinjuje rezultate studija terapije održavanja pemetreksedom (JMEN) (N=663) i kontinuirane terapije održavanja pemetreksedom (PARAMOUNT) (N=539).</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Kombinovani naziv obuhvata povećanje kreatinina u serumu/krvi, smanjenu brzinu glomerularne filtracije, renalnu insuficijenciju i ostale poremećaje bubrega/urogenitalnog sistema.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Klinički značajni toksični efekti bilo kog stepena prema CTC kriterijumima, prijavljeni kod ≥ l% i ≤ 5% pacijenata, randomizovanih na terapiju pemetreksedom, obuhvataju: febrilnu neutropeniju, infekciju, smanjenje broja trombocita, dijareju, opstipaciju, alopeciju, pruritus/svrab, groznicu (bez neutropenije), površinske bolesti oka (uključujući konjunktivitis), pojačano suzenje, vrtoglavicu i motornu neuropatiju.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Klinički značajni toksični efekti prema CTC kriterijumima, prijavljeni kod &lt;1% pacijenata, randomizovanih na terapiju pemetreksedom, obuhvataju: alergijsku reakciju/preosetljivost, multiformni eritem, supraventrikularnu aritmiju i plućnu emboliju.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Ispitana je bezbjednost kod pacijenata koji su randomizovani da primaju pemetreksed (N=800). Incidenca neželjenih reakcija je procjenjivana kod pacijenata koji su primili ≤ 6 ciklusa pemetrekseda kao terapije održavanja (N=519) i upoređivana je sa pacijentima koji su primili &gt; 6 ciklusa pemetrekseda (N=281). Zabilježeno je povećanje broja neželjenih reakcija (svih stepena) pri dužoj izloženosti pemetreksedu.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Zabilježeno je značajno povećanje incidence neutropenije 3/4 stepena, koja je mogla biti povezana sa lijekom, pri dužoj izloženosti pemetreksedu (≤6 ciklusa: 3,3%, &gt;6 ciklusa: 6,4%; p=0,046).  Nisu uočene statistički značajne razlike između grupa za bilo koju drugu pojedinačnu neželjenu reakciju stepena 3/4/5 pri dužoj izloženosti lijeku.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Tokom kliničkih ispitivanja premetrekseda povremeno su prijavljeni ozbiljni kardiovaskularni i cerebrovaskularni događaji, ukuljučujući infarkt miokarda, anginu pektoris, cerebrovaskularni događaj i tranzitorni ishemijski napad, obično kada se pemetreksed primjenjivao u kombinaciji sa nekim drugim citotoksičnim lijekom. Većina pacijenata kod kojih su registrovani ovi događaji već je imala prisutne kardiovaskularne faktore rizika.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Tokom kliničkih ispitivanja pemetrekseda prijavljeni su rijetki, potencijalno ozbiljni slučajevi hepatitisa.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Tokom kliničkih ispitivanja pemetrekseda povremeno je prijavljena pancitopenija.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Tokom kliničkih ispitivanja povremeno su prijavljeni slučajevi kolitisa (uključujući intestinalno i rektalno krvarenje, koje je ponekad bilo smrtonosno, perforaciju crijeva, nekrozu crijeva i tiflitis) kod pacijenata liječenih pemetreksedom.</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Tokom kliničkih ispitivanja kod pacijenata liječenih pemetreksedom povremeno su prijavljivani slučajevi intersticijalne pneumonije sa respiratornom insuficijencijom, ponekad sa smrtnim ishodom.</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Kod pacijenata liječenih pemetreksedom povremeno su prijavljeni slučajevi edema.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Tokom kliničkih ispitivanja pemetrekseda povremeno je prijavljen ezofagitis/radijacioni ezofagitis.</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Tokom kliničkih ispitivanja pemetrekseda često su prijavljivani slučajevi sepse, ponekad sa smrtnim</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ishodom.</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Tokom postmarketinškog praćenja kod pacijenata na terapiji pemetreksedom prijavljena su sljedeća neželjena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dejstva: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Povremeno su prijavljeni slučajevi akutne renalne insuficijencije kada je pemetreksed primjenjivan sam ili u kombinaciji sa drugim hemoterapeuticima (vidjeti odjeljak 4.4). Nefrogeni dijabetes insipidus i renalna tubularna nekroza su prijavljeni sa nepoznatom učestalošću tokom postmarketinškog praćenja.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Povremeno su prijavljeni slučajevi radijacionog pneumonitisa kod pacijenata na terapiji zračenjem bilo prije, tokom ili nakon terapije pemetreksedom (vidjeti odjeljak 4.4).</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Rijetko su prijavljeni slučajevi radijacijskog „recall” dermatitisa (inflamatorna reakcija na koži) kod pacijenata koji su prethodno primali radijacionu terapiju (vidjeti odjeljak 4.4).</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Povremeno su prijavljeni slučajevi periferne ishemije koja je ponekad dovela do nekroze ekstremiteta.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Prijavljeni su rijetki slučajevi buloznih stanja, uključujući </w:t>
      </w:r>
      <w:r w:rsidRPr="00E07BBD">
        <w:rPr>
          <w:rFonts w:ascii="Times New Roman" w:eastAsia="TimesNewRoman" w:hAnsi="Times New Roman" w:cs="Times New Roman"/>
          <w:i/>
          <w:iCs/>
          <w:lang w:val="sr-Latn-ME"/>
        </w:rPr>
        <w:t xml:space="preserve">Stevens-Johnson </w:t>
      </w:r>
      <w:r w:rsidRPr="00E07BBD">
        <w:rPr>
          <w:rFonts w:ascii="Times New Roman" w:eastAsia="TimesNewRoman" w:hAnsi="Times New Roman" w:cs="Times New Roman"/>
          <w:lang w:val="sr-Latn-ME"/>
        </w:rPr>
        <w:t>sindrom i toksičnu epidermalnu nekrolizu, koji su u nekim slučajevima bili sa smrtnim ishodom.</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Kod pacijenata liječenih pemetreksedom rijetko je prijavljena imunološki posredovana hemolitička anamija.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Prijavljeni su rijetki slučajevi anafilaktičkog šoka.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Prijavljen je eritematozni edem, uglavnom na donjim ekstremitetima, a njegova je učestalost nepoznata.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tabs>
          <w:tab w:val="left" w:pos="284"/>
        </w:tabs>
        <w:spacing w:after="0" w:line="240" w:lineRule="auto"/>
        <w:jc w:val="both"/>
        <w:rPr>
          <w:rFonts w:ascii="Times New Roman" w:eastAsia="Calibri" w:hAnsi="Times New Roman" w:cs="Times New Roman"/>
          <w:u w:val="single"/>
          <w:lang w:val="sr-Latn-ME"/>
        </w:rPr>
      </w:pPr>
      <w:r w:rsidRPr="00E07BBD">
        <w:rPr>
          <w:rFonts w:ascii="Times New Roman" w:eastAsia="Calibri" w:hAnsi="Times New Roman" w:cs="Times New Roman"/>
          <w:u w:val="single"/>
          <w:lang w:val="sr-Latn-ME"/>
        </w:rPr>
        <w:t>Prijavljivanje sumnji na neželjena dejstva</w:t>
      </w:r>
    </w:p>
    <w:p w:rsidR="00E07BBD" w:rsidRDefault="00E07BBD" w:rsidP="00C42D32">
      <w:pPr>
        <w:tabs>
          <w:tab w:val="left" w:pos="284"/>
        </w:tabs>
        <w:spacing w:after="0" w:line="240" w:lineRule="auto"/>
        <w:jc w:val="both"/>
        <w:rPr>
          <w:rFonts w:ascii="Times New Roman" w:eastAsia="Calibri" w:hAnsi="Times New Roman" w:cs="Times New Roman"/>
          <w:lang w:val="sr-Latn-ME"/>
        </w:rPr>
      </w:pPr>
      <w:r w:rsidRPr="00E07BBD">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50968" w:rsidRPr="00E07BBD" w:rsidRDefault="00350968" w:rsidP="00C42D32">
      <w:pPr>
        <w:tabs>
          <w:tab w:val="left" w:pos="284"/>
        </w:tabs>
        <w:spacing w:after="0" w:line="240" w:lineRule="auto"/>
        <w:jc w:val="both"/>
        <w:rPr>
          <w:rFonts w:ascii="Times New Roman" w:eastAsia="Calibri" w:hAnsi="Times New Roman" w:cs="Times New Roman"/>
          <w:lang w:val="sr-Latn-ME"/>
        </w:rPr>
      </w:pPr>
    </w:p>
    <w:p w:rsidR="00E07BBD" w:rsidRPr="00E07BBD" w:rsidRDefault="00E07BBD" w:rsidP="00C42D32">
      <w:pPr>
        <w:spacing w:after="0" w:line="240" w:lineRule="auto"/>
        <w:jc w:val="both"/>
        <w:rPr>
          <w:rFonts w:ascii="Times New Roman" w:eastAsia="Calibri" w:hAnsi="Times New Roman" w:cs="Times New Roman"/>
          <w:lang w:val="sr-Latn-ME"/>
        </w:rPr>
      </w:pPr>
      <w:r w:rsidRPr="00E07BBD">
        <w:rPr>
          <w:rFonts w:ascii="Times New Roman" w:eastAsia="Calibri" w:hAnsi="Times New Roman" w:cs="Times New Roman"/>
          <w:lang w:val="sr-Latn-ME"/>
        </w:rPr>
        <w:t>Agencija za ljekove i medicinska sredstva Crne Gore</w:t>
      </w:r>
    </w:p>
    <w:p w:rsidR="00E07BBD" w:rsidRPr="00E07BBD" w:rsidRDefault="00E07BBD" w:rsidP="00C42D32">
      <w:pPr>
        <w:spacing w:after="0" w:line="240" w:lineRule="auto"/>
        <w:jc w:val="both"/>
        <w:rPr>
          <w:rFonts w:ascii="Times New Roman" w:eastAsia="Calibri" w:hAnsi="Times New Roman" w:cs="Times New Roman"/>
          <w:lang w:val="sr-Latn-ME"/>
        </w:rPr>
      </w:pPr>
      <w:r w:rsidRPr="00E07BBD">
        <w:rPr>
          <w:rFonts w:ascii="Times New Roman" w:eastAsia="Calibri" w:hAnsi="Times New Roman" w:cs="Times New Roman"/>
          <w:lang w:val="sr-Latn-ME"/>
        </w:rPr>
        <w:t>Odjeljenje za farmakovigilancu</w:t>
      </w:r>
    </w:p>
    <w:p w:rsidR="00E07BBD" w:rsidRPr="00E07BBD" w:rsidRDefault="00E07BBD" w:rsidP="00C42D32">
      <w:pPr>
        <w:spacing w:after="0" w:line="240" w:lineRule="auto"/>
        <w:jc w:val="both"/>
        <w:rPr>
          <w:rFonts w:ascii="Times New Roman" w:eastAsia="Calibri" w:hAnsi="Times New Roman" w:cs="Times New Roman"/>
          <w:lang w:val="sr-Latn-ME"/>
        </w:rPr>
      </w:pPr>
      <w:r w:rsidRPr="00E07BBD">
        <w:rPr>
          <w:rFonts w:ascii="Times New Roman" w:eastAsia="Calibri" w:hAnsi="Times New Roman" w:cs="Times New Roman"/>
          <w:lang w:val="sr-Latn-ME"/>
        </w:rPr>
        <w:t>Bulevar Ivana Crnojevića 64a, 81000 Podgorica</w:t>
      </w:r>
    </w:p>
    <w:p w:rsidR="00E07BBD" w:rsidRPr="00E07BBD" w:rsidRDefault="00E07BBD" w:rsidP="00C42D32">
      <w:pPr>
        <w:spacing w:after="0" w:line="240" w:lineRule="auto"/>
        <w:jc w:val="both"/>
        <w:rPr>
          <w:rFonts w:ascii="Times New Roman" w:eastAsia="Calibri" w:hAnsi="Times New Roman" w:cs="Times New Roman"/>
          <w:lang w:val="sr-Latn-ME"/>
        </w:rPr>
      </w:pPr>
    </w:p>
    <w:p w:rsidR="00E07BBD" w:rsidRPr="00E07BBD" w:rsidRDefault="00E07BBD" w:rsidP="00C42D32">
      <w:pPr>
        <w:spacing w:after="0" w:line="240" w:lineRule="auto"/>
        <w:jc w:val="both"/>
        <w:rPr>
          <w:rFonts w:ascii="Times New Roman" w:eastAsia="Calibri" w:hAnsi="Times New Roman" w:cs="Times New Roman"/>
          <w:lang w:val="sr-Latn-ME"/>
        </w:rPr>
      </w:pPr>
      <w:r w:rsidRPr="00E07BBD">
        <w:rPr>
          <w:rFonts w:ascii="Times New Roman" w:eastAsia="Calibri" w:hAnsi="Times New Roman" w:cs="Times New Roman"/>
          <w:lang w:val="sr-Latn-ME"/>
        </w:rPr>
        <w:t>tel: +382 (0) 20 310 280</w:t>
      </w:r>
    </w:p>
    <w:p w:rsidR="00E07BBD" w:rsidRPr="00E07BBD" w:rsidRDefault="00E07BBD" w:rsidP="00C42D32">
      <w:pPr>
        <w:spacing w:after="0" w:line="240" w:lineRule="auto"/>
        <w:jc w:val="both"/>
        <w:rPr>
          <w:rFonts w:ascii="Times New Roman" w:eastAsia="Calibri" w:hAnsi="Times New Roman" w:cs="Times New Roman"/>
          <w:lang w:val="sr-Latn-ME"/>
        </w:rPr>
      </w:pPr>
      <w:r w:rsidRPr="00E07BBD">
        <w:rPr>
          <w:rFonts w:ascii="Times New Roman" w:eastAsia="Calibri" w:hAnsi="Times New Roman" w:cs="Times New Roman"/>
          <w:lang w:val="sr-Latn-ME"/>
        </w:rPr>
        <w:t>fax: +382 (0) 20 310 581</w:t>
      </w:r>
    </w:p>
    <w:p w:rsidR="00E07BBD" w:rsidRPr="00E07BBD" w:rsidRDefault="004B7627" w:rsidP="00C42D32">
      <w:pPr>
        <w:spacing w:after="0" w:line="240" w:lineRule="auto"/>
        <w:jc w:val="both"/>
        <w:rPr>
          <w:rFonts w:ascii="Times New Roman" w:eastAsia="Calibri" w:hAnsi="Times New Roman" w:cs="Times New Roman"/>
          <w:lang w:val="sr-Latn-ME"/>
        </w:rPr>
      </w:pPr>
      <w:hyperlink r:id="rId8" w:history="1">
        <w:r w:rsidR="00E07BBD" w:rsidRPr="00E07BBD">
          <w:rPr>
            <w:rFonts w:ascii="Times New Roman" w:eastAsia="Calibri" w:hAnsi="Times New Roman" w:cs="Times New Roman"/>
            <w:color w:val="0000FF"/>
            <w:u w:val="single"/>
            <w:lang w:val="sr-Latn-ME"/>
          </w:rPr>
          <w:t>www.calims.me</w:t>
        </w:r>
      </w:hyperlink>
    </w:p>
    <w:p w:rsidR="00E07BBD" w:rsidRPr="00E07BBD" w:rsidRDefault="004B7627" w:rsidP="00C42D32">
      <w:pPr>
        <w:spacing w:after="0" w:line="240" w:lineRule="auto"/>
        <w:jc w:val="both"/>
        <w:rPr>
          <w:rFonts w:ascii="Times New Roman" w:eastAsia="Calibri" w:hAnsi="Times New Roman" w:cs="Times New Roman"/>
          <w:color w:val="0000FF"/>
          <w:u w:val="single"/>
          <w:lang w:val="sr-Latn-ME"/>
        </w:rPr>
      </w:pPr>
      <w:hyperlink r:id="rId9" w:history="1">
        <w:r w:rsidR="00E07BBD" w:rsidRPr="00E07BBD">
          <w:rPr>
            <w:rFonts w:ascii="Times New Roman" w:eastAsia="Calibri" w:hAnsi="Times New Roman" w:cs="Times New Roman"/>
            <w:color w:val="0000FF"/>
            <w:u w:val="single"/>
            <w:lang w:val="sr-Latn-ME"/>
          </w:rPr>
          <w:t>nezeljenadejstva@calims.me</w:t>
        </w:r>
      </w:hyperlink>
    </w:p>
    <w:p w:rsidR="00E07BBD" w:rsidRPr="00E07BBD" w:rsidRDefault="00E07BBD" w:rsidP="00C42D32">
      <w:pPr>
        <w:spacing w:after="0" w:line="240" w:lineRule="auto"/>
        <w:jc w:val="both"/>
        <w:rPr>
          <w:rFonts w:ascii="Times New Roman" w:eastAsia="Calibri" w:hAnsi="Times New Roman" w:cs="Times New Roman"/>
          <w:lang w:val="sr-Latn-ME"/>
        </w:rPr>
      </w:pPr>
      <w:r w:rsidRPr="00E07BBD">
        <w:rPr>
          <w:rFonts w:ascii="Times New Roman" w:eastAsia="Calibri" w:hAnsi="Times New Roman" w:cs="Times New Roman"/>
          <w:lang w:val="sr-Latn-ME"/>
        </w:rPr>
        <w:t>putem IS zdravstvene zaštite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 xml:space="preserve">4.9  Predoziranje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Prijavljeni simptomi predoziranja obuhvataju neutropeniju, anemiju, trombocitopeniju, mukozitis, senzornu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polineuropatiju i osip.</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Očekivane komplikacije predoziranja uključuju supresiju kostne srži koja se manifestuje neutropenijom, trombocitopenijom i anemijom. Uz to je moguća i pojava infekcije, sa ili bez groznice, dijareja i/ili mukozitis. U slučaju da se posumnja na predoziranje, pacijenta treba držati pod strogim nadzorom uz obavezno praćenje krvne slike i, prema potrebi, treba primijeniti suportivnu terapiju. U liječenju predoziranja pemetreksedom treba razmotriti primjenu kalcijum folinata/folinske kiseline.</w:t>
      </w:r>
    </w:p>
    <w:p w:rsid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C42D32" w:rsidRPr="00E07BBD" w:rsidRDefault="00C42D32"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5. FARMAKOLOŠKI PODACI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5.1. Farmakodinamski podaci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bCs/>
          <w:lang w:val="sr-Latn-ME"/>
        </w:rPr>
        <w:t>Farmakoterapijska grupa:</w:t>
      </w:r>
      <w:r w:rsidRPr="00E07BBD">
        <w:rPr>
          <w:rFonts w:ascii="Times New Roman" w:eastAsia="TimesNewRoman" w:hAnsi="Times New Roman" w:cs="Times New Roman"/>
          <w:b/>
          <w:bCs/>
          <w:lang w:val="sr-Latn-ME"/>
        </w:rPr>
        <w:t xml:space="preserve"> </w:t>
      </w:r>
      <w:r w:rsidRPr="00E07BBD">
        <w:rPr>
          <w:rFonts w:ascii="Times New Roman" w:eastAsia="TimesNewRoman" w:hAnsi="Times New Roman" w:cs="Times New Roman"/>
          <w:lang w:val="sr-Latn-ME"/>
        </w:rPr>
        <w:t>Antimetaboliti. Analozi folne kiseline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bCs/>
          <w:lang w:val="sr-Latn-ME"/>
        </w:rPr>
        <w:t>ATC kod:</w:t>
      </w:r>
      <w:r w:rsidRPr="00E07BBD">
        <w:rPr>
          <w:rFonts w:ascii="Times New Roman" w:eastAsia="TimesNewRoman" w:hAnsi="Times New Roman" w:cs="Times New Roman"/>
          <w:b/>
          <w:bCs/>
          <w:lang w:val="sr-Latn-ME"/>
        </w:rPr>
        <w:t xml:space="preserve"> </w:t>
      </w:r>
      <w:r w:rsidRPr="00E07BBD">
        <w:rPr>
          <w:rFonts w:ascii="Times New Roman" w:eastAsia="TimesNewRoman" w:hAnsi="Times New Roman" w:cs="Times New Roman"/>
          <w:lang w:val="sr-Latn-ME"/>
        </w:rPr>
        <w:t>L01BA04</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 New Roman" w:hAnsi="Times New Roman" w:cs="Times New Roman"/>
          <w:lang w:val="sr-Latn-ME"/>
        </w:rPr>
        <w:t>Lijek Pemetrexed Accord</w:t>
      </w:r>
      <w:r w:rsidRPr="00E07BBD">
        <w:rPr>
          <w:rFonts w:ascii="Times New Roman" w:eastAsia="TimesNewRoman" w:hAnsi="Times New Roman" w:cs="Times New Roman"/>
          <w:lang w:val="sr-Latn-ME"/>
        </w:rPr>
        <w:t xml:space="preserve"> (pemetreksed) je antikarcinomski lijek sa višestrukim antifolatnim djelovanjem, koji djeluje tako što prekida ključne metaboličke procese zavisne od folata, koji su od suštinskog značaja za ćelijsku replikaciju.</w:t>
      </w:r>
    </w:p>
    <w:p w:rsid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Ispitivanja </w:t>
      </w:r>
      <w:r w:rsidRPr="00E07BBD">
        <w:rPr>
          <w:rFonts w:ascii="Times New Roman" w:eastAsia="TimesNewRoman" w:hAnsi="Times New Roman" w:cs="Times New Roman"/>
          <w:i/>
          <w:iCs/>
          <w:lang w:val="sr-Latn-ME"/>
        </w:rPr>
        <w:t xml:space="preserve">in vitro </w:t>
      </w:r>
      <w:r w:rsidRPr="00E07BBD">
        <w:rPr>
          <w:rFonts w:ascii="Times New Roman" w:eastAsia="TimesNewRoman" w:hAnsi="Times New Roman" w:cs="Times New Roman"/>
          <w:lang w:val="sr-Latn-ME"/>
        </w:rPr>
        <w:t xml:space="preserve">su pokazala da pemetreksed djeluje antifolatno na više načina, tako što inhibira timidilat sintetazu (TS), dihidrofolat reduktazu (DHFR) i glicinamid ribonukleotid formiltransferazu (GARFT), koji su folat-zavisni enzimi ključni za </w:t>
      </w:r>
      <w:r w:rsidRPr="00E07BBD">
        <w:rPr>
          <w:rFonts w:ascii="Times New Roman" w:eastAsia="TimesNewRoman" w:hAnsi="Times New Roman" w:cs="Times New Roman"/>
          <w:i/>
          <w:iCs/>
          <w:lang w:val="sr-Latn-ME"/>
        </w:rPr>
        <w:t xml:space="preserve">de novo </w:t>
      </w:r>
      <w:r w:rsidRPr="00E07BBD">
        <w:rPr>
          <w:rFonts w:ascii="Times New Roman" w:eastAsia="TimesNewRoman" w:hAnsi="Times New Roman" w:cs="Times New Roman"/>
          <w:lang w:val="sr-Latn-ME"/>
        </w:rPr>
        <w:t>biosintezu timidinskih i purinskih nukleotida. Pemetreksed se u ćelije transportuje transportnim sistemima: redukovanog folatnog nosača, i membranskog proteina koji vezuje folat. Kad uđe u ćeliju, pemetreksed se pomoću enzima folilpoliglutamat sintetaze brzo i efikasno konvertuje u poliglutamatne oblike. Poliglutamatni oblici ostaju u ćelijama i još snažnije inhibiraju TS i GARFT.</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Stvaranje poliglutamata je proces koji zavisi od vremena i koncentracije, koji se odvija u tumorskim ćelijama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i u manjoj mjeri, u zdravim tkivima. Poliglutamatni metaboliti imaju produženo poluvrijeme eliminacije u ćeliji, što za posljedicu ima produženo dejstvo lijeka u malignim ćelijama.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Evropska Agencija za ljekove je obustavila obavezu podnošenja rezultata studija sa pemetreksedom u svim podgrupama pedijatrijske populacije u odobrenim indikacijama (vidjeti dio 4.2).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Klinička efikasnost</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Cs/>
          <w:i/>
          <w:lang w:val="sr-Latn-ME"/>
        </w:rPr>
      </w:pPr>
      <w:r w:rsidRPr="00E07BBD">
        <w:rPr>
          <w:rFonts w:ascii="Times New Roman" w:eastAsia="TimesNewRoman" w:hAnsi="Times New Roman" w:cs="Times New Roman"/>
          <w:bCs/>
          <w:i/>
          <w:lang w:val="sr-Latn-ME"/>
        </w:rPr>
        <w:t>Mezoteliom</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EMPHACIS, multicentrično, randomizovano, jednostruko slijepo ispitivanje faze III pemetrekseda i cisplatina u odnosu na monoterapiju cisplatinom kod pacijenata sa malignim mezoteliomom pleure koji prethodno nisu primali hemoterapiju, pokazalo je da su pacijenti liječeni kombinacijom pemetrekseda i cisplatina imali klinički značajnu prednost u srednjem vremenu preživljavanja od 2,8 mjeseci u odnosu na pacijente koji su dobijali samo cisplatin.</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Pacijenti su u toku ispitivanja u cilju redukovanja toksičnih efekata, primali male doze suplemenata folne kiseline i vitamina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 Primarna analiza ovog ispitivanja izvršena je na svim pacijentima koji su, metodom slučajnog izbora, raspoređeni u grupe koji su primale ispitivani lijek (randomizovani i liječeni pacijenti). Analizom podgrupe obuhvaćeni su pacijenti koji su tokom čitavog ispitivanja dobijali nadoknadu folne kiseline i vitamina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 xml:space="preserve"> (potpuna nadoknada). Rezultati tih analiza su predstavljeni u sljedećoj tabeli: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Efikasnost kombinacije pemetreksed + cisplatin u poređenju sa cisplatinom kod malignog pleuralnog mezotelioma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tbl>
      <w:tblPr>
        <w:tblStyle w:val="TableGrid2"/>
        <w:tblW w:w="0" w:type="auto"/>
        <w:tblLook w:val="04A0" w:firstRow="1" w:lastRow="0" w:firstColumn="1" w:lastColumn="0" w:noHBand="0" w:noVBand="1"/>
      </w:tblPr>
      <w:tblGrid>
        <w:gridCol w:w="3157"/>
        <w:gridCol w:w="1514"/>
        <w:gridCol w:w="13"/>
        <w:gridCol w:w="26"/>
        <w:gridCol w:w="1677"/>
        <w:gridCol w:w="1489"/>
        <w:gridCol w:w="14"/>
        <w:gridCol w:w="1727"/>
      </w:tblGrid>
      <w:tr w:rsidR="00E07BBD" w:rsidRPr="00E07BBD" w:rsidTr="00C42D32">
        <w:tc>
          <w:tcPr>
            <w:tcW w:w="3285" w:type="dxa"/>
          </w:tcPr>
          <w:p w:rsidR="00E07BBD" w:rsidRPr="00E07BBD" w:rsidRDefault="00E07BBD" w:rsidP="00C42D32">
            <w:pPr>
              <w:autoSpaceDE w:val="0"/>
              <w:autoSpaceDN w:val="0"/>
              <w:adjustRightInd w:val="0"/>
              <w:jc w:val="both"/>
              <w:rPr>
                <w:rFonts w:eastAsia="TimesNewRoman"/>
                <w:b/>
                <w:bCs/>
                <w:sz w:val="22"/>
                <w:szCs w:val="22"/>
                <w:lang w:val="sr-Latn-ME"/>
              </w:rPr>
            </w:pPr>
          </w:p>
        </w:tc>
        <w:tc>
          <w:tcPr>
            <w:tcW w:w="3285" w:type="dxa"/>
            <w:gridSpan w:val="4"/>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Randomizovani i liječeni pacijenti</w:t>
            </w:r>
          </w:p>
        </w:tc>
        <w:tc>
          <w:tcPr>
            <w:tcW w:w="3285" w:type="dxa"/>
            <w:gridSpan w:val="3"/>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Pacijenti sa potpunom</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nadoknadom</w:t>
            </w:r>
          </w:p>
        </w:tc>
      </w:tr>
      <w:tr w:rsidR="00E07BBD" w:rsidRPr="00E07BBD" w:rsidTr="00C42D32">
        <w:tc>
          <w:tcPr>
            <w:tcW w:w="3285"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Parametar efikasnosti</w:t>
            </w:r>
          </w:p>
        </w:tc>
        <w:tc>
          <w:tcPr>
            <w:tcW w:w="1562" w:type="dxa"/>
            <w:gridSpan w:val="3"/>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Pemetreksed</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/Cisplatin</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(N=226)</w:t>
            </w:r>
          </w:p>
        </w:tc>
        <w:tc>
          <w:tcPr>
            <w:tcW w:w="1723" w:type="dxa"/>
          </w:tcPr>
          <w:p w:rsidR="00E07BBD" w:rsidRPr="00E07BBD" w:rsidRDefault="00E07BBD" w:rsidP="00C42D32">
            <w:pPr>
              <w:jc w:val="both"/>
              <w:rPr>
                <w:rFonts w:eastAsia="TimesNewRoman"/>
                <w:b/>
                <w:bCs/>
                <w:sz w:val="22"/>
                <w:szCs w:val="22"/>
                <w:lang w:val="sr-Latn-ME"/>
              </w:rPr>
            </w:pP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Cisplatin</w:t>
            </w:r>
          </w:p>
          <w:p w:rsidR="00E07BBD" w:rsidRPr="00E07BBD" w:rsidRDefault="00E07BBD" w:rsidP="00C42D32">
            <w:pPr>
              <w:jc w:val="both"/>
              <w:rPr>
                <w:rFonts w:eastAsia="TimesNewRoman"/>
                <w:b/>
                <w:bCs/>
                <w:sz w:val="22"/>
                <w:szCs w:val="22"/>
                <w:lang w:val="sr-Latn-ME"/>
              </w:rPr>
            </w:pPr>
            <w:r w:rsidRPr="00E07BBD">
              <w:rPr>
                <w:rFonts w:eastAsia="TimesNewRoman"/>
                <w:b/>
                <w:bCs/>
                <w:sz w:val="22"/>
                <w:szCs w:val="22"/>
                <w:lang w:val="sr-Latn-ME"/>
              </w:rPr>
              <w:t>(N=222)</w:t>
            </w:r>
          </w:p>
          <w:p w:rsidR="00E07BBD" w:rsidRPr="00E07BBD" w:rsidRDefault="00E07BBD" w:rsidP="00C42D32">
            <w:pPr>
              <w:autoSpaceDE w:val="0"/>
              <w:autoSpaceDN w:val="0"/>
              <w:adjustRightInd w:val="0"/>
              <w:jc w:val="both"/>
              <w:rPr>
                <w:rFonts w:eastAsia="TimesNewRoman"/>
                <w:b/>
                <w:bCs/>
                <w:sz w:val="22"/>
                <w:szCs w:val="22"/>
                <w:lang w:val="sr-Latn-ME"/>
              </w:rPr>
            </w:pPr>
          </w:p>
        </w:tc>
        <w:tc>
          <w:tcPr>
            <w:tcW w:w="1494"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Pemetreksed /</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Cisplatin</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(N=168)</w:t>
            </w:r>
          </w:p>
        </w:tc>
        <w:tc>
          <w:tcPr>
            <w:tcW w:w="1791" w:type="dxa"/>
            <w:gridSpan w:val="2"/>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Cisplatin</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(N=163)</w:t>
            </w:r>
          </w:p>
        </w:tc>
      </w:tr>
      <w:tr w:rsidR="00E07BBD" w:rsidRPr="00E07BBD" w:rsidTr="00C42D32">
        <w:tc>
          <w:tcPr>
            <w:tcW w:w="3285"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Medijana vrijednosti ukupnog</w:t>
            </w:r>
          </w:p>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preživljavanja (u</w:t>
            </w:r>
          </w:p>
          <w:p w:rsidR="00E07BBD" w:rsidRPr="00E07BBD" w:rsidRDefault="00E07BBD" w:rsidP="00C42D32">
            <w:pPr>
              <w:autoSpaceDE w:val="0"/>
              <w:autoSpaceDN w:val="0"/>
              <w:adjustRightInd w:val="0"/>
              <w:rPr>
                <w:rFonts w:eastAsia="TimesNewRoman"/>
                <w:b/>
                <w:bCs/>
                <w:sz w:val="22"/>
                <w:szCs w:val="22"/>
                <w:lang w:val="sr-Latn-ME"/>
              </w:rPr>
            </w:pPr>
            <w:r w:rsidRPr="00E07BBD">
              <w:rPr>
                <w:rFonts w:eastAsia="TimesNewRoman"/>
                <w:sz w:val="22"/>
                <w:szCs w:val="22"/>
                <w:lang w:val="sr-Latn-ME"/>
              </w:rPr>
              <w:t>mjesecima) (95% CI)</w:t>
            </w:r>
          </w:p>
        </w:tc>
        <w:tc>
          <w:tcPr>
            <w:tcW w:w="1562" w:type="dxa"/>
            <w:gridSpan w:val="3"/>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12,1</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(10,0–14,4)</w:t>
            </w:r>
          </w:p>
        </w:tc>
        <w:tc>
          <w:tcPr>
            <w:tcW w:w="172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9,3</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(7,8-10,7)</w:t>
            </w:r>
          </w:p>
        </w:tc>
        <w:tc>
          <w:tcPr>
            <w:tcW w:w="149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13,3</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(11,4-14,9)</w:t>
            </w:r>
          </w:p>
        </w:tc>
        <w:tc>
          <w:tcPr>
            <w:tcW w:w="1791" w:type="dxa"/>
            <w:gridSpan w:val="2"/>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10,0</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(8,4-11,9)</w:t>
            </w:r>
          </w:p>
        </w:tc>
      </w:tr>
      <w:tr w:rsidR="00E07BBD" w:rsidRPr="00E07BBD" w:rsidTr="00C42D32">
        <w:tc>
          <w:tcPr>
            <w:tcW w:w="3285" w:type="dxa"/>
          </w:tcPr>
          <w:p w:rsidR="00E07BBD" w:rsidRPr="00E07BBD" w:rsidRDefault="00E07BBD" w:rsidP="00C42D32">
            <w:pPr>
              <w:autoSpaceDE w:val="0"/>
              <w:autoSpaceDN w:val="0"/>
              <w:adjustRightInd w:val="0"/>
              <w:rPr>
                <w:rFonts w:eastAsia="TimesNewRoman"/>
                <w:b/>
                <w:bCs/>
                <w:sz w:val="22"/>
                <w:szCs w:val="22"/>
                <w:lang w:val="sr-Latn-ME"/>
              </w:rPr>
            </w:pPr>
            <w:r w:rsidRPr="00E07BBD">
              <w:rPr>
                <w:rFonts w:eastAsia="TimesNewRoman"/>
                <w:sz w:val="22"/>
                <w:szCs w:val="22"/>
                <w:lang w:val="sr-Latn-ME"/>
              </w:rPr>
              <w:t>Log-rank p-vrijednost*</w:t>
            </w:r>
          </w:p>
        </w:tc>
        <w:tc>
          <w:tcPr>
            <w:tcW w:w="3285" w:type="dxa"/>
            <w:gridSpan w:val="4"/>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 xml:space="preserve">            0,020</w:t>
            </w:r>
          </w:p>
        </w:tc>
        <w:tc>
          <w:tcPr>
            <w:tcW w:w="3285" w:type="dxa"/>
            <w:gridSpan w:val="3"/>
          </w:tcPr>
          <w:p w:rsidR="00E07BBD" w:rsidRPr="00E07BBD" w:rsidRDefault="00E07BBD" w:rsidP="00C42D32">
            <w:pPr>
              <w:tabs>
                <w:tab w:val="left" w:pos="1032"/>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ab/>
            </w:r>
            <w:r w:rsidRPr="00E07BBD">
              <w:rPr>
                <w:rFonts w:eastAsia="TimesNewRoman"/>
                <w:sz w:val="22"/>
                <w:szCs w:val="22"/>
                <w:lang w:val="sr-Latn-ME"/>
              </w:rPr>
              <w:t>0,051</w:t>
            </w:r>
          </w:p>
        </w:tc>
      </w:tr>
      <w:tr w:rsidR="00E07BBD" w:rsidRPr="00E07BBD" w:rsidTr="00C42D32">
        <w:tc>
          <w:tcPr>
            <w:tcW w:w="3285"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Medijana vremena do</w:t>
            </w:r>
          </w:p>
          <w:p w:rsidR="00E07BBD" w:rsidRPr="00E07BBD" w:rsidRDefault="00E07BBD" w:rsidP="00C42D32">
            <w:pPr>
              <w:autoSpaceDE w:val="0"/>
              <w:autoSpaceDN w:val="0"/>
              <w:adjustRightInd w:val="0"/>
              <w:rPr>
                <w:rFonts w:eastAsia="TimesNewRoman"/>
                <w:b/>
                <w:bCs/>
                <w:sz w:val="22"/>
                <w:szCs w:val="22"/>
                <w:lang w:val="sr-Latn-ME"/>
              </w:rPr>
            </w:pPr>
            <w:r w:rsidRPr="00E07BBD">
              <w:rPr>
                <w:rFonts w:eastAsia="TimesNewRoman"/>
                <w:sz w:val="22"/>
                <w:szCs w:val="22"/>
                <w:lang w:val="sr-Latn-ME"/>
              </w:rPr>
              <w:t>progresije karcinoma (u mjesecima) (95% CI)</w:t>
            </w:r>
          </w:p>
        </w:tc>
        <w:tc>
          <w:tcPr>
            <w:tcW w:w="1562" w:type="dxa"/>
            <w:gridSpan w:val="3"/>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5,7</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(4,9-6,5)</w:t>
            </w:r>
          </w:p>
        </w:tc>
        <w:tc>
          <w:tcPr>
            <w:tcW w:w="172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3,9</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(2,8-4,4)</w:t>
            </w:r>
          </w:p>
        </w:tc>
        <w:tc>
          <w:tcPr>
            <w:tcW w:w="1508" w:type="dxa"/>
            <w:gridSpan w:val="2"/>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6,1</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(5,3-7,0)</w:t>
            </w:r>
          </w:p>
        </w:tc>
        <w:tc>
          <w:tcPr>
            <w:tcW w:w="1777"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3,9</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(2,8-4,5)</w:t>
            </w:r>
          </w:p>
        </w:tc>
      </w:tr>
      <w:tr w:rsidR="00E07BBD" w:rsidRPr="00E07BBD" w:rsidTr="00C42D32">
        <w:tc>
          <w:tcPr>
            <w:tcW w:w="3285" w:type="dxa"/>
          </w:tcPr>
          <w:p w:rsidR="00E07BBD" w:rsidRPr="00E07BBD" w:rsidRDefault="00E07BBD" w:rsidP="00C42D32">
            <w:pPr>
              <w:autoSpaceDE w:val="0"/>
              <w:autoSpaceDN w:val="0"/>
              <w:adjustRightInd w:val="0"/>
              <w:rPr>
                <w:rFonts w:eastAsia="TimesNewRoman"/>
                <w:b/>
                <w:bCs/>
                <w:sz w:val="22"/>
                <w:szCs w:val="22"/>
                <w:lang w:val="sr-Latn-ME"/>
              </w:rPr>
            </w:pPr>
            <w:r w:rsidRPr="00E07BBD">
              <w:rPr>
                <w:rFonts w:eastAsia="TimesNewRoman"/>
                <w:sz w:val="22"/>
                <w:szCs w:val="22"/>
                <w:lang w:val="sr-Latn-ME"/>
              </w:rPr>
              <w:t>Log-rank p-vrijednost*</w:t>
            </w:r>
          </w:p>
        </w:tc>
        <w:tc>
          <w:tcPr>
            <w:tcW w:w="3285" w:type="dxa"/>
            <w:gridSpan w:val="4"/>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0,001</w:t>
            </w:r>
          </w:p>
        </w:tc>
        <w:tc>
          <w:tcPr>
            <w:tcW w:w="3285" w:type="dxa"/>
            <w:gridSpan w:val="3"/>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 xml:space="preserve">         0,008</w:t>
            </w:r>
          </w:p>
        </w:tc>
      </w:tr>
      <w:tr w:rsidR="00E07BBD" w:rsidRPr="00E07BBD" w:rsidTr="00C42D32">
        <w:tc>
          <w:tcPr>
            <w:tcW w:w="3285"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Vrijeme do prestanka odgovora na terapiju</w:t>
            </w:r>
          </w:p>
          <w:p w:rsidR="00E07BBD" w:rsidRPr="00E07BBD" w:rsidRDefault="00E07BBD" w:rsidP="00C42D32">
            <w:pPr>
              <w:autoSpaceDE w:val="0"/>
              <w:autoSpaceDN w:val="0"/>
              <w:adjustRightInd w:val="0"/>
              <w:rPr>
                <w:rFonts w:eastAsia="TimesNewRoman"/>
                <w:b/>
                <w:bCs/>
                <w:sz w:val="22"/>
                <w:szCs w:val="22"/>
                <w:lang w:val="sr-Latn-ME"/>
              </w:rPr>
            </w:pPr>
            <w:r w:rsidRPr="00E07BBD">
              <w:rPr>
                <w:rFonts w:eastAsia="TimesNewRoman"/>
                <w:sz w:val="22"/>
                <w:szCs w:val="22"/>
                <w:lang w:val="sr-Latn-ME"/>
              </w:rPr>
              <w:t>(u mjesecima) (95% CI)</w:t>
            </w:r>
          </w:p>
        </w:tc>
        <w:tc>
          <w:tcPr>
            <w:tcW w:w="1522"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4,5</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(3,9-4,9)</w:t>
            </w:r>
          </w:p>
        </w:tc>
        <w:tc>
          <w:tcPr>
            <w:tcW w:w="1763" w:type="dxa"/>
            <w:gridSpan w:val="3"/>
          </w:tcPr>
          <w:p w:rsidR="00E07BBD" w:rsidRPr="00E07BBD" w:rsidRDefault="00E07BBD" w:rsidP="00C42D32">
            <w:pPr>
              <w:jc w:val="both"/>
              <w:rPr>
                <w:rFonts w:eastAsia="TimesNewRoman"/>
                <w:b/>
                <w:bCs/>
                <w:sz w:val="22"/>
                <w:szCs w:val="22"/>
                <w:lang w:val="sr-Latn-ME"/>
              </w:rPr>
            </w:pP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2,7</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(2,1-2,9)</w:t>
            </w:r>
          </w:p>
        </w:tc>
        <w:tc>
          <w:tcPr>
            <w:tcW w:w="1508" w:type="dxa"/>
            <w:gridSpan w:val="2"/>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4,7</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(4,3-5,6)</w:t>
            </w:r>
          </w:p>
        </w:tc>
        <w:tc>
          <w:tcPr>
            <w:tcW w:w="1777"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2,7</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(2,2-3,1)</w:t>
            </w:r>
          </w:p>
        </w:tc>
      </w:tr>
      <w:tr w:rsidR="00E07BBD" w:rsidRPr="00E07BBD" w:rsidTr="00C42D32">
        <w:tc>
          <w:tcPr>
            <w:tcW w:w="3285" w:type="dxa"/>
          </w:tcPr>
          <w:p w:rsidR="00E07BBD" w:rsidRPr="00E07BBD" w:rsidRDefault="00E07BBD" w:rsidP="00C42D32">
            <w:pPr>
              <w:autoSpaceDE w:val="0"/>
              <w:autoSpaceDN w:val="0"/>
              <w:adjustRightInd w:val="0"/>
              <w:rPr>
                <w:rFonts w:eastAsia="TimesNewRoman"/>
                <w:b/>
                <w:bCs/>
                <w:sz w:val="22"/>
                <w:szCs w:val="22"/>
                <w:lang w:val="sr-Latn-ME"/>
              </w:rPr>
            </w:pPr>
            <w:r w:rsidRPr="00E07BBD">
              <w:rPr>
                <w:rFonts w:eastAsia="TimesNewRoman"/>
                <w:sz w:val="22"/>
                <w:szCs w:val="22"/>
                <w:lang w:val="sr-Latn-ME"/>
              </w:rPr>
              <w:t>Log-rank p-vrijednost*</w:t>
            </w:r>
          </w:p>
        </w:tc>
        <w:tc>
          <w:tcPr>
            <w:tcW w:w="3285" w:type="dxa"/>
            <w:gridSpan w:val="4"/>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0,001</w:t>
            </w:r>
          </w:p>
        </w:tc>
        <w:tc>
          <w:tcPr>
            <w:tcW w:w="3285" w:type="dxa"/>
            <w:gridSpan w:val="3"/>
          </w:tcPr>
          <w:p w:rsidR="00E07BBD" w:rsidRPr="00E07BBD" w:rsidRDefault="00E07BBD" w:rsidP="00C42D32">
            <w:pPr>
              <w:tabs>
                <w:tab w:val="left" w:pos="910"/>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ab/>
            </w:r>
            <w:r w:rsidRPr="00E07BBD">
              <w:rPr>
                <w:rFonts w:eastAsia="TimesNewRoman"/>
                <w:sz w:val="22"/>
                <w:szCs w:val="22"/>
                <w:lang w:val="sr-Latn-ME"/>
              </w:rPr>
              <w:t>0,001</w:t>
            </w:r>
          </w:p>
        </w:tc>
      </w:tr>
      <w:tr w:rsidR="00E07BBD" w:rsidRPr="00E07BBD" w:rsidTr="00C42D32">
        <w:tc>
          <w:tcPr>
            <w:tcW w:w="3285" w:type="dxa"/>
          </w:tcPr>
          <w:p w:rsidR="00E07BBD" w:rsidRPr="00E07BBD" w:rsidRDefault="00E07BBD" w:rsidP="00C42D32">
            <w:pPr>
              <w:autoSpaceDE w:val="0"/>
              <w:autoSpaceDN w:val="0"/>
              <w:adjustRightInd w:val="0"/>
              <w:rPr>
                <w:rFonts w:eastAsia="TimesNewRoman"/>
                <w:sz w:val="22"/>
                <w:szCs w:val="22"/>
                <w:lang w:val="sr-Latn-ME"/>
              </w:rPr>
            </w:pPr>
            <w:r w:rsidRPr="00E07BBD">
              <w:rPr>
                <w:rFonts w:eastAsia="TimesNewRoman"/>
                <w:sz w:val="22"/>
                <w:szCs w:val="22"/>
                <w:lang w:val="sr-Latn-ME"/>
              </w:rPr>
              <w:t>Stopa ukupnog odgovora**</w:t>
            </w:r>
          </w:p>
          <w:p w:rsidR="00E07BBD" w:rsidRPr="00E07BBD" w:rsidRDefault="00E07BBD" w:rsidP="00C42D32">
            <w:pPr>
              <w:autoSpaceDE w:val="0"/>
              <w:autoSpaceDN w:val="0"/>
              <w:adjustRightInd w:val="0"/>
              <w:rPr>
                <w:rFonts w:eastAsia="TimesNewRoman"/>
                <w:b/>
                <w:bCs/>
                <w:sz w:val="22"/>
                <w:szCs w:val="22"/>
                <w:lang w:val="sr-Latn-ME"/>
              </w:rPr>
            </w:pPr>
            <w:r w:rsidRPr="00E07BBD">
              <w:rPr>
                <w:rFonts w:eastAsia="TimesNewRoman"/>
                <w:sz w:val="22"/>
                <w:szCs w:val="22"/>
                <w:lang w:val="sr-Latn-ME"/>
              </w:rPr>
              <w:t>(95% CI)</w:t>
            </w:r>
          </w:p>
        </w:tc>
        <w:tc>
          <w:tcPr>
            <w:tcW w:w="1535" w:type="dxa"/>
            <w:gridSpan w:val="2"/>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41,3%</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(34,8-48,1)</w:t>
            </w:r>
          </w:p>
        </w:tc>
        <w:tc>
          <w:tcPr>
            <w:tcW w:w="1750" w:type="dxa"/>
            <w:gridSpan w:val="2"/>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16,7%</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(12,0-22,2)</w:t>
            </w:r>
          </w:p>
        </w:tc>
        <w:tc>
          <w:tcPr>
            <w:tcW w:w="1494"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45,5%</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(37,8-53,4)</w:t>
            </w:r>
          </w:p>
        </w:tc>
        <w:tc>
          <w:tcPr>
            <w:tcW w:w="1791" w:type="dxa"/>
            <w:gridSpan w:val="2"/>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19,6%</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(13,8-26,6)</w:t>
            </w:r>
          </w:p>
        </w:tc>
      </w:tr>
      <w:tr w:rsidR="00E07BBD" w:rsidRPr="00E07BBD" w:rsidTr="00C42D32">
        <w:tc>
          <w:tcPr>
            <w:tcW w:w="3285" w:type="dxa"/>
          </w:tcPr>
          <w:p w:rsidR="00E07BBD" w:rsidRPr="00E07BBD" w:rsidRDefault="00E07BBD" w:rsidP="00C42D32">
            <w:pPr>
              <w:autoSpaceDE w:val="0"/>
              <w:autoSpaceDN w:val="0"/>
              <w:adjustRightInd w:val="0"/>
              <w:rPr>
                <w:rFonts w:eastAsia="TimesNewRoman"/>
                <w:b/>
                <w:bCs/>
                <w:sz w:val="22"/>
                <w:szCs w:val="22"/>
                <w:lang w:val="sr-Latn-ME"/>
              </w:rPr>
            </w:pPr>
            <w:r w:rsidRPr="00E07BBD">
              <w:rPr>
                <w:rFonts w:eastAsia="TimesNewRoman"/>
                <w:sz w:val="22"/>
                <w:szCs w:val="22"/>
                <w:lang w:val="sr-Latn-ME"/>
              </w:rPr>
              <w:t>Fišerova tačna p-vrijednost*</w:t>
            </w:r>
          </w:p>
        </w:tc>
        <w:tc>
          <w:tcPr>
            <w:tcW w:w="3285" w:type="dxa"/>
            <w:gridSpan w:val="4"/>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&lt;0,001 </w:t>
            </w:r>
          </w:p>
        </w:tc>
        <w:tc>
          <w:tcPr>
            <w:tcW w:w="3285" w:type="dxa"/>
            <w:gridSpan w:val="3"/>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&lt;0,001</w:t>
            </w: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Skraćenice: CI (</w:t>
      </w:r>
      <w:r w:rsidRPr="00E07BBD">
        <w:rPr>
          <w:rFonts w:ascii="Times New Roman" w:eastAsia="TimesNewRoman" w:hAnsi="Times New Roman" w:cs="Times New Roman"/>
          <w:i/>
          <w:iCs/>
          <w:lang w:val="sr-Latn-ME"/>
        </w:rPr>
        <w:t>confidence interval</w:t>
      </w:r>
      <w:r w:rsidRPr="00E07BBD">
        <w:rPr>
          <w:rFonts w:ascii="Times New Roman" w:eastAsia="TimesNewRoman" w:hAnsi="Times New Roman" w:cs="Times New Roman"/>
          <w:lang w:val="sr-Latn-ME"/>
        </w:rPr>
        <w:t>) - interval pouzdanosti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*p-vrijednost se odnosi na poređenje između dvije grupe pacijenata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**Grupa liječena kombinacijom pemetreksed/cisplatin, randomizovani i liječeni pacijenti (N=225) i pacijenti sa potpunom nadoknadom (N=167)</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Primjenom skale za ocjenu simptoma karcinoma pluća (eng. </w:t>
      </w:r>
      <w:r w:rsidRPr="00E07BBD">
        <w:rPr>
          <w:rFonts w:ascii="Times New Roman" w:eastAsia="TimesNewRoman" w:hAnsi="Times New Roman" w:cs="Times New Roman"/>
          <w:i/>
          <w:iCs/>
          <w:lang w:val="sr-Latn-ME"/>
        </w:rPr>
        <w:t>Lung Cancer Symptom Scale</w:t>
      </w:r>
      <w:r w:rsidRPr="00E07BBD">
        <w:rPr>
          <w:rFonts w:ascii="Times New Roman" w:eastAsia="TimesNewRoman" w:hAnsi="Times New Roman" w:cs="Times New Roman"/>
          <w:lang w:val="sr-Latn-ME"/>
        </w:rPr>
        <w:t>) u grupi pacijenata liječenih kombinacijom pemetreksed/cisplatin (212 pacijenata) uočeno je statistički značajno poboljšanje klinički značajnih simptoma (bol i dispneja) povezanih sa malignim pleuralnim mezoteliomom u odnosu na pacijente liječene samo cisplatinom (218 pacijenata). Uočene su i statistički značajne razlike u nalazima testova funkcije pluća. Grupe su se razlikovale i po tome što se kod pacijenata liječenih kombinacijom pemetreksed/cisplatin funkcija pluća poboljšala, dok se u kontrolnoj grupi s vremenom pogoršavala.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Podaci o pacijentima sa malignim mezoteliomom pleure koji su liječeni samo pemetreksedom su ograničeni.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 dozi od 500 mg/m</w:t>
      </w:r>
      <w:r w:rsidRPr="00E07BBD">
        <w:rPr>
          <w:rFonts w:ascii="Times New Roman" w:eastAsia="TimesNewRoman" w:hAnsi="Times New Roman" w:cs="Times New Roman"/>
          <w:vertAlign w:val="superscript"/>
          <w:lang w:val="sr-Latn-ME"/>
        </w:rPr>
        <w:t>2</w:t>
      </w:r>
      <w:r w:rsidRPr="00E07BBD">
        <w:rPr>
          <w:rFonts w:ascii="Times New Roman" w:eastAsia="TimesNewRoman" w:hAnsi="Times New Roman" w:cs="Times New Roman"/>
          <w:lang w:val="sr-Latn-ME"/>
        </w:rPr>
        <w:t xml:space="preserve"> pemetreksed je ispitivan u vidu monoterapije na 64 pacijenta sa malignim mezoteliomom pleure, koji nikad ranije nisu bili na hemoterapiji. Stopa ukupnog terapijskog odgovora bila je 14,1%.</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i/>
          <w:iCs/>
          <w:lang w:val="sr-Latn-ME"/>
        </w:rPr>
      </w:pPr>
      <w:r w:rsidRPr="00E07BBD">
        <w:rPr>
          <w:rFonts w:ascii="Times New Roman" w:eastAsia="TimesNewRoman" w:hAnsi="Times New Roman" w:cs="Times New Roman"/>
          <w:b/>
          <w:bCs/>
          <w:i/>
          <w:iCs/>
          <w:lang w:val="sr-Latn-ME"/>
        </w:rPr>
        <w:t xml:space="preserve">Nemikrocelularni karcinom pluća </w:t>
      </w:r>
      <w:r w:rsidRPr="00E07BBD">
        <w:rPr>
          <w:rFonts w:ascii="Times New Roman" w:eastAsia="TimesNewRoman" w:hAnsi="Times New Roman" w:cs="Times New Roman"/>
          <w:b/>
          <w:bCs/>
          <w:lang w:val="sr-Latn-ME"/>
        </w:rPr>
        <w:t xml:space="preserve">(engl. </w:t>
      </w:r>
      <w:r w:rsidRPr="00E07BBD">
        <w:rPr>
          <w:rFonts w:ascii="Times New Roman" w:eastAsia="TimesNewRoman" w:hAnsi="Times New Roman" w:cs="Times New Roman"/>
          <w:b/>
          <w:bCs/>
          <w:i/>
          <w:iCs/>
          <w:lang w:val="sr-Latn-ME"/>
        </w:rPr>
        <w:t>non-small cell lung cancer</w:t>
      </w:r>
      <w:r w:rsidRPr="00E07BBD">
        <w:rPr>
          <w:rFonts w:ascii="Times New Roman" w:eastAsia="TimesNewRoman" w:hAnsi="Times New Roman" w:cs="Times New Roman"/>
          <w:b/>
          <w:bCs/>
          <w:lang w:val="sr-Latn-ME"/>
        </w:rPr>
        <w:t>, NSCLC)</w:t>
      </w:r>
      <w:r w:rsidRPr="00E07BBD">
        <w:rPr>
          <w:rFonts w:ascii="Times New Roman" w:eastAsia="TimesNewRoman" w:hAnsi="Times New Roman" w:cs="Times New Roman"/>
          <w:b/>
          <w:bCs/>
          <w:i/>
          <w:iCs/>
          <w:lang w:val="sr-Latn-ME"/>
        </w:rPr>
        <w:t>, druga terapijska linija: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i/>
          <w:i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Multicentrično, randomizovano, otvoreno ispitivanje faze III, koje je poredilo pemetreksed sa docetakselom kod pacijenata sa lokalno uznapredovalim ili metastatskim nemikrocelularnim karcinomom pluća (NSCLC) nakon prethodne hemoterapije, pokazalo je da je srednje vrijeme preživljavanja kod pacijenata koji su primali pemetreksed iznosilo 8,3 mjeseca (populacija predviđena za liječenje, engl. </w:t>
      </w:r>
      <w:r w:rsidRPr="00E07BBD">
        <w:rPr>
          <w:rFonts w:ascii="Times New Roman" w:eastAsia="TimesNewRoman" w:hAnsi="Times New Roman" w:cs="Times New Roman"/>
          <w:i/>
          <w:lang w:val="sr-Latn-ME"/>
        </w:rPr>
        <w:t xml:space="preserve">Intent-To-Treat </w:t>
      </w:r>
      <w:r w:rsidRPr="00E07BBD">
        <w:rPr>
          <w:rFonts w:ascii="Times New Roman" w:eastAsia="Times New Roman" w:hAnsi="Times New Roman" w:cs="Times New Roman"/>
          <w:lang w:val="sr-Latn-ME"/>
        </w:rPr>
        <w:t>[ITT],</w:t>
      </w:r>
      <w:r w:rsidRPr="00E07BBD">
        <w:rPr>
          <w:rFonts w:ascii="Times New Roman" w:eastAsia="TimesNewRoman" w:hAnsi="Times New Roman" w:cs="Times New Roman"/>
          <w:i/>
          <w:lang w:val="sr-Latn-ME"/>
        </w:rPr>
        <w:t xml:space="preserve"> </w:t>
      </w:r>
      <w:r w:rsidRPr="00E07BBD">
        <w:rPr>
          <w:rFonts w:ascii="Times New Roman" w:eastAsia="TimesNewRoman" w:hAnsi="Times New Roman" w:cs="Times New Roman"/>
          <w:lang w:val="sr-Latn-ME"/>
        </w:rPr>
        <w:t xml:space="preserve"> N=283), a kod pacijenata liječenih docetakselom 7,9 mjeseci (populacija predviđena za liječenje , engl. </w:t>
      </w:r>
      <w:r w:rsidRPr="00E07BBD">
        <w:rPr>
          <w:rFonts w:ascii="Times New Roman" w:eastAsia="TimesNewRoman" w:hAnsi="Times New Roman" w:cs="Times New Roman"/>
          <w:i/>
          <w:lang w:val="sr-Latn-ME"/>
        </w:rPr>
        <w:t xml:space="preserve">Intent-To-Treat </w:t>
      </w:r>
      <w:r w:rsidRPr="00E07BBD">
        <w:rPr>
          <w:rFonts w:ascii="Times New Roman" w:eastAsia="Times New Roman" w:hAnsi="Times New Roman" w:cs="Times New Roman"/>
          <w:lang w:val="sr-Latn-ME"/>
        </w:rPr>
        <w:t>[ITT],</w:t>
      </w:r>
      <w:r w:rsidRPr="00E07BBD">
        <w:rPr>
          <w:rFonts w:ascii="Times New Roman" w:eastAsia="TimesNewRoman" w:hAnsi="Times New Roman" w:cs="Times New Roman"/>
          <w:i/>
          <w:lang w:val="sr-Latn-ME"/>
        </w:rPr>
        <w:t xml:space="preserve"> </w:t>
      </w:r>
      <w:r w:rsidRPr="00E07BBD">
        <w:rPr>
          <w:rFonts w:ascii="Times New Roman" w:eastAsia="TimesNewRoman" w:hAnsi="Times New Roman" w:cs="Times New Roman"/>
          <w:lang w:val="sr-Latn-ME"/>
        </w:rPr>
        <w:t xml:space="preserve"> N=288). Prethodna hemoterapija nije uključivala pemetreksed. Analiza uticaja histologije NSCLC na efekat liječenja na ukupno preživljavanje bila je u korist lijeka pemetreksed u odnosu na docetaksel, kod karcinoma kod kojih se nije radilo o predominantno skvamoznoj histologiji (N=399: 9,3 u odnosu na 8,0 mjeseci, sa podešenim odnosom rizika (engl. </w:t>
      </w:r>
      <w:r w:rsidRPr="00E07BBD">
        <w:rPr>
          <w:rFonts w:ascii="Times New Roman" w:eastAsia="TimesNewRoman" w:hAnsi="Times New Roman" w:cs="Times New Roman"/>
          <w:i/>
          <w:lang w:val="sr-Latn-ME"/>
        </w:rPr>
        <w:t>Hazard ratio</w:t>
      </w:r>
      <w:r w:rsidRPr="00E07BBD">
        <w:rPr>
          <w:rFonts w:ascii="Times New Roman" w:eastAsia="TimesNewRoman" w:hAnsi="Times New Roman" w:cs="Times New Roman"/>
          <w:lang w:val="sr-Latn-ME"/>
        </w:rPr>
        <w:t xml:space="preserve">) HR=0,78; 95% CI=0,61-1,00; p=0,047) i bila je u korist docetaksela kod karcinoma sa predominantno skvamoznom ćelijskom histologijom (N=172: 6,2 u odnosu na 7,4 mjeseca, sa podešenim odnosom rizika HR=1,56; 95% CI=1,08-2,26; p=0,018). Nije bilo klinički značajnih razlika u bezbjednosnom profilu pemetrekseda između podgrupa sa različitim histološkim tipovima bolesti.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Ograničeni klinički podaci iz odvojenog randomizovanog, kontrolisanog ispitivanja faze III, sugerišu da su podaci o efikasnosti (ukupno preživljavanje, preživljavanje bez progresije bolesti) za pemetreksed slični među pacijentima koji su prethodno bili na terapiji docetakselom (n=41) i pacijenata koji prethodno nisu primali docetaksel (n=540).</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Efikasnost pemetrekseda u odnosu na docetaksel kod NSCLC – ITT populacija</w:t>
      </w:r>
    </w:p>
    <w:tbl>
      <w:tblPr>
        <w:tblStyle w:val="TableGrid2"/>
        <w:tblW w:w="0" w:type="auto"/>
        <w:tblLook w:val="04A0" w:firstRow="1" w:lastRow="0" w:firstColumn="1" w:lastColumn="0" w:noHBand="0" w:noVBand="1"/>
      </w:tblPr>
      <w:tblGrid>
        <w:gridCol w:w="6191"/>
        <w:gridCol w:w="1449"/>
        <w:gridCol w:w="1977"/>
      </w:tblGrid>
      <w:tr w:rsidR="00E07BBD" w:rsidRPr="00E07BBD" w:rsidTr="00C42D32">
        <w:trPr>
          <w:trHeight w:val="241"/>
        </w:trPr>
        <w:tc>
          <w:tcPr>
            <w:tcW w:w="6201" w:type="dxa"/>
          </w:tcPr>
          <w:p w:rsidR="00E07BBD" w:rsidRPr="00E07BBD" w:rsidRDefault="00E07BBD" w:rsidP="00C42D32">
            <w:pPr>
              <w:tabs>
                <w:tab w:val="left" w:pos="1845"/>
              </w:tabs>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ab/>
            </w:r>
          </w:p>
        </w:tc>
        <w:tc>
          <w:tcPr>
            <w:tcW w:w="1449" w:type="dxa"/>
          </w:tcPr>
          <w:p w:rsidR="00E07BBD" w:rsidRPr="00E07BBD" w:rsidRDefault="0044338B" w:rsidP="0044338B">
            <w:pPr>
              <w:autoSpaceDE w:val="0"/>
              <w:autoSpaceDN w:val="0"/>
              <w:adjustRightInd w:val="0"/>
              <w:jc w:val="both"/>
              <w:rPr>
                <w:rFonts w:eastAsia="TimesNewRoman"/>
                <w:b/>
                <w:bCs/>
                <w:sz w:val="22"/>
                <w:szCs w:val="22"/>
                <w:lang w:val="sr-Latn-ME"/>
              </w:rPr>
            </w:pPr>
            <w:r>
              <w:rPr>
                <w:rFonts w:eastAsia="TimesNewRoman"/>
                <w:b/>
                <w:sz w:val="22"/>
                <w:szCs w:val="22"/>
                <w:lang w:val="sr-Latn-ME"/>
              </w:rPr>
              <w:t>P</w:t>
            </w:r>
            <w:r w:rsidR="00E07BBD" w:rsidRPr="00E07BBD">
              <w:rPr>
                <w:rFonts w:eastAsia="TimesNewRoman"/>
                <w:b/>
                <w:sz w:val="22"/>
                <w:szCs w:val="22"/>
                <w:lang w:val="sr-Latn-ME"/>
              </w:rPr>
              <w:t>emetreksed</w:t>
            </w:r>
          </w:p>
        </w:tc>
        <w:tc>
          <w:tcPr>
            <w:tcW w:w="1979"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sz w:val="22"/>
                <w:szCs w:val="22"/>
                <w:lang w:val="sr-Latn-ME"/>
              </w:rPr>
              <w:t>Docetaksel</w:t>
            </w:r>
          </w:p>
        </w:tc>
      </w:tr>
      <w:tr w:rsidR="00E07BBD" w:rsidRPr="00E07BBD" w:rsidTr="00C42D32">
        <w:trPr>
          <w:trHeight w:val="1439"/>
        </w:trPr>
        <w:tc>
          <w:tcPr>
            <w:tcW w:w="6201"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b/>
                <w:bCs/>
                <w:sz w:val="22"/>
                <w:szCs w:val="22"/>
                <w:lang w:val="sr-Latn-ME"/>
              </w:rPr>
              <w:t xml:space="preserve">Vrijeme preživljavanja (u mjesecima) </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Medijana (u mjesecima) </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95% CI za srednju vrijednost </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HR </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95% CI za HR </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 p-vrijednost za neinferiornost (HR)</w:t>
            </w:r>
          </w:p>
        </w:tc>
        <w:tc>
          <w:tcPr>
            <w:tcW w:w="3428" w:type="dxa"/>
            <w:gridSpan w:val="2"/>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(n=283)</w:t>
            </w:r>
            <w:r w:rsidRPr="00E07BBD">
              <w:rPr>
                <w:rFonts w:eastAsia="TimesNewRoman"/>
                <w:sz w:val="22"/>
                <w:szCs w:val="22"/>
                <w:lang w:val="sr-Latn-ME"/>
              </w:rPr>
              <w:tab/>
              <w:t xml:space="preserve">                                (n=288)</w:t>
            </w:r>
          </w:p>
          <w:p w:rsidR="00E07BBD" w:rsidRPr="00E07BBD" w:rsidRDefault="00E07BBD" w:rsidP="00C42D32">
            <w:pPr>
              <w:tabs>
                <w:tab w:val="left" w:pos="284"/>
                <w:tab w:val="center" w:pos="3177"/>
              </w:tabs>
              <w:jc w:val="both"/>
              <w:rPr>
                <w:rFonts w:eastAsia="TimesNewRoman"/>
                <w:sz w:val="22"/>
                <w:szCs w:val="22"/>
                <w:lang w:val="sr-Latn-ME"/>
              </w:rPr>
            </w:pPr>
            <w:r w:rsidRPr="00E07BBD">
              <w:rPr>
                <w:rFonts w:eastAsia="TimesNewRoman"/>
                <w:sz w:val="22"/>
                <w:szCs w:val="22"/>
                <w:lang w:val="sr-Latn-ME"/>
              </w:rPr>
              <w:t>8,3</w:t>
            </w:r>
            <w:r w:rsidRPr="00E07BBD">
              <w:rPr>
                <w:rFonts w:eastAsia="TimesNewRoman"/>
                <w:sz w:val="22"/>
                <w:szCs w:val="22"/>
                <w:lang w:val="sr-Latn-ME"/>
              </w:rPr>
              <w:tab/>
              <w:t xml:space="preserve">                                                7,9 (7,0-9,4)                               (6,3-9,2) </w:t>
            </w:r>
          </w:p>
          <w:p w:rsidR="00E07BBD" w:rsidRPr="00E07BBD" w:rsidRDefault="00E07BBD" w:rsidP="00350968">
            <w:pPr>
              <w:tabs>
                <w:tab w:val="left" w:pos="284"/>
                <w:tab w:val="center" w:pos="3177"/>
              </w:tabs>
              <w:jc w:val="center"/>
              <w:rPr>
                <w:rFonts w:eastAsia="TimesNewRoman"/>
                <w:sz w:val="22"/>
                <w:szCs w:val="22"/>
                <w:lang w:val="sr-Latn-ME"/>
              </w:rPr>
            </w:pPr>
            <w:r w:rsidRPr="00E07BBD">
              <w:rPr>
                <w:rFonts w:eastAsia="TimesNewRoman"/>
                <w:sz w:val="22"/>
                <w:szCs w:val="22"/>
                <w:lang w:val="sr-Latn-ME"/>
              </w:rPr>
              <w:t>0,99</w:t>
            </w:r>
          </w:p>
          <w:p w:rsidR="00E07BBD" w:rsidRPr="00E07BBD" w:rsidRDefault="00E07BBD" w:rsidP="00350968">
            <w:pPr>
              <w:tabs>
                <w:tab w:val="left" w:pos="284"/>
                <w:tab w:val="left" w:pos="2187"/>
              </w:tabs>
              <w:jc w:val="center"/>
              <w:rPr>
                <w:rFonts w:eastAsia="TimesNewRoman"/>
                <w:sz w:val="22"/>
                <w:szCs w:val="22"/>
                <w:lang w:val="sr-Latn-ME"/>
              </w:rPr>
            </w:pPr>
            <w:r w:rsidRPr="00E07BBD">
              <w:rPr>
                <w:rFonts w:eastAsia="TimesNewRoman"/>
                <w:sz w:val="22"/>
                <w:szCs w:val="22"/>
                <w:lang w:val="sr-Latn-ME"/>
              </w:rPr>
              <w:t>(0,82-1,20)</w:t>
            </w:r>
          </w:p>
          <w:p w:rsidR="00E07BBD" w:rsidRPr="00E07BBD" w:rsidRDefault="00E07BBD" w:rsidP="00350968">
            <w:pPr>
              <w:tabs>
                <w:tab w:val="left" w:pos="284"/>
              </w:tabs>
              <w:jc w:val="center"/>
              <w:rPr>
                <w:rFonts w:eastAsia="TimesNewRoman"/>
                <w:sz w:val="22"/>
                <w:szCs w:val="22"/>
                <w:lang w:val="sr-Latn-ME"/>
              </w:rPr>
            </w:pPr>
            <w:r w:rsidRPr="00E07BBD">
              <w:rPr>
                <w:rFonts w:eastAsia="TimesNewRoman"/>
                <w:sz w:val="22"/>
                <w:szCs w:val="22"/>
                <w:lang w:val="sr-Latn-ME"/>
              </w:rPr>
              <w:t>0,226</w:t>
            </w:r>
          </w:p>
        </w:tc>
      </w:tr>
      <w:tr w:rsidR="00E07BBD" w:rsidRPr="00E07BBD" w:rsidTr="00C42D32">
        <w:tc>
          <w:tcPr>
            <w:tcW w:w="6201"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t>Preživljavanje bez progresije bolesti (u mjesecima)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Medijana </w:t>
            </w:r>
          </w:p>
          <w:p w:rsidR="00E07BBD" w:rsidRPr="00E07BBD" w:rsidRDefault="00E07BBD" w:rsidP="00C42D32">
            <w:pPr>
              <w:tabs>
                <w:tab w:val="left" w:pos="284"/>
              </w:tabs>
              <w:jc w:val="both"/>
              <w:rPr>
                <w:rFonts w:eastAsia="TimesNewRoman"/>
                <w:b/>
                <w:bCs/>
                <w:sz w:val="22"/>
                <w:szCs w:val="22"/>
                <w:lang w:val="sr-Latn-ME"/>
              </w:rPr>
            </w:pPr>
            <w:r w:rsidRPr="00E07BBD">
              <w:rPr>
                <w:rFonts w:eastAsia="TimesNewRoman"/>
                <w:sz w:val="22"/>
                <w:szCs w:val="22"/>
                <w:lang w:val="sr-Latn-ME"/>
              </w:rPr>
              <w:t>• HR (95% CI)</w:t>
            </w:r>
          </w:p>
        </w:tc>
        <w:tc>
          <w:tcPr>
            <w:tcW w:w="3428" w:type="dxa"/>
            <w:gridSpan w:val="2"/>
          </w:tcPr>
          <w:p w:rsidR="00E07BBD" w:rsidRPr="00E07BBD" w:rsidRDefault="00E07BBD" w:rsidP="00C42D32">
            <w:pPr>
              <w:tabs>
                <w:tab w:val="left" w:pos="284"/>
                <w:tab w:val="left" w:pos="4021"/>
              </w:tabs>
              <w:jc w:val="both"/>
              <w:rPr>
                <w:rFonts w:eastAsia="TimesNewRoman"/>
                <w:sz w:val="22"/>
                <w:szCs w:val="22"/>
                <w:lang w:val="sr-Latn-ME"/>
              </w:rPr>
            </w:pPr>
            <w:r w:rsidRPr="00E07BBD">
              <w:rPr>
                <w:rFonts w:eastAsia="TimesNewRoman"/>
                <w:sz w:val="22"/>
                <w:szCs w:val="22"/>
                <w:lang w:val="sr-Latn-ME"/>
              </w:rPr>
              <w:t>(n=283)                                         (n=288)                 2,9</w:t>
            </w:r>
            <w:r w:rsidRPr="00E07BBD">
              <w:rPr>
                <w:rFonts w:eastAsia="TimesNewRoman"/>
                <w:sz w:val="22"/>
                <w:szCs w:val="22"/>
                <w:lang w:val="sr-Latn-ME"/>
              </w:rPr>
              <w:tab/>
              <w:t xml:space="preserve">                                                2,9</w:t>
            </w:r>
          </w:p>
          <w:p w:rsidR="00E07BBD" w:rsidRPr="00E07BBD" w:rsidRDefault="00E07BBD" w:rsidP="00350968">
            <w:pPr>
              <w:tabs>
                <w:tab w:val="left" w:pos="2160"/>
              </w:tabs>
              <w:jc w:val="center"/>
              <w:rPr>
                <w:rFonts w:eastAsia="TimesNewRoman"/>
                <w:sz w:val="22"/>
                <w:szCs w:val="22"/>
                <w:lang w:val="sr-Latn-ME"/>
              </w:rPr>
            </w:pPr>
            <w:r w:rsidRPr="00E07BBD">
              <w:rPr>
                <w:rFonts w:eastAsia="TimesNewRoman"/>
                <w:sz w:val="22"/>
                <w:szCs w:val="22"/>
                <w:lang w:val="sr-Latn-ME"/>
              </w:rPr>
              <w:t>0,97 (0,82 -1,16)</w:t>
            </w:r>
          </w:p>
        </w:tc>
      </w:tr>
      <w:tr w:rsidR="00E07BBD" w:rsidRPr="00E07BBD" w:rsidTr="00C42D32">
        <w:tc>
          <w:tcPr>
            <w:tcW w:w="6201"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lastRenderedPageBreak/>
              <w:t xml:space="preserve">Vrijeme do prestanka odgovora na terapiju </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(TTTF- u mjesecima)</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Medijana </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 HR (95% CI)</w:t>
            </w:r>
          </w:p>
        </w:tc>
        <w:tc>
          <w:tcPr>
            <w:tcW w:w="3428" w:type="dxa"/>
            <w:gridSpan w:val="2"/>
          </w:tcPr>
          <w:p w:rsidR="00E07BBD" w:rsidRPr="00E07BBD" w:rsidRDefault="00E07BBD" w:rsidP="00C42D32">
            <w:pPr>
              <w:tabs>
                <w:tab w:val="center" w:pos="3537"/>
              </w:tabs>
              <w:autoSpaceDE w:val="0"/>
              <w:autoSpaceDN w:val="0"/>
              <w:adjustRightInd w:val="0"/>
              <w:jc w:val="both"/>
              <w:rPr>
                <w:rFonts w:eastAsia="TimesNewRoman"/>
                <w:sz w:val="22"/>
                <w:szCs w:val="22"/>
                <w:lang w:val="sr-Latn-ME"/>
              </w:rPr>
            </w:pPr>
          </w:p>
          <w:p w:rsidR="00E07BBD" w:rsidRPr="00E07BBD" w:rsidRDefault="00E07BBD" w:rsidP="00C42D32">
            <w:pPr>
              <w:tabs>
                <w:tab w:val="center" w:pos="3537"/>
              </w:tabs>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(n=283)</w:t>
            </w:r>
            <w:r w:rsidRPr="00E07BBD">
              <w:rPr>
                <w:rFonts w:eastAsia="TimesNewRoman"/>
                <w:sz w:val="22"/>
                <w:szCs w:val="22"/>
                <w:lang w:val="sr-Latn-ME"/>
              </w:rPr>
              <w:tab/>
              <w:t xml:space="preserve">                              (n=288)</w:t>
            </w:r>
          </w:p>
          <w:p w:rsidR="00E07BBD" w:rsidRPr="00E07BBD" w:rsidRDefault="00E07BBD" w:rsidP="00C42D32">
            <w:pPr>
              <w:tabs>
                <w:tab w:val="left" w:pos="937"/>
                <w:tab w:val="center" w:pos="3177"/>
              </w:tabs>
              <w:jc w:val="both"/>
              <w:rPr>
                <w:rFonts w:eastAsia="TimesNewRoman"/>
                <w:sz w:val="22"/>
                <w:szCs w:val="22"/>
                <w:lang w:val="sr-Latn-ME"/>
              </w:rPr>
            </w:pPr>
            <w:r w:rsidRPr="00E07BBD">
              <w:rPr>
                <w:rFonts w:eastAsia="TimesNewRoman"/>
                <w:sz w:val="22"/>
                <w:szCs w:val="22"/>
                <w:lang w:val="sr-Latn-ME"/>
              </w:rPr>
              <w:t>2,3                                           2,1</w:t>
            </w:r>
          </w:p>
          <w:p w:rsidR="00E07BBD" w:rsidRPr="00E07BBD" w:rsidRDefault="00E07BBD" w:rsidP="00350968">
            <w:pPr>
              <w:tabs>
                <w:tab w:val="left" w:pos="2201"/>
              </w:tabs>
              <w:jc w:val="center"/>
              <w:rPr>
                <w:rFonts w:eastAsia="TimesNewRoman"/>
                <w:sz w:val="22"/>
                <w:szCs w:val="22"/>
                <w:lang w:val="sr-Latn-ME"/>
              </w:rPr>
            </w:pPr>
            <w:r w:rsidRPr="00E07BBD">
              <w:rPr>
                <w:rFonts w:eastAsia="TimesNewRoman"/>
                <w:sz w:val="22"/>
                <w:szCs w:val="22"/>
                <w:lang w:val="sr-Latn-ME"/>
              </w:rPr>
              <w:t>0,84 (0,71-0,997)</w:t>
            </w:r>
          </w:p>
        </w:tc>
      </w:tr>
      <w:tr w:rsidR="00E07BBD" w:rsidRPr="00E07BBD" w:rsidTr="00C42D32">
        <w:tc>
          <w:tcPr>
            <w:tcW w:w="6201" w:type="dxa"/>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Odgovor (</w:t>
            </w:r>
            <w:r w:rsidRPr="00E07BBD">
              <w:rPr>
                <w:rFonts w:eastAsia="TimesNewRoman"/>
                <w:sz w:val="22"/>
                <w:szCs w:val="22"/>
                <w:lang w:val="sr-Latn-ME"/>
              </w:rPr>
              <w:t>n: broj pacijenata kod kojih se mogao procijeniti odgovor)</w:t>
            </w: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 xml:space="preserve">• Nivo odgovora (%)(95% CI) </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 Stabilna bolest</w:t>
            </w:r>
          </w:p>
        </w:tc>
        <w:tc>
          <w:tcPr>
            <w:tcW w:w="3428" w:type="dxa"/>
            <w:gridSpan w:val="2"/>
          </w:tcPr>
          <w:p w:rsidR="00E07BBD" w:rsidRPr="00E07BBD" w:rsidRDefault="00E07BBD" w:rsidP="00C42D32">
            <w:pPr>
              <w:tabs>
                <w:tab w:val="center" w:pos="3537"/>
              </w:tabs>
              <w:autoSpaceDE w:val="0"/>
              <w:autoSpaceDN w:val="0"/>
              <w:adjustRightInd w:val="0"/>
              <w:jc w:val="both"/>
              <w:rPr>
                <w:rFonts w:eastAsia="TimesNewRoman"/>
                <w:b/>
                <w:bCs/>
                <w:sz w:val="22"/>
                <w:szCs w:val="22"/>
                <w:lang w:val="sr-Latn-ME"/>
              </w:rPr>
            </w:pPr>
            <w:r w:rsidRPr="00E07BBD">
              <w:rPr>
                <w:rFonts w:eastAsia="TimesNewRoman"/>
                <w:sz w:val="22"/>
                <w:szCs w:val="22"/>
                <w:lang w:val="sr-Latn-ME"/>
              </w:rPr>
              <w:t>(n=264)                                       (n=274)</w:t>
            </w:r>
          </w:p>
          <w:p w:rsidR="00E07BBD" w:rsidRPr="00E07BBD" w:rsidRDefault="00E07BBD" w:rsidP="00C42D32">
            <w:pPr>
              <w:tabs>
                <w:tab w:val="left" w:pos="284"/>
                <w:tab w:val="center" w:pos="3537"/>
              </w:tabs>
              <w:jc w:val="both"/>
              <w:rPr>
                <w:rFonts w:eastAsia="TimesNewRoman"/>
                <w:sz w:val="22"/>
                <w:szCs w:val="22"/>
                <w:lang w:val="sr-Latn-ME"/>
              </w:rPr>
            </w:pPr>
            <w:r w:rsidRPr="00E07BBD">
              <w:rPr>
                <w:rFonts w:eastAsia="TimesNewRoman"/>
                <w:sz w:val="22"/>
                <w:szCs w:val="22"/>
                <w:lang w:val="sr-Latn-ME"/>
              </w:rPr>
              <w:t>9,1 (5,9-13,2)                 8,8 (5,7-12,8)</w:t>
            </w:r>
          </w:p>
          <w:p w:rsidR="00E07BBD" w:rsidRPr="00E07BBD" w:rsidRDefault="00E07BBD" w:rsidP="00C42D32">
            <w:pPr>
              <w:tabs>
                <w:tab w:val="left" w:pos="924"/>
                <w:tab w:val="center" w:pos="3177"/>
              </w:tabs>
              <w:jc w:val="both"/>
              <w:rPr>
                <w:rFonts w:eastAsia="TimesNewRoman"/>
                <w:sz w:val="22"/>
                <w:szCs w:val="22"/>
                <w:lang w:val="sr-Latn-ME"/>
              </w:rPr>
            </w:pPr>
            <w:r w:rsidRPr="00E07BBD">
              <w:rPr>
                <w:rFonts w:eastAsia="TimesNewRoman"/>
                <w:sz w:val="22"/>
                <w:szCs w:val="22"/>
                <w:lang w:val="sr-Latn-ME"/>
              </w:rPr>
              <w:t>45,8</w:t>
            </w:r>
            <w:r w:rsidRPr="00E07BBD">
              <w:rPr>
                <w:rFonts w:eastAsia="TimesNewRoman"/>
                <w:sz w:val="22"/>
                <w:szCs w:val="22"/>
                <w:lang w:val="sr-Latn-ME"/>
              </w:rPr>
              <w:tab/>
              <w:t xml:space="preserve">                                  46,4                                 </w:t>
            </w: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iCs/>
          <w:lang w:val="sr-Latn-ME"/>
        </w:rPr>
      </w:pPr>
      <w:r w:rsidRPr="00E07BBD">
        <w:rPr>
          <w:rFonts w:ascii="Times New Roman" w:eastAsia="TimesNewRoman" w:hAnsi="Times New Roman" w:cs="Times New Roman"/>
          <w:i/>
          <w:iCs/>
          <w:lang w:val="sr-Latn-ME"/>
        </w:rPr>
        <w:t>Skraćenice: CI (confidence interval) - interval pouzdanosti; HR (hazard ratio) - odnos rizika;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iCs/>
          <w:lang w:val="sr-Latn-ME"/>
        </w:rPr>
      </w:pPr>
      <w:r w:rsidRPr="00E07BBD">
        <w:rPr>
          <w:rFonts w:ascii="Times New Roman" w:eastAsia="TimesNewRoman" w:hAnsi="Times New Roman" w:cs="Times New Roman"/>
          <w:i/>
          <w:iCs/>
          <w:lang w:val="sr-Latn-ME"/>
        </w:rPr>
        <w:t>ITT (engl. intent to treat) – populacija svih uključenih pacijenata; n – ukupan broj pacijenata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i/>
          <w:iCs/>
          <w:lang w:val="sr-Latn-ME"/>
        </w:rPr>
      </w:pPr>
    </w:p>
    <w:p w:rsidR="00E07BBD" w:rsidRDefault="00E07BBD" w:rsidP="00C42D32">
      <w:pPr>
        <w:autoSpaceDE w:val="0"/>
        <w:autoSpaceDN w:val="0"/>
        <w:adjustRightInd w:val="0"/>
        <w:spacing w:after="0" w:line="240" w:lineRule="auto"/>
        <w:jc w:val="both"/>
        <w:rPr>
          <w:rFonts w:ascii="Times New Roman" w:eastAsia="TimesNewRoman" w:hAnsi="Times New Roman" w:cs="Times New Roman"/>
          <w:b/>
          <w:bCs/>
          <w:i/>
          <w:iCs/>
          <w:lang w:val="sr-Latn-ME"/>
        </w:rPr>
      </w:pPr>
      <w:r w:rsidRPr="00E07BBD">
        <w:rPr>
          <w:rFonts w:ascii="Times New Roman" w:eastAsia="TimesNewRoman" w:hAnsi="Times New Roman" w:cs="Times New Roman"/>
          <w:b/>
          <w:bCs/>
          <w:i/>
          <w:iCs/>
          <w:lang w:val="sr-Latn-ME"/>
        </w:rPr>
        <w:t xml:space="preserve">Nemikrocelularni karcinom pluća, </w:t>
      </w:r>
      <w:r w:rsidRPr="00E07BBD">
        <w:rPr>
          <w:rFonts w:ascii="Times New Roman" w:eastAsia="TimesNewRoman" w:hAnsi="Times New Roman" w:cs="Times New Roman"/>
          <w:b/>
          <w:bCs/>
          <w:lang w:val="sr-Latn-ME"/>
        </w:rPr>
        <w:t xml:space="preserve">(NSCLC) </w:t>
      </w:r>
      <w:r w:rsidRPr="00E07BBD">
        <w:rPr>
          <w:rFonts w:ascii="Times New Roman" w:eastAsia="TimesNewRoman" w:hAnsi="Times New Roman" w:cs="Times New Roman"/>
          <w:b/>
          <w:bCs/>
          <w:i/>
          <w:iCs/>
          <w:lang w:val="sr-Latn-ME"/>
        </w:rPr>
        <w:t>prva terapijska linija:</w:t>
      </w:r>
    </w:p>
    <w:p w:rsidR="0044338B" w:rsidRPr="00E07BBD" w:rsidRDefault="0044338B" w:rsidP="00C42D32">
      <w:pPr>
        <w:autoSpaceDE w:val="0"/>
        <w:autoSpaceDN w:val="0"/>
        <w:adjustRightInd w:val="0"/>
        <w:spacing w:after="0" w:line="240" w:lineRule="auto"/>
        <w:jc w:val="both"/>
        <w:rPr>
          <w:rFonts w:ascii="Times New Roman" w:eastAsia="TimesNewRoman" w:hAnsi="Times New Roman" w:cs="Times New Roman"/>
          <w:b/>
          <w:bCs/>
          <w:i/>
          <w:i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Multicentrična, randomizovana, otvorena studija faze III pemetrekseda u kombinaciji sa cisplatinom u odnosu na gemcitabin u kombinaciji sa cisplatinom kod pacijenata sa lokalno uznapredovalim ili metastatskim (stadijum IIIb ili IV) nemikrocelularnim karcinomom pluća (NSCLC), koji prethodno nisu primali hemoterapiju, pokazala je da pemetreksed u kombinaciji sa cisplatinom ((ITT- populacija, n=862) odgovara primarnom terapijskom cilju i pokazala je sličnu kliničku efikasnost kao gemcitabin u kombinaciji sa cisplatinom (ITT n=863) u ukupnom preživljavanju (sa podešenim odnosom rizika 0,94; 95% CI=0,84-1.05). Svi pacijeni uključeni u ovu studiju su imali ECOG performans status 0 ili 1.</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Analiza primarne efikasnosti je bila bazirana na ITT populaciji. Analiza osjetljivosti osnovnih ciljnih parametara efikasnosti obu</w:t>
      </w:r>
      <w:r w:rsidRPr="00E07BBD">
        <w:rPr>
          <w:rFonts w:ascii="Times New Roman" w:eastAsia="Times New Roman" w:hAnsi="Times New Roman" w:cs="Times New Roman"/>
          <w:lang w:val="sr-Latn-ME"/>
        </w:rPr>
        <w:t xml:space="preserve">hvatala je i populaciju koja je ispunila kriterijume protokola za uključenje u ispitivanje </w:t>
      </w:r>
      <w:r w:rsidRPr="00E07BBD">
        <w:rPr>
          <w:rFonts w:ascii="Times New Roman" w:eastAsia="TimesNewRoman" w:hAnsi="Times New Roman" w:cs="Times New Roman"/>
          <w:lang w:val="sr-Latn-ME"/>
        </w:rPr>
        <w:t>(</w:t>
      </w:r>
      <w:r w:rsidRPr="00E07BBD">
        <w:rPr>
          <w:rFonts w:ascii="Times New Roman" w:eastAsia="TimesNewRoman" w:hAnsi="Times New Roman" w:cs="Times New Roman"/>
          <w:i/>
          <w:iCs/>
          <w:lang w:val="sr-Latn-ME"/>
        </w:rPr>
        <w:t xml:space="preserve">Protocol Qualified </w:t>
      </w:r>
      <w:r w:rsidRPr="00E07BBD">
        <w:rPr>
          <w:rFonts w:ascii="Times New Roman" w:eastAsia="TimesNewRoman" w:hAnsi="Times New Roman" w:cs="Times New Roman"/>
          <w:lang w:val="sr-Latn-ME"/>
        </w:rPr>
        <w:t>- PQ). Analize efikasnosti na PQ populaciji su konzistentne sa analizama ITT populacije i idu u prilog neinferiornosti kombinacije pemetreksed+cisplatin u odnosu na kombinaciju gemcitabin+cisplatin.</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Preživljavanje bez progresije bolesti (PFS) i stepen ukupnog terapijskog odgovora bili su slični među  terapijskim grupama: medijana PFS je bila 4,8 mjeseci za kombinaciju pemetreksed+cisplatin u odnosu na 5,1 mjesec za kombinaciju gemcitabin+cisplatin (pri podešenom odnosu rizika 1,04; 95% CI=0,94-1,15), a stepen ukupnog terapijskog odgovora bio je 30,6% (95% CI=27,3-33,9) za kombinaciju pemetreksed+cisplatin u odnosu na 28,2% (95% CI=25,0-31,4) za kombinaciju gemcitabin+cisplatin. Podaci za PFS delimično su potvrđeni nezavisnom procjenom (400/1725 pacijenata je bilo nasumično izabrano za procjenu).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Analiza uticaja histologije NSCLC na ukupno preživljavanje pokazala je klinički značajnu razliku u preživljavanju s obzirom na histološki tip karcinoma, vidjeti sljedeću tabelu:</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Efikasnost kombinacije pemetreksed + cisplatin u odnosu na kombinaciju gemcitabin+cisplatin kao prva terapijska linija za nemikrocelularni karcinom pluća – ITT populacija i podgrupe prema histološkom tipu</w:t>
      </w:r>
    </w:p>
    <w:p w:rsidR="0044338B" w:rsidRDefault="0044338B"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44338B" w:rsidRDefault="0044338B"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44338B" w:rsidRDefault="0044338B"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44338B" w:rsidRDefault="0044338B"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44338B" w:rsidRDefault="0044338B"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44338B" w:rsidRDefault="0044338B"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44338B" w:rsidRDefault="0044338B"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44338B" w:rsidRDefault="0044338B"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44338B" w:rsidRPr="00E07BBD" w:rsidRDefault="0044338B" w:rsidP="00C42D32">
      <w:pPr>
        <w:autoSpaceDE w:val="0"/>
        <w:autoSpaceDN w:val="0"/>
        <w:adjustRightInd w:val="0"/>
        <w:spacing w:after="0" w:line="240" w:lineRule="auto"/>
        <w:jc w:val="both"/>
        <w:rPr>
          <w:rFonts w:ascii="Times New Roman" w:eastAsia="TimesNewRoman" w:hAnsi="Times New Roman" w:cs="Times New Roman"/>
          <w:b/>
          <w:bCs/>
          <w:lang w:val="sr-Latn-ME"/>
        </w:rPr>
      </w:pPr>
    </w:p>
    <w:tbl>
      <w:tblPr>
        <w:tblStyle w:val="TableGrid2"/>
        <w:tblW w:w="9855" w:type="dxa"/>
        <w:tblLayout w:type="fixed"/>
        <w:tblLook w:val="04A0" w:firstRow="1" w:lastRow="0" w:firstColumn="1" w:lastColumn="0" w:noHBand="0" w:noVBand="1"/>
      </w:tblPr>
      <w:tblGrid>
        <w:gridCol w:w="2263"/>
        <w:gridCol w:w="1418"/>
        <w:gridCol w:w="850"/>
        <w:gridCol w:w="1276"/>
        <w:gridCol w:w="851"/>
        <w:gridCol w:w="1559"/>
        <w:gridCol w:w="1638"/>
      </w:tblGrid>
      <w:tr w:rsidR="00E07BBD" w:rsidRPr="00E07BBD" w:rsidTr="00350968">
        <w:trPr>
          <w:trHeight w:val="774"/>
        </w:trPr>
        <w:tc>
          <w:tcPr>
            <w:tcW w:w="2263" w:type="dxa"/>
            <w:vMerge w:val="restart"/>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b/>
                <w:bCs/>
                <w:sz w:val="22"/>
                <w:szCs w:val="22"/>
                <w:lang w:val="sr-Latn-ME"/>
              </w:rPr>
              <w:lastRenderedPageBreak/>
              <w:t xml:space="preserve"> ITT populacija i podgrupe prema histološkom tipu</w:t>
            </w:r>
          </w:p>
          <w:p w:rsidR="00E07BBD" w:rsidRPr="00E07BBD" w:rsidRDefault="00E07BBD" w:rsidP="00C42D32">
            <w:pPr>
              <w:autoSpaceDE w:val="0"/>
              <w:autoSpaceDN w:val="0"/>
              <w:adjustRightInd w:val="0"/>
              <w:jc w:val="both"/>
              <w:rPr>
                <w:rFonts w:eastAsia="TimesNewRoman"/>
                <w:b/>
                <w:bCs/>
                <w:sz w:val="22"/>
                <w:szCs w:val="22"/>
                <w:lang w:val="sr-Latn-ME"/>
              </w:rPr>
            </w:pPr>
          </w:p>
        </w:tc>
        <w:tc>
          <w:tcPr>
            <w:tcW w:w="4395" w:type="dxa"/>
            <w:gridSpan w:val="4"/>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Medijana ukupnog preživljavanja u mjesecima</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b/>
                <w:bCs/>
                <w:sz w:val="22"/>
                <w:szCs w:val="22"/>
                <w:lang w:val="sr-Latn-ME"/>
              </w:rPr>
              <w:t>(95% CI)</w:t>
            </w:r>
          </w:p>
        </w:tc>
        <w:tc>
          <w:tcPr>
            <w:tcW w:w="1559" w:type="dxa"/>
            <w:vMerge w:val="restart"/>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Podešeni</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HR</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b/>
                <w:bCs/>
                <w:sz w:val="22"/>
                <w:szCs w:val="22"/>
                <w:lang w:val="sr-Latn-ME"/>
              </w:rPr>
              <w:t>(95% CI)</w:t>
            </w:r>
          </w:p>
        </w:tc>
        <w:tc>
          <w:tcPr>
            <w:tcW w:w="1638" w:type="dxa"/>
            <w:vMerge w:val="restart"/>
          </w:tcPr>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p-vrijednost</w:t>
            </w:r>
          </w:p>
          <w:p w:rsidR="00E07BBD" w:rsidRPr="00E07BBD" w:rsidRDefault="00E07BBD" w:rsidP="00C42D32">
            <w:pPr>
              <w:autoSpaceDE w:val="0"/>
              <w:autoSpaceDN w:val="0"/>
              <w:adjustRightInd w:val="0"/>
              <w:jc w:val="both"/>
              <w:rPr>
                <w:b/>
                <w:bCs/>
                <w:sz w:val="22"/>
                <w:szCs w:val="22"/>
                <w:lang w:val="sr-Latn-ME"/>
              </w:rPr>
            </w:pPr>
            <w:r w:rsidRPr="00E07BBD">
              <w:rPr>
                <w:b/>
                <w:bCs/>
                <w:sz w:val="22"/>
                <w:szCs w:val="22"/>
                <w:lang w:val="sr-Latn-ME"/>
              </w:rPr>
              <w:t>za</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b/>
                <w:bCs/>
                <w:sz w:val="22"/>
                <w:szCs w:val="22"/>
                <w:lang w:val="sr-Latn-ME"/>
              </w:rPr>
              <w:t>superiorno</w:t>
            </w:r>
          </w:p>
        </w:tc>
      </w:tr>
      <w:tr w:rsidR="00E07BBD" w:rsidRPr="00E07BBD" w:rsidTr="00350968">
        <w:trPr>
          <w:trHeight w:val="245"/>
        </w:trPr>
        <w:tc>
          <w:tcPr>
            <w:tcW w:w="2263" w:type="dxa"/>
            <w:vMerge/>
          </w:tcPr>
          <w:p w:rsidR="00E07BBD" w:rsidRPr="00E07BBD" w:rsidRDefault="00E07BBD" w:rsidP="00C42D32">
            <w:pPr>
              <w:autoSpaceDE w:val="0"/>
              <w:autoSpaceDN w:val="0"/>
              <w:adjustRightInd w:val="0"/>
              <w:jc w:val="both"/>
              <w:rPr>
                <w:rFonts w:eastAsia="TimesNewRoman"/>
                <w:b/>
                <w:bCs/>
                <w:sz w:val="22"/>
                <w:szCs w:val="22"/>
                <w:lang w:val="sr-Latn-ME"/>
              </w:rPr>
            </w:pPr>
          </w:p>
        </w:tc>
        <w:tc>
          <w:tcPr>
            <w:tcW w:w="2268" w:type="dxa"/>
            <w:gridSpan w:val="2"/>
          </w:tcPr>
          <w:p w:rsidR="00E07BBD" w:rsidRPr="00E07BBD" w:rsidRDefault="00E07BBD" w:rsidP="00C42D32">
            <w:pPr>
              <w:tabs>
                <w:tab w:val="left" w:pos="284"/>
              </w:tabs>
              <w:autoSpaceDE w:val="0"/>
              <w:autoSpaceDN w:val="0"/>
              <w:adjustRightInd w:val="0"/>
              <w:jc w:val="both"/>
              <w:rPr>
                <w:b/>
                <w:bCs/>
                <w:sz w:val="22"/>
                <w:szCs w:val="22"/>
                <w:lang w:val="sr-Latn-ME"/>
              </w:rPr>
            </w:pPr>
            <w:r w:rsidRPr="00E07BBD">
              <w:rPr>
                <w:b/>
                <w:bCs/>
                <w:sz w:val="22"/>
                <w:szCs w:val="22"/>
                <w:lang w:val="sr-Latn-ME"/>
              </w:rPr>
              <w:t>Pemetreksed + Cisplatin</w:t>
            </w:r>
          </w:p>
        </w:tc>
        <w:tc>
          <w:tcPr>
            <w:tcW w:w="2127" w:type="dxa"/>
            <w:gridSpan w:val="2"/>
          </w:tcPr>
          <w:p w:rsidR="00E07BBD" w:rsidRPr="00E07BBD" w:rsidRDefault="00E07BBD" w:rsidP="00C42D32">
            <w:pPr>
              <w:tabs>
                <w:tab w:val="left" w:pos="284"/>
              </w:tabs>
              <w:autoSpaceDE w:val="0"/>
              <w:autoSpaceDN w:val="0"/>
              <w:adjustRightInd w:val="0"/>
              <w:jc w:val="both"/>
              <w:rPr>
                <w:b/>
                <w:bCs/>
                <w:sz w:val="22"/>
                <w:szCs w:val="22"/>
                <w:lang w:val="sr-Latn-ME"/>
              </w:rPr>
            </w:pPr>
            <w:r w:rsidRPr="00E07BBD">
              <w:rPr>
                <w:b/>
                <w:bCs/>
                <w:sz w:val="22"/>
                <w:szCs w:val="22"/>
                <w:lang w:val="sr-Latn-ME"/>
              </w:rPr>
              <w:t>Gemcitabin + Cisplatin</w:t>
            </w:r>
          </w:p>
        </w:tc>
        <w:tc>
          <w:tcPr>
            <w:tcW w:w="1559" w:type="dxa"/>
            <w:vMerge/>
          </w:tcPr>
          <w:p w:rsidR="00E07BBD" w:rsidRPr="00E07BBD" w:rsidRDefault="00E07BBD" w:rsidP="00C42D32">
            <w:pPr>
              <w:autoSpaceDE w:val="0"/>
              <w:autoSpaceDN w:val="0"/>
              <w:adjustRightInd w:val="0"/>
              <w:jc w:val="both"/>
              <w:rPr>
                <w:rFonts w:eastAsia="TimesNewRoman"/>
                <w:b/>
                <w:bCs/>
                <w:sz w:val="22"/>
                <w:szCs w:val="22"/>
                <w:lang w:val="sr-Latn-ME"/>
              </w:rPr>
            </w:pPr>
          </w:p>
        </w:tc>
        <w:tc>
          <w:tcPr>
            <w:tcW w:w="1638" w:type="dxa"/>
            <w:vMerge/>
          </w:tcPr>
          <w:p w:rsidR="00E07BBD" w:rsidRPr="00E07BBD" w:rsidRDefault="00E07BBD" w:rsidP="00C42D32">
            <w:pPr>
              <w:autoSpaceDE w:val="0"/>
              <w:autoSpaceDN w:val="0"/>
              <w:adjustRightInd w:val="0"/>
              <w:jc w:val="both"/>
              <w:rPr>
                <w:rFonts w:eastAsia="TimesNewRoman"/>
                <w:b/>
                <w:bCs/>
                <w:sz w:val="22"/>
                <w:szCs w:val="22"/>
                <w:lang w:val="sr-Latn-ME"/>
              </w:rPr>
            </w:pPr>
          </w:p>
        </w:tc>
      </w:tr>
      <w:tr w:rsidR="00E07BBD" w:rsidRPr="00E07BBD" w:rsidTr="00350968">
        <w:tc>
          <w:tcPr>
            <w:tcW w:w="226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ITT populacija</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 = 1725)</w:t>
            </w:r>
          </w:p>
        </w:tc>
        <w:tc>
          <w:tcPr>
            <w:tcW w:w="141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10,3</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(9,8 – 11,2)</w:t>
            </w:r>
          </w:p>
        </w:tc>
        <w:tc>
          <w:tcPr>
            <w:tcW w:w="850" w:type="dxa"/>
          </w:tcPr>
          <w:p w:rsidR="00E07BBD" w:rsidRPr="00E07BBD" w:rsidRDefault="00E07BBD" w:rsidP="00C42D32">
            <w:pPr>
              <w:autoSpaceDE w:val="0"/>
              <w:autoSpaceDN w:val="0"/>
              <w:adjustRightInd w:val="0"/>
              <w:jc w:val="both"/>
              <w:rPr>
                <w:rFonts w:eastAsia="TimesNewRoman"/>
                <w:b/>
                <w:bCs/>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N=862</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10,3</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(9,6 – 10,9)</w:t>
            </w:r>
          </w:p>
        </w:tc>
        <w:tc>
          <w:tcPr>
            <w:tcW w:w="851"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N=863</w:t>
            </w:r>
          </w:p>
        </w:tc>
        <w:tc>
          <w:tcPr>
            <w:tcW w:w="1559"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0,94</w:t>
            </w:r>
            <w:r w:rsidRPr="00E07BBD">
              <w:rPr>
                <w:rFonts w:eastAsia="TimesNewRoman"/>
                <w:sz w:val="22"/>
                <w:szCs w:val="22"/>
                <w:vertAlign w:val="superscript"/>
                <w:lang w:val="sr-Latn-ME"/>
              </w:rPr>
              <w:t>a</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(0,84 – 1,05)</w:t>
            </w:r>
          </w:p>
        </w:tc>
        <w:tc>
          <w:tcPr>
            <w:tcW w:w="1638"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0,259</w:t>
            </w:r>
          </w:p>
        </w:tc>
      </w:tr>
      <w:tr w:rsidR="00E07BBD" w:rsidRPr="00E07BBD" w:rsidTr="00350968">
        <w:tc>
          <w:tcPr>
            <w:tcW w:w="226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Adenokarcinom</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(N=847)</w:t>
            </w:r>
          </w:p>
        </w:tc>
        <w:tc>
          <w:tcPr>
            <w:tcW w:w="1418" w:type="dxa"/>
          </w:tcPr>
          <w:p w:rsidR="00E07BBD" w:rsidRPr="00E07BBD" w:rsidRDefault="00E07BBD" w:rsidP="00350968">
            <w:pPr>
              <w:autoSpaceDE w:val="0"/>
              <w:autoSpaceDN w:val="0"/>
              <w:adjustRightInd w:val="0"/>
              <w:rPr>
                <w:rFonts w:eastAsia="TimesNewRoman"/>
                <w:sz w:val="22"/>
                <w:szCs w:val="22"/>
                <w:lang w:val="sr-Latn-ME"/>
              </w:rPr>
            </w:pPr>
            <w:r w:rsidRPr="00E07BBD">
              <w:rPr>
                <w:rFonts w:eastAsia="TimesNewRoman"/>
                <w:sz w:val="22"/>
                <w:szCs w:val="22"/>
                <w:lang w:val="sr-Latn-ME"/>
              </w:rPr>
              <w:t>12,6</w:t>
            </w:r>
          </w:p>
          <w:p w:rsidR="00E07BBD" w:rsidRPr="00E07BBD" w:rsidRDefault="00350968" w:rsidP="00350968">
            <w:pPr>
              <w:autoSpaceDE w:val="0"/>
              <w:autoSpaceDN w:val="0"/>
              <w:adjustRightInd w:val="0"/>
              <w:rPr>
                <w:rFonts w:eastAsia="TimesNewRoman"/>
                <w:b/>
                <w:bCs/>
                <w:sz w:val="22"/>
                <w:szCs w:val="22"/>
                <w:lang w:val="sr-Latn-ME"/>
              </w:rPr>
            </w:pPr>
            <w:r>
              <w:rPr>
                <w:rFonts w:eastAsia="TimesNewRoman"/>
                <w:sz w:val="22"/>
                <w:szCs w:val="22"/>
                <w:lang w:val="sr-Latn-ME"/>
              </w:rPr>
              <w:t>(10,7 - 1</w:t>
            </w:r>
            <w:r w:rsidR="00E07BBD" w:rsidRPr="00E07BBD">
              <w:rPr>
                <w:rFonts w:eastAsia="TimesNewRoman"/>
                <w:sz w:val="22"/>
                <w:szCs w:val="22"/>
                <w:lang w:val="sr-Latn-ME"/>
              </w:rPr>
              <w:t>3,6)</w:t>
            </w:r>
          </w:p>
        </w:tc>
        <w:tc>
          <w:tcPr>
            <w:tcW w:w="850"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N=436</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10,9</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(10,2 – 11,9</w:t>
            </w:r>
          </w:p>
        </w:tc>
        <w:tc>
          <w:tcPr>
            <w:tcW w:w="851"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N=411</w:t>
            </w:r>
          </w:p>
        </w:tc>
        <w:tc>
          <w:tcPr>
            <w:tcW w:w="1559" w:type="dxa"/>
          </w:tcPr>
          <w:p w:rsidR="00E07BBD" w:rsidRPr="00E07BBD" w:rsidRDefault="00E07BBD" w:rsidP="00C42D32">
            <w:pPr>
              <w:autoSpaceDE w:val="0"/>
              <w:autoSpaceDN w:val="0"/>
              <w:adjustRightInd w:val="0"/>
              <w:jc w:val="both"/>
              <w:rPr>
                <w:rFonts w:eastAsia="TimesNewRoman"/>
                <w:b/>
                <w:bCs/>
                <w:sz w:val="22"/>
                <w:szCs w:val="22"/>
                <w:lang w:val="sr-Latn-ME"/>
              </w:rPr>
            </w:pPr>
          </w:p>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0,84</w:t>
            </w: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(0,71–0,99)</w:t>
            </w:r>
          </w:p>
        </w:tc>
        <w:tc>
          <w:tcPr>
            <w:tcW w:w="1638" w:type="dxa"/>
          </w:tcPr>
          <w:p w:rsidR="00E07BBD" w:rsidRPr="00E07BBD" w:rsidRDefault="00E07BBD" w:rsidP="00C42D32">
            <w:pPr>
              <w:autoSpaceDE w:val="0"/>
              <w:autoSpaceDN w:val="0"/>
              <w:adjustRightInd w:val="0"/>
              <w:jc w:val="both"/>
              <w:rPr>
                <w:rFonts w:eastAsia="TimesNewRoman"/>
                <w:b/>
                <w:bCs/>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0,033</w:t>
            </w:r>
          </w:p>
        </w:tc>
      </w:tr>
      <w:tr w:rsidR="00E07BBD" w:rsidRPr="00E07BBD" w:rsidTr="00350968">
        <w:tc>
          <w:tcPr>
            <w:tcW w:w="226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Karcinom velikih ćelija</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(N=153)</w:t>
            </w:r>
          </w:p>
        </w:tc>
        <w:tc>
          <w:tcPr>
            <w:tcW w:w="141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10,4</w:t>
            </w: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(8,6 – 14,1)</w:t>
            </w:r>
          </w:p>
        </w:tc>
        <w:tc>
          <w:tcPr>
            <w:tcW w:w="850"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N=76</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6,7</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(5,5 – 9,0)</w:t>
            </w:r>
          </w:p>
        </w:tc>
        <w:tc>
          <w:tcPr>
            <w:tcW w:w="851"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N=77</w:t>
            </w:r>
          </w:p>
        </w:tc>
        <w:tc>
          <w:tcPr>
            <w:tcW w:w="1559"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0,67</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(0,48–0,96)</w:t>
            </w:r>
          </w:p>
        </w:tc>
        <w:tc>
          <w:tcPr>
            <w:tcW w:w="1638"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0,027</w:t>
            </w:r>
          </w:p>
        </w:tc>
      </w:tr>
      <w:tr w:rsidR="00E07BBD" w:rsidRPr="00E07BBD" w:rsidTr="00350968">
        <w:tc>
          <w:tcPr>
            <w:tcW w:w="226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Ostali</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(N=252)</w:t>
            </w:r>
          </w:p>
        </w:tc>
        <w:tc>
          <w:tcPr>
            <w:tcW w:w="141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8,6</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(6,8 – 10,2)</w:t>
            </w:r>
          </w:p>
        </w:tc>
        <w:tc>
          <w:tcPr>
            <w:tcW w:w="850"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N=106</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9,2</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(8,1 – 10,6)</w:t>
            </w:r>
          </w:p>
        </w:tc>
        <w:tc>
          <w:tcPr>
            <w:tcW w:w="851"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N=146</w:t>
            </w:r>
          </w:p>
        </w:tc>
        <w:tc>
          <w:tcPr>
            <w:tcW w:w="1559"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1,08</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(0,81–1,45)</w:t>
            </w:r>
          </w:p>
        </w:tc>
        <w:tc>
          <w:tcPr>
            <w:tcW w:w="1638"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0,586</w:t>
            </w:r>
          </w:p>
        </w:tc>
      </w:tr>
      <w:tr w:rsidR="00E07BBD" w:rsidRPr="00E07BBD" w:rsidTr="00350968">
        <w:tc>
          <w:tcPr>
            <w:tcW w:w="2263"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Karcinom skvamoznih</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ćelija (N=473)</w:t>
            </w:r>
          </w:p>
        </w:tc>
        <w:tc>
          <w:tcPr>
            <w:tcW w:w="1418"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9,4</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(8,4 – 10,2)</w:t>
            </w:r>
          </w:p>
        </w:tc>
        <w:tc>
          <w:tcPr>
            <w:tcW w:w="850" w:type="dxa"/>
          </w:tcPr>
          <w:p w:rsidR="00E07BBD" w:rsidRPr="00E07BBD" w:rsidRDefault="00E07BBD" w:rsidP="00C42D32">
            <w:pPr>
              <w:autoSpaceDE w:val="0"/>
              <w:autoSpaceDN w:val="0"/>
              <w:adjustRightInd w:val="0"/>
              <w:jc w:val="both"/>
              <w:rPr>
                <w:rFonts w:eastAsia="TimesNewRoman"/>
                <w:b/>
                <w:bCs/>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N=244</w:t>
            </w:r>
          </w:p>
        </w:tc>
        <w:tc>
          <w:tcPr>
            <w:tcW w:w="1276"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10,8</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(9,5 – 12,1)</w:t>
            </w:r>
          </w:p>
        </w:tc>
        <w:tc>
          <w:tcPr>
            <w:tcW w:w="851" w:type="dxa"/>
          </w:tcPr>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N=229</w:t>
            </w:r>
          </w:p>
        </w:tc>
        <w:tc>
          <w:tcPr>
            <w:tcW w:w="1559" w:type="dxa"/>
          </w:tcPr>
          <w:p w:rsidR="00E07BBD" w:rsidRPr="00E07BBD" w:rsidRDefault="00E07BBD" w:rsidP="00C42D32">
            <w:pPr>
              <w:autoSpaceDE w:val="0"/>
              <w:autoSpaceDN w:val="0"/>
              <w:adjustRightInd w:val="0"/>
              <w:jc w:val="both"/>
              <w:rPr>
                <w:rFonts w:eastAsia="TimesNewRoman"/>
                <w:sz w:val="22"/>
                <w:szCs w:val="22"/>
                <w:lang w:val="sr-Latn-ME"/>
              </w:rPr>
            </w:pPr>
            <w:r w:rsidRPr="00E07BBD">
              <w:rPr>
                <w:rFonts w:eastAsia="TimesNewRoman"/>
                <w:sz w:val="22"/>
                <w:szCs w:val="22"/>
                <w:lang w:val="sr-Latn-ME"/>
              </w:rPr>
              <w:t>1,23</w:t>
            </w:r>
          </w:p>
          <w:p w:rsidR="00E07BBD" w:rsidRPr="00E07BBD" w:rsidRDefault="00E07BBD" w:rsidP="00C42D32">
            <w:pPr>
              <w:autoSpaceDE w:val="0"/>
              <w:autoSpaceDN w:val="0"/>
              <w:adjustRightInd w:val="0"/>
              <w:jc w:val="both"/>
              <w:rPr>
                <w:rFonts w:eastAsia="TimesNewRoman"/>
                <w:b/>
                <w:bCs/>
                <w:sz w:val="22"/>
                <w:szCs w:val="22"/>
                <w:lang w:val="sr-Latn-ME"/>
              </w:rPr>
            </w:pPr>
            <w:r w:rsidRPr="00E07BBD">
              <w:rPr>
                <w:rFonts w:eastAsia="TimesNewRoman"/>
                <w:sz w:val="22"/>
                <w:szCs w:val="22"/>
                <w:lang w:val="sr-Latn-ME"/>
              </w:rPr>
              <w:t>(1,00–1,51)</w:t>
            </w:r>
          </w:p>
        </w:tc>
        <w:tc>
          <w:tcPr>
            <w:tcW w:w="1638" w:type="dxa"/>
          </w:tcPr>
          <w:p w:rsidR="00E07BBD" w:rsidRPr="00E07BBD" w:rsidRDefault="00E07BBD" w:rsidP="00C42D32">
            <w:pPr>
              <w:autoSpaceDE w:val="0"/>
              <w:autoSpaceDN w:val="0"/>
              <w:adjustRightInd w:val="0"/>
              <w:jc w:val="both"/>
              <w:rPr>
                <w:rFonts w:eastAsia="TimesNewRoman"/>
                <w:b/>
                <w:bCs/>
                <w:sz w:val="22"/>
                <w:szCs w:val="22"/>
                <w:lang w:val="sr-Latn-ME"/>
              </w:rPr>
            </w:pPr>
          </w:p>
          <w:p w:rsidR="00E07BBD" w:rsidRPr="00E07BBD" w:rsidRDefault="00E07BBD" w:rsidP="00C42D32">
            <w:pPr>
              <w:tabs>
                <w:tab w:val="left" w:pos="284"/>
              </w:tabs>
              <w:jc w:val="both"/>
              <w:rPr>
                <w:rFonts w:eastAsia="TimesNewRoman"/>
                <w:sz w:val="22"/>
                <w:szCs w:val="22"/>
                <w:lang w:val="sr-Latn-ME"/>
              </w:rPr>
            </w:pPr>
            <w:r w:rsidRPr="00E07BBD">
              <w:rPr>
                <w:rFonts w:eastAsia="TimesNewRoman"/>
                <w:sz w:val="22"/>
                <w:szCs w:val="22"/>
                <w:lang w:val="sr-Latn-ME"/>
              </w:rPr>
              <w:t>0,050</w:t>
            </w:r>
          </w:p>
        </w:tc>
      </w:tr>
    </w:tbl>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Cs/>
          <w:lang w:val="sr-Latn-ME"/>
        </w:rPr>
      </w:pPr>
      <w:r w:rsidRPr="00E07BBD">
        <w:rPr>
          <w:rFonts w:ascii="Times New Roman" w:eastAsia="TimesNewRoman" w:hAnsi="Times New Roman" w:cs="Times New Roman"/>
          <w:iCs/>
          <w:lang w:val="sr-Latn-ME"/>
        </w:rPr>
        <w:t>Skraćenice: CI (</w:t>
      </w:r>
      <w:r w:rsidRPr="00E07BBD">
        <w:rPr>
          <w:rFonts w:ascii="Times New Roman" w:eastAsia="TimesNewRoman" w:hAnsi="Times New Roman" w:cs="Times New Roman"/>
          <w:i/>
          <w:iCs/>
          <w:lang w:val="sr-Latn-ME"/>
        </w:rPr>
        <w:t>confidence interval</w:t>
      </w:r>
      <w:r w:rsidRPr="00E07BBD">
        <w:rPr>
          <w:rFonts w:ascii="Times New Roman" w:eastAsia="TimesNewRoman" w:hAnsi="Times New Roman" w:cs="Times New Roman"/>
          <w:iCs/>
          <w:lang w:val="sr-Latn-ME"/>
        </w:rPr>
        <w:t xml:space="preserve">) - interval pouzdanosti; ITT (engl. </w:t>
      </w:r>
      <w:r w:rsidRPr="00E07BBD">
        <w:rPr>
          <w:rFonts w:ascii="Times New Roman" w:eastAsia="TimesNewRoman" w:hAnsi="Times New Roman" w:cs="Times New Roman"/>
          <w:i/>
          <w:iCs/>
          <w:lang w:val="sr-Latn-ME"/>
        </w:rPr>
        <w:t>intent to treat</w:t>
      </w:r>
      <w:r w:rsidRPr="00E07BBD">
        <w:rPr>
          <w:rFonts w:ascii="Times New Roman" w:eastAsia="TimesNewRoman" w:hAnsi="Times New Roman" w:cs="Times New Roman"/>
          <w:iCs/>
          <w:lang w:val="sr-Latn-ME"/>
        </w:rPr>
        <w:t>) – populacija svih uključenih pacijenata; n – ukupan broj pacijenata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Cs/>
          <w:lang w:val="sr-Latn-ME"/>
        </w:rPr>
      </w:pPr>
      <w:r w:rsidRPr="00E07BBD">
        <w:rPr>
          <w:rFonts w:ascii="Times New Roman" w:eastAsia="TimesNewRoman" w:hAnsi="Times New Roman" w:cs="Times New Roman"/>
          <w:vertAlign w:val="superscript"/>
          <w:lang w:val="sr-Latn-ME"/>
        </w:rPr>
        <w:t>a</w:t>
      </w:r>
      <w:r w:rsidRPr="00E07BBD">
        <w:rPr>
          <w:rFonts w:ascii="Times New Roman" w:eastAsia="TimesNewRoman" w:hAnsi="Times New Roman" w:cs="Times New Roman"/>
          <w:lang w:val="sr-Latn-ME"/>
        </w:rPr>
        <w:t xml:space="preserve"> </w:t>
      </w:r>
      <w:r w:rsidRPr="00E07BBD">
        <w:rPr>
          <w:rFonts w:ascii="Times New Roman" w:eastAsia="TimesNewRoman" w:hAnsi="Times New Roman" w:cs="Times New Roman"/>
          <w:iCs/>
          <w:lang w:val="sr-Latn-ME"/>
        </w:rPr>
        <w:t>Statistički značajno za neinferiornost, sa cijelim intervalom pouzdanosti za HR daleko ispod 1,17645 granice neinferiornosti (p &lt;0,001).</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Kaplan Meier-ove krive ukupnog preživljavanja prema histološkom tipu tumora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r w:rsidRPr="00E07BBD">
        <w:rPr>
          <w:rFonts w:ascii="Times New Roman" w:eastAsia="TimesNewRoman" w:hAnsi="Times New Roman" w:cs="Times New Roman"/>
          <w:b/>
          <w:bCs/>
          <w:noProof/>
          <w:color w:val="FF0000"/>
        </w:rPr>
        <w:drawing>
          <wp:inline distT="0" distB="0" distL="0" distR="0" wp14:anchorId="38230EDF" wp14:editId="33FE43C6">
            <wp:extent cx="6358890" cy="28778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358890" cy="2877820"/>
                    </a:xfrm>
                    <a:prstGeom prst="rect">
                      <a:avLst/>
                    </a:prstGeom>
                    <a:noFill/>
                  </pic:spPr>
                </pic:pic>
              </a:graphicData>
            </a:graphic>
          </wp:inline>
        </w:drawing>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p w:rsid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Nisu uočene klinički značajne razlike u bezbjednosnom profilu kombinacije pemetreksed+cisplatin u okviru podgrupa prema histološkom tipu.</w:t>
      </w:r>
    </w:p>
    <w:p w:rsidR="00186D32" w:rsidRDefault="00186D32" w:rsidP="00C42D32">
      <w:pPr>
        <w:autoSpaceDE w:val="0"/>
        <w:autoSpaceDN w:val="0"/>
        <w:adjustRightInd w:val="0"/>
        <w:spacing w:after="0" w:line="240" w:lineRule="auto"/>
        <w:jc w:val="both"/>
        <w:rPr>
          <w:rFonts w:ascii="Times New Roman" w:eastAsia="TimesNewRoman" w:hAnsi="Times New Roman" w:cs="Times New Roman"/>
          <w:lang w:val="sr-Latn-ME"/>
        </w:rPr>
      </w:pPr>
    </w:p>
    <w:p w:rsidR="00186D32" w:rsidRPr="00E07BBD" w:rsidRDefault="00186D32"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Pacijentima liječenim kombinacijom pemetreksed+cisplatin su rjeđe bile potrebne transfuzije (16,4% u odnosu na 28,9%, p&lt;0,001), transfuzije eritrocita (16,1% u odnosu na 27,3%, p&lt;0,001) i transfuzije trombocita (1,8% u odnosu na 4,5%, p=0,002). Tim pacijentima takođe je rjeđe bila potrebna primjena eritropoetina/darbopoetina (10,4% u odnosu na 18,1%, p&lt;0,001), G-CSF/GM-CSF (3,1% u odnosu na 6,1%, p=0,004) i preparata gvožđa (4,3% u odnosu na 7,0%, p=0,021).</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i/>
          <w:i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i/>
          <w:iCs/>
          <w:lang w:val="sr-Latn-ME"/>
        </w:rPr>
      </w:pPr>
      <w:r w:rsidRPr="00E07BBD">
        <w:rPr>
          <w:rFonts w:ascii="Times New Roman" w:eastAsia="TimesNewRoman" w:hAnsi="Times New Roman" w:cs="Times New Roman"/>
          <w:b/>
          <w:bCs/>
          <w:i/>
          <w:iCs/>
          <w:lang w:val="sr-Latn-ME"/>
        </w:rPr>
        <w:t xml:space="preserve">Nemikrocelularni karcinom pluća </w:t>
      </w:r>
      <w:r w:rsidRPr="00E07BBD">
        <w:rPr>
          <w:rFonts w:ascii="Times New Roman" w:eastAsia="TimesNewRoman" w:hAnsi="Times New Roman" w:cs="Times New Roman"/>
          <w:b/>
          <w:bCs/>
          <w:lang w:val="sr-Latn-ME"/>
        </w:rPr>
        <w:t xml:space="preserve">(NSCLC), </w:t>
      </w:r>
      <w:r w:rsidRPr="00E07BBD">
        <w:rPr>
          <w:rFonts w:ascii="Times New Roman" w:eastAsia="TimesNewRoman" w:hAnsi="Times New Roman" w:cs="Times New Roman"/>
          <w:b/>
          <w:bCs/>
          <w:i/>
          <w:iCs/>
          <w:lang w:val="sr-Latn-ME"/>
        </w:rPr>
        <w:t>terapija održavanja: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i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iCs/>
          <w:lang w:val="sr-Latn-ME"/>
        </w:rPr>
      </w:pPr>
      <w:r w:rsidRPr="00E07BBD">
        <w:rPr>
          <w:rFonts w:ascii="Times New Roman" w:eastAsia="TimesNewRoman" w:hAnsi="Times New Roman" w:cs="Times New Roman"/>
          <w:i/>
          <w:iCs/>
          <w:lang w:val="sr-Latn-ME"/>
        </w:rPr>
        <w:t>Studija JMEN</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Multicentrično, randomizovano, dvostruko slijepo, placebom kontrolisano ispitivanje faze III (JMEN) upoređivalo je efikasnost i bezbjednost terapije održavanja pemetreksedom uz najbolju suportivnu negu (BSC- engl. </w:t>
      </w:r>
      <w:r w:rsidRPr="00E07BBD">
        <w:rPr>
          <w:rFonts w:ascii="Times New Roman" w:eastAsia="TimesNewRoman" w:hAnsi="Times New Roman" w:cs="Times New Roman"/>
          <w:i/>
          <w:iCs/>
          <w:lang w:val="sr-Latn-ME"/>
        </w:rPr>
        <w:t>best supportive care</w:t>
      </w:r>
      <w:r w:rsidRPr="00E07BBD">
        <w:rPr>
          <w:rFonts w:ascii="Times New Roman" w:eastAsia="TimesNewRoman" w:hAnsi="Times New Roman" w:cs="Times New Roman"/>
          <w:lang w:val="sr-Latn-ME"/>
        </w:rPr>
        <w:t>) (n = 441) u odnosu na efikasnost i bezbjednost primjene placeba uz BSC (n= 222) kod pacijenata sa lokalno uznapredovalim (stadijum IIIB) ili metastatskim (stadijum IV) nemikrocelularnim karcinomom pluća (NSCLC) koji nije napredovao nakon 4 ciklusa prve terapijske linije koja sadrži cisplatin ili karboplatin u kombinaciji sa gemcitabinom, paklitakselom ili docetakselom. Prva terapijska linija sa kombinacijom koja sadrži pemetreksed nije bila uključena. Svi pacijenti uključeni u ovo ispitivanje imali su ECOG performans status 0 ili 1. Pacijenti su primali terapiju održavanja sve do progresije bolesti. Efikasnost i bezbjednost su bili mjereni od vremena randomizacije nakon završetka prve linije terapije (inicijalno liječenje). Pacijenti su prosječno primili 5 ciklusa terapije održavanja lijekom pemetreksed i 3,5 ciklusa placeba. Ukupno 213 pacijenata (48,3%) je završilo ≥ 6 ciklusa, dok su 103 pacijenta (23,4%) završila ≥ 10 ciklusa terapije lijekom pemetreksed.</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Studija je ispunila primarni cilj i pokazala statistički značajno poboljšanje preživljavanja bez progresije bolesti (PFS) u grupi koja je primala pemetreksed u odnosu na placebo (n = 581, nezavisno procijenjena  populacija; prosječno 4,0 mjeseca odnosno 2,0 mjeseca) (odnos rizika = 0,60, 95% CI: 0,49-0,73, p &lt; 0,00001).</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Nezavistan pregled pacijenata je potvrdio nalaze ispitivača koji su se odnosili na procjenu PFS. Prosječno ukupno preživljavanje (OS) za ukupnu populaciju (n=663) je bilo 13,4 u grupi koja je primala pemetreksed i 10,6 mjeseci u grupi na placebu, sa odnosom rizika = 0,79 (95% CI: 0,65-0,95; p=0,01192).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 skladu sa drugim studijama u kojima je ispitivan pemetreksed, i u JMEN studiji je uočena razlika u efikasnosti u zavisnosti od histologije NSCLC. Kod pacijenata sa NSCLC kod kojih nije bila prisutna predominantno skvamozna ćelijska histologija (n=430, nezavisno procijenjena populacija) prosječno PFS je bilo 4,4 mjeseca u grupi koja je primala pemetreksed i 1,8 mjeseci u grupi na placebu, sa odnosom rizika=0,47 (95% CI=0,37-0,60, p=0,00001). Prosječno ukupno preživljavanje (OS) kod pacijenata sa NSCLC kod kojih nije bila prisutna predominantno skvamozna ćelijska histologija (n=481) je bilo 15,5 mjeseci u grupi koja je primala pemetreksed i 10,3 mjeseci u grupi na placebu (sa odnosom rizika = 0,70 (95% CI=: 0,56-0.88, p=0,002).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Uključujući fazu inicijalnog liječenja, prosječan OS kod pacijenata sa NSCLC kod kojih nije bila prisutna predominantno skvamozna ćelijska histologija je bio 18,6 mjeseci u grupi koja je primala pemetreksed i 13,6</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mjeseci u grupi na placebu (sa odnosom rizika = 0,71, 95% CI: 0,56-0,88, p=0,002).</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Rezultati PFS i OS kod pacijenata sa skvamoznom ćelijskom histologijom pokazuju da pemetreksed nema prednosti u odnosu na placebo.</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 okviru podgrupa prema histološkom tipu nije bilo klinički značajnih razlika u bezbjednosnom profilu pemetrekseda.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lastRenderedPageBreak/>
        <w:t>JMEN: Kaplan Meier-ova kriva preživljavanja bez progresije bolesti (PFS) i ukupnog preživljavanja kod primjene pemetrekseda u odnosu na placebo kod pacijenata sa NSCLC kod kojih nije prisutna predominantno skvamozna ćelijska histologija: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r w:rsidRPr="00E07BBD">
        <w:rPr>
          <w:rFonts w:ascii="Times New Roman" w:eastAsia="TimesNewRoman" w:hAnsi="Times New Roman" w:cs="Times New Roman"/>
          <w:noProof/>
          <w:color w:val="FF0000"/>
        </w:rPr>
        <w:drawing>
          <wp:inline distT="0" distB="0" distL="0" distR="0" wp14:anchorId="3C7AD6B3" wp14:editId="4F8B6DB7">
            <wp:extent cx="6120765" cy="2541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lum bright="-20000" contrast="40000"/>
                      <a:extLst>
                        <a:ext uri="{28A0092B-C50C-407E-A947-70E740481C1C}">
                          <a14:useLocalDpi xmlns:a14="http://schemas.microsoft.com/office/drawing/2010/main" val="0"/>
                        </a:ext>
                      </a:extLst>
                    </a:blip>
                    <a:srcRect/>
                    <a:stretch>
                      <a:fillRect/>
                    </a:stretch>
                  </pic:blipFill>
                  <pic:spPr bwMode="auto">
                    <a:xfrm>
                      <a:off x="0" y="0"/>
                      <a:ext cx="6120765" cy="2541270"/>
                    </a:xfrm>
                    <a:prstGeom prst="rect">
                      <a:avLst/>
                    </a:prstGeom>
                    <a:noFill/>
                    <a:ln>
                      <a:noFill/>
                    </a:ln>
                  </pic:spPr>
                </pic:pic>
              </a:graphicData>
            </a:graphic>
          </wp:inline>
        </w:drawing>
      </w:r>
    </w:p>
    <w:p w:rsidR="00E07BBD" w:rsidRDefault="00E07BBD" w:rsidP="00C42D32">
      <w:pPr>
        <w:autoSpaceDE w:val="0"/>
        <w:autoSpaceDN w:val="0"/>
        <w:adjustRightInd w:val="0"/>
        <w:spacing w:after="0" w:line="240" w:lineRule="auto"/>
        <w:jc w:val="both"/>
        <w:rPr>
          <w:rFonts w:ascii="Times New Roman" w:eastAsia="TimesNewRoman" w:hAnsi="Times New Roman" w:cs="Times New Roman"/>
          <w:i/>
          <w:iCs/>
          <w:lang w:val="sr-Latn-ME"/>
        </w:rPr>
      </w:pPr>
      <w:r w:rsidRPr="00E07BBD">
        <w:rPr>
          <w:rFonts w:ascii="Times New Roman" w:eastAsia="TimesNewRoman" w:hAnsi="Times New Roman" w:cs="Times New Roman"/>
          <w:i/>
          <w:iCs/>
          <w:lang w:val="sr-Latn-ME"/>
        </w:rPr>
        <w:t>Studija PARAMOUNT</w:t>
      </w:r>
    </w:p>
    <w:p w:rsidR="0044338B" w:rsidRPr="00E07BBD" w:rsidRDefault="0044338B" w:rsidP="00C42D32">
      <w:pPr>
        <w:autoSpaceDE w:val="0"/>
        <w:autoSpaceDN w:val="0"/>
        <w:adjustRightInd w:val="0"/>
        <w:spacing w:after="0" w:line="240" w:lineRule="auto"/>
        <w:jc w:val="both"/>
        <w:rPr>
          <w:rFonts w:ascii="Times New Roman" w:eastAsia="TimesNewRoman" w:hAnsi="Times New Roman" w:cs="Times New Roman"/>
          <w:i/>
          <w:i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Multicentrična, randomizovana, dvostruko slijepa, placebo-kontrolisana studija faze III (PARAMOUNT), upoređivala je efikasnost i bezbjednost terapije održavanja pemetreksedom u kombinaciji sa BSC (n=359) u odnosu na  efikasnost i bezbjednost primjene placeba u kombinaciji sa BSC (n=180) kod pacijenata sa lokalno uznapredovalim (stadijum IIIB) ili metastatskim (stadijum IV) NSCLC koji nije predominantno skvamozne ćelijske histologije, kod kojih bolest nije napredovala nakon 4 ciklusa prve linije dvojne terapije pemetreksedom u kombinaciji sa cisplatinom. Od 939 pacijenata kod kojih je započeta terapija pemetreksed + cisplatin, 539 pacijenata je randomizovano na terapiju održavanja sa pemetreksedom ili placebom. 44,9% svih randomizovanih pacijenata je imalo kompletan/parcijalan odgovor na inicijalno liječenje pemetreksedom u kombinaciji sa cisplatinom, a kod 51,9% odgovor je bio stabilizacija bolesti primjenom kombinacije pemetreksed plus cisplatin. Pacijenti randomizovani na terapiju održavanja su morali da imaju ECOG status 0 ili 1. Srednje vrijeme od početka terapije pemetreksed + cisplatin, do početka terapije održavanja je bilo 2,96 mjeseci, kako u grupi sa pemetreksedom, tako i u grupi koja je primala placebo.</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Randomizovani pacijenti su primali terapiju održavanja do progresije bolesti. Efikasnost i bezbjednost su mjereni od momenta randomizacije nakon završetka prve linije terapije (inicijalnog liječenja). Pacijenti su prosječno primili 4 ciklusa terapije održavanja pemetreksedom kao i 4 ciklusa sa placebom. Ukupno 169 pacijenata (47,1%) je završilo ≥6 ciklusa terapije održavanja pemetreksedom, što znači da su primili najmanje 10 ciklusa lijeka pemetreksed.</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Studija je ostvarila primarni cilj i pokazala statistički značajno poboljšanje PFS u grupi koja je primala pemetreksed u odnosu na placebo (n=472, nezavisno pregledana populacija; medijana od 3,9 mjeseci u odnosu na 2,6 mjeseci, datim redoslijedom) (odnos rizika=0,64, 95% CI=0,51-0,81, p=0,0002). Nezavistan pregled rezultata snimaka kod pacijenata je potvrdio zaključke istraživača o procjeni PFS. Kod randomizovanih pacijenata, mjereno od početka prve linije inicijalnog liječenja kombinacijom pemetreksed plus cisplatin, srednje vrijeme PFS je prema procjeni istraživača bilo 6,9 mjeseci u grupi koja je primala pemetreksed, a 5,6 mjeseci u grupi koja je primala placebo (odnos rizika=0,59, 95% CI=0,47-0,74).</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lastRenderedPageBreak/>
        <w:t>Nakon uvodne terapije pemetreksedom i cisplatinomom (4 ciklusa), terapija pemetreksedom je bila statistički superiorna u odnosu na placebo u pogledu ukupnog perioda preživljavanja (OS) (prosječno 13,9 mjeseci u odnosu na 11,0 mjeseci, odnos rizika=0,78, 95% CI=0,64-0,96, p=0,0195).</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U vrijeme kada je urađena finalna analiza preživljavanja, 28,7% pacijenata koji su primali pemetreksed je bilo živo ili bez naknadnog praćenja u odnosu na 21,7% pacijenata u placebo grupi.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Relativni efekat terapije pemetreksedom je bio konzistentan interno među podgrupama (uključujući stadijum</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bolesti, odgovor na indukciju, ECOG PS, pušački status, pol, histologiju i starost) i sličan onom koji je primijećen u analizama ukupnog preživljavanja i preživljavanja bez progresije bolesti. Jednogodišnji i dvogodišnji stepen preživljavanja kod pacijenata na terapiji pemetreksedom je bio 58% i 32%, datim redoslijedom, u poređenju sa 45% i 21% kod pacijenata na placebu. Od početka prve linije uvodne terapije pemetreksed plus cisplatin, prosječna vrijednost OS kod pacijenata je bila 16,9 mjeseci u grupi koja je primala pemetreksed i 14,0 mjeseci u grupi koja je primala placebo (odnos rizika=0,78, 95% CI=0,64-0,96). Procenat pacijenata koji je dobio terapiju nakon završetka studije je bio 64,3% u grupi koja je primala pemetreksed, a 71,7% u grupi koja je primala placebo.</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PARAMOUNT: Kaplan Meier-ova kriva preživljavanja bez progresije bolesti (PFS) i ukupnog preživljavanja (OS) za nastavak terapije održavanja lijekom pemetreksed u odnosu na placebo kod pacijenata sa NSCLC kod kojih nije prisutna predominantno skvamozna ćelijska histologija (mjerena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od randomizacije):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r w:rsidRPr="00E07BBD">
        <w:rPr>
          <w:rFonts w:ascii="Times New Roman" w:eastAsia="TimesNewRoman" w:hAnsi="Times New Roman" w:cs="Times New Roman"/>
          <w:b/>
          <w:bCs/>
          <w:noProof/>
          <w:color w:val="FF0000"/>
        </w:rPr>
        <w:drawing>
          <wp:inline distT="0" distB="0" distL="0" distR="0" wp14:anchorId="32FCD368" wp14:editId="28471307">
            <wp:extent cx="6120765" cy="2411853"/>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6120765" cy="2411853"/>
                    </a:xfrm>
                    <a:prstGeom prst="rect">
                      <a:avLst/>
                    </a:prstGeom>
                    <a:noFill/>
                    <a:ln>
                      <a:noFill/>
                    </a:ln>
                  </pic:spPr>
                </pic:pic>
              </a:graphicData>
            </a:graphic>
          </wp:inline>
        </w:drawing>
      </w:r>
    </w:p>
    <w:p w:rsidR="00E07BBD" w:rsidRPr="00E07BBD" w:rsidRDefault="00E07BBD" w:rsidP="00C42D32">
      <w:pPr>
        <w:tabs>
          <w:tab w:val="left" w:pos="5991"/>
        </w:tabs>
        <w:autoSpaceDE w:val="0"/>
        <w:autoSpaceDN w:val="0"/>
        <w:adjustRightInd w:val="0"/>
        <w:spacing w:after="0" w:line="240" w:lineRule="auto"/>
        <w:jc w:val="both"/>
        <w:rPr>
          <w:rFonts w:ascii="Times New Roman" w:eastAsia="TimesNewRoman" w:hAnsi="Times New Roman" w:cs="Times New Roman"/>
          <w:b/>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Bezbjednosni profili pemetrekseda u terapiji održavanja u studijama JMEN i PARAMOUNT su bili slični.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5.2. Farmakokinetički podaci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Farmakokinetička svojstva pemetrekseda kao monoterapije su procjenjivana kod 426 onkoloških pacijenata sa različitim solidnim karcinomima; ispitivane su doze u rasponu od 0,2 do 838 mg/m</w:t>
      </w:r>
      <w:r w:rsidRPr="00E07BBD">
        <w:rPr>
          <w:rFonts w:ascii="Times New Roman" w:eastAsia="TimesNewRoman" w:hAnsi="Times New Roman" w:cs="Times New Roman"/>
          <w:vertAlign w:val="superscript"/>
          <w:lang w:val="sr-Latn-ME"/>
        </w:rPr>
        <w:t>2</w:t>
      </w:r>
      <w:r w:rsidRPr="00E07BBD">
        <w:rPr>
          <w:rFonts w:ascii="Times New Roman" w:eastAsia="TimesNewRoman" w:hAnsi="Times New Roman" w:cs="Times New Roman"/>
          <w:lang w:val="sr-Latn-ME"/>
        </w:rPr>
        <w:t>, primijenjene u obliku infuzije tokom 10 minuta. Volumen distribucije pemetrekseda u stanju dinamičke ravnoteže je 9 l/m</w:t>
      </w:r>
      <w:r w:rsidRPr="00E07BBD">
        <w:rPr>
          <w:rFonts w:ascii="Times New Roman" w:eastAsia="TimesNewRoman" w:hAnsi="Times New Roman" w:cs="Times New Roman"/>
          <w:vertAlign w:val="superscript"/>
          <w:lang w:val="sr-Latn-ME"/>
        </w:rPr>
        <w:t>2</w:t>
      </w:r>
      <w:r w:rsidRPr="00E07BBD">
        <w:rPr>
          <w:rFonts w:ascii="Times New Roman" w:eastAsia="TimesNewRoman" w:hAnsi="Times New Roman" w:cs="Times New Roman"/>
          <w:lang w:val="sr-Latn-ME"/>
        </w:rPr>
        <w:t xml:space="preserve">. Ispitivanja </w:t>
      </w:r>
      <w:r w:rsidRPr="00E07BBD">
        <w:rPr>
          <w:rFonts w:ascii="Times New Roman" w:eastAsia="TimesNewRoman" w:hAnsi="Times New Roman" w:cs="Times New Roman"/>
          <w:i/>
          <w:iCs/>
          <w:lang w:val="sr-Latn-ME"/>
        </w:rPr>
        <w:t xml:space="preserve">in vitro </w:t>
      </w:r>
      <w:r w:rsidRPr="00E07BBD">
        <w:rPr>
          <w:rFonts w:ascii="Times New Roman" w:eastAsia="TimesNewRoman" w:hAnsi="Times New Roman" w:cs="Times New Roman"/>
          <w:lang w:val="sr-Latn-ME"/>
        </w:rPr>
        <w:t xml:space="preserve">su ukazala na to da se približno 81% pemetrekseda vezuje za proteine plazme. Na vezivanje ne utiču značajno različiti stepeni oštećenja funkcije bubrega. Pemetreksed se u jetri ograničeno metaboliše. Pemetreksed se eliminiše uglavnom urinom. Tokom prva 24 sata nakon primjene, 70% do 90% primljene doze se izluči urinom u nepromijenjenom obliku. Ispitivanja </w:t>
      </w:r>
      <w:r w:rsidRPr="00E07BBD">
        <w:rPr>
          <w:rFonts w:ascii="Times New Roman" w:eastAsia="TimesNewRoman" w:hAnsi="Times New Roman" w:cs="Times New Roman"/>
          <w:i/>
          <w:iCs/>
          <w:lang w:val="sr-Latn-ME"/>
        </w:rPr>
        <w:t xml:space="preserve">in vitro </w:t>
      </w:r>
      <w:r w:rsidRPr="00E07BBD">
        <w:rPr>
          <w:rFonts w:ascii="Times New Roman" w:eastAsia="TimesNewRoman" w:hAnsi="Times New Roman" w:cs="Times New Roman"/>
          <w:lang w:val="sr-Latn-ME"/>
        </w:rPr>
        <w:t xml:space="preserve">pokazuju da se pemetreksed aktivno izlučuje preko OAT3 (organskog anjonskog transportera). Ukupni sistemski klirens pemetrekseda je 91,8 ml/min, a </w:t>
      </w:r>
      <w:r w:rsidRPr="00E07BBD">
        <w:rPr>
          <w:rFonts w:ascii="Times New Roman" w:eastAsia="TimesNewRoman" w:hAnsi="Times New Roman" w:cs="Times New Roman"/>
          <w:lang w:val="sr-Latn-ME"/>
        </w:rPr>
        <w:lastRenderedPageBreak/>
        <w:t>poluvrijeme eliminacije iz plazme je 3,5 sata kod pacijenata sa normalnom funkcijom bubrega (klirens kreatinina 90 ml/min). Varijabilnost klirensa između pojedinih pacijenata je umjerena i iznosi 19,3%. Ukupna sistemska izloženost pemetreksedu (PIK) i maksimalna koncentracija u plazmi se povećavaju proporcionalno povećanju doze. Farmakokinetika pemetrekseda se ne mijenja tokom višestrukih ciklusa terapije.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Istovremena primjena cisplatina ne utiče na farmakokinetička svojstva pemetrekseda. Na farmakokinetiku pemetrekseda ne utiču ni peroralna primjena folne kiseline, ni intramuskularna nadoknada vitamina B</w:t>
      </w:r>
      <w:r w:rsidRPr="00E07BBD">
        <w:rPr>
          <w:rFonts w:ascii="Times New Roman" w:eastAsia="TimesNewRoman" w:hAnsi="Times New Roman" w:cs="Times New Roman"/>
          <w:vertAlign w:val="subscript"/>
          <w:lang w:val="sr-Latn-ME"/>
        </w:rPr>
        <w:t>12</w:t>
      </w:r>
      <w:r w:rsidRPr="00E07BBD">
        <w:rPr>
          <w:rFonts w:ascii="Times New Roman" w:eastAsia="TimesNewRoman" w:hAnsi="Times New Roman" w:cs="Times New Roman"/>
          <w:lang w:val="sr-Latn-ME"/>
        </w:rPr>
        <w:t>.</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 xml:space="preserve">5.3. Pretklinički podaci o bezbjednosti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Posljedice primjene pemetrekseda kod skotnih ženki miševa bile su smanjeno preživljavanje fetusa, smanjenje težine fetusa, nepotpuno okoštavanje nekih skeletnih struktura i pojava rascjepa nepca.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Primjena pemetrekseda kod mužjaka miševa imala je za posljedicu reproduktivnu toksičnost, koju je karakterisala smanjena plodnost i atrofija testisa. U studiji sprovedenoj na psima rase bigl, nakon primjene intravenske bolus injekcije tokom 9 mjeseci, primijećene su promjene na testisima (degeneracija/nekroza epitela sjemenika). Ovi podaci navode na zaključak da pemetreksed može da ošteti mušku plodnost. Uticaj na plodnost ženki nije obuhvaćen ispitivanjem.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Pemetreksed nije ispoljio mutagene sposobnosti kako u </w:t>
      </w:r>
      <w:r w:rsidRPr="00E07BBD">
        <w:rPr>
          <w:rFonts w:ascii="Times New Roman" w:eastAsia="TimesNewRoman" w:hAnsi="Times New Roman" w:cs="Times New Roman"/>
          <w:i/>
          <w:iCs/>
          <w:lang w:val="sr-Latn-ME"/>
        </w:rPr>
        <w:t xml:space="preserve">in vitro </w:t>
      </w:r>
      <w:r w:rsidRPr="00E07BBD">
        <w:rPr>
          <w:rFonts w:ascii="Times New Roman" w:eastAsia="TimesNewRoman" w:hAnsi="Times New Roman" w:cs="Times New Roman"/>
          <w:lang w:val="sr-Latn-ME"/>
        </w:rPr>
        <w:t xml:space="preserve">testu aberacije hromozoma kod jajnih ćelija kineskog hrčka, tako ni u Amesovom testu. </w:t>
      </w:r>
      <w:r w:rsidRPr="00E07BBD">
        <w:rPr>
          <w:rFonts w:ascii="Times New Roman" w:eastAsia="TimesNewRoman" w:hAnsi="Times New Roman" w:cs="Times New Roman"/>
          <w:i/>
          <w:iCs/>
          <w:lang w:val="sr-Latn-ME"/>
        </w:rPr>
        <w:t xml:space="preserve">In vivo </w:t>
      </w:r>
      <w:r w:rsidRPr="00E07BBD">
        <w:rPr>
          <w:rFonts w:ascii="Times New Roman" w:eastAsia="TimesNewRoman" w:hAnsi="Times New Roman" w:cs="Times New Roman"/>
          <w:lang w:val="sr-Latn-ME"/>
        </w:rPr>
        <w:t>test na mikronukleusu miševa je pokazao klastogeno dejstvo pemetrekseda.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Ispitivanja u cilju procjene kancerogenog potencijala pemetrekseda nisu vršena.</w:t>
      </w:r>
    </w:p>
    <w:p w:rsid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44338B" w:rsidRPr="00E07BBD" w:rsidRDefault="0044338B"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6. FARMACEUTSKI PODACI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6.1. Lista pomoćnih supstanci (ekscipijenasa)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Manitol (E421)</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Hlorovodonična kiselina (E507) (za podešavanje pH vrijednosti);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Natrijum hidroksid (E524) (za podešavanje pH vrijednosti).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6.2. Inkompatibilnosti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Pemetreksed je fizički inkompatibilan sa rastvaračima koji sadrže kalcijum, uključujući laktatni Ringerov rastvor za injekcije i Ringerov rastvor za injekcije. Obzirom na to da ispitivanja kompatibilnosti nema, ovaj lijek se ne smije miješati sa drugim ljekovima.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6.3. Rok upotrebe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Rok upotrebe neotvorene bočice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3 godine</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u w:val="single"/>
          <w:lang w:val="sr-Latn-ME"/>
        </w:rPr>
      </w:pPr>
      <w:r w:rsidRPr="00E07BBD">
        <w:rPr>
          <w:rFonts w:ascii="Times New Roman" w:eastAsia="Times New Roman" w:hAnsi="Times New Roman" w:cs="Times New Roman"/>
          <w:u w:val="single"/>
          <w:lang w:val="sr-Latn-ME"/>
        </w:rPr>
        <w:t xml:space="preserve">Rekonstituisani rastvor i rastvor za infuziju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 New Roman" w:hAnsi="Times New Roman" w:cs="Times New Roman"/>
          <w:lang w:val="sr-Latn-ME"/>
        </w:rPr>
        <w:t>Dokazano je da su rekonstituisani rastvor pemetrekseda i rastvor pemetrekseda za infuziju fizički i hemijski stabilni tokom 24 sata ako se čuvaju na 25°C. Sa mikrobiološkog stanovišta lijek se mora odmah primijeniti. Ako se ne primijeni odmah, vrijeme i uslovi čuvanja lijeka prije primjene odgovornost su korisnika i obično ne bi trebalo da budu duži od 24 sata na temperaturi od 2°C do 8</w:t>
      </w:r>
      <w:r w:rsidRPr="00E07BBD">
        <w:rPr>
          <w:rFonts w:ascii="Times New Roman" w:eastAsia="Times New Roman" w:hAnsi="Times New Roman" w:cs="Times New Roman"/>
          <w:lang w:val="sr-Latn-ME"/>
        </w:rPr>
        <w:sym w:font="Symbol" w:char="F0B0"/>
      </w:r>
      <w:r w:rsidRPr="00E07BBD">
        <w:rPr>
          <w:rFonts w:ascii="Times New Roman" w:eastAsia="Times New Roman" w:hAnsi="Times New Roman" w:cs="Times New Roman"/>
          <w:lang w:val="sr-Latn-ME"/>
        </w:rPr>
        <w:t>C, osim ako rekonstitucija/razblaživanje nije obavljeno u kontrolisanim i validiranim aseptičkim uslovima.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lastRenderedPageBreak/>
        <w:t>6.4. Posebne mjere opreza pri čuvanju lijeka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u w:val="single"/>
          <w:lang w:val="sr-Latn-ME"/>
        </w:rPr>
      </w:pPr>
      <w:r w:rsidRPr="00E07BBD">
        <w:rPr>
          <w:rFonts w:ascii="Times New Roman" w:eastAsia="TimesNewRoman" w:hAnsi="Times New Roman" w:cs="Times New Roman"/>
          <w:u w:val="single"/>
          <w:lang w:val="sr-Latn-ME"/>
        </w:rPr>
        <w:t>Neotvorena bočica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Lijek ne zahtijeva posebne uslove čuvanja.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Za uslove čuvanja nakon rekonstitucije vidjeti odjeljak 6.3.</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6.5. Vrsta i sadržaj pakovanja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 New Roman" w:hAnsi="Times New Roman" w:cs="Times New Roman"/>
          <w:lang w:val="sr-Latn-ME"/>
        </w:rPr>
      </w:pPr>
      <w:r w:rsidRPr="00E07BBD">
        <w:rPr>
          <w:rFonts w:ascii="Times New Roman" w:eastAsia="Times New Roman" w:hAnsi="Times New Roman" w:cs="Times New Roman"/>
          <w:lang w:val="sr-Latn-ME"/>
        </w:rPr>
        <w:t xml:space="preserve">Staklena (tip I) bočica sa sivim čepom od bromobutilne gume sa kraljevski plavim „flip-off“ zatvaračem, koja sadrži 500 mg pemetrekseda.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 New Roman" w:hAnsi="Times New Roman" w:cs="Times New Roman"/>
          <w:lang w:val="sr-Latn-ME"/>
        </w:rPr>
        <w:t>Pakovanje:1 bočica.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lang w:val="sr-Latn-ME"/>
        </w:rPr>
      </w:pPr>
      <w:r w:rsidRPr="00E07BBD">
        <w:rPr>
          <w:rFonts w:ascii="Times New Roman" w:eastAsia="TimesNewRoman" w:hAnsi="Times New Roman" w:cs="Times New Roman"/>
          <w:b/>
          <w:bCs/>
          <w:lang w:val="sr-Latn-ME"/>
        </w:rPr>
        <w:t>6.6. Posebne mjere opreza pri odlaganju materijala koji treba odbaciti nakon primjene lijeka (i druga uputstva za rukovanje lijekom)</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bCs/>
          <w:color w:val="FF0000"/>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1. Tokom rekonstituisanja i daljeg razblaživanja pemetrekseda za primjenu intravenskom infuzijom koristiti aseptični metod.</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2. Izračunati dozu i broj potrebnih bočica lijeka Pemetrexed Accord. Svaka bočica sadrži malo više pemetrekseda da bi se olakšala primjena deklarisane količine lijeka.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 xml:space="preserve">3. Rekonstituisati bočicu od 500 mg sa 20 ml rastvora natrijum hlorida 9 mg/ml (0,9%) bez konzervansa, čime se dobija rastvor koji sadrži 25 mg/ml pemetrekseda. </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b/>
          <w:lang w:val="sr-Latn-ME"/>
        </w:rPr>
      </w:pPr>
      <w:r w:rsidRPr="00E07BBD">
        <w:rPr>
          <w:rFonts w:ascii="Times New Roman" w:eastAsia="Times New Roman" w:hAnsi="Times New Roman" w:cs="Times New Roman"/>
          <w:lang w:val="sr-Latn-ME"/>
        </w:rPr>
        <w:t xml:space="preserve">Svaku bočicu nježno vrtite dok se prašak u potpunosti ne rastvori. Dobijeni rastvor je bistar i u rasponu boja od bezbojne do žute ili zeleno-žute, što ne utiče nepovoljno na kvalitet lijeka. pH rekonstituisanog rastvora je između 6,6 i 7,8. </w:t>
      </w:r>
      <w:r w:rsidRPr="00E07BBD">
        <w:rPr>
          <w:rFonts w:ascii="Times New Roman" w:eastAsia="Times New Roman" w:hAnsi="Times New Roman" w:cs="Times New Roman"/>
          <w:b/>
          <w:lang w:val="sr-Latn-ME"/>
        </w:rPr>
        <w:t>Rastvor se mora dodatno razblažiti.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4. Odgovarajuća količina rekonstituisanog rastvora pemetrekseda se mora dodatno razblažiti dodavanjem rastvora natrijum hlorida za injekcije 9 mg/ml (0,9%) bez konzervansa do ukupne zapremine od 100 ml i primijeniti u obliku intravenske infuzije u trajanju od 10 minuta.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5. Infuzioni rastvori pemetrekseda pripremljeni na opisani način, kompatibilni su sa infuzionim priborom i infuzionim kesama od polivinil hlorida i poliolefina.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6. Ljekovi za parenteralnu primjenu se prije primjene moraju vizuelno prekontrolisati na prisustvo čestica i promjenu boje. Ukoliko se uoče čestice, rastvor se ne smije primijeniti.</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r w:rsidRPr="00E07BBD">
        <w:rPr>
          <w:rFonts w:ascii="Times New Roman" w:eastAsia="TimesNewRoman" w:hAnsi="Times New Roman" w:cs="Times New Roman"/>
          <w:lang w:val="sr-Latn-ME"/>
        </w:rPr>
        <w:t>7. Rastvori pemetrekseda namijenjeni su isključivo za jednokratnu primjenu. Neiskorišćeni lijek ili otpadni materijal moraju se odložiti u skladu sa lokalnim propisima.</w:t>
      </w: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lang w:val="sr-Latn-ME"/>
        </w:rPr>
      </w:pPr>
    </w:p>
    <w:p w:rsidR="00E07BBD" w:rsidRPr="00E07BBD" w:rsidRDefault="00E07BBD" w:rsidP="00C42D32">
      <w:pPr>
        <w:autoSpaceDE w:val="0"/>
        <w:autoSpaceDN w:val="0"/>
        <w:adjustRightInd w:val="0"/>
        <w:spacing w:after="0" w:line="240" w:lineRule="auto"/>
        <w:jc w:val="both"/>
        <w:rPr>
          <w:rFonts w:ascii="Times New Roman" w:eastAsia="TimesNewRoman" w:hAnsi="Times New Roman" w:cs="Times New Roman"/>
          <w:i/>
          <w:iCs/>
          <w:lang w:val="sr-Latn-ME"/>
        </w:rPr>
      </w:pPr>
      <w:r w:rsidRPr="00E07BBD">
        <w:rPr>
          <w:rFonts w:ascii="Times New Roman" w:eastAsia="TimesNewRoman" w:hAnsi="Times New Roman" w:cs="Times New Roman"/>
          <w:iCs/>
          <w:u w:val="single"/>
          <w:lang w:val="sr-Latn-ME"/>
        </w:rPr>
        <w:t>Mjere opreza pri pripremanju i primjeni:</w:t>
      </w:r>
      <w:r w:rsidRPr="00E07BBD">
        <w:rPr>
          <w:rFonts w:ascii="Times New Roman" w:eastAsia="TimesNewRoman" w:hAnsi="Times New Roman" w:cs="Times New Roman"/>
          <w:i/>
          <w:iCs/>
          <w:lang w:val="sr-Latn-ME"/>
        </w:rPr>
        <w:t xml:space="preserve"> </w:t>
      </w:r>
    </w:p>
    <w:p w:rsidR="00E07BBD" w:rsidRPr="00E07BBD" w:rsidRDefault="00E07BBD" w:rsidP="00C42D32">
      <w:pPr>
        <w:tabs>
          <w:tab w:val="left" w:pos="284"/>
        </w:tabs>
        <w:spacing w:after="0" w:line="240" w:lineRule="auto"/>
        <w:jc w:val="both"/>
        <w:rPr>
          <w:rFonts w:ascii="Times New Roman" w:eastAsia="TimesNewRoman" w:hAnsi="Times New Roman" w:cs="Times New Roman"/>
          <w:lang w:val="sr-Latn-ME"/>
        </w:rPr>
      </w:pPr>
    </w:p>
    <w:p w:rsidR="00E07BBD" w:rsidRPr="00E07BBD" w:rsidRDefault="00E07BBD" w:rsidP="00C42D32">
      <w:pPr>
        <w:tabs>
          <w:tab w:val="left" w:pos="284"/>
        </w:tabs>
        <w:spacing w:after="0" w:line="240" w:lineRule="auto"/>
        <w:jc w:val="both"/>
        <w:rPr>
          <w:rFonts w:ascii="Times New Roman" w:eastAsia="Times New Roman" w:hAnsi="Times New Roman" w:cs="Times New Roman"/>
          <w:lang w:val="sr-Latn-ME"/>
        </w:rPr>
      </w:pPr>
      <w:r w:rsidRPr="00E07BBD">
        <w:rPr>
          <w:rFonts w:ascii="Times New Roman" w:eastAsia="Times New Roman" w:hAnsi="Times New Roman" w:cs="Times New Roman"/>
          <w:lang w:val="sr-Latn-ME"/>
        </w:rPr>
        <w:t xml:space="preserve">Kao i kod svih potencijalno toksičnih antikarcinomskih ljekova, treba biti oprezan pri rukovanju i pripremi rastvora pemetrekseda za infuziju. Preporučuje se upotreba rukavica. Ako rastvor pemetrekseda dođe u dodir sa kožom, kožu treba odmah temeljno oprati sapunom i vodom. Ako rastvor pemetrekseda dođe u dodir sa sluznicom, treba je temeljno isprati vodom. Pemetreksed nije vezikant. </w:t>
      </w:r>
      <w:bookmarkStart w:id="0" w:name="_GoBack"/>
      <w:bookmarkEnd w:id="0"/>
      <w:r w:rsidRPr="00E07BBD">
        <w:rPr>
          <w:rFonts w:ascii="Times New Roman" w:eastAsia="Times New Roman" w:hAnsi="Times New Roman" w:cs="Times New Roman"/>
          <w:lang w:val="sr-Latn-ME"/>
        </w:rPr>
        <w:t xml:space="preserve">U slučaju ekstravazacije pemetrekseda </w:t>
      </w:r>
      <w:r w:rsidRPr="00E07BBD">
        <w:rPr>
          <w:rFonts w:ascii="Times New Roman" w:eastAsia="Times New Roman" w:hAnsi="Times New Roman" w:cs="Times New Roman"/>
          <w:lang w:val="sr-Latn-ME"/>
        </w:rPr>
        <w:lastRenderedPageBreak/>
        <w:t>nema specifičnog antidota. Prijavljeno je nekoliko slučajeva ekstravazacije pemetrekseda koje ispitivači nisu ocijenili kao ozbiljne. U slučaju ekstravazacije, primjenjuje se standardna lokalna praksa kao za ljekove koji nisu vezikanti.</w:t>
      </w:r>
    </w:p>
    <w:p w:rsidR="00E07BBD" w:rsidRDefault="00E07BBD" w:rsidP="00C42D32">
      <w:pPr>
        <w:tabs>
          <w:tab w:val="left" w:pos="284"/>
        </w:tabs>
        <w:spacing w:after="0" w:line="240" w:lineRule="auto"/>
        <w:jc w:val="both"/>
        <w:rPr>
          <w:rFonts w:ascii="Times New Roman" w:eastAsia="Times New Roman" w:hAnsi="Times New Roman" w:cs="Times New Roman"/>
          <w:color w:val="FF0000"/>
          <w:lang w:val="sr-Latn-ME"/>
        </w:rPr>
      </w:pPr>
    </w:p>
    <w:p w:rsidR="0044338B" w:rsidRPr="00E07BBD" w:rsidRDefault="0044338B" w:rsidP="00C42D32">
      <w:pPr>
        <w:tabs>
          <w:tab w:val="left" w:pos="284"/>
        </w:tabs>
        <w:spacing w:after="0" w:line="240" w:lineRule="auto"/>
        <w:jc w:val="both"/>
        <w:rPr>
          <w:rFonts w:ascii="Times New Roman" w:eastAsia="Times New Roman" w:hAnsi="Times New Roman" w:cs="Times New Roman"/>
          <w:color w:val="FF0000"/>
          <w:lang w:val="sr-Latn-ME"/>
        </w:rPr>
      </w:pPr>
    </w:p>
    <w:p w:rsidR="00E07BBD" w:rsidRPr="00E07BBD" w:rsidRDefault="00E07BBD" w:rsidP="0044338B">
      <w:pPr>
        <w:tabs>
          <w:tab w:val="left" w:pos="284"/>
        </w:tabs>
        <w:spacing w:after="0" w:line="240" w:lineRule="auto"/>
        <w:jc w:val="both"/>
        <w:rPr>
          <w:rFonts w:ascii="Times New Roman" w:eastAsia="Times New Roman" w:hAnsi="Times New Roman" w:cs="Times New Roman"/>
          <w:b/>
          <w:lang w:val="sr-Latn-ME"/>
        </w:rPr>
      </w:pPr>
      <w:r w:rsidRPr="00E07BBD">
        <w:rPr>
          <w:rFonts w:ascii="Times New Roman" w:eastAsia="Times New Roman" w:hAnsi="Times New Roman" w:cs="Times New Roman"/>
          <w:b/>
          <w:lang w:val="sr-Latn-ME"/>
        </w:rPr>
        <w:t xml:space="preserve">7. NOSILAC DOZVOLE </w:t>
      </w:r>
    </w:p>
    <w:p w:rsidR="0044338B" w:rsidRDefault="0044338B" w:rsidP="0044338B">
      <w:pPr>
        <w:tabs>
          <w:tab w:val="left" w:pos="284"/>
        </w:tabs>
        <w:spacing w:after="0" w:line="240" w:lineRule="auto"/>
        <w:rPr>
          <w:rFonts w:ascii="Times New Roman" w:eastAsia="Times New Roman" w:hAnsi="Times New Roman" w:cs="Times New Roman"/>
          <w:lang w:val="sr-Latn-ME"/>
        </w:rPr>
      </w:pPr>
    </w:p>
    <w:p w:rsidR="00E07BBD" w:rsidRPr="00E07BBD" w:rsidRDefault="00E07BBD" w:rsidP="0044338B">
      <w:pPr>
        <w:tabs>
          <w:tab w:val="left" w:pos="284"/>
        </w:tabs>
        <w:spacing w:after="0" w:line="240" w:lineRule="auto"/>
        <w:rPr>
          <w:rFonts w:ascii="Times New Roman" w:eastAsia="Times New Roman" w:hAnsi="Times New Roman" w:cs="Times New Roman"/>
          <w:lang w:val="sr-Latn-ME"/>
        </w:rPr>
      </w:pPr>
      <w:r w:rsidRPr="00E07BBD">
        <w:rPr>
          <w:rFonts w:ascii="Times New Roman" w:eastAsia="Times New Roman" w:hAnsi="Times New Roman" w:cs="Times New Roman"/>
          <w:lang w:val="sr-Latn-ME"/>
        </w:rPr>
        <w:t>Evropa Lek Pharma d.o.o. Podgorica                                                                                                                                                 Kritskog odreda 4/1, 81 000 Podgorica, Crna Gora</w:t>
      </w:r>
    </w:p>
    <w:p w:rsidR="00E07BBD" w:rsidRDefault="00E07BBD" w:rsidP="0044338B">
      <w:pPr>
        <w:tabs>
          <w:tab w:val="left" w:pos="284"/>
        </w:tabs>
        <w:spacing w:after="0" w:line="240" w:lineRule="auto"/>
        <w:rPr>
          <w:rFonts w:ascii="Times New Roman" w:eastAsia="Times New Roman" w:hAnsi="Times New Roman" w:cs="Times New Roman"/>
          <w:lang w:val="sr-Latn-ME"/>
        </w:rPr>
      </w:pPr>
    </w:p>
    <w:p w:rsidR="0044338B" w:rsidRPr="00E07BBD" w:rsidRDefault="0044338B" w:rsidP="0044338B">
      <w:pPr>
        <w:tabs>
          <w:tab w:val="left" w:pos="284"/>
        </w:tabs>
        <w:spacing w:after="0" w:line="240" w:lineRule="auto"/>
        <w:rPr>
          <w:rFonts w:ascii="Times New Roman" w:eastAsia="Times New Roman" w:hAnsi="Times New Roman" w:cs="Times New Roman"/>
          <w:lang w:val="sr-Latn-ME"/>
        </w:rPr>
      </w:pPr>
    </w:p>
    <w:p w:rsidR="00E07BBD" w:rsidRPr="00E07BBD" w:rsidRDefault="00E07BBD" w:rsidP="00C42D32">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E07BBD">
        <w:rPr>
          <w:rFonts w:ascii="Times New Roman" w:eastAsia="Times New Roman" w:hAnsi="Times New Roman" w:cs="Times New Roman"/>
          <w:b/>
          <w:bCs/>
          <w:lang w:val="sr-Latn-ME"/>
        </w:rPr>
        <w:t>8. BROJ DOZVOLE ZA STAVLJANJE LIJEKA U PROMET</w:t>
      </w:r>
    </w:p>
    <w:p w:rsidR="00E07BBD" w:rsidRPr="00E07BBD" w:rsidRDefault="00E07BBD"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E07BBD" w:rsidRPr="00E07BBD" w:rsidRDefault="00E07BBD"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E07BBD">
        <w:rPr>
          <w:rFonts w:ascii="Times New Roman" w:eastAsia="Times New Roman" w:hAnsi="Times New Roman" w:cs="Times New Roman"/>
          <w:bCs/>
          <w:lang w:val="sr-Latn-ME"/>
        </w:rPr>
        <w:t>Pemetrexed Accord, prašak za koncentrat za rastvor za infuziju, 500 mg, bočica, staklena, 1 x 500 mg:</w:t>
      </w:r>
    </w:p>
    <w:p w:rsidR="00E07BBD" w:rsidRDefault="00292610"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292610">
        <w:rPr>
          <w:rFonts w:ascii="Times New Roman" w:eastAsia="Times New Roman" w:hAnsi="Times New Roman" w:cs="Times New Roman"/>
          <w:bCs/>
          <w:lang w:val="sr-Latn-ME"/>
        </w:rPr>
        <w:t xml:space="preserve">2030/19/554 </w:t>
      </w:r>
      <w:r>
        <w:rPr>
          <w:rFonts w:ascii="Times New Roman" w:eastAsia="Times New Roman" w:hAnsi="Times New Roman" w:cs="Times New Roman"/>
          <w:bCs/>
          <w:lang w:val="sr-Latn-ME"/>
        </w:rPr>
        <w:t>–</w:t>
      </w:r>
      <w:r w:rsidRPr="00292610">
        <w:rPr>
          <w:rFonts w:ascii="Times New Roman" w:eastAsia="Times New Roman" w:hAnsi="Times New Roman" w:cs="Times New Roman"/>
          <w:bCs/>
          <w:lang w:val="sr-Latn-ME"/>
        </w:rPr>
        <w:t xml:space="preserve"> 6904</w:t>
      </w:r>
      <w:r>
        <w:rPr>
          <w:rFonts w:ascii="Times New Roman" w:eastAsia="Times New Roman" w:hAnsi="Times New Roman" w:cs="Times New Roman"/>
          <w:bCs/>
          <w:lang w:val="sr-Latn-ME"/>
        </w:rPr>
        <w:t xml:space="preserve"> </w:t>
      </w:r>
    </w:p>
    <w:p w:rsidR="0044338B" w:rsidRDefault="0044338B"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292610" w:rsidRPr="00E07BBD" w:rsidRDefault="00292610"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E07BBD" w:rsidRPr="00E07BBD" w:rsidRDefault="00E07BBD" w:rsidP="00C42D32">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E07BBD">
        <w:rPr>
          <w:rFonts w:ascii="Times New Roman" w:eastAsia="Times New Roman" w:hAnsi="Times New Roman" w:cs="Times New Roman"/>
          <w:b/>
          <w:bCs/>
          <w:lang w:val="sr-Latn-ME"/>
        </w:rPr>
        <w:t>9. DATUM PRVE DOZVOLE/OBNOVE DOZVOLE ZA STAVLJANJE LIJEKA U PROMET</w:t>
      </w:r>
    </w:p>
    <w:p w:rsidR="00E07BBD" w:rsidRPr="00E07BBD" w:rsidRDefault="00E07BBD"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E07BBD" w:rsidRPr="00E07BBD" w:rsidRDefault="00E07BBD"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E07BBD">
        <w:rPr>
          <w:rFonts w:ascii="Times New Roman" w:eastAsia="Times New Roman" w:hAnsi="Times New Roman" w:cs="Times New Roman"/>
          <w:bCs/>
          <w:lang w:val="sr-Latn-ME"/>
        </w:rPr>
        <w:t>Pemetrexed Accord, prašak za koncentrat za rastvor za infuziju, 500 mg, bočica, staklena, 1 x 500 mg:</w:t>
      </w:r>
    </w:p>
    <w:p w:rsidR="00E07BBD" w:rsidRDefault="00292610" w:rsidP="00C42D32">
      <w:pPr>
        <w:tabs>
          <w:tab w:val="left" w:pos="284"/>
          <w:tab w:val="left" w:pos="540"/>
          <w:tab w:val="left" w:pos="569"/>
        </w:tabs>
        <w:spacing w:after="0" w:line="240" w:lineRule="auto"/>
        <w:jc w:val="both"/>
        <w:rPr>
          <w:rFonts w:ascii="TimesNewRoman" w:hAnsi="TimesNewRoman" w:cs="TimesNewRoman"/>
        </w:rPr>
      </w:pPr>
      <w:r>
        <w:rPr>
          <w:rFonts w:ascii="TimesNewRoman" w:hAnsi="TimesNewRoman" w:cs="TimesNewRoman"/>
        </w:rPr>
        <w:t>08.10.2019. godine</w:t>
      </w:r>
      <w:r>
        <w:rPr>
          <w:rFonts w:ascii="TimesNewRoman" w:hAnsi="TimesNewRoman" w:cs="TimesNewRoman"/>
        </w:rPr>
        <w:t xml:space="preserve"> </w:t>
      </w:r>
    </w:p>
    <w:p w:rsidR="00292610" w:rsidRDefault="00292610"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44338B" w:rsidRPr="00E07BBD" w:rsidRDefault="0044338B"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E07BBD" w:rsidRPr="00E07BBD" w:rsidRDefault="00E07BBD" w:rsidP="00C42D32">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E07BBD">
        <w:rPr>
          <w:rFonts w:ascii="Times New Roman" w:eastAsia="Times New Roman" w:hAnsi="Times New Roman" w:cs="Times New Roman"/>
          <w:b/>
          <w:bCs/>
          <w:lang w:val="sr-Latn-ME"/>
        </w:rPr>
        <w:t xml:space="preserve">10. DATUM REVIZIJE TEKSTA </w:t>
      </w:r>
    </w:p>
    <w:p w:rsidR="0044338B" w:rsidRDefault="0044338B" w:rsidP="0044338B">
      <w:pPr>
        <w:tabs>
          <w:tab w:val="left" w:pos="284"/>
        </w:tabs>
        <w:spacing w:after="0" w:line="240" w:lineRule="auto"/>
        <w:jc w:val="both"/>
        <w:rPr>
          <w:rFonts w:ascii="Times New Roman" w:eastAsia="Times New Roman" w:hAnsi="Times New Roman" w:cs="Times New Roman"/>
          <w:lang w:val="sr-Latn-ME"/>
        </w:rPr>
      </w:pPr>
    </w:p>
    <w:p w:rsidR="00E07BBD" w:rsidRPr="0044338B" w:rsidRDefault="0044338B" w:rsidP="0044338B">
      <w:pPr>
        <w:tabs>
          <w:tab w:val="left" w:pos="284"/>
        </w:tabs>
        <w:spacing w:after="0" w:line="240" w:lineRule="auto"/>
        <w:jc w:val="both"/>
        <w:rPr>
          <w:rFonts w:ascii="Times New Roman" w:eastAsia="Times New Roman" w:hAnsi="Times New Roman" w:cs="Times New Roman"/>
          <w:lang w:val="sr-Latn-ME"/>
        </w:rPr>
      </w:pPr>
      <w:r w:rsidRPr="0044338B">
        <w:rPr>
          <w:rFonts w:ascii="Times New Roman" w:eastAsia="Times New Roman" w:hAnsi="Times New Roman" w:cs="Times New Roman"/>
          <w:lang w:val="sr-Latn-ME"/>
        </w:rPr>
        <w:t>Oktobar, 2019. godine</w:t>
      </w:r>
    </w:p>
    <w:p w:rsidR="00DA1FB0" w:rsidRPr="00E07BBD" w:rsidRDefault="00DA1FB0" w:rsidP="00C42D32">
      <w:pPr>
        <w:spacing w:after="0" w:line="240" w:lineRule="auto"/>
        <w:jc w:val="both"/>
        <w:rPr>
          <w:rFonts w:ascii="Times New Roman" w:hAnsi="Times New Roman" w:cs="Times New Roman"/>
          <w:lang w:val="sr-Latn-ME"/>
        </w:rPr>
      </w:pPr>
    </w:p>
    <w:sectPr w:rsidR="00DA1FB0" w:rsidRPr="00E07BBD" w:rsidSect="00B34AF2">
      <w:headerReference w:type="default" r:id="rId14"/>
      <w:footerReference w:type="default" r:id="rId15"/>
      <w:headerReference w:type="first" r:id="rId16"/>
      <w:footerReference w:type="first" r:id="rId17"/>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27" w:rsidRDefault="004B7627" w:rsidP="00FF2B5A">
      <w:pPr>
        <w:spacing w:after="0" w:line="240" w:lineRule="auto"/>
      </w:pPr>
      <w:r>
        <w:separator/>
      </w:r>
    </w:p>
  </w:endnote>
  <w:endnote w:type="continuationSeparator" w:id="0">
    <w:p w:rsidR="004B7627" w:rsidRDefault="004B762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UnicodeMS">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32" w:rsidRPr="00F1527C" w:rsidRDefault="00C42D32"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C42D32" w:rsidRPr="00F1527C" w:rsidRDefault="00C42D32"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C42D32" w:rsidRPr="00F1527C" w:rsidRDefault="00C42D32"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C42D32" w:rsidRPr="00F1527C" w:rsidRDefault="00C42D32"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C42D32" w:rsidRPr="00F1527C" w:rsidRDefault="00C42D32"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C42D32" w:rsidRPr="009318B4" w:rsidRDefault="00C42D32"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292610">
      <w:rPr>
        <w:rFonts w:ascii="Times New Roman" w:eastAsia="Times New Roman" w:hAnsi="Times New Roman" w:cs="Times New Roman"/>
        <w:noProof/>
        <w:sz w:val="20"/>
        <w:szCs w:val="20"/>
        <w:lang w:val="sr-Latn-ME"/>
      </w:rPr>
      <w:t>26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292610">
      <w:rPr>
        <w:rFonts w:ascii="Times New Roman" w:eastAsia="Times New Roman" w:hAnsi="Times New Roman" w:cs="Times New Roman"/>
        <w:noProof/>
        <w:sz w:val="20"/>
        <w:szCs w:val="20"/>
        <w:lang w:val="sr-Latn-ME"/>
      </w:rPr>
      <w:t>26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32" w:rsidRPr="00F1527C" w:rsidRDefault="00C42D3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C42D32" w:rsidRPr="00F1527C" w:rsidRDefault="00C42D3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C42D32" w:rsidRPr="00F1527C" w:rsidRDefault="00C42D3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C42D32" w:rsidRPr="00F1527C" w:rsidRDefault="00C42D3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C42D32" w:rsidRPr="00F1527C" w:rsidRDefault="00C42D3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C42D32" w:rsidRPr="009318B4" w:rsidRDefault="00C42D3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27" w:rsidRDefault="004B7627" w:rsidP="00FF2B5A">
      <w:pPr>
        <w:spacing w:after="0" w:line="240" w:lineRule="auto"/>
      </w:pPr>
      <w:r>
        <w:separator/>
      </w:r>
    </w:p>
  </w:footnote>
  <w:footnote w:type="continuationSeparator" w:id="0">
    <w:p w:rsidR="004B7627" w:rsidRDefault="004B762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32" w:rsidRDefault="00C42D32" w:rsidP="009318B4">
    <w:pPr>
      <w:pStyle w:val="Header"/>
      <w:rPr>
        <w:sz w:val="16"/>
        <w:szCs w:val="16"/>
      </w:rPr>
    </w:pPr>
  </w:p>
  <w:p w:rsidR="00C42D32" w:rsidRDefault="00C42D32" w:rsidP="00C42D32">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C42D32" w:rsidRPr="00C42D32" w:rsidRDefault="00C42D32" w:rsidP="00C42D32">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32" w:rsidRDefault="00C42D32" w:rsidP="009318B4">
    <w:pPr>
      <w:pStyle w:val="Header"/>
      <w:rPr>
        <w:sz w:val="16"/>
        <w:szCs w:val="16"/>
      </w:rPr>
    </w:pPr>
  </w:p>
  <w:p w:rsidR="00C42D32" w:rsidRDefault="00C42D32"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C42D32" w:rsidRDefault="00C42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A8A5BFE"/>
    <w:multiLevelType w:val="hybridMultilevel"/>
    <w:tmpl w:val="8140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122E"/>
    <w:rsid w:val="00116FE6"/>
    <w:rsid w:val="00186D32"/>
    <w:rsid w:val="00292610"/>
    <w:rsid w:val="002A7420"/>
    <w:rsid w:val="002B336F"/>
    <w:rsid w:val="0031146A"/>
    <w:rsid w:val="00350968"/>
    <w:rsid w:val="0044338B"/>
    <w:rsid w:val="00461135"/>
    <w:rsid w:val="004B7627"/>
    <w:rsid w:val="005F5DF2"/>
    <w:rsid w:val="00747C4B"/>
    <w:rsid w:val="00805838"/>
    <w:rsid w:val="00883AF2"/>
    <w:rsid w:val="009318B4"/>
    <w:rsid w:val="00934541"/>
    <w:rsid w:val="00A06058"/>
    <w:rsid w:val="00AF30B1"/>
    <w:rsid w:val="00B234CE"/>
    <w:rsid w:val="00B34AF2"/>
    <w:rsid w:val="00BC7691"/>
    <w:rsid w:val="00C4240B"/>
    <w:rsid w:val="00C42D32"/>
    <w:rsid w:val="00C606D3"/>
    <w:rsid w:val="00D45AFE"/>
    <w:rsid w:val="00DA1FB0"/>
    <w:rsid w:val="00E0627A"/>
    <w:rsid w:val="00E07BBD"/>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07BBD"/>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E07BBD"/>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E07BBD"/>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E07BBD"/>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07BBD"/>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E07BBD"/>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E07BBD"/>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E07BBD"/>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E07BBD"/>
  </w:style>
  <w:style w:type="character" w:styleId="PageNumber">
    <w:name w:val="page number"/>
    <w:basedOn w:val="DefaultParagraphFont"/>
    <w:rsid w:val="00E07BBD"/>
  </w:style>
  <w:style w:type="character" w:styleId="CommentReference">
    <w:name w:val="annotation reference"/>
    <w:rsid w:val="00E07BBD"/>
    <w:rPr>
      <w:sz w:val="16"/>
      <w:szCs w:val="16"/>
    </w:rPr>
  </w:style>
  <w:style w:type="paragraph" w:styleId="CommentText">
    <w:name w:val="annotation text"/>
    <w:basedOn w:val="Normal"/>
    <w:link w:val="CommentTextChar"/>
    <w:semiHidden/>
    <w:rsid w:val="00E07BBD"/>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07B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07BBD"/>
    <w:rPr>
      <w:b/>
      <w:bCs/>
    </w:rPr>
  </w:style>
  <w:style w:type="character" w:customStyle="1" w:styleId="CommentSubjectChar">
    <w:name w:val="Comment Subject Char"/>
    <w:basedOn w:val="CommentTextChar"/>
    <w:link w:val="CommentSubject"/>
    <w:semiHidden/>
    <w:rsid w:val="00E07BB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07BBD"/>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07BBD"/>
    <w:rPr>
      <w:rFonts w:ascii="Tahoma" w:eastAsia="Times New Roman" w:hAnsi="Tahoma" w:cs="Tahoma"/>
      <w:sz w:val="16"/>
      <w:szCs w:val="16"/>
    </w:rPr>
  </w:style>
  <w:style w:type="paragraph" w:customStyle="1" w:styleId="NASLOV123">
    <w:name w:val="NASLOV 123"/>
    <w:basedOn w:val="Normal"/>
    <w:qFormat/>
    <w:rsid w:val="00E07BBD"/>
    <w:pPr>
      <w:tabs>
        <w:tab w:val="left" w:pos="284"/>
      </w:tabs>
      <w:spacing w:before="200" w:after="200" w:line="240" w:lineRule="auto"/>
    </w:pPr>
    <w:rPr>
      <w:rFonts w:ascii="Times New Roman" w:eastAsia="Times New Roman" w:hAnsi="Times New Roman" w:cs="Times New Roman"/>
      <w:b/>
    </w:rPr>
  </w:style>
  <w:style w:type="table" w:customStyle="1" w:styleId="TableGrid2">
    <w:name w:val="Table Grid2"/>
    <w:basedOn w:val="TableNormal"/>
    <w:next w:val="TableGrid"/>
    <w:rsid w:val="00E07B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E07BBD"/>
    <w:pPr>
      <w:spacing w:after="0" w:line="240" w:lineRule="auto"/>
    </w:pPr>
  </w:style>
  <w:style w:type="character" w:customStyle="1" w:styleId="Hyperlink1">
    <w:name w:val="Hyperlink1"/>
    <w:basedOn w:val="DefaultParagraphFont"/>
    <w:rsid w:val="00E07BBD"/>
    <w:rPr>
      <w:color w:val="0000FF"/>
      <w:u w:val="single"/>
    </w:rPr>
  </w:style>
  <w:style w:type="paragraph" w:styleId="ListParagraph">
    <w:name w:val="List Paragraph"/>
    <w:basedOn w:val="Normal"/>
    <w:uiPriority w:val="34"/>
    <w:qFormat/>
    <w:rsid w:val="00E07BBD"/>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NoSpacing">
    <w:name w:val="No Spacing"/>
    <w:uiPriority w:val="1"/>
    <w:qFormat/>
    <w:rsid w:val="00E07BBD"/>
    <w:pPr>
      <w:spacing w:after="0" w:line="240" w:lineRule="auto"/>
    </w:pPr>
  </w:style>
  <w:style w:type="character" w:styleId="Hyperlink">
    <w:name w:val="Hyperlink"/>
    <w:basedOn w:val="DefaultParagraphFont"/>
    <w:uiPriority w:val="99"/>
    <w:semiHidden/>
    <w:unhideWhenUsed/>
    <w:rsid w:val="00E07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6585-BA9F-4534-A7A8-A9364DFB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9805</Words>
  <Characters>55895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15</cp:revision>
  <dcterms:created xsi:type="dcterms:W3CDTF">2017-06-23T09:30:00Z</dcterms:created>
  <dcterms:modified xsi:type="dcterms:W3CDTF">2019-10-08T06:38:00Z</dcterms:modified>
</cp:coreProperties>
</file>