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BB" w:rsidRPr="006C71BB" w:rsidRDefault="006C71BB" w:rsidP="006C71BB">
      <w:pPr>
        <w:spacing w:after="0"/>
        <w:jc w:val="both"/>
        <w:rPr>
          <w:rFonts w:ascii="Times New Roman" w:hAnsi="Times New Roman" w:cs="Times New Roman"/>
          <w:b/>
          <w:bCs/>
          <w:i/>
          <w:iCs/>
          <w:u w:val="single"/>
        </w:rPr>
      </w:pPr>
    </w:p>
    <w:p w:rsidR="006C71BB" w:rsidRPr="006C71BB" w:rsidRDefault="006C71BB" w:rsidP="006C71BB">
      <w:pPr>
        <w:spacing w:after="0"/>
        <w:jc w:val="center"/>
        <w:rPr>
          <w:rFonts w:ascii="Times New Roman" w:hAnsi="Times New Roman" w:cs="Times New Roman"/>
          <w:b/>
          <w:bCs/>
          <w:iCs/>
          <w:u w:val="single"/>
        </w:rPr>
      </w:pPr>
      <w:r w:rsidRPr="006C71BB">
        <w:rPr>
          <w:rFonts w:ascii="Times New Roman" w:hAnsi="Times New Roman" w:cs="Times New Roman"/>
          <w:b/>
          <w:bCs/>
          <w:iCs/>
          <w:u w:val="single"/>
        </w:rPr>
        <w:t>SAŽETAK KARAKTERISTIKA LIJEKA</w:t>
      </w:r>
    </w:p>
    <w:p w:rsidR="006C71BB" w:rsidRPr="006C71BB" w:rsidRDefault="006C71BB" w:rsidP="006C71BB">
      <w:pPr>
        <w:spacing w:after="0"/>
        <w:jc w:val="both"/>
        <w:rPr>
          <w:rFonts w:ascii="Times New Roman" w:hAnsi="Times New Roman" w:cs="Times New Roman"/>
          <w:b/>
          <w:bCs/>
          <w:i/>
          <w:iCs/>
          <w:u w:val="single"/>
        </w:rPr>
      </w:pP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1.</w:t>
      </w:r>
      <w:r w:rsidRPr="006C71BB">
        <w:rPr>
          <w:rFonts w:ascii="Times New Roman" w:hAnsi="Times New Roman" w:cs="Times New Roman"/>
          <w:b/>
          <w:bCs/>
        </w:rPr>
        <w:tab/>
        <w:t>NAZIV LIJEKA</w:t>
      </w:r>
    </w:p>
    <w:p w:rsidR="006C71BB" w:rsidRPr="006C71BB" w:rsidRDefault="006C71BB" w:rsidP="006C71BB">
      <w:pPr>
        <w:spacing w:after="0"/>
        <w:jc w:val="both"/>
        <w:rPr>
          <w:rFonts w:ascii="Times New Roman" w:hAnsi="Times New Roman" w:cs="Times New Roman"/>
          <w:lang w:val="pl-PL"/>
        </w:rPr>
      </w:pPr>
    </w:p>
    <w:p w:rsidR="006C71BB" w:rsidRPr="006C71BB" w:rsidRDefault="006C71BB" w:rsidP="006C71BB">
      <w:pPr>
        <w:spacing w:after="0"/>
        <w:jc w:val="both"/>
        <w:rPr>
          <w:rFonts w:ascii="Times New Roman" w:hAnsi="Times New Roman" w:cs="Times New Roman"/>
          <w:bCs/>
          <w:lang w:val="sv-SE"/>
        </w:rPr>
      </w:pPr>
      <w:r w:rsidRPr="006C71BB">
        <w:rPr>
          <w:rFonts w:ascii="Times New Roman" w:hAnsi="Times New Roman" w:cs="Times New Roman"/>
          <w:bCs/>
          <w:lang w:val="sv-SE"/>
        </w:rPr>
        <w:t>Nurofen</w:t>
      </w:r>
      <w:r w:rsidRPr="006C71BB">
        <w:rPr>
          <w:rFonts w:ascii="Times New Roman" w:hAnsi="Times New Roman" w:cs="Times New Roman"/>
          <w:bCs/>
          <w:vertAlign w:val="superscript"/>
          <w:lang w:val="sv-SE"/>
        </w:rPr>
        <w:t>®</w:t>
      </w:r>
      <w:r w:rsidRPr="006C71BB">
        <w:rPr>
          <w:rFonts w:ascii="Times New Roman" w:hAnsi="Times New Roman" w:cs="Times New Roman"/>
          <w:bCs/>
          <w:lang w:val="sv-SE"/>
        </w:rPr>
        <w:t xml:space="preserve"> Forte, 400 mg, obložena tableta</w:t>
      </w:r>
    </w:p>
    <w:p w:rsidR="006C71BB" w:rsidRPr="006C71BB" w:rsidRDefault="006C71BB" w:rsidP="006C71BB">
      <w:pPr>
        <w:spacing w:after="0"/>
        <w:jc w:val="both"/>
        <w:rPr>
          <w:rFonts w:ascii="Times New Roman" w:hAnsi="Times New Roman" w:cs="Times New Roman"/>
          <w:bCs/>
          <w:lang w:val="sv-SE"/>
        </w:rPr>
      </w:pPr>
      <w:r w:rsidRPr="006C71BB">
        <w:rPr>
          <w:rFonts w:ascii="Times New Roman" w:hAnsi="Times New Roman" w:cs="Times New Roman"/>
          <w:lang w:val="sv-SE"/>
        </w:rPr>
        <w:t>INN: ibuprofen</w:t>
      </w:r>
    </w:p>
    <w:p w:rsidR="006C71BB" w:rsidRPr="006C71BB" w:rsidRDefault="006C71BB" w:rsidP="006C71BB">
      <w:pPr>
        <w:spacing w:after="0"/>
        <w:jc w:val="both"/>
        <w:rPr>
          <w:rFonts w:ascii="Times New Roman" w:hAnsi="Times New Roman" w:cs="Times New Roman"/>
          <w:bCs/>
          <w:lang w:val="sv-SE"/>
        </w:rPr>
      </w:pPr>
    </w:p>
    <w:p w:rsidR="006C71BB" w:rsidRPr="006C71BB" w:rsidRDefault="006C71BB" w:rsidP="006C71BB">
      <w:pPr>
        <w:spacing w:after="0"/>
        <w:jc w:val="both"/>
        <w:rPr>
          <w:rFonts w:ascii="Times New Roman" w:hAnsi="Times New Roman" w:cs="Times New Roman"/>
          <w:bCs/>
          <w:lang w:val="sv-SE"/>
        </w:rPr>
      </w:pPr>
    </w:p>
    <w:p w:rsidR="006C71BB" w:rsidRPr="006C71BB" w:rsidRDefault="006C71BB" w:rsidP="006C71BB">
      <w:pPr>
        <w:tabs>
          <w:tab w:val="left" w:pos="540"/>
          <w:tab w:val="left" w:pos="569"/>
        </w:tabs>
        <w:spacing w:after="0"/>
        <w:jc w:val="both"/>
        <w:rPr>
          <w:rFonts w:ascii="Times New Roman" w:hAnsi="Times New Roman" w:cs="Times New Roman"/>
          <w:lang w:val="sr-Latn-CS"/>
        </w:rPr>
      </w:pPr>
      <w:r w:rsidRPr="006C71BB">
        <w:rPr>
          <w:rFonts w:ascii="Times New Roman" w:hAnsi="Times New Roman" w:cs="Times New Roman"/>
          <w:b/>
          <w:bCs/>
        </w:rPr>
        <w:t xml:space="preserve">2. </w:t>
      </w:r>
      <w:r w:rsidRPr="006C71BB">
        <w:rPr>
          <w:rFonts w:ascii="Times New Roman" w:hAnsi="Times New Roman" w:cs="Times New Roman"/>
          <w:b/>
          <w:bCs/>
        </w:rPr>
        <w:tab/>
        <w:t>KVALITATIVNI I KVANTITATIVNI SASTAV</w:t>
      </w:r>
    </w:p>
    <w:p w:rsidR="006C71BB" w:rsidRPr="006C71BB" w:rsidRDefault="006C71BB" w:rsidP="006C71BB">
      <w:pPr>
        <w:spacing w:after="0"/>
        <w:jc w:val="both"/>
        <w:rPr>
          <w:rFonts w:ascii="Times New Roman" w:hAnsi="Times New Roman" w:cs="Times New Roman"/>
          <w:lang w:val="sr-Latn-CS"/>
        </w:rPr>
      </w:pPr>
    </w:p>
    <w:p w:rsidR="006C71BB" w:rsidRPr="006C71BB" w:rsidRDefault="006C71BB" w:rsidP="006C71BB">
      <w:pPr>
        <w:spacing w:after="0"/>
        <w:jc w:val="both"/>
        <w:rPr>
          <w:rFonts w:ascii="Times New Roman" w:hAnsi="Times New Roman" w:cs="Times New Roman"/>
          <w:lang w:val="sr-Latn-CS"/>
        </w:rPr>
      </w:pPr>
      <w:r w:rsidRPr="006C71BB">
        <w:rPr>
          <w:rFonts w:ascii="Times New Roman" w:hAnsi="Times New Roman" w:cs="Times New Roman"/>
          <w:lang w:val="sr-Latn-CS"/>
        </w:rPr>
        <w:t>Jedna obložena tableta sadrži 400 mg ibuprofena.</w:t>
      </w:r>
    </w:p>
    <w:p w:rsidR="006C71BB" w:rsidRPr="006C71BB" w:rsidRDefault="006C71BB" w:rsidP="006C71BB">
      <w:pPr>
        <w:spacing w:after="0"/>
        <w:jc w:val="both"/>
        <w:rPr>
          <w:rFonts w:ascii="Times New Roman" w:hAnsi="Times New Roman" w:cs="Times New Roman"/>
          <w:lang w:val="sr-Latn-CS"/>
        </w:rPr>
      </w:pPr>
      <w:r w:rsidRPr="006C71BB">
        <w:rPr>
          <w:rFonts w:ascii="Times New Roman" w:hAnsi="Times New Roman" w:cs="Times New Roman"/>
          <w:lang w:val="sr-Latn-CS"/>
        </w:rPr>
        <w:t>Pomoćne supstance sa potvrđenim dejstvom:</w:t>
      </w:r>
    </w:p>
    <w:p w:rsidR="006C71BB" w:rsidRPr="006C71BB" w:rsidRDefault="006C71BB" w:rsidP="006C71BB">
      <w:pPr>
        <w:spacing w:after="0"/>
        <w:jc w:val="both"/>
        <w:rPr>
          <w:rFonts w:ascii="Times New Roman" w:hAnsi="Times New Roman" w:cs="Times New Roman"/>
        </w:rPr>
      </w:pPr>
      <w:r w:rsidRPr="006C71BB">
        <w:rPr>
          <w:rFonts w:ascii="Times New Roman" w:hAnsi="Times New Roman" w:cs="Times New Roman"/>
        </w:rPr>
        <w:t>Jedna tableta sadrži 232,2 mg saharoze što odgovara približno 0,68 mmol</w:t>
      </w:r>
    </w:p>
    <w:p w:rsidR="006C71BB" w:rsidRPr="006C71BB" w:rsidRDefault="006C71BB" w:rsidP="006C71BB">
      <w:pPr>
        <w:spacing w:after="0"/>
        <w:jc w:val="both"/>
        <w:rPr>
          <w:rFonts w:ascii="Times New Roman" w:hAnsi="Times New Roman" w:cs="Times New Roman"/>
          <w:lang w:val="sr-Latn-CS"/>
        </w:rPr>
      </w:pPr>
      <w:r w:rsidRPr="006C71BB">
        <w:rPr>
          <w:rFonts w:ascii="Times New Roman" w:hAnsi="Times New Roman" w:cs="Times New Roman"/>
        </w:rPr>
        <w:t xml:space="preserve">Jedna </w:t>
      </w:r>
      <w:r w:rsidRPr="006C71BB">
        <w:rPr>
          <w:rFonts w:ascii="Times New Roman" w:hAnsi="Times New Roman" w:cs="Times New Roman"/>
          <w:lang w:val="sr-Latn-CS"/>
        </w:rPr>
        <w:t>tableta sadrži 25,3 mg natrijuma što odgovara približno 1,1 mmol</w:t>
      </w:r>
    </w:p>
    <w:p w:rsidR="006C71BB" w:rsidRPr="006C71BB" w:rsidRDefault="006C71BB" w:rsidP="006C71BB">
      <w:pPr>
        <w:spacing w:after="0"/>
        <w:jc w:val="both"/>
        <w:rPr>
          <w:rFonts w:ascii="Times New Roman" w:hAnsi="Times New Roman" w:cs="Times New Roman"/>
          <w:lang w:val="sr-Latn-CS"/>
        </w:rPr>
      </w:pPr>
    </w:p>
    <w:p w:rsidR="006C71BB" w:rsidRPr="006C71BB" w:rsidRDefault="006C71BB" w:rsidP="006C71BB">
      <w:pPr>
        <w:spacing w:after="0"/>
        <w:jc w:val="both"/>
        <w:rPr>
          <w:rFonts w:ascii="Times New Roman" w:hAnsi="Times New Roman" w:cs="Times New Roman"/>
          <w:lang w:val="sr-Latn-CS"/>
        </w:rPr>
      </w:pPr>
      <w:r w:rsidRPr="006C71BB">
        <w:rPr>
          <w:rFonts w:ascii="Times New Roman" w:hAnsi="Times New Roman" w:cs="Times New Roman"/>
          <w:lang w:val="sr-Latn-CS"/>
        </w:rPr>
        <w:t>Za spisak svih ekscipijenasa, pogledati dio 6.1.</w:t>
      </w:r>
    </w:p>
    <w:p w:rsidR="006C71BB" w:rsidRPr="006C71BB" w:rsidRDefault="006C71BB" w:rsidP="006C71BB">
      <w:pPr>
        <w:spacing w:after="0"/>
        <w:jc w:val="both"/>
        <w:rPr>
          <w:rFonts w:ascii="Times New Roman" w:hAnsi="Times New Roman" w:cs="Times New Roman"/>
          <w:lang w:val="sr-Latn-CS"/>
        </w:rPr>
      </w:pPr>
    </w:p>
    <w:p w:rsidR="006C71BB" w:rsidRPr="006C71BB" w:rsidRDefault="006C71BB" w:rsidP="006C71BB">
      <w:pPr>
        <w:spacing w:after="0"/>
        <w:jc w:val="both"/>
        <w:rPr>
          <w:rFonts w:ascii="Times New Roman" w:hAnsi="Times New Roman" w:cs="Times New Roman"/>
          <w:lang w:val="sr-Latn-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3. </w:t>
      </w:r>
      <w:r w:rsidRPr="006C71BB">
        <w:rPr>
          <w:rFonts w:ascii="Times New Roman" w:hAnsi="Times New Roman" w:cs="Times New Roman"/>
          <w:b/>
          <w:bCs/>
        </w:rPr>
        <w:tab/>
        <w:t xml:space="preserve">FARMACEUTSKI OBLIK </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6C71BB">
        <w:rPr>
          <w:rFonts w:ascii="Times New Roman" w:eastAsiaTheme="minorEastAsia" w:hAnsi="Times New Roman" w:cs="Times New Roman"/>
          <w:color w:val="000000"/>
          <w:lang w:val="sr-Latn-RS" w:eastAsia="sr-Latn-RS"/>
        </w:rPr>
        <w:t>Obložena tableta.</w:t>
      </w:r>
    </w:p>
    <w:p w:rsidR="006C71BB" w:rsidRPr="006C71BB" w:rsidRDefault="006C71BB" w:rsidP="006C71BB">
      <w:pPr>
        <w:widowControl w:val="0"/>
        <w:autoSpaceDE w:val="0"/>
        <w:autoSpaceDN w:val="0"/>
        <w:adjustRightInd w:val="0"/>
        <w:spacing w:after="0" w:line="234" w:lineRule="exact"/>
        <w:jc w:val="both"/>
        <w:rPr>
          <w:rFonts w:ascii="Times New Roman" w:eastAsiaTheme="minorEastAsia" w:hAnsi="Times New Roman" w:cs="Times New Roman"/>
          <w:lang w:val="sr-Latn-RS" w:eastAsia="sr-Latn-RS"/>
        </w:rPr>
      </w:pPr>
    </w:p>
    <w:p w:rsidR="006C71BB" w:rsidRPr="006C71BB" w:rsidRDefault="006C71BB" w:rsidP="006C71BB">
      <w:pPr>
        <w:widowControl w:val="0"/>
        <w:overflowPunct w:val="0"/>
        <w:autoSpaceDE w:val="0"/>
        <w:autoSpaceDN w:val="0"/>
        <w:adjustRightInd w:val="0"/>
        <w:spacing w:after="0" w:line="267" w:lineRule="auto"/>
        <w:ind w:right="300"/>
        <w:jc w:val="both"/>
        <w:rPr>
          <w:rFonts w:ascii="Times New Roman" w:eastAsiaTheme="minorEastAsia" w:hAnsi="Times New Roman" w:cs="Times New Roman"/>
          <w:lang w:val="sr-Latn-RS" w:eastAsia="sr-Latn-RS"/>
        </w:rPr>
      </w:pPr>
      <w:r w:rsidRPr="006C71BB">
        <w:rPr>
          <w:rFonts w:ascii="Times New Roman" w:eastAsiaTheme="minorEastAsia" w:hAnsi="Times New Roman" w:cs="Times New Roman"/>
          <w:color w:val="000000"/>
          <w:lang w:val="sr-Latn-RS" w:eastAsia="sr-Latn-RS"/>
        </w:rPr>
        <w:t>Bijele do skoro bijele, bikonveksne, obložene tablete sa utisnutom oznakom crvene boje NUROFEN 400 na jednoj strani.</w:t>
      </w:r>
    </w:p>
    <w:p w:rsidR="006C71BB" w:rsidRPr="006C71BB" w:rsidRDefault="006C71BB" w:rsidP="006C71BB">
      <w:pPr>
        <w:spacing w:after="0"/>
        <w:jc w:val="both"/>
        <w:rPr>
          <w:rFonts w:ascii="Times New Roman" w:hAnsi="Times New Roman" w:cs="Times New Roman"/>
          <w:bCs/>
          <w:lang w:val="sr-Latn-CS"/>
        </w:rPr>
      </w:pPr>
    </w:p>
    <w:p w:rsidR="006C71BB" w:rsidRPr="006C71BB" w:rsidRDefault="006C71BB" w:rsidP="006C71BB">
      <w:pPr>
        <w:spacing w:after="0"/>
        <w:jc w:val="both"/>
        <w:rPr>
          <w:rFonts w:ascii="Times New Roman" w:hAnsi="Times New Roman" w:cs="Times New Roman"/>
          <w:bCs/>
          <w:lang w:val="sr-Latn-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4. </w:t>
      </w:r>
      <w:r w:rsidRPr="006C71BB">
        <w:rPr>
          <w:rFonts w:ascii="Times New Roman" w:hAnsi="Times New Roman" w:cs="Times New Roman"/>
          <w:b/>
          <w:bCs/>
        </w:rPr>
        <w:tab/>
        <w:t>KLINIČKI PODACI</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4.1. </w:t>
      </w:r>
      <w:r w:rsidRPr="006C71BB">
        <w:rPr>
          <w:rFonts w:ascii="Times New Roman" w:hAnsi="Times New Roman" w:cs="Times New Roman"/>
          <w:b/>
          <w:bCs/>
        </w:rPr>
        <w:tab/>
        <w:t>Terapijske indikacije</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Lijek Nurofen Forte je namijenjen za primjenu kod odraslih i djece starije od 12 godina za ublažavanje bolova kao što su glavobolja - migrena, bolovi u leđima, zubobolja, neuralgije, menstrualni bolovi, kao i reumatski i mišićni bolovi i bolovi uzrokovani artritisom.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pStyle w:val="Default"/>
        <w:jc w:val="both"/>
        <w:rPr>
          <w:sz w:val="22"/>
          <w:szCs w:val="22"/>
        </w:rPr>
      </w:pPr>
      <w:r w:rsidRPr="006C71BB">
        <w:rPr>
          <w:color w:val="000000"/>
          <w:sz w:val="22"/>
          <w:szCs w:val="22"/>
          <w:lang w:val="sr-Latn-RS" w:eastAsia="sr-Latn-ME"/>
        </w:rPr>
        <w:t>Lijek Nurofen Forte ublažava bol, smanjuje upalu i snižava povišenu tjelesnu temperaturu, ublažava glavobolju i druge vrste bola. Takođe, ublažava simptome prehlade i gripe.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4.2. </w:t>
      </w:r>
      <w:r w:rsidRPr="006C71BB">
        <w:rPr>
          <w:rFonts w:ascii="Times New Roman" w:hAnsi="Times New Roman" w:cs="Times New Roman"/>
          <w:b/>
          <w:bCs/>
        </w:rPr>
        <w:tab/>
        <w:t>Doziranje i način primjene</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autoSpaceDE w:val="0"/>
        <w:autoSpaceDN w:val="0"/>
        <w:adjustRightInd w:val="0"/>
        <w:spacing w:after="0"/>
        <w:jc w:val="both"/>
        <w:rPr>
          <w:rFonts w:ascii="Times New Roman" w:hAnsi="Times New Roman" w:cs="Times New Roman"/>
          <w:color w:val="000000"/>
          <w:u w:val="single"/>
          <w:lang w:val="sr-Latn-RS" w:eastAsia="sr-Latn-ME"/>
        </w:rPr>
      </w:pPr>
      <w:r w:rsidRPr="006C71BB">
        <w:rPr>
          <w:rFonts w:ascii="Times New Roman" w:hAnsi="Times New Roman" w:cs="Times New Roman"/>
          <w:color w:val="000000"/>
          <w:u w:val="single"/>
          <w:lang w:val="sr-Latn-RS" w:eastAsia="sr-Latn-ME"/>
        </w:rPr>
        <w:t xml:space="preserve">Doziranje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lastRenderedPageBreak/>
        <w:t xml:space="preserve">Neželjena dejstva se mogu minimizirati primjenom najniže efektivne doze tokom najkraćeg vremena potrebnog za kontrolu simptoma (vidjeti dio 4.4).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Lijek je namijenjen za primjenu kod odraslih i djece starije od 12 godina.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Početna doza je 1 tableta 2-3 puta na dan. Lijek treba uzimati u razmacima od 4 do 6 sati, prema potrebi. Ne preporučuje se primjena više od 1200 mg (3 tablete) unutar 24 sata bez nadzora ljekara.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u w:val="single"/>
          <w:lang w:val="sr-Latn-RS" w:eastAsia="sr-Latn-ME"/>
        </w:rPr>
      </w:pPr>
      <w:r w:rsidRPr="006C71BB">
        <w:rPr>
          <w:rFonts w:ascii="Times New Roman" w:hAnsi="Times New Roman" w:cs="Times New Roman"/>
          <w:color w:val="000000"/>
          <w:u w:val="single"/>
          <w:lang w:val="sr-Latn-RS" w:eastAsia="sr-Latn-ME"/>
        </w:rPr>
        <w:t xml:space="preserve">Način primjene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Tablete se uzimaju oralno. Tableta se ne smije drobiti već je treba progutati cijelu, sa dovoljnom količinom tečnosti, najbolje uz obrok.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u w:val="single"/>
          <w:lang w:val="sr-Latn-RS" w:eastAsia="sr-Latn-ME"/>
        </w:rPr>
      </w:pPr>
      <w:r w:rsidRPr="006C71BB">
        <w:rPr>
          <w:rFonts w:ascii="Times New Roman" w:hAnsi="Times New Roman" w:cs="Times New Roman"/>
          <w:color w:val="000000"/>
          <w:u w:val="single"/>
          <w:lang w:val="sr-Latn-RS" w:eastAsia="sr-Latn-ME"/>
        </w:rPr>
        <w:t xml:space="preserve">Trajanje liječenja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Samo za kratkotrajnu primjenu. </w:t>
      </w: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color w:val="000000"/>
          <w:lang w:val="sr-Latn-RS" w:eastAsia="sr-Latn-ME"/>
        </w:rPr>
        <w:t>Ukoliko se kod odraslih ovaj lijek mora primjenjivati duže od 5 dana u slučaju bola ili duže od 3 dana u slučaju povišene temperature, ili ukoliko se simptomi pogoršaju, pacijenta treba savjetovati da se obrati ljekaru.</w:t>
      </w: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rPr>
        <w:t>Ukoliko se ovaj lijek mora primjenjivati kod adolescenata starijih od 12 godina duže od 3 dana ili ako se simptomi bolesti pogoršaju, potrebno je zatražiti savjet ljekara.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4.3. </w:t>
      </w:r>
      <w:r w:rsidRPr="006C71BB">
        <w:rPr>
          <w:rFonts w:ascii="Times New Roman" w:hAnsi="Times New Roman" w:cs="Times New Roman"/>
          <w:b/>
          <w:bCs/>
        </w:rPr>
        <w:tab/>
        <w:t>Kontraindikacije</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Preosjetljivost na ibuprofen ili na bilo koju od pomoćnih supstanci navedenih u dijelu 6.1.</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 xml:space="preserve">Pacijenti koji su ranije pokazali reakcije preosjetljivosti (npr. astma, rinitis, angioedem ili urtikarija) kao odgovor na acetilsalicilnu kisjelinu ili druge nestreoidne antiinflamatorne ljekove (NSAIL). </w:t>
      </w:r>
    </w:p>
    <w:p w:rsidR="006C71BB" w:rsidRPr="006C71BB" w:rsidRDefault="006C71BB" w:rsidP="006C71BB">
      <w:pPr>
        <w:tabs>
          <w:tab w:val="left" w:pos="540"/>
          <w:tab w:val="left" w:pos="569"/>
        </w:tabs>
        <w:spacing w:after="0"/>
        <w:ind w:left="567" w:hanging="567"/>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 xml:space="preserve">Postojeća ili ranije periodično ponavljana pojava čira/krvarenja na organima za varenje (dvije ili više različitih epizoda dokazane ulceracije ili krvarenja). </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 xml:space="preserve">Istorija gastrointestinalnog krvarenja ili perforacije, povezanih sa ranijim NSAIL terapijama. </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 xml:space="preserve">Teška bubrežna insuficijencija ili hepatična insuficijencija (vidjeti dio 4.4) </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Teška insuficijencija srca (NYHA stepen IV)</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w:t>
      </w:r>
      <w:r w:rsidRPr="006C71BB">
        <w:rPr>
          <w:rFonts w:ascii="Times New Roman" w:hAnsi="Times New Roman" w:cs="Times New Roman"/>
          <w:bCs/>
        </w:rPr>
        <w:tab/>
        <w:t>Posljednji trimestar trudnoće (vidjeti dio 4.6)</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color w:val="000000"/>
          <w:lang w:val="sr-Latn-RS" w:eastAsia="sr-Latn-ME"/>
        </w:rPr>
      </w:pPr>
      <w:r w:rsidRPr="006C71BB">
        <w:rPr>
          <w:rFonts w:ascii="Times New Roman" w:hAnsi="Times New Roman" w:cs="Times New Roman"/>
          <w:b/>
          <w:bCs/>
        </w:rPr>
        <w:t xml:space="preserve">4.4. </w:t>
      </w:r>
      <w:r w:rsidRPr="006C71BB">
        <w:rPr>
          <w:rFonts w:ascii="Times New Roman" w:hAnsi="Times New Roman" w:cs="Times New Roman"/>
          <w:b/>
          <w:bCs/>
        </w:rPr>
        <w:tab/>
        <w:t>Posebna upozorenja i mjere opreza pri upotrebi lijeka</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Neželjena dejstva se mogu smanjiti korišćenjem najniže efektivne doze za najkraće moguće vrijeme koje je potrebno da bi se ublažili simptomi (rizike za gastrointestinalni i kardiovaskularni sistem pročitajte u nastavku).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Stariji pacijenti</w:t>
      </w:r>
      <w:r w:rsidRPr="006C71BB">
        <w:rPr>
          <w:rFonts w:ascii="Times New Roman" w:hAnsi="Times New Roman" w:cs="Times New Roman"/>
          <w:color w:val="000000"/>
          <w:lang w:val="sr-Latn-RS" w:eastAsia="sr-Latn-ME"/>
        </w:rPr>
        <w:t xml:space="preserve">: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Kod starijih osoba postoji veća učestalost nastanka ozbiljnih neželjenih reakcija vezanih za uzimanje nesteroidnih antiinflamatornih ljekova, naročito krvarenja i perforacija u probavnom sistemu. Posljedice tih neželjenih dejstava su kod starijih osoba teže, a mogu imati i smrtni ishod.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Disajni putevi: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lastRenderedPageBreak/>
        <w:t xml:space="preserve">Kod pacijenata koji boluju od ili sa anamnezom bronhijalne astme ili alergije, može doći do pogoršanja bronhospazma.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Drugi NSAID ljekovi: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Treba izbjegavati istovremenu upotrebu ibuprofena uz druge NSAIL ljekove uključujući selektivne inhibitore ciklooksigenaze-2 (vidjeti dio 4.5).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SLE i miješovita bolest vezivnog tkiva: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Pacijenti koji boluju od sistemskog eritematoznog lupusa, kao i oni sa miješovitom bolesti vezivnog tkiva imaju povećani rizik od aseptičkog meningitisa (vidjeti dio 4.8).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Bubrezi: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Može doći do oštećenja funkcije bubrega ili do pogoršanja ranijeg oštećenja bubrega (vidjeti djelove 4.3 i 4.8).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Jetra: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Oštećenje funkcije jetre (vidjeti djelove 4.3 i 4.8). </w:t>
      </w:r>
    </w:p>
    <w:p w:rsidR="006C71BB" w:rsidRPr="006C71BB" w:rsidRDefault="006C71BB" w:rsidP="006C71BB">
      <w:pPr>
        <w:autoSpaceDE w:val="0"/>
        <w:autoSpaceDN w:val="0"/>
        <w:adjustRightInd w:val="0"/>
        <w:spacing w:after="0"/>
        <w:jc w:val="both"/>
        <w:rPr>
          <w:rFonts w:ascii="Times New Roman" w:hAnsi="Times New Roman" w:cs="Times New Roman"/>
          <w:i/>
          <w:iCs/>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Kardiovaskularni i cerebrovaskularni efekti: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Potrebno je oprezno započeti liječenje (savjetovati se s ljekarom ili farmaceutom) kod pacijenata sa anamnezom hipertenzije i/ili srčanom insuficijencijom, jer su zadržavanje tečnosti, hipertenzija i edemi zabilježeni u vezi sa liječenjem NSAIL ljekovima.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color w:val="000000"/>
          <w:lang w:val="sr-Latn-RS" w:eastAsia="sr-Latn-ME"/>
        </w:rPr>
        <w:t xml:space="preserve">Klinička ispitivanja upućuju na to da primjena ibuprofena, naročito u visokoj dozi (2400 mg/dan), može biti povezana sa blago povećanim rizikom od arterijskih trombotičnih događaja (na primjer, infarkta miokarda ili moždanog udara). Uopšteno, epidemiološka ispitivanja ne upućuju na to da bi ibuprofen u niskoj dozi (npr. &lt; 1200 mg/dan) mogao biti povezan sa povećanim rizikom od arterijskih trombotičnih </w:t>
      </w:r>
      <w:r w:rsidRPr="006C71BB">
        <w:rPr>
          <w:rFonts w:ascii="Times New Roman" w:hAnsi="Times New Roman" w:cs="Times New Roman"/>
          <w:lang w:val="sr-Latn-RS" w:eastAsia="sr-Latn-ME"/>
        </w:rPr>
        <w:t xml:space="preserve">događaja.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Pacijente sa nekontrolisanom hipertenzijom, kongestivnom srčanom insuficijencijom (NYHA II-III), utvrđenom ishemijskom bolesti srca, bolesti perifernih arterija, i/ili cerebrovaskularnom bolešću smije se liječiti ibuprofenom samo nakon pažljivog razmatranja uz izbjegavanje davanja visokih doza (2400 mg/dan).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Pažljivo razmatranje takođe je potrebno prije započinjanja dugotrajnog liječenja pacijenata sa faktorima rizika za kardiovaskularne događaje (na primjer, hipertenzijom, hiperlipidemijom, šećernom bolesti, pušenjem), naročito ako su potrebne visoke doze ibuprofena (2400 mg/dan).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Oštećenje plodnosti kod žena: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Postoje određeni dokazi koji upućuju na to da ljekovi koji inhibiraju ciklooksigenazu/sintezu prostaglandina, zbog svog uticaja na ovulaciju, mogu dovesti do smanjene plodnosti žena. Ovo djelovanje je reverzibilno i nestaje sa prestankom uzimanja lijeka.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Probavni sistem: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NSAID ljekove treba davati sa oprezom pacijentima sa anamnezom bolesti probavnog sistema (ulcerozni kolitis, Crohn-ova bolest) jer može doći do pogoršanja tih stanja (vidjeti dio 4.8).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lastRenderedPageBreak/>
        <w:t xml:space="preserve">Krvarenja, ulceracije i perforacije u probavnom sistemu, od kojih neke mogu imati i smrtni ishod, zabilježene su bilo kada tokom primjene svih nesteroidnih antiinflamatornih lijekova, sa ili bez upozoravajućih simptoma i bez obzira na prethodne anamnestičke podatke.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Rizik od pojave gastrointestinalnog krvarenja, ulceracija ili perforacija je veći sa povećanjem doza NSAIL i kod pacijenata koji u anamnezi imaju ulkus, naročito ako je on povezan sa krvarenjem ili perforacijom (vidjeti dio 4.3), i kod starijih osoba. Takvi pacijenti treba da započnu terapiju najnižom mogućom dozom.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Potrebno je upozoriti pacijente kod kojih postoje anamnestički podaci koji bi upućivali na toksičan efekat ljekova na probavni sistem (naročito starije osobe), da zdravstvenom radniku prijave svaki neuobičajeni abdominalni simptom (naročito krvarenja iz probavnog sistema), posebno na početku liječenja.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Potreban je oprez kod pacijenata kod kojih se istovremeno primjenjuju drugi ljekovi koji mogu povećati rizik od nastanka ulcera ili krvarenja, kao što su oralni kortikosteroidi, antikoagulansi poput varfarina, selektivni inhibitori ponovnog preuzimanja serotonina ili antitrombotici poput acetilsalicilatne kisjeline (vidjeti dio 4.5).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Ukoliko tokom primjene lijeka Nurofen Forte dođe do krvarenja ili ulceracija u probavnom sistemu, njegovu primjenu treba odmah prekinuti.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Dermatološki sistem: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Ozbiljne kožne reakcije, neke od njih i sa smrtnim ishodom, uključujući eksfolijativni dermatitis, Stevens-Johnsonov sindrom i toksičnu epidermalnu nekrolizu, zabilježene su vrlo rijetko u povezanosti sa nesteroidnim antiinflamatornim ljekovima (vidjeti dio 4.8). Najveći rizik od pojave ovih simptoma je na početku terapije i to najčešće unutar prvog mjeseca primjene NSAIL. Ukoliko tokom primjene Nurofen Forte tableta dođe do pojave kožnog osipa, mukoznih lezija ili drugih znakova preosjetljivosti, primjenu lijeka treba odmah prekinuti.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Ibuprofen može privremeno inhibirati funkciju trombocita u krvi (agregaciju trombocita). Stoga je potreban pažljiv nadzor pacijenata sa poremećajima zgrušavanja krvi.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Pedijatrijska populacija</w:t>
      </w:r>
      <w:r w:rsidRPr="006C71BB">
        <w:rPr>
          <w:rFonts w:ascii="Times New Roman" w:hAnsi="Times New Roman" w:cs="Times New Roman"/>
          <w:b/>
          <w:bCs/>
          <w:lang w:val="sr-Latn-RS" w:eastAsia="sr-Latn-ME"/>
        </w:rPr>
        <w:t xml:space="preserve">: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 xml:space="preserve">Postoji rizik od oštećenja funkcije bubrega kod dehidrirane djece i adolescenata.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Savjet za pacijente koji boluju od nepodnošenja određenih vrsta šećera: </w:t>
      </w:r>
    </w:p>
    <w:p w:rsidR="006C71BB" w:rsidRPr="006C71BB" w:rsidRDefault="006C71BB" w:rsidP="006C71BB">
      <w:pPr>
        <w:tabs>
          <w:tab w:val="left" w:pos="540"/>
          <w:tab w:val="left" w:pos="569"/>
        </w:tabs>
        <w:spacing w:after="0"/>
        <w:jc w:val="both"/>
        <w:rPr>
          <w:rFonts w:ascii="Times New Roman" w:hAnsi="Times New Roman" w:cs="Times New Roman"/>
          <w:lang w:val="sr-Latn-RS" w:eastAsia="sr-Latn-ME"/>
        </w:rPr>
      </w:pPr>
      <w:r w:rsidRPr="006C71BB">
        <w:rPr>
          <w:rFonts w:ascii="Times New Roman" w:hAnsi="Times New Roman" w:cs="Times New Roman"/>
          <w:lang w:val="sr-Latn-RS" w:eastAsia="sr-Latn-ME"/>
        </w:rPr>
        <w:t>Lijek Nurofen Forte sadrži saharozu. Pacijenti sa rijetkim nasljednim poremećajem nepodnošenja fruktoze, malapsorpcijom glukoze i galaktoze ili insuficijencijom sukraza-izomaltaza ne bi trebali da uzimaju ovaj lijek.</w:t>
      </w:r>
    </w:p>
    <w:p w:rsidR="006C71BB" w:rsidRPr="006C71BB" w:rsidRDefault="006C71BB" w:rsidP="006C71BB">
      <w:pPr>
        <w:tabs>
          <w:tab w:val="left" w:pos="540"/>
          <w:tab w:val="left" w:pos="569"/>
        </w:tabs>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Posebna upozorenja za ovaj lijek: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Savjet za pacijente kojima je propisana dijeta sa ograničenim unosom natrijuma, a koji uzimaju 2 ili više tableta  lijeka Nurofen Forte na dan: Ovaj lijek sadrži 1,1 mmol (ili 25,3 mg) natrijuma po dozi (1 tableta). O tome treba voditi računa kod pacijenata sa ograničenjem unosa natrijuma. </w:t>
      </w:r>
    </w:p>
    <w:p w:rsidR="006C71BB" w:rsidRPr="006C71BB" w:rsidRDefault="006C71BB" w:rsidP="006C71BB">
      <w:pPr>
        <w:tabs>
          <w:tab w:val="left" w:pos="540"/>
          <w:tab w:val="left" w:pos="569"/>
        </w:tabs>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Ukoliko simptomi ne nestaju ili se pogoršavaju, ili ukoliko se pojave novi simptomi obavijestite Vašeg ljekara ili farmaceuta.</w:t>
      </w:r>
    </w:p>
    <w:p w:rsid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lastRenderedPageBreak/>
        <w:t>4.5  Interakcije sa drugim ljekovima i drugi oblici interakcija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autoSpaceDE w:val="0"/>
        <w:autoSpaceDN w:val="0"/>
        <w:adjustRightInd w:val="0"/>
        <w:spacing w:after="0"/>
        <w:jc w:val="both"/>
        <w:rPr>
          <w:rFonts w:ascii="Times New Roman" w:hAnsi="Times New Roman" w:cs="Times New Roman"/>
          <w:bCs/>
          <w:color w:val="000000"/>
          <w:u w:val="single"/>
          <w:lang w:val="sr-Latn-RS" w:eastAsia="sr-Latn-ME"/>
        </w:rPr>
      </w:pPr>
      <w:r w:rsidRPr="006C71BB">
        <w:rPr>
          <w:rFonts w:ascii="Times New Roman" w:hAnsi="Times New Roman" w:cs="Times New Roman"/>
          <w:bCs/>
          <w:color w:val="000000"/>
          <w:u w:val="single"/>
          <w:lang w:val="sr-Latn-RS" w:eastAsia="sr-Latn-ME"/>
        </w:rPr>
        <w:t xml:space="preserve">Istovremenu upotrebu ibuprofena (kao i drugih NSAIL) u kombinaciji sa sljedećim ljekovima treba izbjegavati: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widowControl w:val="0"/>
        <w:overflowPunct w:val="0"/>
        <w:autoSpaceDE w:val="0"/>
        <w:autoSpaceDN w:val="0"/>
        <w:adjustRightInd w:val="0"/>
        <w:spacing w:after="0" w:line="269" w:lineRule="auto"/>
        <w:ind w:right="80"/>
        <w:jc w:val="both"/>
        <w:rPr>
          <w:rFonts w:ascii="Times New Roman" w:hAnsi="Times New Roman" w:cs="Times New Roman"/>
          <w:i/>
          <w:iCs/>
          <w:color w:val="000000"/>
          <w:u w:val="single"/>
          <w:lang w:val="sr-Latn-RS" w:eastAsia="sr-Latn-ME"/>
        </w:rPr>
      </w:pPr>
      <w:r w:rsidRPr="006C71BB">
        <w:rPr>
          <w:rFonts w:ascii="Times New Roman" w:hAnsi="Times New Roman" w:cs="Times New Roman"/>
          <w:bCs/>
          <w:i/>
          <w:iCs/>
          <w:color w:val="000000"/>
          <w:u w:val="single"/>
          <w:lang w:val="sr-Latn-RS" w:eastAsia="sr-Latn-ME"/>
        </w:rPr>
        <w:t>Acetilsalicilna kisjelina</w:t>
      </w:r>
      <w:r w:rsidRPr="006C71BB">
        <w:rPr>
          <w:rFonts w:ascii="Times New Roman" w:hAnsi="Times New Roman" w:cs="Times New Roman"/>
          <w:i/>
          <w:iCs/>
          <w:color w:val="000000"/>
          <w:u w:val="single"/>
          <w:lang w:val="sr-Latn-RS" w:eastAsia="sr-Latn-ME"/>
        </w:rPr>
        <w:t xml:space="preserve">: </w:t>
      </w:r>
    </w:p>
    <w:p w:rsidR="006C71BB" w:rsidRPr="006C71BB" w:rsidRDefault="006C71BB" w:rsidP="006C71BB">
      <w:pPr>
        <w:widowControl w:val="0"/>
        <w:autoSpaceDE w:val="0"/>
        <w:autoSpaceDN w:val="0"/>
        <w:adjustRightInd w:val="0"/>
        <w:spacing w:after="0" w:line="176" w:lineRule="exact"/>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Istovremena primjena ibuprofena i acetilsalicilne kisjeline generalno se ne preporučuje zbog veće mogućnosti neželjenih reakcija.</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Eksperimentalni podaci pokazuju da ibuprofen može kompetitivno inhibirati efekat niske doze acetilsalicilne kisjeline na agregaciju trombocita, ako se oba lijeka uzimaju istovremeno. Iako postoje nesigurnosti prilikom ekstrapolacije ovih podataka na kliničku praksu, mogućnost da redovna, dugotrajna primjena ibuprofena može smanjiti kardioprotektivni efekat niske doze acetilsalicilne kisjeline ne može se isključiti. Smatra se da pri povremenom uzimanju ibuprofena klinički značajan uticaj nije vjerovatan (vidjeti dio 5.1).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u w:val="single"/>
          <w:lang w:val="sr-Latn-RS" w:eastAsia="sr-Latn-ME"/>
        </w:rPr>
      </w:pPr>
      <w:r w:rsidRPr="006C71BB">
        <w:rPr>
          <w:rFonts w:ascii="Times New Roman" w:hAnsi="Times New Roman" w:cs="Times New Roman"/>
          <w:i/>
          <w:iCs/>
          <w:color w:val="000000"/>
          <w:u w:val="single"/>
          <w:lang w:val="sr-Latn-RS" w:eastAsia="sr-Latn-ME"/>
        </w:rPr>
        <w:t xml:space="preserve">Ostalim NSAIL ljekovima uključujući selektivne inhibitore ciklooksigenaze-2: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Mora se izbjegavati istovremena upotreba dva ili više NSAIL ljekova budući da to može dovesti do povećanog rizika od nastanka neželjenih reakcija (vidjeti dio 4.4).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u w:val="single"/>
          <w:lang w:val="sr-Latn-RS" w:eastAsia="sr-Latn-ME"/>
        </w:rPr>
      </w:pPr>
      <w:r w:rsidRPr="006C71BB">
        <w:rPr>
          <w:rFonts w:ascii="Times New Roman" w:hAnsi="Times New Roman" w:cs="Times New Roman"/>
          <w:color w:val="000000"/>
          <w:u w:val="single"/>
          <w:lang w:val="sr-Latn-RS" w:eastAsia="sr-Latn-ME"/>
        </w:rPr>
        <w:t xml:space="preserve">Treba biti oprezan kada se u kombinaciji sa ibuprofenom koriste: </w:t>
      </w:r>
    </w:p>
    <w:p w:rsidR="006C71BB" w:rsidRPr="006C71BB" w:rsidRDefault="006C71BB" w:rsidP="006C71BB">
      <w:pPr>
        <w:autoSpaceDE w:val="0"/>
        <w:autoSpaceDN w:val="0"/>
        <w:adjustRightInd w:val="0"/>
        <w:spacing w:after="0"/>
        <w:jc w:val="both"/>
        <w:rPr>
          <w:rFonts w:ascii="Times New Roman" w:hAnsi="Times New Roman" w:cs="Times New Roman"/>
          <w:b/>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Kortikosteroidi: </w:t>
      </w:r>
      <w:r w:rsidRPr="006C71BB">
        <w:rPr>
          <w:rFonts w:ascii="Times New Roman" w:hAnsi="Times New Roman" w:cs="Times New Roman"/>
          <w:color w:val="000000"/>
          <w:lang w:val="sr-Latn-RS" w:eastAsia="sr-Latn-ME"/>
        </w:rPr>
        <w:t xml:space="preserve">povećan rizik od nastanka gastrointestinalnih ulceracija ili krvarenja (vidjeti dio 4.4).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Antihipertenzivi (ACE inhibitori i antagonisti angiotenzina II) i diuretici: </w:t>
      </w:r>
      <w:r w:rsidRPr="006C71BB">
        <w:rPr>
          <w:rFonts w:ascii="Times New Roman" w:hAnsi="Times New Roman" w:cs="Times New Roman"/>
          <w:color w:val="000000"/>
          <w:lang w:val="sr-Latn-RS" w:eastAsia="sr-Latn-ME"/>
        </w:rPr>
        <w:t xml:space="preserve">NSAIL mogu umanjiti dejstvo ovih ljekova. Istovremena primjena ACE inhibitora ili antagonista angiotenzina II sa ljekovima koji inhibiraju ciklooksigenazu kod nekih pacijenata sa oslabljenom funkcijom bubrega (npr. dehidrirani pacijenti ili stariji pacijenti sa oslabljenom funkcijom bubrega) može uzrokovati dalje pogoršanje funkcije bubrega, uključujući moguću akutnu insuficijenciju bubrega, koja je najčešće reverzibilna. Podatak o ovim interakcijama treba uzeti u obzir kod pacijenata koji istovremeno koriste ACE inhibitore ili antagoniste angiotenzina II i koksibe. Stoga, ove kombinacije treba koristiti oprezno, posebno kod  starijih pacijenata. Pacijente treba adekvatno hidrirati i razmotriti praćenje funkcije bubrega nakon početka terapije i periodično tokom terapije. Diuretici mogu povećati rizik od nefrotoksičnosti NSAIL.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Oralni antikoagulansi</w:t>
      </w:r>
      <w:r w:rsidRPr="006C71BB">
        <w:rPr>
          <w:rFonts w:ascii="Times New Roman" w:hAnsi="Times New Roman" w:cs="Times New Roman"/>
          <w:color w:val="000000"/>
          <w:lang w:val="sr-Latn-RS" w:eastAsia="sr-Latn-ME"/>
        </w:rPr>
        <w:t xml:space="preserve">: NSAIL mogu pojačati antikoagulantni efekat ovih ljekova, uključujući varfarin (vidjeti dio 4.4).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Antitrombotici i </w:t>
      </w:r>
      <w:r w:rsidRPr="006C71BB">
        <w:rPr>
          <w:rFonts w:ascii="Times New Roman" w:hAnsi="Times New Roman" w:cs="Times New Roman"/>
          <w:i/>
          <w:lang w:val="sr-Latn-RS" w:eastAsia="sr-Latn-ME"/>
        </w:rPr>
        <w:t>selektivni inhibitori ponovnog preuzimanja serotonina</w:t>
      </w:r>
      <w:r w:rsidRPr="006C71BB">
        <w:rPr>
          <w:rFonts w:ascii="Times New Roman" w:hAnsi="Times New Roman" w:cs="Times New Roman"/>
          <w:i/>
          <w:iCs/>
          <w:color w:val="000000"/>
          <w:lang w:val="sr-Latn-RS" w:eastAsia="sr-Latn-ME"/>
        </w:rPr>
        <w:t xml:space="preserve">: </w:t>
      </w:r>
      <w:r w:rsidRPr="006C71BB">
        <w:rPr>
          <w:rFonts w:ascii="Times New Roman" w:hAnsi="Times New Roman" w:cs="Times New Roman"/>
          <w:color w:val="000000"/>
          <w:lang w:val="sr-Latn-RS" w:eastAsia="sr-Latn-ME"/>
        </w:rPr>
        <w:t xml:space="preserve">povećan rizik krvarenja iz probavnog sistema (vidjeti dio 4.4). </w:t>
      </w:r>
    </w:p>
    <w:p w:rsidR="006C71BB" w:rsidRPr="006C71BB" w:rsidRDefault="006C71BB" w:rsidP="006C71BB">
      <w:pPr>
        <w:autoSpaceDE w:val="0"/>
        <w:autoSpaceDN w:val="0"/>
        <w:adjustRightInd w:val="0"/>
        <w:spacing w:after="0"/>
        <w:jc w:val="both"/>
        <w:rPr>
          <w:rFonts w:ascii="Times New Roman" w:hAnsi="Times New Roman" w:cs="Times New Roman"/>
          <w:i/>
          <w:iCs/>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Srčani glikozidi: </w:t>
      </w:r>
      <w:r w:rsidRPr="006C71BB">
        <w:rPr>
          <w:rFonts w:ascii="Times New Roman" w:hAnsi="Times New Roman" w:cs="Times New Roman"/>
          <w:color w:val="000000"/>
          <w:lang w:val="sr-Latn-RS" w:eastAsia="sr-Latn-ME"/>
        </w:rPr>
        <w:t xml:space="preserve">NSAIL ljekovi mogu pogoršati otkazivanje srca, smanjiti GFR i povećati nivo glikozida u plazmi.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 xml:space="preserve">Litijum: </w:t>
      </w:r>
      <w:r w:rsidRPr="006C71BB">
        <w:rPr>
          <w:rFonts w:ascii="Times New Roman" w:hAnsi="Times New Roman" w:cs="Times New Roman"/>
          <w:color w:val="000000"/>
          <w:lang w:val="sr-Latn-RS" w:eastAsia="sr-Latn-ME"/>
        </w:rPr>
        <w:t xml:space="preserve">dokazano je moguće povećanje koncentracije litijuma u plazmi.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t>Metotreksat</w:t>
      </w:r>
      <w:r w:rsidRPr="006C71BB">
        <w:rPr>
          <w:rFonts w:ascii="Times New Roman" w:hAnsi="Times New Roman" w:cs="Times New Roman"/>
          <w:color w:val="000000"/>
          <w:lang w:val="sr-Latn-RS" w:eastAsia="sr-Latn-ME"/>
        </w:rPr>
        <w:t xml:space="preserve">: postoji mogućnost povećanja koncentracije metotreksata u plazmi.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i/>
          <w:iCs/>
          <w:color w:val="000000"/>
          <w:lang w:val="sr-Latn-RS" w:eastAsia="sr-Latn-ME"/>
        </w:rPr>
        <w:lastRenderedPageBreak/>
        <w:t xml:space="preserve">Ciklosporin: </w:t>
      </w:r>
      <w:r w:rsidRPr="006C71BB">
        <w:rPr>
          <w:rFonts w:ascii="Times New Roman" w:hAnsi="Times New Roman" w:cs="Times New Roman"/>
          <w:color w:val="000000"/>
          <w:lang w:val="sr-Latn-RS" w:eastAsia="sr-Latn-ME"/>
        </w:rPr>
        <w:t xml:space="preserve">povećava rizik od nefrotoksičnosti.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Mifepriston: </w:t>
      </w:r>
      <w:r w:rsidRPr="006C71BB">
        <w:rPr>
          <w:rFonts w:ascii="Times New Roman" w:hAnsi="Times New Roman" w:cs="Times New Roman"/>
          <w:lang w:val="sr-Latn-RS" w:eastAsia="sr-Latn-ME"/>
        </w:rPr>
        <w:t xml:space="preserve">NSAIL ljekove ne treba koristiti 8 do 12 dana nakon primjene mifepristona jer mogu smanjiti njegov efekat.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Takrolimus: </w:t>
      </w:r>
      <w:r w:rsidRPr="006C71BB">
        <w:rPr>
          <w:rFonts w:ascii="Times New Roman" w:hAnsi="Times New Roman" w:cs="Times New Roman"/>
          <w:lang w:val="sr-Latn-RS" w:eastAsia="sr-Latn-ME"/>
        </w:rPr>
        <w:t xml:space="preserve">kada se NSAIL ljekovi uzimaju istovremeno sa takrolimusom povećana je mogućnost od pojave nefrotoksičnosti.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r w:rsidRPr="006C71BB">
        <w:rPr>
          <w:rFonts w:ascii="Times New Roman" w:hAnsi="Times New Roman" w:cs="Times New Roman"/>
          <w:i/>
          <w:iCs/>
          <w:lang w:val="sr-Latn-RS" w:eastAsia="sr-Latn-ME"/>
        </w:rPr>
        <w:t xml:space="preserve">Zidovudin: </w:t>
      </w:r>
      <w:r w:rsidRPr="006C71BB">
        <w:rPr>
          <w:rFonts w:ascii="Times New Roman" w:hAnsi="Times New Roman" w:cs="Times New Roman"/>
          <w:lang w:val="sr-Latn-RS" w:eastAsia="sr-Latn-ME"/>
        </w:rPr>
        <w:t xml:space="preserve">kada se zidovudin primjenjuje sa NSAIL ljekovima postoji rizik od hematološke toksičnosti. Dokazano je da kod HIV-pozitivnih pacijenata sa hemofilijom, uzimanje ibuprofena sa zidovudinom dovodi do povećanog rizika od nastanka hemartroza i hematoma. </w:t>
      </w:r>
    </w:p>
    <w:p w:rsidR="006C71BB" w:rsidRPr="006C71BB" w:rsidRDefault="006C71BB" w:rsidP="006C71BB">
      <w:pPr>
        <w:autoSpaceDE w:val="0"/>
        <w:autoSpaceDN w:val="0"/>
        <w:adjustRightInd w:val="0"/>
        <w:spacing w:after="0"/>
        <w:jc w:val="both"/>
        <w:rPr>
          <w:rFonts w:ascii="Times New Roman" w:hAnsi="Times New Roman" w:cs="Times New Roman"/>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b/>
          <w:bCs/>
          <w:i/>
          <w:iCs/>
          <w:color w:val="000000"/>
          <w:lang w:val="sr-Latn-RS" w:eastAsia="sr-Latn-ME"/>
        </w:rPr>
      </w:pPr>
      <w:r w:rsidRPr="006C71BB">
        <w:rPr>
          <w:rFonts w:ascii="Times New Roman" w:hAnsi="Times New Roman" w:cs="Times New Roman"/>
          <w:i/>
          <w:iCs/>
          <w:lang w:val="sr-Latn-RS" w:eastAsia="sr-Latn-ME"/>
        </w:rPr>
        <w:t xml:space="preserve">Hinolonski antibiotici: </w:t>
      </w:r>
      <w:r w:rsidRPr="006C71BB">
        <w:rPr>
          <w:rFonts w:ascii="Times New Roman" w:hAnsi="Times New Roman" w:cs="Times New Roman"/>
          <w:lang w:val="sr-Latn-RS" w:eastAsia="sr-Latn-ME"/>
        </w:rPr>
        <w:t>ispitivanja na životinjama pokazala su da NSAIL ljekovi mogu povećati rizik od razvoja konvulzija povezanih sa hinolonskim antibioticima. Pacijenti koji uzimaju NSAIL i hinolonske antibiotike mogu imati povećan rizik od razvoja konvulzija.</w:t>
      </w:r>
    </w:p>
    <w:p w:rsidR="006C71BB" w:rsidRPr="006C71BB" w:rsidRDefault="006C71BB" w:rsidP="006C71BB">
      <w:pPr>
        <w:pStyle w:val="ListParagraph"/>
        <w:jc w:val="both"/>
        <w:rPr>
          <w:bCs/>
          <w:sz w:val="22"/>
          <w:szCs w:val="22"/>
          <w:lang w:val="ru-RU"/>
        </w:rPr>
      </w:pPr>
    </w:p>
    <w:p w:rsidR="006C71BB" w:rsidRPr="006C71BB" w:rsidRDefault="006C71BB" w:rsidP="006C71BB">
      <w:pPr>
        <w:tabs>
          <w:tab w:val="left" w:pos="540"/>
          <w:tab w:val="left" w:pos="569"/>
        </w:tabs>
        <w:spacing w:after="0"/>
        <w:jc w:val="both"/>
        <w:rPr>
          <w:rFonts w:ascii="Times New Roman" w:hAnsi="Times New Roman" w:cs="Times New Roman"/>
          <w:b/>
          <w:lang w:val="sr-Latn-CS"/>
        </w:rPr>
      </w:pPr>
      <w:r w:rsidRPr="006C71BB">
        <w:rPr>
          <w:rFonts w:ascii="Times New Roman" w:hAnsi="Times New Roman" w:cs="Times New Roman"/>
          <w:b/>
          <w:bCs/>
        </w:rPr>
        <w:t xml:space="preserve">4.6. </w:t>
      </w:r>
      <w:r w:rsidRPr="006C71BB">
        <w:rPr>
          <w:rFonts w:ascii="Times New Roman" w:hAnsi="Times New Roman" w:cs="Times New Roman"/>
          <w:b/>
          <w:bCs/>
        </w:rPr>
        <w:tab/>
      </w:r>
      <w:r w:rsidRPr="006C71BB">
        <w:rPr>
          <w:rFonts w:ascii="Times New Roman" w:hAnsi="Times New Roman" w:cs="Times New Roman"/>
          <w:b/>
          <w:lang w:val="sr-Latn-CS"/>
        </w:rPr>
        <w:t>Plodnost, trudnoća i dojenje</w:t>
      </w:r>
    </w:p>
    <w:p w:rsidR="006C71BB" w:rsidRPr="006C71BB" w:rsidRDefault="006C71BB" w:rsidP="006C71BB">
      <w:pPr>
        <w:tabs>
          <w:tab w:val="left" w:pos="540"/>
          <w:tab w:val="left" w:pos="569"/>
        </w:tabs>
        <w:spacing w:after="0"/>
        <w:jc w:val="both"/>
        <w:rPr>
          <w:rFonts w:ascii="Times New Roman" w:hAnsi="Times New Roman" w:cs="Times New Roman"/>
          <w:u w:val="single"/>
        </w:rPr>
      </w:pPr>
    </w:p>
    <w:p w:rsidR="006C71BB" w:rsidRPr="006C71BB" w:rsidRDefault="006C71BB" w:rsidP="006C71BB">
      <w:pPr>
        <w:tabs>
          <w:tab w:val="left" w:pos="540"/>
          <w:tab w:val="left" w:pos="569"/>
        </w:tabs>
        <w:spacing w:after="0"/>
        <w:jc w:val="both"/>
        <w:rPr>
          <w:rFonts w:ascii="Times New Roman" w:hAnsi="Times New Roman" w:cs="Times New Roman"/>
          <w:bCs/>
          <w:u w:val="single"/>
        </w:rPr>
      </w:pPr>
      <w:r w:rsidRPr="006C71BB">
        <w:rPr>
          <w:rFonts w:ascii="Times New Roman" w:hAnsi="Times New Roman" w:cs="Times New Roman"/>
          <w:bCs/>
          <w:u w:val="single"/>
        </w:rPr>
        <w:t>Trudnoća</w:t>
      </w: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rPr>
        <w:t xml:space="preserve">Inhibicija sinteze prostaglandina može negativno uticati na trudnoću i/ili embrio-fetalni razvoj. Podaci iz epidemioloških ispitivanja ukazuju na povećan rizik od pobačaja, srčanih malformacija i gastroshize nakon primjene inhibitora sinteze prostaglandina u ranoj trudnoći. Vjeruje se da se rizik povećava sa povećanjem doze i trajanjem terapije. </w:t>
      </w: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rPr>
        <w:t>Apsolutni rizik od kardiovaskularnih malformacija bio je povećan sa manje od 1% na približno 1,5%. Kod životinja se pokazalo da je primjena inhibitora sinteze prostaglandina rezultirala povećanim pre- i post-implantacijskim gubitkom i embrio-fetalnom smrtnošću. Uz to, kod životinja kojima su se davali inhibitori sinteze prostaglandina za vrijeme organogeneze, zabilježena je veća učestalost različitih malformacija, uključujući i kardiovaskularne.</w:t>
      </w: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rPr>
        <w:t xml:space="preserve"> </w:t>
      </w:r>
    </w:p>
    <w:p w:rsidR="006C71BB" w:rsidRPr="006C71BB" w:rsidRDefault="006C71BB" w:rsidP="006C71BB">
      <w:pPr>
        <w:pStyle w:val="Default"/>
        <w:jc w:val="both"/>
        <w:rPr>
          <w:sz w:val="22"/>
          <w:szCs w:val="22"/>
        </w:rPr>
      </w:pPr>
      <w:r w:rsidRPr="006C71BB">
        <w:rPr>
          <w:sz w:val="22"/>
          <w:szCs w:val="22"/>
        </w:rPr>
        <w:t xml:space="preserve">Tokom prvog i drugog trimestra trudnoće ibuprofen se ne smije primjenjivati, osim ako je to nužno. Ako se ibuprofen primjenjuje kod žena koje pokušavaju začeti ili tokom prvog i drugog trimestra trudnoće, treba primjenjivati najmanje moguće doze tokom najkraćeg mogućeg perioda. </w:t>
      </w:r>
    </w:p>
    <w:p w:rsidR="006C71BB" w:rsidRPr="006C71BB" w:rsidRDefault="006C71BB" w:rsidP="006C71BB">
      <w:pPr>
        <w:pStyle w:val="Default"/>
        <w:jc w:val="both"/>
        <w:rPr>
          <w:sz w:val="22"/>
          <w:szCs w:val="22"/>
        </w:rPr>
      </w:pPr>
    </w:p>
    <w:p w:rsidR="006C71BB" w:rsidRPr="006C71BB" w:rsidRDefault="006C71BB" w:rsidP="006C71BB">
      <w:pPr>
        <w:pStyle w:val="Default"/>
        <w:jc w:val="both"/>
        <w:rPr>
          <w:sz w:val="22"/>
          <w:szCs w:val="22"/>
        </w:rPr>
      </w:pPr>
      <w:r w:rsidRPr="006C71BB">
        <w:rPr>
          <w:sz w:val="22"/>
          <w:szCs w:val="22"/>
        </w:rPr>
        <w:t xml:space="preserve">U zadnjem trimestra trudnoće uzimanje ibuprofena je kontraindikovano, jer inhibicije sinteze prostaglandina mogže dovesti do: </w:t>
      </w:r>
    </w:p>
    <w:p w:rsidR="006C71BB" w:rsidRPr="006C71BB" w:rsidRDefault="006C71BB" w:rsidP="006C71BB">
      <w:pPr>
        <w:pStyle w:val="Default"/>
        <w:jc w:val="both"/>
        <w:rPr>
          <w:sz w:val="22"/>
          <w:szCs w:val="22"/>
        </w:rPr>
      </w:pPr>
    </w:p>
    <w:p w:rsidR="006C71BB" w:rsidRPr="006C71BB" w:rsidRDefault="006C71BB" w:rsidP="006C71BB">
      <w:pPr>
        <w:pStyle w:val="Default"/>
        <w:numPr>
          <w:ilvl w:val="0"/>
          <w:numId w:val="17"/>
        </w:numPr>
        <w:jc w:val="both"/>
        <w:rPr>
          <w:sz w:val="22"/>
          <w:szCs w:val="22"/>
        </w:rPr>
      </w:pPr>
      <w:r w:rsidRPr="006C71BB">
        <w:rPr>
          <w:sz w:val="22"/>
          <w:szCs w:val="22"/>
        </w:rPr>
        <w:t xml:space="preserve">kardiopulmonalne toksičnosti (sa preranim zatvaranjem ductusa arterioususa i moguće posljedične trajne plućne hipertenzije novorođenčeta); </w:t>
      </w:r>
    </w:p>
    <w:p w:rsidR="006C71BB" w:rsidRPr="006C71BB" w:rsidRDefault="006C71BB" w:rsidP="006C71BB">
      <w:pPr>
        <w:pStyle w:val="Default"/>
        <w:numPr>
          <w:ilvl w:val="0"/>
          <w:numId w:val="17"/>
        </w:numPr>
        <w:jc w:val="both"/>
        <w:rPr>
          <w:sz w:val="22"/>
          <w:szCs w:val="22"/>
        </w:rPr>
      </w:pPr>
      <w:r w:rsidRPr="006C71BB">
        <w:rPr>
          <w:sz w:val="22"/>
          <w:szCs w:val="22"/>
        </w:rPr>
        <w:t xml:space="preserve">poremećaja bubrežne funkcije, koja se može razviti u insuficijenciju bubrega sa oligohidraminozom </w:t>
      </w:r>
    </w:p>
    <w:p w:rsidR="006C71BB" w:rsidRPr="006C71BB" w:rsidRDefault="006C71BB" w:rsidP="006C71BB">
      <w:pPr>
        <w:pStyle w:val="Default"/>
        <w:jc w:val="both"/>
        <w:rPr>
          <w:sz w:val="22"/>
          <w:szCs w:val="22"/>
        </w:rPr>
      </w:pPr>
    </w:p>
    <w:p w:rsidR="006C71BB" w:rsidRPr="006C71BB" w:rsidRDefault="006C71BB" w:rsidP="006C71BB">
      <w:pPr>
        <w:pStyle w:val="Default"/>
        <w:jc w:val="both"/>
        <w:rPr>
          <w:sz w:val="22"/>
          <w:szCs w:val="22"/>
        </w:rPr>
      </w:pPr>
      <w:r w:rsidRPr="006C71BB">
        <w:rPr>
          <w:sz w:val="22"/>
          <w:szCs w:val="22"/>
        </w:rPr>
        <w:t xml:space="preserve">Isto tako, uzet pred porođaj, ibuprofen može uzrokovati: </w:t>
      </w:r>
    </w:p>
    <w:p w:rsidR="006C71BB" w:rsidRPr="006C71BB" w:rsidRDefault="006C71BB" w:rsidP="006C71BB">
      <w:pPr>
        <w:pStyle w:val="Default"/>
        <w:numPr>
          <w:ilvl w:val="0"/>
          <w:numId w:val="18"/>
        </w:numPr>
        <w:jc w:val="both"/>
        <w:rPr>
          <w:sz w:val="22"/>
          <w:szCs w:val="22"/>
        </w:rPr>
      </w:pPr>
      <w:r w:rsidRPr="006C71BB">
        <w:rPr>
          <w:sz w:val="22"/>
          <w:szCs w:val="22"/>
        </w:rPr>
        <w:t>povećanu sklonost krvarenju majke i novorođenčeta svojim anti-agregacijskim efektom koja se može javiti čak pri primjeni vrlo niskih doza (vidjeti dio 4.3).</w:t>
      </w:r>
    </w:p>
    <w:p w:rsidR="006C71BB" w:rsidRPr="006C71BB" w:rsidRDefault="006C71BB" w:rsidP="006C71BB">
      <w:pPr>
        <w:pStyle w:val="Default"/>
        <w:numPr>
          <w:ilvl w:val="0"/>
          <w:numId w:val="18"/>
        </w:numPr>
        <w:jc w:val="both"/>
        <w:rPr>
          <w:sz w:val="22"/>
          <w:szCs w:val="22"/>
        </w:rPr>
      </w:pPr>
      <w:r w:rsidRPr="006C71BB">
        <w:rPr>
          <w:sz w:val="22"/>
          <w:szCs w:val="22"/>
        </w:rPr>
        <w:t xml:space="preserve">inhibiciju kontrakcija maternice, što može rezultirati odloženim ili produženim porođajem. </w:t>
      </w:r>
    </w:p>
    <w:p w:rsidR="006C71BB" w:rsidRPr="006C71BB" w:rsidRDefault="006C71BB" w:rsidP="006C71BB">
      <w:pPr>
        <w:pStyle w:val="Default"/>
        <w:jc w:val="both"/>
        <w:rPr>
          <w:sz w:val="22"/>
          <w:szCs w:val="22"/>
        </w:rPr>
      </w:pPr>
      <w:r w:rsidRPr="006C71BB">
        <w:rPr>
          <w:sz w:val="22"/>
          <w:szCs w:val="22"/>
        </w:rPr>
        <w:lastRenderedPageBreak/>
        <w:t>Kao posljedica toga, lijek Nurofen Forte je kontraindikovan za vrijeme trećeg trimestra trudnoće.</w:t>
      </w:r>
    </w:p>
    <w:p w:rsidR="006C71BB" w:rsidRPr="006C71BB" w:rsidRDefault="006C71BB" w:rsidP="006C71BB">
      <w:pPr>
        <w:pStyle w:val="Default"/>
        <w:jc w:val="both"/>
        <w:rPr>
          <w:sz w:val="22"/>
          <w:szCs w:val="22"/>
        </w:rPr>
      </w:pPr>
    </w:p>
    <w:p w:rsidR="006C71BB" w:rsidRPr="006C71BB" w:rsidRDefault="006C71BB" w:rsidP="006C71BB">
      <w:pPr>
        <w:pStyle w:val="Default"/>
        <w:jc w:val="both"/>
        <w:rPr>
          <w:sz w:val="22"/>
          <w:szCs w:val="22"/>
          <w:u w:val="single"/>
        </w:rPr>
      </w:pPr>
      <w:r w:rsidRPr="006C71BB">
        <w:rPr>
          <w:sz w:val="22"/>
          <w:szCs w:val="22"/>
          <w:u w:val="single"/>
        </w:rPr>
        <w:t xml:space="preserve">Dojenje </w:t>
      </w:r>
    </w:p>
    <w:p w:rsidR="006C71BB" w:rsidRPr="006C71BB" w:rsidRDefault="006C71BB" w:rsidP="006C71BB">
      <w:pPr>
        <w:pStyle w:val="Default"/>
        <w:jc w:val="both"/>
        <w:rPr>
          <w:sz w:val="22"/>
          <w:szCs w:val="22"/>
        </w:rPr>
      </w:pPr>
      <w:r w:rsidRPr="006C71BB">
        <w:rPr>
          <w:sz w:val="22"/>
          <w:szCs w:val="22"/>
        </w:rPr>
        <w:t>U majčinom mlijeku ibuprofen postiže vrlo niske koncentracije za koje se pretpostavlja da nemaju štetnog uticaja na odojče.</w:t>
      </w:r>
    </w:p>
    <w:p w:rsidR="006C71BB" w:rsidRPr="006C71BB" w:rsidRDefault="006C71BB" w:rsidP="006C71BB">
      <w:pPr>
        <w:pStyle w:val="Default"/>
        <w:jc w:val="both"/>
        <w:rPr>
          <w:sz w:val="22"/>
          <w:szCs w:val="22"/>
        </w:rPr>
      </w:pPr>
    </w:p>
    <w:p w:rsidR="006C71BB" w:rsidRPr="006C71BB" w:rsidRDefault="006C71BB" w:rsidP="006C71BB">
      <w:pPr>
        <w:pStyle w:val="Default"/>
        <w:jc w:val="both"/>
        <w:rPr>
          <w:sz w:val="22"/>
          <w:szCs w:val="22"/>
          <w:u w:val="single"/>
        </w:rPr>
      </w:pPr>
      <w:r w:rsidRPr="006C71BB">
        <w:rPr>
          <w:sz w:val="22"/>
          <w:szCs w:val="22"/>
          <w:u w:val="single"/>
        </w:rPr>
        <w:t xml:space="preserve">Plodnost </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Postoje dokazi da primjena ljekova koji inhibiraju ciklooksigenazu/sintezu prostaglandina može uticati na plodnost u žena dejstvom na ovulaciju. Ova pojava se povlači nakon prestanka uzimanja lijeka. Vidjeti dio 4.4 vezano uz plodnost kod žena.</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ind w:left="540" w:hanging="540"/>
        <w:jc w:val="both"/>
        <w:rPr>
          <w:rFonts w:ascii="Times New Roman" w:hAnsi="Times New Roman" w:cs="Times New Roman"/>
          <w:b/>
          <w:bCs/>
        </w:rPr>
      </w:pPr>
      <w:r w:rsidRPr="006C71BB">
        <w:rPr>
          <w:rFonts w:ascii="Times New Roman" w:hAnsi="Times New Roman" w:cs="Times New Roman"/>
          <w:b/>
          <w:bCs/>
        </w:rPr>
        <w:t xml:space="preserve">4.7. </w:t>
      </w:r>
      <w:r w:rsidRPr="006C71BB">
        <w:rPr>
          <w:rFonts w:ascii="Times New Roman" w:hAnsi="Times New Roman" w:cs="Times New Roman"/>
          <w:b/>
          <w:bCs/>
        </w:rPr>
        <w:tab/>
        <w:t>Uticaj na sposobnost  upravljanja vozilima i rukovanje mašinama</w:t>
      </w:r>
    </w:p>
    <w:p w:rsidR="006C71BB" w:rsidRPr="006C71BB" w:rsidRDefault="006C71BB" w:rsidP="006C71BB">
      <w:pPr>
        <w:tabs>
          <w:tab w:val="left" w:pos="540"/>
          <w:tab w:val="left" w:pos="569"/>
        </w:tabs>
        <w:spacing w:after="0"/>
        <w:ind w:left="540" w:hanging="54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Ne očekuje se da uzimanje lijeka Nurofen Forte u propisanoj dozi i preporučenom trajanju liječenja </w:t>
      </w:r>
      <w:r w:rsidRPr="006C71BB">
        <w:rPr>
          <w:rFonts w:ascii="Times New Roman" w:hAnsi="Times New Roman" w:cs="Times New Roman"/>
          <w:lang w:val="sr-Latn-RS" w:eastAsia="sr-Latn-ME"/>
        </w:rPr>
        <w:t>utiče na sposobnost upravljanja vozilima i rukovanja mašinama. Pri višim dozama ibuprofena moguć je razvoj neželjenih reakcija koje zahvataju centralni nervni sistem, poput umora i vrtoglavice, što može oslabiti sposobnost reagovanja i aktivnog učestvovanja u vožnji ili rada sa mašinama. To je u većoj mjeri prisutno kod kombinacije sa alkoholom.</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b/>
          <w:bCs/>
        </w:rPr>
        <w:t xml:space="preserve">4.8. </w:t>
      </w:r>
      <w:r w:rsidRPr="006C71BB">
        <w:rPr>
          <w:rFonts w:ascii="Times New Roman" w:hAnsi="Times New Roman" w:cs="Times New Roman"/>
          <w:b/>
          <w:bCs/>
        </w:rPr>
        <w:tab/>
        <w:t>Neželjena dejstva</w:t>
      </w:r>
    </w:p>
    <w:p w:rsidR="006C71BB" w:rsidRPr="006C71BB" w:rsidRDefault="006C71BB" w:rsidP="006C71BB">
      <w:pPr>
        <w:pStyle w:val="Default"/>
        <w:jc w:val="both"/>
        <w:rPr>
          <w:sz w:val="22"/>
          <w:szCs w:val="22"/>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Spisak sljedećih neželjenih dejstava odnosi se na ona zabilježena pri primjeni ibuprofena u OTC dozama i kratkotrajnoj upotrebi. Pri liječenju hroničnih stanja, dugotrajnom liječenju, može doći do razvoja drugih neželjenih dejstava.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Neželjena dejstva koja su zabilježena nakon primjene ibuprofena su prikazana prema organskim sistemima i učestalosti. Učestalost je definisana kao: veoma često (≥ 1/10), često (≥ 1/100 i &lt; 1/10), povremeno (≥ 1/1,000 i &lt; 1/100), rijetko (≥ 1/10,000 i &lt; 1/1,000), veoma rijetko (&lt; 1/10,000) i nepoznato (učestalost se ne može procijeniti iz dostupnih podataka). Unutar svake grupe prema učestalosti, neželjena dejstva su navedena od ozbiljnih prema manje ozbiljnima.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Najčešće zabilježena neželjena dejstva su vezana za probavni sistem.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Neželjena dejstva su uglavnom dozno zavisna, posebno rizik od pojave krvarenja iz probavnog sistema koji zavisi od doze i dužine trajanja terapije. </w:t>
      </w:r>
    </w:p>
    <w:p w:rsidR="006C71BB" w:rsidRPr="006C71BB" w:rsidRDefault="006C71BB" w:rsidP="006C71BB">
      <w:pPr>
        <w:widowControl w:val="0"/>
        <w:autoSpaceDE w:val="0"/>
        <w:autoSpaceDN w:val="0"/>
        <w:adjustRightInd w:val="0"/>
        <w:spacing w:after="0" w:line="211" w:lineRule="exact"/>
        <w:jc w:val="both"/>
        <w:rPr>
          <w:rFonts w:ascii="Times New Roman" w:eastAsiaTheme="minorEastAsia" w:hAnsi="Times New Roman" w:cs="Times New Roman"/>
          <w:lang w:val="sr-Latn-RS" w:eastAsia="sr-Latn-RS"/>
        </w:rPr>
      </w:pPr>
      <w:r w:rsidRPr="006C71BB">
        <w:rPr>
          <w:rFonts w:ascii="Times New Roman" w:hAnsi="Times New Roman" w:cs="Times New Roman"/>
          <w:color w:val="000000"/>
          <w:lang w:val="sr-Latn-RS" w:eastAsia="sr-Latn-ME"/>
        </w:rPr>
        <w:t>Klinička ispitivanja upućuju na to da primjena ibuprofena, naročito u visokoj dozi (2400 mg/dan), može biti povezana sa blago povećanim rizikom od arterijskih trombotičnih događaja (na primjer, infarkta miokarda ili moždanog udara) (vidjeti dio 4.4).</w:t>
      </w:r>
    </w:p>
    <w:p w:rsidR="006C71BB" w:rsidRPr="006C71BB" w:rsidRDefault="006C71BB" w:rsidP="006C71BB">
      <w:pPr>
        <w:tabs>
          <w:tab w:val="left" w:pos="540"/>
          <w:tab w:val="left" w:pos="569"/>
        </w:tabs>
        <w:spacing w:after="0"/>
        <w:jc w:val="both"/>
        <w:rPr>
          <w:rFonts w:ascii="Times New Roman" w:hAnsi="Times New Roman" w:cs="Times New Roman"/>
          <w:bCs/>
          <w:highlight w:val="yellow"/>
        </w:rPr>
      </w:pPr>
    </w:p>
    <w:tbl>
      <w:tblPr>
        <w:tblW w:w="9165" w:type="dxa"/>
        <w:tblBorders>
          <w:top w:val="nil"/>
          <w:left w:val="nil"/>
          <w:bottom w:val="nil"/>
          <w:right w:val="nil"/>
        </w:tblBorders>
        <w:tblLayout w:type="fixed"/>
        <w:tblLook w:val="0000" w:firstRow="0" w:lastRow="0" w:firstColumn="0" w:lastColumn="0" w:noHBand="0" w:noVBand="0"/>
      </w:tblPr>
      <w:tblGrid>
        <w:gridCol w:w="2701"/>
        <w:gridCol w:w="2701"/>
        <w:gridCol w:w="3763"/>
      </w:tblGrid>
      <w:tr w:rsidR="006C71BB" w:rsidRPr="006C71BB" w:rsidTr="006C71BB">
        <w:trPr>
          <w:trHeight w:val="98"/>
        </w:trPr>
        <w:tc>
          <w:tcPr>
            <w:tcW w:w="2701" w:type="dxa"/>
            <w:tcBorders>
              <w:top w:val="single" w:sz="12" w:space="0" w:color="auto"/>
              <w:left w:val="single" w:sz="12" w:space="0" w:color="auto"/>
              <w:bottom w:val="single" w:sz="8"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b/>
                <w:bCs/>
                <w:color w:val="000000"/>
                <w:lang w:val="sr-Latn-RS" w:eastAsia="sr-Latn-ME"/>
              </w:rPr>
              <w:t xml:space="preserve">Organski sistem </w:t>
            </w:r>
          </w:p>
        </w:tc>
        <w:tc>
          <w:tcPr>
            <w:tcW w:w="2701" w:type="dxa"/>
            <w:tcBorders>
              <w:top w:val="single" w:sz="12" w:space="0" w:color="auto"/>
              <w:left w:val="single" w:sz="12" w:space="0" w:color="auto"/>
              <w:bottom w:val="single" w:sz="4"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b/>
                <w:bCs/>
                <w:color w:val="000000"/>
                <w:lang w:val="sr-Latn-RS" w:eastAsia="sr-Latn-ME"/>
              </w:rPr>
              <w:t xml:space="preserve">Učestalost </w:t>
            </w:r>
          </w:p>
        </w:tc>
        <w:tc>
          <w:tcPr>
            <w:tcW w:w="3763" w:type="dxa"/>
            <w:tcBorders>
              <w:top w:val="single" w:sz="12" w:space="0" w:color="auto"/>
              <w:left w:val="single" w:sz="12" w:space="0" w:color="auto"/>
              <w:bottom w:val="single" w:sz="4"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 xml:space="preserve">Neželjena dejstva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r>
      <w:tr w:rsidR="006C71BB" w:rsidRPr="006C71BB" w:rsidTr="006C71BB">
        <w:trPr>
          <w:trHeight w:val="303"/>
        </w:trPr>
        <w:tc>
          <w:tcPr>
            <w:tcW w:w="2701" w:type="dxa"/>
            <w:tcBorders>
              <w:top w:val="single" w:sz="8" w:space="0" w:color="auto"/>
              <w:left w:val="single" w:sz="8" w:space="0" w:color="auto"/>
              <w:bottom w:val="nil"/>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c>
          <w:tcPr>
            <w:tcW w:w="2701" w:type="dxa"/>
            <w:tcBorders>
              <w:top w:val="single" w:sz="4" w:space="0" w:color="auto"/>
              <w:left w:val="single" w:sz="4" w:space="0" w:color="auto"/>
              <w:bottom w:val="single" w:sz="4"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 xml:space="preserve">  </w:t>
            </w:r>
          </w:p>
        </w:tc>
        <w:tc>
          <w:tcPr>
            <w:tcW w:w="3763" w:type="dxa"/>
            <w:tcBorders>
              <w:top w:val="single" w:sz="4" w:space="0" w:color="auto"/>
              <w:left w:val="single" w:sz="12" w:space="0" w:color="auto"/>
              <w:bottom w:val="single" w:sz="4"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Reakcije preosjetljivosti koje uključuju</w:t>
            </w:r>
            <w:r w:rsidRPr="006C71BB">
              <w:rPr>
                <w:rFonts w:ascii="Times New Roman" w:hAnsi="Times New Roman" w:cs="Times New Roman"/>
                <w:bCs/>
                <w:color w:val="000000"/>
                <w:vertAlign w:val="superscript"/>
                <w:lang w:val="sr-Latn-RS" w:eastAsia="sr-Latn-ME"/>
              </w:rPr>
              <w:t>1</w:t>
            </w:r>
          </w:p>
        </w:tc>
      </w:tr>
      <w:tr w:rsidR="006C71BB" w:rsidRPr="006C71BB" w:rsidTr="006C71BB">
        <w:trPr>
          <w:trHeight w:val="303"/>
        </w:trPr>
        <w:tc>
          <w:tcPr>
            <w:tcW w:w="2701" w:type="dxa"/>
            <w:vMerge w:val="restart"/>
            <w:tcBorders>
              <w:top w:val="nil"/>
              <w:left w:val="single" w:sz="8" w:space="0" w:color="auto"/>
              <w:bottom w:val="nil"/>
              <w:right w:val="single" w:sz="8" w:space="0" w:color="auto"/>
            </w:tcBorders>
          </w:tcPr>
          <w:p w:rsidR="006C71BB" w:rsidRPr="006C71BB" w:rsidRDefault="006C71BB" w:rsidP="006C71BB">
            <w:pPr>
              <w:autoSpaceDE w:val="0"/>
              <w:autoSpaceDN w:val="0"/>
              <w:adjustRightInd w:val="0"/>
              <w:spacing w:after="0"/>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Poremećaji imunološkog sistema</w:t>
            </w:r>
          </w:p>
        </w:tc>
        <w:tc>
          <w:tcPr>
            <w:tcW w:w="2701" w:type="dxa"/>
            <w:vMerge w:val="restart"/>
            <w:tcBorders>
              <w:top w:val="single" w:sz="4" w:space="0" w:color="auto"/>
              <w:left w:val="single" w:sz="8" w:space="0" w:color="auto"/>
              <w:bottom w:val="single" w:sz="8" w:space="0" w:color="auto"/>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Povremeno</w:t>
            </w:r>
          </w:p>
        </w:tc>
        <w:tc>
          <w:tcPr>
            <w:tcW w:w="3763" w:type="dxa"/>
            <w:tcBorders>
              <w:top w:val="single" w:sz="4" w:space="0" w:color="auto"/>
              <w:left w:val="single" w:sz="8" w:space="0" w:color="auto"/>
              <w:bottom w:val="nil"/>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Urtikarija i pruritus</w:t>
            </w:r>
          </w:p>
        </w:tc>
      </w:tr>
      <w:tr w:rsidR="006C71BB" w:rsidRPr="006C71BB" w:rsidTr="006C71BB">
        <w:trPr>
          <w:trHeight w:val="210"/>
        </w:trPr>
        <w:tc>
          <w:tcPr>
            <w:tcW w:w="2701" w:type="dxa"/>
            <w:vMerge/>
            <w:tcBorders>
              <w:top w:val="nil"/>
              <w:left w:val="single" w:sz="8" w:space="0" w:color="auto"/>
              <w:bottom w:val="nil"/>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c>
          <w:tcPr>
            <w:tcW w:w="2701" w:type="dxa"/>
            <w:vMerge/>
            <w:tcBorders>
              <w:top w:val="single" w:sz="8" w:space="0" w:color="auto"/>
              <w:left w:val="single" w:sz="8" w:space="0" w:color="auto"/>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c>
          <w:tcPr>
            <w:tcW w:w="3763" w:type="dxa"/>
            <w:tcBorders>
              <w:top w:val="nil"/>
              <w:left w:val="single" w:sz="8" w:space="0" w:color="auto"/>
              <w:bottom w:val="single" w:sz="8" w:space="0" w:color="auto"/>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r>
      <w:tr w:rsidR="006C71BB" w:rsidRPr="006C71BB" w:rsidTr="006C71BB">
        <w:trPr>
          <w:trHeight w:val="1415"/>
        </w:trPr>
        <w:tc>
          <w:tcPr>
            <w:tcW w:w="2701" w:type="dxa"/>
            <w:tcBorders>
              <w:top w:val="nil"/>
              <w:left w:val="single" w:sz="8" w:space="0" w:color="auto"/>
              <w:bottom w:val="nil"/>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c>
          <w:tcPr>
            <w:tcW w:w="2701" w:type="dxa"/>
            <w:tcBorders>
              <w:top w:val="single" w:sz="12" w:space="0" w:color="auto"/>
              <w:left w:val="single" w:sz="8"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Veoma rijetko</w:t>
            </w:r>
          </w:p>
        </w:tc>
        <w:tc>
          <w:tcPr>
            <w:tcW w:w="3763" w:type="dxa"/>
            <w:tcBorders>
              <w:top w:val="single" w:sz="8"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Teške reakcije preosjetljivosti. Simptomi mogu biti: oticanje lica, jezika i grla, dispneja, tahikardija, hipotenzija (anafilaksa, angioedem ili teški šok). Pogoršanje astme i bronhospazma.</w:t>
            </w:r>
          </w:p>
        </w:tc>
      </w:tr>
      <w:tr w:rsidR="006C71BB" w:rsidRPr="006C71BB" w:rsidTr="006C71BB">
        <w:trPr>
          <w:trHeight w:val="933"/>
        </w:trPr>
        <w:tc>
          <w:tcPr>
            <w:tcW w:w="2701" w:type="dxa"/>
            <w:tcBorders>
              <w:top w:val="nil"/>
              <w:left w:val="single" w:sz="8" w:space="0" w:color="auto"/>
              <w:bottom w:val="single" w:sz="8" w:space="0" w:color="auto"/>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c>
          <w:tcPr>
            <w:tcW w:w="2701" w:type="dxa"/>
            <w:tcBorders>
              <w:top w:val="single" w:sz="12" w:space="0" w:color="auto"/>
              <w:left w:val="single" w:sz="8"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Nepoznato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Egzacerbacije astme, bronhospazma.</w:t>
            </w:r>
          </w:p>
        </w:tc>
      </w:tr>
      <w:tr w:rsidR="006C71BB" w:rsidRPr="006C71BB" w:rsidTr="006C71BB">
        <w:trPr>
          <w:trHeight w:val="303"/>
        </w:trPr>
        <w:tc>
          <w:tcPr>
            <w:tcW w:w="2701" w:type="dxa"/>
            <w:tcBorders>
              <w:top w:val="single" w:sz="4" w:space="0" w:color="auto"/>
              <w:left w:val="single" w:sz="4" w:space="0" w:color="auto"/>
              <w:bottom w:val="nil"/>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c>
          <w:tcPr>
            <w:tcW w:w="2701" w:type="dxa"/>
            <w:tcBorders>
              <w:top w:val="single" w:sz="12" w:space="0" w:color="auto"/>
              <w:left w:val="single" w:sz="4"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Povremeno</w:t>
            </w:r>
          </w:p>
        </w:tc>
        <w:tc>
          <w:tcPr>
            <w:tcW w:w="3763"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027"/>
            </w:tblGrid>
            <w:tr w:rsidR="006C71BB" w:rsidRPr="006C71BB" w:rsidTr="00581BA2">
              <w:trPr>
                <w:trHeight w:val="100"/>
              </w:trPr>
              <w:tc>
                <w:tcPr>
                  <w:tcW w:w="3027" w:type="dxa"/>
                </w:tcPr>
                <w:p w:rsidR="006C71BB" w:rsidRPr="006C71BB" w:rsidRDefault="006C71BB" w:rsidP="006C71BB">
                  <w:pPr>
                    <w:autoSpaceDE w:val="0"/>
                    <w:autoSpaceDN w:val="0"/>
                    <w:adjustRightInd w:val="0"/>
                    <w:spacing w:after="0"/>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Bol u stomaku, mučnina, dispepsija.</w:t>
                  </w:r>
                </w:p>
              </w:tc>
            </w:tr>
          </w:tbl>
          <w:p w:rsidR="006C71BB" w:rsidRPr="006C71BB" w:rsidRDefault="006C71BB" w:rsidP="006C71BB">
            <w:pPr>
              <w:autoSpaceDE w:val="0"/>
              <w:autoSpaceDN w:val="0"/>
              <w:adjustRightInd w:val="0"/>
              <w:spacing w:after="0"/>
              <w:rPr>
                <w:rFonts w:ascii="Times New Roman" w:hAnsi="Times New Roman" w:cs="Times New Roman"/>
                <w:bCs/>
                <w:color w:val="000000"/>
                <w:highlight w:val="yellow"/>
                <w:lang w:val="sr-Latn-RS" w:eastAsia="sr-Latn-ME"/>
              </w:rPr>
            </w:pPr>
          </w:p>
        </w:tc>
      </w:tr>
      <w:tr w:rsidR="006C71BB" w:rsidRPr="006C71BB" w:rsidTr="006C71BB">
        <w:trPr>
          <w:trHeight w:val="603"/>
        </w:trPr>
        <w:tc>
          <w:tcPr>
            <w:tcW w:w="2701" w:type="dxa"/>
            <w:tcBorders>
              <w:top w:val="nil"/>
              <w:left w:val="single" w:sz="4" w:space="0" w:color="auto"/>
              <w:bottom w:val="nil"/>
              <w:right w:val="single" w:sz="4" w:space="0" w:color="auto"/>
            </w:tcBorders>
          </w:tcPr>
          <w:p w:rsidR="006C71BB" w:rsidRPr="006C71BB" w:rsidRDefault="006C71BB" w:rsidP="006C71BB">
            <w:pPr>
              <w:autoSpaceDE w:val="0"/>
              <w:autoSpaceDN w:val="0"/>
              <w:adjustRightInd w:val="0"/>
              <w:spacing w:after="0"/>
              <w:rPr>
                <w:rFonts w:ascii="Times New Roman" w:hAnsi="Times New Roman" w:cs="Times New Roman"/>
                <w:b/>
                <w:color w:val="000000"/>
                <w:lang w:val="sr-Latn-RS" w:eastAsia="sr-Latn-ME"/>
              </w:rPr>
            </w:pPr>
            <w:r w:rsidRPr="006C71BB">
              <w:rPr>
                <w:rFonts w:ascii="Times New Roman" w:hAnsi="Times New Roman" w:cs="Times New Roman"/>
                <w:b/>
                <w:color w:val="000000"/>
                <w:lang w:val="sr-Latn-RS" w:eastAsia="sr-Latn-ME"/>
              </w:rPr>
              <w:t>Poremećaji probavnog sistema</w:t>
            </w: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pStyle w:val="Default"/>
              <w:rPr>
                <w:sz w:val="22"/>
                <w:szCs w:val="22"/>
              </w:rPr>
            </w:pPr>
            <w:r w:rsidRPr="006C71BB">
              <w:rPr>
                <w:sz w:val="22"/>
                <w:szCs w:val="22"/>
              </w:rPr>
              <w:t xml:space="preserve">Proliv, nadutost, zatvor i povraćanje </w:t>
            </w:r>
          </w:p>
          <w:p w:rsidR="006C71BB" w:rsidRPr="006C71BB" w:rsidRDefault="006C71BB" w:rsidP="006C71BB">
            <w:pPr>
              <w:autoSpaceDE w:val="0"/>
              <w:autoSpaceDN w:val="0"/>
              <w:adjustRightInd w:val="0"/>
              <w:spacing w:after="0"/>
              <w:rPr>
                <w:rFonts w:ascii="Times New Roman" w:hAnsi="Times New Roman" w:cs="Times New Roman"/>
                <w:color w:val="000000"/>
                <w:highlight w:val="yellow"/>
                <w:lang w:val="sr-Latn-RS" w:eastAsia="sr-Latn-ME"/>
              </w:rPr>
            </w:pPr>
          </w:p>
        </w:tc>
      </w:tr>
      <w:tr w:rsidR="006C71BB" w:rsidRPr="006C71BB" w:rsidTr="006C71BB">
        <w:trPr>
          <w:trHeight w:val="933"/>
        </w:trPr>
        <w:tc>
          <w:tcPr>
            <w:tcW w:w="2701" w:type="dxa"/>
            <w:tcBorders>
              <w:top w:val="nil"/>
              <w:left w:val="single" w:sz="4" w:space="0" w:color="auto"/>
              <w:bottom w:val="single" w:sz="8"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pStyle w:val="Default"/>
              <w:rPr>
                <w:color w:val="000000"/>
                <w:sz w:val="22"/>
                <w:szCs w:val="22"/>
                <w:highlight w:val="yellow"/>
                <w:lang w:val="sr-Latn-RS" w:eastAsia="sr-Latn-ME"/>
              </w:rPr>
            </w:pPr>
            <w:r w:rsidRPr="006C71BB">
              <w:rPr>
                <w:sz w:val="22"/>
                <w:szCs w:val="22"/>
              </w:rPr>
              <w:t xml:space="preserve">Čir na želucu, perforacije ili krvarenje iz probavnog sistema, melena, hematemeza, ponekad fatalna, posebno kod starijih pacijenata. Ulcerozni stomatitis, gastritis. Pogoršanje kolitisa i Crohnove bolesti (vidjeti dio 4.4). </w:t>
            </w:r>
          </w:p>
          <w:p w:rsidR="006C71BB" w:rsidRPr="006C71BB" w:rsidRDefault="006C71BB" w:rsidP="006C71BB">
            <w:pPr>
              <w:autoSpaceDE w:val="0"/>
              <w:autoSpaceDN w:val="0"/>
              <w:adjustRightInd w:val="0"/>
              <w:spacing w:after="0"/>
              <w:rPr>
                <w:rFonts w:ascii="Times New Roman" w:hAnsi="Times New Roman" w:cs="Times New Roman"/>
                <w:color w:val="000000"/>
                <w:highlight w:val="yellow"/>
                <w:lang w:val="sr-Latn-RS" w:eastAsia="sr-Latn-ME"/>
              </w:rPr>
            </w:pPr>
          </w:p>
        </w:tc>
      </w:tr>
      <w:tr w:rsidR="006C71BB" w:rsidRPr="006C71BB" w:rsidTr="006C71BB">
        <w:trPr>
          <w:trHeight w:val="303"/>
        </w:trPr>
        <w:tc>
          <w:tcPr>
            <w:tcW w:w="2701" w:type="dxa"/>
            <w:tcBorders>
              <w:top w:val="single" w:sz="8" w:space="0" w:color="auto"/>
              <w:left w:val="single" w:sz="8" w:space="0" w:color="auto"/>
              <w:bottom w:val="nil"/>
              <w:right w:val="single" w:sz="8" w:space="0" w:color="auto"/>
            </w:tcBorders>
            <w:shd w:val="clear" w:color="auto" w:fill="auto"/>
          </w:tcPr>
          <w:p w:rsidR="006C71BB" w:rsidRPr="006C71BB" w:rsidRDefault="006C71BB" w:rsidP="006C71BB">
            <w:pPr>
              <w:autoSpaceDE w:val="0"/>
              <w:autoSpaceDN w:val="0"/>
              <w:adjustRightInd w:val="0"/>
              <w:spacing w:after="0"/>
              <w:rPr>
                <w:rFonts w:ascii="Times New Roman" w:hAnsi="Times New Roman" w:cs="Times New Roman"/>
                <w:b/>
                <w:bCs/>
                <w:color w:val="000000"/>
                <w:highlight w:val="yellow"/>
                <w:lang w:val="sr-Latn-RS" w:eastAsia="sr-Latn-ME"/>
              </w:rPr>
            </w:pPr>
            <w:r w:rsidRPr="006C71BB">
              <w:rPr>
                <w:rFonts w:ascii="Times New Roman" w:hAnsi="Times New Roman" w:cs="Times New Roman"/>
                <w:b/>
                <w:bCs/>
                <w:color w:val="000000"/>
                <w:lang w:val="sr-Latn-RS" w:eastAsia="sr-Latn-ME"/>
              </w:rPr>
              <w:t xml:space="preserve">Poremećaji nervnog sistema </w:t>
            </w:r>
          </w:p>
        </w:tc>
        <w:tc>
          <w:tcPr>
            <w:tcW w:w="2701" w:type="dxa"/>
            <w:tcBorders>
              <w:top w:val="single" w:sz="12" w:space="0" w:color="auto"/>
              <w:left w:val="single" w:sz="8"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Povremeno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Glavobolja</w:t>
            </w:r>
          </w:p>
        </w:tc>
      </w:tr>
      <w:tr w:rsidR="006C71BB" w:rsidRPr="006C71BB" w:rsidTr="006C71BB">
        <w:trPr>
          <w:trHeight w:val="303"/>
        </w:trPr>
        <w:tc>
          <w:tcPr>
            <w:tcW w:w="2701" w:type="dxa"/>
            <w:tcBorders>
              <w:top w:val="nil"/>
              <w:left w:val="single" w:sz="8" w:space="0" w:color="auto"/>
              <w:bottom w:val="single" w:sz="8" w:space="0" w:color="auto"/>
              <w:right w:val="single" w:sz="8"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highlight w:val="yellow"/>
                <w:lang w:val="sr-Latn-RS" w:eastAsia="sr-Latn-ME"/>
              </w:rPr>
            </w:pPr>
          </w:p>
        </w:tc>
        <w:tc>
          <w:tcPr>
            <w:tcW w:w="2701" w:type="dxa"/>
            <w:tcBorders>
              <w:top w:val="single" w:sz="12" w:space="0" w:color="auto"/>
              <w:left w:val="single" w:sz="8"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Aseptički meningitis</w:t>
            </w:r>
            <w:r w:rsidRPr="006C71BB">
              <w:rPr>
                <w:rFonts w:ascii="Times New Roman" w:hAnsi="Times New Roman" w:cs="Times New Roman"/>
                <w:bCs/>
                <w:color w:val="000000"/>
                <w:vertAlign w:val="superscript"/>
                <w:lang w:val="sr-Latn-RS" w:eastAsia="sr-Latn-ME"/>
              </w:rPr>
              <w:t>2</w:t>
            </w:r>
          </w:p>
        </w:tc>
      </w:tr>
      <w:tr w:rsidR="006C71BB" w:rsidRPr="006C71BB" w:rsidTr="006C71BB">
        <w:trPr>
          <w:trHeight w:val="933"/>
        </w:trPr>
        <w:tc>
          <w:tcPr>
            <w:tcW w:w="2701" w:type="dxa"/>
            <w:tcBorders>
              <w:top w:val="nil"/>
              <w:left w:val="single" w:sz="12" w:space="0" w:color="auto"/>
              <w:bottom w:val="single" w:sz="12" w:space="0" w:color="auto"/>
              <w:right w:val="single" w:sz="12" w:space="0" w:color="auto"/>
            </w:tcBorders>
            <w:shd w:val="clear" w:color="auto" w:fill="auto"/>
          </w:tcPr>
          <w:p w:rsidR="006C71BB" w:rsidRPr="006C71BB" w:rsidRDefault="006C71BB" w:rsidP="006C71BB">
            <w:pPr>
              <w:autoSpaceDE w:val="0"/>
              <w:autoSpaceDN w:val="0"/>
              <w:adjustRightInd w:val="0"/>
              <w:spacing w:after="0"/>
              <w:rPr>
                <w:rFonts w:ascii="Times New Roman" w:hAnsi="Times New Roman" w:cs="Times New Roman"/>
                <w:b/>
                <w:color w:val="000000"/>
                <w:lang w:val="sr-Latn-RS" w:eastAsia="sr-Latn-ME"/>
              </w:rPr>
            </w:pPr>
            <w:r w:rsidRPr="006C71BB">
              <w:rPr>
                <w:rFonts w:ascii="Times New Roman" w:hAnsi="Times New Roman" w:cs="Times New Roman"/>
                <w:b/>
                <w:color w:val="000000"/>
                <w:lang w:val="sr-Latn-RS" w:eastAsia="sr-Latn-ME"/>
              </w:rPr>
              <w:t>Poremećaji bubrega i mokraćnog sistema</w:t>
            </w:r>
          </w:p>
        </w:tc>
        <w:tc>
          <w:tcPr>
            <w:tcW w:w="2701" w:type="dxa"/>
            <w:tcBorders>
              <w:top w:val="single" w:sz="12" w:space="0" w:color="auto"/>
              <w:left w:val="single" w:sz="12" w:space="0" w:color="auto"/>
              <w:bottom w:val="single" w:sz="12" w:space="0" w:color="auto"/>
              <w:right w:val="single" w:sz="12" w:space="0" w:color="auto"/>
            </w:tcBorders>
            <w:shd w:val="clear" w:color="auto" w:fill="auto"/>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756"/>
            </w:tblGrid>
            <w:tr w:rsidR="006C71BB" w:rsidRPr="006C71BB" w:rsidTr="00581BA2">
              <w:trPr>
                <w:trHeight w:val="479"/>
              </w:trPr>
              <w:tc>
                <w:tcPr>
                  <w:tcW w:w="3756" w:type="dxa"/>
                </w:tcPr>
                <w:p w:rsidR="006C71BB" w:rsidRPr="006C71BB" w:rsidRDefault="006C71BB" w:rsidP="006C71BB">
                  <w:pPr>
                    <w:autoSpaceDE w:val="0"/>
                    <w:autoSpaceDN w:val="0"/>
                    <w:adjustRightInd w:val="0"/>
                    <w:spacing w:after="0"/>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Akutna insuficijencija bubrega, papilarna nekroza, posebno kod dugotrajne primjene povezane sa povišenim nivoom uree u serumu i edemima. </w:t>
                  </w:r>
                </w:p>
              </w:tc>
            </w:tr>
          </w:tbl>
          <w:p w:rsidR="006C71BB" w:rsidRPr="006C71BB" w:rsidRDefault="006C71BB" w:rsidP="006C71BB">
            <w:pPr>
              <w:autoSpaceDE w:val="0"/>
              <w:autoSpaceDN w:val="0"/>
              <w:adjustRightInd w:val="0"/>
              <w:spacing w:after="0"/>
              <w:jc w:val="both"/>
              <w:rPr>
                <w:rFonts w:ascii="Times New Roman" w:hAnsi="Times New Roman" w:cs="Times New Roman"/>
                <w:color w:val="000000"/>
                <w:highlight w:val="yellow"/>
                <w:lang w:val="sr-Latn-RS" w:eastAsia="sr-Latn-ME"/>
              </w:rPr>
            </w:pPr>
          </w:p>
        </w:tc>
      </w:tr>
      <w:tr w:rsidR="006C71BB" w:rsidRPr="006C71BB" w:rsidTr="006C71BB">
        <w:trPr>
          <w:trHeight w:val="303"/>
        </w:trPr>
        <w:tc>
          <w:tcPr>
            <w:tcW w:w="2701"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Poremećaji jetre i žuči</w:t>
            </w:r>
          </w:p>
        </w:tc>
        <w:tc>
          <w:tcPr>
            <w:tcW w:w="2701"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 xml:space="preserve"> Poremećaji jetre</w:t>
            </w:r>
          </w:p>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p>
        </w:tc>
      </w:tr>
      <w:tr w:rsidR="006C71BB" w:rsidRPr="006C71BB" w:rsidTr="006C71BB">
        <w:trPr>
          <w:trHeight w:val="303"/>
        </w:trPr>
        <w:tc>
          <w:tcPr>
            <w:tcW w:w="2701"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pStyle w:val="Default"/>
              <w:rPr>
                <w:sz w:val="22"/>
                <w:szCs w:val="22"/>
              </w:rPr>
            </w:pPr>
            <w:r w:rsidRPr="006C71BB">
              <w:rPr>
                <w:b/>
                <w:bCs/>
                <w:sz w:val="22"/>
                <w:szCs w:val="22"/>
              </w:rPr>
              <w:t xml:space="preserve">Poremećaji krvi i limfnog sistema </w:t>
            </w:r>
          </w:p>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p>
        </w:tc>
        <w:tc>
          <w:tcPr>
            <w:tcW w:w="2701"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 xml:space="preserve">Veoma rijetko </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Hematopoetski poremećaji (anemija, leukopenija, trombocitopenija, pancitopenija, agranulocitoza). Prvi znakovi su povišena temperatura, grlobolja, površinski ulceri u ustima, simptomi slični gripu, teška iscrpljenost, neobjašnjivo krvarenje i stvaranje modrica.</w:t>
            </w:r>
          </w:p>
        </w:tc>
      </w:tr>
      <w:tr w:rsidR="006C71BB" w:rsidRPr="006C71BB" w:rsidTr="006C71BB">
        <w:trPr>
          <w:trHeight w:val="240"/>
        </w:trPr>
        <w:tc>
          <w:tcPr>
            <w:tcW w:w="2701" w:type="dxa"/>
            <w:tcBorders>
              <w:top w:val="single" w:sz="4" w:space="0" w:color="auto"/>
              <w:left w:val="single" w:sz="4" w:space="0" w:color="auto"/>
              <w:bottom w:val="nil"/>
              <w:right w:val="single" w:sz="4" w:space="0" w:color="auto"/>
            </w:tcBorders>
          </w:tcPr>
          <w:p w:rsidR="006C71BB" w:rsidRPr="006C71BB" w:rsidRDefault="006C71BB" w:rsidP="006C71BB">
            <w:pPr>
              <w:autoSpaceDE w:val="0"/>
              <w:autoSpaceDN w:val="0"/>
              <w:adjustRightInd w:val="0"/>
              <w:spacing w:after="0"/>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Poremećaji kože i potkožnog tkiva</w:t>
            </w:r>
          </w:p>
        </w:tc>
        <w:tc>
          <w:tcPr>
            <w:tcW w:w="2701" w:type="dxa"/>
            <w:tcBorders>
              <w:top w:val="single" w:sz="12" w:space="0" w:color="auto"/>
              <w:left w:val="single" w:sz="4"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Povremeno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Različiti kožni osipi</w:t>
            </w:r>
          </w:p>
        </w:tc>
      </w:tr>
      <w:tr w:rsidR="006C71BB" w:rsidRPr="006C71BB" w:rsidTr="006C71BB">
        <w:trPr>
          <w:trHeight w:val="1415"/>
        </w:trPr>
        <w:tc>
          <w:tcPr>
            <w:tcW w:w="2701" w:type="dxa"/>
            <w:tcBorders>
              <w:top w:val="nil"/>
              <w:left w:val="single" w:sz="4" w:space="0" w:color="auto"/>
              <w:bottom w:val="nil"/>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Teški oblici kožnih reakcija kao što su bulozne reakcije, uključujući Stevens-Johnsonov sindrom, eritemu multiforme i toksičnu epidermalnu nekrolizu</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r>
      <w:tr w:rsidR="006C71BB" w:rsidRPr="006C71BB" w:rsidTr="006C71BB">
        <w:trPr>
          <w:trHeight w:val="933"/>
        </w:trPr>
        <w:tc>
          <w:tcPr>
            <w:tcW w:w="2701" w:type="dxa"/>
            <w:tcBorders>
              <w:top w:val="nil"/>
              <w:left w:val="single" w:sz="4" w:space="0" w:color="auto"/>
              <w:bottom w:val="single" w:sz="12"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Nepoznato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Reakcija na lijek sa eozinofilijom i sistemskim simptomima (sindrom DRESS)</w:t>
            </w:r>
          </w:p>
        </w:tc>
      </w:tr>
      <w:tr w:rsidR="006C71BB" w:rsidRPr="006C71BB" w:rsidTr="006C71BB">
        <w:trPr>
          <w:trHeight w:val="303"/>
        </w:trPr>
        <w:tc>
          <w:tcPr>
            <w:tcW w:w="2701" w:type="dxa"/>
            <w:tcBorders>
              <w:top w:val="single" w:sz="4" w:space="0" w:color="auto"/>
              <w:left w:val="single" w:sz="4" w:space="0" w:color="auto"/>
              <w:bottom w:val="single" w:sz="12"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Srčani poremećaji</w:t>
            </w: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Nepoznato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Edemi i insuficijencija srca</w:t>
            </w:r>
          </w:p>
        </w:tc>
      </w:tr>
      <w:tr w:rsidR="006C71BB" w:rsidRPr="006C71BB" w:rsidTr="006C71BB">
        <w:trPr>
          <w:trHeight w:val="303"/>
        </w:trPr>
        <w:tc>
          <w:tcPr>
            <w:tcW w:w="2701" w:type="dxa"/>
            <w:tcBorders>
              <w:top w:val="single" w:sz="4" w:space="0" w:color="auto"/>
              <w:left w:val="single" w:sz="4" w:space="0" w:color="auto"/>
              <w:bottom w:val="single" w:sz="4"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Poremećaji krvnih sudova</w:t>
            </w: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Nepoznato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Hipertenzija</w:t>
            </w:r>
          </w:p>
        </w:tc>
      </w:tr>
      <w:tr w:rsidR="006C71BB" w:rsidRPr="006C71BB" w:rsidTr="006C71BB">
        <w:trPr>
          <w:trHeight w:val="303"/>
        </w:trPr>
        <w:tc>
          <w:tcPr>
            <w:tcW w:w="2701" w:type="dxa"/>
            <w:tcBorders>
              <w:top w:val="single" w:sz="4" w:space="0" w:color="auto"/>
              <w:left w:val="single" w:sz="4" w:space="0" w:color="auto"/>
              <w:bottom w:val="single" w:sz="12" w:space="0" w:color="auto"/>
              <w:right w:val="single" w:sz="4"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
                <w:bCs/>
                <w:color w:val="000000"/>
                <w:lang w:val="sr-Latn-RS" w:eastAsia="sr-Latn-ME"/>
              </w:rPr>
            </w:pPr>
            <w:r w:rsidRPr="006C71BB">
              <w:rPr>
                <w:rFonts w:ascii="Times New Roman" w:hAnsi="Times New Roman" w:cs="Times New Roman"/>
                <w:b/>
                <w:bCs/>
                <w:color w:val="000000"/>
                <w:lang w:val="sr-Latn-RS" w:eastAsia="sr-Latn-ME"/>
              </w:rPr>
              <w:t>Ispitivanja</w:t>
            </w:r>
          </w:p>
        </w:tc>
        <w:tc>
          <w:tcPr>
            <w:tcW w:w="2701" w:type="dxa"/>
            <w:tcBorders>
              <w:top w:val="single" w:sz="12" w:space="0" w:color="auto"/>
              <w:left w:val="single" w:sz="4"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Veoma rijetko</w:t>
            </w:r>
          </w:p>
        </w:tc>
        <w:tc>
          <w:tcPr>
            <w:tcW w:w="3763" w:type="dxa"/>
            <w:tcBorders>
              <w:top w:val="single" w:sz="12" w:space="0" w:color="auto"/>
              <w:left w:val="single" w:sz="12" w:space="0" w:color="auto"/>
              <w:bottom w:val="single" w:sz="12" w:space="0" w:color="auto"/>
              <w:right w:val="single" w:sz="12" w:space="0" w:color="auto"/>
            </w:tcBorders>
          </w:tcPr>
          <w:p w:rsidR="006C71BB" w:rsidRPr="006C71BB" w:rsidRDefault="006C71BB" w:rsidP="006C71BB">
            <w:pPr>
              <w:autoSpaceDE w:val="0"/>
              <w:autoSpaceDN w:val="0"/>
              <w:adjustRightInd w:val="0"/>
              <w:spacing w:after="0"/>
              <w:jc w:val="both"/>
              <w:rPr>
                <w:rFonts w:ascii="Times New Roman" w:hAnsi="Times New Roman" w:cs="Times New Roman"/>
                <w:bCs/>
                <w:color w:val="000000"/>
                <w:lang w:val="sr-Latn-RS" w:eastAsia="sr-Latn-ME"/>
              </w:rPr>
            </w:pPr>
            <w:r w:rsidRPr="006C71BB">
              <w:rPr>
                <w:rFonts w:ascii="Times New Roman" w:hAnsi="Times New Roman" w:cs="Times New Roman"/>
                <w:bCs/>
                <w:color w:val="000000"/>
                <w:lang w:val="sr-Latn-RS" w:eastAsia="sr-Latn-ME"/>
              </w:rPr>
              <w:t>Smanjen nivo hemoglobina</w:t>
            </w:r>
          </w:p>
        </w:tc>
      </w:tr>
    </w:tbl>
    <w:p w:rsidR="006C71BB" w:rsidRPr="006C71BB" w:rsidRDefault="006C71BB" w:rsidP="006C71BB">
      <w:pPr>
        <w:tabs>
          <w:tab w:val="left" w:pos="540"/>
          <w:tab w:val="left" w:pos="569"/>
        </w:tabs>
        <w:spacing w:after="0"/>
        <w:jc w:val="both"/>
        <w:rPr>
          <w:rFonts w:ascii="Times New Roman" w:hAnsi="Times New Roman" w:cs="Times New Roman"/>
          <w:bCs/>
          <w:highlight w:val="yellow"/>
        </w:rPr>
      </w:pPr>
    </w:p>
    <w:p w:rsidR="006C71BB" w:rsidRPr="006C71BB" w:rsidRDefault="006C71BB" w:rsidP="006C71BB">
      <w:pPr>
        <w:pStyle w:val="Default"/>
        <w:jc w:val="both"/>
        <w:rPr>
          <w:sz w:val="22"/>
          <w:szCs w:val="22"/>
        </w:rPr>
      </w:pPr>
      <w:r w:rsidRPr="006C71BB">
        <w:rPr>
          <w:b/>
          <w:bCs/>
          <w:sz w:val="22"/>
          <w:szCs w:val="22"/>
        </w:rPr>
        <w:t xml:space="preserve">Opis odabranih neželjenih dejstava: </w:t>
      </w:r>
    </w:p>
    <w:p w:rsidR="006C71BB" w:rsidRPr="006C71BB" w:rsidRDefault="006C71BB" w:rsidP="006C71BB">
      <w:pPr>
        <w:pStyle w:val="Default"/>
        <w:jc w:val="both"/>
        <w:rPr>
          <w:sz w:val="22"/>
          <w:szCs w:val="22"/>
        </w:rPr>
      </w:pPr>
      <w:r w:rsidRPr="006C71BB">
        <w:rPr>
          <w:sz w:val="22"/>
          <w:szCs w:val="22"/>
          <w:vertAlign w:val="superscript"/>
        </w:rPr>
        <w:t xml:space="preserve">1 </w:t>
      </w:r>
      <w:r w:rsidRPr="006C71BB">
        <w:rPr>
          <w:sz w:val="22"/>
          <w:szCs w:val="22"/>
        </w:rPr>
        <w:t>Reakcije preosjetljivosti zabilježene su nakon terapije ibuprofenom. One mogu uključivati:</w:t>
      </w:r>
    </w:p>
    <w:p w:rsidR="006C71BB" w:rsidRPr="006C71BB" w:rsidRDefault="006C71BB" w:rsidP="006C71BB">
      <w:pPr>
        <w:pStyle w:val="Default"/>
        <w:jc w:val="both"/>
        <w:rPr>
          <w:sz w:val="22"/>
          <w:szCs w:val="22"/>
        </w:rPr>
      </w:pPr>
      <w:r w:rsidRPr="006C71BB">
        <w:rPr>
          <w:sz w:val="22"/>
          <w:szCs w:val="22"/>
        </w:rPr>
        <w:t xml:space="preserve"> (a) nespecifične alergijske reakcije i anafilaksu,</w:t>
      </w:r>
    </w:p>
    <w:p w:rsidR="006C71BB" w:rsidRPr="006C71BB" w:rsidRDefault="006C71BB" w:rsidP="006C71BB">
      <w:pPr>
        <w:pStyle w:val="Default"/>
        <w:jc w:val="both"/>
        <w:rPr>
          <w:sz w:val="22"/>
          <w:szCs w:val="22"/>
        </w:rPr>
      </w:pPr>
      <w:r w:rsidRPr="006C71BB">
        <w:rPr>
          <w:sz w:val="22"/>
          <w:szCs w:val="22"/>
        </w:rPr>
        <w:t xml:space="preserve"> (b) reaktivnost disajnih puteva, uključujući astmu, pogoršanje astme, bronhospazam ili dispneju</w:t>
      </w:r>
    </w:p>
    <w:p w:rsidR="006C71BB" w:rsidRPr="006C71BB" w:rsidRDefault="006C71BB" w:rsidP="006C71BB">
      <w:pPr>
        <w:pStyle w:val="Default"/>
        <w:jc w:val="both"/>
        <w:rPr>
          <w:sz w:val="22"/>
          <w:szCs w:val="22"/>
        </w:rPr>
      </w:pPr>
      <w:r w:rsidRPr="006C71BB">
        <w:rPr>
          <w:sz w:val="22"/>
          <w:szCs w:val="22"/>
        </w:rPr>
        <w:t xml:space="preserve"> (c) razne kožne reakcije, uključujući različite tipove osipa, svrab, urtikariju, purpuru, angioedem i rjeđe, eksfolijativne i bulozne dermatoze (uključujući toksičnu epidermalnu nekrolizu, Stevens-Jonsonov sindrom i eritemu multiforme). </w:t>
      </w:r>
    </w:p>
    <w:p w:rsidR="006C71BB" w:rsidRPr="006C71BB" w:rsidRDefault="006C71BB" w:rsidP="006C71BB">
      <w:pPr>
        <w:pStyle w:val="Default"/>
        <w:jc w:val="both"/>
        <w:rPr>
          <w:sz w:val="22"/>
          <w:szCs w:val="22"/>
        </w:rPr>
      </w:pPr>
    </w:p>
    <w:p w:rsidR="006C71BB" w:rsidRPr="006C71BB" w:rsidRDefault="006C71BB" w:rsidP="006C71BB">
      <w:pPr>
        <w:tabs>
          <w:tab w:val="left" w:pos="540"/>
          <w:tab w:val="left" w:pos="569"/>
        </w:tabs>
        <w:spacing w:after="0"/>
        <w:jc w:val="both"/>
        <w:rPr>
          <w:rFonts w:ascii="Times New Roman" w:hAnsi="Times New Roman" w:cs="Times New Roman"/>
        </w:rPr>
      </w:pPr>
      <w:r w:rsidRPr="006C71BB">
        <w:rPr>
          <w:rFonts w:ascii="Times New Roman" w:hAnsi="Times New Roman" w:cs="Times New Roman"/>
          <w:vertAlign w:val="superscript"/>
        </w:rPr>
        <w:t>2</w:t>
      </w:r>
      <w:r w:rsidRPr="006C71BB">
        <w:rPr>
          <w:rFonts w:ascii="Times New Roman" w:hAnsi="Times New Roman" w:cs="Times New Roman"/>
        </w:rPr>
        <w:t xml:space="preserve"> Patogeni mehanizam aseptičkog meningitisa uzrokovanog ljekovima nije u potpunosti razjašnjen. Međutim, dostupni podaci o aseptičkom meningitisu povezanom sa NSAIL ukazuju na imunološku reakciju (zbog vremenske povezanosti sa uzimanjem lijeka i nestanka simptoma nakon prestanka uzimanja lijeka). Treba napomenuti da su pojedinačni slučajevi simptoma aseptičkog meningitisa (kao što su ukočenost vrata, glavobolja, mučnina, povraćanje, povišena temperatura ili dezorijentacija primijećeni za vrijeme liječenja ibuprofenom kod pacijenata sa postojećim autoimunim poremećajima (kao što su sistemski eritemski lupus, miješovita bolest vezivnog tkiva) (vidjeti dio 4.4).</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spacing w:after="0" w:line="276" w:lineRule="auto"/>
        <w:jc w:val="both"/>
        <w:rPr>
          <w:rFonts w:ascii="Times New Roman" w:eastAsia="Calibri" w:hAnsi="Times New Roman" w:cs="Times New Roman"/>
          <w:u w:val="single"/>
          <w:lang w:val="sr-Latn-RS"/>
        </w:rPr>
      </w:pPr>
      <w:r w:rsidRPr="006C71BB">
        <w:rPr>
          <w:rFonts w:ascii="Times New Roman" w:eastAsia="Calibri" w:hAnsi="Times New Roman" w:cs="Times New Roman"/>
          <w:u w:val="single"/>
          <w:lang w:val="sr-Latn-RS"/>
        </w:rPr>
        <w:t>Prijavljivanje sumnji na neželjena dejstva</w:t>
      </w:r>
    </w:p>
    <w:p w:rsidR="006C71BB" w:rsidRPr="006C71BB" w:rsidRDefault="006C71BB" w:rsidP="006C71BB">
      <w:pPr>
        <w:spacing w:after="0"/>
        <w:jc w:val="both"/>
        <w:rPr>
          <w:rFonts w:ascii="Times New Roman" w:eastAsia="Calibri" w:hAnsi="Times New Roman" w:cs="Times New Roman"/>
          <w:lang w:val="sr-Latn-RS"/>
        </w:rPr>
      </w:pPr>
      <w:r w:rsidRPr="006C71BB">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Agencija za ljekove i medicinska sredstva Crne Gore</w:t>
      </w:r>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Odjeljenje za farmakovigilancu</w:t>
      </w:r>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Bulevar Ivana Crnojevića 64a, 81000 Podgorica</w:t>
      </w:r>
    </w:p>
    <w:p w:rsidR="006C71BB" w:rsidRPr="006C71BB" w:rsidRDefault="006C71BB" w:rsidP="006C71BB">
      <w:pPr>
        <w:pStyle w:val="NoSpacing"/>
        <w:jc w:val="both"/>
        <w:rPr>
          <w:rFonts w:eastAsia="Calibri"/>
          <w:sz w:val="22"/>
          <w:szCs w:val="22"/>
          <w:lang w:val="sr-Latn-RS"/>
        </w:rPr>
      </w:pPr>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tel: +382 (0) 20 310 280</w:t>
      </w:r>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fax: +382 (0) 20 310 581</w:t>
      </w:r>
    </w:p>
    <w:p w:rsidR="006C71BB" w:rsidRPr="006C71BB" w:rsidRDefault="0032549B" w:rsidP="006C71BB">
      <w:pPr>
        <w:pStyle w:val="NoSpacing"/>
        <w:jc w:val="both"/>
        <w:rPr>
          <w:rFonts w:eastAsia="Calibri"/>
          <w:sz w:val="22"/>
          <w:szCs w:val="22"/>
          <w:lang w:val="sr-Latn-RS"/>
        </w:rPr>
      </w:pPr>
      <w:hyperlink r:id="rId8" w:history="1">
        <w:r w:rsidR="006C71BB" w:rsidRPr="006C71BB">
          <w:rPr>
            <w:rFonts w:eastAsia="Calibri"/>
            <w:color w:val="0000FF"/>
            <w:sz w:val="22"/>
            <w:szCs w:val="22"/>
            <w:u w:val="single"/>
            <w:lang w:val="sr-Latn-RS"/>
          </w:rPr>
          <w:t>www.calims.me</w:t>
        </w:r>
      </w:hyperlink>
    </w:p>
    <w:p w:rsidR="006C71BB" w:rsidRPr="006C71BB" w:rsidRDefault="0032549B" w:rsidP="006C71BB">
      <w:pPr>
        <w:pStyle w:val="NoSpacing"/>
        <w:jc w:val="both"/>
        <w:rPr>
          <w:rFonts w:eastAsia="Calibri"/>
          <w:color w:val="0000FF"/>
          <w:sz w:val="22"/>
          <w:szCs w:val="22"/>
          <w:u w:val="single"/>
          <w:lang w:val="sr-Latn-RS"/>
        </w:rPr>
      </w:pPr>
      <w:hyperlink r:id="rId9" w:history="1">
        <w:r w:rsidR="006C71BB" w:rsidRPr="006C71BB">
          <w:rPr>
            <w:rFonts w:eastAsia="Calibri"/>
            <w:color w:val="0000FF"/>
            <w:sz w:val="22"/>
            <w:szCs w:val="22"/>
            <w:u w:val="single"/>
            <w:lang w:val="sr-Latn-RS"/>
          </w:rPr>
          <w:t>nezeljenadejstva@calims.me</w:t>
        </w:r>
      </w:hyperlink>
    </w:p>
    <w:p w:rsidR="006C71BB" w:rsidRPr="006C71BB" w:rsidRDefault="006C71BB" w:rsidP="006C71BB">
      <w:pPr>
        <w:pStyle w:val="NoSpacing"/>
        <w:jc w:val="both"/>
        <w:rPr>
          <w:rFonts w:eastAsia="Calibri"/>
          <w:sz w:val="22"/>
          <w:szCs w:val="22"/>
          <w:lang w:val="sr-Latn-RS"/>
        </w:rPr>
      </w:pPr>
      <w:r w:rsidRPr="006C71BB">
        <w:rPr>
          <w:rFonts w:eastAsia="Calibri"/>
          <w:sz w:val="22"/>
          <w:szCs w:val="22"/>
          <w:lang w:val="sr-Latn-RS"/>
        </w:rPr>
        <w:t>putem IS zdravstvene zaštite</w:t>
      </w:r>
    </w:p>
    <w:p w:rsid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lastRenderedPageBreak/>
        <w:t xml:space="preserve">4.9. </w:t>
      </w:r>
      <w:r w:rsidRPr="006C71BB">
        <w:rPr>
          <w:rFonts w:ascii="Times New Roman" w:hAnsi="Times New Roman" w:cs="Times New Roman"/>
          <w:b/>
          <w:bCs/>
        </w:rPr>
        <w:tab/>
        <w:t xml:space="preserve">Predoziranje </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Doze veće od 400 mg/kg kod djece mogu uzrokovati simptome predoziranja. Kod odraslih nije tako jasno izražena reakcija na veće doze.</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Poluvrijeme eliminacije kod predoziranja iznosi 1,5 – 3 sata.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u w:val="single"/>
        </w:rPr>
      </w:pPr>
      <w:r w:rsidRPr="006C71BB">
        <w:rPr>
          <w:rFonts w:ascii="Times New Roman" w:hAnsi="Times New Roman" w:cs="Times New Roman"/>
          <w:bCs/>
          <w:u w:val="single"/>
        </w:rPr>
        <w:t>Simptomi</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Kod većine pacijenata je uzimanje prekomjerne doze nekog od nesteroidnih antiinflamatornih ljekova praćeno je relativno blagim simptomima kao što su mučnina, povraćanje, bol u stomaku, a rjeđe dijareja. Moguća je pojava tinitusa, glavobolje i krvarenja iz probavnog trakta. Teža trovanja ljekovima iz grupe NSAIL praćena su toksičnim dejstvima na centralni nervni sistem koji se manifestiraju pojavom vrtoglavice, pospanosti, ponekad ekscitiranosti i dezorijentacije ili kome. Ponekad može doći do razvoja konvulzija. Prilikom ozbiljnog predoziranja može se pojaviti metabolička acidoza. Takođe se može pojaviti i produženje protrombinskog vremena, vjerovatno usljed interferencije sa djelovanjem faktora zgrušavanja u krvi. Može doći do akutne insuficijencije bubrega, hipotenzije, respiratorne depresije, cijanoze i težeg oštećenja jetre.</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Kod pacijenata sa astmom može doći do pogoršanja astme.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u w:val="single"/>
        </w:rPr>
      </w:pPr>
      <w:r w:rsidRPr="006C71BB">
        <w:rPr>
          <w:rFonts w:ascii="Times New Roman" w:hAnsi="Times New Roman" w:cs="Times New Roman"/>
          <w:bCs/>
          <w:u w:val="single"/>
        </w:rPr>
        <w:t>Liječenje</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Liječenje je simptomatsko i suportivno, a uključuje održavanje prohodnosti disajnih puteva, održavanje vitalnih funkcija i praćenje srčane akcije. Unutar sat vremena nakon ingestije veće količine tableta korisno je dati pacijentu aktivni ugalj. Ukoliko se ibuprofen već resorbovao, mogu se dati alkalne supstance kako bi podstakle izlučivanje ibuprofena urinom. U slučaju pojave učestalih i prolongiranih konvulzija, pacijentu treba dati diazepam ili lorazepam intravenski, odnosno bronhodilatatore u slučaju pojave bronhospazma.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5. </w:t>
      </w:r>
      <w:r w:rsidRPr="006C71BB">
        <w:rPr>
          <w:rFonts w:ascii="Times New Roman" w:hAnsi="Times New Roman" w:cs="Times New Roman"/>
          <w:b/>
          <w:bCs/>
        </w:rPr>
        <w:tab/>
        <w:t>FARMAKOLOŠKI PODACI</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5.1. </w:t>
      </w:r>
      <w:r w:rsidRPr="006C71BB">
        <w:rPr>
          <w:rFonts w:ascii="Times New Roman" w:hAnsi="Times New Roman" w:cs="Times New Roman"/>
          <w:b/>
          <w:bCs/>
        </w:rPr>
        <w:tab/>
        <w:t xml:space="preserve">Farmakodinamski podaci </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Farmakoterapijska grupa: nesteroidni antiinflamatorni i antireumatski ljekovi, derivati propionske kisjeline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ATC šifra: M01AE01.</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Ibuprofen je derivat propionske kisjeline iz grupe nesteroidnih antiinflamatornih ljekova (NSAIL) čiji se mehanizam djelovanja zasniva na inhibiciji sinteze prostaglandina. Kod ljudi, ibuprofen smanjuje inflamatorni bol, otok i povišenu temperaturu. Takođe, ibuprofen reverzibilno inhibira agregaciju trombocita.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 xml:space="preserve">Eksperimentalni podaci ukazuju da ibuprofen može da inhibira dejstvo niske doze acetilsalicilne kisjeline na agregaciju trombocita kada se ova dva lijeka koriste istovremeno. </w:t>
      </w:r>
      <w:r w:rsidRPr="006C71BB">
        <w:rPr>
          <w:rFonts w:ascii="Times New Roman" w:hAnsi="Times New Roman" w:cs="Times New Roman"/>
        </w:rPr>
        <w:t xml:space="preserve">Određena ispitivanja farmakodinamike pokazuju da je primijećen smanjen efekat acetilsalicilatne kisjeline na stvaranje tromboksana ili agregaciju trombocita </w:t>
      </w:r>
      <w:r w:rsidRPr="006C71BB">
        <w:rPr>
          <w:rFonts w:ascii="Times New Roman" w:hAnsi="Times New Roman" w:cs="Times New Roman"/>
          <w:bCs/>
        </w:rPr>
        <w:t xml:space="preserve">kada je pojedinačna doza ibuprofena od 400 mg uzeta u roku od 8 sati prije ili u roku od 30 minuta nakon aspirina sa trenutnim oslobađanjem (81 mg). </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rPr>
        <w:lastRenderedPageBreak/>
        <w:t xml:space="preserve">Iako postoji nesigurnost ekstrapolacije ovih podataka na kliničku praksu, mogućnost da će redovna, dugotrajna primjena ibuprofena možda smanjiti kardioprotektivni efekat niske doze acetilsalicilne kisjeline ne može se isključiti. Smatra se da pri povremenom uzimanju ibuprofena klinički značajan efekat nije vjerojatan </w:t>
      </w:r>
      <w:r w:rsidRPr="006C71BB">
        <w:rPr>
          <w:rFonts w:ascii="Times New Roman" w:hAnsi="Times New Roman" w:cs="Times New Roman"/>
          <w:bCs/>
        </w:rPr>
        <w:t xml:space="preserve"> (vidjeti dio 4.5).</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5.2. </w:t>
      </w:r>
      <w:r w:rsidRPr="006C71BB">
        <w:rPr>
          <w:rFonts w:ascii="Times New Roman" w:hAnsi="Times New Roman" w:cs="Times New Roman"/>
          <w:b/>
          <w:bCs/>
        </w:rPr>
        <w:tab/>
        <w:t>Farmakokinetički podaci</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widowControl w:val="0"/>
        <w:overflowPunct w:val="0"/>
        <w:autoSpaceDE w:val="0"/>
        <w:autoSpaceDN w:val="0"/>
        <w:adjustRightInd w:val="0"/>
        <w:spacing w:after="0" w:line="248" w:lineRule="auto"/>
        <w:ind w:right="20"/>
        <w:jc w:val="both"/>
        <w:rPr>
          <w:rFonts w:ascii="Times New Roman" w:eastAsiaTheme="minorEastAsia" w:hAnsi="Times New Roman" w:cs="Times New Roman"/>
          <w:lang w:val="sr-Latn-RS" w:eastAsia="sr-Latn-RS"/>
        </w:rPr>
      </w:pPr>
      <w:r w:rsidRPr="006C71BB">
        <w:rPr>
          <w:rFonts w:ascii="Times New Roman" w:eastAsiaTheme="minorEastAsia" w:hAnsi="Times New Roman" w:cs="Times New Roman"/>
          <w:color w:val="000000"/>
          <w:lang w:val="sr-Latn-RS" w:eastAsia="sr-Latn-RS"/>
        </w:rPr>
        <w:t>Ibuprofen se dobro resorbuje iz gastrointestinalnog trakta, u visokom stepenu se vezuje za proteine plazme i difunduje u sinovijalnu tečnost.</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Ekskrecija je brza i potpuna putem bubrega.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Maksimalne koncentracije u serumu postižu se 45 minuta nakon uzimanja na prazan želudac. Kad se uzima uz jelo, maksimalne koncentracije su zabilježene otprilike 1-2 sata nakon uzimanja. Ova vremena mogu varirati sa obzirom na oblik doziranja.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Ibuprofen se metaboliše u jetri u dva glavna metabolita koji se najvećim dijelom izlučuju putem bubrega, bilo slobodni ili u konjugovanom obliku zajedno sa vrlo malom količinom nepromijenjenog ibuprofena.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Poluvrijeme eliminacije je približno 2 sata. </w:t>
      </w: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U ograničenim ispitivanjima zabilježeno je da se ibuprofen u majčinom mlijeku nalazi u vrlo niskim koncentracijama. </w:t>
      </w:r>
    </w:p>
    <w:p w:rsidR="006C71BB" w:rsidRPr="006C71BB" w:rsidRDefault="006C71BB" w:rsidP="006C71BB">
      <w:pPr>
        <w:tabs>
          <w:tab w:val="left" w:pos="540"/>
          <w:tab w:val="left" w:pos="569"/>
        </w:tabs>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Nijesu primijećene značajne razlike u farmakokinetičkom profilu kod starijih pacijenata.</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5.3. </w:t>
      </w:r>
      <w:r w:rsidRPr="006C71BB">
        <w:rPr>
          <w:rFonts w:ascii="Times New Roman" w:hAnsi="Times New Roman" w:cs="Times New Roman"/>
          <w:b/>
          <w:bCs/>
        </w:rPr>
        <w:tab/>
        <w:t xml:space="preserve">Pretklinički podaci o bezbjednosti </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autoSpaceDE w:val="0"/>
        <w:autoSpaceDN w:val="0"/>
        <w:adjustRightInd w:val="0"/>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 xml:space="preserve">Subhronična i hronična toksičnost ibuprofena u ispitivanjima na životinjama uočavala se pretežno u obliku lezija i ulkusa u probavnom sistemu. Ispitivanja </w:t>
      </w:r>
      <w:r w:rsidRPr="006C71BB">
        <w:rPr>
          <w:rFonts w:ascii="Times New Roman" w:hAnsi="Times New Roman" w:cs="Times New Roman"/>
          <w:i/>
          <w:iCs/>
          <w:color w:val="000000"/>
          <w:lang w:val="sr-Latn-RS" w:eastAsia="sr-Latn-ME"/>
        </w:rPr>
        <w:t xml:space="preserve">in vitro </w:t>
      </w:r>
      <w:r w:rsidRPr="006C71BB">
        <w:rPr>
          <w:rFonts w:ascii="Times New Roman" w:hAnsi="Times New Roman" w:cs="Times New Roman"/>
          <w:color w:val="000000"/>
          <w:lang w:val="sr-Latn-RS" w:eastAsia="sr-Latn-ME"/>
        </w:rPr>
        <w:t xml:space="preserve">i </w:t>
      </w:r>
      <w:r w:rsidRPr="006C71BB">
        <w:rPr>
          <w:rFonts w:ascii="Times New Roman" w:hAnsi="Times New Roman" w:cs="Times New Roman"/>
          <w:i/>
          <w:iCs/>
          <w:color w:val="000000"/>
          <w:lang w:val="sr-Latn-RS" w:eastAsia="sr-Latn-ME"/>
        </w:rPr>
        <w:t xml:space="preserve">in vivo </w:t>
      </w:r>
      <w:r w:rsidRPr="006C71BB">
        <w:rPr>
          <w:rFonts w:ascii="Times New Roman" w:hAnsi="Times New Roman" w:cs="Times New Roman"/>
          <w:color w:val="000000"/>
          <w:lang w:val="sr-Latn-RS" w:eastAsia="sr-Latn-ME"/>
        </w:rPr>
        <w:t xml:space="preserve">nijesu dala klinički značajne dokaze o mutagenom potencijalu ibuprofena. U ispitivanjima na pacovima i miševima nijesu nađeni dokazi o kancerogenom djelovanju ibuprofena. </w:t>
      </w:r>
    </w:p>
    <w:p w:rsidR="006C71BB" w:rsidRPr="006C71BB" w:rsidRDefault="006C71BB" w:rsidP="006C71BB">
      <w:pPr>
        <w:tabs>
          <w:tab w:val="left" w:pos="540"/>
          <w:tab w:val="left" w:pos="569"/>
        </w:tabs>
        <w:spacing w:after="0"/>
        <w:jc w:val="both"/>
        <w:rPr>
          <w:rFonts w:ascii="Times New Roman" w:hAnsi="Times New Roman" w:cs="Times New Roman"/>
          <w:color w:val="000000"/>
          <w:lang w:val="sr-Latn-RS" w:eastAsia="sr-Latn-ME"/>
        </w:rPr>
      </w:pPr>
      <w:r w:rsidRPr="006C71BB">
        <w:rPr>
          <w:rFonts w:ascii="Times New Roman" w:hAnsi="Times New Roman" w:cs="Times New Roman"/>
          <w:color w:val="000000"/>
          <w:lang w:val="sr-Latn-RS" w:eastAsia="sr-Latn-ME"/>
        </w:rPr>
        <w:t>Ibuprofen je inhibirao ovulaciju kod kunića i oslabio implantaciju kod različitih životinjskih vrsta (kunić, pacov, miš). Eksperimentalna ispitivanja na pacovima i kunićima pokazala su da ibuprofen prolazi kroz placentu. Nakon primjene doza koje uzrokuju toksičnost kod majki, povećala se incidenca malformacija (ventrikularni septalni defekti) u mladunčadi pacova.</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 </w:t>
      </w:r>
      <w:r w:rsidRPr="006C71BB">
        <w:rPr>
          <w:rFonts w:ascii="Times New Roman" w:hAnsi="Times New Roman" w:cs="Times New Roman"/>
          <w:b/>
          <w:bCs/>
        </w:rPr>
        <w:tab/>
        <w:t>FARMACEUTSKI PODACI</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6.1. </w:t>
      </w:r>
      <w:r w:rsidRPr="006C71BB">
        <w:rPr>
          <w:rFonts w:ascii="Times New Roman" w:hAnsi="Times New Roman" w:cs="Times New Roman"/>
          <w:b/>
          <w:bCs/>
        </w:rPr>
        <w:tab/>
        <w:t>Lista pomoćnih supstanci (ekscipijenasa)</w:t>
      </w:r>
    </w:p>
    <w:p w:rsidR="006C71BB" w:rsidRPr="006C71BB" w:rsidRDefault="006C71BB" w:rsidP="006C71BB">
      <w:pPr>
        <w:spacing w:after="0"/>
        <w:jc w:val="both"/>
        <w:rPr>
          <w:rFonts w:ascii="Times New Roman" w:eastAsia="Calibri" w:hAnsi="Times New Roman" w:cs="Times New Roman"/>
          <w:i/>
          <w:lang w:val="sr-Latn-CS"/>
        </w:rPr>
      </w:pPr>
    </w:p>
    <w:p w:rsidR="006C71BB" w:rsidRPr="006C71BB" w:rsidRDefault="006C71BB" w:rsidP="006C71BB">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6C71BB">
        <w:rPr>
          <w:rFonts w:ascii="Times New Roman" w:eastAsiaTheme="minorEastAsia" w:hAnsi="Times New Roman" w:cs="Times New Roman"/>
          <w:i/>
          <w:iCs/>
          <w:color w:val="000000"/>
          <w:u w:val="single"/>
          <w:lang w:val="sr-Latn-RS" w:eastAsia="sr-Latn-RS"/>
        </w:rPr>
        <w:t xml:space="preserve">Jezgro tablete: </w:t>
      </w:r>
      <w:r w:rsidRPr="006C71BB">
        <w:rPr>
          <w:rFonts w:ascii="Times New Roman" w:eastAsiaTheme="minorEastAsia" w:hAnsi="Times New Roman" w:cs="Times New Roman"/>
          <w:color w:val="000000"/>
          <w:lang w:val="sr-Latn-RS" w:eastAsia="sr-Latn-RS"/>
        </w:rPr>
        <w:t>kroskarmeloza natrijum, natrijum laurilsulfat, natrijum citrat, stearinska kisjelina, silicijum dioksid, koloidni, bezvodni</w:t>
      </w:r>
    </w:p>
    <w:p w:rsidR="006C71BB" w:rsidRPr="006C71BB" w:rsidRDefault="006C71BB" w:rsidP="006C71BB">
      <w:pPr>
        <w:widowControl w:val="0"/>
        <w:autoSpaceDE w:val="0"/>
        <w:autoSpaceDN w:val="0"/>
        <w:adjustRightInd w:val="0"/>
        <w:spacing w:after="0" w:line="208" w:lineRule="exact"/>
        <w:jc w:val="both"/>
        <w:rPr>
          <w:rFonts w:ascii="Times New Roman" w:eastAsiaTheme="minorEastAsia" w:hAnsi="Times New Roman" w:cs="Times New Roman"/>
          <w:lang w:val="sr-Latn-RS" w:eastAsia="sr-Latn-RS"/>
        </w:rPr>
      </w:pPr>
    </w:p>
    <w:p w:rsidR="006C71BB" w:rsidRPr="006C71BB" w:rsidRDefault="006C71BB" w:rsidP="006C71BB">
      <w:pPr>
        <w:widowControl w:val="0"/>
        <w:autoSpaceDE w:val="0"/>
        <w:autoSpaceDN w:val="0"/>
        <w:adjustRightInd w:val="0"/>
        <w:spacing w:after="0"/>
        <w:jc w:val="both"/>
        <w:rPr>
          <w:rFonts w:ascii="Times New Roman" w:eastAsiaTheme="minorEastAsia" w:hAnsi="Times New Roman" w:cs="Times New Roman"/>
          <w:color w:val="000000"/>
          <w:lang w:val="sr-Latn-RS" w:eastAsia="sr-Latn-RS"/>
        </w:rPr>
      </w:pPr>
      <w:r w:rsidRPr="006C71BB">
        <w:rPr>
          <w:rFonts w:ascii="Times New Roman" w:eastAsiaTheme="minorEastAsia" w:hAnsi="Times New Roman" w:cs="Times New Roman"/>
          <w:i/>
          <w:iCs/>
          <w:color w:val="000000"/>
          <w:u w:val="single"/>
          <w:lang w:val="sr-Latn-RS" w:eastAsia="sr-Latn-RS"/>
        </w:rPr>
        <w:t xml:space="preserve">Obloga tablete: </w:t>
      </w:r>
      <w:r w:rsidRPr="006C71BB">
        <w:rPr>
          <w:rFonts w:ascii="Times New Roman" w:eastAsiaTheme="minorEastAsia" w:hAnsi="Times New Roman" w:cs="Times New Roman"/>
          <w:color w:val="000000"/>
          <w:lang w:val="sr-Latn-RS" w:eastAsia="sr-Latn-RS"/>
        </w:rPr>
        <w:t>karmeloza natrijum, talk, arapska guma osušena raspršivanjem, saharoza, titan dioksid, makrogol 6000</w:t>
      </w:r>
    </w:p>
    <w:p w:rsidR="006C71BB" w:rsidRPr="006C71BB" w:rsidRDefault="006C71BB" w:rsidP="006C71BB">
      <w:pPr>
        <w:widowControl w:val="0"/>
        <w:autoSpaceDE w:val="0"/>
        <w:autoSpaceDN w:val="0"/>
        <w:adjustRightInd w:val="0"/>
        <w:spacing w:after="0"/>
        <w:jc w:val="both"/>
        <w:rPr>
          <w:rFonts w:ascii="Times New Roman" w:eastAsiaTheme="minorEastAsia" w:hAnsi="Times New Roman" w:cs="Times New Roman"/>
          <w:color w:val="000000"/>
          <w:lang w:val="sr-Latn-RS" w:eastAsia="sr-Latn-RS"/>
        </w:rPr>
      </w:pPr>
    </w:p>
    <w:p w:rsidR="006C71BB" w:rsidRPr="006C71BB" w:rsidRDefault="006C71BB" w:rsidP="006C71BB">
      <w:pPr>
        <w:widowControl w:val="0"/>
        <w:autoSpaceDE w:val="0"/>
        <w:autoSpaceDN w:val="0"/>
        <w:adjustRightInd w:val="0"/>
        <w:spacing w:after="0"/>
        <w:jc w:val="both"/>
        <w:rPr>
          <w:rFonts w:ascii="Times New Roman" w:eastAsiaTheme="minorEastAsia" w:hAnsi="Times New Roman" w:cs="Times New Roman"/>
          <w:lang w:val="sr-Latn-RS" w:eastAsia="sr-Latn-RS"/>
        </w:rPr>
      </w:pPr>
      <w:r w:rsidRPr="006C71BB">
        <w:rPr>
          <w:rFonts w:ascii="Times New Roman" w:eastAsiaTheme="minorEastAsia" w:hAnsi="Times New Roman" w:cs="Times New Roman"/>
          <w:i/>
          <w:lang w:val="sr-Latn-RS" w:eastAsia="sr-Latn-RS"/>
        </w:rPr>
        <w:t>Mastilo za štampu</w:t>
      </w:r>
      <w:r w:rsidRPr="006C71BB">
        <w:rPr>
          <w:rFonts w:ascii="Times New Roman" w:eastAsiaTheme="minorEastAsia" w:hAnsi="Times New Roman" w:cs="Times New Roman"/>
          <w:lang w:val="sr-Latn-RS" w:eastAsia="sr-Latn-RS"/>
        </w:rPr>
        <w:t xml:space="preserve"> (Red Printing Ink): šelak, gvožđe oksid, crveni (E172), propilenglikol (E1520), amonijum hidroksid (E527), simetikon</w:t>
      </w: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lastRenderedPageBreak/>
        <w:t xml:space="preserve">6.2. </w:t>
      </w:r>
      <w:r w:rsidRPr="006C71BB">
        <w:rPr>
          <w:rFonts w:ascii="Times New Roman" w:hAnsi="Times New Roman" w:cs="Times New Roman"/>
          <w:b/>
          <w:bCs/>
        </w:rPr>
        <w:tab/>
        <w:t>Inkompatibilnosti</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Nisu poznate.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6.3. </w:t>
      </w:r>
      <w:r w:rsidRPr="006C71BB">
        <w:rPr>
          <w:rFonts w:ascii="Times New Roman" w:hAnsi="Times New Roman" w:cs="Times New Roman"/>
          <w:b/>
          <w:bCs/>
        </w:rPr>
        <w:tab/>
        <w:t>Rok upotrebe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3 godine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6.4. </w:t>
      </w:r>
      <w:r w:rsidRPr="006C71BB">
        <w:rPr>
          <w:rFonts w:ascii="Times New Roman" w:hAnsi="Times New Roman" w:cs="Times New Roman"/>
          <w:b/>
          <w:bCs/>
        </w:rPr>
        <w:tab/>
        <w:t>Posebne mjere upozorenja pri čuvanju lijeka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Lijek ne zahtijeva posebne uslove čuvanja.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6.5. </w:t>
      </w:r>
      <w:r w:rsidRPr="006C71BB">
        <w:rPr>
          <w:rFonts w:ascii="Times New Roman" w:hAnsi="Times New Roman" w:cs="Times New Roman"/>
          <w:b/>
          <w:bCs/>
        </w:rPr>
        <w:tab/>
        <w:t xml:space="preserve">Vrsta i sadržaj pakovanja </w:t>
      </w:r>
    </w:p>
    <w:p w:rsidR="006C71BB" w:rsidRPr="006C71BB" w:rsidRDefault="006C71BB" w:rsidP="006C71BB">
      <w:pPr>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Neprovidni PVC-aluminijumski blister ili PVC/PVDC-aluminijumski blister.</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Svaki blister sadrži 12 obloženih tableta. Blisteri su upakovani u kartonsku kutiju sa Uputstvom za lijek. Pakovanje može da sadrži 12 ili 24 obloženih tableta.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6.6. </w:t>
      </w:r>
      <w:r w:rsidRPr="006C71BB">
        <w:rPr>
          <w:rFonts w:ascii="Times New Roman" w:hAnsi="Times New Roman" w:cs="Times New Roman"/>
          <w:b/>
          <w:bCs/>
        </w:rPr>
        <w:tab/>
      </w:r>
      <w:r w:rsidRPr="006C71BB">
        <w:rPr>
          <w:rFonts w:ascii="Times New Roman" w:hAnsi="Times New Roman" w:cs="Times New Roman"/>
          <w:b/>
          <w:bCs/>
          <w:color w:val="000000"/>
        </w:rPr>
        <w:t>Posebne mjere opreza pri odlaganju materijala koji treba odbaciti nakon primjene lijeka</w:t>
      </w:r>
      <w:r w:rsidRPr="006C71BB">
        <w:rPr>
          <w:rFonts w:ascii="Times New Roman" w:hAnsi="Times New Roman" w:cs="Times New Roman"/>
          <w:b/>
          <w:bCs/>
        </w:rPr>
        <w:t xml:space="preserve"> (i druga uputsva za rukovanje lijekom) </w:t>
      </w:r>
    </w:p>
    <w:p w:rsidR="006C71BB" w:rsidRPr="006C71BB" w:rsidRDefault="006C71BB" w:rsidP="006C71BB">
      <w:pPr>
        <w:tabs>
          <w:tab w:val="left" w:pos="540"/>
          <w:tab w:val="left" w:pos="569"/>
        </w:tabs>
        <w:spacing w:after="0"/>
        <w:jc w:val="both"/>
        <w:rPr>
          <w:rFonts w:ascii="Times New Roman" w:hAnsi="Times New Roman" w:cs="Times New Roman"/>
          <w:b/>
          <w:bCs/>
        </w:rPr>
      </w:pPr>
    </w:p>
    <w:p w:rsidR="006C71BB" w:rsidRPr="006C71BB" w:rsidRDefault="006C71BB" w:rsidP="006C71BB">
      <w:pPr>
        <w:spacing w:after="0"/>
        <w:jc w:val="both"/>
        <w:rPr>
          <w:rFonts w:ascii="Times New Roman" w:hAnsi="Times New Roman" w:cs="Times New Roman"/>
          <w:bCs/>
        </w:rPr>
      </w:pPr>
      <w:r w:rsidRPr="006C71BB">
        <w:rPr>
          <w:rFonts w:ascii="Times New Roman" w:hAnsi="Times New Roman" w:cs="Times New Roman"/>
          <w:bCs/>
        </w:rPr>
        <w:t>Neupotrijebljeni lijek se uništava u skladu sa važećim propisima.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
          <w:bCs/>
        </w:rPr>
        <w:t xml:space="preserve">7. </w:t>
      </w:r>
      <w:r w:rsidRPr="006C71BB">
        <w:rPr>
          <w:rFonts w:ascii="Times New Roman" w:hAnsi="Times New Roman" w:cs="Times New Roman"/>
          <w:b/>
          <w:bCs/>
        </w:rPr>
        <w:tab/>
        <w:t xml:space="preserve">NOSILAC DOZVOLE </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DRUŠTVO ZA TRGOVINU I USLUGE, EXPORT-IMPORT "NEREGELIA" D.O.O. PODGORICA</w:t>
      </w: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Cs/>
        </w:rPr>
        <w:t>Cetinjski put bb, Podgorica, Crna Gora</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
          <w:bCs/>
        </w:rPr>
      </w:pPr>
      <w:r w:rsidRPr="006C71BB">
        <w:rPr>
          <w:rFonts w:ascii="Times New Roman" w:hAnsi="Times New Roman" w:cs="Times New Roman"/>
          <w:b/>
          <w:bCs/>
        </w:rPr>
        <w:t xml:space="preserve">8. </w:t>
      </w:r>
      <w:r w:rsidRPr="006C71BB">
        <w:rPr>
          <w:rFonts w:ascii="Times New Roman" w:hAnsi="Times New Roman" w:cs="Times New Roman"/>
          <w:b/>
          <w:bCs/>
        </w:rPr>
        <w:tab/>
        <w:t>BROJ DOZVOLE ZA STAVLJANJE LIJEKA U PROMET</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Default="00D21BDA" w:rsidP="00D21BDA">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12 (1x12) obloženih tableta: </w:t>
      </w:r>
      <w:r w:rsidRPr="00D21BDA">
        <w:rPr>
          <w:rFonts w:ascii="Times New Roman" w:hAnsi="Times New Roman" w:cs="Times New Roman"/>
          <w:bCs/>
        </w:rPr>
        <w:t xml:space="preserve">2030/19/468 </w:t>
      </w:r>
      <w:r>
        <w:rPr>
          <w:rFonts w:ascii="Times New Roman" w:hAnsi="Times New Roman" w:cs="Times New Roman"/>
          <w:bCs/>
        </w:rPr>
        <w:t>–</w:t>
      </w:r>
      <w:r w:rsidRPr="00D21BDA">
        <w:rPr>
          <w:rFonts w:ascii="Times New Roman" w:hAnsi="Times New Roman" w:cs="Times New Roman"/>
          <w:bCs/>
        </w:rPr>
        <w:t xml:space="preserve"> 9181</w:t>
      </w:r>
    </w:p>
    <w:p w:rsidR="00D21BDA" w:rsidRDefault="00D21BDA" w:rsidP="00D21BDA">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24 (2x12) obloženih tableta: </w:t>
      </w:r>
      <w:r w:rsidRPr="00D21BDA">
        <w:rPr>
          <w:rFonts w:ascii="Times New Roman" w:hAnsi="Times New Roman" w:cs="Times New Roman"/>
          <w:bCs/>
        </w:rPr>
        <w:t>2030/19/469 - 9183</w:t>
      </w:r>
    </w:p>
    <w:p w:rsidR="00D21BDA" w:rsidRPr="00D21BDA" w:rsidRDefault="00D21BDA" w:rsidP="00D21BDA">
      <w:pPr>
        <w:tabs>
          <w:tab w:val="left" w:pos="540"/>
          <w:tab w:val="left" w:pos="569"/>
        </w:tabs>
        <w:spacing w:after="0"/>
        <w:jc w:val="both"/>
        <w:rPr>
          <w:rFonts w:ascii="Times New Roman" w:hAnsi="Times New Roman" w:cs="Times New Roman"/>
          <w:bCs/>
        </w:rPr>
      </w:pPr>
    </w:p>
    <w:p w:rsidR="006C71BB" w:rsidRPr="006C71BB" w:rsidRDefault="006C71BB" w:rsidP="006C71BB">
      <w:pPr>
        <w:tabs>
          <w:tab w:val="left" w:pos="540"/>
          <w:tab w:val="left" w:pos="569"/>
        </w:tabs>
        <w:spacing w:after="0"/>
        <w:jc w:val="both"/>
        <w:rPr>
          <w:rFonts w:ascii="Times New Roman" w:hAnsi="Times New Roman" w:cs="Times New Roman"/>
          <w:bCs/>
        </w:rPr>
      </w:pPr>
      <w:r w:rsidRPr="006C71BB">
        <w:rPr>
          <w:rFonts w:ascii="Times New Roman" w:hAnsi="Times New Roman" w:cs="Times New Roman"/>
          <w:b/>
          <w:bCs/>
        </w:rPr>
        <w:t xml:space="preserve">9. </w:t>
      </w:r>
      <w:r w:rsidRPr="006C71BB">
        <w:rPr>
          <w:rFonts w:ascii="Times New Roman" w:hAnsi="Times New Roman" w:cs="Times New Roman"/>
          <w:b/>
          <w:bCs/>
        </w:rPr>
        <w:tab/>
        <w:t>DATUM PRVE DOZVOLE/OBNOVE DOZVOLE ZA STAVLJANJE LIJEKA U PROMET</w:t>
      </w:r>
    </w:p>
    <w:p w:rsidR="006C71BB" w:rsidRPr="006C71BB" w:rsidRDefault="006C71BB" w:rsidP="006C71BB">
      <w:pPr>
        <w:tabs>
          <w:tab w:val="left" w:pos="540"/>
          <w:tab w:val="left" w:pos="569"/>
        </w:tabs>
        <w:spacing w:after="0"/>
        <w:jc w:val="both"/>
        <w:rPr>
          <w:rFonts w:ascii="Times New Roman" w:hAnsi="Times New Roman" w:cs="Times New Roman"/>
          <w:bCs/>
        </w:rPr>
      </w:pPr>
    </w:p>
    <w:p w:rsidR="00D21BDA" w:rsidRDefault="00D21BDA" w:rsidP="00D21BDA">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12 (1x12) obloženih tableta: </w:t>
      </w:r>
      <w:r w:rsidR="00496558">
        <w:rPr>
          <w:rFonts w:ascii="TimesNewRoman" w:hAnsi="TimesNewRoman" w:cs="TimesNewRoman"/>
        </w:rPr>
        <w:t>18</w:t>
      </w:r>
      <w:r>
        <w:rPr>
          <w:rFonts w:ascii="TimesNewRoman" w:hAnsi="TimesNewRoman" w:cs="TimesNewRoman"/>
        </w:rPr>
        <w:t>.10.2019. godine</w:t>
      </w:r>
    </w:p>
    <w:p w:rsidR="00D21BDA" w:rsidRDefault="00D21BDA" w:rsidP="00D21BDA">
      <w:pPr>
        <w:tabs>
          <w:tab w:val="left" w:pos="540"/>
          <w:tab w:val="left" w:pos="569"/>
        </w:tabs>
        <w:spacing w:after="0"/>
        <w:jc w:val="both"/>
        <w:rPr>
          <w:rFonts w:ascii="Times New Roman" w:hAnsi="Times New Roman" w:cs="Times New Roman"/>
          <w:bCs/>
        </w:rPr>
      </w:pPr>
      <w:r w:rsidRPr="00D21BDA">
        <w:rPr>
          <w:rFonts w:ascii="Times New Roman" w:hAnsi="Times New Roman" w:cs="Times New Roman"/>
          <w:bCs/>
        </w:rPr>
        <w:t>Nurofen® Forte, obl</w:t>
      </w:r>
      <w:r>
        <w:rPr>
          <w:rFonts w:ascii="Times New Roman" w:hAnsi="Times New Roman" w:cs="Times New Roman"/>
          <w:bCs/>
        </w:rPr>
        <w:t xml:space="preserve">ožena tableta, 400mg, blister, 24 (2x12) obloženih tableta: </w:t>
      </w:r>
      <w:r w:rsidR="00496558">
        <w:rPr>
          <w:rFonts w:ascii="TimesNewRoman" w:hAnsi="TimesNewRoman" w:cs="TimesNewRoman"/>
        </w:rPr>
        <w:t>18</w:t>
      </w:r>
      <w:bookmarkStart w:id="0" w:name="_GoBack"/>
      <w:bookmarkEnd w:id="0"/>
      <w:r>
        <w:rPr>
          <w:rFonts w:ascii="TimesNewRoman" w:hAnsi="TimesNewRoman" w:cs="TimesNewRoman"/>
        </w:rPr>
        <w:t>.10.2019. godine</w:t>
      </w:r>
    </w:p>
    <w:p w:rsidR="006C71BB" w:rsidRPr="006C71BB" w:rsidRDefault="006C71BB" w:rsidP="006C71BB">
      <w:pPr>
        <w:tabs>
          <w:tab w:val="left" w:pos="540"/>
          <w:tab w:val="left" w:pos="569"/>
        </w:tabs>
        <w:spacing w:after="0"/>
        <w:jc w:val="both"/>
        <w:rPr>
          <w:rFonts w:ascii="Times New Roman" w:hAnsi="Times New Roman" w:cs="Times New Roman"/>
          <w:bCs/>
        </w:rPr>
      </w:pPr>
    </w:p>
    <w:p w:rsidR="006C71BB" w:rsidRDefault="006C71BB" w:rsidP="006C71BB">
      <w:pPr>
        <w:tabs>
          <w:tab w:val="left" w:pos="540"/>
          <w:tab w:val="left" w:pos="569"/>
        </w:tabs>
        <w:spacing w:after="0"/>
        <w:ind w:left="540" w:hanging="540"/>
        <w:jc w:val="both"/>
        <w:rPr>
          <w:rFonts w:ascii="Times New Roman" w:hAnsi="Times New Roman" w:cs="Times New Roman"/>
          <w:b/>
          <w:bCs/>
        </w:rPr>
      </w:pPr>
      <w:r w:rsidRPr="006C71BB">
        <w:rPr>
          <w:rFonts w:ascii="Times New Roman" w:hAnsi="Times New Roman" w:cs="Times New Roman"/>
          <w:b/>
          <w:bCs/>
        </w:rPr>
        <w:t xml:space="preserve">10. </w:t>
      </w:r>
      <w:r w:rsidRPr="006C71BB">
        <w:rPr>
          <w:rFonts w:ascii="Times New Roman" w:hAnsi="Times New Roman" w:cs="Times New Roman"/>
          <w:b/>
          <w:bCs/>
        </w:rPr>
        <w:tab/>
        <w:t xml:space="preserve">DATUM REVIZIJE TEKSTA </w:t>
      </w:r>
    </w:p>
    <w:p w:rsidR="00D21BDA" w:rsidRDefault="00D21BDA" w:rsidP="006C71BB">
      <w:pPr>
        <w:tabs>
          <w:tab w:val="left" w:pos="540"/>
          <w:tab w:val="left" w:pos="569"/>
        </w:tabs>
        <w:spacing w:after="0"/>
        <w:ind w:left="540" w:hanging="540"/>
        <w:jc w:val="both"/>
        <w:rPr>
          <w:rFonts w:ascii="Times New Roman" w:hAnsi="Times New Roman" w:cs="Times New Roman"/>
          <w:b/>
          <w:bCs/>
        </w:rPr>
      </w:pPr>
    </w:p>
    <w:p w:rsidR="00D21BDA" w:rsidRPr="00D21BDA" w:rsidRDefault="00D21BDA" w:rsidP="006C71BB">
      <w:pPr>
        <w:tabs>
          <w:tab w:val="left" w:pos="540"/>
          <w:tab w:val="left" w:pos="569"/>
        </w:tabs>
        <w:spacing w:after="0"/>
        <w:ind w:left="540" w:hanging="540"/>
        <w:jc w:val="both"/>
        <w:rPr>
          <w:rFonts w:ascii="Times New Roman" w:hAnsi="Times New Roman" w:cs="Times New Roman"/>
          <w:bCs/>
        </w:rPr>
      </w:pPr>
      <w:r w:rsidRPr="00D21BDA">
        <w:rPr>
          <w:rFonts w:ascii="Times New Roman" w:hAnsi="Times New Roman" w:cs="Times New Roman"/>
          <w:bCs/>
        </w:rPr>
        <w:t>Oktobar, 2019. godine</w:t>
      </w:r>
    </w:p>
    <w:p w:rsidR="009318B4" w:rsidRPr="006C71BB" w:rsidRDefault="009318B4" w:rsidP="006C71BB">
      <w:pPr>
        <w:tabs>
          <w:tab w:val="left" w:pos="2751"/>
        </w:tabs>
        <w:spacing w:after="0"/>
        <w:jc w:val="both"/>
        <w:rPr>
          <w:rFonts w:ascii="Times New Roman" w:hAnsi="Times New Roman" w:cs="Times New Roman"/>
        </w:rPr>
      </w:pPr>
    </w:p>
    <w:sectPr w:rsidR="009318B4" w:rsidRPr="006C71B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49B" w:rsidRDefault="0032549B" w:rsidP="00FF2B5A">
      <w:pPr>
        <w:spacing w:after="0" w:line="240" w:lineRule="auto"/>
      </w:pPr>
      <w:r>
        <w:separator/>
      </w:r>
    </w:p>
  </w:endnote>
  <w:endnote w:type="continuationSeparator" w:id="0">
    <w:p w:rsidR="0032549B" w:rsidRDefault="0032549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96558">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96558">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49B" w:rsidRDefault="0032549B" w:rsidP="00FF2B5A">
      <w:pPr>
        <w:spacing w:after="0" w:line="240" w:lineRule="auto"/>
      </w:pPr>
      <w:r>
        <w:separator/>
      </w:r>
    </w:p>
  </w:footnote>
  <w:footnote w:type="continuationSeparator" w:id="0">
    <w:p w:rsidR="0032549B" w:rsidRDefault="0032549B"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9C554AE"/>
    <w:multiLevelType w:val="hybridMultilevel"/>
    <w:tmpl w:val="AF2E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F2C1E"/>
    <w:multiLevelType w:val="hybridMultilevel"/>
    <w:tmpl w:val="75547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24F2FF1"/>
    <w:multiLevelType w:val="hybridMultilevel"/>
    <w:tmpl w:val="CE985D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C1B7F99"/>
    <w:multiLevelType w:val="hybridMultilevel"/>
    <w:tmpl w:val="C1A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9E0241"/>
    <w:multiLevelType w:val="hybridMultilevel"/>
    <w:tmpl w:val="54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435CEA"/>
    <w:multiLevelType w:val="hybridMultilevel"/>
    <w:tmpl w:val="9E56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F4B82"/>
    <w:multiLevelType w:val="hybridMultilevel"/>
    <w:tmpl w:val="FE2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2"/>
  </w:num>
  <w:num w:numId="5">
    <w:abstractNumId w:val="5"/>
  </w:num>
  <w:num w:numId="6">
    <w:abstractNumId w:val="1"/>
  </w:num>
  <w:num w:numId="7">
    <w:abstractNumId w:val="10"/>
  </w:num>
  <w:num w:numId="8">
    <w:abstractNumId w:val="4"/>
  </w:num>
  <w:num w:numId="9">
    <w:abstractNumId w:val="8"/>
  </w:num>
  <w:num w:numId="10">
    <w:abstractNumId w:val="16"/>
  </w:num>
  <w:num w:numId="11">
    <w:abstractNumId w:val="6"/>
  </w:num>
  <w:num w:numId="12">
    <w:abstractNumId w:val="15"/>
  </w:num>
  <w:num w:numId="13">
    <w:abstractNumId w:val="13"/>
  </w:num>
  <w:num w:numId="14">
    <w:abstractNumId w:val="17"/>
  </w:num>
  <w:num w:numId="15">
    <w:abstractNumId w:val="9"/>
  </w:num>
  <w:num w:numId="16">
    <w:abstractNumId w:val="2"/>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2549B"/>
    <w:rsid w:val="00461135"/>
    <w:rsid w:val="00496558"/>
    <w:rsid w:val="005B31C0"/>
    <w:rsid w:val="006C71BB"/>
    <w:rsid w:val="00747C4B"/>
    <w:rsid w:val="00883AF2"/>
    <w:rsid w:val="009318B4"/>
    <w:rsid w:val="00934541"/>
    <w:rsid w:val="00A06058"/>
    <w:rsid w:val="00B234CE"/>
    <w:rsid w:val="00B34AF2"/>
    <w:rsid w:val="00C4240B"/>
    <w:rsid w:val="00D21BDA"/>
    <w:rsid w:val="00D45AFE"/>
    <w:rsid w:val="00E0627A"/>
    <w:rsid w:val="00EB2A93"/>
    <w:rsid w:val="00F1527C"/>
    <w:rsid w:val="00FD4E0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C71BB"/>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6C71BB"/>
    <w:rPr>
      <w:rFonts w:ascii="Arial" w:eastAsia="Times New Roman" w:hAnsi="Arial" w:cs="Arial"/>
      <w:i/>
      <w:iCs/>
      <w:color w:val="999999"/>
      <w:sz w:val="18"/>
      <w:szCs w:val="24"/>
    </w:rPr>
  </w:style>
  <w:style w:type="character" w:styleId="PageNumber">
    <w:name w:val="page number"/>
    <w:basedOn w:val="DefaultParagraphFont"/>
    <w:rsid w:val="006C71BB"/>
  </w:style>
  <w:style w:type="numbering" w:styleId="111111">
    <w:name w:val="Outline List 2"/>
    <w:basedOn w:val="NoList"/>
    <w:rsid w:val="006C71BB"/>
    <w:pPr>
      <w:numPr>
        <w:numId w:val="3"/>
      </w:numPr>
    </w:pPr>
  </w:style>
  <w:style w:type="character" w:styleId="CommentReference">
    <w:name w:val="annotation reference"/>
    <w:semiHidden/>
    <w:rsid w:val="006C71BB"/>
    <w:rPr>
      <w:sz w:val="16"/>
      <w:szCs w:val="16"/>
    </w:rPr>
  </w:style>
  <w:style w:type="paragraph" w:styleId="CommentText">
    <w:name w:val="annotation text"/>
    <w:basedOn w:val="Normal"/>
    <w:link w:val="CommentTextChar"/>
    <w:semiHidden/>
    <w:rsid w:val="006C71B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C71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C71BB"/>
    <w:rPr>
      <w:b/>
      <w:bCs/>
    </w:rPr>
  </w:style>
  <w:style w:type="character" w:customStyle="1" w:styleId="CommentSubjectChar">
    <w:name w:val="Comment Subject Char"/>
    <w:basedOn w:val="CommentTextChar"/>
    <w:link w:val="CommentSubject"/>
    <w:semiHidden/>
    <w:rsid w:val="006C71B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C71B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C71BB"/>
    <w:rPr>
      <w:rFonts w:ascii="Tahoma" w:eastAsia="Times New Roman" w:hAnsi="Tahoma" w:cs="Tahoma"/>
      <w:sz w:val="16"/>
      <w:szCs w:val="16"/>
    </w:rPr>
  </w:style>
  <w:style w:type="paragraph" w:styleId="NoSpacing">
    <w:name w:val="No Spacing"/>
    <w:uiPriority w:val="1"/>
    <w:qFormat/>
    <w:rsid w:val="006C71BB"/>
    <w:pPr>
      <w:spacing w:after="0" w:line="240" w:lineRule="auto"/>
    </w:pPr>
    <w:rPr>
      <w:rFonts w:ascii="Times New Roman" w:eastAsia="Times New Roman" w:hAnsi="Times New Roman" w:cs="Times New Roman"/>
      <w:sz w:val="24"/>
      <w:szCs w:val="24"/>
    </w:rPr>
  </w:style>
  <w:style w:type="paragraph" w:customStyle="1" w:styleId="SPCText">
    <w:name w:val="SPC Text"/>
    <w:basedOn w:val="Normal"/>
    <w:rsid w:val="006C71BB"/>
    <w:pPr>
      <w:spacing w:before="120" w:after="120" w:line="240" w:lineRule="atLeast"/>
      <w:ind w:left="567"/>
      <w:jc w:val="both"/>
    </w:pPr>
    <w:rPr>
      <w:rFonts w:ascii="Arial" w:eastAsia="Times New Roman" w:hAnsi="Arial" w:cs="Arial"/>
      <w:sz w:val="20"/>
      <w:szCs w:val="20"/>
      <w:lang w:val="en-GB" w:eastAsia="de-DE"/>
    </w:rPr>
  </w:style>
  <w:style w:type="paragraph" w:customStyle="1" w:styleId="Default">
    <w:name w:val="Default"/>
    <w:rsid w:val="006C71BB"/>
    <w:pPr>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6C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1B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72E7-8622-4936-85BA-0C1DD8B5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10</cp:revision>
  <dcterms:created xsi:type="dcterms:W3CDTF">2017-06-23T08:04:00Z</dcterms:created>
  <dcterms:modified xsi:type="dcterms:W3CDTF">2019-10-18T05:42:00Z</dcterms:modified>
</cp:coreProperties>
</file>